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212E" w14:textId="126D175D" w:rsidR="00B7744E" w:rsidRDefault="00B7744E" w:rsidP="00B7744E"/>
    <w:p w14:paraId="7E2600A8" w14:textId="1081311D" w:rsidR="00DD6617" w:rsidRDefault="00DD6617" w:rsidP="00B7744E"/>
    <w:p w14:paraId="4745CC93" w14:textId="2C3A1280" w:rsidR="00562F1B" w:rsidRDefault="00562F1B" w:rsidP="00B7744E"/>
    <w:p w14:paraId="7F30187A" w14:textId="77777777" w:rsidR="001C33E4" w:rsidRDefault="00AD5DC4" w:rsidP="00B50787">
      <w:pPr>
        <w:pStyle w:val="Subtitle"/>
      </w:pPr>
      <w:r w:rsidRPr="00B50787">
        <w:t xml:space="preserve">Report </w:t>
      </w:r>
      <w:r w:rsidR="008B7A0D" w:rsidRPr="00B50787">
        <w:t>p</w:t>
      </w:r>
      <w:r w:rsidR="007947AE" w:rsidRPr="00B50787">
        <w:t xml:space="preserve">ursuant </w:t>
      </w:r>
      <w:r w:rsidRPr="00B50787">
        <w:t>to</w:t>
      </w:r>
      <w:r w:rsidR="008B7A0D" w:rsidRPr="00B50787">
        <w:br/>
      </w:r>
      <w:r w:rsidRPr="00B50787">
        <w:t>Recommendation 4</w:t>
      </w:r>
      <w:r w:rsidR="007947AE" w:rsidRPr="00B50787">
        <w:t xml:space="preserve"> </w:t>
      </w:r>
      <w:r w:rsidRPr="00B50787">
        <w:t>of</w:t>
      </w:r>
      <w:r w:rsidR="007947AE" w:rsidRPr="00B50787">
        <w:t xml:space="preserve"> the</w:t>
      </w:r>
      <w:r w:rsidR="001C33E4">
        <w:t xml:space="preserve"> </w:t>
      </w:r>
      <w:r w:rsidRPr="00B50787">
        <w:t>Szoke Report</w:t>
      </w:r>
    </w:p>
    <w:p w14:paraId="620DE633" w14:textId="77777777" w:rsidR="001C33E4" w:rsidRDefault="00AD5DC4" w:rsidP="00B50787">
      <w:pPr>
        <w:pStyle w:val="Subtitle"/>
      </w:pPr>
      <w:r w:rsidRPr="00B50787">
        <w:t>on</w:t>
      </w:r>
      <w:r w:rsidR="007947AE" w:rsidRPr="00B50787">
        <w:t xml:space="preserve"> </w:t>
      </w:r>
      <w:r w:rsidR="001C33E4">
        <w:t>preventing and addressing</w:t>
      </w:r>
    </w:p>
    <w:p w14:paraId="0A8B2ABF" w14:textId="5A0BB4E0" w:rsidR="00D10B90" w:rsidRPr="00B50787" w:rsidRDefault="00AD5DC4" w:rsidP="00B50787">
      <w:pPr>
        <w:pStyle w:val="Subtitle"/>
      </w:pPr>
      <w:r w:rsidRPr="00B50787">
        <w:t>Sexual Harassment</w:t>
      </w:r>
      <w:r w:rsidR="007947AE" w:rsidRPr="00B50787">
        <w:t xml:space="preserve"> </w:t>
      </w:r>
      <w:r w:rsidRPr="00B50787">
        <w:t>in</w:t>
      </w:r>
      <w:r w:rsidR="001C33E4">
        <w:br/>
      </w:r>
      <w:r w:rsidRPr="00B50787">
        <w:t>Victorian Courts</w:t>
      </w:r>
    </w:p>
    <w:p w14:paraId="6E029D23" w14:textId="3E5E9ED0" w:rsidR="00D10B90" w:rsidRDefault="00D10B90" w:rsidP="00460604">
      <w:pPr>
        <w:rPr>
          <w:rFonts w:ascii="Arial Narrow" w:hAnsi="Arial Narrow"/>
          <w:b/>
          <w:sz w:val="60"/>
          <w:szCs w:val="60"/>
          <w:lang w:val="en-US"/>
        </w:rPr>
      </w:pPr>
    </w:p>
    <w:p w14:paraId="4EFF5CB7" w14:textId="77777777" w:rsidR="00064F52" w:rsidRPr="00B82B31" w:rsidRDefault="00064F52" w:rsidP="00460604">
      <w:pPr>
        <w:rPr>
          <w:rFonts w:ascii="Arial Narrow" w:hAnsi="Arial Narrow"/>
          <w:b/>
          <w:sz w:val="46"/>
          <w:szCs w:val="46"/>
          <w:lang w:val="en-US"/>
        </w:rPr>
      </w:pPr>
    </w:p>
    <w:p w14:paraId="6F43F454" w14:textId="654B0886" w:rsidR="006301A1" w:rsidRPr="0019056E" w:rsidRDefault="00245EAF" w:rsidP="00245EAF">
      <w:pPr>
        <w:pStyle w:val="Subtitle"/>
        <w:rPr>
          <w:sz w:val="34"/>
          <w:szCs w:val="34"/>
        </w:rPr>
      </w:pPr>
      <w:r w:rsidRPr="0019056E">
        <w:rPr>
          <w:sz w:val="34"/>
          <w:szCs w:val="34"/>
        </w:rPr>
        <w:t>REVIEW OF RECRUITMENT AND</w:t>
      </w:r>
      <w:r w:rsidR="0019056E">
        <w:rPr>
          <w:sz w:val="34"/>
          <w:szCs w:val="34"/>
        </w:rPr>
        <w:br/>
      </w:r>
      <w:r w:rsidRPr="0019056E">
        <w:rPr>
          <w:sz w:val="34"/>
          <w:szCs w:val="34"/>
        </w:rPr>
        <w:t>WORKING ARRANGEMENTS OF</w:t>
      </w:r>
      <w:r w:rsidR="00A32042" w:rsidRPr="0019056E">
        <w:rPr>
          <w:sz w:val="34"/>
          <w:szCs w:val="34"/>
        </w:rPr>
        <w:t xml:space="preserve"> </w:t>
      </w:r>
      <w:r w:rsidRPr="0019056E">
        <w:rPr>
          <w:sz w:val="34"/>
          <w:szCs w:val="34"/>
        </w:rPr>
        <w:t>JUDICIAL STAFF</w:t>
      </w:r>
      <w:r w:rsidR="00CA1AB6">
        <w:rPr>
          <w:sz w:val="34"/>
          <w:szCs w:val="34"/>
        </w:rPr>
        <w:br/>
      </w:r>
      <w:r w:rsidR="00545C0C" w:rsidRPr="0019056E">
        <w:rPr>
          <w:sz w:val="34"/>
          <w:szCs w:val="34"/>
        </w:rPr>
        <w:t xml:space="preserve">WHO WORK </w:t>
      </w:r>
      <w:r w:rsidR="00A32042" w:rsidRPr="0019056E">
        <w:rPr>
          <w:sz w:val="34"/>
          <w:szCs w:val="34"/>
        </w:rPr>
        <w:t>IN A PRIMARY RELATIONSHIP</w:t>
      </w:r>
      <w:r w:rsidR="0019056E">
        <w:rPr>
          <w:sz w:val="34"/>
          <w:szCs w:val="34"/>
        </w:rPr>
        <w:t xml:space="preserve"> </w:t>
      </w:r>
      <w:r w:rsidR="00545C0C" w:rsidRPr="0019056E">
        <w:rPr>
          <w:sz w:val="34"/>
          <w:szCs w:val="34"/>
        </w:rPr>
        <w:t>WITH</w:t>
      </w:r>
      <w:r w:rsidR="00CA1AB6">
        <w:rPr>
          <w:sz w:val="34"/>
          <w:szCs w:val="34"/>
        </w:rPr>
        <w:br/>
      </w:r>
      <w:r w:rsidR="00DF1199" w:rsidRPr="0019056E">
        <w:rPr>
          <w:sz w:val="34"/>
          <w:szCs w:val="34"/>
        </w:rPr>
        <w:t xml:space="preserve">JUDICIAL OFFICERS </w:t>
      </w:r>
      <w:r w:rsidRPr="0019056E">
        <w:rPr>
          <w:sz w:val="34"/>
          <w:szCs w:val="34"/>
        </w:rPr>
        <w:t>IN</w:t>
      </w:r>
      <w:r w:rsidR="00DF1199" w:rsidRPr="0019056E">
        <w:rPr>
          <w:sz w:val="34"/>
          <w:szCs w:val="34"/>
        </w:rPr>
        <w:br/>
      </w:r>
      <w:r w:rsidRPr="0019056E">
        <w:rPr>
          <w:sz w:val="34"/>
          <w:szCs w:val="34"/>
        </w:rPr>
        <w:t>VICTORIAN COURTS AND VCAT</w:t>
      </w:r>
    </w:p>
    <w:p w14:paraId="7F49CAA2" w14:textId="7314CD15" w:rsidR="00FE5E9C" w:rsidRDefault="00FE5E9C" w:rsidP="00FE5E9C">
      <w:pPr>
        <w:rPr>
          <w:rStyle w:val="IntenseEmphasis"/>
          <w:rFonts w:ascii="Arial Narrow" w:hAnsi="Arial Narrow"/>
        </w:rPr>
      </w:pPr>
    </w:p>
    <w:p w14:paraId="24764E21" w14:textId="408A64DF" w:rsidR="00F30291" w:rsidRDefault="00F30291" w:rsidP="00FE5E9C">
      <w:pPr>
        <w:rPr>
          <w:rStyle w:val="IntenseEmphasis"/>
          <w:rFonts w:ascii="Arial Narrow" w:hAnsi="Arial Narrow"/>
        </w:rPr>
      </w:pPr>
    </w:p>
    <w:p w14:paraId="184C8A78" w14:textId="77777777" w:rsidR="00064F52" w:rsidRDefault="00064F52" w:rsidP="00FE5E9C">
      <w:pPr>
        <w:rPr>
          <w:rStyle w:val="IntenseEmphasis"/>
          <w:rFonts w:ascii="Arial Narrow" w:hAnsi="Arial Narrow"/>
        </w:rPr>
      </w:pPr>
    </w:p>
    <w:p w14:paraId="547979E2" w14:textId="46593274" w:rsidR="00EA6796" w:rsidRPr="00C9364A" w:rsidRDefault="00850485" w:rsidP="00E94095">
      <w:pPr>
        <w:jc w:val="center"/>
        <w:rPr>
          <w:b/>
          <w:sz w:val="34"/>
          <w:szCs w:val="34"/>
          <w:lang w:val="en-US"/>
        </w:rPr>
      </w:pPr>
      <w:r>
        <w:rPr>
          <w:rStyle w:val="IntenseEmphasis"/>
          <w:rFonts w:ascii="Arial Narrow" w:hAnsi="Arial Narrow"/>
          <w:sz w:val="22"/>
          <w:szCs w:val="22"/>
        </w:rPr>
        <w:t xml:space="preserve">august </w:t>
      </w:r>
      <w:r w:rsidR="00FE5E9C" w:rsidRPr="00C9364A">
        <w:rPr>
          <w:rStyle w:val="IntenseEmphasis"/>
          <w:rFonts w:ascii="Arial Narrow" w:hAnsi="Arial Narrow"/>
          <w:sz w:val="22"/>
          <w:szCs w:val="22"/>
        </w:rPr>
        <w:t>2022</w:t>
      </w:r>
    </w:p>
    <w:p w14:paraId="4CD09F1E" w14:textId="7B092411" w:rsidR="0097718C" w:rsidRPr="00C9364A" w:rsidRDefault="0097718C" w:rsidP="00237D20">
      <w:pPr>
        <w:jc w:val="center"/>
        <w:rPr>
          <w:b/>
          <w:sz w:val="34"/>
          <w:szCs w:val="34"/>
          <w:lang w:val="en-US"/>
        </w:rPr>
      </w:pPr>
    </w:p>
    <w:p w14:paraId="28B9AC5E" w14:textId="77777777" w:rsidR="0097718C" w:rsidRPr="00C9364A" w:rsidRDefault="0097718C" w:rsidP="00237D20">
      <w:pPr>
        <w:jc w:val="center"/>
        <w:rPr>
          <w:rFonts w:ascii="Arial Narrow" w:hAnsi="Arial Narrow"/>
          <w:b/>
          <w:sz w:val="34"/>
          <w:szCs w:val="34"/>
          <w:lang w:val="en-US"/>
        </w:rPr>
      </w:pPr>
    </w:p>
    <w:p w14:paraId="4FCFEF5A" w14:textId="27F79EAE" w:rsidR="00237D20" w:rsidRPr="00C9364A" w:rsidRDefault="00A37C21" w:rsidP="00E94095">
      <w:pPr>
        <w:jc w:val="center"/>
        <w:rPr>
          <w:rStyle w:val="IntenseEmphasis"/>
          <w:rFonts w:ascii="Arial Narrow" w:hAnsi="Arial Narrow"/>
          <w:sz w:val="22"/>
          <w:szCs w:val="22"/>
        </w:rPr>
      </w:pPr>
      <w:r w:rsidRPr="00C9364A">
        <w:rPr>
          <w:rStyle w:val="IntenseEmphasis"/>
          <w:rFonts w:ascii="Arial Narrow" w:hAnsi="Arial Narrow"/>
          <w:sz w:val="22"/>
          <w:szCs w:val="22"/>
        </w:rPr>
        <w:t xml:space="preserve">The Hon. Julie Dodds-Streeton </w:t>
      </w:r>
      <w:r w:rsidR="003553CD">
        <w:rPr>
          <w:rStyle w:val="IntenseEmphasis"/>
          <w:rFonts w:ascii="Arial Narrow" w:hAnsi="Arial Narrow"/>
          <w:sz w:val="22"/>
          <w:szCs w:val="22"/>
        </w:rPr>
        <w:t>K</w:t>
      </w:r>
      <w:r w:rsidRPr="00C9364A">
        <w:rPr>
          <w:rStyle w:val="IntenseEmphasis"/>
          <w:rFonts w:ascii="Arial Narrow" w:hAnsi="Arial Narrow"/>
          <w:sz w:val="22"/>
          <w:szCs w:val="22"/>
        </w:rPr>
        <w:t>C</w:t>
      </w:r>
    </w:p>
    <w:p w14:paraId="54535C38" w14:textId="6D4C115E" w:rsidR="00A37C21" w:rsidRPr="00C9364A" w:rsidRDefault="00A37C21" w:rsidP="00E94095">
      <w:pPr>
        <w:jc w:val="center"/>
        <w:rPr>
          <w:rStyle w:val="Emphasis"/>
          <w:rFonts w:ascii="Arial Narrow" w:hAnsi="Arial Narrow"/>
          <w:sz w:val="22"/>
          <w:szCs w:val="22"/>
        </w:rPr>
      </w:pPr>
      <w:r w:rsidRPr="00C9364A">
        <w:rPr>
          <w:rStyle w:val="IntenseEmphasis"/>
          <w:rFonts w:ascii="Arial Narrow" w:hAnsi="Arial Narrow"/>
          <w:sz w:val="22"/>
          <w:szCs w:val="22"/>
        </w:rPr>
        <w:t xml:space="preserve">Jack O’Connor, </w:t>
      </w:r>
      <w:r w:rsidR="00966850">
        <w:rPr>
          <w:rStyle w:val="IntenseEmphasis"/>
          <w:rFonts w:ascii="Arial Narrow" w:hAnsi="Arial Narrow"/>
          <w:sz w:val="22"/>
          <w:szCs w:val="22"/>
        </w:rPr>
        <w:t>Victorian bar</w:t>
      </w:r>
    </w:p>
    <w:p w14:paraId="58B3A58A" w14:textId="77777777" w:rsidR="00DD0D64" w:rsidRDefault="00DD0D64" w:rsidP="00FD1622">
      <w:pPr>
        <w:jc w:val="center"/>
        <w:rPr>
          <w:rStyle w:val="IntenseEmphasis"/>
          <w:rFonts w:ascii="Arial Narrow" w:hAnsi="Arial Narrow"/>
        </w:rPr>
      </w:pPr>
    </w:p>
    <w:p w14:paraId="4BE61050" w14:textId="13810BF0" w:rsidR="00DD0D64" w:rsidRPr="00FE5E9C" w:rsidRDefault="00DD0D64" w:rsidP="00FD1622">
      <w:pPr>
        <w:jc w:val="center"/>
        <w:rPr>
          <w:rStyle w:val="IntenseEmphasis"/>
          <w:rFonts w:ascii="Arial Narrow" w:hAnsi="Arial Narrow"/>
        </w:rPr>
        <w:sectPr w:rsidR="00DD0D64" w:rsidRPr="00FE5E9C" w:rsidSect="009A519D">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567" w:footer="567" w:gutter="0"/>
          <w:pgBorders w:offsetFrom="page">
            <w:top w:val="single" w:sz="24" w:space="24" w:color="1E5E9F" w:themeColor="accent3" w:themeShade="BF"/>
            <w:left w:val="single" w:sz="24" w:space="24" w:color="1E5E9F" w:themeColor="accent3" w:themeShade="BF"/>
            <w:bottom w:val="single" w:sz="24" w:space="24" w:color="1E5E9F" w:themeColor="accent3" w:themeShade="BF"/>
            <w:right w:val="single" w:sz="24" w:space="24" w:color="1E5E9F" w:themeColor="accent3" w:themeShade="BF"/>
          </w:pgBorders>
          <w:cols w:space="708"/>
          <w:titlePg/>
          <w:docGrid w:linePitch="360"/>
        </w:sectPr>
      </w:pPr>
    </w:p>
    <w:p w14:paraId="36ADF6A7" w14:textId="13129884" w:rsidR="007B1B71" w:rsidRPr="00BC2467" w:rsidRDefault="004037F0" w:rsidP="00B50787">
      <w:pPr>
        <w:pStyle w:val="Subtitle"/>
        <w:rPr>
          <w:rStyle w:val="Emphasis"/>
          <w:sz w:val="23"/>
          <w:szCs w:val="23"/>
        </w:rPr>
      </w:pPr>
      <w:r w:rsidRPr="00BC2467">
        <w:rPr>
          <w:rStyle w:val="Emphasis"/>
          <w:sz w:val="23"/>
          <w:szCs w:val="23"/>
        </w:rPr>
        <w:lastRenderedPageBreak/>
        <w:t>COURT SERVICES VICTORIA</w:t>
      </w:r>
    </w:p>
    <w:p w14:paraId="3536A37F" w14:textId="760BF78E" w:rsidR="004037F0" w:rsidRPr="00BC2467" w:rsidRDefault="00E679FE" w:rsidP="008F7833">
      <w:pPr>
        <w:pStyle w:val="Subtitle"/>
        <w:spacing w:before="240"/>
        <w:rPr>
          <w:rStyle w:val="Emphasis"/>
          <w:sz w:val="23"/>
          <w:szCs w:val="23"/>
        </w:rPr>
      </w:pPr>
      <w:r w:rsidRPr="00BC2467">
        <w:rPr>
          <w:rStyle w:val="Emphasis"/>
          <w:sz w:val="23"/>
          <w:szCs w:val="23"/>
        </w:rPr>
        <w:t>Report pursuant to Recommendation 4</w:t>
      </w:r>
      <w:r w:rsidRPr="00BC2467">
        <w:rPr>
          <w:rStyle w:val="Emphasis"/>
          <w:sz w:val="23"/>
          <w:szCs w:val="23"/>
        </w:rPr>
        <w:br/>
        <w:t>of the Szoke Report on</w:t>
      </w:r>
      <w:r w:rsidR="001C33E4">
        <w:rPr>
          <w:rStyle w:val="Emphasis"/>
          <w:sz w:val="23"/>
          <w:szCs w:val="23"/>
        </w:rPr>
        <w:t xml:space="preserve"> preventing and addressing</w:t>
      </w:r>
      <w:r w:rsidR="001C33E4">
        <w:rPr>
          <w:rStyle w:val="Emphasis"/>
          <w:sz w:val="23"/>
          <w:szCs w:val="23"/>
        </w:rPr>
        <w:br/>
      </w:r>
      <w:r w:rsidRPr="00BC2467">
        <w:rPr>
          <w:rStyle w:val="Emphasis"/>
          <w:sz w:val="23"/>
          <w:szCs w:val="23"/>
        </w:rPr>
        <w:t>Sexual Harassment</w:t>
      </w:r>
      <w:r w:rsidR="001C33E4">
        <w:rPr>
          <w:rStyle w:val="Emphasis"/>
          <w:sz w:val="23"/>
          <w:szCs w:val="23"/>
        </w:rPr>
        <w:t xml:space="preserve"> </w:t>
      </w:r>
      <w:r w:rsidR="0057760F">
        <w:rPr>
          <w:rStyle w:val="Emphasis"/>
          <w:sz w:val="23"/>
          <w:szCs w:val="23"/>
        </w:rPr>
        <w:t>in Victorian Courts</w:t>
      </w:r>
    </w:p>
    <w:p w14:paraId="1CCFB29E" w14:textId="20763636" w:rsidR="005E29F7" w:rsidRDefault="00E679FE" w:rsidP="008F7833">
      <w:pPr>
        <w:pStyle w:val="Subtitle"/>
        <w:spacing w:before="240"/>
        <w:rPr>
          <w:rStyle w:val="Emphasis"/>
          <w:sz w:val="23"/>
          <w:szCs w:val="23"/>
        </w:rPr>
      </w:pPr>
      <w:r w:rsidRPr="00BC2467">
        <w:rPr>
          <w:rStyle w:val="Emphasis"/>
          <w:sz w:val="23"/>
          <w:szCs w:val="23"/>
        </w:rPr>
        <w:t>Review of Recruitment and Working Arrangements</w:t>
      </w:r>
      <w:r w:rsidR="00A32042">
        <w:rPr>
          <w:rStyle w:val="Emphasis"/>
          <w:sz w:val="23"/>
          <w:szCs w:val="23"/>
        </w:rPr>
        <w:t xml:space="preserve"> </w:t>
      </w:r>
      <w:r w:rsidRPr="00BC2467">
        <w:rPr>
          <w:rStyle w:val="Emphasis"/>
          <w:sz w:val="23"/>
          <w:szCs w:val="23"/>
        </w:rPr>
        <w:t>of Judicial Staff</w:t>
      </w:r>
      <w:r w:rsidR="00A32042">
        <w:rPr>
          <w:rStyle w:val="Emphasis"/>
          <w:sz w:val="23"/>
          <w:szCs w:val="23"/>
        </w:rPr>
        <w:br/>
      </w:r>
      <w:r w:rsidR="001777F7">
        <w:rPr>
          <w:rStyle w:val="Emphasis"/>
          <w:sz w:val="23"/>
          <w:szCs w:val="23"/>
        </w:rPr>
        <w:t xml:space="preserve">WHO WORK IN A PRIMARY RELATIONSHIP </w:t>
      </w:r>
      <w:r w:rsidR="00A32042">
        <w:rPr>
          <w:rStyle w:val="Emphasis"/>
          <w:sz w:val="23"/>
          <w:szCs w:val="23"/>
        </w:rPr>
        <w:t>WITH JUDICIAL OFFICERS</w:t>
      </w:r>
      <w:r w:rsidR="00A32042">
        <w:rPr>
          <w:rStyle w:val="Emphasis"/>
          <w:sz w:val="23"/>
          <w:szCs w:val="23"/>
        </w:rPr>
        <w:br/>
      </w:r>
      <w:r w:rsidRPr="00BC2467">
        <w:rPr>
          <w:rStyle w:val="Emphasis"/>
          <w:sz w:val="23"/>
          <w:szCs w:val="23"/>
        </w:rPr>
        <w:t>in Victorian Courts and VCAT</w:t>
      </w:r>
    </w:p>
    <w:sdt>
      <w:sdtPr>
        <w:rPr>
          <w:rFonts w:ascii="Times New Roman" w:eastAsiaTheme="minorHAnsi" w:hAnsi="Times New Roman" w:cs="Times New Roman"/>
          <w:b/>
          <w:caps w:val="0"/>
          <w:color w:val="auto"/>
          <w:spacing w:val="0"/>
          <w:sz w:val="22"/>
          <w:szCs w:val="20"/>
        </w:rPr>
        <w:id w:val="-1062874132"/>
        <w:docPartObj>
          <w:docPartGallery w:val="Table of Contents"/>
          <w:docPartUnique/>
        </w:docPartObj>
      </w:sdtPr>
      <w:sdtEndPr>
        <w:rPr>
          <w:rFonts w:asciiTheme="minorHAnsi" w:eastAsiaTheme="minorEastAsia" w:hAnsiTheme="minorHAnsi" w:cstheme="minorBidi"/>
          <w:bCs/>
          <w:caps/>
          <w:noProof/>
          <w:sz w:val="20"/>
        </w:rPr>
      </w:sdtEndPr>
      <w:sdtContent>
        <w:p w14:paraId="308EBE4A" w14:textId="2983E480" w:rsidR="004037F0" w:rsidRPr="00E10BCB" w:rsidRDefault="004037F0" w:rsidP="001C3CB2">
          <w:pPr>
            <w:pStyle w:val="TOCHeading"/>
            <w:spacing w:before="0" w:after="0"/>
            <w:rPr>
              <w:sz w:val="10"/>
              <w:szCs w:val="10"/>
            </w:rPr>
          </w:pPr>
        </w:p>
        <w:p w14:paraId="3919786D" w14:textId="1D24250F" w:rsidR="008C6052" w:rsidRDefault="000D7D69">
          <w:pPr>
            <w:pStyle w:val="TOC1"/>
            <w:rPr>
              <w:b w:val="0"/>
              <w:noProof/>
              <w:sz w:val="22"/>
              <w:szCs w:val="22"/>
              <w:lang w:eastAsia="en-AU"/>
            </w:rPr>
          </w:pPr>
          <w:r>
            <w:rPr>
              <w:bCs/>
              <w:caps/>
              <w:noProof/>
            </w:rPr>
            <w:fldChar w:fldCharType="begin"/>
          </w:r>
          <w:r>
            <w:rPr>
              <w:bCs/>
              <w:noProof/>
            </w:rPr>
            <w:instrText xml:space="preserve"> TOC \o "1-2" \h \z \t "Heading 3,3,Title,4" </w:instrText>
          </w:r>
          <w:r>
            <w:rPr>
              <w:bCs/>
              <w:caps/>
              <w:noProof/>
            </w:rPr>
            <w:fldChar w:fldCharType="separate"/>
          </w:r>
          <w:hyperlink w:anchor="_Toc112606864" w:history="1">
            <w:r w:rsidR="008C6052" w:rsidRPr="003E713A">
              <w:rPr>
                <w:rStyle w:val="Hyperlink"/>
                <w:noProof/>
              </w:rPr>
              <w:t>Introduction</w:t>
            </w:r>
            <w:r w:rsidR="008C6052">
              <w:rPr>
                <w:noProof/>
                <w:webHidden/>
              </w:rPr>
              <w:tab/>
            </w:r>
            <w:r w:rsidR="008C6052">
              <w:rPr>
                <w:noProof/>
                <w:webHidden/>
              </w:rPr>
              <w:fldChar w:fldCharType="begin"/>
            </w:r>
            <w:r w:rsidR="008C6052">
              <w:rPr>
                <w:noProof/>
                <w:webHidden/>
              </w:rPr>
              <w:instrText xml:space="preserve"> PAGEREF _Toc112606864 \h </w:instrText>
            </w:r>
            <w:r w:rsidR="008C6052">
              <w:rPr>
                <w:noProof/>
                <w:webHidden/>
              </w:rPr>
            </w:r>
            <w:r w:rsidR="008C6052">
              <w:rPr>
                <w:noProof/>
                <w:webHidden/>
              </w:rPr>
              <w:fldChar w:fldCharType="separate"/>
            </w:r>
            <w:r w:rsidR="00CF093C">
              <w:rPr>
                <w:noProof/>
                <w:webHidden/>
              </w:rPr>
              <w:t>1</w:t>
            </w:r>
            <w:r w:rsidR="008C6052">
              <w:rPr>
                <w:noProof/>
                <w:webHidden/>
              </w:rPr>
              <w:fldChar w:fldCharType="end"/>
            </w:r>
          </w:hyperlink>
        </w:p>
        <w:p w14:paraId="212DB72E" w14:textId="46175F9B" w:rsidR="008C6052" w:rsidRDefault="00921EC5">
          <w:pPr>
            <w:pStyle w:val="TOC2"/>
            <w:rPr>
              <w:noProof/>
              <w:sz w:val="22"/>
              <w:szCs w:val="22"/>
              <w:lang w:eastAsia="en-AU"/>
            </w:rPr>
          </w:pPr>
          <w:hyperlink w:anchor="_Toc112606865" w:history="1">
            <w:r w:rsidR="008C6052" w:rsidRPr="003E713A">
              <w:rPr>
                <w:rStyle w:val="Hyperlink"/>
                <w:noProof/>
              </w:rPr>
              <w:t>Genesis of this review</w:t>
            </w:r>
            <w:r w:rsidR="008C6052">
              <w:rPr>
                <w:noProof/>
                <w:webHidden/>
              </w:rPr>
              <w:tab/>
            </w:r>
            <w:r w:rsidR="008C6052">
              <w:rPr>
                <w:noProof/>
                <w:webHidden/>
              </w:rPr>
              <w:fldChar w:fldCharType="begin"/>
            </w:r>
            <w:r w:rsidR="008C6052">
              <w:rPr>
                <w:noProof/>
                <w:webHidden/>
              </w:rPr>
              <w:instrText xml:space="preserve"> PAGEREF _Toc112606865 \h </w:instrText>
            </w:r>
            <w:r w:rsidR="008C6052">
              <w:rPr>
                <w:noProof/>
                <w:webHidden/>
              </w:rPr>
            </w:r>
            <w:r w:rsidR="008C6052">
              <w:rPr>
                <w:noProof/>
                <w:webHidden/>
              </w:rPr>
              <w:fldChar w:fldCharType="separate"/>
            </w:r>
            <w:r w:rsidR="00CF093C">
              <w:rPr>
                <w:noProof/>
                <w:webHidden/>
              </w:rPr>
              <w:t>1</w:t>
            </w:r>
            <w:r w:rsidR="008C6052">
              <w:rPr>
                <w:noProof/>
                <w:webHidden/>
              </w:rPr>
              <w:fldChar w:fldCharType="end"/>
            </w:r>
          </w:hyperlink>
        </w:p>
        <w:p w14:paraId="71D9216C" w14:textId="7B662CB3" w:rsidR="008C6052" w:rsidRDefault="00921EC5">
          <w:pPr>
            <w:pStyle w:val="TOC2"/>
            <w:rPr>
              <w:noProof/>
              <w:sz w:val="22"/>
              <w:szCs w:val="22"/>
              <w:lang w:eastAsia="en-AU"/>
            </w:rPr>
          </w:pPr>
          <w:hyperlink w:anchor="_Toc112606866" w:history="1">
            <w:r w:rsidR="008C6052" w:rsidRPr="003E713A">
              <w:rPr>
                <w:rStyle w:val="Hyperlink"/>
                <w:noProof/>
              </w:rPr>
              <w:t>Recommendation 4 Review</w:t>
            </w:r>
            <w:r w:rsidR="008C6052">
              <w:rPr>
                <w:noProof/>
                <w:webHidden/>
              </w:rPr>
              <w:tab/>
            </w:r>
            <w:r w:rsidR="008C6052">
              <w:rPr>
                <w:noProof/>
                <w:webHidden/>
              </w:rPr>
              <w:fldChar w:fldCharType="begin"/>
            </w:r>
            <w:r w:rsidR="008C6052">
              <w:rPr>
                <w:noProof/>
                <w:webHidden/>
              </w:rPr>
              <w:instrText xml:space="preserve"> PAGEREF _Toc112606866 \h </w:instrText>
            </w:r>
            <w:r w:rsidR="008C6052">
              <w:rPr>
                <w:noProof/>
                <w:webHidden/>
              </w:rPr>
            </w:r>
            <w:r w:rsidR="008C6052">
              <w:rPr>
                <w:noProof/>
                <w:webHidden/>
              </w:rPr>
              <w:fldChar w:fldCharType="separate"/>
            </w:r>
            <w:r w:rsidR="00CF093C">
              <w:rPr>
                <w:noProof/>
                <w:webHidden/>
              </w:rPr>
              <w:t>3</w:t>
            </w:r>
            <w:r w:rsidR="008C6052">
              <w:rPr>
                <w:noProof/>
                <w:webHidden/>
              </w:rPr>
              <w:fldChar w:fldCharType="end"/>
            </w:r>
          </w:hyperlink>
        </w:p>
        <w:p w14:paraId="31E4118A" w14:textId="0674691E" w:rsidR="008C6052" w:rsidRDefault="00921EC5">
          <w:pPr>
            <w:pStyle w:val="TOC1"/>
            <w:rPr>
              <w:b w:val="0"/>
              <w:noProof/>
              <w:sz w:val="22"/>
              <w:szCs w:val="22"/>
              <w:lang w:eastAsia="en-AU"/>
            </w:rPr>
          </w:pPr>
          <w:hyperlink w:anchor="_Toc112606867" w:history="1">
            <w:r w:rsidR="008C6052" w:rsidRPr="003E713A">
              <w:rPr>
                <w:rStyle w:val="Hyperlink"/>
                <w:noProof/>
              </w:rPr>
              <w:t>Questions and Challenges</w:t>
            </w:r>
            <w:r w:rsidR="008C6052">
              <w:rPr>
                <w:noProof/>
                <w:webHidden/>
              </w:rPr>
              <w:tab/>
            </w:r>
            <w:r w:rsidR="008C6052">
              <w:rPr>
                <w:noProof/>
                <w:webHidden/>
              </w:rPr>
              <w:fldChar w:fldCharType="begin"/>
            </w:r>
            <w:r w:rsidR="008C6052">
              <w:rPr>
                <w:noProof/>
                <w:webHidden/>
              </w:rPr>
              <w:instrText xml:space="preserve"> PAGEREF _Toc112606867 \h </w:instrText>
            </w:r>
            <w:r w:rsidR="008C6052">
              <w:rPr>
                <w:noProof/>
                <w:webHidden/>
              </w:rPr>
            </w:r>
            <w:r w:rsidR="008C6052">
              <w:rPr>
                <w:noProof/>
                <w:webHidden/>
              </w:rPr>
              <w:fldChar w:fldCharType="separate"/>
            </w:r>
            <w:r w:rsidR="00CF093C">
              <w:rPr>
                <w:noProof/>
                <w:webHidden/>
              </w:rPr>
              <w:t>3</w:t>
            </w:r>
            <w:r w:rsidR="008C6052">
              <w:rPr>
                <w:noProof/>
                <w:webHidden/>
              </w:rPr>
              <w:fldChar w:fldCharType="end"/>
            </w:r>
          </w:hyperlink>
        </w:p>
        <w:p w14:paraId="1581A4CA" w14:textId="5730755E" w:rsidR="008C6052" w:rsidRDefault="00921EC5">
          <w:pPr>
            <w:pStyle w:val="TOC1"/>
            <w:rPr>
              <w:b w:val="0"/>
              <w:noProof/>
              <w:sz w:val="22"/>
              <w:szCs w:val="22"/>
              <w:lang w:eastAsia="en-AU"/>
            </w:rPr>
          </w:pPr>
          <w:hyperlink w:anchor="_Toc112606868" w:history="1">
            <w:r w:rsidR="008C6052" w:rsidRPr="003E713A">
              <w:rPr>
                <w:rStyle w:val="Hyperlink"/>
                <w:noProof/>
              </w:rPr>
              <w:t>Methodology</w:t>
            </w:r>
            <w:r w:rsidR="008C6052">
              <w:rPr>
                <w:noProof/>
                <w:webHidden/>
              </w:rPr>
              <w:tab/>
            </w:r>
            <w:r w:rsidR="008C6052">
              <w:rPr>
                <w:noProof/>
                <w:webHidden/>
              </w:rPr>
              <w:fldChar w:fldCharType="begin"/>
            </w:r>
            <w:r w:rsidR="008C6052">
              <w:rPr>
                <w:noProof/>
                <w:webHidden/>
              </w:rPr>
              <w:instrText xml:space="preserve"> PAGEREF _Toc112606868 \h </w:instrText>
            </w:r>
            <w:r w:rsidR="008C6052">
              <w:rPr>
                <w:noProof/>
                <w:webHidden/>
              </w:rPr>
            </w:r>
            <w:r w:rsidR="008C6052">
              <w:rPr>
                <w:noProof/>
                <w:webHidden/>
              </w:rPr>
              <w:fldChar w:fldCharType="separate"/>
            </w:r>
            <w:r w:rsidR="00CF093C">
              <w:rPr>
                <w:noProof/>
                <w:webHidden/>
              </w:rPr>
              <w:t>9</w:t>
            </w:r>
            <w:r w:rsidR="008C6052">
              <w:rPr>
                <w:noProof/>
                <w:webHidden/>
              </w:rPr>
              <w:fldChar w:fldCharType="end"/>
            </w:r>
          </w:hyperlink>
        </w:p>
        <w:p w14:paraId="299BA211" w14:textId="78DCD759" w:rsidR="008C6052" w:rsidRDefault="00921EC5">
          <w:pPr>
            <w:pStyle w:val="TOC1"/>
            <w:rPr>
              <w:b w:val="0"/>
              <w:noProof/>
              <w:sz w:val="22"/>
              <w:szCs w:val="22"/>
              <w:lang w:eastAsia="en-AU"/>
            </w:rPr>
          </w:pPr>
          <w:hyperlink w:anchor="_Toc112606869" w:history="1">
            <w:r w:rsidR="008C6052" w:rsidRPr="003E713A">
              <w:rPr>
                <w:rStyle w:val="Hyperlink"/>
                <w:noProof/>
              </w:rPr>
              <w:t>Background</w:t>
            </w:r>
            <w:r w:rsidR="008C6052">
              <w:rPr>
                <w:noProof/>
                <w:webHidden/>
              </w:rPr>
              <w:tab/>
            </w:r>
            <w:r w:rsidR="008C6052">
              <w:rPr>
                <w:noProof/>
                <w:webHidden/>
              </w:rPr>
              <w:fldChar w:fldCharType="begin"/>
            </w:r>
            <w:r w:rsidR="008C6052">
              <w:rPr>
                <w:noProof/>
                <w:webHidden/>
              </w:rPr>
              <w:instrText xml:space="preserve"> PAGEREF _Toc112606869 \h </w:instrText>
            </w:r>
            <w:r w:rsidR="008C6052">
              <w:rPr>
                <w:noProof/>
                <w:webHidden/>
              </w:rPr>
            </w:r>
            <w:r w:rsidR="008C6052">
              <w:rPr>
                <w:noProof/>
                <w:webHidden/>
              </w:rPr>
              <w:fldChar w:fldCharType="separate"/>
            </w:r>
            <w:r w:rsidR="00CF093C">
              <w:rPr>
                <w:noProof/>
                <w:webHidden/>
              </w:rPr>
              <w:t>11</w:t>
            </w:r>
            <w:r w:rsidR="008C6052">
              <w:rPr>
                <w:noProof/>
                <w:webHidden/>
              </w:rPr>
              <w:fldChar w:fldCharType="end"/>
            </w:r>
          </w:hyperlink>
        </w:p>
        <w:p w14:paraId="52A520FE" w14:textId="343D7609" w:rsidR="008C6052" w:rsidRDefault="00921EC5">
          <w:pPr>
            <w:pStyle w:val="TOC1"/>
            <w:rPr>
              <w:b w:val="0"/>
              <w:noProof/>
              <w:sz w:val="22"/>
              <w:szCs w:val="22"/>
              <w:lang w:eastAsia="en-AU"/>
            </w:rPr>
          </w:pPr>
          <w:hyperlink w:anchor="_Toc112606870" w:history="1">
            <w:r w:rsidR="008C6052" w:rsidRPr="003E713A">
              <w:rPr>
                <w:rStyle w:val="Hyperlink"/>
                <w:noProof/>
              </w:rPr>
              <w:t>Legal Framework - Responsibilities of CSV</w:t>
            </w:r>
            <w:r w:rsidR="008C6052">
              <w:rPr>
                <w:noProof/>
                <w:webHidden/>
              </w:rPr>
              <w:tab/>
            </w:r>
            <w:r w:rsidR="008C6052">
              <w:rPr>
                <w:noProof/>
                <w:webHidden/>
              </w:rPr>
              <w:fldChar w:fldCharType="begin"/>
            </w:r>
            <w:r w:rsidR="008C6052">
              <w:rPr>
                <w:noProof/>
                <w:webHidden/>
              </w:rPr>
              <w:instrText xml:space="preserve"> PAGEREF _Toc112606870 \h </w:instrText>
            </w:r>
            <w:r w:rsidR="008C6052">
              <w:rPr>
                <w:noProof/>
                <w:webHidden/>
              </w:rPr>
            </w:r>
            <w:r w:rsidR="008C6052">
              <w:rPr>
                <w:noProof/>
                <w:webHidden/>
              </w:rPr>
              <w:fldChar w:fldCharType="separate"/>
            </w:r>
            <w:r w:rsidR="00CF093C">
              <w:rPr>
                <w:noProof/>
                <w:webHidden/>
              </w:rPr>
              <w:t>13</w:t>
            </w:r>
            <w:r w:rsidR="008C6052">
              <w:rPr>
                <w:noProof/>
                <w:webHidden/>
              </w:rPr>
              <w:fldChar w:fldCharType="end"/>
            </w:r>
          </w:hyperlink>
        </w:p>
        <w:p w14:paraId="23EFA0AB" w14:textId="79844CD5" w:rsidR="008C6052" w:rsidRDefault="00921EC5">
          <w:pPr>
            <w:pStyle w:val="TOC2"/>
            <w:rPr>
              <w:noProof/>
              <w:sz w:val="22"/>
              <w:szCs w:val="22"/>
              <w:lang w:eastAsia="en-AU"/>
            </w:rPr>
          </w:pPr>
          <w:hyperlink w:anchor="_Toc112606871" w:history="1">
            <w:r w:rsidR="008C6052" w:rsidRPr="003E713A">
              <w:rPr>
                <w:rStyle w:val="Hyperlink"/>
                <w:i/>
                <w:iCs/>
                <w:noProof/>
              </w:rPr>
              <w:t>Occupational Health and Safety Act 2004</w:t>
            </w:r>
            <w:r w:rsidR="008C6052" w:rsidRPr="003E713A">
              <w:rPr>
                <w:rStyle w:val="Hyperlink"/>
                <w:noProof/>
              </w:rPr>
              <w:t xml:space="preserve"> (Vic)</w:t>
            </w:r>
            <w:r w:rsidR="008C6052">
              <w:rPr>
                <w:noProof/>
                <w:webHidden/>
              </w:rPr>
              <w:tab/>
            </w:r>
            <w:r w:rsidR="008C6052">
              <w:rPr>
                <w:noProof/>
                <w:webHidden/>
              </w:rPr>
              <w:fldChar w:fldCharType="begin"/>
            </w:r>
            <w:r w:rsidR="008C6052">
              <w:rPr>
                <w:noProof/>
                <w:webHidden/>
              </w:rPr>
              <w:instrText xml:space="preserve"> PAGEREF _Toc112606871 \h </w:instrText>
            </w:r>
            <w:r w:rsidR="008C6052">
              <w:rPr>
                <w:noProof/>
                <w:webHidden/>
              </w:rPr>
            </w:r>
            <w:r w:rsidR="008C6052">
              <w:rPr>
                <w:noProof/>
                <w:webHidden/>
              </w:rPr>
              <w:fldChar w:fldCharType="separate"/>
            </w:r>
            <w:r w:rsidR="00CF093C">
              <w:rPr>
                <w:noProof/>
                <w:webHidden/>
              </w:rPr>
              <w:t>13</w:t>
            </w:r>
            <w:r w:rsidR="008C6052">
              <w:rPr>
                <w:noProof/>
                <w:webHidden/>
              </w:rPr>
              <w:fldChar w:fldCharType="end"/>
            </w:r>
          </w:hyperlink>
        </w:p>
        <w:p w14:paraId="3AF38548" w14:textId="6C5B276E" w:rsidR="008C6052" w:rsidRDefault="00921EC5">
          <w:pPr>
            <w:pStyle w:val="TOC2"/>
            <w:rPr>
              <w:noProof/>
              <w:sz w:val="22"/>
              <w:szCs w:val="22"/>
              <w:lang w:eastAsia="en-AU"/>
            </w:rPr>
          </w:pPr>
          <w:hyperlink w:anchor="_Toc112606872" w:history="1">
            <w:r w:rsidR="008C6052" w:rsidRPr="003E713A">
              <w:rPr>
                <w:rStyle w:val="Hyperlink"/>
                <w:i/>
                <w:iCs/>
                <w:noProof/>
              </w:rPr>
              <w:t>Equal Opportunity Act 2010</w:t>
            </w:r>
            <w:r w:rsidR="008C6052" w:rsidRPr="003E713A">
              <w:rPr>
                <w:rStyle w:val="Hyperlink"/>
                <w:noProof/>
              </w:rPr>
              <w:t xml:space="preserve"> (Vic)</w:t>
            </w:r>
            <w:r w:rsidR="008C6052">
              <w:rPr>
                <w:noProof/>
                <w:webHidden/>
              </w:rPr>
              <w:tab/>
            </w:r>
            <w:r w:rsidR="008C6052">
              <w:rPr>
                <w:noProof/>
                <w:webHidden/>
              </w:rPr>
              <w:fldChar w:fldCharType="begin"/>
            </w:r>
            <w:r w:rsidR="008C6052">
              <w:rPr>
                <w:noProof/>
                <w:webHidden/>
              </w:rPr>
              <w:instrText xml:space="preserve"> PAGEREF _Toc112606872 \h </w:instrText>
            </w:r>
            <w:r w:rsidR="008C6052">
              <w:rPr>
                <w:noProof/>
                <w:webHidden/>
              </w:rPr>
            </w:r>
            <w:r w:rsidR="008C6052">
              <w:rPr>
                <w:noProof/>
                <w:webHidden/>
              </w:rPr>
              <w:fldChar w:fldCharType="separate"/>
            </w:r>
            <w:r w:rsidR="00CF093C">
              <w:rPr>
                <w:noProof/>
                <w:webHidden/>
              </w:rPr>
              <w:t>15</w:t>
            </w:r>
            <w:r w:rsidR="008C6052">
              <w:rPr>
                <w:noProof/>
                <w:webHidden/>
              </w:rPr>
              <w:fldChar w:fldCharType="end"/>
            </w:r>
          </w:hyperlink>
        </w:p>
        <w:p w14:paraId="2B4CE7BC" w14:textId="4C54762D" w:rsidR="008C6052" w:rsidRDefault="00921EC5">
          <w:pPr>
            <w:pStyle w:val="TOC2"/>
            <w:rPr>
              <w:noProof/>
              <w:sz w:val="22"/>
              <w:szCs w:val="22"/>
              <w:lang w:eastAsia="en-AU"/>
            </w:rPr>
          </w:pPr>
          <w:hyperlink w:anchor="_Toc112606873" w:history="1">
            <w:r w:rsidR="008C6052" w:rsidRPr="003E713A">
              <w:rPr>
                <w:rStyle w:val="Hyperlink"/>
                <w:noProof/>
              </w:rPr>
              <w:t>Definition of “sexual harassment”</w:t>
            </w:r>
            <w:r w:rsidR="008C6052">
              <w:rPr>
                <w:noProof/>
                <w:webHidden/>
              </w:rPr>
              <w:tab/>
            </w:r>
            <w:r w:rsidR="008C6052">
              <w:rPr>
                <w:noProof/>
                <w:webHidden/>
              </w:rPr>
              <w:fldChar w:fldCharType="begin"/>
            </w:r>
            <w:r w:rsidR="008C6052">
              <w:rPr>
                <w:noProof/>
                <w:webHidden/>
              </w:rPr>
              <w:instrText xml:space="preserve"> PAGEREF _Toc112606873 \h </w:instrText>
            </w:r>
            <w:r w:rsidR="008C6052">
              <w:rPr>
                <w:noProof/>
                <w:webHidden/>
              </w:rPr>
            </w:r>
            <w:r w:rsidR="008C6052">
              <w:rPr>
                <w:noProof/>
                <w:webHidden/>
              </w:rPr>
              <w:fldChar w:fldCharType="separate"/>
            </w:r>
            <w:r w:rsidR="00CF093C">
              <w:rPr>
                <w:noProof/>
                <w:webHidden/>
              </w:rPr>
              <w:t>16</w:t>
            </w:r>
            <w:r w:rsidR="008C6052">
              <w:rPr>
                <w:noProof/>
                <w:webHidden/>
              </w:rPr>
              <w:fldChar w:fldCharType="end"/>
            </w:r>
          </w:hyperlink>
        </w:p>
        <w:p w14:paraId="4062E333" w14:textId="2D8A0AF7" w:rsidR="008C6052" w:rsidRDefault="00921EC5">
          <w:pPr>
            <w:pStyle w:val="TOC2"/>
            <w:rPr>
              <w:noProof/>
              <w:sz w:val="22"/>
              <w:szCs w:val="22"/>
              <w:lang w:eastAsia="en-AU"/>
            </w:rPr>
          </w:pPr>
          <w:hyperlink w:anchor="_Toc112606874" w:history="1">
            <w:r w:rsidR="008C6052" w:rsidRPr="003E713A">
              <w:rPr>
                <w:rStyle w:val="Hyperlink"/>
                <w:noProof/>
              </w:rPr>
              <w:t xml:space="preserve">Other Commonwealth legislation: Recent amendments to the </w:t>
            </w:r>
            <w:r w:rsidR="008C6052" w:rsidRPr="003E713A">
              <w:rPr>
                <w:rStyle w:val="Hyperlink"/>
                <w:i/>
                <w:iCs/>
                <w:noProof/>
              </w:rPr>
              <w:t>Sex Discrimination Act 1984</w:t>
            </w:r>
            <w:r w:rsidR="008C6052" w:rsidRPr="003E713A">
              <w:rPr>
                <w:rStyle w:val="Hyperlink"/>
                <w:noProof/>
              </w:rPr>
              <w:t xml:space="preserve"> (Cth)</w:t>
            </w:r>
            <w:r w:rsidR="008C6052">
              <w:rPr>
                <w:noProof/>
                <w:webHidden/>
              </w:rPr>
              <w:tab/>
            </w:r>
            <w:r w:rsidR="008C6052">
              <w:rPr>
                <w:noProof/>
                <w:webHidden/>
              </w:rPr>
              <w:fldChar w:fldCharType="begin"/>
            </w:r>
            <w:r w:rsidR="008C6052">
              <w:rPr>
                <w:noProof/>
                <w:webHidden/>
              </w:rPr>
              <w:instrText xml:space="preserve"> PAGEREF _Toc112606874 \h </w:instrText>
            </w:r>
            <w:r w:rsidR="008C6052">
              <w:rPr>
                <w:noProof/>
                <w:webHidden/>
              </w:rPr>
            </w:r>
            <w:r w:rsidR="008C6052">
              <w:rPr>
                <w:noProof/>
                <w:webHidden/>
              </w:rPr>
              <w:fldChar w:fldCharType="separate"/>
            </w:r>
            <w:r w:rsidR="00CF093C">
              <w:rPr>
                <w:noProof/>
                <w:webHidden/>
              </w:rPr>
              <w:t>17</w:t>
            </w:r>
            <w:r w:rsidR="008C6052">
              <w:rPr>
                <w:noProof/>
                <w:webHidden/>
              </w:rPr>
              <w:fldChar w:fldCharType="end"/>
            </w:r>
          </w:hyperlink>
        </w:p>
        <w:p w14:paraId="2CB2F571" w14:textId="7F934698" w:rsidR="008C6052" w:rsidRDefault="00921EC5">
          <w:pPr>
            <w:pStyle w:val="TOC2"/>
            <w:rPr>
              <w:noProof/>
              <w:sz w:val="22"/>
              <w:szCs w:val="22"/>
              <w:lang w:eastAsia="en-AU"/>
            </w:rPr>
          </w:pPr>
          <w:hyperlink w:anchor="_Toc112606875" w:history="1">
            <w:r w:rsidR="008C6052" w:rsidRPr="003E713A">
              <w:rPr>
                <w:rStyle w:val="Hyperlink"/>
                <w:noProof/>
              </w:rPr>
              <w:t>Other amendments to Commonwealth law in response to Respect@Work Report</w:t>
            </w:r>
            <w:r w:rsidR="008C6052">
              <w:rPr>
                <w:noProof/>
                <w:webHidden/>
              </w:rPr>
              <w:tab/>
            </w:r>
            <w:r w:rsidR="008C6052">
              <w:rPr>
                <w:noProof/>
                <w:webHidden/>
              </w:rPr>
              <w:fldChar w:fldCharType="begin"/>
            </w:r>
            <w:r w:rsidR="008C6052">
              <w:rPr>
                <w:noProof/>
                <w:webHidden/>
              </w:rPr>
              <w:instrText xml:space="preserve"> PAGEREF _Toc112606875 \h </w:instrText>
            </w:r>
            <w:r w:rsidR="008C6052">
              <w:rPr>
                <w:noProof/>
                <w:webHidden/>
              </w:rPr>
            </w:r>
            <w:r w:rsidR="008C6052">
              <w:rPr>
                <w:noProof/>
                <w:webHidden/>
              </w:rPr>
              <w:fldChar w:fldCharType="separate"/>
            </w:r>
            <w:r w:rsidR="00CF093C">
              <w:rPr>
                <w:noProof/>
                <w:webHidden/>
              </w:rPr>
              <w:t>19</w:t>
            </w:r>
            <w:r w:rsidR="008C6052">
              <w:rPr>
                <w:noProof/>
                <w:webHidden/>
              </w:rPr>
              <w:fldChar w:fldCharType="end"/>
            </w:r>
          </w:hyperlink>
        </w:p>
        <w:p w14:paraId="687EC8B0" w14:textId="63A05CE1" w:rsidR="008C6052" w:rsidRDefault="00921EC5">
          <w:pPr>
            <w:pStyle w:val="TOC1"/>
            <w:rPr>
              <w:b w:val="0"/>
              <w:noProof/>
              <w:sz w:val="22"/>
              <w:szCs w:val="22"/>
              <w:lang w:eastAsia="en-AU"/>
            </w:rPr>
          </w:pPr>
          <w:hyperlink w:anchor="_Toc112606876" w:history="1">
            <w:r w:rsidR="008C6052" w:rsidRPr="003E713A">
              <w:rPr>
                <w:rStyle w:val="Hyperlink"/>
                <w:noProof/>
              </w:rPr>
              <w:t>The Key CSV Staff Roles</w:t>
            </w:r>
            <w:r w:rsidR="008C6052">
              <w:rPr>
                <w:noProof/>
                <w:webHidden/>
              </w:rPr>
              <w:tab/>
            </w:r>
            <w:r w:rsidR="008C6052">
              <w:rPr>
                <w:noProof/>
                <w:webHidden/>
              </w:rPr>
              <w:fldChar w:fldCharType="begin"/>
            </w:r>
            <w:r w:rsidR="008C6052">
              <w:rPr>
                <w:noProof/>
                <w:webHidden/>
              </w:rPr>
              <w:instrText xml:space="preserve"> PAGEREF _Toc112606876 \h </w:instrText>
            </w:r>
            <w:r w:rsidR="008C6052">
              <w:rPr>
                <w:noProof/>
                <w:webHidden/>
              </w:rPr>
            </w:r>
            <w:r w:rsidR="008C6052">
              <w:rPr>
                <w:noProof/>
                <w:webHidden/>
              </w:rPr>
              <w:fldChar w:fldCharType="separate"/>
            </w:r>
            <w:r w:rsidR="00CF093C">
              <w:rPr>
                <w:noProof/>
                <w:webHidden/>
              </w:rPr>
              <w:t>19</w:t>
            </w:r>
            <w:r w:rsidR="008C6052">
              <w:rPr>
                <w:noProof/>
                <w:webHidden/>
              </w:rPr>
              <w:fldChar w:fldCharType="end"/>
            </w:r>
          </w:hyperlink>
        </w:p>
        <w:p w14:paraId="62E60391" w14:textId="285BE66D" w:rsidR="008C6052" w:rsidRDefault="00921EC5">
          <w:pPr>
            <w:pStyle w:val="TOC2"/>
            <w:rPr>
              <w:noProof/>
              <w:sz w:val="22"/>
              <w:szCs w:val="22"/>
              <w:lang w:eastAsia="en-AU"/>
            </w:rPr>
          </w:pPr>
          <w:hyperlink w:anchor="_Toc112606877" w:history="1">
            <w:r w:rsidR="008C6052" w:rsidRPr="003E713A">
              <w:rPr>
                <w:rStyle w:val="Hyperlink"/>
                <w:noProof/>
              </w:rPr>
              <w:t>Judicial Officers</w:t>
            </w:r>
            <w:r w:rsidR="008C6052">
              <w:rPr>
                <w:noProof/>
                <w:webHidden/>
              </w:rPr>
              <w:tab/>
            </w:r>
            <w:r w:rsidR="008C6052">
              <w:rPr>
                <w:noProof/>
                <w:webHidden/>
              </w:rPr>
              <w:fldChar w:fldCharType="begin"/>
            </w:r>
            <w:r w:rsidR="008C6052">
              <w:rPr>
                <w:noProof/>
                <w:webHidden/>
              </w:rPr>
              <w:instrText xml:space="preserve"> PAGEREF _Toc112606877 \h </w:instrText>
            </w:r>
            <w:r w:rsidR="008C6052">
              <w:rPr>
                <w:noProof/>
                <w:webHidden/>
              </w:rPr>
            </w:r>
            <w:r w:rsidR="008C6052">
              <w:rPr>
                <w:noProof/>
                <w:webHidden/>
              </w:rPr>
              <w:fldChar w:fldCharType="separate"/>
            </w:r>
            <w:r w:rsidR="00CF093C">
              <w:rPr>
                <w:noProof/>
                <w:webHidden/>
              </w:rPr>
              <w:t>20</w:t>
            </w:r>
            <w:r w:rsidR="008C6052">
              <w:rPr>
                <w:noProof/>
                <w:webHidden/>
              </w:rPr>
              <w:fldChar w:fldCharType="end"/>
            </w:r>
          </w:hyperlink>
        </w:p>
        <w:p w14:paraId="2D23C6A4" w14:textId="6B2334D1" w:rsidR="008C6052" w:rsidRDefault="00921EC5">
          <w:pPr>
            <w:pStyle w:val="TOC2"/>
            <w:rPr>
              <w:noProof/>
              <w:sz w:val="22"/>
              <w:szCs w:val="22"/>
              <w:lang w:eastAsia="en-AU"/>
            </w:rPr>
          </w:pPr>
          <w:hyperlink w:anchor="_Toc112606878" w:history="1">
            <w:r w:rsidR="008C6052" w:rsidRPr="003E713A">
              <w:rPr>
                <w:rStyle w:val="Hyperlink"/>
                <w:noProof/>
              </w:rPr>
              <w:t>Judicial demographics and backgrounds</w:t>
            </w:r>
            <w:r w:rsidR="008C6052">
              <w:rPr>
                <w:noProof/>
                <w:webHidden/>
              </w:rPr>
              <w:tab/>
            </w:r>
            <w:r w:rsidR="008C6052">
              <w:rPr>
                <w:noProof/>
                <w:webHidden/>
              </w:rPr>
              <w:fldChar w:fldCharType="begin"/>
            </w:r>
            <w:r w:rsidR="008C6052">
              <w:rPr>
                <w:noProof/>
                <w:webHidden/>
              </w:rPr>
              <w:instrText xml:space="preserve"> PAGEREF _Toc112606878 \h </w:instrText>
            </w:r>
            <w:r w:rsidR="008C6052">
              <w:rPr>
                <w:noProof/>
                <w:webHidden/>
              </w:rPr>
            </w:r>
            <w:r w:rsidR="008C6052">
              <w:rPr>
                <w:noProof/>
                <w:webHidden/>
              </w:rPr>
              <w:fldChar w:fldCharType="separate"/>
            </w:r>
            <w:r w:rsidR="00CF093C">
              <w:rPr>
                <w:noProof/>
                <w:webHidden/>
              </w:rPr>
              <w:t>22</w:t>
            </w:r>
            <w:r w:rsidR="008C6052">
              <w:rPr>
                <w:noProof/>
                <w:webHidden/>
              </w:rPr>
              <w:fldChar w:fldCharType="end"/>
            </w:r>
          </w:hyperlink>
        </w:p>
        <w:p w14:paraId="508849CF" w14:textId="73712390" w:rsidR="008C6052" w:rsidRDefault="00921EC5">
          <w:pPr>
            <w:pStyle w:val="TOC2"/>
            <w:rPr>
              <w:noProof/>
              <w:sz w:val="22"/>
              <w:szCs w:val="22"/>
              <w:lang w:eastAsia="en-AU"/>
            </w:rPr>
          </w:pPr>
          <w:hyperlink w:anchor="_Toc112606879" w:history="1">
            <w:r w:rsidR="008C6052" w:rsidRPr="003E713A">
              <w:rPr>
                <w:rStyle w:val="Hyperlink"/>
                <w:noProof/>
              </w:rPr>
              <w:t>CSV staff in primary relationship with judicial officers</w:t>
            </w:r>
            <w:r w:rsidR="008C6052">
              <w:rPr>
                <w:noProof/>
                <w:webHidden/>
              </w:rPr>
              <w:tab/>
            </w:r>
            <w:r w:rsidR="008C6052">
              <w:rPr>
                <w:noProof/>
                <w:webHidden/>
              </w:rPr>
              <w:fldChar w:fldCharType="begin"/>
            </w:r>
            <w:r w:rsidR="008C6052">
              <w:rPr>
                <w:noProof/>
                <w:webHidden/>
              </w:rPr>
              <w:instrText xml:space="preserve"> PAGEREF _Toc112606879 \h </w:instrText>
            </w:r>
            <w:r w:rsidR="008C6052">
              <w:rPr>
                <w:noProof/>
                <w:webHidden/>
              </w:rPr>
            </w:r>
            <w:r w:rsidR="008C6052">
              <w:rPr>
                <w:noProof/>
                <w:webHidden/>
              </w:rPr>
              <w:fldChar w:fldCharType="separate"/>
            </w:r>
            <w:r w:rsidR="00CF093C">
              <w:rPr>
                <w:noProof/>
                <w:webHidden/>
              </w:rPr>
              <w:t>23</w:t>
            </w:r>
            <w:r w:rsidR="008C6052">
              <w:rPr>
                <w:noProof/>
                <w:webHidden/>
              </w:rPr>
              <w:fldChar w:fldCharType="end"/>
            </w:r>
          </w:hyperlink>
        </w:p>
        <w:p w14:paraId="178467F0" w14:textId="5CD02141" w:rsidR="008C6052" w:rsidRDefault="00921EC5">
          <w:pPr>
            <w:pStyle w:val="TOC1"/>
            <w:rPr>
              <w:b w:val="0"/>
              <w:noProof/>
              <w:sz w:val="22"/>
              <w:szCs w:val="22"/>
              <w:lang w:eastAsia="en-AU"/>
            </w:rPr>
          </w:pPr>
          <w:hyperlink w:anchor="_Toc112606880" w:history="1">
            <w:r w:rsidR="008C6052" w:rsidRPr="003E713A">
              <w:rPr>
                <w:rStyle w:val="Hyperlink"/>
                <w:noProof/>
              </w:rPr>
              <w:t>The Role of Associates and Tipstaves</w:t>
            </w:r>
            <w:r w:rsidR="008C6052">
              <w:rPr>
                <w:noProof/>
                <w:webHidden/>
              </w:rPr>
              <w:tab/>
            </w:r>
            <w:r w:rsidR="008C6052">
              <w:rPr>
                <w:noProof/>
                <w:webHidden/>
              </w:rPr>
              <w:fldChar w:fldCharType="begin"/>
            </w:r>
            <w:r w:rsidR="008C6052">
              <w:rPr>
                <w:noProof/>
                <w:webHidden/>
              </w:rPr>
              <w:instrText xml:space="preserve"> PAGEREF _Toc112606880 \h </w:instrText>
            </w:r>
            <w:r w:rsidR="008C6052">
              <w:rPr>
                <w:noProof/>
                <w:webHidden/>
              </w:rPr>
            </w:r>
            <w:r w:rsidR="008C6052">
              <w:rPr>
                <w:noProof/>
                <w:webHidden/>
              </w:rPr>
              <w:fldChar w:fldCharType="separate"/>
            </w:r>
            <w:r w:rsidR="00CF093C">
              <w:rPr>
                <w:noProof/>
                <w:webHidden/>
              </w:rPr>
              <w:t>24</w:t>
            </w:r>
            <w:r w:rsidR="008C6052">
              <w:rPr>
                <w:noProof/>
                <w:webHidden/>
              </w:rPr>
              <w:fldChar w:fldCharType="end"/>
            </w:r>
          </w:hyperlink>
        </w:p>
        <w:p w14:paraId="4D941E94" w14:textId="735E997E" w:rsidR="008C6052" w:rsidRDefault="00921EC5">
          <w:pPr>
            <w:pStyle w:val="TOC2"/>
            <w:rPr>
              <w:noProof/>
              <w:sz w:val="22"/>
              <w:szCs w:val="22"/>
              <w:lang w:eastAsia="en-AU"/>
            </w:rPr>
          </w:pPr>
          <w:hyperlink w:anchor="_Toc112606881" w:history="1">
            <w:r w:rsidR="008C6052" w:rsidRPr="003E713A">
              <w:rPr>
                <w:rStyle w:val="Hyperlink"/>
                <w:noProof/>
              </w:rPr>
              <w:t>Associates</w:t>
            </w:r>
            <w:r w:rsidR="008C6052">
              <w:rPr>
                <w:noProof/>
                <w:webHidden/>
              </w:rPr>
              <w:tab/>
            </w:r>
            <w:r w:rsidR="008C6052">
              <w:rPr>
                <w:noProof/>
                <w:webHidden/>
              </w:rPr>
              <w:fldChar w:fldCharType="begin"/>
            </w:r>
            <w:r w:rsidR="008C6052">
              <w:rPr>
                <w:noProof/>
                <w:webHidden/>
              </w:rPr>
              <w:instrText xml:space="preserve"> PAGEREF _Toc112606881 \h </w:instrText>
            </w:r>
            <w:r w:rsidR="008C6052">
              <w:rPr>
                <w:noProof/>
                <w:webHidden/>
              </w:rPr>
            </w:r>
            <w:r w:rsidR="008C6052">
              <w:rPr>
                <w:noProof/>
                <w:webHidden/>
              </w:rPr>
              <w:fldChar w:fldCharType="separate"/>
            </w:r>
            <w:r w:rsidR="00CF093C">
              <w:rPr>
                <w:noProof/>
                <w:webHidden/>
              </w:rPr>
              <w:t>24</w:t>
            </w:r>
            <w:r w:rsidR="008C6052">
              <w:rPr>
                <w:noProof/>
                <w:webHidden/>
              </w:rPr>
              <w:fldChar w:fldCharType="end"/>
            </w:r>
          </w:hyperlink>
        </w:p>
        <w:p w14:paraId="4665FD0A" w14:textId="40DEAF3B" w:rsidR="008C6052" w:rsidRDefault="00921EC5">
          <w:pPr>
            <w:pStyle w:val="TOC2"/>
            <w:rPr>
              <w:noProof/>
              <w:sz w:val="22"/>
              <w:szCs w:val="22"/>
              <w:lang w:eastAsia="en-AU"/>
            </w:rPr>
          </w:pPr>
          <w:hyperlink w:anchor="_Toc112606882" w:history="1">
            <w:r w:rsidR="008C6052" w:rsidRPr="003E713A">
              <w:rPr>
                <w:rStyle w:val="Hyperlink"/>
                <w:noProof/>
              </w:rPr>
              <w:t>Role of Tipstaves</w:t>
            </w:r>
            <w:r w:rsidR="008C6052">
              <w:rPr>
                <w:noProof/>
                <w:webHidden/>
              </w:rPr>
              <w:tab/>
            </w:r>
            <w:r w:rsidR="008C6052">
              <w:rPr>
                <w:noProof/>
                <w:webHidden/>
              </w:rPr>
              <w:fldChar w:fldCharType="begin"/>
            </w:r>
            <w:r w:rsidR="008C6052">
              <w:rPr>
                <w:noProof/>
                <w:webHidden/>
              </w:rPr>
              <w:instrText xml:space="preserve"> PAGEREF _Toc112606882 \h </w:instrText>
            </w:r>
            <w:r w:rsidR="008C6052">
              <w:rPr>
                <w:noProof/>
                <w:webHidden/>
              </w:rPr>
            </w:r>
            <w:r w:rsidR="008C6052">
              <w:rPr>
                <w:noProof/>
                <w:webHidden/>
              </w:rPr>
              <w:fldChar w:fldCharType="separate"/>
            </w:r>
            <w:r w:rsidR="00CF093C">
              <w:rPr>
                <w:noProof/>
                <w:webHidden/>
              </w:rPr>
              <w:t>27</w:t>
            </w:r>
            <w:r w:rsidR="008C6052">
              <w:rPr>
                <w:noProof/>
                <w:webHidden/>
              </w:rPr>
              <w:fldChar w:fldCharType="end"/>
            </w:r>
          </w:hyperlink>
        </w:p>
        <w:p w14:paraId="51A94A57" w14:textId="10492E9D" w:rsidR="008C6052" w:rsidRDefault="00921EC5">
          <w:pPr>
            <w:pStyle w:val="TOC2"/>
            <w:rPr>
              <w:noProof/>
              <w:sz w:val="22"/>
              <w:szCs w:val="22"/>
              <w:lang w:eastAsia="en-AU"/>
            </w:rPr>
          </w:pPr>
          <w:hyperlink w:anchor="_Toc112606883" w:history="1">
            <w:r w:rsidR="008C6052" w:rsidRPr="003E713A">
              <w:rPr>
                <w:rStyle w:val="Hyperlink"/>
                <w:noProof/>
              </w:rPr>
              <w:t>Brief history of the recruitment and composition of Victorian chambers staff</w:t>
            </w:r>
            <w:r w:rsidR="008C6052" w:rsidRPr="003E713A">
              <w:rPr>
                <w:rStyle w:val="Hyperlink"/>
                <w:rFonts w:ascii="ZWAdobeF" w:hAnsi="ZWAdobeF" w:cs="ZWAdobeF"/>
                <w:noProof/>
              </w:rPr>
              <w:t>44F50F</w:t>
            </w:r>
            <w:r w:rsidR="008C6052">
              <w:rPr>
                <w:noProof/>
                <w:webHidden/>
              </w:rPr>
              <w:tab/>
            </w:r>
            <w:r w:rsidR="008C6052">
              <w:rPr>
                <w:noProof/>
                <w:webHidden/>
              </w:rPr>
              <w:fldChar w:fldCharType="begin"/>
            </w:r>
            <w:r w:rsidR="008C6052">
              <w:rPr>
                <w:noProof/>
                <w:webHidden/>
              </w:rPr>
              <w:instrText xml:space="preserve"> PAGEREF _Toc112606883 \h </w:instrText>
            </w:r>
            <w:r w:rsidR="008C6052">
              <w:rPr>
                <w:noProof/>
                <w:webHidden/>
              </w:rPr>
            </w:r>
            <w:r w:rsidR="008C6052">
              <w:rPr>
                <w:noProof/>
                <w:webHidden/>
              </w:rPr>
              <w:fldChar w:fldCharType="separate"/>
            </w:r>
            <w:r w:rsidR="00CF093C">
              <w:rPr>
                <w:noProof/>
                <w:webHidden/>
              </w:rPr>
              <w:t>27</w:t>
            </w:r>
            <w:r w:rsidR="008C6052">
              <w:rPr>
                <w:noProof/>
                <w:webHidden/>
              </w:rPr>
              <w:fldChar w:fldCharType="end"/>
            </w:r>
          </w:hyperlink>
        </w:p>
        <w:p w14:paraId="6695C00C" w14:textId="7D785EEB" w:rsidR="008C6052" w:rsidRDefault="00921EC5">
          <w:pPr>
            <w:pStyle w:val="TOC1"/>
            <w:rPr>
              <w:b w:val="0"/>
              <w:noProof/>
              <w:sz w:val="22"/>
              <w:szCs w:val="22"/>
              <w:lang w:eastAsia="en-AU"/>
            </w:rPr>
          </w:pPr>
          <w:hyperlink w:anchor="_Toc112606884" w:history="1">
            <w:r w:rsidR="008C6052" w:rsidRPr="003E713A">
              <w:rPr>
                <w:rStyle w:val="Hyperlink"/>
                <w:noProof/>
              </w:rPr>
              <w:t>The American clerkship hiring process and working conditions – Risks and Incentives</w:t>
            </w:r>
            <w:r w:rsidR="008C6052">
              <w:rPr>
                <w:noProof/>
                <w:webHidden/>
              </w:rPr>
              <w:tab/>
            </w:r>
            <w:r w:rsidR="008C6052">
              <w:rPr>
                <w:noProof/>
                <w:webHidden/>
              </w:rPr>
              <w:fldChar w:fldCharType="begin"/>
            </w:r>
            <w:r w:rsidR="008C6052">
              <w:rPr>
                <w:noProof/>
                <w:webHidden/>
              </w:rPr>
              <w:instrText xml:space="preserve"> PAGEREF _Toc112606884 \h </w:instrText>
            </w:r>
            <w:r w:rsidR="008C6052">
              <w:rPr>
                <w:noProof/>
                <w:webHidden/>
              </w:rPr>
            </w:r>
            <w:r w:rsidR="008C6052">
              <w:rPr>
                <w:noProof/>
                <w:webHidden/>
              </w:rPr>
              <w:fldChar w:fldCharType="separate"/>
            </w:r>
            <w:r w:rsidR="00CF093C">
              <w:rPr>
                <w:noProof/>
                <w:webHidden/>
              </w:rPr>
              <w:t>29</w:t>
            </w:r>
            <w:r w:rsidR="008C6052">
              <w:rPr>
                <w:noProof/>
                <w:webHidden/>
              </w:rPr>
              <w:fldChar w:fldCharType="end"/>
            </w:r>
          </w:hyperlink>
        </w:p>
        <w:p w14:paraId="19F58166" w14:textId="25964F4A" w:rsidR="008C6052" w:rsidRDefault="00921EC5">
          <w:pPr>
            <w:pStyle w:val="TOC1"/>
            <w:rPr>
              <w:b w:val="0"/>
              <w:noProof/>
              <w:sz w:val="22"/>
              <w:szCs w:val="22"/>
              <w:lang w:eastAsia="en-AU"/>
            </w:rPr>
          </w:pPr>
          <w:hyperlink w:anchor="_Toc112606885" w:history="1">
            <w:r w:rsidR="008C6052" w:rsidRPr="003E713A">
              <w:rPr>
                <w:rStyle w:val="Hyperlink"/>
                <w:noProof/>
              </w:rPr>
              <w:t>Observations on changes in recruitment of Victorian associates, approximating American Federal clerk system</w:t>
            </w:r>
            <w:r w:rsidR="008C6052">
              <w:rPr>
                <w:noProof/>
                <w:webHidden/>
              </w:rPr>
              <w:tab/>
            </w:r>
            <w:r w:rsidR="008C6052">
              <w:rPr>
                <w:noProof/>
                <w:webHidden/>
              </w:rPr>
              <w:fldChar w:fldCharType="begin"/>
            </w:r>
            <w:r w:rsidR="008C6052">
              <w:rPr>
                <w:noProof/>
                <w:webHidden/>
              </w:rPr>
              <w:instrText xml:space="preserve"> PAGEREF _Toc112606885 \h </w:instrText>
            </w:r>
            <w:r w:rsidR="008C6052">
              <w:rPr>
                <w:noProof/>
                <w:webHidden/>
              </w:rPr>
            </w:r>
            <w:r w:rsidR="008C6052">
              <w:rPr>
                <w:noProof/>
                <w:webHidden/>
              </w:rPr>
              <w:fldChar w:fldCharType="separate"/>
            </w:r>
            <w:r w:rsidR="00CF093C">
              <w:rPr>
                <w:noProof/>
                <w:webHidden/>
              </w:rPr>
              <w:t>33</w:t>
            </w:r>
            <w:r w:rsidR="008C6052">
              <w:rPr>
                <w:noProof/>
                <w:webHidden/>
              </w:rPr>
              <w:fldChar w:fldCharType="end"/>
            </w:r>
          </w:hyperlink>
        </w:p>
        <w:p w14:paraId="7A71F540" w14:textId="683A16C5" w:rsidR="008C6052" w:rsidRDefault="00921EC5">
          <w:pPr>
            <w:pStyle w:val="TOC1"/>
            <w:rPr>
              <w:b w:val="0"/>
              <w:noProof/>
              <w:sz w:val="22"/>
              <w:szCs w:val="22"/>
              <w:lang w:eastAsia="en-AU"/>
            </w:rPr>
          </w:pPr>
          <w:hyperlink w:anchor="_Toc112606886" w:history="1">
            <w:r w:rsidR="008C6052" w:rsidRPr="003E713A">
              <w:rPr>
                <w:rStyle w:val="Hyperlink"/>
                <w:noProof/>
              </w:rPr>
              <w:t>Should the courts aim to recruit a more diverse associate workforce with more flexible terms?</w:t>
            </w:r>
            <w:r w:rsidR="008C6052">
              <w:rPr>
                <w:noProof/>
                <w:webHidden/>
              </w:rPr>
              <w:tab/>
            </w:r>
            <w:r w:rsidR="008C6052">
              <w:rPr>
                <w:noProof/>
                <w:webHidden/>
              </w:rPr>
              <w:fldChar w:fldCharType="begin"/>
            </w:r>
            <w:r w:rsidR="008C6052">
              <w:rPr>
                <w:noProof/>
                <w:webHidden/>
              </w:rPr>
              <w:instrText xml:space="preserve"> PAGEREF _Toc112606886 \h </w:instrText>
            </w:r>
            <w:r w:rsidR="008C6052">
              <w:rPr>
                <w:noProof/>
                <w:webHidden/>
              </w:rPr>
            </w:r>
            <w:r w:rsidR="008C6052">
              <w:rPr>
                <w:noProof/>
                <w:webHidden/>
              </w:rPr>
              <w:fldChar w:fldCharType="separate"/>
            </w:r>
            <w:r w:rsidR="00CF093C">
              <w:rPr>
                <w:noProof/>
                <w:webHidden/>
              </w:rPr>
              <w:t>35</w:t>
            </w:r>
            <w:r w:rsidR="008C6052">
              <w:rPr>
                <w:noProof/>
                <w:webHidden/>
              </w:rPr>
              <w:fldChar w:fldCharType="end"/>
            </w:r>
          </w:hyperlink>
        </w:p>
        <w:p w14:paraId="00DA983B" w14:textId="6AC3D348" w:rsidR="008C6052" w:rsidRDefault="00921EC5">
          <w:pPr>
            <w:pStyle w:val="TOC1"/>
            <w:rPr>
              <w:b w:val="0"/>
              <w:noProof/>
              <w:sz w:val="22"/>
              <w:szCs w:val="22"/>
              <w:lang w:eastAsia="en-AU"/>
            </w:rPr>
          </w:pPr>
          <w:hyperlink w:anchor="_Toc112606887" w:history="1">
            <w:r w:rsidR="008C6052" w:rsidRPr="003E713A">
              <w:rPr>
                <w:rStyle w:val="Hyperlink"/>
                <w:noProof/>
              </w:rPr>
              <w:t>Some observations on existing practices in Supreme and County Courts</w:t>
            </w:r>
            <w:r w:rsidR="008C6052">
              <w:rPr>
                <w:noProof/>
                <w:webHidden/>
              </w:rPr>
              <w:tab/>
            </w:r>
            <w:r w:rsidR="008C6052">
              <w:rPr>
                <w:noProof/>
                <w:webHidden/>
              </w:rPr>
              <w:fldChar w:fldCharType="begin"/>
            </w:r>
            <w:r w:rsidR="008C6052">
              <w:rPr>
                <w:noProof/>
                <w:webHidden/>
              </w:rPr>
              <w:instrText xml:space="preserve"> PAGEREF _Toc112606887 \h </w:instrText>
            </w:r>
            <w:r w:rsidR="008C6052">
              <w:rPr>
                <w:noProof/>
                <w:webHidden/>
              </w:rPr>
            </w:r>
            <w:r w:rsidR="008C6052">
              <w:rPr>
                <w:noProof/>
                <w:webHidden/>
              </w:rPr>
              <w:fldChar w:fldCharType="separate"/>
            </w:r>
            <w:r w:rsidR="00CF093C">
              <w:rPr>
                <w:noProof/>
                <w:webHidden/>
              </w:rPr>
              <w:t>36</w:t>
            </w:r>
            <w:r w:rsidR="008C6052">
              <w:rPr>
                <w:noProof/>
                <w:webHidden/>
              </w:rPr>
              <w:fldChar w:fldCharType="end"/>
            </w:r>
          </w:hyperlink>
        </w:p>
        <w:p w14:paraId="5D0ECC33" w14:textId="49887E8A" w:rsidR="008C6052" w:rsidRDefault="00921EC5">
          <w:pPr>
            <w:pStyle w:val="TOC2"/>
            <w:rPr>
              <w:noProof/>
              <w:sz w:val="22"/>
              <w:szCs w:val="22"/>
              <w:lang w:eastAsia="en-AU"/>
            </w:rPr>
          </w:pPr>
          <w:hyperlink w:anchor="_Toc112606888" w:history="1">
            <w:r w:rsidR="008C6052" w:rsidRPr="003E713A">
              <w:rPr>
                <w:rStyle w:val="Hyperlink"/>
                <w:noProof/>
              </w:rPr>
              <w:t>Supreme Court of Victoria</w:t>
            </w:r>
            <w:r w:rsidR="008C6052">
              <w:rPr>
                <w:noProof/>
                <w:webHidden/>
              </w:rPr>
              <w:tab/>
            </w:r>
            <w:r w:rsidR="008C6052">
              <w:rPr>
                <w:noProof/>
                <w:webHidden/>
              </w:rPr>
              <w:fldChar w:fldCharType="begin"/>
            </w:r>
            <w:r w:rsidR="008C6052">
              <w:rPr>
                <w:noProof/>
                <w:webHidden/>
              </w:rPr>
              <w:instrText xml:space="preserve"> PAGEREF _Toc112606888 \h </w:instrText>
            </w:r>
            <w:r w:rsidR="008C6052">
              <w:rPr>
                <w:noProof/>
                <w:webHidden/>
              </w:rPr>
            </w:r>
            <w:r w:rsidR="008C6052">
              <w:rPr>
                <w:noProof/>
                <w:webHidden/>
              </w:rPr>
              <w:fldChar w:fldCharType="separate"/>
            </w:r>
            <w:r w:rsidR="00CF093C">
              <w:rPr>
                <w:noProof/>
                <w:webHidden/>
              </w:rPr>
              <w:t>36</w:t>
            </w:r>
            <w:r w:rsidR="008C6052">
              <w:rPr>
                <w:noProof/>
                <w:webHidden/>
              </w:rPr>
              <w:fldChar w:fldCharType="end"/>
            </w:r>
          </w:hyperlink>
        </w:p>
        <w:p w14:paraId="1BBCA649" w14:textId="74D74CE6" w:rsidR="008C6052" w:rsidRDefault="00921EC5">
          <w:pPr>
            <w:pStyle w:val="TOC3"/>
            <w:rPr>
              <w:noProof/>
              <w:sz w:val="22"/>
              <w:szCs w:val="22"/>
              <w:lang w:eastAsia="en-AU"/>
            </w:rPr>
          </w:pPr>
          <w:hyperlink w:anchor="_Toc112606889" w:history="1">
            <w:r w:rsidR="008C6052" w:rsidRPr="003E713A">
              <w:rPr>
                <w:rStyle w:val="Hyperlink"/>
                <w:noProof/>
              </w:rPr>
              <w:t>Supreme Court staff Feedback on Recruitment and working Conditions</w:t>
            </w:r>
            <w:r w:rsidR="008C6052">
              <w:rPr>
                <w:noProof/>
                <w:webHidden/>
              </w:rPr>
              <w:tab/>
            </w:r>
            <w:r w:rsidR="008C6052">
              <w:rPr>
                <w:noProof/>
                <w:webHidden/>
              </w:rPr>
              <w:fldChar w:fldCharType="begin"/>
            </w:r>
            <w:r w:rsidR="008C6052">
              <w:rPr>
                <w:noProof/>
                <w:webHidden/>
              </w:rPr>
              <w:instrText xml:space="preserve"> PAGEREF _Toc112606889 \h </w:instrText>
            </w:r>
            <w:r w:rsidR="008C6052">
              <w:rPr>
                <w:noProof/>
                <w:webHidden/>
              </w:rPr>
            </w:r>
            <w:r w:rsidR="008C6052">
              <w:rPr>
                <w:noProof/>
                <w:webHidden/>
              </w:rPr>
              <w:fldChar w:fldCharType="separate"/>
            </w:r>
            <w:r w:rsidR="00CF093C">
              <w:rPr>
                <w:noProof/>
                <w:webHidden/>
              </w:rPr>
              <w:t>39</w:t>
            </w:r>
            <w:r w:rsidR="008C6052">
              <w:rPr>
                <w:noProof/>
                <w:webHidden/>
              </w:rPr>
              <w:fldChar w:fldCharType="end"/>
            </w:r>
          </w:hyperlink>
        </w:p>
        <w:p w14:paraId="2F43F0B9" w14:textId="6C35BFD7" w:rsidR="008C6052" w:rsidRDefault="00921EC5">
          <w:pPr>
            <w:pStyle w:val="TOC3"/>
            <w:rPr>
              <w:noProof/>
              <w:sz w:val="22"/>
              <w:szCs w:val="22"/>
              <w:lang w:eastAsia="en-AU"/>
            </w:rPr>
          </w:pPr>
          <w:hyperlink w:anchor="_Toc112606890" w:history="1">
            <w:r w:rsidR="008C6052" w:rsidRPr="003E713A">
              <w:rPr>
                <w:rStyle w:val="Hyperlink"/>
                <w:noProof/>
              </w:rPr>
              <w:t>Summary of Key Comments</w:t>
            </w:r>
            <w:r w:rsidR="008C6052">
              <w:rPr>
                <w:noProof/>
                <w:webHidden/>
              </w:rPr>
              <w:tab/>
            </w:r>
            <w:r w:rsidR="008C6052">
              <w:rPr>
                <w:noProof/>
                <w:webHidden/>
              </w:rPr>
              <w:fldChar w:fldCharType="begin"/>
            </w:r>
            <w:r w:rsidR="008C6052">
              <w:rPr>
                <w:noProof/>
                <w:webHidden/>
              </w:rPr>
              <w:instrText xml:space="preserve"> PAGEREF _Toc112606890 \h </w:instrText>
            </w:r>
            <w:r w:rsidR="008C6052">
              <w:rPr>
                <w:noProof/>
                <w:webHidden/>
              </w:rPr>
            </w:r>
            <w:r w:rsidR="008C6052">
              <w:rPr>
                <w:noProof/>
                <w:webHidden/>
              </w:rPr>
              <w:fldChar w:fldCharType="separate"/>
            </w:r>
            <w:r w:rsidR="00CF093C">
              <w:rPr>
                <w:noProof/>
                <w:webHidden/>
              </w:rPr>
              <w:t>39</w:t>
            </w:r>
            <w:r w:rsidR="008C6052">
              <w:rPr>
                <w:noProof/>
                <w:webHidden/>
              </w:rPr>
              <w:fldChar w:fldCharType="end"/>
            </w:r>
          </w:hyperlink>
        </w:p>
        <w:p w14:paraId="5C76B781" w14:textId="546B4133" w:rsidR="008C6052" w:rsidRDefault="00921EC5">
          <w:pPr>
            <w:pStyle w:val="TOC2"/>
            <w:rPr>
              <w:noProof/>
              <w:sz w:val="22"/>
              <w:szCs w:val="22"/>
              <w:lang w:eastAsia="en-AU"/>
            </w:rPr>
          </w:pPr>
          <w:hyperlink w:anchor="_Toc112606891" w:history="1">
            <w:r w:rsidR="008C6052" w:rsidRPr="003E713A">
              <w:rPr>
                <w:rStyle w:val="Hyperlink"/>
                <w:noProof/>
              </w:rPr>
              <w:t>County Court of Victoria</w:t>
            </w:r>
            <w:r w:rsidR="008C6052">
              <w:rPr>
                <w:noProof/>
                <w:webHidden/>
              </w:rPr>
              <w:tab/>
            </w:r>
            <w:r w:rsidR="008C6052">
              <w:rPr>
                <w:noProof/>
                <w:webHidden/>
              </w:rPr>
              <w:fldChar w:fldCharType="begin"/>
            </w:r>
            <w:r w:rsidR="008C6052">
              <w:rPr>
                <w:noProof/>
                <w:webHidden/>
              </w:rPr>
              <w:instrText xml:space="preserve"> PAGEREF _Toc112606891 \h </w:instrText>
            </w:r>
            <w:r w:rsidR="008C6052">
              <w:rPr>
                <w:noProof/>
                <w:webHidden/>
              </w:rPr>
            </w:r>
            <w:r w:rsidR="008C6052">
              <w:rPr>
                <w:noProof/>
                <w:webHidden/>
              </w:rPr>
              <w:fldChar w:fldCharType="separate"/>
            </w:r>
            <w:r w:rsidR="00CF093C">
              <w:rPr>
                <w:noProof/>
                <w:webHidden/>
              </w:rPr>
              <w:t>40</w:t>
            </w:r>
            <w:r w:rsidR="008C6052">
              <w:rPr>
                <w:noProof/>
                <w:webHidden/>
              </w:rPr>
              <w:fldChar w:fldCharType="end"/>
            </w:r>
          </w:hyperlink>
        </w:p>
        <w:p w14:paraId="516AC8F2" w14:textId="7561F510" w:rsidR="008C6052" w:rsidRDefault="00921EC5">
          <w:pPr>
            <w:pStyle w:val="TOC3"/>
            <w:rPr>
              <w:noProof/>
              <w:sz w:val="22"/>
              <w:szCs w:val="22"/>
              <w:lang w:eastAsia="en-AU"/>
            </w:rPr>
          </w:pPr>
          <w:hyperlink w:anchor="_Toc112606892" w:history="1">
            <w:r w:rsidR="008C6052" w:rsidRPr="003E713A">
              <w:rPr>
                <w:rStyle w:val="Hyperlink"/>
                <w:noProof/>
              </w:rPr>
              <w:t>Summary of Key Comments by County Court Associates, Staff and Judges</w:t>
            </w:r>
            <w:r w:rsidR="008C6052">
              <w:rPr>
                <w:noProof/>
                <w:webHidden/>
              </w:rPr>
              <w:tab/>
            </w:r>
            <w:r w:rsidR="008C6052">
              <w:rPr>
                <w:noProof/>
                <w:webHidden/>
              </w:rPr>
              <w:fldChar w:fldCharType="begin"/>
            </w:r>
            <w:r w:rsidR="008C6052">
              <w:rPr>
                <w:noProof/>
                <w:webHidden/>
              </w:rPr>
              <w:instrText xml:space="preserve"> PAGEREF _Toc112606892 \h </w:instrText>
            </w:r>
            <w:r w:rsidR="008C6052">
              <w:rPr>
                <w:noProof/>
                <w:webHidden/>
              </w:rPr>
            </w:r>
            <w:r w:rsidR="008C6052">
              <w:rPr>
                <w:noProof/>
                <w:webHidden/>
              </w:rPr>
              <w:fldChar w:fldCharType="separate"/>
            </w:r>
            <w:r w:rsidR="00CF093C">
              <w:rPr>
                <w:noProof/>
                <w:webHidden/>
              </w:rPr>
              <w:t>42</w:t>
            </w:r>
            <w:r w:rsidR="008C6052">
              <w:rPr>
                <w:noProof/>
                <w:webHidden/>
              </w:rPr>
              <w:fldChar w:fldCharType="end"/>
            </w:r>
          </w:hyperlink>
        </w:p>
        <w:p w14:paraId="08ABDA23" w14:textId="7F4BF981" w:rsidR="008C6052" w:rsidRDefault="00921EC5">
          <w:pPr>
            <w:pStyle w:val="TOC1"/>
            <w:rPr>
              <w:b w:val="0"/>
              <w:noProof/>
              <w:sz w:val="22"/>
              <w:szCs w:val="22"/>
              <w:lang w:eastAsia="en-AU"/>
            </w:rPr>
          </w:pPr>
          <w:hyperlink w:anchor="_Toc112606893" w:history="1">
            <w:r w:rsidR="008C6052" w:rsidRPr="003E713A">
              <w:rPr>
                <w:rStyle w:val="Hyperlink"/>
                <w:noProof/>
              </w:rPr>
              <w:t>Prevalence of sexual harassment in the Australian courts – lack of reliable data</w:t>
            </w:r>
            <w:r w:rsidR="008C6052">
              <w:rPr>
                <w:noProof/>
                <w:webHidden/>
              </w:rPr>
              <w:tab/>
            </w:r>
            <w:r w:rsidR="008C6052">
              <w:rPr>
                <w:noProof/>
                <w:webHidden/>
              </w:rPr>
              <w:fldChar w:fldCharType="begin"/>
            </w:r>
            <w:r w:rsidR="008C6052">
              <w:rPr>
                <w:noProof/>
                <w:webHidden/>
              </w:rPr>
              <w:instrText xml:space="preserve"> PAGEREF _Toc112606893 \h </w:instrText>
            </w:r>
            <w:r w:rsidR="008C6052">
              <w:rPr>
                <w:noProof/>
                <w:webHidden/>
              </w:rPr>
            </w:r>
            <w:r w:rsidR="008C6052">
              <w:rPr>
                <w:noProof/>
                <w:webHidden/>
              </w:rPr>
              <w:fldChar w:fldCharType="separate"/>
            </w:r>
            <w:r w:rsidR="00CF093C">
              <w:rPr>
                <w:noProof/>
                <w:webHidden/>
              </w:rPr>
              <w:t>43</w:t>
            </w:r>
            <w:r w:rsidR="008C6052">
              <w:rPr>
                <w:noProof/>
                <w:webHidden/>
              </w:rPr>
              <w:fldChar w:fldCharType="end"/>
            </w:r>
          </w:hyperlink>
        </w:p>
        <w:p w14:paraId="43DC2B9C" w14:textId="131E5D8B" w:rsidR="008C6052" w:rsidRDefault="00921EC5">
          <w:pPr>
            <w:pStyle w:val="TOC2"/>
            <w:rPr>
              <w:noProof/>
              <w:sz w:val="22"/>
              <w:szCs w:val="22"/>
              <w:lang w:eastAsia="en-AU"/>
            </w:rPr>
          </w:pPr>
          <w:hyperlink w:anchor="_Toc112606894" w:history="1">
            <w:r w:rsidR="008C6052" w:rsidRPr="003E713A">
              <w:rPr>
                <w:rStyle w:val="Hyperlink"/>
                <w:noProof/>
              </w:rPr>
              <w:t>Data on Prevalence</w:t>
            </w:r>
            <w:r w:rsidR="008C6052">
              <w:rPr>
                <w:noProof/>
                <w:webHidden/>
              </w:rPr>
              <w:tab/>
            </w:r>
            <w:r w:rsidR="008C6052">
              <w:rPr>
                <w:noProof/>
                <w:webHidden/>
              </w:rPr>
              <w:fldChar w:fldCharType="begin"/>
            </w:r>
            <w:r w:rsidR="008C6052">
              <w:rPr>
                <w:noProof/>
                <w:webHidden/>
              </w:rPr>
              <w:instrText xml:space="preserve"> PAGEREF _Toc112606894 \h </w:instrText>
            </w:r>
            <w:r w:rsidR="008C6052">
              <w:rPr>
                <w:noProof/>
                <w:webHidden/>
              </w:rPr>
            </w:r>
            <w:r w:rsidR="008C6052">
              <w:rPr>
                <w:noProof/>
                <w:webHidden/>
              </w:rPr>
              <w:fldChar w:fldCharType="separate"/>
            </w:r>
            <w:r w:rsidR="00CF093C">
              <w:rPr>
                <w:noProof/>
                <w:webHidden/>
              </w:rPr>
              <w:t>43</w:t>
            </w:r>
            <w:r w:rsidR="008C6052">
              <w:rPr>
                <w:noProof/>
                <w:webHidden/>
              </w:rPr>
              <w:fldChar w:fldCharType="end"/>
            </w:r>
          </w:hyperlink>
        </w:p>
        <w:p w14:paraId="7081D0AB" w14:textId="42B33D91" w:rsidR="008C6052" w:rsidRDefault="00921EC5">
          <w:pPr>
            <w:pStyle w:val="TOC1"/>
            <w:rPr>
              <w:b w:val="0"/>
              <w:noProof/>
              <w:sz w:val="22"/>
              <w:szCs w:val="22"/>
              <w:lang w:eastAsia="en-AU"/>
            </w:rPr>
          </w:pPr>
          <w:hyperlink w:anchor="_Toc112606895" w:history="1">
            <w:r w:rsidR="008C6052" w:rsidRPr="003E713A">
              <w:rPr>
                <w:rStyle w:val="Hyperlink"/>
                <w:noProof/>
              </w:rPr>
              <w:t>Current record keeping protocols in the Victorian Courts and VCAT</w:t>
            </w:r>
            <w:r w:rsidR="008C6052">
              <w:rPr>
                <w:noProof/>
                <w:webHidden/>
              </w:rPr>
              <w:tab/>
            </w:r>
            <w:r w:rsidR="008C6052">
              <w:rPr>
                <w:noProof/>
                <w:webHidden/>
              </w:rPr>
              <w:fldChar w:fldCharType="begin"/>
            </w:r>
            <w:r w:rsidR="008C6052">
              <w:rPr>
                <w:noProof/>
                <w:webHidden/>
              </w:rPr>
              <w:instrText xml:space="preserve"> PAGEREF _Toc112606895 \h </w:instrText>
            </w:r>
            <w:r w:rsidR="008C6052">
              <w:rPr>
                <w:noProof/>
                <w:webHidden/>
              </w:rPr>
            </w:r>
            <w:r w:rsidR="008C6052">
              <w:rPr>
                <w:noProof/>
                <w:webHidden/>
              </w:rPr>
              <w:fldChar w:fldCharType="separate"/>
            </w:r>
            <w:r w:rsidR="00CF093C">
              <w:rPr>
                <w:noProof/>
                <w:webHidden/>
              </w:rPr>
              <w:t>45</w:t>
            </w:r>
            <w:r w:rsidR="008C6052">
              <w:rPr>
                <w:noProof/>
                <w:webHidden/>
              </w:rPr>
              <w:fldChar w:fldCharType="end"/>
            </w:r>
          </w:hyperlink>
        </w:p>
        <w:p w14:paraId="3F2F1786" w14:textId="4DE528B4" w:rsidR="008C6052" w:rsidRDefault="00921EC5">
          <w:pPr>
            <w:pStyle w:val="TOC2"/>
            <w:rPr>
              <w:noProof/>
              <w:sz w:val="22"/>
              <w:szCs w:val="22"/>
              <w:lang w:eastAsia="en-AU"/>
            </w:rPr>
          </w:pPr>
          <w:hyperlink w:anchor="_Toc112606896" w:history="1">
            <w:r w:rsidR="008C6052" w:rsidRPr="003E713A">
              <w:rPr>
                <w:rStyle w:val="Hyperlink"/>
                <w:noProof/>
              </w:rPr>
              <w:t>Investigations and their outcomes not transparent</w:t>
            </w:r>
            <w:r w:rsidR="008C6052">
              <w:rPr>
                <w:noProof/>
                <w:webHidden/>
              </w:rPr>
              <w:tab/>
            </w:r>
            <w:r w:rsidR="008C6052">
              <w:rPr>
                <w:noProof/>
                <w:webHidden/>
              </w:rPr>
              <w:fldChar w:fldCharType="begin"/>
            </w:r>
            <w:r w:rsidR="008C6052">
              <w:rPr>
                <w:noProof/>
                <w:webHidden/>
              </w:rPr>
              <w:instrText xml:space="preserve"> PAGEREF _Toc112606896 \h </w:instrText>
            </w:r>
            <w:r w:rsidR="008C6052">
              <w:rPr>
                <w:noProof/>
                <w:webHidden/>
              </w:rPr>
            </w:r>
            <w:r w:rsidR="008C6052">
              <w:rPr>
                <w:noProof/>
                <w:webHidden/>
              </w:rPr>
              <w:fldChar w:fldCharType="separate"/>
            </w:r>
            <w:r w:rsidR="00CF093C">
              <w:rPr>
                <w:noProof/>
                <w:webHidden/>
              </w:rPr>
              <w:t>45</w:t>
            </w:r>
            <w:r w:rsidR="008C6052">
              <w:rPr>
                <w:noProof/>
                <w:webHidden/>
              </w:rPr>
              <w:fldChar w:fldCharType="end"/>
            </w:r>
          </w:hyperlink>
        </w:p>
        <w:p w14:paraId="0CA63CA2" w14:textId="118D3586" w:rsidR="008C6052" w:rsidRDefault="00921EC5">
          <w:pPr>
            <w:pStyle w:val="TOC1"/>
            <w:rPr>
              <w:b w:val="0"/>
              <w:noProof/>
              <w:sz w:val="22"/>
              <w:szCs w:val="22"/>
              <w:lang w:eastAsia="en-AU"/>
            </w:rPr>
          </w:pPr>
          <w:hyperlink w:anchor="_Toc112606897" w:history="1">
            <w:r w:rsidR="008C6052" w:rsidRPr="003E713A">
              <w:rPr>
                <w:rStyle w:val="Hyperlink"/>
                <w:noProof/>
              </w:rPr>
              <w:t>Case Studies of Inappropriate Sexualised Conduct by Judges of Chambers Staff or Junior Legal Personnel</w:t>
            </w:r>
            <w:r w:rsidR="008C6052">
              <w:rPr>
                <w:noProof/>
                <w:webHidden/>
              </w:rPr>
              <w:tab/>
            </w:r>
            <w:r w:rsidR="008C6052">
              <w:rPr>
                <w:noProof/>
                <w:webHidden/>
              </w:rPr>
              <w:fldChar w:fldCharType="begin"/>
            </w:r>
            <w:r w:rsidR="008C6052">
              <w:rPr>
                <w:noProof/>
                <w:webHidden/>
              </w:rPr>
              <w:instrText xml:space="preserve"> PAGEREF _Toc112606897 \h </w:instrText>
            </w:r>
            <w:r w:rsidR="008C6052">
              <w:rPr>
                <w:noProof/>
                <w:webHidden/>
              </w:rPr>
            </w:r>
            <w:r w:rsidR="008C6052">
              <w:rPr>
                <w:noProof/>
                <w:webHidden/>
              </w:rPr>
              <w:fldChar w:fldCharType="separate"/>
            </w:r>
            <w:r w:rsidR="00CF093C">
              <w:rPr>
                <w:noProof/>
                <w:webHidden/>
              </w:rPr>
              <w:t>48</w:t>
            </w:r>
            <w:r w:rsidR="008C6052">
              <w:rPr>
                <w:noProof/>
                <w:webHidden/>
              </w:rPr>
              <w:fldChar w:fldCharType="end"/>
            </w:r>
          </w:hyperlink>
        </w:p>
        <w:p w14:paraId="6070DB3B" w14:textId="65C51F8C" w:rsidR="008C6052" w:rsidRDefault="00921EC5">
          <w:pPr>
            <w:pStyle w:val="TOC2"/>
            <w:rPr>
              <w:noProof/>
              <w:sz w:val="22"/>
              <w:szCs w:val="22"/>
              <w:lang w:eastAsia="en-AU"/>
            </w:rPr>
          </w:pPr>
          <w:hyperlink w:anchor="_Toc112606898" w:history="1">
            <w:r w:rsidR="008C6052" w:rsidRPr="003E713A">
              <w:rPr>
                <w:rStyle w:val="Hyperlink"/>
                <w:noProof/>
              </w:rPr>
              <w:t>The American Cases</w:t>
            </w:r>
            <w:r w:rsidR="008C6052">
              <w:rPr>
                <w:noProof/>
                <w:webHidden/>
              </w:rPr>
              <w:tab/>
            </w:r>
            <w:r w:rsidR="008C6052">
              <w:rPr>
                <w:noProof/>
                <w:webHidden/>
              </w:rPr>
              <w:fldChar w:fldCharType="begin"/>
            </w:r>
            <w:r w:rsidR="008C6052">
              <w:rPr>
                <w:noProof/>
                <w:webHidden/>
              </w:rPr>
              <w:instrText xml:space="preserve"> PAGEREF _Toc112606898 \h </w:instrText>
            </w:r>
            <w:r w:rsidR="008C6052">
              <w:rPr>
                <w:noProof/>
                <w:webHidden/>
              </w:rPr>
            </w:r>
            <w:r w:rsidR="008C6052">
              <w:rPr>
                <w:noProof/>
                <w:webHidden/>
              </w:rPr>
              <w:fldChar w:fldCharType="separate"/>
            </w:r>
            <w:r w:rsidR="00CF093C">
              <w:rPr>
                <w:noProof/>
                <w:webHidden/>
              </w:rPr>
              <w:t>48</w:t>
            </w:r>
            <w:r w:rsidR="008C6052">
              <w:rPr>
                <w:noProof/>
                <w:webHidden/>
              </w:rPr>
              <w:fldChar w:fldCharType="end"/>
            </w:r>
          </w:hyperlink>
        </w:p>
        <w:p w14:paraId="6497521B" w14:textId="0FF058E8" w:rsidR="008C6052" w:rsidRDefault="00921EC5">
          <w:pPr>
            <w:pStyle w:val="TOC3"/>
            <w:rPr>
              <w:noProof/>
              <w:sz w:val="22"/>
              <w:szCs w:val="22"/>
              <w:lang w:eastAsia="en-AU"/>
            </w:rPr>
          </w:pPr>
          <w:hyperlink w:anchor="_Toc112606899" w:history="1">
            <w:r w:rsidR="008C6052" w:rsidRPr="003E713A">
              <w:rPr>
                <w:rStyle w:val="Hyperlink"/>
                <w:noProof/>
              </w:rPr>
              <w:t>Judge Kozinski</w:t>
            </w:r>
            <w:r w:rsidR="008C6052">
              <w:rPr>
                <w:noProof/>
                <w:webHidden/>
              </w:rPr>
              <w:tab/>
            </w:r>
            <w:r w:rsidR="008C6052">
              <w:rPr>
                <w:noProof/>
                <w:webHidden/>
              </w:rPr>
              <w:fldChar w:fldCharType="begin"/>
            </w:r>
            <w:r w:rsidR="008C6052">
              <w:rPr>
                <w:noProof/>
                <w:webHidden/>
              </w:rPr>
              <w:instrText xml:space="preserve"> PAGEREF _Toc112606899 \h </w:instrText>
            </w:r>
            <w:r w:rsidR="008C6052">
              <w:rPr>
                <w:noProof/>
                <w:webHidden/>
              </w:rPr>
            </w:r>
            <w:r w:rsidR="008C6052">
              <w:rPr>
                <w:noProof/>
                <w:webHidden/>
              </w:rPr>
              <w:fldChar w:fldCharType="separate"/>
            </w:r>
            <w:r w:rsidR="00CF093C">
              <w:rPr>
                <w:noProof/>
                <w:webHidden/>
              </w:rPr>
              <w:t>49</w:t>
            </w:r>
            <w:r w:rsidR="008C6052">
              <w:rPr>
                <w:noProof/>
                <w:webHidden/>
              </w:rPr>
              <w:fldChar w:fldCharType="end"/>
            </w:r>
          </w:hyperlink>
        </w:p>
        <w:p w14:paraId="1C35B053" w14:textId="226086EE" w:rsidR="008C6052" w:rsidRDefault="00921EC5">
          <w:pPr>
            <w:pStyle w:val="TOC3"/>
            <w:rPr>
              <w:noProof/>
              <w:sz w:val="22"/>
              <w:szCs w:val="22"/>
              <w:lang w:eastAsia="en-AU"/>
            </w:rPr>
          </w:pPr>
          <w:hyperlink w:anchor="_Toc112606900" w:history="1">
            <w:r w:rsidR="008C6052" w:rsidRPr="003E713A">
              <w:rPr>
                <w:rStyle w:val="Hyperlink"/>
                <w:noProof/>
              </w:rPr>
              <w:t>Judge Reinhardt</w:t>
            </w:r>
            <w:r w:rsidR="008C6052">
              <w:rPr>
                <w:noProof/>
                <w:webHidden/>
              </w:rPr>
              <w:tab/>
            </w:r>
            <w:r w:rsidR="008C6052">
              <w:rPr>
                <w:noProof/>
                <w:webHidden/>
              </w:rPr>
              <w:fldChar w:fldCharType="begin"/>
            </w:r>
            <w:r w:rsidR="008C6052">
              <w:rPr>
                <w:noProof/>
                <w:webHidden/>
              </w:rPr>
              <w:instrText xml:space="preserve"> PAGEREF _Toc112606900 \h </w:instrText>
            </w:r>
            <w:r w:rsidR="008C6052">
              <w:rPr>
                <w:noProof/>
                <w:webHidden/>
              </w:rPr>
            </w:r>
            <w:r w:rsidR="008C6052">
              <w:rPr>
                <w:noProof/>
                <w:webHidden/>
              </w:rPr>
              <w:fldChar w:fldCharType="separate"/>
            </w:r>
            <w:r w:rsidR="00CF093C">
              <w:rPr>
                <w:noProof/>
                <w:webHidden/>
              </w:rPr>
              <w:t>49</w:t>
            </w:r>
            <w:r w:rsidR="008C6052">
              <w:rPr>
                <w:noProof/>
                <w:webHidden/>
              </w:rPr>
              <w:fldChar w:fldCharType="end"/>
            </w:r>
          </w:hyperlink>
        </w:p>
        <w:p w14:paraId="52BA23D0" w14:textId="64D1C1A6" w:rsidR="008C6052" w:rsidRDefault="00921EC5">
          <w:pPr>
            <w:pStyle w:val="TOC2"/>
            <w:rPr>
              <w:noProof/>
              <w:sz w:val="22"/>
              <w:szCs w:val="22"/>
              <w:lang w:eastAsia="en-AU"/>
            </w:rPr>
          </w:pPr>
          <w:hyperlink w:anchor="_Toc112606901" w:history="1">
            <w:r w:rsidR="008C6052" w:rsidRPr="003E713A">
              <w:rPr>
                <w:rStyle w:val="Hyperlink"/>
                <w:noProof/>
              </w:rPr>
              <w:t>Conclusion on Reported American Incidents</w:t>
            </w:r>
            <w:r w:rsidR="008C6052">
              <w:rPr>
                <w:noProof/>
                <w:webHidden/>
              </w:rPr>
              <w:tab/>
            </w:r>
            <w:r w:rsidR="008C6052">
              <w:rPr>
                <w:noProof/>
                <w:webHidden/>
              </w:rPr>
              <w:fldChar w:fldCharType="begin"/>
            </w:r>
            <w:r w:rsidR="008C6052">
              <w:rPr>
                <w:noProof/>
                <w:webHidden/>
              </w:rPr>
              <w:instrText xml:space="preserve"> PAGEREF _Toc112606901 \h </w:instrText>
            </w:r>
            <w:r w:rsidR="008C6052">
              <w:rPr>
                <w:noProof/>
                <w:webHidden/>
              </w:rPr>
            </w:r>
            <w:r w:rsidR="008C6052">
              <w:rPr>
                <w:noProof/>
                <w:webHidden/>
              </w:rPr>
              <w:fldChar w:fldCharType="separate"/>
            </w:r>
            <w:r w:rsidR="00CF093C">
              <w:rPr>
                <w:noProof/>
                <w:webHidden/>
              </w:rPr>
              <w:t>52</w:t>
            </w:r>
            <w:r w:rsidR="008C6052">
              <w:rPr>
                <w:noProof/>
                <w:webHidden/>
              </w:rPr>
              <w:fldChar w:fldCharType="end"/>
            </w:r>
          </w:hyperlink>
        </w:p>
        <w:p w14:paraId="49FCBD3A" w14:textId="195EC0C4" w:rsidR="008C6052" w:rsidRDefault="00921EC5">
          <w:pPr>
            <w:pStyle w:val="TOC1"/>
            <w:rPr>
              <w:b w:val="0"/>
              <w:noProof/>
              <w:sz w:val="22"/>
              <w:szCs w:val="22"/>
              <w:lang w:eastAsia="en-AU"/>
            </w:rPr>
          </w:pPr>
          <w:hyperlink w:anchor="_Toc112606902" w:history="1">
            <w:r w:rsidR="008C6052" w:rsidRPr="003E713A">
              <w:rPr>
                <w:rStyle w:val="Hyperlink"/>
                <w:noProof/>
              </w:rPr>
              <w:t>The Substantiated Cases of Judicial Sexual Harassment in Australia</w:t>
            </w:r>
            <w:r w:rsidR="008C6052">
              <w:rPr>
                <w:noProof/>
                <w:webHidden/>
              </w:rPr>
              <w:tab/>
            </w:r>
            <w:r w:rsidR="008C6052">
              <w:rPr>
                <w:noProof/>
                <w:webHidden/>
              </w:rPr>
              <w:fldChar w:fldCharType="begin"/>
            </w:r>
            <w:r w:rsidR="008C6052">
              <w:rPr>
                <w:noProof/>
                <w:webHidden/>
              </w:rPr>
              <w:instrText xml:space="preserve"> PAGEREF _Toc112606902 \h </w:instrText>
            </w:r>
            <w:r w:rsidR="008C6052">
              <w:rPr>
                <w:noProof/>
                <w:webHidden/>
              </w:rPr>
            </w:r>
            <w:r w:rsidR="008C6052">
              <w:rPr>
                <w:noProof/>
                <w:webHidden/>
              </w:rPr>
              <w:fldChar w:fldCharType="separate"/>
            </w:r>
            <w:r w:rsidR="00CF093C">
              <w:rPr>
                <w:noProof/>
                <w:webHidden/>
              </w:rPr>
              <w:t>53</w:t>
            </w:r>
            <w:r w:rsidR="008C6052">
              <w:rPr>
                <w:noProof/>
                <w:webHidden/>
              </w:rPr>
              <w:fldChar w:fldCharType="end"/>
            </w:r>
          </w:hyperlink>
        </w:p>
        <w:p w14:paraId="7FF42BAA" w14:textId="57516E1B" w:rsidR="008C6052" w:rsidRDefault="00921EC5">
          <w:pPr>
            <w:pStyle w:val="TOC1"/>
            <w:rPr>
              <w:b w:val="0"/>
              <w:noProof/>
              <w:sz w:val="22"/>
              <w:szCs w:val="22"/>
              <w:lang w:eastAsia="en-AU"/>
            </w:rPr>
          </w:pPr>
          <w:hyperlink w:anchor="_Toc112606903" w:history="1">
            <w:r w:rsidR="008C6052" w:rsidRPr="003E713A">
              <w:rPr>
                <w:rStyle w:val="Hyperlink"/>
                <w:noProof/>
              </w:rPr>
              <w:t>Observations on the Australian Cases of inappropriate sexualised conduct by judges</w:t>
            </w:r>
            <w:r w:rsidR="008C6052">
              <w:rPr>
                <w:noProof/>
                <w:webHidden/>
              </w:rPr>
              <w:tab/>
            </w:r>
            <w:r w:rsidR="008C6052">
              <w:rPr>
                <w:noProof/>
                <w:webHidden/>
              </w:rPr>
              <w:fldChar w:fldCharType="begin"/>
            </w:r>
            <w:r w:rsidR="008C6052">
              <w:rPr>
                <w:noProof/>
                <w:webHidden/>
              </w:rPr>
              <w:instrText xml:space="preserve"> PAGEREF _Toc112606903 \h </w:instrText>
            </w:r>
            <w:r w:rsidR="008C6052">
              <w:rPr>
                <w:noProof/>
                <w:webHidden/>
              </w:rPr>
            </w:r>
            <w:r w:rsidR="008C6052">
              <w:rPr>
                <w:noProof/>
                <w:webHidden/>
              </w:rPr>
              <w:fldChar w:fldCharType="separate"/>
            </w:r>
            <w:r w:rsidR="00CF093C">
              <w:rPr>
                <w:noProof/>
                <w:webHidden/>
              </w:rPr>
              <w:t>54</w:t>
            </w:r>
            <w:r w:rsidR="008C6052">
              <w:rPr>
                <w:noProof/>
                <w:webHidden/>
              </w:rPr>
              <w:fldChar w:fldCharType="end"/>
            </w:r>
          </w:hyperlink>
        </w:p>
        <w:p w14:paraId="553C118B" w14:textId="33662A37" w:rsidR="008C6052" w:rsidRDefault="00921EC5">
          <w:pPr>
            <w:pStyle w:val="TOC1"/>
            <w:rPr>
              <w:b w:val="0"/>
              <w:noProof/>
              <w:sz w:val="22"/>
              <w:szCs w:val="22"/>
              <w:lang w:eastAsia="en-AU"/>
            </w:rPr>
          </w:pPr>
          <w:hyperlink w:anchor="_Toc112606904" w:history="1">
            <w:r w:rsidR="008C6052" w:rsidRPr="003E713A">
              <w:rPr>
                <w:rStyle w:val="Hyperlink"/>
                <w:noProof/>
              </w:rPr>
              <w:t>A positive outcome from a bystander report coupled with prompt intervention by another judge</w:t>
            </w:r>
            <w:r w:rsidR="008C6052">
              <w:rPr>
                <w:noProof/>
                <w:webHidden/>
              </w:rPr>
              <w:tab/>
            </w:r>
            <w:r w:rsidR="008C6052">
              <w:rPr>
                <w:noProof/>
                <w:webHidden/>
              </w:rPr>
              <w:fldChar w:fldCharType="begin"/>
            </w:r>
            <w:r w:rsidR="008C6052">
              <w:rPr>
                <w:noProof/>
                <w:webHidden/>
              </w:rPr>
              <w:instrText xml:space="preserve"> PAGEREF _Toc112606904 \h </w:instrText>
            </w:r>
            <w:r w:rsidR="008C6052">
              <w:rPr>
                <w:noProof/>
                <w:webHidden/>
              </w:rPr>
            </w:r>
            <w:r w:rsidR="008C6052">
              <w:rPr>
                <w:noProof/>
                <w:webHidden/>
              </w:rPr>
              <w:fldChar w:fldCharType="separate"/>
            </w:r>
            <w:r w:rsidR="00CF093C">
              <w:rPr>
                <w:noProof/>
                <w:webHidden/>
              </w:rPr>
              <w:t>56</w:t>
            </w:r>
            <w:r w:rsidR="008C6052">
              <w:rPr>
                <w:noProof/>
                <w:webHidden/>
              </w:rPr>
              <w:fldChar w:fldCharType="end"/>
            </w:r>
          </w:hyperlink>
        </w:p>
        <w:p w14:paraId="7C79D3D7" w14:textId="31F15988" w:rsidR="008C6052" w:rsidRDefault="00921EC5">
          <w:pPr>
            <w:pStyle w:val="TOC1"/>
            <w:rPr>
              <w:b w:val="0"/>
              <w:noProof/>
              <w:sz w:val="22"/>
              <w:szCs w:val="22"/>
              <w:lang w:eastAsia="en-AU"/>
            </w:rPr>
          </w:pPr>
          <w:hyperlink w:anchor="_Toc112606905" w:history="1">
            <w:r w:rsidR="008C6052" w:rsidRPr="003E713A">
              <w:rPr>
                <w:rStyle w:val="Hyperlink"/>
                <w:noProof/>
              </w:rPr>
              <w:t>The Causes and Drivers of Sexual Harassment</w:t>
            </w:r>
            <w:r w:rsidR="008C6052">
              <w:rPr>
                <w:noProof/>
                <w:webHidden/>
              </w:rPr>
              <w:tab/>
            </w:r>
            <w:r w:rsidR="008C6052">
              <w:rPr>
                <w:noProof/>
                <w:webHidden/>
              </w:rPr>
              <w:fldChar w:fldCharType="begin"/>
            </w:r>
            <w:r w:rsidR="008C6052">
              <w:rPr>
                <w:noProof/>
                <w:webHidden/>
              </w:rPr>
              <w:instrText xml:space="preserve"> PAGEREF _Toc112606905 \h </w:instrText>
            </w:r>
            <w:r w:rsidR="008C6052">
              <w:rPr>
                <w:noProof/>
                <w:webHidden/>
              </w:rPr>
            </w:r>
            <w:r w:rsidR="008C6052">
              <w:rPr>
                <w:noProof/>
                <w:webHidden/>
              </w:rPr>
              <w:fldChar w:fldCharType="separate"/>
            </w:r>
            <w:r w:rsidR="00CF093C">
              <w:rPr>
                <w:noProof/>
                <w:webHidden/>
              </w:rPr>
              <w:t>58</w:t>
            </w:r>
            <w:r w:rsidR="008C6052">
              <w:rPr>
                <w:noProof/>
                <w:webHidden/>
              </w:rPr>
              <w:fldChar w:fldCharType="end"/>
            </w:r>
          </w:hyperlink>
        </w:p>
        <w:p w14:paraId="68C0D0D8" w14:textId="2E1C3538" w:rsidR="008C6052" w:rsidRDefault="00921EC5">
          <w:pPr>
            <w:pStyle w:val="TOC2"/>
            <w:rPr>
              <w:noProof/>
              <w:sz w:val="22"/>
              <w:szCs w:val="22"/>
              <w:lang w:eastAsia="en-AU"/>
            </w:rPr>
          </w:pPr>
          <w:hyperlink w:anchor="_Toc112606906" w:history="1">
            <w:r w:rsidR="008C6052" w:rsidRPr="003E713A">
              <w:rPr>
                <w:rStyle w:val="Hyperlink"/>
                <w:noProof/>
              </w:rPr>
              <w:t>Szoke Report</w:t>
            </w:r>
            <w:r w:rsidR="008C6052">
              <w:rPr>
                <w:noProof/>
                <w:webHidden/>
              </w:rPr>
              <w:tab/>
            </w:r>
            <w:r w:rsidR="008C6052">
              <w:rPr>
                <w:noProof/>
                <w:webHidden/>
              </w:rPr>
              <w:fldChar w:fldCharType="begin"/>
            </w:r>
            <w:r w:rsidR="008C6052">
              <w:rPr>
                <w:noProof/>
                <w:webHidden/>
              </w:rPr>
              <w:instrText xml:space="preserve"> PAGEREF _Toc112606906 \h </w:instrText>
            </w:r>
            <w:r w:rsidR="008C6052">
              <w:rPr>
                <w:noProof/>
                <w:webHidden/>
              </w:rPr>
            </w:r>
            <w:r w:rsidR="008C6052">
              <w:rPr>
                <w:noProof/>
                <w:webHidden/>
              </w:rPr>
              <w:fldChar w:fldCharType="separate"/>
            </w:r>
            <w:r w:rsidR="00CF093C">
              <w:rPr>
                <w:noProof/>
                <w:webHidden/>
              </w:rPr>
              <w:t>58</w:t>
            </w:r>
            <w:r w:rsidR="008C6052">
              <w:rPr>
                <w:noProof/>
                <w:webHidden/>
              </w:rPr>
              <w:fldChar w:fldCharType="end"/>
            </w:r>
          </w:hyperlink>
        </w:p>
        <w:p w14:paraId="4818E47B" w14:textId="29FE4E7E" w:rsidR="008C6052" w:rsidRDefault="00921EC5">
          <w:pPr>
            <w:pStyle w:val="TOC1"/>
            <w:rPr>
              <w:b w:val="0"/>
              <w:noProof/>
              <w:sz w:val="22"/>
              <w:szCs w:val="22"/>
              <w:lang w:eastAsia="en-AU"/>
            </w:rPr>
          </w:pPr>
          <w:hyperlink w:anchor="_Toc112606907" w:history="1">
            <w:r w:rsidR="008C6052" w:rsidRPr="003E713A">
              <w:rPr>
                <w:rStyle w:val="Hyperlink"/>
                <w:noProof/>
              </w:rPr>
              <w:t>Identification of, and attempts to solve, the problem in the united states</w:t>
            </w:r>
            <w:r w:rsidR="008C6052">
              <w:rPr>
                <w:noProof/>
                <w:webHidden/>
              </w:rPr>
              <w:tab/>
            </w:r>
            <w:r w:rsidR="008C6052">
              <w:rPr>
                <w:noProof/>
                <w:webHidden/>
              </w:rPr>
              <w:fldChar w:fldCharType="begin"/>
            </w:r>
            <w:r w:rsidR="008C6052">
              <w:rPr>
                <w:noProof/>
                <w:webHidden/>
              </w:rPr>
              <w:instrText xml:space="preserve"> PAGEREF _Toc112606907 \h </w:instrText>
            </w:r>
            <w:r w:rsidR="008C6052">
              <w:rPr>
                <w:noProof/>
                <w:webHidden/>
              </w:rPr>
            </w:r>
            <w:r w:rsidR="008C6052">
              <w:rPr>
                <w:noProof/>
                <w:webHidden/>
              </w:rPr>
              <w:fldChar w:fldCharType="separate"/>
            </w:r>
            <w:r w:rsidR="00CF093C">
              <w:rPr>
                <w:noProof/>
                <w:webHidden/>
              </w:rPr>
              <w:t>60</w:t>
            </w:r>
            <w:r w:rsidR="008C6052">
              <w:rPr>
                <w:noProof/>
                <w:webHidden/>
              </w:rPr>
              <w:fldChar w:fldCharType="end"/>
            </w:r>
          </w:hyperlink>
        </w:p>
        <w:p w14:paraId="7E021FBE" w14:textId="1147B868" w:rsidR="008C6052" w:rsidRDefault="00921EC5">
          <w:pPr>
            <w:pStyle w:val="TOC2"/>
            <w:rPr>
              <w:noProof/>
              <w:sz w:val="22"/>
              <w:szCs w:val="22"/>
              <w:lang w:eastAsia="en-AU"/>
            </w:rPr>
          </w:pPr>
          <w:hyperlink w:anchor="_Toc112606908" w:history="1">
            <w:r w:rsidR="008C6052" w:rsidRPr="003E713A">
              <w:rPr>
                <w:rStyle w:val="Hyperlink"/>
                <w:noProof/>
              </w:rPr>
              <w:t>Report of the Federal Judiciary Workplace Conduct Working Group</w:t>
            </w:r>
            <w:r w:rsidR="008C6052">
              <w:rPr>
                <w:noProof/>
                <w:webHidden/>
              </w:rPr>
              <w:tab/>
            </w:r>
            <w:r w:rsidR="008C6052">
              <w:rPr>
                <w:noProof/>
                <w:webHidden/>
              </w:rPr>
              <w:fldChar w:fldCharType="begin"/>
            </w:r>
            <w:r w:rsidR="008C6052">
              <w:rPr>
                <w:noProof/>
                <w:webHidden/>
              </w:rPr>
              <w:instrText xml:space="preserve"> PAGEREF _Toc112606908 \h </w:instrText>
            </w:r>
            <w:r w:rsidR="008C6052">
              <w:rPr>
                <w:noProof/>
                <w:webHidden/>
              </w:rPr>
            </w:r>
            <w:r w:rsidR="008C6052">
              <w:rPr>
                <w:noProof/>
                <w:webHidden/>
              </w:rPr>
              <w:fldChar w:fldCharType="separate"/>
            </w:r>
            <w:r w:rsidR="00CF093C">
              <w:rPr>
                <w:noProof/>
                <w:webHidden/>
              </w:rPr>
              <w:t>61</w:t>
            </w:r>
            <w:r w:rsidR="008C6052">
              <w:rPr>
                <w:noProof/>
                <w:webHidden/>
              </w:rPr>
              <w:fldChar w:fldCharType="end"/>
            </w:r>
          </w:hyperlink>
        </w:p>
        <w:p w14:paraId="3288ACCB" w14:textId="73EA6C2E" w:rsidR="008C6052" w:rsidRDefault="00921EC5">
          <w:pPr>
            <w:pStyle w:val="TOC2"/>
            <w:rPr>
              <w:noProof/>
              <w:sz w:val="22"/>
              <w:szCs w:val="22"/>
              <w:lang w:eastAsia="en-AU"/>
            </w:rPr>
          </w:pPr>
          <w:hyperlink w:anchor="_Toc112606909" w:history="1">
            <w:r w:rsidR="008C6052" w:rsidRPr="003E713A">
              <w:rPr>
                <w:rStyle w:val="Hyperlink"/>
                <w:noProof/>
              </w:rPr>
              <w:t>Risk factors for sexual harassment and the judiciary identified in the United States</w:t>
            </w:r>
            <w:r w:rsidR="008C6052">
              <w:rPr>
                <w:noProof/>
                <w:webHidden/>
              </w:rPr>
              <w:tab/>
            </w:r>
            <w:r w:rsidR="008C6052">
              <w:rPr>
                <w:noProof/>
                <w:webHidden/>
              </w:rPr>
              <w:fldChar w:fldCharType="begin"/>
            </w:r>
            <w:r w:rsidR="008C6052">
              <w:rPr>
                <w:noProof/>
                <w:webHidden/>
              </w:rPr>
              <w:instrText xml:space="preserve"> PAGEREF _Toc112606909 \h </w:instrText>
            </w:r>
            <w:r w:rsidR="008C6052">
              <w:rPr>
                <w:noProof/>
                <w:webHidden/>
              </w:rPr>
            </w:r>
            <w:r w:rsidR="008C6052">
              <w:rPr>
                <w:noProof/>
                <w:webHidden/>
              </w:rPr>
              <w:fldChar w:fldCharType="separate"/>
            </w:r>
            <w:r w:rsidR="00CF093C">
              <w:rPr>
                <w:noProof/>
                <w:webHidden/>
              </w:rPr>
              <w:t>64</w:t>
            </w:r>
            <w:r w:rsidR="008C6052">
              <w:rPr>
                <w:noProof/>
                <w:webHidden/>
              </w:rPr>
              <w:fldChar w:fldCharType="end"/>
            </w:r>
          </w:hyperlink>
        </w:p>
        <w:p w14:paraId="4059A975" w14:textId="0BD91C1B" w:rsidR="008C6052" w:rsidRDefault="00921EC5">
          <w:pPr>
            <w:pStyle w:val="TOC1"/>
            <w:rPr>
              <w:b w:val="0"/>
              <w:noProof/>
              <w:sz w:val="22"/>
              <w:szCs w:val="22"/>
              <w:lang w:eastAsia="en-AU"/>
            </w:rPr>
          </w:pPr>
          <w:hyperlink w:anchor="_Toc112606910" w:history="1">
            <w:r w:rsidR="008C6052" w:rsidRPr="003E713A">
              <w:rPr>
                <w:rStyle w:val="Hyperlink"/>
                <w:noProof/>
              </w:rPr>
              <w:t>Risk Factors in Victorian Courts</w:t>
            </w:r>
            <w:r w:rsidR="008C6052">
              <w:rPr>
                <w:noProof/>
                <w:webHidden/>
              </w:rPr>
              <w:tab/>
            </w:r>
            <w:r w:rsidR="008C6052">
              <w:rPr>
                <w:noProof/>
                <w:webHidden/>
              </w:rPr>
              <w:fldChar w:fldCharType="begin"/>
            </w:r>
            <w:r w:rsidR="008C6052">
              <w:rPr>
                <w:noProof/>
                <w:webHidden/>
              </w:rPr>
              <w:instrText xml:space="preserve"> PAGEREF _Toc112606910 \h </w:instrText>
            </w:r>
            <w:r w:rsidR="008C6052">
              <w:rPr>
                <w:noProof/>
                <w:webHidden/>
              </w:rPr>
            </w:r>
            <w:r w:rsidR="008C6052">
              <w:rPr>
                <w:noProof/>
                <w:webHidden/>
              </w:rPr>
              <w:fldChar w:fldCharType="separate"/>
            </w:r>
            <w:r w:rsidR="00CF093C">
              <w:rPr>
                <w:noProof/>
                <w:webHidden/>
              </w:rPr>
              <w:t>65</w:t>
            </w:r>
            <w:r w:rsidR="008C6052">
              <w:rPr>
                <w:noProof/>
                <w:webHidden/>
              </w:rPr>
              <w:fldChar w:fldCharType="end"/>
            </w:r>
          </w:hyperlink>
        </w:p>
        <w:p w14:paraId="4AC6D2CE" w14:textId="68F4C94F" w:rsidR="008C6052" w:rsidRDefault="00921EC5">
          <w:pPr>
            <w:pStyle w:val="TOC2"/>
            <w:rPr>
              <w:noProof/>
              <w:sz w:val="22"/>
              <w:szCs w:val="22"/>
              <w:lang w:eastAsia="en-AU"/>
            </w:rPr>
          </w:pPr>
          <w:hyperlink w:anchor="_Toc112606911" w:history="1">
            <w:r w:rsidR="008C6052" w:rsidRPr="003E713A">
              <w:rPr>
                <w:rStyle w:val="Hyperlink"/>
                <w:noProof/>
              </w:rPr>
              <w:t>Supreme Court</w:t>
            </w:r>
            <w:r w:rsidR="008C6052">
              <w:rPr>
                <w:noProof/>
                <w:webHidden/>
              </w:rPr>
              <w:tab/>
            </w:r>
            <w:r w:rsidR="008C6052">
              <w:rPr>
                <w:noProof/>
                <w:webHidden/>
              </w:rPr>
              <w:fldChar w:fldCharType="begin"/>
            </w:r>
            <w:r w:rsidR="008C6052">
              <w:rPr>
                <w:noProof/>
                <w:webHidden/>
              </w:rPr>
              <w:instrText xml:space="preserve"> PAGEREF _Toc112606911 \h </w:instrText>
            </w:r>
            <w:r w:rsidR="008C6052">
              <w:rPr>
                <w:noProof/>
                <w:webHidden/>
              </w:rPr>
            </w:r>
            <w:r w:rsidR="008C6052">
              <w:rPr>
                <w:noProof/>
                <w:webHidden/>
              </w:rPr>
              <w:fldChar w:fldCharType="separate"/>
            </w:r>
            <w:r w:rsidR="00CF093C">
              <w:rPr>
                <w:noProof/>
                <w:webHidden/>
              </w:rPr>
              <w:t>65</w:t>
            </w:r>
            <w:r w:rsidR="008C6052">
              <w:rPr>
                <w:noProof/>
                <w:webHidden/>
              </w:rPr>
              <w:fldChar w:fldCharType="end"/>
            </w:r>
          </w:hyperlink>
        </w:p>
        <w:p w14:paraId="489218DB" w14:textId="3A916E7D" w:rsidR="008C6052" w:rsidRDefault="00921EC5">
          <w:pPr>
            <w:pStyle w:val="TOC2"/>
            <w:rPr>
              <w:noProof/>
              <w:sz w:val="22"/>
              <w:szCs w:val="22"/>
              <w:lang w:eastAsia="en-AU"/>
            </w:rPr>
          </w:pPr>
          <w:hyperlink w:anchor="_Toc112606912" w:history="1">
            <w:r w:rsidR="008C6052" w:rsidRPr="003E713A">
              <w:rPr>
                <w:rStyle w:val="Hyperlink"/>
                <w:noProof/>
              </w:rPr>
              <w:t>County Court</w:t>
            </w:r>
            <w:r w:rsidR="008C6052">
              <w:rPr>
                <w:noProof/>
                <w:webHidden/>
              </w:rPr>
              <w:tab/>
            </w:r>
            <w:r w:rsidR="008C6052">
              <w:rPr>
                <w:noProof/>
                <w:webHidden/>
              </w:rPr>
              <w:fldChar w:fldCharType="begin"/>
            </w:r>
            <w:r w:rsidR="008C6052">
              <w:rPr>
                <w:noProof/>
                <w:webHidden/>
              </w:rPr>
              <w:instrText xml:space="preserve"> PAGEREF _Toc112606912 \h </w:instrText>
            </w:r>
            <w:r w:rsidR="008C6052">
              <w:rPr>
                <w:noProof/>
                <w:webHidden/>
              </w:rPr>
            </w:r>
            <w:r w:rsidR="008C6052">
              <w:rPr>
                <w:noProof/>
                <w:webHidden/>
              </w:rPr>
              <w:fldChar w:fldCharType="separate"/>
            </w:r>
            <w:r w:rsidR="00CF093C">
              <w:rPr>
                <w:noProof/>
                <w:webHidden/>
              </w:rPr>
              <w:t>66</w:t>
            </w:r>
            <w:r w:rsidR="008C6052">
              <w:rPr>
                <w:noProof/>
                <w:webHidden/>
              </w:rPr>
              <w:fldChar w:fldCharType="end"/>
            </w:r>
          </w:hyperlink>
        </w:p>
        <w:p w14:paraId="27D0523E" w14:textId="112CF245" w:rsidR="008C6052" w:rsidRDefault="00921EC5">
          <w:pPr>
            <w:pStyle w:val="TOC2"/>
            <w:rPr>
              <w:noProof/>
              <w:sz w:val="22"/>
              <w:szCs w:val="22"/>
              <w:lang w:eastAsia="en-AU"/>
            </w:rPr>
          </w:pPr>
          <w:hyperlink w:anchor="_Toc112606913" w:history="1">
            <w:r w:rsidR="008C6052" w:rsidRPr="003E713A">
              <w:rPr>
                <w:rStyle w:val="Hyperlink"/>
                <w:noProof/>
              </w:rPr>
              <w:t>The Other Courts</w:t>
            </w:r>
            <w:r w:rsidR="008C6052">
              <w:rPr>
                <w:noProof/>
                <w:webHidden/>
              </w:rPr>
              <w:tab/>
            </w:r>
            <w:r w:rsidR="008C6052">
              <w:rPr>
                <w:noProof/>
                <w:webHidden/>
              </w:rPr>
              <w:fldChar w:fldCharType="begin"/>
            </w:r>
            <w:r w:rsidR="008C6052">
              <w:rPr>
                <w:noProof/>
                <w:webHidden/>
              </w:rPr>
              <w:instrText xml:space="preserve"> PAGEREF _Toc112606913 \h </w:instrText>
            </w:r>
            <w:r w:rsidR="008C6052">
              <w:rPr>
                <w:noProof/>
                <w:webHidden/>
              </w:rPr>
            </w:r>
            <w:r w:rsidR="008C6052">
              <w:rPr>
                <w:noProof/>
                <w:webHidden/>
              </w:rPr>
              <w:fldChar w:fldCharType="separate"/>
            </w:r>
            <w:r w:rsidR="00CF093C">
              <w:rPr>
                <w:noProof/>
                <w:webHidden/>
              </w:rPr>
              <w:t>66</w:t>
            </w:r>
            <w:r w:rsidR="008C6052">
              <w:rPr>
                <w:noProof/>
                <w:webHidden/>
              </w:rPr>
              <w:fldChar w:fldCharType="end"/>
            </w:r>
          </w:hyperlink>
        </w:p>
        <w:p w14:paraId="7DEFCF57" w14:textId="1A4EA35F" w:rsidR="008C6052" w:rsidRDefault="00921EC5">
          <w:pPr>
            <w:pStyle w:val="TOC1"/>
            <w:rPr>
              <w:b w:val="0"/>
              <w:noProof/>
              <w:sz w:val="22"/>
              <w:szCs w:val="22"/>
              <w:lang w:eastAsia="en-AU"/>
            </w:rPr>
          </w:pPr>
          <w:hyperlink w:anchor="_Toc112606914" w:history="1">
            <w:r w:rsidR="008C6052" w:rsidRPr="003E713A">
              <w:rPr>
                <w:rStyle w:val="Hyperlink"/>
                <w:noProof/>
              </w:rPr>
              <w:t>Brief Summary of Employment Arrangements in each Relevant Jurisdiction</w:t>
            </w:r>
            <w:r w:rsidR="008C6052">
              <w:rPr>
                <w:noProof/>
                <w:webHidden/>
              </w:rPr>
              <w:tab/>
            </w:r>
            <w:r w:rsidR="008C6052">
              <w:rPr>
                <w:noProof/>
                <w:webHidden/>
              </w:rPr>
              <w:fldChar w:fldCharType="begin"/>
            </w:r>
            <w:r w:rsidR="008C6052">
              <w:rPr>
                <w:noProof/>
                <w:webHidden/>
              </w:rPr>
              <w:instrText xml:space="preserve"> PAGEREF _Toc112606914 \h </w:instrText>
            </w:r>
            <w:r w:rsidR="008C6052">
              <w:rPr>
                <w:noProof/>
                <w:webHidden/>
              </w:rPr>
            </w:r>
            <w:r w:rsidR="008C6052">
              <w:rPr>
                <w:noProof/>
                <w:webHidden/>
              </w:rPr>
              <w:fldChar w:fldCharType="separate"/>
            </w:r>
            <w:r w:rsidR="00CF093C">
              <w:rPr>
                <w:noProof/>
                <w:webHidden/>
              </w:rPr>
              <w:t>67</w:t>
            </w:r>
            <w:r w:rsidR="008C6052">
              <w:rPr>
                <w:noProof/>
                <w:webHidden/>
              </w:rPr>
              <w:fldChar w:fldCharType="end"/>
            </w:r>
          </w:hyperlink>
        </w:p>
        <w:p w14:paraId="73F22CFF" w14:textId="4AEB9725" w:rsidR="008C6052" w:rsidRDefault="00921EC5">
          <w:pPr>
            <w:pStyle w:val="TOC2"/>
            <w:rPr>
              <w:noProof/>
              <w:sz w:val="22"/>
              <w:szCs w:val="22"/>
              <w:lang w:eastAsia="en-AU"/>
            </w:rPr>
          </w:pPr>
          <w:hyperlink w:anchor="_Toc112606915" w:history="1">
            <w:r w:rsidR="008C6052" w:rsidRPr="003E713A">
              <w:rPr>
                <w:rStyle w:val="Hyperlink"/>
                <w:noProof/>
              </w:rPr>
              <w:t>Magistrates’ Court</w:t>
            </w:r>
            <w:r w:rsidR="008C6052">
              <w:rPr>
                <w:noProof/>
                <w:webHidden/>
              </w:rPr>
              <w:tab/>
            </w:r>
            <w:r w:rsidR="008C6052">
              <w:rPr>
                <w:noProof/>
                <w:webHidden/>
              </w:rPr>
              <w:fldChar w:fldCharType="begin"/>
            </w:r>
            <w:r w:rsidR="008C6052">
              <w:rPr>
                <w:noProof/>
                <w:webHidden/>
              </w:rPr>
              <w:instrText xml:space="preserve"> PAGEREF _Toc112606915 \h </w:instrText>
            </w:r>
            <w:r w:rsidR="008C6052">
              <w:rPr>
                <w:noProof/>
                <w:webHidden/>
              </w:rPr>
            </w:r>
            <w:r w:rsidR="008C6052">
              <w:rPr>
                <w:noProof/>
                <w:webHidden/>
              </w:rPr>
              <w:fldChar w:fldCharType="separate"/>
            </w:r>
            <w:r w:rsidR="00CF093C">
              <w:rPr>
                <w:noProof/>
                <w:webHidden/>
              </w:rPr>
              <w:t>67</w:t>
            </w:r>
            <w:r w:rsidR="008C6052">
              <w:rPr>
                <w:noProof/>
                <w:webHidden/>
              </w:rPr>
              <w:fldChar w:fldCharType="end"/>
            </w:r>
          </w:hyperlink>
        </w:p>
        <w:p w14:paraId="2CB51E29" w14:textId="16C2D5A0" w:rsidR="008C6052" w:rsidRDefault="00921EC5">
          <w:pPr>
            <w:pStyle w:val="TOC2"/>
            <w:rPr>
              <w:noProof/>
              <w:sz w:val="22"/>
              <w:szCs w:val="22"/>
              <w:lang w:eastAsia="en-AU"/>
            </w:rPr>
          </w:pPr>
          <w:hyperlink w:anchor="_Toc112606916" w:history="1">
            <w:r w:rsidR="008C6052" w:rsidRPr="003E713A">
              <w:rPr>
                <w:rStyle w:val="Hyperlink"/>
                <w:noProof/>
                <w:lang w:val="en-US"/>
              </w:rPr>
              <w:t>Children’s Court</w:t>
            </w:r>
            <w:r w:rsidR="008C6052">
              <w:rPr>
                <w:noProof/>
                <w:webHidden/>
              </w:rPr>
              <w:tab/>
            </w:r>
            <w:r w:rsidR="008C6052">
              <w:rPr>
                <w:noProof/>
                <w:webHidden/>
              </w:rPr>
              <w:fldChar w:fldCharType="begin"/>
            </w:r>
            <w:r w:rsidR="008C6052">
              <w:rPr>
                <w:noProof/>
                <w:webHidden/>
              </w:rPr>
              <w:instrText xml:space="preserve"> PAGEREF _Toc112606916 \h </w:instrText>
            </w:r>
            <w:r w:rsidR="008C6052">
              <w:rPr>
                <w:noProof/>
                <w:webHidden/>
              </w:rPr>
            </w:r>
            <w:r w:rsidR="008C6052">
              <w:rPr>
                <w:noProof/>
                <w:webHidden/>
              </w:rPr>
              <w:fldChar w:fldCharType="separate"/>
            </w:r>
            <w:r w:rsidR="00CF093C">
              <w:rPr>
                <w:noProof/>
                <w:webHidden/>
              </w:rPr>
              <w:t>71</w:t>
            </w:r>
            <w:r w:rsidR="008C6052">
              <w:rPr>
                <w:noProof/>
                <w:webHidden/>
              </w:rPr>
              <w:fldChar w:fldCharType="end"/>
            </w:r>
          </w:hyperlink>
        </w:p>
        <w:p w14:paraId="3B52D78C" w14:textId="0967C6BE" w:rsidR="008C6052" w:rsidRDefault="00921EC5">
          <w:pPr>
            <w:pStyle w:val="TOC2"/>
            <w:rPr>
              <w:noProof/>
              <w:sz w:val="22"/>
              <w:szCs w:val="22"/>
              <w:lang w:eastAsia="en-AU"/>
            </w:rPr>
          </w:pPr>
          <w:hyperlink w:anchor="_Toc112606917" w:history="1">
            <w:r w:rsidR="008C6052" w:rsidRPr="003E713A">
              <w:rPr>
                <w:rStyle w:val="Hyperlink"/>
                <w:noProof/>
                <w:lang w:val="en-US"/>
              </w:rPr>
              <w:t>Coroners Court</w:t>
            </w:r>
            <w:r w:rsidR="008C6052">
              <w:rPr>
                <w:noProof/>
                <w:webHidden/>
              </w:rPr>
              <w:tab/>
            </w:r>
            <w:r w:rsidR="008C6052">
              <w:rPr>
                <w:noProof/>
                <w:webHidden/>
              </w:rPr>
              <w:fldChar w:fldCharType="begin"/>
            </w:r>
            <w:r w:rsidR="008C6052">
              <w:rPr>
                <w:noProof/>
                <w:webHidden/>
              </w:rPr>
              <w:instrText xml:space="preserve"> PAGEREF _Toc112606917 \h </w:instrText>
            </w:r>
            <w:r w:rsidR="008C6052">
              <w:rPr>
                <w:noProof/>
                <w:webHidden/>
              </w:rPr>
            </w:r>
            <w:r w:rsidR="008C6052">
              <w:rPr>
                <w:noProof/>
                <w:webHidden/>
              </w:rPr>
              <w:fldChar w:fldCharType="separate"/>
            </w:r>
            <w:r w:rsidR="00CF093C">
              <w:rPr>
                <w:noProof/>
                <w:webHidden/>
              </w:rPr>
              <w:t>73</w:t>
            </w:r>
            <w:r w:rsidR="008C6052">
              <w:rPr>
                <w:noProof/>
                <w:webHidden/>
              </w:rPr>
              <w:fldChar w:fldCharType="end"/>
            </w:r>
          </w:hyperlink>
        </w:p>
        <w:p w14:paraId="7423E8BA" w14:textId="5092E32B" w:rsidR="008C6052" w:rsidRDefault="00921EC5">
          <w:pPr>
            <w:pStyle w:val="TOC2"/>
            <w:rPr>
              <w:noProof/>
              <w:sz w:val="22"/>
              <w:szCs w:val="22"/>
              <w:lang w:eastAsia="en-AU"/>
            </w:rPr>
          </w:pPr>
          <w:hyperlink w:anchor="_Toc112606918" w:history="1">
            <w:r w:rsidR="008C6052" w:rsidRPr="003E713A">
              <w:rPr>
                <w:rStyle w:val="Hyperlink"/>
                <w:noProof/>
              </w:rPr>
              <w:t>Conclusion</w:t>
            </w:r>
            <w:r w:rsidR="008C6052">
              <w:rPr>
                <w:noProof/>
                <w:webHidden/>
              </w:rPr>
              <w:tab/>
            </w:r>
            <w:r w:rsidR="008C6052">
              <w:rPr>
                <w:noProof/>
                <w:webHidden/>
              </w:rPr>
              <w:fldChar w:fldCharType="begin"/>
            </w:r>
            <w:r w:rsidR="008C6052">
              <w:rPr>
                <w:noProof/>
                <w:webHidden/>
              </w:rPr>
              <w:instrText xml:space="preserve"> PAGEREF _Toc112606918 \h </w:instrText>
            </w:r>
            <w:r w:rsidR="008C6052">
              <w:rPr>
                <w:noProof/>
                <w:webHidden/>
              </w:rPr>
            </w:r>
            <w:r w:rsidR="008C6052">
              <w:rPr>
                <w:noProof/>
                <w:webHidden/>
              </w:rPr>
              <w:fldChar w:fldCharType="separate"/>
            </w:r>
            <w:r w:rsidR="00CF093C">
              <w:rPr>
                <w:noProof/>
                <w:webHidden/>
              </w:rPr>
              <w:t>76</w:t>
            </w:r>
            <w:r w:rsidR="008C6052">
              <w:rPr>
                <w:noProof/>
                <w:webHidden/>
              </w:rPr>
              <w:fldChar w:fldCharType="end"/>
            </w:r>
          </w:hyperlink>
        </w:p>
        <w:p w14:paraId="20A423BB" w14:textId="633BD75C" w:rsidR="008C6052" w:rsidRDefault="00921EC5">
          <w:pPr>
            <w:pStyle w:val="TOC1"/>
            <w:rPr>
              <w:b w:val="0"/>
              <w:noProof/>
              <w:sz w:val="22"/>
              <w:szCs w:val="22"/>
              <w:lang w:eastAsia="en-AU"/>
            </w:rPr>
          </w:pPr>
          <w:hyperlink w:anchor="_Toc112606919" w:history="1">
            <w:r w:rsidR="008C6052" w:rsidRPr="003E713A">
              <w:rPr>
                <w:rStyle w:val="Hyperlink"/>
                <w:noProof/>
              </w:rPr>
              <w:t>Victorian Civil and Administrative Tribunal</w:t>
            </w:r>
            <w:r w:rsidR="008C6052">
              <w:rPr>
                <w:noProof/>
                <w:webHidden/>
              </w:rPr>
              <w:tab/>
            </w:r>
            <w:r w:rsidR="008C6052">
              <w:rPr>
                <w:noProof/>
                <w:webHidden/>
              </w:rPr>
              <w:fldChar w:fldCharType="begin"/>
            </w:r>
            <w:r w:rsidR="008C6052">
              <w:rPr>
                <w:noProof/>
                <w:webHidden/>
              </w:rPr>
              <w:instrText xml:space="preserve"> PAGEREF _Toc112606919 \h </w:instrText>
            </w:r>
            <w:r w:rsidR="008C6052">
              <w:rPr>
                <w:noProof/>
                <w:webHidden/>
              </w:rPr>
            </w:r>
            <w:r w:rsidR="008C6052">
              <w:rPr>
                <w:noProof/>
                <w:webHidden/>
              </w:rPr>
              <w:fldChar w:fldCharType="separate"/>
            </w:r>
            <w:r w:rsidR="00CF093C">
              <w:rPr>
                <w:noProof/>
                <w:webHidden/>
              </w:rPr>
              <w:t>77</w:t>
            </w:r>
            <w:r w:rsidR="008C6052">
              <w:rPr>
                <w:noProof/>
                <w:webHidden/>
              </w:rPr>
              <w:fldChar w:fldCharType="end"/>
            </w:r>
          </w:hyperlink>
        </w:p>
        <w:p w14:paraId="53FB6FA9" w14:textId="6D196F0E" w:rsidR="008C6052" w:rsidRDefault="00921EC5">
          <w:pPr>
            <w:pStyle w:val="TOC1"/>
            <w:rPr>
              <w:b w:val="0"/>
              <w:noProof/>
              <w:sz w:val="22"/>
              <w:szCs w:val="22"/>
              <w:lang w:eastAsia="en-AU"/>
            </w:rPr>
          </w:pPr>
          <w:hyperlink w:anchor="_Toc112606920" w:history="1">
            <w:r w:rsidR="008C6052" w:rsidRPr="003E713A">
              <w:rPr>
                <w:rStyle w:val="Hyperlink"/>
                <w:noProof/>
              </w:rPr>
              <w:t>Across all Courts and VCAT</w:t>
            </w:r>
            <w:r w:rsidR="008C6052">
              <w:rPr>
                <w:noProof/>
                <w:webHidden/>
              </w:rPr>
              <w:tab/>
            </w:r>
            <w:r w:rsidR="008C6052">
              <w:rPr>
                <w:noProof/>
                <w:webHidden/>
              </w:rPr>
              <w:fldChar w:fldCharType="begin"/>
            </w:r>
            <w:r w:rsidR="008C6052">
              <w:rPr>
                <w:noProof/>
                <w:webHidden/>
              </w:rPr>
              <w:instrText xml:space="preserve"> PAGEREF _Toc112606920 \h </w:instrText>
            </w:r>
            <w:r w:rsidR="008C6052">
              <w:rPr>
                <w:noProof/>
                <w:webHidden/>
              </w:rPr>
            </w:r>
            <w:r w:rsidR="008C6052">
              <w:rPr>
                <w:noProof/>
                <w:webHidden/>
              </w:rPr>
              <w:fldChar w:fldCharType="separate"/>
            </w:r>
            <w:r w:rsidR="00CF093C">
              <w:rPr>
                <w:noProof/>
                <w:webHidden/>
              </w:rPr>
              <w:t>79</w:t>
            </w:r>
            <w:r w:rsidR="008C6052">
              <w:rPr>
                <w:noProof/>
                <w:webHidden/>
              </w:rPr>
              <w:fldChar w:fldCharType="end"/>
            </w:r>
          </w:hyperlink>
        </w:p>
        <w:p w14:paraId="6FF77F1B" w14:textId="6C46BADF" w:rsidR="008C6052" w:rsidRDefault="00921EC5">
          <w:pPr>
            <w:pStyle w:val="TOC2"/>
            <w:rPr>
              <w:noProof/>
              <w:sz w:val="22"/>
              <w:szCs w:val="22"/>
              <w:lang w:eastAsia="en-AU"/>
            </w:rPr>
          </w:pPr>
          <w:hyperlink w:anchor="_Toc112606921" w:history="1">
            <w:r w:rsidR="008C6052" w:rsidRPr="003E713A">
              <w:rPr>
                <w:rStyle w:val="Hyperlink"/>
                <w:noProof/>
              </w:rPr>
              <w:t>The Respect in the Workplace Policy</w:t>
            </w:r>
            <w:r w:rsidR="008C6052">
              <w:rPr>
                <w:noProof/>
                <w:webHidden/>
              </w:rPr>
              <w:tab/>
            </w:r>
            <w:r w:rsidR="008C6052">
              <w:rPr>
                <w:noProof/>
                <w:webHidden/>
              </w:rPr>
              <w:fldChar w:fldCharType="begin"/>
            </w:r>
            <w:r w:rsidR="008C6052">
              <w:rPr>
                <w:noProof/>
                <w:webHidden/>
              </w:rPr>
              <w:instrText xml:space="preserve"> PAGEREF _Toc112606921 \h </w:instrText>
            </w:r>
            <w:r w:rsidR="008C6052">
              <w:rPr>
                <w:noProof/>
                <w:webHidden/>
              </w:rPr>
            </w:r>
            <w:r w:rsidR="008C6052">
              <w:rPr>
                <w:noProof/>
                <w:webHidden/>
              </w:rPr>
              <w:fldChar w:fldCharType="separate"/>
            </w:r>
            <w:r w:rsidR="00CF093C">
              <w:rPr>
                <w:noProof/>
                <w:webHidden/>
              </w:rPr>
              <w:t>79</w:t>
            </w:r>
            <w:r w:rsidR="008C6052">
              <w:rPr>
                <w:noProof/>
                <w:webHidden/>
              </w:rPr>
              <w:fldChar w:fldCharType="end"/>
            </w:r>
          </w:hyperlink>
        </w:p>
        <w:p w14:paraId="04D4316A" w14:textId="5DA5B035" w:rsidR="008C6052" w:rsidRDefault="00921EC5">
          <w:pPr>
            <w:pStyle w:val="TOC2"/>
            <w:rPr>
              <w:noProof/>
              <w:sz w:val="22"/>
              <w:szCs w:val="22"/>
              <w:lang w:eastAsia="en-AU"/>
            </w:rPr>
          </w:pPr>
          <w:hyperlink w:anchor="_Toc112606922" w:history="1">
            <w:r w:rsidR="008C6052" w:rsidRPr="003E713A">
              <w:rPr>
                <w:rStyle w:val="Hyperlink"/>
                <w:noProof/>
              </w:rPr>
              <w:t>The Respect in the Workplace Module</w:t>
            </w:r>
            <w:r w:rsidR="008C6052">
              <w:rPr>
                <w:noProof/>
                <w:webHidden/>
              </w:rPr>
              <w:tab/>
            </w:r>
            <w:r w:rsidR="008C6052">
              <w:rPr>
                <w:noProof/>
                <w:webHidden/>
              </w:rPr>
              <w:fldChar w:fldCharType="begin"/>
            </w:r>
            <w:r w:rsidR="008C6052">
              <w:rPr>
                <w:noProof/>
                <w:webHidden/>
              </w:rPr>
              <w:instrText xml:space="preserve"> PAGEREF _Toc112606922 \h </w:instrText>
            </w:r>
            <w:r w:rsidR="008C6052">
              <w:rPr>
                <w:noProof/>
                <w:webHidden/>
              </w:rPr>
            </w:r>
            <w:r w:rsidR="008C6052">
              <w:rPr>
                <w:noProof/>
                <w:webHidden/>
              </w:rPr>
              <w:fldChar w:fldCharType="separate"/>
            </w:r>
            <w:r w:rsidR="00CF093C">
              <w:rPr>
                <w:noProof/>
                <w:webHidden/>
              </w:rPr>
              <w:t>80</w:t>
            </w:r>
            <w:r w:rsidR="008C6052">
              <w:rPr>
                <w:noProof/>
                <w:webHidden/>
              </w:rPr>
              <w:fldChar w:fldCharType="end"/>
            </w:r>
          </w:hyperlink>
        </w:p>
        <w:p w14:paraId="5B7853B2" w14:textId="365C24A0" w:rsidR="008C6052" w:rsidRDefault="00921EC5">
          <w:pPr>
            <w:pStyle w:val="TOC1"/>
            <w:rPr>
              <w:b w:val="0"/>
              <w:noProof/>
              <w:sz w:val="22"/>
              <w:szCs w:val="22"/>
              <w:lang w:eastAsia="en-AU"/>
            </w:rPr>
          </w:pPr>
          <w:hyperlink w:anchor="_Toc112606923" w:history="1">
            <w:r w:rsidR="008C6052" w:rsidRPr="003E713A">
              <w:rPr>
                <w:rStyle w:val="Hyperlink"/>
                <w:noProof/>
              </w:rPr>
              <w:t>New CSV Policies</w:t>
            </w:r>
            <w:r w:rsidR="008C6052">
              <w:rPr>
                <w:noProof/>
                <w:webHidden/>
              </w:rPr>
              <w:tab/>
            </w:r>
            <w:r w:rsidR="008C6052">
              <w:rPr>
                <w:noProof/>
                <w:webHidden/>
              </w:rPr>
              <w:fldChar w:fldCharType="begin"/>
            </w:r>
            <w:r w:rsidR="008C6052">
              <w:rPr>
                <w:noProof/>
                <w:webHidden/>
              </w:rPr>
              <w:instrText xml:space="preserve"> PAGEREF _Toc112606923 \h </w:instrText>
            </w:r>
            <w:r w:rsidR="008C6052">
              <w:rPr>
                <w:noProof/>
                <w:webHidden/>
              </w:rPr>
            </w:r>
            <w:r w:rsidR="008C6052">
              <w:rPr>
                <w:noProof/>
                <w:webHidden/>
              </w:rPr>
              <w:fldChar w:fldCharType="separate"/>
            </w:r>
            <w:r w:rsidR="00CF093C">
              <w:rPr>
                <w:noProof/>
                <w:webHidden/>
              </w:rPr>
              <w:t>80</w:t>
            </w:r>
            <w:r w:rsidR="008C6052">
              <w:rPr>
                <w:noProof/>
                <w:webHidden/>
              </w:rPr>
              <w:fldChar w:fldCharType="end"/>
            </w:r>
          </w:hyperlink>
        </w:p>
        <w:p w14:paraId="322FC99A" w14:textId="00BC75CD" w:rsidR="008C6052" w:rsidRDefault="00921EC5">
          <w:pPr>
            <w:pStyle w:val="TOC1"/>
            <w:rPr>
              <w:b w:val="0"/>
              <w:noProof/>
              <w:sz w:val="22"/>
              <w:szCs w:val="22"/>
              <w:lang w:eastAsia="en-AU"/>
            </w:rPr>
          </w:pPr>
          <w:hyperlink w:anchor="_Toc112606924" w:history="1">
            <w:r w:rsidR="008C6052" w:rsidRPr="003E713A">
              <w:rPr>
                <w:rStyle w:val="Hyperlink"/>
                <w:noProof/>
              </w:rPr>
              <w:t>Summary of Observations</w:t>
            </w:r>
            <w:r w:rsidR="008C6052">
              <w:rPr>
                <w:noProof/>
                <w:webHidden/>
              </w:rPr>
              <w:tab/>
            </w:r>
            <w:r w:rsidR="008C6052">
              <w:rPr>
                <w:noProof/>
                <w:webHidden/>
              </w:rPr>
              <w:fldChar w:fldCharType="begin"/>
            </w:r>
            <w:r w:rsidR="008C6052">
              <w:rPr>
                <w:noProof/>
                <w:webHidden/>
              </w:rPr>
              <w:instrText xml:space="preserve"> PAGEREF _Toc112606924 \h </w:instrText>
            </w:r>
            <w:r w:rsidR="008C6052">
              <w:rPr>
                <w:noProof/>
                <w:webHidden/>
              </w:rPr>
            </w:r>
            <w:r w:rsidR="008C6052">
              <w:rPr>
                <w:noProof/>
                <w:webHidden/>
              </w:rPr>
              <w:fldChar w:fldCharType="separate"/>
            </w:r>
            <w:r w:rsidR="00CF093C">
              <w:rPr>
                <w:noProof/>
                <w:webHidden/>
              </w:rPr>
              <w:t>85</w:t>
            </w:r>
            <w:r w:rsidR="008C6052">
              <w:rPr>
                <w:noProof/>
                <w:webHidden/>
              </w:rPr>
              <w:fldChar w:fldCharType="end"/>
            </w:r>
          </w:hyperlink>
        </w:p>
        <w:p w14:paraId="6E55EF09" w14:textId="6E3A6C0D" w:rsidR="008C6052" w:rsidRDefault="00921EC5">
          <w:pPr>
            <w:pStyle w:val="TOC2"/>
            <w:rPr>
              <w:noProof/>
              <w:sz w:val="22"/>
              <w:szCs w:val="22"/>
              <w:lang w:eastAsia="en-AU"/>
            </w:rPr>
          </w:pPr>
          <w:hyperlink w:anchor="_Toc112606925" w:history="1">
            <w:r w:rsidR="008C6052" w:rsidRPr="003E713A">
              <w:rPr>
                <w:rStyle w:val="Hyperlink"/>
                <w:noProof/>
              </w:rPr>
              <w:t>Demographics and Length of Tenure of Associates</w:t>
            </w:r>
            <w:r w:rsidR="008C6052">
              <w:rPr>
                <w:noProof/>
                <w:webHidden/>
              </w:rPr>
              <w:tab/>
            </w:r>
            <w:r w:rsidR="008C6052">
              <w:rPr>
                <w:noProof/>
                <w:webHidden/>
              </w:rPr>
              <w:fldChar w:fldCharType="begin"/>
            </w:r>
            <w:r w:rsidR="008C6052">
              <w:rPr>
                <w:noProof/>
                <w:webHidden/>
              </w:rPr>
              <w:instrText xml:space="preserve"> PAGEREF _Toc112606925 \h </w:instrText>
            </w:r>
            <w:r w:rsidR="008C6052">
              <w:rPr>
                <w:noProof/>
                <w:webHidden/>
              </w:rPr>
            </w:r>
            <w:r w:rsidR="008C6052">
              <w:rPr>
                <w:noProof/>
                <w:webHidden/>
              </w:rPr>
              <w:fldChar w:fldCharType="separate"/>
            </w:r>
            <w:r w:rsidR="00CF093C">
              <w:rPr>
                <w:noProof/>
                <w:webHidden/>
              </w:rPr>
              <w:t>85</w:t>
            </w:r>
            <w:r w:rsidR="008C6052">
              <w:rPr>
                <w:noProof/>
                <w:webHidden/>
              </w:rPr>
              <w:fldChar w:fldCharType="end"/>
            </w:r>
          </w:hyperlink>
        </w:p>
        <w:p w14:paraId="71C02128" w14:textId="65B8535D" w:rsidR="008C6052" w:rsidRDefault="00921EC5">
          <w:pPr>
            <w:pStyle w:val="TOC2"/>
            <w:rPr>
              <w:noProof/>
              <w:sz w:val="22"/>
              <w:szCs w:val="22"/>
              <w:lang w:eastAsia="en-AU"/>
            </w:rPr>
          </w:pPr>
          <w:hyperlink w:anchor="_Toc112606926" w:history="1">
            <w:r w:rsidR="008C6052" w:rsidRPr="003E713A">
              <w:rPr>
                <w:rStyle w:val="Hyperlink"/>
                <w:noProof/>
              </w:rPr>
              <w:t>Assignment of Staff to Judicial Officers</w:t>
            </w:r>
            <w:r w:rsidR="008C6052">
              <w:rPr>
                <w:noProof/>
                <w:webHidden/>
              </w:rPr>
              <w:tab/>
            </w:r>
            <w:r w:rsidR="008C6052">
              <w:rPr>
                <w:noProof/>
                <w:webHidden/>
              </w:rPr>
              <w:fldChar w:fldCharType="begin"/>
            </w:r>
            <w:r w:rsidR="008C6052">
              <w:rPr>
                <w:noProof/>
                <w:webHidden/>
              </w:rPr>
              <w:instrText xml:space="preserve"> PAGEREF _Toc112606926 \h </w:instrText>
            </w:r>
            <w:r w:rsidR="008C6052">
              <w:rPr>
                <w:noProof/>
                <w:webHidden/>
              </w:rPr>
            </w:r>
            <w:r w:rsidR="008C6052">
              <w:rPr>
                <w:noProof/>
                <w:webHidden/>
              </w:rPr>
              <w:fldChar w:fldCharType="separate"/>
            </w:r>
            <w:r w:rsidR="00CF093C">
              <w:rPr>
                <w:noProof/>
                <w:webHidden/>
              </w:rPr>
              <w:t>86</w:t>
            </w:r>
            <w:r w:rsidR="008C6052">
              <w:rPr>
                <w:noProof/>
                <w:webHidden/>
              </w:rPr>
              <w:fldChar w:fldCharType="end"/>
            </w:r>
          </w:hyperlink>
        </w:p>
        <w:p w14:paraId="72C4E328" w14:textId="4E5F942B" w:rsidR="008C6052" w:rsidRDefault="00921EC5">
          <w:pPr>
            <w:pStyle w:val="TOC2"/>
            <w:rPr>
              <w:noProof/>
              <w:sz w:val="22"/>
              <w:szCs w:val="22"/>
              <w:lang w:eastAsia="en-AU"/>
            </w:rPr>
          </w:pPr>
          <w:hyperlink w:anchor="_Toc112606927" w:history="1">
            <w:r w:rsidR="008C6052" w:rsidRPr="003E713A">
              <w:rPr>
                <w:rStyle w:val="Hyperlink"/>
                <w:noProof/>
              </w:rPr>
              <w:t>Appropriate training on Respective Responsibilities for Supervision of Staff</w:t>
            </w:r>
            <w:r w:rsidR="008C6052">
              <w:rPr>
                <w:noProof/>
                <w:webHidden/>
              </w:rPr>
              <w:tab/>
            </w:r>
            <w:r w:rsidR="008C6052">
              <w:rPr>
                <w:noProof/>
                <w:webHidden/>
              </w:rPr>
              <w:fldChar w:fldCharType="begin"/>
            </w:r>
            <w:r w:rsidR="008C6052">
              <w:rPr>
                <w:noProof/>
                <w:webHidden/>
              </w:rPr>
              <w:instrText xml:space="preserve"> PAGEREF _Toc112606927 \h </w:instrText>
            </w:r>
            <w:r w:rsidR="008C6052">
              <w:rPr>
                <w:noProof/>
                <w:webHidden/>
              </w:rPr>
            </w:r>
            <w:r w:rsidR="008C6052">
              <w:rPr>
                <w:noProof/>
                <w:webHidden/>
              </w:rPr>
              <w:fldChar w:fldCharType="separate"/>
            </w:r>
            <w:r w:rsidR="00CF093C">
              <w:rPr>
                <w:noProof/>
                <w:webHidden/>
              </w:rPr>
              <w:t>87</w:t>
            </w:r>
            <w:r w:rsidR="008C6052">
              <w:rPr>
                <w:noProof/>
                <w:webHidden/>
              </w:rPr>
              <w:fldChar w:fldCharType="end"/>
            </w:r>
          </w:hyperlink>
        </w:p>
        <w:p w14:paraId="064B5777" w14:textId="51924A8F" w:rsidR="008C6052" w:rsidRDefault="00921EC5">
          <w:pPr>
            <w:pStyle w:val="TOC2"/>
            <w:rPr>
              <w:noProof/>
              <w:sz w:val="22"/>
              <w:szCs w:val="22"/>
              <w:lang w:eastAsia="en-AU"/>
            </w:rPr>
          </w:pPr>
          <w:hyperlink w:anchor="_Toc112606928" w:history="1">
            <w:r w:rsidR="008C6052" w:rsidRPr="003E713A">
              <w:rPr>
                <w:rStyle w:val="Hyperlink"/>
                <w:noProof/>
              </w:rPr>
              <w:t>Induction Processes for Judicial Officers and Judicial Staff concerning Sexual Harassment</w:t>
            </w:r>
            <w:r w:rsidR="008C6052">
              <w:rPr>
                <w:noProof/>
                <w:webHidden/>
              </w:rPr>
              <w:tab/>
            </w:r>
            <w:r w:rsidR="008C6052">
              <w:rPr>
                <w:noProof/>
                <w:webHidden/>
              </w:rPr>
              <w:fldChar w:fldCharType="begin"/>
            </w:r>
            <w:r w:rsidR="008C6052">
              <w:rPr>
                <w:noProof/>
                <w:webHidden/>
              </w:rPr>
              <w:instrText xml:space="preserve"> PAGEREF _Toc112606928 \h </w:instrText>
            </w:r>
            <w:r w:rsidR="008C6052">
              <w:rPr>
                <w:noProof/>
                <w:webHidden/>
              </w:rPr>
            </w:r>
            <w:r w:rsidR="008C6052">
              <w:rPr>
                <w:noProof/>
                <w:webHidden/>
              </w:rPr>
              <w:fldChar w:fldCharType="separate"/>
            </w:r>
            <w:r w:rsidR="00CF093C">
              <w:rPr>
                <w:noProof/>
                <w:webHidden/>
              </w:rPr>
              <w:t>88</w:t>
            </w:r>
            <w:r w:rsidR="008C6052">
              <w:rPr>
                <w:noProof/>
                <w:webHidden/>
              </w:rPr>
              <w:fldChar w:fldCharType="end"/>
            </w:r>
          </w:hyperlink>
        </w:p>
        <w:p w14:paraId="1367334B" w14:textId="5047F4D0" w:rsidR="008C6052" w:rsidRDefault="00921EC5">
          <w:pPr>
            <w:pStyle w:val="TOC2"/>
            <w:rPr>
              <w:noProof/>
              <w:sz w:val="22"/>
              <w:szCs w:val="22"/>
              <w:lang w:eastAsia="en-AU"/>
            </w:rPr>
          </w:pPr>
          <w:hyperlink w:anchor="_Toc112606929" w:history="1">
            <w:r w:rsidR="008C6052" w:rsidRPr="003E713A">
              <w:rPr>
                <w:rStyle w:val="Hyperlink"/>
                <w:noProof/>
              </w:rPr>
              <w:t>Reporting lines</w:t>
            </w:r>
            <w:r w:rsidR="008C6052">
              <w:rPr>
                <w:noProof/>
                <w:webHidden/>
              </w:rPr>
              <w:tab/>
            </w:r>
            <w:r w:rsidR="008C6052">
              <w:rPr>
                <w:noProof/>
                <w:webHidden/>
              </w:rPr>
              <w:fldChar w:fldCharType="begin"/>
            </w:r>
            <w:r w:rsidR="008C6052">
              <w:rPr>
                <w:noProof/>
                <w:webHidden/>
              </w:rPr>
              <w:instrText xml:space="preserve"> PAGEREF _Toc112606929 \h </w:instrText>
            </w:r>
            <w:r w:rsidR="008C6052">
              <w:rPr>
                <w:noProof/>
                <w:webHidden/>
              </w:rPr>
            </w:r>
            <w:r w:rsidR="008C6052">
              <w:rPr>
                <w:noProof/>
                <w:webHidden/>
              </w:rPr>
              <w:fldChar w:fldCharType="separate"/>
            </w:r>
            <w:r w:rsidR="00CF093C">
              <w:rPr>
                <w:noProof/>
                <w:webHidden/>
              </w:rPr>
              <w:t>89</w:t>
            </w:r>
            <w:r w:rsidR="008C6052">
              <w:rPr>
                <w:noProof/>
                <w:webHidden/>
              </w:rPr>
              <w:fldChar w:fldCharType="end"/>
            </w:r>
          </w:hyperlink>
        </w:p>
        <w:p w14:paraId="79278D86" w14:textId="365827A5" w:rsidR="008C6052" w:rsidRDefault="00921EC5">
          <w:pPr>
            <w:pStyle w:val="TOC2"/>
            <w:rPr>
              <w:noProof/>
              <w:sz w:val="22"/>
              <w:szCs w:val="22"/>
              <w:lang w:eastAsia="en-AU"/>
            </w:rPr>
          </w:pPr>
          <w:hyperlink w:anchor="_Toc112606930" w:history="1">
            <w:r w:rsidR="008C6052" w:rsidRPr="003E713A">
              <w:rPr>
                <w:rStyle w:val="Hyperlink"/>
                <w:noProof/>
              </w:rPr>
              <w:t>Peer Support and Mentoring/Feedback Mechanisms</w:t>
            </w:r>
            <w:r w:rsidR="008C6052">
              <w:rPr>
                <w:noProof/>
                <w:webHidden/>
              </w:rPr>
              <w:tab/>
            </w:r>
            <w:r w:rsidR="008C6052">
              <w:rPr>
                <w:noProof/>
                <w:webHidden/>
              </w:rPr>
              <w:fldChar w:fldCharType="begin"/>
            </w:r>
            <w:r w:rsidR="008C6052">
              <w:rPr>
                <w:noProof/>
                <w:webHidden/>
              </w:rPr>
              <w:instrText xml:space="preserve"> PAGEREF _Toc112606930 \h </w:instrText>
            </w:r>
            <w:r w:rsidR="008C6052">
              <w:rPr>
                <w:noProof/>
                <w:webHidden/>
              </w:rPr>
            </w:r>
            <w:r w:rsidR="008C6052">
              <w:rPr>
                <w:noProof/>
                <w:webHidden/>
              </w:rPr>
              <w:fldChar w:fldCharType="separate"/>
            </w:r>
            <w:r w:rsidR="00CF093C">
              <w:rPr>
                <w:noProof/>
                <w:webHidden/>
              </w:rPr>
              <w:t>90</w:t>
            </w:r>
            <w:r w:rsidR="008C6052">
              <w:rPr>
                <w:noProof/>
                <w:webHidden/>
              </w:rPr>
              <w:fldChar w:fldCharType="end"/>
            </w:r>
          </w:hyperlink>
        </w:p>
        <w:p w14:paraId="7D6D403E" w14:textId="6082FFEB" w:rsidR="008C6052" w:rsidRDefault="00921EC5">
          <w:pPr>
            <w:pStyle w:val="TOC4"/>
            <w:tabs>
              <w:tab w:val="right" w:leader="dot" w:pos="9016"/>
            </w:tabs>
            <w:rPr>
              <w:b w:val="0"/>
              <w:caps w:val="0"/>
              <w:noProof/>
              <w:sz w:val="22"/>
              <w:szCs w:val="22"/>
              <w:lang w:eastAsia="en-AU"/>
            </w:rPr>
          </w:pPr>
          <w:hyperlink w:anchor="_Toc112606931" w:history="1">
            <w:r w:rsidR="008C6052" w:rsidRPr="003E713A">
              <w:rPr>
                <w:rStyle w:val="Hyperlink"/>
                <w:noProof/>
              </w:rPr>
              <w:t>RECOMMENDATIONS</w:t>
            </w:r>
            <w:r w:rsidR="008C6052">
              <w:rPr>
                <w:noProof/>
                <w:webHidden/>
              </w:rPr>
              <w:tab/>
            </w:r>
            <w:r w:rsidR="008C6052">
              <w:rPr>
                <w:noProof/>
                <w:webHidden/>
              </w:rPr>
              <w:fldChar w:fldCharType="begin"/>
            </w:r>
            <w:r w:rsidR="008C6052">
              <w:rPr>
                <w:noProof/>
                <w:webHidden/>
              </w:rPr>
              <w:instrText xml:space="preserve"> PAGEREF _Toc112606931 \h </w:instrText>
            </w:r>
            <w:r w:rsidR="008C6052">
              <w:rPr>
                <w:noProof/>
                <w:webHidden/>
              </w:rPr>
            </w:r>
            <w:r w:rsidR="008C6052">
              <w:rPr>
                <w:noProof/>
                <w:webHidden/>
              </w:rPr>
              <w:fldChar w:fldCharType="separate"/>
            </w:r>
            <w:r w:rsidR="00CF093C">
              <w:rPr>
                <w:noProof/>
                <w:webHidden/>
              </w:rPr>
              <w:t>92</w:t>
            </w:r>
            <w:r w:rsidR="008C6052">
              <w:rPr>
                <w:noProof/>
                <w:webHidden/>
              </w:rPr>
              <w:fldChar w:fldCharType="end"/>
            </w:r>
          </w:hyperlink>
        </w:p>
        <w:p w14:paraId="70B52CF4" w14:textId="63468062" w:rsidR="004037F0" w:rsidRDefault="000D7D69" w:rsidP="00C33B31">
          <w:pPr>
            <w:pStyle w:val="TOC4"/>
            <w:tabs>
              <w:tab w:val="right" w:leader="dot" w:pos="9016"/>
            </w:tabs>
            <w:rPr>
              <w:b w:val="0"/>
              <w:bCs/>
              <w:noProof/>
            </w:rPr>
          </w:pPr>
          <w:r>
            <w:rPr>
              <w:b w:val="0"/>
              <w:bCs/>
              <w:noProof/>
            </w:rPr>
            <w:fldChar w:fldCharType="end"/>
          </w:r>
        </w:p>
      </w:sdtContent>
    </w:sdt>
    <w:p w14:paraId="2C360629" w14:textId="77777777" w:rsidR="00F3065F" w:rsidRDefault="00F3065F">
      <w:pPr>
        <w:rPr>
          <w:b/>
          <w:sz w:val="24"/>
          <w:szCs w:val="24"/>
          <w:lang w:val="en-US"/>
        </w:rPr>
        <w:sectPr w:rsidR="00F3065F" w:rsidSect="005169F4">
          <w:headerReference w:type="even" r:id="rId17"/>
          <w:headerReference w:type="default" r:id="rId18"/>
          <w:headerReference w:type="first" r:id="rId19"/>
          <w:pgSz w:w="11906" w:h="16838"/>
          <w:pgMar w:top="1440" w:right="1440" w:bottom="1440" w:left="1440" w:header="567" w:footer="567" w:gutter="0"/>
          <w:pgNumType w:fmt="lowerRoman" w:start="1"/>
          <w:cols w:space="708"/>
          <w:docGrid w:linePitch="360"/>
        </w:sectPr>
      </w:pPr>
    </w:p>
    <w:p w14:paraId="4ADC24A8" w14:textId="708C59F6" w:rsidR="002B796C" w:rsidRDefault="006733F3" w:rsidP="007E723A">
      <w:pPr>
        <w:pStyle w:val="Heading1"/>
      </w:pPr>
      <w:bookmarkStart w:id="0" w:name="_Toc112606864"/>
      <w:r>
        <w:lastRenderedPageBreak/>
        <w:t>Introduction</w:t>
      </w:r>
      <w:bookmarkEnd w:id="0"/>
    </w:p>
    <w:p w14:paraId="00A2A349" w14:textId="2FF6986B" w:rsidR="005E29F7" w:rsidRPr="005E29F7" w:rsidRDefault="005E29F7" w:rsidP="005E29F7">
      <w:pPr>
        <w:pStyle w:val="Heading2"/>
      </w:pPr>
      <w:bookmarkStart w:id="1" w:name="_Toc112606865"/>
      <w:r>
        <w:t>Genesis of this review</w:t>
      </w:r>
      <w:bookmarkEnd w:id="1"/>
    </w:p>
    <w:p w14:paraId="7A771F83" w14:textId="7EF8B4F1" w:rsidR="0028351F" w:rsidRDefault="00F0239F" w:rsidP="00F94A32">
      <w:pPr>
        <w:pStyle w:val="ListParagraph"/>
      </w:pPr>
      <w:r>
        <w:t>We have been commissioned by C</w:t>
      </w:r>
      <w:r w:rsidR="00D928DF">
        <w:t>ourt Services Victoria (“CSV”)</w:t>
      </w:r>
      <w:r>
        <w:t xml:space="preserve"> as Independent Experts to </w:t>
      </w:r>
      <w:r w:rsidR="00552E00">
        <w:t xml:space="preserve">conduct a </w:t>
      </w:r>
      <w:r>
        <w:t xml:space="preserve">review </w:t>
      </w:r>
      <w:r w:rsidR="00552E00">
        <w:t xml:space="preserve">recommended by the Report of Dr Helen Szoke AO </w:t>
      </w:r>
      <w:r w:rsidR="005E29F7">
        <w:t>(“Szoke Report”)</w:t>
      </w:r>
      <w:r w:rsidR="00813C2A">
        <w:rPr>
          <w:rFonts w:ascii="ZWAdobeF" w:hAnsi="ZWAdobeF" w:cs="ZWAdobeF"/>
          <w:sz w:val="2"/>
          <w:szCs w:val="2"/>
        </w:rPr>
        <w:t>0F</w:t>
      </w:r>
      <w:r w:rsidR="00704B18">
        <w:rPr>
          <w:rFonts w:ascii="ZWAdobeF" w:hAnsi="ZWAdobeF" w:cs="ZWAdobeF"/>
          <w:sz w:val="2"/>
          <w:szCs w:val="2"/>
        </w:rPr>
        <w:t>0F</w:t>
      </w:r>
      <w:r w:rsidR="00C8001E">
        <w:rPr>
          <w:rStyle w:val="FootnoteReference"/>
        </w:rPr>
        <w:footnoteReference w:id="1"/>
      </w:r>
      <w:r w:rsidR="005E29F7">
        <w:t xml:space="preserve"> </w:t>
      </w:r>
      <w:r w:rsidR="00552E00">
        <w:t xml:space="preserve">on her Review of Sexual Harassment in Victorian Courts (“Szoke </w:t>
      </w:r>
      <w:r w:rsidR="005E29F7">
        <w:t>Review</w:t>
      </w:r>
      <w:r w:rsidR="00552E00">
        <w:t>”)</w:t>
      </w:r>
      <w:r w:rsidR="0028351F">
        <w:t>.</w:t>
      </w:r>
    </w:p>
    <w:p w14:paraId="6D45802A" w14:textId="77A00DE5" w:rsidR="00EE73D7" w:rsidRDefault="001444FD" w:rsidP="0004466F">
      <w:pPr>
        <w:pStyle w:val="ListParagraph"/>
      </w:pPr>
      <w:r>
        <w:t xml:space="preserve">We submitted a </w:t>
      </w:r>
      <w:r w:rsidR="00EE73D7">
        <w:t>“</w:t>
      </w:r>
      <w:r w:rsidR="00480A25">
        <w:t>work</w:t>
      </w:r>
      <w:r w:rsidR="00282C16">
        <w:noBreakHyphen/>
      </w:r>
      <w:r w:rsidR="00EE73D7">
        <w:t>in</w:t>
      </w:r>
      <w:r w:rsidR="00282C16">
        <w:noBreakHyphen/>
      </w:r>
      <w:r w:rsidR="00EE73D7">
        <w:t xml:space="preserve">progress” report </w:t>
      </w:r>
      <w:r w:rsidR="00AD4178">
        <w:t xml:space="preserve">on 31 January 2022 </w:t>
      </w:r>
      <w:r w:rsidR="005E2DB0">
        <w:t xml:space="preserve">setting out </w:t>
      </w:r>
      <w:r w:rsidR="00EE73D7">
        <w:t xml:space="preserve">the </w:t>
      </w:r>
      <w:r w:rsidR="00A0347C">
        <w:t xml:space="preserve">ground covered </w:t>
      </w:r>
      <w:r w:rsidR="008F7833">
        <w:t xml:space="preserve">up </w:t>
      </w:r>
      <w:r w:rsidR="00A0347C">
        <w:t>to</w:t>
      </w:r>
      <w:r w:rsidR="008F7833">
        <w:t xml:space="preserve"> that</w:t>
      </w:r>
      <w:r w:rsidR="00A0347C">
        <w:t xml:space="preserve"> date and the proposed way forward.  </w:t>
      </w:r>
      <w:r w:rsidR="00AD4178">
        <w:t xml:space="preserve">We have now completed </w:t>
      </w:r>
      <w:r w:rsidR="00A0347C">
        <w:t>our investigative field work and academic research</w:t>
      </w:r>
      <w:r w:rsidR="00AD4178">
        <w:t>.</w:t>
      </w:r>
      <w:r w:rsidR="0014710E">
        <w:t xml:space="preserve">  The present final report is based on the earlier progress </w:t>
      </w:r>
      <w:proofErr w:type="gramStart"/>
      <w:r w:rsidR="0014710E">
        <w:t>report</w:t>
      </w:r>
      <w:proofErr w:type="gramEnd"/>
      <w:r w:rsidR="0014710E">
        <w:t xml:space="preserve"> but some observations and conclusions have been modified or corrected in</w:t>
      </w:r>
      <w:r w:rsidR="00584FDB">
        <w:t xml:space="preserve"> light of new </w:t>
      </w:r>
      <w:r w:rsidR="007D725E">
        <w:t>information</w:t>
      </w:r>
      <w:r w:rsidR="00584FDB">
        <w:t xml:space="preserve"> and further investigation.  We have also expanded our coverage and included new topics, </w:t>
      </w:r>
      <w:proofErr w:type="gramStart"/>
      <w:r w:rsidR="00584FDB">
        <w:t>sections</w:t>
      </w:r>
      <w:proofErr w:type="gramEnd"/>
      <w:r w:rsidR="00584FDB">
        <w:t xml:space="preserve"> and materials, including records </w:t>
      </w:r>
      <w:r w:rsidR="00150C12">
        <w:t>or</w:t>
      </w:r>
      <w:r w:rsidR="00584FDB">
        <w:t xml:space="preserve"> summations of interviews.</w:t>
      </w:r>
    </w:p>
    <w:p w14:paraId="6AA5EA40" w14:textId="654E323F" w:rsidR="0028351F" w:rsidRDefault="0028351F" w:rsidP="0004466F">
      <w:pPr>
        <w:pStyle w:val="ListParagraph"/>
      </w:pPr>
      <w:r>
        <w:t xml:space="preserve">The Szoke </w:t>
      </w:r>
      <w:r w:rsidR="005E29F7">
        <w:t xml:space="preserve">Review </w:t>
      </w:r>
      <w:r>
        <w:t xml:space="preserve">was </w:t>
      </w:r>
      <w:r w:rsidR="00BE02BC">
        <w:t xml:space="preserve">commissioned in response </w:t>
      </w:r>
      <w:r>
        <w:t xml:space="preserve">to revelations in </w:t>
      </w:r>
      <w:r w:rsidR="00856C3C">
        <w:t>June 2020</w:t>
      </w:r>
      <w:r>
        <w:t xml:space="preserve"> </w:t>
      </w:r>
      <w:r w:rsidR="00BE02BC">
        <w:t xml:space="preserve">that </w:t>
      </w:r>
      <w:r w:rsidR="0055423A">
        <w:t xml:space="preserve">five </w:t>
      </w:r>
      <w:r w:rsidR="009C4B7A">
        <w:t xml:space="preserve">former </w:t>
      </w:r>
      <w:r>
        <w:t xml:space="preserve">associates of </w:t>
      </w:r>
      <w:r w:rsidR="00123B9C">
        <w:t xml:space="preserve">former </w:t>
      </w:r>
      <w:r w:rsidR="009C4B7A">
        <w:t xml:space="preserve">Justice </w:t>
      </w:r>
      <w:proofErr w:type="spellStart"/>
      <w:r w:rsidR="00123B9C">
        <w:t>Heydon</w:t>
      </w:r>
      <w:proofErr w:type="spellEnd"/>
      <w:r w:rsidR="00123B9C">
        <w:t xml:space="preserve"> </w:t>
      </w:r>
      <w:r w:rsidR="009C4B7A">
        <w:t xml:space="preserve">of </w:t>
      </w:r>
      <w:r>
        <w:t>the High Court of Australia</w:t>
      </w:r>
      <w:r w:rsidR="0084318A">
        <w:t xml:space="preserve">, </w:t>
      </w:r>
      <w:r w:rsidR="00123B9C">
        <w:t>and another member of the Court’s staff</w:t>
      </w:r>
      <w:r w:rsidR="004868FB">
        <w:t>,</w:t>
      </w:r>
      <w:r w:rsidR="00123B9C">
        <w:t xml:space="preserve"> </w:t>
      </w:r>
      <w:r w:rsidR="00BE02BC">
        <w:t xml:space="preserve">had complained </w:t>
      </w:r>
      <w:r w:rsidR="009C4B7A">
        <w:t>that the judge (who had since retired) had sexually harassed them.</w:t>
      </w:r>
      <w:r>
        <w:t xml:space="preserve">  An independent investigation commissioned by the High Court found the complaints to be substantiated.</w:t>
      </w:r>
      <w:r w:rsidR="009C4B7A">
        <w:t xml:space="preserve">  The Australian judiciary, legal profession and the community at large </w:t>
      </w:r>
      <w:r w:rsidR="00076CF0">
        <w:t xml:space="preserve">were </w:t>
      </w:r>
      <w:r w:rsidR="009C4B7A">
        <w:t>shaken, not only by the realisation that one of the country’s most esteemed and senior judges had engaged in multiple instances of sexual harassment of Court chambers</w:t>
      </w:r>
      <w:r w:rsidR="00076CF0">
        <w:t>’</w:t>
      </w:r>
      <w:r w:rsidR="009C4B7A">
        <w:t xml:space="preserve"> staff, but also that (despite the severe impact </w:t>
      </w:r>
      <w:r w:rsidR="007817E4">
        <w:t xml:space="preserve">on </w:t>
      </w:r>
      <w:r w:rsidR="009C4B7A">
        <w:t xml:space="preserve">the victims) there was a collective failure to take action to prevent, acknowledge or address the misconduct, either </w:t>
      </w:r>
      <w:r w:rsidR="007817E4">
        <w:t>when it occurred</w:t>
      </w:r>
      <w:r w:rsidR="009C4B7A">
        <w:t xml:space="preserve"> or for a long time thereafter.</w:t>
      </w:r>
      <w:r w:rsidR="00704B18">
        <w:rPr>
          <w:rFonts w:ascii="ZWAdobeF" w:hAnsi="ZWAdobeF" w:cs="ZWAdobeF"/>
          <w:sz w:val="2"/>
          <w:szCs w:val="2"/>
        </w:rPr>
        <w:t>1F</w:t>
      </w:r>
      <w:r w:rsidR="00D73DB3">
        <w:rPr>
          <w:rStyle w:val="FootnoteReference"/>
        </w:rPr>
        <w:footnoteReference w:id="2"/>
      </w:r>
    </w:p>
    <w:p w14:paraId="12888152" w14:textId="77777777" w:rsidR="00F414D1" w:rsidRPr="00BD33BD" w:rsidRDefault="00F414D1" w:rsidP="001427A8">
      <w:pPr>
        <w:pStyle w:val="ListParagraph"/>
        <w:keepNext/>
      </w:pPr>
      <w:r w:rsidRPr="00BD33BD">
        <w:t>The Szoke Review</w:t>
      </w:r>
      <w:r>
        <w:t>,</w:t>
      </w:r>
      <w:r w:rsidRPr="00BD33BD">
        <w:t xml:space="preserve"> </w:t>
      </w:r>
      <w:r>
        <w:t xml:space="preserve">pursuant to </w:t>
      </w:r>
      <w:r w:rsidRPr="00BD33BD">
        <w:t>relatively wide terms of reference, was tasked with considering measures to:</w:t>
      </w:r>
    </w:p>
    <w:p w14:paraId="19D5E2F6" w14:textId="77777777" w:rsidR="00F414D1" w:rsidRPr="00BD33BD" w:rsidRDefault="00F414D1" w:rsidP="00F94A32">
      <w:pPr>
        <w:pStyle w:val="List2"/>
      </w:pPr>
      <w:r w:rsidRPr="00BD33BD">
        <w:t xml:space="preserve">prevent sexual </w:t>
      </w:r>
      <w:proofErr w:type="gramStart"/>
      <w:r w:rsidRPr="00BD33BD">
        <w:t>harassment;</w:t>
      </w:r>
      <w:proofErr w:type="gramEnd"/>
    </w:p>
    <w:p w14:paraId="3D70A560" w14:textId="77777777" w:rsidR="00F414D1" w:rsidRPr="00BD33BD" w:rsidRDefault="00F414D1" w:rsidP="00F94A32">
      <w:pPr>
        <w:pStyle w:val="List2"/>
      </w:pPr>
      <w:r w:rsidRPr="00BD33BD">
        <w:t>improve reporting by and support for those who experience sexual harassment; and</w:t>
      </w:r>
    </w:p>
    <w:p w14:paraId="47850D35" w14:textId="614A7158" w:rsidR="00F414D1" w:rsidRDefault="00F414D1" w:rsidP="00F94A32">
      <w:pPr>
        <w:pStyle w:val="List2"/>
      </w:pPr>
      <w:r w:rsidRPr="00BD33BD">
        <w:t xml:space="preserve">raise awareness and ensure accountability for perpetrators of sexual harassment in Victorian Courts and </w:t>
      </w:r>
      <w:r w:rsidR="00491F8C">
        <w:t>the Victorian Civil and Administrative Tribunal (“</w:t>
      </w:r>
      <w:r w:rsidRPr="00BD33BD">
        <w:t>VCAT</w:t>
      </w:r>
      <w:r w:rsidR="00491F8C">
        <w:t>”)</w:t>
      </w:r>
      <w:r w:rsidRPr="00BD33BD">
        <w:t>.</w:t>
      </w:r>
      <w:r w:rsidR="00813C2A">
        <w:rPr>
          <w:rFonts w:ascii="ZWAdobeF" w:hAnsi="ZWAdobeF" w:cs="ZWAdobeF"/>
          <w:sz w:val="2"/>
          <w:szCs w:val="2"/>
        </w:rPr>
        <w:t>1F</w:t>
      </w:r>
      <w:r w:rsidR="00704B18">
        <w:rPr>
          <w:rFonts w:ascii="ZWAdobeF" w:hAnsi="ZWAdobeF" w:cs="ZWAdobeF"/>
          <w:sz w:val="2"/>
          <w:szCs w:val="2"/>
        </w:rPr>
        <w:t>2F</w:t>
      </w:r>
      <w:r w:rsidR="000E6413">
        <w:rPr>
          <w:rStyle w:val="FootnoteReference"/>
        </w:rPr>
        <w:footnoteReference w:id="3"/>
      </w:r>
    </w:p>
    <w:p w14:paraId="5DDDDA62" w14:textId="7FEB1C6C" w:rsidR="00B22BB6" w:rsidRDefault="0028351F" w:rsidP="0004466F">
      <w:pPr>
        <w:pStyle w:val="ListParagraph"/>
      </w:pPr>
      <w:r>
        <w:lastRenderedPageBreak/>
        <w:t xml:space="preserve">The Szoke </w:t>
      </w:r>
      <w:r w:rsidR="006B58CE">
        <w:t xml:space="preserve">Report was presented </w:t>
      </w:r>
      <w:r w:rsidR="00076CF0">
        <w:t xml:space="preserve">in March 2021 </w:t>
      </w:r>
      <w:r w:rsidR="006B58CE">
        <w:t>to the Attorney</w:t>
      </w:r>
      <w:r w:rsidR="006B58CE">
        <w:noBreakHyphen/>
        <w:t xml:space="preserve">General </w:t>
      </w:r>
      <w:r w:rsidR="00076CF0">
        <w:t xml:space="preserve">for </w:t>
      </w:r>
      <w:r w:rsidR="0009247C">
        <w:t xml:space="preserve">the State of Victoria </w:t>
      </w:r>
      <w:r w:rsidR="006B58CE">
        <w:t>and the Chief Justice of the Supreme Court of Victoria (who is also the Chair of the Courts Council).</w:t>
      </w:r>
      <w:r w:rsidR="00813C2A">
        <w:rPr>
          <w:rFonts w:ascii="ZWAdobeF" w:hAnsi="ZWAdobeF" w:cs="ZWAdobeF"/>
          <w:sz w:val="2"/>
          <w:szCs w:val="2"/>
        </w:rPr>
        <w:t>2F</w:t>
      </w:r>
      <w:r w:rsidR="00704B18">
        <w:rPr>
          <w:rFonts w:ascii="ZWAdobeF" w:hAnsi="ZWAdobeF" w:cs="ZWAdobeF"/>
          <w:sz w:val="2"/>
          <w:szCs w:val="2"/>
        </w:rPr>
        <w:t>3F</w:t>
      </w:r>
      <w:r w:rsidR="00C53412">
        <w:rPr>
          <w:rStyle w:val="FootnoteReference"/>
        </w:rPr>
        <w:footnoteReference w:id="4"/>
      </w:r>
      <w:r w:rsidR="00514B43">
        <w:t xml:space="preserve"> </w:t>
      </w:r>
    </w:p>
    <w:p w14:paraId="5106F662" w14:textId="04BF0015" w:rsidR="004709B2" w:rsidRDefault="0012384A" w:rsidP="0004466F">
      <w:pPr>
        <w:pStyle w:val="ListParagraph"/>
      </w:pPr>
      <w:bookmarkStart w:id="2" w:name="_Ref93851682"/>
      <w:r>
        <w:t>While Dr Szoke did not</w:t>
      </w:r>
      <w:r w:rsidR="00546A87">
        <w:t>,</w:t>
      </w:r>
      <w:r>
        <w:t xml:space="preserve"> in her report, attempt to determine </w:t>
      </w:r>
      <w:r w:rsidR="00EB4B05">
        <w:t xml:space="preserve">precisely </w:t>
      </w:r>
      <w:r>
        <w:t>“how widespread sexual harassment is in the courts and VCAT”,</w:t>
      </w:r>
      <w:r w:rsidR="004853F4">
        <w:rPr>
          <w:rFonts w:ascii="ZWAdobeF" w:hAnsi="ZWAdobeF" w:cs="ZWAdobeF"/>
          <w:sz w:val="2"/>
          <w:szCs w:val="2"/>
        </w:rPr>
        <w:t>3F4F</w:t>
      </w:r>
      <w:r>
        <w:t xml:space="preserve"> she concluded </w:t>
      </w:r>
      <w:r w:rsidR="00727CD5">
        <w:t>that “the cases reported indicate the need for a dedicated focus</w:t>
      </w:r>
      <w:r w:rsidR="00EB4B05">
        <w:t>”</w:t>
      </w:r>
      <w:r w:rsidR="00727CD5">
        <w:t xml:space="preserve"> on the problem.  Dr </w:t>
      </w:r>
      <w:proofErr w:type="spellStart"/>
      <w:r w:rsidR="00727CD5">
        <w:t>Szoke’s</w:t>
      </w:r>
      <w:proofErr w:type="spellEnd"/>
      <w:r w:rsidR="00727CD5">
        <w:t xml:space="preserve"> observations were informed by </w:t>
      </w:r>
      <w:r w:rsidR="004709B2">
        <w:t>the following evidence</w:t>
      </w:r>
      <w:r w:rsidR="007C65BE">
        <w:rPr>
          <w:rStyle w:val="FootnoteReference"/>
        </w:rPr>
        <w:footnoteReference w:id="5"/>
      </w:r>
      <w:r w:rsidR="004709B2">
        <w:t>:</w:t>
      </w:r>
      <w:bookmarkEnd w:id="2"/>
    </w:p>
    <w:p w14:paraId="132700EB" w14:textId="07D5D07E" w:rsidR="004709B2" w:rsidRDefault="004709B2" w:rsidP="00F94A32">
      <w:pPr>
        <w:pStyle w:val="List2"/>
      </w:pPr>
      <w:r>
        <w:t xml:space="preserve">The 2019 Survey </w:t>
      </w:r>
      <w:r w:rsidR="00565EEF">
        <w:t xml:space="preserve">conducted by </w:t>
      </w:r>
      <w:r w:rsidR="00794784">
        <w:t xml:space="preserve">the Victorian Legal Services Board </w:t>
      </w:r>
      <w:r w:rsidR="004D2855">
        <w:t xml:space="preserve">and Commissioner </w:t>
      </w:r>
      <w:r>
        <w:t>in which 17 respondents had alleged sexual harassment by judicial officers</w:t>
      </w:r>
      <w:r w:rsidR="006559A9">
        <w:t>.</w:t>
      </w:r>
      <w:r w:rsidR="001F6D89">
        <w:rPr>
          <w:rStyle w:val="FootnoteReference"/>
        </w:rPr>
        <w:footnoteReference w:id="6"/>
      </w:r>
      <w:r>
        <w:t xml:space="preserve">  The</w:t>
      </w:r>
      <w:r w:rsidR="00E73776">
        <w:t> </w:t>
      </w:r>
      <w:r>
        <w:t xml:space="preserve">conduct included comments on looks, clothing, make up and expressions of female lawyers, requests for dates, sexually explicit comments, unwanted </w:t>
      </w:r>
      <w:proofErr w:type="gramStart"/>
      <w:r>
        <w:t>touching</w:t>
      </w:r>
      <w:proofErr w:type="gramEnd"/>
      <w:r>
        <w:t xml:space="preserve"> and unnecessary </w:t>
      </w:r>
      <w:r w:rsidRPr="00314511">
        <w:t>disrobing</w:t>
      </w:r>
      <w:r>
        <w:t xml:space="preserve"> in chambers.</w:t>
      </w:r>
      <w:r w:rsidR="00813C2A">
        <w:rPr>
          <w:rFonts w:ascii="ZWAdobeF" w:hAnsi="ZWAdobeF" w:cs="ZWAdobeF"/>
          <w:sz w:val="2"/>
          <w:szCs w:val="2"/>
        </w:rPr>
        <w:t>5F</w:t>
      </w:r>
      <w:r w:rsidR="00704B18">
        <w:rPr>
          <w:rFonts w:ascii="ZWAdobeF" w:hAnsi="ZWAdobeF" w:cs="ZWAdobeF"/>
          <w:sz w:val="2"/>
          <w:szCs w:val="2"/>
        </w:rPr>
        <w:t>6F</w:t>
      </w:r>
      <w:r w:rsidR="00111691">
        <w:rPr>
          <w:rStyle w:val="FootnoteReference"/>
        </w:rPr>
        <w:footnoteReference w:id="7"/>
      </w:r>
    </w:p>
    <w:p w14:paraId="5A5AFFC0" w14:textId="517C42A2" w:rsidR="004709B2" w:rsidRDefault="004709B2" w:rsidP="00F94A32">
      <w:pPr>
        <w:pStyle w:val="List2"/>
      </w:pPr>
      <w:r>
        <w:t xml:space="preserve">The </w:t>
      </w:r>
      <w:r w:rsidR="00867A72">
        <w:t>“</w:t>
      </w:r>
      <w:r>
        <w:t>VEOHRC process</w:t>
      </w:r>
      <w:r w:rsidR="00DA3F38">
        <w:t>”</w:t>
      </w:r>
      <w:r w:rsidR="005F3F44">
        <w:t>,</w:t>
      </w:r>
      <w:r w:rsidR="009B3150" w:rsidRPr="009B3150">
        <w:rPr>
          <w:rFonts w:ascii="ZWAdobeF" w:hAnsi="ZWAdobeF" w:cs="ZWAdobeF"/>
          <w:sz w:val="2"/>
          <w:szCs w:val="2"/>
        </w:rPr>
        <w:t xml:space="preserve"> </w:t>
      </w:r>
      <w:r w:rsidR="009B3150">
        <w:rPr>
          <w:rFonts w:ascii="ZWAdobeF" w:hAnsi="ZWAdobeF" w:cs="ZWAdobeF"/>
          <w:sz w:val="2"/>
          <w:szCs w:val="2"/>
        </w:rPr>
        <w:t>7F</w:t>
      </w:r>
      <w:r w:rsidR="009B3150">
        <w:rPr>
          <w:rStyle w:val="FootnoteReference"/>
        </w:rPr>
        <w:footnoteReference w:id="8"/>
      </w:r>
      <w:r w:rsidR="009A0139">
        <w:t xml:space="preserve"> </w:t>
      </w:r>
      <w:r w:rsidR="00A73E62">
        <w:t xml:space="preserve">which was a “safe and confidential process </w:t>
      </w:r>
      <w:r w:rsidR="009A0139">
        <w:t>for those who had experienced sexual harassment or witnessed sexual harassment in the Courts or VCAT to share their experiences”</w:t>
      </w:r>
      <w:r>
        <w:t>.</w:t>
      </w:r>
      <w:r w:rsidR="00813C2A">
        <w:rPr>
          <w:rFonts w:ascii="ZWAdobeF" w:hAnsi="ZWAdobeF" w:cs="ZWAdobeF"/>
          <w:sz w:val="2"/>
          <w:szCs w:val="2"/>
        </w:rPr>
        <w:t>6F</w:t>
      </w:r>
      <w:r w:rsidR="00704B18">
        <w:rPr>
          <w:rFonts w:ascii="ZWAdobeF" w:hAnsi="ZWAdobeF" w:cs="ZWAdobeF"/>
          <w:sz w:val="2"/>
          <w:szCs w:val="2"/>
        </w:rPr>
        <w:t>8F</w:t>
      </w:r>
      <w:r w:rsidR="009A0139">
        <w:rPr>
          <w:rStyle w:val="FootnoteReference"/>
        </w:rPr>
        <w:footnoteReference w:id="9"/>
      </w:r>
      <w:r>
        <w:t xml:space="preserve">  This relied on a total of 36 respondents, 28</w:t>
      </w:r>
      <w:r w:rsidR="004A1E4B">
        <w:t> </w:t>
      </w:r>
      <w:r w:rsidR="00217473">
        <w:t xml:space="preserve">of which </w:t>
      </w:r>
      <w:r>
        <w:t xml:space="preserve">reported sexual harassment (23 multiple incidents) and 21 reported witnessing sexual harassment (18 reported multiple incidents).  The Szoke Report noted that these included instances where the perpetrators were, </w:t>
      </w:r>
      <w:r>
        <w:rPr>
          <w:i/>
          <w:iCs/>
        </w:rPr>
        <w:t>inter alia</w:t>
      </w:r>
      <w:r>
        <w:t>, judicial officers.</w:t>
      </w:r>
      <w:r w:rsidR="0087392A">
        <w:t xml:space="preserve"> Other perpetrators included colleagues, </w:t>
      </w:r>
      <w:proofErr w:type="gramStart"/>
      <w:r w:rsidR="0087392A">
        <w:t>managers</w:t>
      </w:r>
      <w:proofErr w:type="gramEnd"/>
      <w:r w:rsidR="0087392A">
        <w:t xml:space="preserve"> and barristers.</w:t>
      </w:r>
      <w:r w:rsidR="00813C2A">
        <w:rPr>
          <w:rFonts w:ascii="ZWAdobeF" w:hAnsi="ZWAdobeF" w:cs="ZWAdobeF"/>
          <w:sz w:val="2"/>
          <w:szCs w:val="2"/>
        </w:rPr>
        <w:t>7F</w:t>
      </w:r>
      <w:r w:rsidR="00704B18">
        <w:rPr>
          <w:rFonts w:ascii="ZWAdobeF" w:hAnsi="ZWAdobeF" w:cs="ZWAdobeF"/>
          <w:sz w:val="2"/>
          <w:szCs w:val="2"/>
        </w:rPr>
        <w:t>9F</w:t>
      </w:r>
      <w:r w:rsidR="00A10885">
        <w:rPr>
          <w:rStyle w:val="FootnoteReference"/>
        </w:rPr>
        <w:footnoteReference w:id="10"/>
      </w:r>
    </w:p>
    <w:p w14:paraId="7012546B" w14:textId="3F61B0E5" w:rsidR="004709B2" w:rsidRDefault="004709B2" w:rsidP="00F94A32">
      <w:pPr>
        <w:pStyle w:val="List2"/>
      </w:pPr>
      <w:r>
        <w:t xml:space="preserve">The Women Barristers’ Association submission that court staff, such as judges, </w:t>
      </w:r>
      <w:proofErr w:type="gramStart"/>
      <w:r>
        <w:t>associates</w:t>
      </w:r>
      <w:proofErr w:type="gramEnd"/>
      <w:r>
        <w:t xml:space="preserve"> and research staff, as well as women barristers (particularly newer young women) had been approached by judicial officers as objects of romantic or sexual interest, where the approach was not welcomed or appreciated.</w:t>
      </w:r>
      <w:r w:rsidR="00813C2A">
        <w:rPr>
          <w:rFonts w:ascii="ZWAdobeF" w:hAnsi="ZWAdobeF" w:cs="ZWAdobeF"/>
          <w:sz w:val="2"/>
          <w:szCs w:val="2"/>
        </w:rPr>
        <w:t>8F</w:t>
      </w:r>
      <w:r w:rsidR="00704B18">
        <w:rPr>
          <w:rFonts w:ascii="ZWAdobeF" w:hAnsi="ZWAdobeF" w:cs="ZWAdobeF"/>
          <w:sz w:val="2"/>
          <w:szCs w:val="2"/>
        </w:rPr>
        <w:t>10F</w:t>
      </w:r>
      <w:r w:rsidR="00D555D2">
        <w:rPr>
          <w:rStyle w:val="FootnoteReference"/>
        </w:rPr>
        <w:footnoteReference w:id="11"/>
      </w:r>
    </w:p>
    <w:p w14:paraId="3D8AFC75" w14:textId="693B3E81" w:rsidR="004709B2" w:rsidRDefault="00413A98" w:rsidP="0004466F">
      <w:pPr>
        <w:pStyle w:val="ListParagraph"/>
      </w:pPr>
      <w:r>
        <w:t>Dr Szoke made 20 inter</w:t>
      </w:r>
      <w:r>
        <w:noBreakHyphen/>
        <w:t xml:space="preserve">related recommendations intended to prevent, </w:t>
      </w:r>
      <w:proofErr w:type="gramStart"/>
      <w:r>
        <w:t>ameliorate</w:t>
      </w:r>
      <w:proofErr w:type="gramEnd"/>
      <w:r>
        <w:t xml:space="preserve"> and address that problem, including Recommendation 4, which is the basis of the present review.</w:t>
      </w:r>
    </w:p>
    <w:p w14:paraId="36C63311" w14:textId="6D61D58B" w:rsidR="0009247C" w:rsidRDefault="0009247C" w:rsidP="00323F59">
      <w:pPr>
        <w:pStyle w:val="Heading2"/>
      </w:pPr>
      <w:bookmarkStart w:id="3" w:name="_Toc112606866"/>
      <w:r>
        <w:lastRenderedPageBreak/>
        <w:t>Recommendation 4 Review</w:t>
      </w:r>
      <w:bookmarkEnd w:id="3"/>
    </w:p>
    <w:p w14:paraId="013F8398" w14:textId="589EEB58" w:rsidR="00011CCD" w:rsidRDefault="00011CCD" w:rsidP="0004466F">
      <w:pPr>
        <w:pStyle w:val="ListParagraph"/>
      </w:pPr>
      <w:r>
        <w:t xml:space="preserve">Recommendation 4 </w:t>
      </w:r>
      <w:r w:rsidR="006B58CE">
        <w:t xml:space="preserve">of the Szoke Report states: </w:t>
      </w:r>
    </w:p>
    <w:p w14:paraId="2E445419" w14:textId="3B4CCFC6" w:rsidR="00C155F1" w:rsidRPr="000809F3" w:rsidRDefault="00C155F1" w:rsidP="006A3CA0">
      <w:pPr>
        <w:pStyle w:val="Quote"/>
      </w:pPr>
      <w:r w:rsidRPr="000809F3">
        <w:t xml:space="preserve">Commission an independent expert to review and make recommendations to the Courts Council on the recruitment processes and working arrangements for Court Services staff who work in a primary relationship with judicial officers, including associates, </w:t>
      </w:r>
      <w:proofErr w:type="gramStart"/>
      <w:r w:rsidRPr="000809F3">
        <w:t>tipstaves</w:t>
      </w:r>
      <w:proofErr w:type="gramEnd"/>
      <w:r w:rsidRPr="000809F3">
        <w:t xml:space="preserve"> and clerks.</w:t>
      </w:r>
    </w:p>
    <w:p w14:paraId="0E5B01E0" w14:textId="1FA186ED" w:rsidR="00C155F1" w:rsidRPr="00C155F1" w:rsidRDefault="00C155F1" w:rsidP="006A3CA0">
      <w:pPr>
        <w:pStyle w:val="Quote"/>
      </w:pPr>
      <w:r>
        <w:t>T</w:t>
      </w:r>
      <w:r w:rsidRPr="00C155F1">
        <w:t>he inde</w:t>
      </w:r>
      <w:r>
        <w:t>p</w:t>
      </w:r>
      <w:r w:rsidRPr="00C155F1">
        <w:t>endent review should include</w:t>
      </w:r>
      <w:r>
        <w:t>:</w:t>
      </w:r>
    </w:p>
    <w:p w14:paraId="323AAC48" w14:textId="77777777" w:rsidR="00C155F1" w:rsidRDefault="00C155F1" w:rsidP="006A3CA0">
      <w:pPr>
        <w:pStyle w:val="Quote"/>
        <w:ind w:left="1440" w:hanging="306"/>
      </w:pPr>
      <w:r>
        <w:t>a.</w:t>
      </w:r>
      <w:r>
        <w:tab/>
      </w:r>
      <w:r w:rsidRPr="00C155F1">
        <w:t>the processes by which staff are</w:t>
      </w:r>
      <w:r>
        <w:t xml:space="preserve"> a</w:t>
      </w:r>
      <w:r w:rsidRPr="00C155F1">
        <w:t xml:space="preserve">ssigned to judicial </w:t>
      </w:r>
      <w:proofErr w:type="gramStart"/>
      <w:r w:rsidRPr="00C155F1">
        <w:t>officers</w:t>
      </w:r>
      <w:r>
        <w:t>;</w:t>
      </w:r>
      <w:proofErr w:type="gramEnd"/>
    </w:p>
    <w:p w14:paraId="5C0A2B29" w14:textId="0031E93F" w:rsidR="00C155F1" w:rsidRPr="00C155F1" w:rsidRDefault="00C155F1" w:rsidP="006A3CA0">
      <w:pPr>
        <w:pStyle w:val="Quote"/>
        <w:ind w:left="1440" w:hanging="306"/>
      </w:pPr>
      <w:r>
        <w:t>b.</w:t>
      </w:r>
      <w:r>
        <w:tab/>
      </w:r>
      <w:r w:rsidRPr="00C155F1">
        <w:t>appropriate training for judicial officers</w:t>
      </w:r>
      <w:r>
        <w:t xml:space="preserve"> a</w:t>
      </w:r>
      <w:r w:rsidRPr="00C155F1">
        <w:t>nd CSV managers on their respectiv</w:t>
      </w:r>
      <w:r>
        <w:t>e r</w:t>
      </w:r>
      <w:r w:rsidRPr="00C155F1">
        <w:t xml:space="preserve">esponsibilities for the supervision of </w:t>
      </w:r>
      <w:proofErr w:type="gramStart"/>
      <w:r w:rsidRPr="00C155F1">
        <w:t>staff</w:t>
      </w:r>
      <w:r>
        <w:t>;</w:t>
      </w:r>
      <w:proofErr w:type="gramEnd"/>
    </w:p>
    <w:p w14:paraId="0E3B8787" w14:textId="4B731327" w:rsidR="00C155F1" w:rsidRPr="00C155F1" w:rsidRDefault="00C155F1" w:rsidP="006A3CA0">
      <w:pPr>
        <w:pStyle w:val="Quote"/>
        <w:ind w:left="1440" w:hanging="306"/>
      </w:pPr>
      <w:r>
        <w:t>c.</w:t>
      </w:r>
      <w:r>
        <w:tab/>
      </w:r>
      <w:r w:rsidRPr="00C155F1">
        <w:t>the quality and scope of inductio</w:t>
      </w:r>
      <w:r>
        <w:t>n p</w:t>
      </w:r>
      <w:r w:rsidRPr="00C155F1">
        <w:t>rocesses as it relates to sexual</w:t>
      </w:r>
      <w:r>
        <w:t xml:space="preserve"> </w:t>
      </w:r>
      <w:proofErr w:type="gramStart"/>
      <w:r>
        <w:t>h</w:t>
      </w:r>
      <w:r w:rsidRPr="00C155F1">
        <w:t>arassment</w:t>
      </w:r>
      <w:r>
        <w:t>;</w:t>
      </w:r>
      <w:proofErr w:type="gramEnd"/>
    </w:p>
    <w:p w14:paraId="33F83C4A" w14:textId="42DF3648" w:rsidR="00C155F1" w:rsidRPr="00C155F1" w:rsidRDefault="00C155F1" w:rsidP="006A3CA0">
      <w:pPr>
        <w:pStyle w:val="Quote"/>
        <w:ind w:left="1440" w:hanging="306"/>
      </w:pPr>
      <w:r>
        <w:t>d.</w:t>
      </w:r>
      <w:r>
        <w:tab/>
      </w:r>
      <w:r w:rsidRPr="00C155F1">
        <w:t xml:space="preserve">reporting lines, and the options </w:t>
      </w:r>
      <w:r>
        <w:t>for d</w:t>
      </w:r>
      <w:r w:rsidRPr="00C155F1">
        <w:t>ifferent systems of reporting that coul</w:t>
      </w:r>
      <w:r>
        <w:t>d m</w:t>
      </w:r>
      <w:r w:rsidRPr="00C155F1">
        <w:t>itigate sexual harassment risk</w:t>
      </w:r>
      <w:r w:rsidRPr="00C155F1">
        <w:rPr>
          <w:b/>
          <w:bCs/>
        </w:rPr>
        <w:t xml:space="preserve"> </w:t>
      </w:r>
      <w:proofErr w:type="gramStart"/>
      <w:r w:rsidRPr="00C155F1">
        <w:t>factors</w:t>
      </w:r>
      <w:r w:rsidR="00B702FE">
        <w:t>;</w:t>
      </w:r>
      <w:proofErr w:type="gramEnd"/>
    </w:p>
    <w:p w14:paraId="5B4843E5" w14:textId="77777777" w:rsidR="00B702FE" w:rsidRDefault="00B702FE" w:rsidP="006A3CA0">
      <w:pPr>
        <w:pStyle w:val="Quote"/>
        <w:ind w:left="1440" w:hanging="306"/>
      </w:pPr>
      <w:r>
        <w:t>e.</w:t>
      </w:r>
      <w:r>
        <w:tab/>
      </w:r>
      <w:r w:rsidR="00C155F1" w:rsidRPr="00C155F1">
        <w:t xml:space="preserve">models of peer support that build </w:t>
      </w:r>
      <w:r>
        <w:t>c</w:t>
      </w:r>
      <w:r w:rsidR="00C155F1" w:rsidRPr="00C155F1">
        <w:t>ollegiate support and networks, such as</w:t>
      </w:r>
      <w:r>
        <w:t xml:space="preserve"> mentoring </w:t>
      </w:r>
      <w:r w:rsidR="00C155F1" w:rsidRPr="00C155F1">
        <w:t xml:space="preserve">or buddy </w:t>
      </w:r>
      <w:proofErr w:type="gramStart"/>
      <w:r w:rsidR="00C155F1" w:rsidRPr="00C155F1">
        <w:t>systems</w:t>
      </w:r>
      <w:r>
        <w:t>;</w:t>
      </w:r>
      <w:proofErr w:type="gramEnd"/>
    </w:p>
    <w:p w14:paraId="58F39851" w14:textId="77777777" w:rsidR="00B702FE" w:rsidRDefault="00B702FE" w:rsidP="006A3CA0">
      <w:pPr>
        <w:pStyle w:val="Quote"/>
        <w:ind w:left="1440" w:hanging="306"/>
      </w:pPr>
      <w:r>
        <w:t>f.</w:t>
      </w:r>
      <w:r>
        <w:tab/>
      </w:r>
      <w:r w:rsidR="00C155F1" w:rsidRPr="00C155F1">
        <w:t>feedback mechanisms for both judicia</w:t>
      </w:r>
      <w:r>
        <w:t>l o</w:t>
      </w:r>
      <w:r w:rsidR="00C155F1" w:rsidRPr="00C155F1">
        <w:t xml:space="preserve">fficers and judicial staff; and </w:t>
      </w:r>
    </w:p>
    <w:p w14:paraId="63B7650F" w14:textId="641E16EE" w:rsidR="00C155F1" w:rsidRDefault="00B702FE" w:rsidP="006A3CA0">
      <w:pPr>
        <w:pStyle w:val="Quote"/>
        <w:ind w:left="1440" w:hanging="306"/>
      </w:pPr>
      <w:r>
        <w:t>g.</w:t>
      </w:r>
      <w:r>
        <w:tab/>
      </w:r>
      <w:r w:rsidR="00C155F1" w:rsidRPr="00C155F1">
        <w:t xml:space="preserve">processes for identifying, </w:t>
      </w:r>
      <w:proofErr w:type="gramStart"/>
      <w:r w:rsidR="00C155F1" w:rsidRPr="00C155F1">
        <w:t>addressing</w:t>
      </w:r>
      <w:proofErr w:type="gramEnd"/>
      <w:r>
        <w:t xml:space="preserve"> a</w:t>
      </w:r>
      <w:r w:rsidR="00C155F1" w:rsidRPr="00C155F1">
        <w:t>nd responding to sexual harassmen</w:t>
      </w:r>
      <w:r>
        <w:t>t perp</w:t>
      </w:r>
      <w:r w:rsidR="00C155F1" w:rsidRPr="00C155F1">
        <w:t>etrated a</w:t>
      </w:r>
      <w:r>
        <w:t>g</w:t>
      </w:r>
      <w:r w:rsidR="00C155F1" w:rsidRPr="00C155F1">
        <w:t xml:space="preserve">ainst </w:t>
      </w:r>
      <w:r>
        <w:t>j</w:t>
      </w:r>
      <w:r w:rsidR="00C155F1" w:rsidRPr="00C155F1">
        <w:t>udicial staff.</w:t>
      </w:r>
    </w:p>
    <w:p w14:paraId="63B4967A" w14:textId="214A2685" w:rsidR="00AB196C" w:rsidRPr="00AB196C" w:rsidRDefault="00AB196C" w:rsidP="00323F59">
      <w:pPr>
        <w:pStyle w:val="Heading1"/>
      </w:pPr>
      <w:bookmarkStart w:id="4" w:name="_Toc112606867"/>
      <w:r w:rsidRPr="00AB196C">
        <w:t xml:space="preserve">Questions and </w:t>
      </w:r>
      <w:bookmarkStart w:id="5" w:name="_Toc89957956"/>
      <w:r w:rsidRPr="00AB196C">
        <w:t>Challenges</w:t>
      </w:r>
      <w:bookmarkEnd w:id="4"/>
      <w:bookmarkEnd w:id="5"/>
    </w:p>
    <w:p w14:paraId="21FDA8B4" w14:textId="17D3D790" w:rsidR="00AB196C" w:rsidRPr="00AB196C" w:rsidRDefault="00AB196C" w:rsidP="006A3CA0">
      <w:pPr>
        <w:pStyle w:val="ListParagraph"/>
        <w:spacing w:before="240"/>
      </w:pPr>
      <w:r w:rsidRPr="00AB196C">
        <w:t xml:space="preserve">Several unanswered questions </w:t>
      </w:r>
      <w:r w:rsidR="00076CF0">
        <w:t xml:space="preserve">and </w:t>
      </w:r>
      <w:r w:rsidRPr="00AB196C">
        <w:t xml:space="preserve">obvious challenges </w:t>
      </w:r>
      <w:r w:rsidR="005D3118">
        <w:t>confronted</w:t>
      </w:r>
      <w:r w:rsidRPr="00AB196C">
        <w:t xml:space="preserve"> the present review.</w:t>
      </w:r>
    </w:p>
    <w:p w14:paraId="1B3DC7D3" w14:textId="66492AAB" w:rsidR="00AB196C" w:rsidRPr="00AB196C" w:rsidRDefault="000D23CD" w:rsidP="0004466F">
      <w:pPr>
        <w:pStyle w:val="ListParagraph"/>
      </w:pPr>
      <w:r>
        <w:t>First, s</w:t>
      </w:r>
      <w:r w:rsidR="00AB196C" w:rsidRPr="00AB196C">
        <w:t>everal terms or concepts</w:t>
      </w:r>
      <w:r>
        <w:t xml:space="preserve"> in Recommendation 4 are not comprehensively defined.  However, the inclusive examples given for </w:t>
      </w:r>
      <w:r w:rsidR="00AB196C" w:rsidRPr="00AB196C">
        <w:t xml:space="preserve">the key category of </w:t>
      </w:r>
      <w:r w:rsidR="00C36403">
        <w:t>“</w:t>
      </w:r>
      <w:r w:rsidR="00D467EA">
        <w:t>[</w:t>
      </w:r>
      <w:r w:rsidR="00DC18F1">
        <w:t>CSV</w:t>
      </w:r>
      <w:r w:rsidR="00D467EA">
        <w:t>]</w:t>
      </w:r>
      <w:r w:rsidR="00DC18F1">
        <w:t xml:space="preserve"> </w:t>
      </w:r>
      <w:r w:rsidR="00AB196C" w:rsidRPr="00AB196C">
        <w:t xml:space="preserve">staff who work </w:t>
      </w:r>
      <w:r w:rsidR="00BB439A">
        <w:t>in a primary relationship</w:t>
      </w:r>
      <w:r w:rsidR="00BB439A" w:rsidRPr="00AB196C">
        <w:t xml:space="preserve"> </w:t>
      </w:r>
      <w:r w:rsidR="00AB196C" w:rsidRPr="00AB196C">
        <w:t>with judicial officers</w:t>
      </w:r>
      <w:r w:rsidR="00C36403">
        <w:t>”</w:t>
      </w:r>
      <w:r w:rsidR="00AB196C" w:rsidRPr="00AB196C">
        <w:t xml:space="preserve"> </w:t>
      </w:r>
      <w:r w:rsidR="00C36403">
        <w:t xml:space="preserve">indicate </w:t>
      </w:r>
      <w:r w:rsidR="00AB196C" w:rsidRPr="00AB196C">
        <w:t xml:space="preserve">that the intended focus is on traditional “chambers” staff </w:t>
      </w:r>
      <w:r w:rsidR="009E3BF2">
        <w:t>(</w:t>
      </w:r>
      <w:r w:rsidR="00AB196C" w:rsidRPr="00AB196C">
        <w:t>while extending to any employees whose roles approximate their direct service to a judicial officer</w:t>
      </w:r>
      <w:r w:rsidR="009E3BF2">
        <w:t>)</w:t>
      </w:r>
      <w:r w:rsidR="00AB196C" w:rsidRPr="00AB196C">
        <w:t xml:space="preserve">.  </w:t>
      </w:r>
      <w:r w:rsidR="005E3650">
        <w:t xml:space="preserve">It appears </w:t>
      </w:r>
      <w:r w:rsidR="00AB196C" w:rsidRPr="00AB196C">
        <w:t>that the reference is primarily concerned with how the recruitment processes for</w:t>
      </w:r>
      <w:r w:rsidR="0030469A">
        <w:t>,</w:t>
      </w:r>
      <w:r w:rsidR="00AB196C" w:rsidRPr="00AB196C">
        <w:t xml:space="preserve"> and working arrangements of</w:t>
      </w:r>
      <w:r w:rsidR="0030469A">
        <w:t>,</w:t>
      </w:r>
      <w:r w:rsidR="00AB196C" w:rsidRPr="00AB196C">
        <w:t xml:space="preserve"> the relevant CSV staff might magnify, </w:t>
      </w:r>
      <w:proofErr w:type="gramStart"/>
      <w:r w:rsidR="00AB196C" w:rsidRPr="00AB196C">
        <w:t>reduce</w:t>
      </w:r>
      <w:proofErr w:type="gramEnd"/>
      <w:r w:rsidR="00AB196C" w:rsidRPr="00AB196C">
        <w:t xml:space="preserve"> or otherwise affect their </w:t>
      </w:r>
      <w:r w:rsidR="0030469A">
        <w:t xml:space="preserve">risk of </w:t>
      </w:r>
      <w:r w:rsidR="00AB196C" w:rsidRPr="00AB196C">
        <w:t>sexual harassment by judicial officers.</w:t>
      </w:r>
    </w:p>
    <w:p w14:paraId="2C27B99A" w14:textId="1FF6C075" w:rsidR="00AB196C" w:rsidRPr="00AB196C" w:rsidRDefault="0030469A" w:rsidP="0004466F">
      <w:pPr>
        <w:pStyle w:val="ListParagraph"/>
      </w:pPr>
      <w:r>
        <w:t xml:space="preserve">The </w:t>
      </w:r>
      <w:r w:rsidR="005E3650">
        <w:t xml:space="preserve">potential latitude </w:t>
      </w:r>
      <w:r w:rsidR="003671DC">
        <w:t xml:space="preserve">of the </w:t>
      </w:r>
      <w:r w:rsidR="00AB196C" w:rsidRPr="00AB196C">
        <w:t xml:space="preserve">primary direction in the reference is </w:t>
      </w:r>
      <w:r w:rsidR="003671DC">
        <w:t xml:space="preserve">echoed in some of </w:t>
      </w:r>
      <w:r w:rsidR="00AB196C" w:rsidRPr="00AB196C">
        <w:t xml:space="preserve">the seven specified inclusions.  The overarching direction on recruitment and working </w:t>
      </w:r>
      <w:r w:rsidR="00011033">
        <w:t>arrangements</w:t>
      </w:r>
      <w:r w:rsidR="00011033" w:rsidRPr="00AB196C">
        <w:t xml:space="preserve"> </w:t>
      </w:r>
      <w:r w:rsidR="00AB196C" w:rsidRPr="00AB196C">
        <w:t xml:space="preserve">of </w:t>
      </w:r>
      <w:proofErr w:type="gramStart"/>
      <w:r w:rsidR="00AB196C" w:rsidRPr="00AB196C">
        <w:t>particular CSV</w:t>
      </w:r>
      <w:proofErr w:type="gramEnd"/>
      <w:r w:rsidR="00AB196C" w:rsidRPr="00AB196C">
        <w:t xml:space="preserve"> staff is quite narrow, but at least one of the specified inclusions </w:t>
      </w:r>
      <w:r w:rsidR="00AC363C">
        <w:t>(</w:t>
      </w:r>
      <w:r w:rsidR="002213EB" w:rsidRPr="00AB196C">
        <w:t xml:space="preserve">(g) </w:t>
      </w:r>
      <w:r w:rsidR="00AC363C">
        <w:t>“</w:t>
      </w:r>
      <w:r w:rsidR="002213EB" w:rsidRPr="00AB196C">
        <w:t xml:space="preserve">processes for identifying, addressing and responding to sexual harassment perpetrated </w:t>
      </w:r>
      <w:r w:rsidR="002213EB" w:rsidRPr="00AB196C">
        <w:lastRenderedPageBreak/>
        <w:t>against judicial staff”</w:t>
      </w:r>
      <w:r w:rsidR="00AC363C">
        <w:t>)</w:t>
      </w:r>
      <w:r w:rsidR="002213EB">
        <w:t xml:space="preserve"> is </w:t>
      </w:r>
      <w:r w:rsidR="00AB196C" w:rsidRPr="00AB196C">
        <w:t xml:space="preserve">potentially of much wider scope and overlaps with other independent recommendations </w:t>
      </w:r>
      <w:r w:rsidR="007A1C89">
        <w:t>in the Szoke Report.</w:t>
      </w:r>
    </w:p>
    <w:p w14:paraId="0B081B85" w14:textId="17AC0CE8" w:rsidR="00AB196C" w:rsidRPr="00AB196C" w:rsidRDefault="0083601D" w:rsidP="0004466F">
      <w:pPr>
        <w:pStyle w:val="ListParagraph"/>
      </w:pPr>
      <w:r>
        <w:t xml:space="preserve">Although inclusion (a) refers to the assignment of staff to judicial officers, this does not </w:t>
      </w:r>
      <w:r w:rsidR="00607956">
        <w:t>reflect the traditional or current practice for all staff who work closely with judicial officers.</w:t>
      </w:r>
      <w:r w:rsidR="00643597">
        <w:t xml:space="preserve">  </w:t>
      </w:r>
      <w:r w:rsidR="00643597" w:rsidRPr="00AB196C">
        <w:t xml:space="preserve">In the </w:t>
      </w:r>
      <w:r w:rsidR="00643597">
        <w:t xml:space="preserve">superior </w:t>
      </w:r>
      <w:r w:rsidR="00643597" w:rsidRPr="00AB196C">
        <w:t>courts</w:t>
      </w:r>
      <w:r w:rsidR="00643597">
        <w:t>,</w:t>
      </w:r>
      <w:r w:rsidR="00643597" w:rsidRPr="00AB196C">
        <w:t xml:space="preserve"> at least, primary staff </w:t>
      </w:r>
      <w:r w:rsidR="00607956">
        <w:t xml:space="preserve">such as associates and tipstaves </w:t>
      </w:r>
      <w:r w:rsidR="00643597" w:rsidRPr="00AB196C">
        <w:t>are not “assigned” or allocated to judges in the usual sense of those terms.</w:t>
      </w:r>
      <w:r w:rsidR="00813C2A">
        <w:rPr>
          <w:rFonts w:ascii="ZWAdobeF" w:hAnsi="ZWAdobeF" w:cs="ZWAdobeF"/>
          <w:sz w:val="2"/>
          <w:szCs w:val="2"/>
        </w:rPr>
        <w:t>9F</w:t>
      </w:r>
      <w:r w:rsidR="00704B18">
        <w:rPr>
          <w:rFonts w:ascii="ZWAdobeF" w:hAnsi="ZWAdobeF" w:cs="ZWAdobeF"/>
          <w:sz w:val="2"/>
          <w:szCs w:val="2"/>
        </w:rPr>
        <w:t>11F</w:t>
      </w:r>
      <w:r w:rsidR="00A8052F">
        <w:rPr>
          <w:rStyle w:val="FootnoteReference"/>
        </w:rPr>
        <w:footnoteReference w:id="12"/>
      </w:r>
      <w:r w:rsidR="00643597" w:rsidRPr="00AB196C">
        <w:t xml:space="preserve">  Rather, judicial office</w:t>
      </w:r>
      <w:r w:rsidR="002849A6">
        <w:t>r</w:t>
      </w:r>
      <w:r w:rsidR="00643597" w:rsidRPr="00AB196C">
        <w:t xml:space="preserve">s select the staff who will work directly with them, subject perhaps, to limitations that may vary according to the court or </w:t>
      </w:r>
      <w:r w:rsidR="008D3AB0">
        <w:t>t</w:t>
      </w:r>
      <w:r w:rsidR="00643597" w:rsidRPr="00AB196C">
        <w:t>ribunal concerned.  We therefore consider</w:t>
      </w:r>
      <w:r w:rsidR="00643597">
        <w:t>ed</w:t>
      </w:r>
      <w:r w:rsidR="00643597" w:rsidRPr="00AB196C">
        <w:t xml:space="preserve"> all processes whereby staff come to work in a primary relationship with a judge, including cases of allocation, personal </w:t>
      </w:r>
      <w:r w:rsidR="00643597">
        <w:t xml:space="preserve">selection </w:t>
      </w:r>
      <w:r w:rsidR="00643597" w:rsidRPr="00AB196C">
        <w:t>by the judge, or otherwise.</w:t>
      </w:r>
    </w:p>
    <w:p w14:paraId="192F224C" w14:textId="61F139EE" w:rsidR="00AB196C" w:rsidRPr="00AB196C" w:rsidRDefault="00581608" w:rsidP="0004466F">
      <w:pPr>
        <w:pStyle w:val="ListParagraph"/>
      </w:pPr>
      <w:r>
        <w:t>Paragraph</w:t>
      </w:r>
      <w:r w:rsidRPr="00AB196C">
        <w:t xml:space="preserve"> </w:t>
      </w:r>
      <w:r w:rsidR="00AB196C" w:rsidRPr="00AB196C">
        <w:t xml:space="preserve">(b) refers to </w:t>
      </w:r>
      <w:r w:rsidR="00295B0F">
        <w:t>“</w:t>
      </w:r>
      <w:r w:rsidR="00AB196C" w:rsidRPr="00AB196C">
        <w:t>appropriate training for judicial officers and CSV managers on their respective responsibilities for the supervision of staff</w:t>
      </w:r>
      <w:r w:rsidR="00295B0F">
        <w:t>”</w:t>
      </w:r>
      <w:r w:rsidR="00AB196C" w:rsidRPr="00AB196C">
        <w:t xml:space="preserve">.  </w:t>
      </w:r>
      <w:r w:rsidR="005428E9">
        <w:t xml:space="preserve">The scope of this inclusion appears to be narrowly confined, </w:t>
      </w:r>
      <w:r w:rsidR="00853444">
        <w:t>given that sexual harassment training more broadly, or</w:t>
      </w:r>
      <w:r w:rsidR="00AB196C" w:rsidRPr="00AB196C">
        <w:t xml:space="preserve"> </w:t>
      </w:r>
      <w:r w:rsidR="00CF360A">
        <w:t>“</w:t>
      </w:r>
      <w:r w:rsidR="00AB196C" w:rsidRPr="00AB196C">
        <w:t>sexual harassment</w:t>
      </w:r>
      <w:r w:rsidR="00CF360A">
        <w:t>,</w:t>
      </w:r>
      <w:r w:rsidR="00AB196C" w:rsidRPr="00AB196C">
        <w:t xml:space="preserve"> gender inequality and discrimination training</w:t>
      </w:r>
      <w:r w:rsidR="00CF360A">
        <w:t>”</w:t>
      </w:r>
      <w:r w:rsidR="00AB196C" w:rsidRPr="00AB196C">
        <w:t xml:space="preserve">, is </w:t>
      </w:r>
      <w:r w:rsidR="003478A7">
        <w:t xml:space="preserve">already </w:t>
      </w:r>
      <w:r w:rsidR="00AB196C" w:rsidRPr="00AB196C">
        <w:t xml:space="preserve">dealt with for CSV staff and contractors under </w:t>
      </w:r>
      <w:r w:rsidR="003E29FA" w:rsidRPr="00AB196C">
        <w:t xml:space="preserve">Recommendation </w:t>
      </w:r>
      <w:r w:rsidR="00AB196C" w:rsidRPr="00AB196C">
        <w:t xml:space="preserve">12.  Recommendation 13 deals with an education program </w:t>
      </w:r>
      <w:r w:rsidR="003478A7" w:rsidRPr="00AB196C">
        <w:t>on the nature, drivers and impacts of sexual harassment</w:t>
      </w:r>
      <w:r w:rsidR="003478A7">
        <w:t>,</w:t>
      </w:r>
      <w:r w:rsidR="003478A7" w:rsidRPr="00AB196C">
        <w:t xml:space="preserve"> gender equality and discrimination</w:t>
      </w:r>
      <w:r w:rsidR="003478A7">
        <w:t xml:space="preserve"> </w:t>
      </w:r>
      <w:r w:rsidR="00AB196C" w:rsidRPr="00AB196C">
        <w:t>for existing and newly appointed judicial officers to be implemented by the Judicial College of Victoria</w:t>
      </w:r>
      <w:r w:rsidR="00476E9B">
        <w:t>.</w:t>
      </w:r>
      <w:r w:rsidR="0022771E">
        <w:t xml:space="preserve"> </w:t>
      </w:r>
      <w:r w:rsidR="00476E9B">
        <w:t xml:space="preserve"> </w:t>
      </w:r>
      <w:r w:rsidR="0022771E">
        <w:t>Recommendation 13</w:t>
      </w:r>
      <w:r w:rsidR="00B616C3">
        <w:t xml:space="preserve"> is</w:t>
      </w:r>
      <w:r w:rsidR="0022771E">
        <w:t xml:space="preserve"> </w:t>
      </w:r>
      <w:r w:rsidR="00AB196C" w:rsidRPr="00AB196C">
        <w:t xml:space="preserve">potentially related to </w:t>
      </w:r>
      <w:r w:rsidR="00E71DDB">
        <w:t xml:space="preserve">but distinct from </w:t>
      </w:r>
      <w:r w:rsidR="00AB196C" w:rsidRPr="00AB196C">
        <w:t>paragraph (b)</w:t>
      </w:r>
      <w:r w:rsidR="0022771E">
        <w:t xml:space="preserve"> of Recommendation 4</w:t>
      </w:r>
      <w:r w:rsidR="00B57C36">
        <w:t>.</w:t>
      </w:r>
      <w:r w:rsidR="00AB196C" w:rsidRPr="00AB196C">
        <w:t xml:space="preserve"> </w:t>
      </w:r>
      <w:r w:rsidR="00947D21">
        <w:t xml:space="preserve"> </w:t>
      </w:r>
      <w:r w:rsidR="00B57C36">
        <w:t xml:space="preserve">As education and training related to sexual harassment for both CSV </w:t>
      </w:r>
      <w:r w:rsidR="00132899">
        <w:t xml:space="preserve">managers and judicial officers are dealt with </w:t>
      </w:r>
      <w:r w:rsidR="002F5E42">
        <w:t>elsewhere</w:t>
      </w:r>
      <w:r w:rsidR="00132899">
        <w:t xml:space="preserve"> </w:t>
      </w:r>
      <w:r w:rsidR="0050734E">
        <w:t xml:space="preserve">in the recommendations, </w:t>
      </w:r>
      <w:r w:rsidR="00E30B2E">
        <w:t xml:space="preserve">read literally, </w:t>
      </w:r>
      <w:r w:rsidR="0050734E">
        <w:t>Recommendation 4, paragraph</w:t>
      </w:r>
      <w:r w:rsidR="00E30B2E">
        <w:t> </w:t>
      </w:r>
      <w:r w:rsidR="0050734E">
        <w:t xml:space="preserve">(b) </w:t>
      </w:r>
      <w:r w:rsidR="00E30B2E">
        <w:t xml:space="preserve">might </w:t>
      </w:r>
      <w:r w:rsidR="0050734E">
        <w:t>con</w:t>
      </w:r>
      <w:r w:rsidR="00126CBE">
        <w:t>template only training on the supervision of staff that is not related to sexual harassment.  That conclusion</w:t>
      </w:r>
      <w:r w:rsidR="00821E91">
        <w:t>, however,</w:t>
      </w:r>
      <w:r w:rsidR="00126CBE">
        <w:t xml:space="preserve"> </w:t>
      </w:r>
      <w:r w:rsidR="00BE4FED">
        <w:t xml:space="preserve">appears inconsistent </w:t>
      </w:r>
      <w:r w:rsidR="00126CBE">
        <w:t xml:space="preserve">with the wider context of the Szoke Report and the apparent focus </w:t>
      </w:r>
      <w:r w:rsidR="002F5E42">
        <w:t>of Recommendation 4.</w:t>
      </w:r>
    </w:p>
    <w:p w14:paraId="607BB0DC" w14:textId="7902D7B8" w:rsidR="00C81BEC" w:rsidRDefault="0056059F" w:rsidP="0004466F">
      <w:pPr>
        <w:pStyle w:val="ListParagraph"/>
      </w:pPr>
      <w:bookmarkStart w:id="6" w:name="_Ref109024911"/>
      <w:r>
        <w:t xml:space="preserve">Whatever the </w:t>
      </w:r>
      <w:r w:rsidR="00D57348">
        <w:t xml:space="preserve">scope </w:t>
      </w:r>
      <w:r w:rsidR="00012C96">
        <w:t xml:space="preserve">of </w:t>
      </w:r>
      <w:r w:rsidR="00581608">
        <w:t>paragraph</w:t>
      </w:r>
      <w:r w:rsidR="002512CD">
        <w:t xml:space="preserve"> (b)</w:t>
      </w:r>
      <w:r w:rsidR="00DA068F">
        <w:t>,</w:t>
      </w:r>
      <w:r w:rsidR="00EC715C">
        <w:t xml:space="preserve"> </w:t>
      </w:r>
      <w:r w:rsidR="00012C96">
        <w:t>o</w:t>
      </w:r>
      <w:r w:rsidR="00012C96" w:rsidRPr="00AB196C">
        <w:t xml:space="preserve">ur </w:t>
      </w:r>
      <w:r w:rsidR="00F203F0">
        <w:t xml:space="preserve">initial </w:t>
      </w:r>
      <w:r w:rsidR="00AB196C" w:rsidRPr="00AB196C">
        <w:t>inquiries indicate</w:t>
      </w:r>
      <w:r w:rsidR="00F203F0">
        <w:t>d</w:t>
      </w:r>
      <w:r w:rsidR="00AB196C" w:rsidRPr="00AB196C">
        <w:t xml:space="preserve"> that </w:t>
      </w:r>
      <w:r w:rsidR="00F203F0">
        <w:t xml:space="preserve">at the date of receiving our instructions </w:t>
      </w:r>
      <w:r w:rsidR="001C7A69">
        <w:t xml:space="preserve">(with some isolated exceptions) </w:t>
      </w:r>
      <w:r w:rsidR="00AB196C" w:rsidRPr="00AB196C">
        <w:t xml:space="preserve">judicial officers in the various jurisdictions </w:t>
      </w:r>
      <w:r w:rsidR="008F2F3B">
        <w:t xml:space="preserve">did </w:t>
      </w:r>
      <w:r w:rsidR="00AB196C" w:rsidRPr="00AB196C">
        <w:t xml:space="preserve">not receive any </w:t>
      </w:r>
      <w:r w:rsidR="00FE5E03">
        <w:t xml:space="preserve">formal </w:t>
      </w:r>
      <w:r w:rsidR="00AB196C" w:rsidRPr="00AB196C">
        <w:t xml:space="preserve">training on </w:t>
      </w:r>
      <w:r w:rsidR="00EC715C">
        <w:t xml:space="preserve">any aspect of </w:t>
      </w:r>
      <w:r w:rsidR="00AB196C" w:rsidRPr="00AB196C">
        <w:t xml:space="preserve">the supervision of </w:t>
      </w:r>
      <w:r w:rsidR="00993A75">
        <w:t xml:space="preserve">or interactions </w:t>
      </w:r>
      <w:proofErr w:type="gramStart"/>
      <w:r w:rsidR="00993A75">
        <w:t>with,</w:t>
      </w:r>
      <w:proofErr w:type="gramEnd"/>
      <w:r w:rsidR="00993A75">
        <w:t xml:space="preserve"> </w:t>
      </w:r>
      <w:r w:rsidR="00AB196C" w:rsidRPr="00AB196C">
        <w:t>any staff</w:t>
      </w:r>
      <w:r w:rsidR="003D76FA">
        <w:t>.</w:t>
      </w:r>
      <w:r w:rsidR="003D76FA" w:rsidRPr="00AB196C">
        <w:t xml:space="preserve"> </w:t>
      </w:r>
      <w:r w:rsidR="004A3ACB">
        <w:t xml:space="preserve"> </w:t>
      </w:r>
      <w:r w:rsidR="00993A75">
        <w:t xml:space="preserve">As discussed below, the situation </w:t>
      </w:r>
      <w:r w:rsidR="00381A64">
        <w:t xml:space="preserve">changed </w:t>
      </w:r>
      <w:proofErr w:type="gramStart"/>
      <w:r w:rsidR="00993A75">
        <w:t>during the course of</w:t>
      </w:r>
      <w:proofErr w:type="gramEnd"/>
      <w:r w:rsidR="00993A75">
        <w:t xml:space="preserve"> the review</w:t>
      </w:r>
      <w:r w:rsidR="00381A64">
        <w:t>.</w:t>
      </w:r>
      <w:r w:rsidR="00993A75">
        <w:t xml:space="preserve"> </w:t>
      </w:r>
      <w:r w:rsidR="00381A64">
        <w:t xml:space="preserve"> </w:t>
      </w:r>
      <w:proofErr w:type="gramStart"/>
      <w:r w:rsidR="001176FF">
        <w:t>During the course of</w:t>
      </w:r>
      <w:proofErr w:type="gramEnd"/>
      <w:r w:rsidR="001176FF">
        <w:t xml:space="preserve"> 2022, the</w:t>
      </w:r>
      <w:r w:rsidR="00381A64">
        <w:t xml:space="preserve"> </w:t>
      </w:r>
      <w:r w:rsidR="00993A75">
        <w:t xml:space="preserve">Judicial College </w:t>
      </w:r>
      <w:r w:rsidR="00381A64">
        <w:t xml:space="preserve">of Victoria </w:t>
      </w:r>
      <w:r w:rsidR="00993A75">
        <w:t>devised</w:t>
      </w:r>
      <w:r w:rsidR="001176FF">
        <w:t xml:space="preserve"> </w:t>
      </w:r>
      <w:r w:rsidR="009B46A9">
        <w:t xml:space="preserve">and </w:t>
      </w:r>
      <w:r w:rsidR="001176FF">
        <w:t xml:space="preserve">began </w:t>
      </w:r>
      <w:r w:rsidR="00993A75">
        <w:t>to implement</w:t>
      </w:r>
      <w:r w:rsidR="00121523">
        <w:t>,</w:t>
      </w:r>
      <w:r w:rsidR="00993A75">
        <w:t xml:space="preserve"> training sessions related to sexual harassment for judicial officers.</w:t>
      </w:r>
      <w:r w:rsidR="00C14159">
        <w:t xml:space="preserve">  In</w:t>
      </w:r>
      <w:r w:rsidR="00CB0CCF">
        <w:t> </w:t>
      </w:r>
      <w:r w:rsidR="00C14159">
        <w:t xml:space="preserve">particular, the Judicial College of Victoria has offered classes to judicial officers (commencing with judges of the Supreme Court of Victoria) on preventing and addressing sexual harassment, including “customised” scenarios and targeted hypotheticals with options </w:t>
      </w:r>
      <w:r w:rsidR="00C14159">
        <w:lastRenderedPageBreak/>
        <w:t>for feedback, and bystander training “leveraging peer to peer learning”.  Other relevant topics and classes for the judicial officers of all Victorian courts and VCAT are, at the time of writing, being devised and implemented.</w:t>
      </w:r>
      <w:r w:rsidR="007F5282">
        <w:rPr>
          <w:rStyle w:val="FootnoteReference"/>
        </w:rPr>
        <w:footnoteReference w:id="13"/>
      </w:r>
      <w:bookmarkEnd w:id="6"/>
      <w:r w:rsidR="00993A75">
        <w:t xml:space="preserve"> </w:t>
      </w:r>
    </w:p>
    <w:p w14:paraId="5CE3CC45" w14:textId="64C1B5F0" w:rsidR="003C3082" w:rsidRDefault="00C81BEC" w:rsidP="00C81BEC">
      <w:pPr>
        <w:pStyle w:val="ListParagraph"/>
      </w:pPr>
      <w:r>
        <w:t>As to the training of CSV managers</w:t>
      </w:r>
      <w:r w:rsidRPr="0021031F">
        <w:t xml:space="preserve">, we found that CSV managers appeared to have a good understanding of the fact that it is the role of CSV, as employer of judicial staff, to supervise those staff, even where their day-to-day tasks are performed at the direction of a judicial officer. </w:t>
      </w:r>
      <w:r>
        <w:t>Several CSV managers we spoke with described having attended training sessions which included discussion of how best to respond to sexual harassment-related scenarios</w:t>
      </w:r>
      <w:r w:rsidRPr="0021031F">
        <w:t xml:space="preserve">. </w:t>
      </w:r>
      <w:r w:rsidR="00553BB0" w:rsidRPr="00A85A09">
        <w:rPr>
          <w:rFonts w:cstheme="minorHAnsi"/>
        </w:rPr>
        <w:t xml:space="preserve">We have also been informed that in the 2021/2022 financial year, all managers were required to complete two half day sexual harassment </w:t>
      </w:r>
      <w:r w:rsidR="000E4F6E">
        <w:rPr>
          <w:rFonts w:cstheme="minorHAnsi"/>
        </w:rPr>
        <w:t>t</w:t>
      </w:r>
      <w:r w:rsidR="00553BB0" w:rsidRPr="00A85A09">
        <w:rPr>
          <w:rFonts w:cstheme="minorHAnsi"/>
        </w:rPr>
        <w:t>raining sessions provided by an independent specialised training provider, and that in the 2022/2023 financial year all managers will be required to complete refresher sexual harassment training.</w:t>
      </w:r>
      <w:r w:rsidR="00BC159D">
        <w:t xml:space="preserve"> </w:t>
      </w:r>
    </w:p>
    <w:p w14:paraId="2E8D43BD" w14:textId="4A6B7C51" w:rsidR="00C81BEC" w:rsidRDefault="00C81BEC" w:rsidP="00C81BEC">
      <w:pPr>
        <w:pStyle w:val="ListParagraph"/>
      </w:pPr>
      <w:r>
        <w:t xml:space="preserve">The managers with whom we spoke </w:t>
      </w:r>
      <w:r w:rsidRPr="0021031F">
        <w:t xml:space="preserve">appeared well-aware of the </w:t>
      </w:r>
      <w:r>
        <w:t xml:space="preserve">risk factors of sexual harassment </w:t>
      </w:r>
      <w:r w:rsidRPr="0021031F">
        <w:t xml:space="preserve">and goals in addressing sexual harassment of court staff. </w:t>
      </w:r>
      <w:r>
        <w:t xml:space="preserve">In addition, we heard that contact officers (some of whom have substantive roles within CSV which involve the management or supervision or staff) undergo training which includes sessions run by </w:t>
      </w:r>
      <w:r w:rsidR="005A5A77">
        <w:t>the Victorian</w:t>
      </w:r>
      <w:r>
        <w:t xml:space="preserve"> Equal Opportunity and Human Rights Commission</w:t>
      </w:r>
      <w:r w:rsidR="000E68BA">
        <w:t xml:space="preserve"> (“VEOHRC”)</w:t>
      </w:r>
      <w:r>
        <w:t>.</w:t>
      </w:r>
      <w:r w:rsidR="00A86451">
        <w:rPr>
          <w:rStyle w:val="FootnoteReference"/>
        </w:rPr>
        <w:footnoteReference w:id="14"/>
      </w:r>
      <w:r>
        <w:t xml:space="preserve"> </w:t>
      </w:r>
    </w:p>
    <w:p w14:paraId="77ACBE99" w14:textId="11D219E2" w:rsidR="00A97B5C" w:rsidRPr="007F5282" w:rsidRDefault="00577BD7" w:rsidP="0004466F">
      <w:pPr>
        <w:pStyle w:val="ListParagraph"/>
      </w:pPr>
      <w:r w:rsidRPr="007F5282">
        <w:t xml:space="preserve">However, as </w:t>
      </w:r>
      <w:r w:rsidR="00180412" w:rsidRPr="007F5282">
        <w:t xml:space="preserve">discussed below, when we </w:t>
      </w:r>
      <w:r w:rsidR="0056059F" w:rsidRPr="007F5282">
        <w:t xml:space="preserve">interviewed </w:t>
      </w:r>
      <w:r w:rsidRPr="007F5282">
        <w:t xml:space="preserve">the associates and other </w:t>
      </w:r>
      <w:r w:rsidR="005E12B8" w:rsidRPr="007F5282">
        <w:t xml:space="preserve">court </w:t>
      </w:r>
      <w:r w:rsidR="0056059F" w:rsidRPr="007F5282">
        <w:t>staff</w:t>
      </w:r>
      <w:r w:rsidR="005E12B8" w:rsidRPr="007F5282">
        <w:t>,</w:t>
      </w:r>
      <w:r w:rsidR="0056059F" w:rsidRPr="007F5282">
        <w:t xml:space="preserve"> </w:t>
      </w:r>
      <w:r w:rsidR="005E12B8" w:rsidRPr="007F5282">
        <w:t xml:space="preserve">it </w:t>
      </w:r>
      <w:r w:rsidR="00482BCC" w:rsidRPr="007F5282">
        <w:t xml:space="preserve">appeared that few considered the supervision by CSV managers </w:t>
      </w:r>
      <w:r w:rsidR="005E12B8" w:rsidRPr="007F5282">
        <w:t xml:space="preserve">to be comprehensive or effective. </w:t>
      </w:r>
      <w:r w:rsidR="00121523" w:rsidRPr="007F5282">
        <w:t xml:space="preserve"> </w:t>
      </w:r>
      <w:r w:rsidR="001D6FF4" w:rsidRPr="007F5282">
        <w:t>Moreover,</w:t>
      </w:r>
      <w:r w:rsidR="00121523" w:rsidRPr="007F5282">
        <w:t xml:space="preserve"> some judicial staff considered that essentially, they worked at the direction of the judge, and their employment by CSV was in some respects a formality.</w:t>
      </w:r>
      <w:r w:rsidR="00B92DF1" w:rsidRPr="007F5282">
        <w:t xml:space="preserve">  </w:t>
      </w:r>
      <w:r w:rsidR="00B92DF1" w:rsidRPr="007F5282">
        <w:lastRenderedPageBreak/>
        <w:t>These</w:t>
      </w:r>
      <w:r w:rsidR="00C23EB4">
        <w:t> </w:t>
      </w:r>
      <w:r w:rsidR="00B92DF1" w:rsidRPr="007F5282">
        <w:t xml:space="preserve">perceptions relate more to the nature of judicial work and the relative lack of power of CSV managers </w:t>
      </w:r>
      <w:r w:rsidR="00B92DF1" w:rsidRPr="007F5282">
        <w:rPr>
          <w:i/>
          <w:iCs/>
        </w:rPr>
        <w:t xml:space="preserve">vis a vis </w:t>
      </w:r>
      <w:r w:rsidR="00B92DF1" w:rsidRPr="007F5282">
        <w:t xml:space="preserve">judges rather than to </w:t>
      </w:r>
      <w:r w:rsidR="001E045B" w:rsidRPr="007F5282">
        <w:t>inadequacy in the training or performance of the managers.</w:t>
      </w:r>
    </w:p>
    <w:p w14:paraId="40438DDC" w14:textId="65413ACF" w:rsidR="00AB196C" w:rsidRPr="00AB196C" w:rsidRDefault="00947D21" w:rsidP="0004466F">
      <w:pPr>
        <w:pStyle w:val="ListParagraph"/>
      </w:pPr>
      <w:r>
        <w:t xml:space="preserve">The ambit of paragraph (c) may be </w:t>
      </w:r>
      <w:r w:rsidR="00A97B5C">
        <w:t xml:space="preserve">arguable </w:t>
      </w:r>
      <w:r>
        <w:t xml:space="preserve">as </w:t>
      </w:r>
      <w:r w:rsidR="007C54BC">
        <w:t xml:space="preserve">the reference </w:t>
      </w:r>
      <w:r>
        <w:t xml:space="preserve">to </w:t>
      </w:r>
      <w:r w:rsidR="004817D7">
        <w:t>“</w:t>
      </w:r>
      <w:r>
        <w:t>the quality and scope of the induction process as it relates to sexual harassment</w:t>
      </w:r>
      <w:r w:rsidR="009B1C5E">
        <w:t>”</w:t>
      </w:r>
      <w:r>
        <w:t xml:space="preserve"> </w:t>
      </w:r>
      <w:r w:rsidR="007C54BC">
        <w:t xml:space="preserve">is not limited </w:t>
      </w:r>
      <w:r>
        <w:t xml:space="preserve">to the induction </w:t>
      </w:r>
      <w:r w:rsidR="000C4A7D">
        <w:t xml:space="preserve">of CSV staff.  </w:t>
      </w:r>
      <w:r w:rsidR="00124B4D">
        <w:t xml:space="preserve">Informed by context, we </w:t>
      </w:r>
      <w:r w:rsidR="000C4A7D">
        <w:t>have taken paragraph (c) to extend to the induction of judicial officers.</w:t>
      </w:r>
    </w:p>
    <w:p w14:paraId="4C4E6B29" w14:textId="6A783151" w:rsidR="00AB196C" w:rsidRDefault="00AB196C" w:rsidP="0004466F">
      <w:pPr>
        <w:pStyle w:val="ListParagraph"/>
      </w:pPr>
      <w:r w:rsidRPr="00AB196C">
        <w:t xml:space="preserve">The ambit of Recommendation 4 is also debatable due to the many potential overlaps </w:t>
      </w:r>
      <w:r w:rsidR="00BA4CC4">
        <w:t xml:space="preserve">with </w:t>
      </w:r>
      <w:r w:rsidRPr="00AB196C">
        <w:t>a significant number of other recommendations.  In some instances, the Recommendation</w:t>
      </w:r>
      <w:r w:rsidR="00C938C5">
        <w:t> </w:t>
      </w:r>
      <w:r w:rsidRPr="00AB196C">
        <w:t>4 review necessarily requires at least peripheral treatment of matters (</w:t>
      </w:r>
      <w:proofErr w:type="spellStart"/>
      <w:proofErr w:type="gramStart"/>
      <w:r w:rsidRPr="00AB196C">
        <w:t>eg</w:t>
      </w:r>
      <w:proofErr w:type="spellEnd"/>
      <w:proofErr w:type="gramEnd"/>
      <w:r w:rsidRPr="00AB196C">
        <w:t xml:space="preserve"> training) </w:t>
      </w:r>
      <w:r w:rsidR="00BA4CC4">
        <w:t xml:space="preserve">that </w:t>
      </w:r>
      <w:r w:rsidRPr="00AB196C">
        <w:t>are the principal subject of an independent recommendation.  In</w:t>
      </w:r>
      <w:r w:rsidR="00431180">
        <w:t> </w:t>
      </w:r>
      <w:r w:rsidRPr="00AB196C">
        <w:t xml:space="preserve">other cases, consideration of issues that are primarily to be dealt with under other recommendations cannot be entirely excluded from </w:t>
      </w:r>
      <w:r w:rsidR="00434FBB">
        <w:t>the</w:t>
      </w:r>
      <w:r w:rsidR="00434FBB" w:rsidRPr="00AB196C">
        <w:t xml:space="preserve"> </w:t>
      </w:r>
      <w:r w:rsidRPr="00AB196C">
        <w:t xml:space="preserve">Recommendation 4 review. </w:t>
      </w:r>
      <w:r w:rsidR="00BF2D1A">
        <w:t xml:space="preserve"> </w:t>
      </w:r>
      <w:r w:rsidR="00925183">
        <w:t>For example, the reference to “processes for identifying</w:t>
      </w:r>
      <w:r w:rsidR="005C6002">
        <w:t xml:space="preserve">, addressing and responding to </w:t>
      </w:r>
      <w:r w:rsidR="00171435">
        <w:t xml:space="preserve">sexual harassment perpetrated against judicial staff” in paragraph (g) of </w:t>
      </w:r>
      <w:r w:rsidR="003B2E5B">
        <w:t>R</w:t>
      </w:r>
      <w:r w:rsidR="00171435">
        <w:t xml:space="preserve">ecommendation 4 appears to </w:t>
      </w:r>
      <w:r w:rsidR="00725B4A">
        <w:t xml:space="preserve">overlap with at least </w:t>
      </w:r>
      <w:r w:rsidR="00B47EB4">
        <w:t>R</w:t>
      </w:r>
      <w:r w:rsidR="00725B4A">
        <w:t>ecommendation 2(f)</w:t>
      </w:r>
      <w:r w:rsidR="00263B97">
        <w:t xml:space="preserve"> and </w:t>
      </w:r>
      <w:r w:rsidR="00B47EB4">
        <w:t>R</w:t>
      </w:r>
      <w:r w:rsidR="00263B97">
        <w:t>ecommendation 9,</w:t>
      </w:r>
      <w:r w:rsidR="00725B4A">
        <w:t xml:space="preserve"> which </w:t>
      </w:r>
      <w:r w:rsidR="00B677AE">
        <w:t>concern avenues for reporting sexual harassment</w:t>
      </w:r>
      <w:r w:rsidR="0041700E">
        <w:t xml:space="preserve">. </w:t>
      </w:r>
    </w:p>
    <w:p w14:paraId="7BB1AA81" w14:textId="46F95C5D" w:rsidR="002573DD" w:rsidRPr="00AB196C" w:rsidRDefault="002573DD" w:rsidP="0004466F">
      <w:pPr>
        <w:pStyle w:val="ListParagraph"/>
      </w:pPr>
      <w:r w:rsidRPr="00AB196C">
        <w:t>We explore</w:t>
      </w:r>
      <w:r w:rsidR="00817150">
        <w:t>d</w:t>
      </w:r>
      <w:r w:rsidRPr="00AB196C">
        <w:t xml:space="preserve"> </w:t>
      </w:r>
      <w:r>
        <w:t>these</w:t>
      </w:r>
      <w:r w:rsidRPr="00AB196C">
        <w:t xml:space="preserve"> issue</w:t>
      </w:r>
      <w:r>
        <w:t>s</w:t>
      </w:r>
      <w:r w:rsidRPr="00AB196C">
        <w:t xml:space="preserve"> further </w:t>
      </w:r>
      <w:r w:rsidR="00121523">
        <w:t xml:space="preserve">in a conference </w:t>
      </w:r>
      <w:r w:rsidRPr="00AB196C">
        <w:t xml:space="preserve">with Dr Szoke </w:t>
      </w:r>
      <w:proofErr w:type="gramStart"/>
      <w:r w:rsidR="0091595E">
        <w:t xml:space="preserve">during the course </w:t>
      </w:r>
      <w:r w:rsidRPr="00AB196C">
        <w:t>of</w:t>
      </w:r>
      <w:proofErr w:type="gramEnd"/>
      <w:r w:rsidRPr="00AB196C">
        <w:t xml:space="preserve"> preparing this report.</w:t>
      </w:r>
      <w:r w:rsidR="0091595E">
        <w:t xml:space="preserve">  Dr Szoke indicated that </w:t>
      </w:r>
      <w:r w:rsidR="004950C3">
        <w:t xml:space="preserve">the drafting </w:t>
      </w:r>
      <w:r w:rsidR="0091595E">
        <w:t xml:space="preserve">of </w:t>
      </w:r>
      <w:r w:rsidR="000369D9">
        <w:t xml:space="preserve">Recommendation </w:t>
      </w:r>
      <w:r w:rsidR="0091595E">
        <w:t xml:space="preserve">4 </w:t>
      </w:r>
      <w:r w:rsidR="004950C3">
        <w:t xml:space="preserve">was </w:t>
      </w:r>
      <w:r w:rsidR="000E27DC">
        <w:t xml:space="preserve">relatively flexible, rather than </w:t>
      </w:r>
      <w:r w:rsidR="004950C3">
        <w:t xml:space="preserve">deliberately </w:t>
      </w:r>
      <w:r w:rsidR="0091595E">
        <w:t xml:space="preserve">restrictive, </w:t>
      </w:r>
      <w:r w:rsidR="000E27DC">
        <w:t>given the prevailing uncertainties</w:t>
      </w:r>
      <w:r w:rsidR="00DE35E8">
        <w:t>.</w:t>
      </w:r>
      <w:r w:rsidR="00065BA8">
        <w:t xml:space="preserve">  Accordingly, where meaningful treatment of aspects of our reference required</w:t>
      </w:r>
      <w:r w:rsidR="00DE35E8">
        <w:t xml:space="preserve"> it, we considered, to the extent necessary,</w:t>
      </w:r>
      <w:r w:rsidR="00065BA8">
        <w:t xml:space="preserve"> topics under other Recommendations</w:t>
      </w:r>
      <w:r w:rsidR="00DE35E8">
        <w:t>.</w:t>
      </w:r>
    </w:p>
    <w:p w14:paraId="7771EEF7" w14:textId="5B7A4408" w:rsidR="00AB196C" w:rsidRPr="00AB196C" w:rsidRDefault="00AB196C" w:rsidP="0004466F">
      <w:pPr>
        <w:pStyle w:val="ListParagraph"/>
      </w:pPr>
      <w:r w:rsidRPr="00AB196C">
        <w:t>A second challenge is that the Recommendation 4 review depends on accurately ascertaining the current factual background, terms and conditions of recruitment and working conditions in the various relevant courts</w:t>
      </w:r>
      <w:r w:rsidR="001F0B86">
        <w:t xml:space="preserve"> and VCAT</w:t>
      </w:r>
      <w:r w:rsidRPr="00AB196C">
        <w:t xml:space="preserve">.  Because </w:t>
      </w:r>
      <w:r w:rsidR="005453CB">
        <w:t>each jurisdiction is</w:t>
      </w:r>
      <w:r w:rsidRPr="00AB196C">
        <w:t xml:space="preserve"> in </w:t>
      </w:r>
      <w:r w:rsidR="005453CB">
        <w:t>a different stage of</w:t>
      </w:r>
      <w:r w:rsidRPr="00AB196C">
        <w:t xml:space="preserve"> transition</w:t>
      </w:r>
      <w:r w:rsidR="000E03AA">
        <w:t xml:space="preserve"> with respect to its approach to sexual harassment risk factors</w:t>
      </w:r>
      <w:r w:rsidRPr="00AB196C">
        <w:t xml:space="preserve">, it </w:t>
      </w:r>
      <w:r w:rsidR="006661EB">
        <w:t>was</w:t>
      </w:r>
      <w:r w:rsidRPr="00AB196C">
        <w:t xml:space="preserve"> difficult to describe with confidence a fixed current situation in each court</w:t>
      </w:r>
      <w:r w:rsidR="00F62D8B">
        <w:t xml:space="preserve"> and VCAT</w:t>
      </w:r>
      <w:r w:rsidRPr="00AB196C">
        <w:t xml:space="preserve">.  Changes </w:t>
      </w:r>
      <w:r w:rsidR="006661EB">
        <w:t xml:space="preserve">had been made, </w:t>
      </w:r>
      <w:r w:rsidRPr="00AB196C">
        <w:t>are in the process of being made, are being considered, or are in the pipeline</w:t>
      </w:r>
      <w:r w:rsidR="00433159">
        <w:t>,</w:t>
      </w:r>
      <w:r w:rsidR="001C07C1">
        <w:t xml:space="preserve"> </w:t>
      </w:r>
      <w:r w:rsidR="001C07C1" w:rsidRPr="00AB196C">
        <w:t xml:space="preserve">as each </w:t>
      </w:r>
      <w:r w:rsidR="00DA3EAE">
        <w:t xml:space="preserve">court or tribunal </w:t>
      </w:r>
      <w:r w:rsidR="001C07C1" w:rsidRPr="00AB196C">
        <w:t>attempts to respond to the Szoke Report</w:t>
      </w:r>
      <w:r w:rsidRPr="00AB196C">
        <w:t>.  The</w:t>
      </w:r>
      <w:r w:rsidR="00DA3EAE">
        <w:t> </w:t>
      </w:r>
      <w:r w:rsidRPr="00AB196C">
        <w:t>courts are still responding, albeit not uniformly or in the same timeframe.  Some proposed changes depend</w:t>
      </w:r>
      <w:r w:rsidR="00C5199D">
        <w:t>,</w:t>
      </w:r>
      <w:r w:rsidRPr="00AB196C">
        <w:t xml:space="preserve"> </w:t>
      </w:r>
      <w:r w:rsidR="003F5EAA">
        <w:t xml:space="preserve">for </w:t>
      </w:r>
      <w:r w:rsidRPr="00AB196C">
        <w:t>their formulation and implementation</w:t>
      </w:r>
      <w:r w:rsidR="00E04E7B">
        <w:t>,</w:t>
      </w:r>
      <w:r w:rsidRPr="00AB196C">
        <w:t xml:space="preserve"> on still other changes that may be made.</w:t>
      </w:r>
      <w:r w:rsidR="00C5199D">
        <w:t xml:space="preserve"> </w:t>
      </w:r>
      <w:r w:rsidR="00E04E7B">
        <w:t xml:space="preserve"> </w:t>
      </w:r>
    </w:p>
    <w:p w14:paraId="68E96939" w14:textId="657C2558" w:rsidR="00AB196C" w:rsidRPr="00AB196C" w:rsidRDefault="00433159" w:rsidP="0004466F">
      <w:pPr>
        <w:pStyle w:val="ListParagraph"/>
      </w:pPr>
      <w:r w:rsidRPr="00AB196C">
        <w:t>Therefore</w:t>
      </w:r>
      <w:r>
        <w:t xml:space="preserve">, </w:t>
      </w:r>
      <w:proofErr w:type="gramStart"/>
      <w:r>
        <w:t>in the course of</w:t>
      </w:r>
      <w:proofErr w:type="gramEnd"/>
      <w:r>
        <w:t xml:space="preserve"> preparing the report, some </w:t>
      </w:r>
      <w:r w:rsidR="00CF5408">
        <w:t xml:space="preserve">initial </w:t>
      </w:r>
      <w:r w:rsidR="00AB196C" w:rsidRPr="00AB196C">
        <w:t xml:space="preserve">descriptions of the </w:t>
      </w:r>
      <w:r w:rsidR="00AB196C" w:rsidRPr="00AB196C">
        <w:rPr>
          <w:i/>
          <w:iCs/>
        </w:rPr>
        <w:t>status quo</w:t>
      </w:r>
      <w:r w:rsidR="00AB196C" w:rsidRPr="00AB196C">
        <w:t xml:space="preserve"> </w:t>
      </w:r>
      <w:r>
        <w:t xml:space="preserve">were </w:t>
      </w:r>
      <w:r w:rsidR="00B96F8B">
        <w:t xml:space="preserve">overtaken by </w:t>
      </w:r>
      <w:r w:rsidR="00AB196C" w:rsidRPr="00AB196C">
        <w:t>interrelated changes being implemented within a relatively short space of time.</w:t>
      </w:r>
      <w:r>
        <w:t xml:space="preserve">  Accordingly, it was necessary to revise or qualify them.</w:t>
      </w:r>
    </w:p>
    <w:p w14:paraId="5D769456" w14:textId="43EECFC8" w:rsidR="00AB196C" w:rsidRPr="00AB196C" w:rsidRDefault="00AB196C" w:rsidP="0004466F">
      <w:pPr>
        <w:pStyle w:val="ListParagraph"/>
      </w:pPr>
      <w:r w:rsidRPr="00AB196C">
        <w:lastRenderedPageBreak/>
        <w:t xml:space="preserve">Thirdly, the five Victorian Courts and VCAT have significantly different structures and conditions of work.  The sheer number of the courts, and the number of different categories of officers or personnel within them we </w:t>
      </w:r>
      <w:r w:rsidR="00BE6282">
        <w:t>need</w:t>
      </w:r>
      <w:r w:rsidR="00E555FC">
        <w:t>ed</w:t>
      </w:r>
      <w:r w:rsidR="00BE6282" w:rsidRPr="00AB196C">
        <w:t xml:space="preserve"> </w:t>
      </w:r>
      <w:r w:rsidRPr="00AB196C">
        <w:t>to interview or consult</w:t>
      </w:r>
      <w:r w:rsidR="00EE712E">
        <w:t>,</w:t>
      </w:r>
      <w:r w:rsidR="00D05B70">
        <w:t xml:space="preserve"> required us to undertake </w:t>
      </w:r>
      <w:proofErr w:type="gramStart"/>
      <w:r w:rsidR="00D05B70">
        <w:t>a large number of</w:t>
      </w:r>
      <w:proofErr w:type="gramEnd"/>
      <w:r w:rsidR="00D05B70">
        <w:t xml:space="preserve"> conferences</w:t>
      </w:r>
      <w:r w:rsidR="00E555FC">
        <w:t>.</w:t>
      </w:r>
      <w:r w:rsidR="00735D1C" w:rsidRPr="00735D1C">
        <w:t xml:space="preserve"> </w:t>
      </w:r>
      <w:r w:rsidR="00735D1C">
        <w:t xml:space="preserve"> </w:t>
      </w:r>
    </w:p>
    <w:p w14:paraId="29257EE9" w14:textId="44AFB6BF" w:rsidR="00AB196C" w:rsidRPr="00AB196C" w:rsidRDefault="00AB196C" w:rsidP="0004466F">
      <w:pPr>
        <w:pStyle w:val="ListParagraph"/>
      </w:pPr>
      <w:r w:rsidRPr="00AB196C">
        <w:t xml:space="preserve">Fourthly, pandemic conditions applied strictly at the commencement of the review and have subsequently been maintained at least in part.  Therefore, </w:t>
      </w:r>
      <w:r w:rsidR="003B4C73">
        <w:t xml:space="preserve">a great many </w:t>
      </w:r>
      <w:r w:rsidRPr="00AB196C">
        <w:t>of the conferences and interviews to date were conducted virtually, with the attendant restrictions, inconveniences, and possible impediments to free communication.</w:t>
      </w:r>
    </w:p>
    <w:p w14:paraId="1E82780E" w14:textId="38BA0EE7" w:rsidR="00AB196C" w:rsidRPr="00AB196C" w:rsidRDefault="00AB196C" w:rsidP="0004466F">
      <w:pPr>
        <w:pStyle w:val="ListParagraph"/>
      </w:pPr>
      <w:r w:rsidRPr="00AB196C">
        <w:t xml:space="preserve">Fifthly, there are a plethora of new Australian reports, seminars, </w:t>
      </w:r>
      <w:proofErr w:type="gramStart"/>
      <w:r w:rsidRPr="00AB196C">
        <w:t>reviews</w:t>
      </w:r>
      <w:proofErr w:type="gramEnd"/>
      <w:r w:rsidRPr="00AB196C">
        <w:t xml:space="preserve"> and discussion papers potentially relevant to the issues subject to review.  A large quantity of directly relevant American material on sexual harassment in the judiciary has also relatively recently been produced.  The volume of relevant and emerging materials was substantial and demanding.  However, it appears</w:t>
      </w:r>
      <w:r w:rsidR="00594850">
        <w:t>,</w:t>
      </w:r>
      <w:r w:rsidRPr="00AB196C">
        <w:t xml:space="preserve"> </w:t>
      </w:r>
      <w:r w:rsidR="00594850" w:rsidRPr="00AB196C">
        <w:t xml:space="preserve">at this stage of our research, </w:t>
      </w:r>
      <w:r w:rsidRPr="00AB196C">
        <w:t xml:space="preserve">that </w:t>
      </w:r>
      <w:proofErr w:type="gramStart"/>
      <w:r w:rsidRPr="00AB196C">
        <w:t>the majority of</w:t>
      </w:r>
      <w:proofErr w:type="gramEnd"/>
      <w:r w:rsidRPr="00AB196C">
        <w:t xml:space="preserve"> the published material focuses on recognition of the problems, causal analysis and aspirational statements.  Guidance on concrete practical measures</w:t>
      </w:r>
      <w:r w:rsidR="00365D13">
        <w:t>, which is the focus of our task,</w:t>
      </w:r>
      <w:r w:rsidRPr="00AB196C">
        <w:t xml:space="preserve"> is much less common.</w:t>
      </w:r>
    </w:p>
    <w:p w14:paraId="39009E06" w14:textId="2E21B47C" w:rsidR="000D6470" w:rsidRPr="00AB196C" w:rsidRDefault="00AB196C" w:rsidP="0004466F">
      <w:pPr>
        <w:pStyle w:val="ListParagraph"/>
      </w:pPr>
      <w:r w:rsidRPr="00AB196C">
        <w:t>Sixthly, there is a lack of clarity about what constitutes sexual harassment, which necessarily complicates systemic attempts to prevent, reduce or appropriately address it, in this and other contexts.  The legislative tests pose difficulties.  The body of case law is evolving.</w:t>
      </w:r>
      <w:r w:rsidR="00351DCA">
        <w:t xml:space="preserve">  </w:t>
      </w:r>
      <w:r w:rsidRPr="00AB196C">
        <w:t xml:space="preserve">There are few comprehensive Australian legal texts or commentaries </w:t>
      </w:r>
      <w:r w:rsidR="00495202">
        <w:t xml:space="preserve">which address the </w:t>
      </w:r>
      <w:r w:rsidR="00FB57D4">
        <w:t>topic</w:t>
      </w:r>
      <w:r w:rsidR="003244E1">
        <w:t xml:space="preserve"> of sexual harassment</w:t>
      </w:r>
      <w:r w:rsidRPr="00AB196C">
        <w:t>.</w:t>
      </w:r>
      <w:r w:rsidR="00813C2A">
        <w:rPr>
          <w:rFonts w:ascii="ZWAdobeF" w:hAnsi="ZWAdobeF" w:cs="ZWAdobeF"/>
          <w:sz w:val="2"/>
          <w:szCs w:val="2"/>
        </w:rPr>
        <w:t>10F</w:t>
      </w:r>
      <w:r w:rsidR="00704B18">
        <w:rPr>
          <w:rFonts w:ascii="ZWAdobeF" w:hAnsi="ZWAdobeF" w:cs="ZWAdobeF"/>
          <w:sz w:val="2"/>
          <w:szCs w:val="2"/>
        </w:rPr>
        <w:t>12F</w:t>
      </w:r>
      <w:r w:rsidR="005778B5">
        <w:rPr>
          <w:rStyle w:val="FootnoteReference"/>
        </w:rPr>
        <w:footnoteReference w:id="15"/>
      </w:r>
    </w:p>
    <w:p w14:paraId="33C9BE24" w14:textId="34AF1290" w:rsidR="00AB196C" w:rsidRPr="00AB196C" w:rsidRDefault="00AB196C" w:rsidP="0004466F">
      <w:pPr>
        <w:pStyle w:val="ListParagraph"/>
      </w:pPr>
      <w:proofErr w:type="gramStart"/>
      <w:r w:rsidRPr="00AB196C">
        <w:t>In particular, in</w:t>
      </w:r>
      <w:proofErr w:type="gramEnd"/>
      <w:r w:rsidRPr="00AB196C">
        <w:t xml:space="preserve"> identifying sexual harassment there are many grey areas and it is frequently difficult to draw the line in a rapidly transitioning context.  It can be said, however, that the reach of sexual harassment </w:t>
      </w:r>
      <w:r w:rsidR="00351DCA">
        <w:t xml:space="preserve">claims </w:t>
      </w:r>
      <w:r w:rsidRPr="00AB196C">
        <w:t>is expanding</w:t>
      </w:r>
      <w:r w:rsidR="00351DCA">
        <w:t xml:space="preserve">.  </w:t>
      </w:r>
      <w:r w:rsidR="00351DCA" w:rsidRPr="00AB196C">
        <w:t xml:space="preserve">Conduct </w:t>
      </w:r>
      <w:r w:rsidRPr="00AB196C">
        <w:t xml:space="preserve">which once would probably not have been found to contravene the statutory prohibitions </w:t>
      </w:r>
      <w:r w:rsidR="00351DCA">
        <w:t xml:space="preserve">is </w:t>
      </w:r>
      <w:r w:rsidRPr="00AB196C">
        <w:t>now more likely to do so.  Further,</w:t>
      </w:r>
      <w:r w:rsidR="004264E6">
        <w:t> </w:t>
      </w:r>
      <w:r w:rsidRPr="00AB196C">
        <w:t>some conduct which would once have been seen as acceptable or at least tolerated by the community is now seen as unacceptable and culpable.</w:t>
      </w:r>
    </w:p>
    <w:p w14:paraId="77406557" w14:textId="7F37CEAB" w:rsidR="00B64A1B" w:rsidRDefault="00AB196C" w:rsidP="0004466F">
      <w:pPr>
        <w:pStyle w:val="ListParagraph"/>
      </w:pPr>
      <w:r w:rsidRPr="00AB196C">
        <w:t xml:space="preserve">Seventhly, it is also clear that </w:t>
      </w:r>
      <w:proofErr w:type="gramStart"/>
      <w:r w:rsidRPr="00AB196C">
        <w:t>conduct</w:t>
      </w:r>
      <w:proofErr w:type="gramEnd"/>
      <w:r w:rsidRPr="00AB196C">
        <w:t xml:space="preserve"> which is sexualised and inappropriate, but fall</w:t>
      </w:r>
      <w:r w:rsidR="00555F5B">
        <w:t>s</w:t>
      </w:r>
      <w:r w:rsidRPr="00AB196C">
        <w:t xml:space="preserve"> short of sexual harassment as defined, may nevertheless constitute </w:t>
      </w:r>
      <w:r w:rsidR="00555F5B">
        <w:t xml:space="preserve">serious </w:t>
      </w:r>
      <w:r w:rsidRPr="00AB196C">
        <w:t xml:space="preserve">misconduct by a judge, inconsistent with maintenance of judicial office, although it does not contravene any law.  </w:t>
      </w:r>
      <w:r w:rsidR="00AA03BF" w:rsidRPr="00AB196C">
        <w:t xml:space="preserve">We </w:t>
      </w:r>
      <w:r w:rsidR="00AA03BF">
        <w:t xml:space="preserve">explore the relevant legal framework </w:t>
      </w:r>
      <w:r w:rsidR="00AA03BF" w:rsidRPr="00A330FC">
        <w:t>a</w:t>
      </w:r>
      <w:r w:rsidR="00264458" w:rsidRPr="00A330FC">
        <w:t>t</w:t>
      </w:r>
      <w:r w:rsidR="00337B90" w:rsidRPr="00A330FC">
        <w:t xml:space="preserve"> [</w:t>
      </w:r>
      <w:r w:rsidR="00BA284D">
        <w:fldChar w:fldCharType="begin"/>
      </w:r>
      <w:r w:rsidR="00BA284D">
        <w:instrText xml:space="preserve"> REF _Ref108610866 \r \h </w:instrText>
      </w:r>
      <w:r w:rsidR="00BA284D">
        <w:fldChar w:fldCharType="separate"/>
      </w:r>
      <w:r w:rsidR="00CF093C">
        <w:t>56</w:t>
      </w:r>
      <w:r w:rsidR="00BA284D">
        <w:fldChar w:fldCharType="end"/>
      </w:r>
      <w:r w:rsidR="00337B90" w:rsidRPr="00A330FC">
        <w:t>]–[</w:t>
      </w:r>
      <w:r w:rsidR="00CC1309">
        <w:fldChar w:fldCharType="begin"/>
      </w:r>
      <w:r w:rsidR="00CC1309">
        <w:instrText xml:space="preserve"> REF _Ref108610965 \r \h </w:instrText>
      </w:r>
      <w:r w:rsidR="00CC1309">
        <w:fldChar w:fldCharType="separate"/>
      </w:r>
      <w:r w:rsidR="00CF093C">
        <w:t>83</w:t>
      </w:r>
      <w:r w:rsidR="00CC1309">
        <w:fldChar w:fldCharType="end"/>
      </w:r>
      <w:r w:rsidR="00337B90" w:rsidRPr="00A330FC">
        <w:t>]</w:t>
      </w:r>
      <w:r w:rsidR="00AA03BF">
        <w:t xml:space="preserve"> below, noting that it was not until 2021 </w:t>
      </w:r>
      <w:r w:rsidR="00AA03BF">
        <w:lastRenderedPageBreak/>
        <w:t xml:space="preserve">that amendments were made to the </w:t>
      </w:r>
      <w:r w:rsidR="00AA03BF">
        <w:rPr>
          <w:i/>
          <w:iCs/>
        </w:rPr>
        <w:t xml:space="preserve">Sex Discrimination Act </w:t>
      </w:r>
      <w:r w:rsidR="00BE1F9C">
        <w:rPr>
          <w:i/>
          <w:iCs/>
        </w:rPr>
        <w:t xml:space="preserve">1984 </w:t>
      </w:r>
      <w:r w:rsidR="00BE1F9C">
        <w:t>(</w:t>
      </w:r>
      <w:proofErr w:type="spellStart"/>
      <w:r w:rsidR="00BE1F9C">
        <w:t>Cth</w:t>
      </w:r>
      <w:proofErr w:type="spellEnd"/>
      <w:r w:rsidR="00BE1F9C">
        <w:t xml:space="preserve">) </w:t>
      </w:r>
      <w:r w:rsidR="00E2292B">
        <w:t xml:space="preserve">(“SD Act”) </w:t>
      </w:r>
      <w:r w:rsidR="00AA03BF">
        <w:t xml:space="preserve">which clarified its application to judicial officers.  </w:t>
      </w:r>
    </w:p>
    <w:p w14:paraId="5D904D4F" w14:textId="57E4EA9E" w:rsidR="00AB196C" w:rsidRDefault="006C1B51" w:rsidP="0004466F">
      <w:pPr>
        <w:pStyle w:val="ListParagraph"/>
      </w:pPr>
      <w:r>
        <w:t xml:space="preserve">Thus, at the time of </w:t>
      </w:r>
      <w:r w:rsidR="001E4374">
        <w:t xml:space="preserve">the investigations of </w:t>
      </w:r>
      <w:r>
        <w:t xml:space="preserve">the </w:t>
      </w:r>
      <w:r w:rsidR="001E4374">
        <w:t xml:space="preserve">allegations made against </w:t>
      </w:r>
      <w:r>
        <w:t xml:space="preserve">the three Australian </w:t>
      </w:r>
      <w:r w:rsidR="001E4374">
        <w:t xml:space="preserve">judges, the position was uncertain.  </w:t>
      </w:r>
      <w:r w:rsidR="007937AF">
        <w:t xml:space="preserve">The </w:t>
      </w:r>
      <w:r w:rsidR="004711BA">
        <w:t xml:space="preserve">independent investigation of allegations against </w:t>
      </w:r>
      <w:r w:rsidR="00F726F7">
        <w:t xml:space="preserve">the Hon. Dyson </w:t>
      </w:r>
      <w:proofErr w:type="spellStart"/>
      <w:r w:rsidR="00F726F7">
        <w:t>Heydon</w:t>
      </w:r>
      <w:proofErr w:type="spellEnd"/>
      <w:r w:rsidR="00F726F7">
        <w:t xml:space="preserve"> </w:t>
      </w:r>
      <w:r w:rsidR="00134E95">
        <w:t xml:space="preserve">QC </w:t>
      </w:r>
      <w:r w:rsidR="007937AF">
        <w:t xml:space="preserve">nevertheless </w:t>
      </w:r>
      <w:r w:rsidR="00F726F7">
        <w:t>concluded that the former judge had engaged in sexual harassment</w:t>
      </w:r>
      <w:r w:rsidR="00AB196C" w:rsidRPr="00AB196C">
        <w:t xml:space="preserve">.  </w:t>
      </w:r>
      <w:r w:rsidR="00F726F7">
        <w:t xml:space="preserve">Subsequently, </w:t>
      </w:r>
      <w:r w:rsidR="00452B1E">
        <w:t>t</w:t>
      </w:r>
      <w:r w:rsidR="008E1F41">
        <w:t>he</w:t>
      </w:r>
      <w:r w:rsidR="00AB196C" w:rsidRPr="00AB196C">
        <w:t xml:space="preserve"> Federal Circuit Court Conduct Committee’s </w:t>
      </w:r>
      <w:r w:rsidR="00555F5B">
        <w:t>investigation of complaints against a judge, completed in February 2021</w:t>
      </w:r>
      <w:r w:rsidR="00991088">
        <w:t xml:space="preserve">, recommended </w:t>
      </w:r>
      <w:r w:rsidR="00AB196C" w:rsidRPr="00AB196C">
        <w:t xml:space="preserve">that </w:t>
      </w:r>
      <w:r w:rsidR="00B212C5">
        <w:t xml:space="preserve">its findings </w:t>
      </w:r>
      <w:r w:rsidR="00AB196C" w:rsidRPr="00AB196C">
        <w:t>be referred to the Attorney</w:t>
      </w:r>
      <w:r w:rsidR="00AB196C" w:rsidRPr="00AB196C">
        <w:noBreakHyphen/>
        <w:t>General</w:t>
      </w:r>
      <w:r w:rsidR="00781699">
        <w:t xml:space="preserve">. </w:t>
      </w:r>
      <w:r w:rsidR="004B04B0">
        <w:t xml:space="preserve"> </w:t>
      </w:r>
      <w:r w:rsidR="00781699">
        <w:t>That recommendation</w:t>
      </w:r>
      <w:r w:rsidR="00AB196C" w:rsidRPr="00AB196C">
        <w:t xml:space="preserve"> did not depend on a finding that </w:t>
      </w:r>
      <w:r w:rsidR="00274CA4">
        <w:t>the judge</w:t>
      </w:r>
      <w:r w:rsidR="00274CA4" w:rsidRPr="00AB196C">
        <w:t xml:space="preserve"> </w:t>
      </w:r>
      <w:r w:rsidR="00AB196C" w:rsidRPr="00AB196C">
        <w:t>had sexually harassed the complainants within the statutory meaning of the term.  The</w:t>
      </w:r>
      <w:r w:rsidR="00305D26">
        <w:t> </w:t>
      </w:r>
      <w:r w:rsidR="00AB196C" w:rsidRPr="00AB196C">
        <w:t xml:space="preserve">Conduct Committee concluded that the judge’s inappropriate sexualised conduct towards two junior women working in or associated with the legal profession rendered him unfit to continue in office, given the extremely high standards and expectations that </w:t>
      </w:r>
      <w:r w:rsidR="00377B75">
        <w:t>properly</w:t>
      </w:r>
      <w:r w:rsidR="00377B75" w:rsidRPr="00AB196C">
        <w:t xml:space="preserve"> </w:t>
      </w:r>
      <w:r w:rsidR="00AB196C" w:rsidRPr="00AB196C">
        <w:t>apply to judges.</w:t>
      </w:r>
      <w:r w:rsidR="00452B1E">
        <w:t xml:space="preserve"> </w:t>
      </w:r>
      <w:r w:rsidR="008E1F41">
        <w:t xml:space="preserve"> </w:t>
      </w:r>
      <w:r w:rsidR="00D943BC">
        <w:t xml:space="preserve">In the case of </w:t>
      </w:r>
      <w:r w:rsidR="00397423">
        <w:t xml:space="preserve">former </w:t>
      </w:r>
      <w:r w:rsidR="00D943BC">
        <w:t>Justice Vickery</w:t>
      </w:r>
      <w:r w:rsidR="00397423">
        <w:t xml:space="preserve"> of the Supreme Court of Victoria</w:t>
      </w:r>
      <w:r w:rsidR="00D943BC">
        <w:t xml:space="preserve">, it was reported in February 2022 that an investigation conducted by Kate Eastman </w:t>
      </w:r>
      <w:r w:rsidR="00517E18">
        <w:t xml:space="preserve">AM </w:t>
      </w:r>
      <w:r w:rsidR="00D943BC">
        <w:t xml:space="preserve">SC had found that he had subjected two </w:t>
      </w:r>
      <w:r w:rsidR="00397423">
        <w:t xml:space="preserve">female associates </w:t>
      </w:r>
      <w:r w:rsidR="00D943BC">
        <w:t>to unwanted sexual advances, constituting sexual harassment, and that his conduct constituted a serious transgression of appropriate professional boundaries.</w:t>
      </w:r>
    </w:p>
    <w:p w14:paraId="32508882" w14:textId="707F7358" w:rsidR="00587B79" w:rsidRPr="00AB196C" w:rsidRDefault="00587B79" w:rsidP="0004466F">
      <w:pPr>
        <w:pStyle w:val="ListParagraph"/>
      </w:pPr>
      <w:r>
        <w:t>Eighthly, as discussed in detail below,</w:t>
      </w:r>
      <w:r w:rsidR="00397423">
        <w:t xml:space="preserve"> we frequently relied, for</w:t>
      </w:r>
      <w:r>
        <w:t xml:space="preserve"> information and evidence</w:t>
      </w:r>
      <w:r w:rsidR="00EE6DDA">
        <w:t xml:space="preserve"> </w:t>
      </w:r>
      <w:r w:rsidR="00042EF4">
        <w:t>(particularly in the case of staff)</w:t>
      </w:r>
      <w:r w:rsidR="00397423">
        <w:t>,</w:t>
      </w:r>
      <w:r w:rsidR="00042EF4">
        <w:t xml:space="preserve"> on voluntary participation.  </w:t>
      </w:r>
      <w:r w:rsidR="00397423">
        <w:t xml:space="preserve">The information was thus </w:t>
      </w:r>
      <w:r w:rsidR="00042EF4">
        <w:t xml:space="preserve">not necessarily comprehensive, </w:t>
      </w:r>
      <w:r w:rsidR="00397423">
        <w:t xml:space="preserve">could not </w:t>
      </w:r>
      <w:r w:rsidR="00042EF4">
        <w:t xml:space="preserve">be forensically tested, </w:t>
      </w:r>
      <w:r w:rsidR="00397423">
        <w:t xml:space="preserve">was </w:t>
      </w:r>
      <w:r w:rsidR="00042EF4">
        <w:t xml:space="preserve">not balanced by the accounts of the other parties involved and </w:t>
      </w:r>
      <w:r w:rsidR="00397423">
        <w:t xml:space="preserve">could </w:t>
      </w:r>
      <w:r w:rsidR="00042EF4">
        <w:t>reflect selection bias</w:t>
      </w:r>
      <w:r w:rsidR="00397423">
        <w:t>.</w:t>
      </w:r>
    </w:p>
    <w:p w14:paraId="7384A40B" w14:textId="1F3D3B1E" w:rsidR="00C7347F" w:rsidRDefault="00397423" w:rsidP="00C7347F">
      <w:pPr>
        <w:pStyle w:val="ListParagraph"/>
      </w:pPr>
      <w:r>
        <w:t xml:space="preserve">Ninthly, </w:t>
      </w:r>
      <w:r w:rsidRPr="00AB196C">
        <w:t xml:space="preserve">a </w:t>
      </w:r>
      <w:r w:rsidR="00AB196C" w:rsidRPr="00AB196C">
        <w:t xml:space="preserve">further </w:t>
      </w:r>
      <w:r>
        <w:t xml:space="preserve">potential </w:t>
      </w:r>
      <w:r w:rsidR="00AB196C" w:rsidRPr="00AB196C">
        <w:t xml:space="preserve">grey area </w:t>
      </w:r>
      <w:r>
        <w:t xml:space="preserve">was </w:t>
      </w:r>
      <w:r w:rsidR="00AB196C" w:rsidRPr="00AB196C">
        <w:t xml:space="preserve">the relationship of sexual harassment concerns to consensual relationships between judicial officers and junior </w:t>
      </w:r>
      <w:r w:rsidR="00377B75">
        <w:t xml:space="preserve">court </w:t>
      </w:r>
      <w:r w:rsidR="00AB196C" w:rsidRPr="00AB196C">
        <w:t>staff.</w:t>
      </w:r>
      <w:r w:rsidR="00062105">
        <w:t xml:space="preserve">  It has been suggested that such relationships, like sexual harassment, are based on an abuse of power, often ultimately dam</w:t>
      </w:r>
      <w:r w:rsidR="006B07F4">
        <w:t>ag</w:t>
      </w:r>
      <w:r w:rsidR="0021473A">
        <w:t xml:space="preserve">e </w:t>
      </w:r>
      <w:r w:rsidR="006B07F4">
        <w:t>the junior person</w:t>
      </w:r>
      <w:r w:rsidR="00C2634D">
        <w:t>,</w:t>
      </w:r>
      <w:r w:rsidR="006B07F4">
        <w:t xml:space="preserve"> and are therefore ethically questionable.</w:t>
      </w:r>
    </w:p>
    <w:p w14:paraId="7A50C9EA" w14:textId="66F17710" w:rsidR="00C7347F" w:rsidRDefault="00C7347F" w:rsidP="00C7347F">
      <w:pPr>
        <w:pStyle w:val="ListParagraph"/>
      </w:pPr>
      <w:r w:rsidRPr="000055DD">
        <w:t xml:space="preserve">We note that </w:t>
      </w:r>
      <w:r>
        <w:t>since we published our Progress Report, g</w:t>
      </w:r>
      <w:r w:rsidRPr="000055DD">
        <w:t xml:space="preserve">uidelines </w:t>
      </w:r>
      <w:r>
        <w:t>on how to manage personal relationships</w:t>
      </w:r>
      <w:r w:rsidRPr="000055DD">
        <w:t xml:space="preserve"> </w:t>
      </w:r>
      <w:r>
        <w:t xml:space="preserve">have been published. </w:t>
      </w:r>
      <w:r w:rsidR="00397423">
        <w:t xml:space="preserve"> The guidelines resolve the current Victorian position in relation to CSV staff and judges.  </w:t>
      </w:r>
      <w:r>
        <w:t>Particularly, the</w:t>
      </w:r>
      <w:r w:rsidRPr="000055DD">
        <w:t xml:space="preserve"> </w:t>
      </w:r>
      <w:r w:rsidR="00397423">
        <w:t>“</w:t>
      </w:r>
      <w:r>
        <w:t>Managing Consensual Personal Relationships in the Workplace</w:t>
      </w:r>
      <w:r w:rsidR="00397423">
        <w:t>”</w:t>
      </w:r>
      <w:r>
        <w:t xml:space="preserve"> is a CSV guideline which aims to ensure that CSV employees are aware of, and can manage, the impacts that consensual personal relationships may have in the court workplace. </w:t>
      </w:r>
      <w:r w:rsidR="00426016">
        <w:t xml:space="preserve"> </w:t>
      </w:r>
      <w:r w:rsidR="00C1667F">
        <w:t xml:space="preserve">The Guideline </w:t>
      </w:r>
      <w:r>
        <w:t xml:space="preserve">also states that “judicial officers are required to conduct themselves in accordance with Guidelines set out by the Judicial Commission of Victoria”. </w:t>
      </w:r>
    </w:p>
    <w:p w14:paraId="085F16BD" w14:textId="42958BF1" w:rsidR="00C7347F" w:rsidRPr="00AB196C" w:rsidRDefault="00C7347F" w:rsidP="00C7347F">
      <w:pPr>
        <w:pStyle w:val="ListParagraph"/>
      </w:pPr>
      <w:r>
        <w:lastRenderedPageBreak/>
        <w:t xml:space="preserve">The relevant Judicial Commission guideline, the </w:t>
      </w:r>
      <w:r w:rsidR="00397423">
        <w:t>“</w:t>
      </w:r>
      <w:r>
        <w:t>Judicial Conduct Guideline: Sexual Harassment</w:t>
      </w:r>
      <w:r w:rsidR="00397423">
        <w:t>”</w:t>
      </w:r>
      <w:r>
        <w:t xml:space="preserve"> published by the Judicial Commission in February 2022, does not impose a blanket ban on consensual relationships which may develop between judicial officers and judicial staff. </w:t>
      </w:r>
      <w:r w:rsidR="00397423">
        <w:t xml:space="preserve"> </w:t>
      </w:r>
      <w:r>
        <w:t>Indeed, the document states that “[t]he Commission acknowledges that personal relationships can occur in a workplace and take various forms, including sexual or nonsexual relationships”.</w:t>
      </w:r>
      <w:r w:rsidR="00397423">
        <w:t xml:space="preserve"> </w:t>
      </w:r>
      <w:r>
        <w:t xml:space="preserve"> The Guideline provides that judicial officers “must recognise how factors such as gender and power imbalances can impact on how people respond to unwanted sexual advances”, and that “[p]</w:t>
      </w:r>
      <w:proofErr w:type="spellStart"/>
      <w:r>
        <w:t>rofessional</w:t>
      </w:r>
      <w:proofErr w:type="spellEnd"/>
      <w:r>
        <w:t xml:space="preserve"> admiration, deference to a judicial officer’s position or attempts to please or be appreciated in the workplace do not amount to romantic attraction, nor indicate consent to unwelcome conduct of a sexual nature”. </w:t>
      </w:r>
      <w:r w:rsidR="00CE0123">
        <w:t xml:space="preserve"> </w:t>
      </w:r>
      <w:r>
        <w:t>The Guideline requires judicial officers to declare to their head of jurisdiction “a sexual relationship with a CSV employee where there is a hierarchical working relationship and an actual, potential or perceived conflict of interest”.</w:t>
      </w:r>
    </w:p>
    <w:p w14:paraId="101F7C25" w14:textId="2C116B79" w:rsidR="00AB196C" w:rsidRPr="00AB196C" w:rsidRDefault="00AB196C" w:rsidP="00105349">
      <w:pPr>
        <w:pStyle w:val="Heading1"/>
      </w:pPr>
      <w:bookmarkStart w:id="7" w:name="_Toc112606868"/>
      <w:r w:rsidRPr="00AB196C">
        <w:t>Methodology</w:t>
      </w:r>
      <w:bookmarkEnd w:id="7"/>
    </w:p>
    <w:p w14:paraId="22EA42E7" w14:textId="2287CF43" w:rsidR="00AB196C" w:rsidRDefault="006A4240" w:rsidP="0004466F">
      <w:pPr>
        <w:pStyle w:val="ListParagraph"/>
      </w:pPr>
      <w:r>
        <w:t xml:space="preserve">Our </w:t>
      </w:r>
      <w:r w:rsidR="004D7AD8">
        <w:t xml:space="preserve">methodology focused on identifying the current practices within each court and VCAT concerning the </w:t>
      </w:r>
      <w:r w:rsidR="00994057">
        <w:t xml:space="preserve">recruitment processes and working arrangements </w:t>
      </w:r>
      <w:r w:rsidR="00900459">
        <w:t xml:space="preserve">for CSV staff who work in a primary relationship with judicial officers. </w:t>
      </w:r>
      <w:r w:rsidR="00CE0123">
        <w:t xml:space="preserve"> </w:t>
      </w:r>
      <w:r w:rsidR="00900459">
        <w:t xml:space="preserve">This </w:t>
      </w:r>
      <w:r>
        <w:t xml:space="preserve">was </w:t>
      </w:r>
      <w:r w:rsidR="00900459">
        <w:t>with a view to identifying what works well, and what does not, to assist us in identifying best practice</w:t>
      </w:r>
      <w:r w:rsidR="001F506C">
        <w:t xml:space="preserve"> to ameliorate the risks of sexual harassment. </w:t>
      </w:r>
      <w:r w:rsidR="00CE0123">
        <w:t xml:space="preserve"> </w:t>
      </w:r>
      <w:r w:rsidR="004A2FCE">
        <w:t xml:space="preserve">We also conducted extensive research into </w:t>
      </w:r>
      <w:r w:rsidR="000777A9">
        <w:t xml:space="preserve">the applicable legal framework and </w:t>
      </w:r>
      <w:r w:rsidR="00993A7E">
        <w:t xml:space="preserve">the work done in other jurisdictions, particularly the United States, into the problem of sexual harassment perpetrated against court staff. </w:t>
      </w:r>
    </w:p>
    <w:p w14:paraId="027D3008" w14:textId="3D1CDBD8" w:rsidR="009873C2" w:rsidRPr="00AB196C" w:rsidRDefault="009873C2" w:rsidP="0004466F">
      <w:pPr>
        <w:pStyle w:val="ListParagraph"/>
      </w:pPr>
      <w:r w:rsidRPr="00AB196C">
        <w:t xml:space="preserve">Our methodology for conducting the review </w:t>
      </w:r>
      <w:r w:rsidR="00E61974">
        <w:t>has been</w:t>
      </w:r>
      <w:r w:rsidRPr="00AB196C">
        <w:t xml:space="preserve"> a pragmatic combination of</w:t>
      </w:r>
      <w:r w:rsidR="004F08C2">
        <w:t>:</w:t>
      </w:r>
      <w:r w:rsidRPr="00AB196C">
        <w:t xml:space="preserve"> </w:t>
      </w:r>
      <w:r w:rsidR="004F08C2">
        <w:t>(a)</w:t>
      </w:r>
      <w:r w:rsidR="009229E7">
        <w:t> </w:t>
      </w:r>
      <w:r w:rsidRPr="00AB196C">
        <w:t xml:space="preserve">field work and investigation to </w:t>
      </w:r>
      <w:r>
        <w:t>permit</w:t>
      </w:r>
      <w:r w:rsidRPr="00AB196C">
        <w:t xml:space="preserve"> fact finding and narration of the </w:t>
      </w:r>
      <w:r w:rsidRPr="00AB196C">
        <w:rPr>
          <w:i/>
          <w:iCs/>
        </w:rPr>
        <w:t>status quo</w:t>
      </w:r>
      <w:r w:rsidRPr="00AB196C">
        <w:t xml:space="preserve"> in each relevant court or tribunal</w:t>
      </w:r>
      <w:r w:rsidR="004F08C2">
        <w:t>; (b)</w:t>
      </w:r>
      <w:r w:rsidRPr="00AB196C">
        <w:t xml:space="preserve"> theoretical research </w:t>
      </w:r>
      <w:r w:rsidR="00331278">
        <w:t xml:space="preserve">on </w:t>
      </w:r>
      <w:r w:rsidRPr="00AB196C">
        <w:t>the nature of sexual harassment</w:t>
      </w:r>
      <w:r w:rsidR="00164B1D">
        <w:t>;</w:t>
      </w:r>
      <w:r w:rsidRPr="00AB196C">
        <w:t xml:space="preserve"> </w:t>
      </w:r>
      <w:r w:rsidR="00036AAD">
        <w:t xml:space="preserve">(c) </w:t>
      </w:r>
      <w:r w:rsidRPr="00AB196C">
        <w:t>the identification of causal and risk factors</w:t>
      </w:r>
      <w:r w:rsidR="00164B1D">
        <w:t>;</w:t>
      </w:r>
      <w:r w:rsidR="00242CFC">
        <w:t xml:space="preserve"> and</w:t>
      </w:r>
      <w:r w:rsidRPr="00AB196C">
        <w:t xml:space="preserve"> </w:t>
      </w:r>
      <w:r w:rsidR="008B580D">
        <w:t xml:space="preserve">(d) </w:t>
      </w:r>
      <w:r w:rsidRPr="00AB196C">
        <w:t>comparative analyses of other jurisdictions, to illuminate optimal ways forward</w:t>
      </w:r>
      <w:r w:rsidR="00E63D1C">
        <w:t>.</w:t>
      </w:r>
    </w:p>
    <w:p w14:paraId="6ADDE7AF" w14:textId="02AEA5D9" w:rsidR="004F718E" w:rsidRDefault="009873C2" w:rsidP="0004466F">
      <w:pPr>
        <w:pStyle w:val="ListParagraph"/>
      </w:pPr>
      <w:r>
        <w:t xml:space="preserve">In summary, </w:t>
      </w:r>
      <w:r w:rsidRPr="00AB196C">
        <w:t xml:space="preserve">we commenced with interviews of </w:t>
      </w:r>
      <w:r>
        <w:t xml:space="preserve">human resources directors and CEOs </w:t>
      </w:r>
      <w:r w:rsidRPr="00AB196C">
        <w:t>in each court to ascertain the demographics</w:t>
      </w:r>
      <w:r>
        <w:t xml:space="preserve"> of judges and staff and the </w:t>
      </w:r>
      <w:r w:rsidRPr="00AB196C">
        <w:t>recruitment processes for chambers and other staff.</w:t>
      </w:r>
      <w:r w:rsidR="00467163">
        <w:t xml:space="preserve">  </w:t>
      </w:r>
      <w:r w:rsidR="00EE0B57">
        <w:t xml:space="preserve">We examined the </w:t>
      </w:r>
      <w:r w:rsidR="00EE0B57" w:rsidRPr="00AB196C">
        <w:t xml:space="preserve">terms of employment, induction processes </w:t>
      </w:r>
      <w:r w:rsidR="00EE0B57">
        <w:t>(</w:t>
      </w:r>
      <w:r w:rsidR="00EE0B57" w:rsidRPr="00AB196C">
        <w:t>including the materials, advice and counselling they receive</w:t>
      </w:r>
      <w:r w:rsidR="00EE0B57">
        <w:t>)</w:t>
      </w:r>
      <w:r w:rsidR="00EE0B57" w:rsidRPr="00AB196C">
        <w:t xml:space="preserve"> educational sessions, literature provided, caveats, reporting lines, accommodations, and the impressions of those working in the various courts</w:t>
      </w:r>
      <w:r w:rsidR="00EE0B57">
        <w:t xml:space="preserve">.  </w:t>
      </w:r>
      <w:r w:rsidR="004904DB">
        <w:t xml:space="preserve">We also interviewed the CEO </w:t>
      </w:r>
      <w:r w:rsidR="00CE0123">
        <w:t xml:space="preserve">and the Content Developer </w:t>
      </w:r>
      <w:r w:rsidR="004904DB">
        <w:t xml:space="preserve">of the Judicial College of Victoria.  </w:t>
      </w:r>
      <w:r w:rsidR="009229E7">
        <w:t xml:space="preserve">We interviewed experts who had worked in the field, conducted </w:t>
      </w:r>
      <w:r w:rsidR="009229E7">
        <w:lastRenderedPageBreak/>
        <w:t>investigations</w:t>
      </w:r>
      <w:r w:rsidR="002B1EAB">
        <w:t xml:space="preserve"> and or had evolved proposals, both in Australia and overseas.  Some of our interviewees in turn </w:t>
      </w:r>
      <w:r w:rsidR="004F718E">
        <w:t xml:space="preserve">recommended other persons whose input could assist the review. </w:t>
      </w:r>
    </w:p>
    <w:p w14:paraId="2451F1D4" w14:textId="58EC94AB" w:rsidR="00DC255B" w:rsidRDefault="0098657E" w:rsidP="009962D5">
      <w:pPr>
        <w:pStyle w:val="ListParagraph"/>
      </w:pPr>
      <w:r>
        <w:t>We spoke to and received input from large numbers of people with relevant input, in many cases</w:t>
      </w:r>
      <w:r w:rsidR="00272002">
        <w:t xml:space="preserve"> too informally to record.  </w:t>
      </w:r>
      <w:r w:rsidR="00791B91">
        <w:t xml:space="preserve">We spoke to judges or judicial officers in </w:t>
      </w:r>
      <w:proofErr w:type="gramStart"/>
      <w:r w:rsidR="00791B91">
        <w:t>all of</w:t>
      </w:r>
      <w:proofErr w:type="gramEnd"/>
      <w:r w:rsidR="00791B91">
        <w:t xml:space="preserve"> the courts and VCAT</w:t>
      </w:r>
      <w:r w:rsidR="00DC6638">
        <w:t xml:space="preserve">, sometimes </w:t>
      </w:r>
      <w:r w:rsidR="00B756A1">
        <w:t>via</w:t>
      </w:r>
      <w:r w:rsidR="00DC6638">
        <w:t xml:space="preserve"> Zoom, at other times in person, both individually and in groups</w:t>
      </w:r>
      <w:r w:rsidR="009364BB">
        <w:t xml:space="preserve"> and both formally and informally</w:t>
      </w:r>
      <w:r w:rsidR="00DC6638">
        <w:t>.  In</w:t>
      </w:r>
      <w:r w:rsidR="009364BB">
        <w:t> </w:t>
      </w:r>
      <w:r w:rsidR="00DC6638">
        <w:t xml:space="preserve">some cases, the judges were </w:t>
      </w:r>
      <w:r w:rsidR="00DC255B">
        <w:t>approached and in other cases, they volunteered.</w:t>
      </w:r>
    </w:p>
    <w:p w14:paraId="56DA1BC4" w14:textId="4CE73F48" w:rsidR="004C4AC5" w:rsidRDefault="00DC255B" w:rsidP="009962D5">
      <w:pPr>
        <w:pStyle w:val="ListParagraph"/>
      </w:pPr>
      <w:r>
        <w:t xml:space="preserve">We spoke to associates, tipstaves and junior staff in </w:t>
      </w:r>
      <w:r w:rsidR="007853AF">
        <w:t xml:space="preserve">the Supreme Court, County </w:t>
      </w:r>
      <w:proofErr w:type="gramStart"/>
      <w:r w:rsidR="007853AF">
        <w:t>Court</w:t>
      </w:r>
      <w:proofErr w:type="gramEnd"/>
      <w:r w:rsidR="007853AF">
        <w:t xml:space="preserve"> and Magistrates’ Court both in person and via Zoom, and both individually and in groups. </w:t>
      </w:r>
      <w:r w:rsidR="00CE0123">
        <w:t xml:space="preserve"> </w:t>
      </w:r>
      <w:r w:rsidR="007853AF">
        <w:t>We</w:t>
      </w:r>
      <w:r w:rsidR="00321AA4">
        <w:t> </w:t>
      </w:r>
      <w:r w:rsidR="007853AF">
        <w:t>also spoke with a solicitor and registrar in the Coroners Court.</w:t>
      </w:r>
    </w:p>
    <w:p w14:paraId="28A6D0CE" w14:textId="54405AC1" w:rsidR="0040326A" w:rsidRDefault="004C4AC5" w:rsidP="009962D5">
      <w:pPr>
        <w:pStyle w:val="ListParagraph"/>
      </w:pPr>
      <w:r>
        <w:t xml:space="preserve">In some cases, an individual staff member asked to speak with us (or one of us) under conditions of anonymity and confidentiality.  In some </w:t>
      </w:r>
      <w:r w:rsidR="0040326A">
        <w:t xml:space="preserve">cases, </w:t>
      </w:r>
      <w:r w:rsidR="007929A6">
        <w:t xml:space="preserve">the interviewees found </w:t>
      </w:r>
      <w:r w:rsidR="0040326A">
        <w:t xml:space="preserve">the information distressing </w:t>
      </w:r>
      <w:r w:rsidR="007929A6">
        <w:t xml:space="preserve">to recount </w:t>
      </w:r>
      <w:r w:rsidR="0040326A">
        <w:t>and their participation in an interview was an obvious effort.</w:t>
      </w:r>
      <w:r w:rsidR="00CE0123">
        <w:t xml:space="preserve">  </w:t>
      </w:r>
      <w:r w:rsidR="00BB5711">
        <w:t>We are indebted to the many people who made the effort to meet and share their experiences, often at the cost of reliving distressing experiences.</w:t>
      </w:r>
    </w:p>
    <w:p w14:paraId="647593F5" w14:textId="2B383381" w:rsidR="00FF21DB" w:rsidRDefault="0040326A" w:rsidP="009962D5">
      <w:pPr>
        <w:pStyle w:val="ListParagraph"/>
      </w:pPr>
      <w:r>
        <w:t xml:space="preserve">We also invited the submission of written comments, whether anonymously </w:t>
      </w:r>
      <w:r w:rsidR="006B1629">
        <w:t>or otherwise, from court staff in all relevant courts and from barristers at the Victorian Bar.  We received 17 written submissions on an anonymous basis.</w:t>
      </w:r>
    </w:p>
    <w:p w14:paraId="261C97E2" w14:textId="52AA6FB2" w:rsidR="00FF21DB" w:rsidRDefault="00FF21DB" w:rsidP="009962D5">
      <w:pPr>
        <w:pStyle w:val="ListParagraph"/>
      </w:pPr>
      <w:r>
        <w:t xml:space="preserve">As the interviewees and respondents participated voluntarily, and in </w:t>
      </w:r>
      <w:r w:rsidR="007B05BF">
        <w:t xml:space="preserve">many </w:t>
      </w:r>
      <w:r>
        <w:t xml:space="preserve">cases </w:t>
      </w:r>
      <w:r w:rsidR="007929A6">
        <w:t xml:space="preserve">were </w:t>
      </w:r>
      <w:r>
        <w:t>self</w:t>
      </w:r>
      <w:r>
        <w:noBreakHyphen/>
        <w:t xml:space="preserve">selecting, it might be apprehended that an unduly negative picture </w:t>
      </w:r>
      <w:r w:rsidR="007929A6">
        <w:t xml:space="preserve">of </w:t>
      </w:r>
      <w:r w:rsidR="00272002">
        <w:t xml:space="preserve">recruitment processes and </w:t>
      </w:r>
      <w:r w:rsidR="007929A6">
        <w:t xml:space="preserve">curial workplace conditions </w:t>
      </w:r>
      <w:r>
        <w:t xml:space="preserve">would </w:t>
      </w:r>
      <w:r w:rsidR="007B05BF">
        <w:t>emerge</w:t>
      </w:r>
      <w:r>
        <w:t xml:space="preserve">, as </w:t>
      </w:r>
      <w:r w:rsidR="008B0BA6">
        <w:t xml:space="preserve">those </w:t>
      </w:r>
      <w:r>
        <w:t xml:space="preserve">who had </w:t>
      </w:r>
      <w:r w:rsidR="00EA6B08">
        <w:t xml:space="preserve">experienced </w:t>
      </w:r>
      <w:r w:rsidR="008B0BA6">
        <w:t xml:space="preserve">unsatisfactory </w:t>
      </w:r>
      <w:r w:rsidR="00EA6B08">
        <w:t>conduct or conditions would be more likely to take part.</w:t>
      </w:r>
    </w:p>
    <w:p w14:paraId="3E7F21BA" w14:textId="04098C2A" w:rsidR="00EA6B08" w:rsidRDefault="007929A6" w:rsidP="009962D5">
      <w:pPr>
        <w:pStyle w:val="ListParagraph"/>
      </w:pPr>
      <w:r>
        <w:t>Many of our respondents did report concerning assessments of conditions, or their experience or observations</w:t>
      </w:r>
      <w:r w:rsidR="00817D7A">
        <w:t>,</w:t>
      </w:r>
      <w:r>
        <w:t xml:space="preserve"> in particular courts at </w:t>
      </w:r>
      <w:proofErr w:type="gramStart"/>
      <w:r>
        <w:t>particular times</w:t>
      </w:r>
      <w:proofErr w:type="gramEnd"/>
      <w:r>
        <w:t xml:space="preserve">.  </w:t>
      </w:r>
      <w:r w:rsidR="002510AC">
        <w:t>However</w:t>
      </w:r>
      <w:r w:rsidR="006C4143">
        <w:t xml:space="preserve">, not all the respondents reported negative experiences.  The </w:t>
      </w:r>
      <w:r>
        <w:t>accounts</w:t>
      </w:r>
      <w:r w:rsidR="006C4143">
        <w:t xml:space="preserve"> of those </w:t>
      </w:r>
      <w:r w:rsidR="008129B4">
        <w:t xml:space="preserve">who did </w:t>
      </w:r>
      <w:r w:rsidR="006C4143">
        <w:t xml:space="preserve">have criticisms </w:t>
      </w:r>
      <w:r w:rsidR="008129B4">
        <w:t xml:space="preserve">or </w:t>
      </w:r>
      <w:r>
        <w:t xml:space="preserve">troubling </w:t>
      </w:r>
      <w:r w:rsidR="008129B4">
        <w:t>experiences were</w:t>
      </w:r>
      <w:r w:rsidR="002510AC">
        <w:t>,</w:t>
      </w:r>
      <w:r w:rsidR="008129B4">
        <w:t xml:space="preserve"> in most instances</w:t>
      </w:r>
      <w:r w:rsidR="002510AC">
        <w:t>,</w:t>
      </w:r>
      <w:r w:rsidR="008129B4">
        <w:t xml:space="preserve"> impressively balanced.  It was obvious that those who chose to speak to us were frequently </w:t>
      </w:r>
      <w:r w:rsidR="00C64FFE">
        <w:t>actuated by an altruistic desire to ameliorate the conditions and experiences of court staff</w:t>
      </w:r>
      <w:r w:rsidR="008129B4">
        <w:t>.</w:t>
      </w:r>
      <w:r>
        <w:t xml:space="preserve">  Moreover, we </w:t>
      </w:r>
      <w:r w:rsidR="007558A8">
        <w:t xml:space="preserve">formally </w:t>
      </w:r>
      <w:r w:rsidR="00CE0123">
        <w:t xml:space="preserve">interviewed </w:t>
      </w:r>
      <w:r>
        <w:t xml:space="preserve">only a small fraction of the past and present Victorian judicial and court personnel.  </w:t>
      </w:r>
      <w:r w:rsidR="00CE0123">
        <w:t>Our overall impression</w:t>
      </w:r>
      <w:r w:rsidR="007558A8">
        <w:t>, based on many informal communications</w:t>
      </w:r>
      <w:r w:rsidR="00F8043C">
        <w:t xml:space="preserve"> over time</w:t>
      </w:r>
      <w:r w:rsidR="007558A8">
        <w:t>, is that</w:t>
      </w:r>
      <w:r w:rsidR="00CE0123">
        <w:t xml:space="preserve"> </w:t>
      </w:r>
      <w:proofErr w:type="gramStart"/>
      <w:r w:rsidR="00CE0123">
        <w:t>the majority of</w:t>
      </w:r>
      <w:proofErr w:type="gramEnd"/>
      <w:r w:rsidR="00CE0123">
        <w:t xml:space="preserve"> </w:t>
      </w:r>
      <w:r w:rsidR="007558A8">
        <w:t>court staff</w:t>
      </w:r>
      <w:r w:rsidR="00CE0123">
        <w:t xml:space="preserve">, past and present, </w:t>
      </w:r>
      <w:r w:rsidR="00817D7A">
        <w:t xml:space="preserve">do not have </w:t>
      </w:r>
      <w:r>
        <w:t>major concerns about their experience of the court as a workplace</w:t>
      </w:r>
      <w:r w:rsidR="007558A8">
        <w:t>.</w:t>
      </w:r>
      <w:r w:rsidR="00B0025B">
        <w:t xml:space="preserve">  </w:t>
      </w:r>
      <w:proofErr w:type="gramStart"/>
      <w:r w:rsidR="00756804">
        <w:t>In particular</w:t>
      </w:r>
      <w:r w:rsidR="00B0025B">
        <w:t>, despite</w:t>
      </w:r>
      <w:proofErr w:type="gramEnd"/>
      <w:r w:rsidR="00B0025B">
        <w:t xml:space="preserve"> the negative experiences of some, the vast majority of associates report an overwhelmingly positive experience, both professionally and personally.</w:t>
      </w:r>
    </w:p>
    <w:p w14:paraId="74649022" w14:textId="49B01BE3" w:rsidR="00E17DEE" w:rsidRDefault="00E17DEE" w:rsidP="009962D5">
      <w:pPr>
        <w:pStyle w:val="ListParagraph"/>
      </w:pPr>
      <w:r>
        <w:lastRenderedPageBreak/>
        <w:t xml:space="preserve">The information provided to us </w:t>
      </w:r>
      <w:r w:rsidR="002510AC">
        <w:t xml:space="preserve">as described above </w:t>
      </w:r>
      <w:r>
        <w:t>has not</w:t>
      </w:r>
      <w:r w:rsidR="007929A6">
        <w:t>, of course,</w:t>
      </w:r>
      <w:r>
        <w:t xml:space="preserve"> been subject to the rules of evidence or </w:t>
      </w:r>
      <w:r w:rsidR="002510AC">
        <w:t xml:space="preserve">forensically </w:t>
      </w:r>
      <w:r>
        <w:t>teste</w:t>
      </w:r>
      <w:r w:rsidR="00360FF6">
        <w:t xml:space="preserve">d.  It is </w:t>
      </w:r>
      <w:r w:rsidR="00915AC0">
        <w:t>“</w:t>
      </w:r>
      <w:r w:rsidR="00360FF6">
        <w:t>one sided</w:t>
      </w:r>
      <w:r w:rsidR="00915AC0">
        <w:t>”</w:t>
      </w:r>
      <w:r w:rsidR="00360FF6">
        <w:t xml:space="preserve">, </w:t>
      </w:r>
      <w:r w:rsidR="007A781C">
        <w:t xml:space="preserve">in the sense that </w:t>
      </w:r>
      <w:r w:rsidR="00360FF6">
        <w:t xml:space="preserve">accused or criticised persons’ responses are unavailable.  Nor is the information </w:t>
      </w:r>
      <w:r w:rsidR="00915AC0">
        <w:t xml:space="preserve">necessarily </w:t>
      </w:r>
      <w:r w:rsidR="00360FF6">
        <w:t>complete or comprehensive.</w:t>
      </w:r>
    </w:p>
    <w:p w14:paraId="229A6D50" w14:textId="20A5A9B1" w:rsidR="00360FF6" w:rsidRDefault="00360FF6" w:rsidP="009962D5">
      <w:pPr>
        <w:pStyle w:val="ListParagraph"/>
      </w:pPr>
      <w:r>
        <w:t xml:space="preserve">The conduct and interactions </w:t>
      </w:r>
      <w:r w:rsidR="00976996">
        <w:t xml:space="preserve">central </w:t>
      </w:r>
      <w:r>
        <w:t xml:space="preserve">to a review of this nature are frequently secret, </w:t>
      </w:r>
      <w:proofErr w:type="gramStart"/>
      <w:r>
        <w:t>unwitnessed</w:t>
      </w:r>
      <w:proofErr w:type="gramEnd"/>
      <w:r>
        <w:t xml:space="preserve"> and undisclosed.  </w:t>
      </w:r>
      <w:r w:rsidR="00BB5711">
        <w:t>The targets and witnesses of such conduct are understandably reluctant to be identified or cross</w:t>
      </w:r>
      <w:r w:rsidR="00BB5711">
        <w:noBreakHyphen/>
        <w:t xml:space="preserve">examined.  Consequently, </w:t>
      </w:r>
      <w:proofErr w:type="gramStart"/>
      <w:r w:rsidR="00BB5711">
        <w:t>as yet</w:t>
      </w:r>
      <w:proofErr w:type="gramEnd"/>
      <w:r w:rsidR="00BB5711">
        <w:t xml:space="preserve">, much is hidden.  Comprehensive, </w:t>
      </w:r>
      <w:proofErr w:type="gramStart"/>
      <w:r w:rsidR="00BB5711">
        <w:t>admissible</w:t>
      </w:r>
      <w:proofErr w:type="gramEnd"/>
      <w:r w:rsidR="00BB5711">
        <w:t xml:space="preserve"> and tested evidence is not at this time obtainable.  </w:t>
      </w:r>
      <w:r w:rsidR="007A781C">
        <w:t xml:space="preserve">The lack of </w:t>
      </w:r>
      <w:r w:rsidR="00BB5711">
        <w:t xml:space="preserve">reliable </w:t>
      </w:r>
      <w:r w:rsidR="007A781C">
        <w:t xml:space="preserve">data and information makes it </w:t>
      </w:r>
      <w:r w:rsidR="00BB5711">
        <w:t xml:space="preserve">more </w:t>
      </w:r>
      <w:r w:rsidR="007A781C">
        <w:t>difficult to understand and effectively address the problem.</w:t>
      </w:r>
    </w:p>
    <w:p w14:paraId="51977C40" w14:textId="63EFD1C6" w:rsidR="00557D52" w:rsidRDefault="007A781C" w:rsidP="009962D5">
      <w:pPr>
        <w:pStyle w:val="ListParagraph"/>
      </w:pPr>
      <w:r>
        <w:t xml:space="preserve">Despite the limitations of the evidence available to a review such as the present, we </w:t>
      </w:r>
      <w:r w:rsidR="00DD655D">
        <w:t xml:space="preserve">have </w:t>
      </w:r>
      <w:r w:rsidR="00557D52">
        <w:t xml:space="preserve">found </w:t>
      </w:r>
      <w:r w:rsidR="00DD655D">
        <w:t>that the highly plausible</w:t>
      </w:r>
      <w:r>
        <w:t>,</w:t>
      </w:r>
      <w:r w:rsidR="00DD655D">
        <w:t xml:space="preserve"> </w:t>
      </w:r>
      <w:proofErr w:type="gramStart"/>
      <w:r w:rsidR="00DD655D">
        <w:t>unvarnished</w:t>
      </w:r>
      <w:proofErr w:type="gramEnd"/>
      <w:r w:rsidR="00DD655D">
        <w:t xml:space="preserve"> and detailed accounts of those who </w:t>
      </w:r>
      <w:r w:rsidR="00976996">
        <w:t xml:space="preserve">describe having </w:t>
      </w:r>
      <w:r w:rsidR="00DD655D">
        <w:t xml:space="preserve">witnessed or suffered </w:t>
      </w:r>
      <w:r>
        <w:t xml:space="preserve">from inappropriate </w:t>
      </w:r>
      <w:r w:rsidR="009F5FE6">
        <w:t xml:space="preserve">conduct by a judicial officer, who had no apparent motive to mislead, eloquently illuminated not only the causes and patterns, but also possible </w:t>
      </w:r>
      <w:r w:rsidR="00E17DEE">
        <w:t>preventative steps.</w:t>
      </w:r>
      <w:r w:rsidR="00AC770E">
        <w:t xml:space="preserve">  Many of our recommendations are based on or informed by the accounts and suggestions of anonymous interviewees.</w:t>
      </w:r>
    </w:p>
    <w:p w14:paraId="1A0DA5FD" w14:textId="3CFBC92D" w:rsidR="00AB196C" w:rsidRPr="00AB196C" w:rsidRDefault="00276D84" w:rsidP="00756A00">
      <w:pPr>
        <w:pStyle w:val="ListParagraph"/>
      </w:pPr>
      <w:r>
        <w:t>We</w:t>
      </w:r>
      <w:r w:rsidR="004C19F6">
        <w:t> </w:t>
      </w:r>
      <w:r>
        <w:t>maintained</w:t>
      </w:r>
      <w:r w:rsidR="00614C9C">
        <w:t>, throughout,</w:t>
      </w:r>
      <w:r>
        <w:t xml:space="preserve"> </w:t>
      </w:r>
      <w:r w:rsidR="00EE0B57" w:rsidRPr="00AB196C">
        <w:t>a dialogue between</w:t>
      </w:r>
      <w:r>
        <w:t>, on the one hand,</w:t>
      </w:r>
      <w:r w:rsidR="00EE0B57" w:rsidRPr="00AB196C">
        <w:t xml:space="preserve"> our research, literature reviews, attendance at relevant seminars and</w:t>
      </w:r>
      <w:r w:rsidR="00165059">
        <w:t xml:space="preserve"> colloquia</w:t>
      </w:r>
      <w:r>
        <w:t xml:space="preserve">, </w:t>
      </w:r>
      <w:r w:rsidR="00165059">
        <w:t xml:space="preserve">and </w:t>
      </w:r>
      <w:r>
        <w:t>on the other hand,</w:t>
      </w:r>
      <w:r w:rsidR="00EE0B57" w:rsidRPr="00AB196C">
        <w:t xml:space="preserve"> our interviews and practical investigation and inquiries. </w:t>
      </w:r>
    </w:p>
    <w:p w14:paraId="19331E97" w14:textId="47427B27" w:rsidR="0009247C" w:rsidRDefault="0009247C" w:rsidP="00323F59">
      <w:pPr>
        <w:pStyle w:val="Heading1"/>
      </w:pPr>
      <w:bookmarkStart w:id="8" w:name="_Toc112606869"/>
      <w:r>
        <w:t>Background</w:t>
      </w:r>
      <w:bookmarkEnd w:id="8"/>
    </w:p>
    <w:p w14:paraId="4C8483E7" w14:textId="44143A2E" w:rsidR="0009247C" w:rsidRDefault="00400BC5" w:rsidP="0081039F">
      <w:pPr>
        <w:pStyle w:val="ListParagraph"/>
        <w:spacing w:before="240"/>
      </w:pPr>
      <w:r>
        <w:t xml:space="preserve">Our instructor, </w:t>
      </w:r>
      <w:r w:rsidR="0009247C">
        <w:t>CSV</w:t>
      </w:r>
      <w:r w:rsidR="00F33EE6">
        <w:t>,</w:t>
      </w:r>
      <w:r w:rsidR="0009247C">
        <w:t xml:space="preserve"> is the employer of staff who work with Victorian judges.</w:t>
      </w:r>
    </w:p>
    <w:p w14:paraId="71629255" w14:textId="0AD91344" w:rsidR="00B702FE" w:rsidRDefault="00A37D5C" w:rsidP="0004466F">
      <w:pPr>
        <w:pStyle w:val="ListParagraph"/>
      </w:pPr>
      <w:r>
        <w:t xml:space="preserve">CSV is an independent statutory body established under s 5 of the </w:t>
      </w:r>
      <w:r w:rsidRPr="003A3AE9">
        <w:rPr>
          <w:i/>
          <w:iCs/>
        </w:rPr>
        <w:t xml:space="preserve">Court Services </w:t>
      </w:r>
      <w:r w:rsidR="003A3AE9" w:rsidRPr="003A3AE9">
        <w:rPr>
          <w:i/>
          <w:iCs/>
        </w:rPr>
        <w:t>Victoria Act 2014</w:t>
      </w:r>
      <w:r w:rsidR="003A3AE9">
        <w:t xml:space="preserve"> </w:t>
      </w:r>
      <w:r w:rsidR="000D2FA8">
        <w:t xml:space="preserve">(Vic) </w:t>
      </w:r>
      <w:r w:rsidR="00BC1127">
        <w:t xml:space="preserve">(“CSV Act”) </w:t>
      </w:r>
      <w:r w:rsidR="003A3AE9">
        <w:t>to, among other things, provide administrative services and facilities to Victorian Courts and Tribunals and to support the Judicial Commission</w:t>
      </w:r>
      <w:r w:rsidR="00F069F4">
        <w:t>: CSV Act s 8</w:t>
      </w:r>
      <w:r w:rsidR="003A3AE9">
        <w:t>.</w:t>
      </w:r>
      <w:r w:rsidR="00931A14">
        <w:t xml:space="preserve"> </w:t>
      </w:r>
      <w:r w:rsidR="00FE5060">
        <w:t xml:space="preserve"> The Chief Executive Officer of CSV is empowered to terminate </w:t>
      </w:r>
      <w:r w:rsidR="004F2468">
        <w:t xml:space="preserve">a </w:t>
      </w:r>
      <w:r w:rsidR="00FE5060">
        <w:t xml:space="preserve">judicial employee’s employment as provided in </w:t>
      </w:r>
      <w:r w:rsidR="00DD25C9">
        <w:t xml:space="preserve">s 103 of the </w:t>
      </w:r>
      <w:r w:rsidR="00B749E6">
        <w:rPr>
          <w:i/>
          <w:iCs/>
        </w:rPr>
        <w:t xml:space="preserve">Public Administration Act 2004 </w:t>
      </w:r>
      <w:r w:rsidR="00B749E6">
        <w:t>(Vic)</w:t>
      </w:r>
      <w:r w:rsidR="00F9028B">
        <w:t xml:space="preserve"> (“PA Act”</w:t>
      </w:r>
      <w:r w:rsidR="002E355E">
        <w:t>)</w:t>
      </w:r>
      <w:r w:rsidR="00FE5060">
        <w:t>.</w:t>
      </w:r>
    </w:p>
    <w:p w14:paraId="7C865E2E" w14:textId="645FACDC" w:rsidR="00816EFB" w:rsidRDefault="003A3AE9" w:rsidP="00816EFB">
      <w:pPr>
        <w:pStyle w:val="ListParagraph"/>
      </w:pPr>
      <w:r>
        <w:t xml:space="preserve">CSV is directed not by the </w:t>
      </w:r>
      <w:r w:rsidR="0009247C">
        <w:t xml:space="preserve">Executive </w:t>
      </w:r>
      <w:r>
        <w:t xml:space="preserve">but by the </w:t>
      </w:r>
      <w:r w:rsidR="00816EFB">
        <w:t>Judiciary, through its governing body, the Courts Council, which is composed of the Chief Judicial Officers of all Victorian Courts, the President of VCAT and up to two other members possessing relevant expertise: CSV Act Part 3.</w:t>
      </w:r>
    </w:p>
    <w:p w14:paraId="41FFA3C9" w14:textId="13F156A3" w:rsidR="003A3AE9" w:rsidRDefault="00F33628" w:rsidP="007B4217">
      <w:pPr>
        <w:pStyle w:val="ListParagraph"/>
      </w:pPr>
      <w:r>
        <w:t xml:space="preserve">Importantly for our review, CSV is the employer of all Victorian court staff, including chambers staff (typically, associates, </w:t>
      </w:r>
      <w:proofErr w:type="gramStart"/>
      <w:r>
        <w:t>tipstaves</w:t>
      </w:r>
      <w:proofErr w:type="gramEnd"/>
      <w:r>
        <w:t xml:space="preserve"> and secretaries) who work closely with, and </w:t>
      </w:r>
      <w:r>
        <w:lastRenderedPageBreak/>
        <w:t xml:space="preserve">are attached to, judicial officers.  CSV is responsible for hiring, </w:t>
      </w:r>
      <w:proofErr w:type="gramStart"/>
      <w:r>
        <w:t>inducting</w:t>
      </w:r>
      <w:proofErr w:type="gramEnd"/>
      <w:r>
        <w:t xml:space="preserve"> and remunerating such staff.</w:t>
      </w:r>
    </w:p>
    <w:p w14:paraId="6DC24120" w14:textId="62C5F6C6" w:rsidR="000D2FA8" w:rsidRDefault="0009247C" w:rsidP="0004466F">
      <w:pPr>
        <w:pStyle w:val="ListParagraph"/>
      </w:pPr>
      <w:r>
        <w:t xml:space="preserve">CSV </w:t>
      </w:r>
      <w:r w:rsidR="000D2FA8">
        <w:t xml:space="preserve">is also the </w:t>
      </w:r>
      <w:r w:rsidR="00AE5A05">
        <w:t xml:space="preserve">entity </w:t>
      </w:r>
      <w:r w:rsidR="004D32F9">
        <w:t xml:space="preserve">that owes </w:t>
      </w:r>
      <w:r w:rsidR="000D2FA8">
        <w:t>duties</w:t>
      </w:r>
      <w:r>
        <w:t xml:space="preserve"> and</w:t>
      </w:r>
      <w:r w:rsidR="000D2FA8">
        <w:t xml:space="preserve"> responsibilities </w:t>
      </w:r>
      <w:r>
        <w:t xml:space="preserve">to </w:t>
      </w:r>
      <w:r w:rsidR="000D2FA8">
        <w:t xml:space="preserve">the staff pursuant to relevant legislation, including the </w:t>
      </w:r>
      <w:r w:rsidR="000D2FA8" w:rsidRPr="008F3F6B">
        <w:t>Victorian</w:t>
      </w:r>
      <w:r w:rsidR="000D2FA8" w:rsidRPr="000D2FA8">
        <w:rPr>
          <w:i/>
          <w:iCs/>
        </w:rPr>
        <w:t xml:space="preserve"> Equal Opportunity Act 2010</w:t>
      </w:r>
      <w:r w:rsidR="000D2FA8">
        <w:rPr>
          <w:i/>
          <w:iCs/>
        </w:rPr>
        <w:t xml:space="preserve"> </w:t>
      </w:r>
      <w:r w:rsidR="000D2FA8">
        <w:t>(Vic)</w:t>
      </w:r>
      <w:r w:rsidR="000D3B20">
        <w:t xml:space="preserve"> (“EO Act”)</w:t>
      </w:r>
      <w:r w:rsidR="000D2FA8">
        <w:t xml:space="preserve"> and the </w:t>
      </w:r>
      <w:r w:rsidR="000D2FA8" w:rsidRPr="000D2FA8">
        <w:t xml:space="preserve">Commonwealth </w:t>
      </w:r>
      <w:r w:rsidR="001C0FEF">
        <w:t>SD Act</w:t>
      </w:r>
      <w:r w:rsidR="008A0357" w:rsidDel="008A0357">
        <w:t xml:space="preserve"> </w:t>
      </w:r>
      <w:r w:rsidR="000D2FA8">
        <w:t>which prohibit sexual harassment in defined contexts, including employment</w:t>
      </w:r>
      <w:r w:rsidR="00A23E13">
        <w:t>,</w:t>
      </w:r>
      <w:r w:rsidR="000D2FA8">
        <w:t xml:space="preserve"> and occupational health and safety legislation </w:t>
      </w:r>
      <w:r w:rsidR="004877F3">
        <w:t xml:space="preserve">such as the </w:t>
      </w:r>
      <w:r w:rsidR="004877F3">
        <w:rPr>
          <w:i/>
          <w:iCs/>
        </w:rPr>
        <w:t xml:space="preserve">Occupational Health and Safety Act </w:t>
      </w:r>
      <w:r w:rsidR="00FB6580">
        <w:rPr>
          <w:i/>
          <w:iCs/>
        </w:rPr>
        <w:t xml:space="preserve">2004 </w:t>
      </w:r>
      <w:r w:rsidR="00FB6580">
        <w:t xml:space="preserve">(Vic) (“OHS Act”) </w:t>
      </w:r>
      <w:r w:rsidR="000D2FA8">
        <w:t xml:space="preserve">which </w:t>
      </w:r>
      <w:r w:rsidR="00E75343">
        <w:t xml:space="preserve">imposes </w:t>
      </w:r>
      <w:r w:rsidR="000D2FA8">
        <w:t xml:space="preserve">a duty on employers and persons managing and controlling a workplace to </w:t>
      </w:r>
      <w:r w:rsidR="00864216">
        <w:t xml:space="preserve">ensure that a workplace is </w:t>
      </w:r>
      <w:r w:rsidR="00174F10">
        <w:t xml:space="preserve">safe and without risks to health, including by </w:t>
      </w:r>
      <w:r w:rsidR="000D2FA8">
        <w:t>prevent</w:t>
      </w:r>
      <w:r w:rsidR="00174F10">
        <w:t>ing</w:t>
      </w:r>
      <w:r w:rsidR="000D2FA8">
        <w:t xml:space="preserve"> sexual harassment and </w:t>
      </w:r>
      <w:r w:rsidR="004D79A0">
        <w:t>responding</w:t>
      </w:r>
      <w:r w:rsidR="000D2FA8">
        <w:t xml:space="preserve"> appropriately if it does occur.  </w:t>
      </w:r>
      <w:r w:rsidR="00BE5359">
        <w:t>This legislation is discussed in detail below.</w:t>
      </w:r>
    </w:p>
    <w:p w14:paraId="1F09A19E" w14:textId="3603F54A" w:rsidR="001D3B09" w:rsidRDefault="00B66F71" w:rsidP="0004466F">
      <w:pPr>
        <w:pStyle w:val="ListParagraph"/>
      </w:pPr>
      <w:r>
        <w:t xml:space="preserve">All </w:t>
      </w:r>
      <w:r w:rsidR="00BE5359">
        <w:t xml:space="preserve">Victorian </w:t>
      </w:r>
      <w:r>
        <w:t>court staff are the employees of CSV</w:t>
      </w:r>
      <w:r w:rsidR="0009247C">
        <w:t>.</w:t>
      </w:r>
      <w:r w:rsidR="008C4218">
        <w:t xml:space="preserve"> </w:t>
      </w:r>
      <w:r w:rsidR="0009247C">
        <w:t xml:space="preserve"> If </w:t>
      </w:r>
      <w:r>
        <w:t xml:space="preserve">they are </w:t>
      </w:r>
      <w:r w:rsidR="00F45F70">
        <w:t>“</w:t>
      </w:r>
      <w:r>
        <w:t>judicial employees</w:t>
      </w:r>
      <w:r w:rsidR="00F45F70">
        <w:t>”</w:t>
      </w:r>
      <w:r w:rsidR="0089159B">
        <w:t xml:space="preserve"> as defined in s 101 of the PA Act</w:t>
      </w:r>
      <w:r>
        <w:t xml:space="preserve"> </w:t>
      </w:r>
      <w:r w:rsidR="00D45F0B">
        <w:t>(</w:t>
      </w:r>
      <w:r>
        <w:t>such as associates, tipstaves or secretaries of the Supreme Court and County Court judges</w:t>
      </w:r>
      <w:r w:rsidR="00D45F0B">
        <w:t>)</w:t>
      </w:r>
      <w:r w:rsidR="0009247C">
        <w:t xml:space="preserve"> they are employed pursuant </w:t>
      </w:r>
      <w:r w:rsidR="0009247C" w:rsidRPr="006010DA">
        <w:t xml:space="preserve">to Part 6 Division 3 of the </w:t>
      </w:r>
      <w:r w:rsidR="00746A69" w:rsidRPr="006010DA">
        <w:t>PA</w:t>
      </w:r>
      <w:r w:rsidR="0021057C">
        <w:t> </w:t>
      </w:r>
      <w:r w:rsidR="00746A69" w:rsidRPr="006010DA">
        <w:t>Act</w:t>
      </w:r>
      <w:r w:rsidR="0009247C" w:rsidRPr="006010DA">
        <w:t>.  If</w:t>
      </w:r>
      <w:r w:rsidR="00DF2CC7" w:rsidRPr="006010DA">
        <w:t> </w:t>
      </w:r>
      <w:r w:rsidR="001D3B09" w:rsidRPr="006010DA">
        <w:t>other court employees</w:t>
      </w:r>
      <w:r w:rsidR="00F64852" w:rsidRPr="006010DA">
        <w:t>, they are employed</w:t>
      </w:r>
      <w:r w:rsidR="001D3B09" w:rsidRPr="006010DA">
        <w:t xml:space="preserve"> pursuant to Part </w:t>
      </w:r>
      <w:r w:rsidR="008C4218" w:rsidRPr="006010DA">
        <w:t>3</w:t>
      </w:r>
      <w:r w:rsidR="001D3B09" w:rsidRPr="006010DA">
        <w:t xml:space="preserve"> </w:t>
      </w:r>
      <w:r w:rsidR="005531B2" w:rsidRPr="006010DA">
        <w:t>of the</w:t>
      </w:r>
      <w:r w:rsidR="005531B2">
        <w:t xml:space="preserve"> PA Act</w:t>
      </w:r>
      <w:r w:rsidR="00BB2746">
        <w:t>:</w:t>
      </w:r>
      <w:r w:rsidR="00C2231D">
        <w:t xml:space="preserve"> CSV Act s </w:t>
      </w:r>
      <w:proofErr w:type="gramStart"/>
      <w:r w:rsidR="00C2231D">
        <w:t>36,</w:t>
      </w:r>
      <w:r w:rsidR="00BB2746">
        <w:t xml:space="preserve"> </w:t>
      </w:r>
      <w:r w:rsidR="00872CBE">
        <w:t>but</w:t>
      </w:r>
      <w:proofErr w:type="gramEnd"/>
      <w:r w:rsidR="00872CBE">
        <w:t xml:space="preserve"> </w:t>
      </w:r>
      <w:r w:rsidR="00BB2746">
        <w:t xml:space="preserve">see also </w:t>
      </w:r>
      <w:r w:rsidR="00C2231D">
        <w:t xml:space="preserve">s </w:t>
      </w:r>
      <w:r w:rsidR="00083508">
        <w:t xml:space="preserve">37 (which provides that a provision of Part 3 of the PA Act </w:t>
      </w:r>
      <w:r w:rsidR="003D024C">
        <w:t xml:space="preserve">does not apply if inconsistent with the CSV Act, or if it </w:t>
      </w:r>
      <w:r w:rsidR="00FC21FB">
        <w:t>provides for the control of an employee by the executive government)</w:t>
      </w:r>
      <w:r w:rsidR="001D3B09">
        <w:t>.  The “public sector employment principles</w:t>
      </w:r>
      <w:r w:rsidR="008C4218">
        <w:t>”</w:t>
      </w:r>
      <w:r w:rsidR="001D3B09">
        <w:t xml:space="preserve"> apply to </w:t>
      </w:r>
      <w:r w:rsidR="00293386">
        <w:t xml:space="preserve">the </w:t>
      </w:r>
      <w:r w:rsidR="001D3B09">
        <w:t xml:space="preserve">employment </w:t>
      </w:r>
      <w:r w:rsidR="00293386">
        <w:t xml:space="preserve">of judicial employees: </w:t>
      </w:r>
      <w:r w:rsidR="001D3B09">
        <w:t>PA</w:t>
      </w:r>
      <w:r w:rsidR="008C4218">
        <w:t xml:space="preserve"> </w:t>
      </w:r>
      <w:r w:rsidR="001D3B09">
        <w:t>A</w:t>
      </w:r>
      <w:r w:rsidR="008C4218">
        <w:t>ct</w:t>
      </w:r>
      <w:r w:rsidR="001D3B09">
        <w:t>, s 102(</w:t>
      </w:r>
      <w:r w:rsidR="008C4218">
        <w:t>2</w:t>
      </w:r>
      <w:r w:rsidR="001D3B09">
        <w:t>).  These are set out in s 8 of the PA</w:t>
      </w:r>
      <w:r w:rsidR="008C4218">
        <w:t xml:space="preserve"> </w:t>
      </w:r>
      <w:r w:rsidR="001D3B09">
        <w:t>A</w:t>
      </w:r>
      <w:r w:rsidR="008C4218">
        <w:t>ct</w:t>
      </w:r>
      <w:r w:rsidR="006010DA">
        <w:t xml:space="preserve">: </w:t>
      </w:r>
      <w:r w:rsidR="001D3B09">
        <w:t>see also, s 7</w:t>
      </w:r>
      <w:r w:rsidR="008C4218">
        <w:t xml:space="preserve"> of the PA Act,</w:t>
      </w:r>
      <w:r w:rsidR="001D3B09">
        <w:t xml:space="preserve"> </w:t>
      </w:r>
      <w:r w:rsidR="00B80AB0">
        <w:t>which sets out the “Public sector values”</w:t>
      </w:r>
      <w:r w:rsidR="008C4218">
        <w:t>.</w:t>
      </w:r>
      <w:r w:rsidR="001E3525">
        <w:t xml:space="preserve"> </w:t>
      </w:r>
    </w:p>
    <w:p w14:paraId="55D4899F" w14:textId="11B88323" w:rsidR="001C5983" w:rsidRDefault="0056128F" w:rsidP="0004466F">
      <w:pPr>
        <w:pStyle w:val="ListParagraph"/>
      </w:pPr>
      <w:r>
        <w:t xml:space="preserve">CSV court staff are not subject to the control, </w:t>
      </w:r>
      <w:proofErr w:type="gramStart"/>
      <w:r>
        <w:t>supervision</w:t>
      </w:r>
      <w:proofErr w:type="gramEnd"/>
      <w:r>
        <w:t xml:space="preserve"> or direction of the Premier, a minister or any other representative of the Executive: CSV Act s 37.  In recognition of the separation of powers and judicial independence (see CSV Act s 4), CSV-employed staff provide administrative services necessary for the courts and VCAT to act independently, and under those arrangements, judicial officers may direct and instruct judicial and other court staff in the provision of those services.</w:t>
      </w:r>
    </w:p>
    <w:p w14:paraId="686F2F03" w14:textId="77777777" w:rsidR="00594F65" w:rsidRDefault="00594F65" w:rsidP="0004466F">
      <w:pPr>
        <w:pStyle w:val="ListParagraph"/>
        <w:keepNext/>
      </w:pPr>
      <w:r>
        <w:t>In contrast to the judicial chambers and court other staff discussed above, the PA Act does not apply to judges or associate judges of the Supreme Court or County Court, or to magistrates or coroners.  Section 106 of the PA Act provides:</w:t>
      </w:r>
    </w:p>
    <w:p w14:paraId="0C6B6C85" w14:textId="77777777" w:rsidR="00594F65" w:rsidRPr="001A16D8" w:rsidRDefault="00594F65" w:rsidP="001A16D8">
      <w:pPr>
        <w:pStyle w:val="Quote"/>
        <w:ind w:left="1843" w:hanging="709"/>
        <w:rPr>
          <w:b/>
          <w:bCs/>
        </w:rPr>
      </w:pPr>
      <w:r w:rsidRPr="001A16D8">
        <w:rPr>
          <w:b/>
          <w:bCs/>
        </w:rPr>
        <w:t>106</w:t>
      </w:r>
      <w:r w:rsidRPr="001A16D8">
        <w:rPr>
          <w:b/>
          <w:bCs/>
        </w:rPr>
        <w:tab/>
        <w:t xml:space="preserve">Act not to apply to certain persons </w:t>
      </w:r>
    </w:p>
    <w:p w14:paraId="102EE969" w14:textId="1029DADF" w:rsidR="00594F65" w:rsidRPr="006C75DD" w:rsidRDefault="00594F65" w:rsidP="001A16D8">
      <w:pPr>
        <w:pStyle w:val="Quote"/>
        <w:ind w:left="1843" w:hanging="675"/>
      </w:pPr>
      <w:r w:rsidRPr="006C75DD">
        <w:t>(1)</w:t>
      </w:r>
      <w:r w:rsidR="001A16D8">
        <w:tab/>
      </w:r>
      <w:r w:rsidRPr="006C75DD">
        <w:t xml:space="preserve">Except to the extent that a provision of this Act otherwise expressly provides, this Act does not apply to a person in his or her capacity as, or to the appointment or employment of a person as— </w:t>
      </w:r>
    </w:p>
    <w:p w14:paraId="72BD125F" w14:textId="77777777" w:rsidR="00594F65" w:rsidRPr="006C75DD" w:rsidRDefault="00594F65" w:rsidP="001A16D8">
      <w:pPr>
        <w:pStyle w:val="Quote"/>
        <w:ind w:left="2518" w:hanging="675"/>
      </w:pPr>
      <w:r w:rsidRPr="006C75DD">
        <w:t>(a)</w:t>
      </w:r>
      <w:r>
        <w:tab/>
      </w:r>
      <w:r w:rsidRPr="006C75DD">
        <w:t xml:space="preserve">a judge of the Supreme </w:t>
      </w:r>
      <w:proofErr w:type="gramStart"/>
      <w:r w:rsidRPr="006C75DD">
        <w:t>Court;</w:t>
      </w:r>
      <w:proofErr w:type="gramEnd"/>
      <w:r w:rsidRPr="006C75DD">
        <w:t xml:space="preserve"> </w:t>
      </w:r>
    </w:p>
    <w:p w14:paraId="5A76AD50" w14:textId="77777777" w:rsidR="00594F65" w:rsidRPr="006C75DD" w:rsidRDefault="00594F65" w:rsidP="001A16D8">
      <w:pPr>
        <w:pStyle w:val="Quote"/>
        <w:ind w:left="2518" w:hanging="675"/>
      </w:pPr>
      <w:r w:rsidRPr="006C75DD">
        <w:t>(b)</w:t>
      </w:r>
      <w:r>
        <w:tab/>
      </w:r>
      <w:r w:rsidRPr="006C75DD">
        <w:t xml:space="preserve">a judge of the County </w:t>
      </w:r>
      <w:proofErr w:type="gramStart"/>
      <w:r w:rsidRPr="006C75DD">
        <w:t>Court;</w:t>
      </w:r>
      <w:proofErr w:type="gramEnd"/>
      <w:r w:rsidRPr="006C75DD">
        <w:t xml:space="preserve"> </w:t>
      </w:r>
    </w:p>
    <w:p w14:paraId="15E3B7FF" w14:textId="77777777" w:rsidR="00594F65" w:rsidRPr="006C75DD" w:rsidRDefault="00594F65" w:rsidP="001A16D8">
      <w:pPr>
        <w:pStyle w:val="Quote"/>
        <w:ind w:left="2518" w:hanging="675"/>
      </w:pPr>
      <w:r w:rsidRPr="006C75DD">
        <w:lastRenderedPageBreak/>
        <w:t>(c)</w:t>
      </w:r>
      <w:r>
        <w:tab/>
      </w:r>
      <w:r w:rsidRPr="006C75DD">
        <w:t xml:space="preserve">an Associate Judge of the Supreme Court within the meaning of Part III of the </w:t>
      </w:r>
      <w:r w:rsidRPr="00F95B3E">
        <w:rPr>
          <w:i/>
          <w:iCs/>
        </w:rPr>
        <w:t xml:space="preserve">Constitution Act </w:t>
      </w:r>
      <w:proofErr w:type="gramStart"/>
      <w:r w:rsidRPr="00F95B3E">
        <w:rPr>
          <w:i/>
          <w:iCs/>
        </w:rPr>
        <w:t>1975</w:t>
      </w:r>
      <w:r w:rsidRPr="006C75DD">
        <w:t>;</w:t>
      </w:r>
      <w:proofErr w:type="gramEnd"/>
      <w:r w:rsidRPr="006C75DD">
        <w:t xml:space="preserve"> </w:t>
      </w:r>
    </w:p>
    <w:p w14:paraId="5C16749F" w14:textId="77777777" w:rsidR="00594F65" w:rsidRDefault="00594F65" w:rsidP="001A16D8">
      <w:pPr>
        <w:pStyle w:val="Quote"/>
        <w:ind w:left="2518" w:hanging="675"/>
      </w:pPr>
      <w:r w:rsidRPr="006C75DD">
        <w:t>(d)</w:t>
      </w:r>
      <w:r>
        <w:tab/>
      </w:r>
      <w:r w:rsidRPr="006C75DD">
        <w:t xml:space="preserve">an associate judge of the County </w:t>
      </w:r>
      <w:proofErr w:type="gramStart"/>
      <w:r w:rsidRPr="006C75DD">
        <w:t>Court;</w:t>
      </w:r>
      <w:proofErr w:type="gramEnd"/>
    </w:p>
    <w:p w14:paraId="6484E06F" w14:textId="77777777" w:rsidR="00594F65" w:rsidRPr="006C75DD" w:rsidRDefault="00594F65" w:rsidP="001A16D8">
      <w:pPr>
        <w:pStyle w:val="Quote"/>
        <w:ind w:left="2518" w:hanging="675"/>
      </w:pPr>
      <w:r w:rsidRPr="006C75DD">
        <w:t>(e)</w:t>
      </w:r>
      <w:r>
        <w:tab/>
      </w:r>
      <w:r w:rsidRPr="006C75DD">
        <w:t xml:space="preserve">a </w:t>
      </w:r>
      <w:proofErr w:type="gramStart"/>
      <w:r w:rsidRPr="006C75DD">
        <w:t>magistrate;</w:t>
      </w:r>
      <w:proofErr w:type="gramEnd"/>
      <w:r w:rsidRPr="006C75DD">
        <w:t xml:space="preserve"> </w:t>
      </w:r>
    </w:p>
    <w:p w14:paraId="58A2F902" w14:textId="77777777" w:rsidR="00594F65" w:rsidRDefault="00594F65" w:rsidP="001A16D8">
      <w:pPr>
        <w:pStyle w:val="Quote"/>
        <w:ind w:left="2518" w:hanging="675"/>
      </w:pPr>
      <w:r w:rsidRPr="006C75DD">
        <w:t>(f)</w:t>
      </w:r>
      <w:r>
        <w:tab/>
      </w:r>
      <w:r w:rsidRPr="006C75DD">
        <w:t xml:space="preserve">a </w:t>
      </w:r>
      <w:proofErr w:type="gramStart"/>
      <w:r w:rsidRPr="006C75DD">
        <w:t>coroner;</w:t>
      </w:r>
      <w:proofErr w:type="gramEnd"/>
      <w:r w:rsidRPr="006C75DD">
        <w:t xml:space="preserve"> </w:t>
      </w:r>
    </w:p>
    <w:p w14:paraId="398CD4D1" w14:textId="0B475D68" w:rsidR="00594F65" w:rsidRDefault="00594F65" w:rsidP="001A16D8">
      <w:pPr>
        <w:pStyle w:val="Quote"/>
        <w:ind w:left="2518" w:hanging="675"/>
      </w:pPr>
      <w:r>
        <w:t>…</w:t>
      </w:r>
    </w:p>
    <w:p w14:paraId="676CD959" w14:textId="3789245F" w:rsidR="003A03A7" w:rsidRDefault="003A03A7" w:rsidP="0004466F">
      <w:pPr>
        <w:pStyle w:val="ListParagraph"/>
      </w:pPr>
      <w:r>
        <w:t xml:space="preserve">Similarly, s </w:t>
      </w:r>
      <w:r w:rsidR="00A75852">
        <w:t xml:space="preserve">16(3) of the </w:t>
      </w:r>
      <w:r w:rsidR="00A75852">
        <w:rPr>
          <w:i/>
          <w:iCs/>
        </w:rPr>
        <w:t>Victorian Civil and Administrative Tribunal Act 1998</w:t>
      </w:r>
      <w:r w:rsidR="00A75852">
        <w:t xml:space="preserve"> provides that the PA Act “does not apply to a member </w:t>
      </w:r>
      <w:r w:rsidR="00680C17">
        <w:t xml:space="preserve">in respect of the office of member”. </w:t>
      </w:r>
    </w:p>
    <w:p w14:paraId="6C25DCBC" w14:textId="000E70B0" w:rsidR="007D636A" w:rsidRPr="00D22E03" w:rsidRDefault="007D636A" w:rsidP="008E6419">
      <w:pPr>
        <w:pStyle w:val="Heading1"/>
      </w:pPr>
      <w:bookmarkStart w:id="9" w:name="_Toc112606870"/>
      <w:r w:rsidRPr="00D22E03">
        <w:t>L</w:t>
      </w:r>
      <w:r w:rsidR="00060AFB" w:rsidRPr="00D22E03">
        <w:t>egal</w:t>
      </w:r>
      <w:r w:rsidR="00EB53FB" w:rsidRPr="00D22E03">
        <w:t xml:space="preserve"> Fram</w:t>
      </w:r>
      <w:r w:rsidR="00EB4705">
        <w:t>e</w:t>
      </w:r>
      <w:r w:rsidR="00EB53FB" w:rsidRPr="00D22E03">
        <w:t>work</w:t>
      </w:r>
      <w:r w:rsidR="00087EA7">
        <w:t xml:space="preserve"> -</w:t>
      </w:r>
      <w:r w:rsidRPr="00D22E03">
        <w:t xml:space="preserve"> </w:t>
      </w:r>
      <w:r w:rsidR="00EB53FB" w:rsidRPr="00D22E03">
        <w:t>R</w:t>
      </w:r>
      <w:r w:rsidRPr="00D22E03">
        <w:t xml:space="preserve">esponsibilities of </w:t>
      </w:r>
      <w:r w:rsidR="00EB53FB" w:rsidRPr="00D22E03">
        <w:t>CSV</w:t>
      </w:r>
      <w:bookmarkEnd w:id="9"/>
    </w:p>
    <w:p w14:paraId="03920BD7" w14:textId="5DF7155F" w:rsidR="007D636A" w:rsidRPr="00D22E03" w:rsidRDefault="004F2A28" w:rsidP="00F95B3E">
      <w:pPr>
        <w:pStyle w:val="ListParagraph"/>
        <w:spacing w:before="240"/>
      </w:pPr>
      <w:bookmarkStart w:id="10" w:name="_Ref108610866"/>
      <w:r>
        <w:t xml:space="preserve">As described above, </w:t>
      </w:r>
      <w:r w:rsidR="007D636A" w:rsidRPr="00D22E03">
        <w:t xml:space="preserve">CSV is the employer of court staff who work closely with judicial officers and tribunal members (including, among others, associates, tipstaves, trainee court officers and various registry staff).  Judicial officers and tribunal members are not CSV employees.  They sit entirely outside the CSV hierarchy and organisational chart.  However, within each of the courts and VCAT, judicial officers and tribunal members direct CSV employees in the conduct of their roles.  Indeed, the job description of many CSV-employed staff is to support a judge, or judges (or a tribunal member, or members).  In practical terms, their role is to carry out the reasonable demands of that judge or tribunal member to assist the judge or tribunal member to carry out their own role.  Despite being the employer, CSV will not always </w:t>
      </w:r>
      <w:r w:rsidR="008F2200">
        <w:t xml:space="preserve">know </w:t>
      </w:r>
      <w:r w:rsidR="007D636A" w:rsidRPr="00D22E03">
        <w:t xml:space="preserve">what instructions are being issued to staff by the judicial officer or tribunal </w:t>
      </w:r>
      <w:proofErr w:type="gramStart"/>
      <w:r w:rsidR="007D636A" w:rsidRPr="00D22E03">
        <w:t>member, or</w:t>
      </w:r>
      <w:proofErr w:type="gramEnd"/>
      <w:r w:rsidR="007D636A" w:rsidRPr="00D22E03">
        <w:t xml:space="preserve"> </w:t>
      </w:r>
      <w:r w:rsidR="008F2200">
        <w:t xml:space="preserve">be aware </w:t>
      </w:r>
      <w:r w:rsidR="007D636A" w:rsidRPr="00D22E03">
        <w:t>of the judicial officer or tribunal member’s conduct towards CSV staff.</w:t>
      </w:r>
      <w:bookmarkEnd w:id="10"/>
    </w:p>
    <w:p w14:paraId="14DCEE2E" w14:textId="431D7626" w:rsidR="007D636A" w:rsidRPr="00D22E03" w:rsidRDefault="00965AB7" w:rsidP="0004466F">
      <w:pPr>
        <w:pStyle w:val="ListParagraph"/>
      </w:pPr>
      <w:r>
        <w:t xml:space="preserve">This complicates the considerable challenges CSV faces in controlling the risks and preventing, </w:t>
      </w:r>
      <w:proofErr w:type="gramStart"/>
      <w:r>
        <w:t>addressing</w:t>
      </w:r>
      <w:proofErr w:type="gramEnd"/>
      <w:r>
        <w:t xml:space="preserve"> and responding to sexual harassment by judges of their chambers or other court staff, and in complying with its legal </w:t>
      </w:r>
      <w:r w:rsidRPr="00D22E03">
        <w:t xml:space="preserve">duties </w:t>
      </w:r>
      <w:r>
        <w:t>as employer</w:t>
      </w:r>
      <w:r w:rsidR="005A5A77">
        <w:t>.</w:t>
      </w:r>
    </w:p>
    <w:p w14:paraId="7AAA2197" w14:textId="4AED3D61" w:rsidR="007D636A" w:rsidRPr="00D22E03" w:rsidRDefault="007D636A" w:rsidP="00F95B3E">
      <w:pPr>
        <w:pStyle w:val="Heading2"/>
      </w:pPr>
      <w:bookmarkStart w:id="11" w:name="_Toc112606871"/>
      <w:r w:rsidRPr="00D22E03">
        <w:rPr>
          <w:i/>
          <w:iCs/>
        </w:rPr>
        <w:t>Occupational Health and Safety Act 2004</w:t>
      </w:r>
      <w:r w:rsidRPr="00D22E03">
        <w:t xml:space="preserve"> (Vic)</w:t>
      </w:r>
      <w:bookmarkEnd w:id="11"/>
    </w:p>
    <w:p w14:paraId="6BD7979D" w14:textId="7DBCB513" w:rsidR="007D636A" w:rsidRPr="00D22E03" w:rsidRDefault="007D636A" w:rsidP="0004466F">
      <w:pPr>
        <w:pStyle w:val="ListParagraph"/>
      </w:pPr>
      <w:r w:rsidRPr="00D22E03">
        <w:t xml:space="preserve">Section 21(1) of the OHS Act provides that “[a]n employer must, so far as is reasonably practicable, provide and maintain for employees of the employer a working environment that is safe and without risks to health”.  The reference to </w:t>
      </w:r>
      <w:r w:rsidR="004C61A6" w:rsidRPr="00D22E03">
        <w:t>“</w:t>
      </w:r>
      <w:r w:rsidRPr="00D22E03">
        <w:t>health</w:t>
      </w:r>
      <w:r w:rsidR="004C61A6" w:rsidRPr="00D22E03">
        <w:t>”</w:t>
      </w:r>
      <w:r w:rsidRPr="00D22E03">
        <w:t xml:space="preserve"> in s 21(1) includes </w:t>
      </w:r>
      <w:r w:rsidR="004C61A6" w:rsidRPr="00D22E03">
        <w:t>“</w:t>
      </w:r>
      <w:r w:rsidRPr="00D22E03">
        <w:t>psychological health</w:t>
      </w:r>
      <w:r w:rsidR="004C61A6" w:rsidRPr="00D22E03">
        <w:t>”</w:t>
      </w:r>
      <w:r w:rsidRPr="00D22E03">
        <w:t>: see s 5(1).  Contravention of s 21(1) attracts a maximum penalty of 9000 penalty units for a body corporate.</w:t>
      </w:r>
    </w:p>
    <w:p w14:paraId="48E04251" w14:textId="05B7EBEF" w:rsidR="007D636A" w:rsidRPr="00D22E03" w:rsidRDefault="007D636A" w:rsidP="0004466F">
      <w:pPr>
        <w:pStyle w:val="ListParagraph"/>
      </w:pPr>
      <w:r w:rsidRPr="00D22E03">
        <w:t xml:space="preserve">Section 20 of the OHS Act explains the </w:t>
      </w:r>
      <w:r w:rsidR="004C61A6" w:rsidRPr="00D22E03">
        <w:t>“</w:t>
      </w:r>
      <w:r w:rsidRPr="00D22E03">
        <w:t>concept of ensuring health and safety</w:t>
      </w:r>
      <w:r w:rsidR="004C61A6" w:rsidRPr="00D22E03">
        <w:t>”</w:t>
      </w:r>
      <w:r w:rsidRPr="00D22E03">
        <w:t>.  Among</w:t>
      </w:r>
      <w:r w:rsidR="0045034E">
        <w:t> </w:t>
      </w:r>
      <w:r w:rsidRPr="00D22E03">
        <w:t xml:space="preserve">other matters, it provides that a duty imposed on a person </w:t>
      </w:r>
      <w:r w:rsidR="004C61A6" w:rsidRPr="00D22E03">
        <w:t>“</w:t>
      </w:r>
      <w:r w:rsidRPr="00D22E03">
        <w:t xml:space="preserve">to ensure, so far as is </w:t>
      </w:r>
      <w:r w:rsidRPr="00D22E03">
        <w:lastRenderedPageBreak/>
        <w:t>reasonably practicable, health and safety</w:t>
      </w:r>
      <w:r w:rsidR="004C61A6" w:rsidRPr="00D22E03">
        <w:t>”</w:t>
      </w:r>
      <w:r w:rsidRPr="00D22E03">
        <w:t xml:space="preserve"> requires the person to </w:t>
      </w:r>
      <w:r w:rsidR="004C61A6" w:rsidRPr="00D22E03">
        <w:t>“</w:t>
      </w:r>
      <w:r w:rsidRPr="00D22E03">
        <w:t>eliminate risks to health and safety so far as is reasonably practicable</w:t>
      </w:r>
      <w:r w:rsidR="004C61A6" w:rsidRPr="00D22E03">
        <w:t>”</w:t>
      </w:r>
      <w:r w:rsidRPr="00D22E03">
        <w:t xml:space="preserve">, or if that is not possible, to </w:t>
      </w:r>
      <w:r w:rsidR="004C61A6" w:rsidRPr="00D22E03">
        <w:t>“</w:t>
      </w:r>
      <w:r w:rsidRPr="00D22E03">
        <w:t>reduce those risks as far as is reasonably practicable</w:t>
      </w:r>
      <w:r w:rsidR="004C61A6" w:rsidRPr="00D22E03">
        <w:t>”</w:t>
      </w:r>
      <w:r w:rsidRPr="00D22E03">
        <w:t xml:space="preserve">: s 20(1).  The section adds that in determining what is </w:t>
      </w:r>
      <w:r w:rsidR="004C61A6" w:rsidRPr="00D22E03">
        <w:t>“</w:t>
      </w:r>
      <w:r w:rsidRPr="00D22E03">
        <w:t>reasonably practicable in relation to ensuring health and safety</w:t>
      </w:r>
      <w:r w:rsidR="004C61A6" w:rsidRPr="00D22E03">
        <w:t>”</w:t>
      </w:r>
      <w:r w:rsidRPr="00D22E03">
        <w:t xml:space="preserve">, regard must be had to, among other things, </w:t>
      </w:r>
      <w:r w:rsidR="004C61A6" w:rsidRPr="00D22E03">
        <w:t>“</w:t>
      </w:r>
      <w:r w:rsidRPr="00D22E03">
        <w:t>the likelihood of the hazard or risk concerned eventuating</w:t>
      </w:r>
      <w:r w:rsidR="004C61A6" w:rsidRPr="00D22E03">
        <w:t>”</w:t>
      </w:r>
      <w:r w:rsidRPr="00D22E03">
        <w:t xml:space="preserve">, and </w:t>
      </w:r>
      <w:r w:rsidR="004C61A6" w:rsidRPr="00D22E03">
        <w:t>“</w:t>
      </w:r>
      <w:r w:rsidRPr="00D22E03">
        <w:t>the degree of harm that would result if the hazard or risk eventuated</w:t>
      </w:r>
      <w:r w:rsidR="004C61A6" w:rsidRPr="00D22E03">
        <w:t>”</w:t>
      </w:r>
      <w:r w:rsidRPr="00D22E03">
        <w:t>: s 20(2).</w:t>
      </w:r>
    </w:p>
    <w:p w14:paraId="5E5D0700" w14:textId="391DD5E4" w:rsidR="007D636A" w:rsidRPr="00D22E03" w:rsidRDefault="007D636A" w:rsidP="0004466F">
      <w:pPr>
        <w:pStyle w:val="ListParagraph"/>
      </w:pPr>
      <w:r w:rsidRPr="00D22E03">
        <w:t xml:space="preserve">A working environment in which sexual harassment occurs or is at risk of occurring </w:t>
      </w:r>
      <w:r w:rsidR="008C7370">
        <w:t xml:space="preserve">poses </w:t>
      </w:r>
      <w:r w:rsidRPr="00D22E03">
        <w:t xml:space="preserve">risks to employee’s health.  Sexual harassment is notoriously capable of affecting </w:t>
      </w:r>
      <w:r w:rsidR="00832EBC">
        <w:t xml:space="preserve">both </w:t>
      </w:r>
      <w:r w:rsidRPr="00D22E03">
        <w:t xml:space="preserve">the psychological </w:t>
      </w:r>
      <w:r w:rsidR="00832EBC">
        <w:t xml:space="preserve">and </w:t>
      </w:r>
      <w:r w:rsidRPr="00D22E03">
        <w:t>physical health of any employee</w:t>
      </w:r>
      <w:r w:rsidR="00832EBC">
        <w:t>s</w:t>
      </w:r>
      <w:r w:rsidRPr="00D22E03">
        <w:t xml:space="preserve"> who </w:t>
      </w:r>
      <w:r w:rsidR="00832EBC">
        <w:t xml:space="preserve">are </w:t>
      </w:r>
      <w:r w:rsidRPr="00D22E03">
        <w:t xml:space="preserve">subjected to it.  If the risk of sexual harassment </w:t>
      </w:r>
      <w:r w:rsidR="00832EBC">
        <w:t xml:space="preserve">is realised </w:t>
      </w:r>
      <w:r w:rsidRPr="00D22E03">
        <w:t xml:space="preserve">within a workplace, </w:t>
      </w:r>
      <w:r w:rsidR="00832EBC">
        <w:t xml:space="preserve">a significant </w:t>
      </w:r>
      <w:r w:rsidRPr="00D22E03">
        <w:t xml:space="preserve">degree of harm </w:t>
      </w:r>
      <w:r w:rsidR="00832EBC">
        <w:t xml:space="preserve">may </w:t>
      </w:r>
      <w:r w:rsidRPr="00D22E03">
        <w:t xml:space="preserve">be caused to </w:t>
      </w:r>
      <w:r w:rsidR="00832EBC">
        <w:t xml:space="preserve">the relevant </w:t>
      </w:r>
      <w:r w:rsidRPr="00D22E03">
        <w:t>employee</w:t>
      </w:r>
      <w:r w:rsidR="00832EBC">
        <w:t>.</w:t>
      </w:r>
      <w:r w:rsidRPr="00D22E03">
        <w:t xml:space="preserve"> </w:t>
      </w:r>
    </w:p>
    <w:p w14:paraId="14BCB82C" w14:textId="77F01436" w:rsidR="00A82F75" w:rsidRDefault="00262CFE" w:rsidP="00A82F75">
      <w:pPr>
        <w:pStyle w:val="ListParagraph"/>
      </w:pPr>
      <w:r>
        <w:t xml:space="preserve">As well as imposing duties </w:t>
      </w:r>
      <w:r w:rsidR="007D636A" w:rsidRPr="00D22E03">
        <w:t>on employers</w:t>
      </w:r>
      <w:r>
        <w:t xml:space="preserve">, the OHS Act, by </w:t>
      </w:r>
      <w:r w:rsidR="007D636A" w:rsidRPr="00D22E03">
        <w:t>s 26</w:t>
      </w:r>
      <w:r>
        <w:t>,</w:t>
      </w:r>
      <w:r w:rsidR="007D636A" w:rsidRPr="00D22E03">
        <w:t xml:space="preserve"> imposes a like duty on persons who have </w:t>
      </w:r>
      <w:r w:rsidR="004C61A6" w:rsidRPr="00D22E03">
        <w:t>“</w:t>
      </w:r>
      <w:r w:rsidR="007D636A" w:rsidRPr="00D22E03">
        <w:t>to any extent, the management or control of a workplace</w:t>
      </w:r>
      <w:r w:rsidR="004C61A6" w:rsidRPr="00D22E03">
        <w:t>”</w:t>
      </w:r>
      <w:r w:rsidR="007D636A" w:rsidRPr="00D22E03">
        <w:t xml:space="preserve">.  Ms Fiona McLeod AO SC </w:t>
      </w:r>
      <w:r w:rsidR="004354E7" w:rsidRPr="00D22E03">
        <w:t xml:space="preserve">in a memorandum of advice </w:t>
      </w:r>
      <w:r w:rsidR="004354E7">
        <w:t>(</w:t>
      </w:r>
      <w:r w:rsidR="007D636A" w:rsidRPr="00D22E03">
        <w:t>annexed as Appendix 4 to the Szoke Report</w:t>
      </w:r>
      <w:r w:rsidR="004354E7">
        <w:t>)</w:t>
      </w:r>
      <w:r w:rsidR="000B0766">
        <w:t xml:space="preserve"> </w:t>
      </w:r>
      <w:r w:rsidR="007D636A" w:rsidRPr="00D22E03">
        <w:t xml:space="preserve">concluded that </w:t>
      </w:r>
      <w:r w:rsidR="004C61A6" w:rsidRPr="00D22E03">
        <w:t>“</w:t>
      </w:r>
      <w:r w:rsidR="007D636A" w:rsidRPr="00D22E03">
        <w:t>it is possible that [s 26] may apply to the conduct of a judicial officer</w:t>
      </w:r>
      <w:r w:rsidR="004C61A6" w:rsidRPr="00D22E03">
        <w:t>”</w:t>
      </w:r>
      <w:r w:rsidR="007D636A" w:rsidRPr="00D22E03">
        <w:t xml:space="preserve">, but that much would depend </w:t>
      </w:r>
      <w:r w:rsidR="004C61A6" w:rsidRPr="00D22E03">
        <w:t>“</w:t>
      </w:r>
      <w:r w:rsidR="007D636A" w:rsidRPr="00D22E03">
        <w:t>upon the precise nature of the particular workplace</w:t>
      </w:r>
      <w:r w:rsidR="004C61A6" w:rsidRPr="00D22E03">
        <w:t>”</w:t>
      </w:r>
      <w:r w:rsidR="007D636A" w:rsidRPr="00D22E03">
        <w:t>,</w:t>
      </w:r>
      <w:r w:rsidR="00813C2A">
        <w:rPr>
          <w:rFonts w:ascii="ZWAdobeF" w:hAnsi="ZWAdobeF" w:cs="ZWAdobeF"/>
          <w:sz w:val="2"/>
          <w:szCs w:val="2"/>
        </w:rPr>
        <w:t>11F</w:t>
      </w:r>
      <w:r w:rsidR="00704B18">
        <w:rPr>
          <w:rFonts w:ascii="ZWAdobeF" w:hAnsi="ZWAdobeF" w:cs="ZWAdobeF"/>
          <w:sz w:val="2"/>
          <w:szCs w:val="2"/>
        </w:rPr>
        <w:t>13F</w:t>
      </w:r>
      <w:r w:rsidR="007D636A" w:rsidRPr="00D22E03">
        <w:rPr>
          <w:rStyle w:val="FootnoteReference"/>
        </w:rPr>
        <w:footnoteReference w:id="16"/>
      </w:r>
      <w:r w:rsidR="007D636A" w:rsidRPr="00D22E03">
        <w:t xml:space="preserve"> particularly the level of control the judicial officer in question has over their associates’ workloads and the </w:t>
      </w:r>
      <w:proofErr w:type="gramStart"/>
      <w:r w:rsidR="007D636A" w:rsidRPr="00D22E03">
        <w:t>manner in which</w:t>
      </w:r>
      <w:proofErr w:type="gramEnd"/>
      <w:r w:rsidR="007D636A" w:rsidRPr="00D22E03">
        <w:t xml:space="preserve"> associates perform their work.  Ms McLeod added that </w:t>
      </w:r>
      <w:r w:rsidR="004C61A6" w:rsidRPr="00D22E03">
        <w:t>“</w:t>
      </w:r>
      <w:r w:rsidR="007D636A" w:rsidRPr="00D22E03">
        <w:t>[w]</w:t>
      </w:r>
      <w:proofErr w:type="spellStart"/>
      <w:r w:rsidR="007D636A" w:rsidRPr="00D22E03">
        <w:t>hilst</w:t>
      </w:r>
      <w:proofErr w:type="spellEnd"/>
      <w:r w:rsidR="007D636A" w:rsidRPr="00D22E03">
        <w:t xml:space="preserve"> associates may also be subject to policies and procedures developed by their actual employer that does not alter the fact that judicial officers also exercise some level of control</w:t>
      </w:r>
      <w:r w:rsidR="004C61A6" w:rsidRPr="00D22E03">
        <w:t>”</w:t>
      </w:r>
      <w:r w:rsidR="007D636A" w:rsidRPr="00D22E03">
        <w:t xml:space="preserve">, and that, in her view, </w:t>
      </w:r>
      <w:r w:rsidR="004C61A6" w:rsidRPr="00D22E03">
        <w:t>“</w:t>
      </w:r>
      <w:r w:rsidR="007D636A" w:rsidRPr="00D22E03">
        <w:t>a judicial officer engaging in unlawful conduct would not be protected by the immunity [judicial immunity] regardless of the context of judicial activity</w:t>
      </w:r>
      <w:r w:rsidR="004C61A6" w:rsidRPr="00D22E03">
        <w:t>”</w:t>
      </w:r>
      <w:r w:rsidR="007D636A" w:rsidRPr="00D22E03">
        <w:t>.</w:t>
      </w:r>
      <w:r w:rsidR="00704B18">
        <w:rPr>
          <w:rFonts w:ascii="ZWAdobeF" w:hAnsi="ZWAdobeF" w:cs="ZWAdobeF"/>
          <w:sz w:val="2"/>
          <w:szCs w:val="2"/>
        </w:rPr>
        <w:t>14F</w:t>
      </w:r>
      <w:r w:rsidR="00A82F75">
        <w:rPr>
          <w:rStyle w:val="FootnoteReference"/>
        </w:rPr>
        <w:footnoteReference w:id="17"/>
      </w:r>
    </w:p>
    <w:p w14:paraId="26F23E10" w14:textId="77777777" w:rsidR="00A82F75" w:rsidRDefault="00A82F75" w:rsidP="00A82F75">
      <w:pPr>
        <w:pStyle w:val="ListParagraph"/>
      </w:pPr>
      <w:r>
        <w:t>The OHS Act further requires that an employer (among other matters) “monitor the health of employees of the employer”, “monitor conditions at any workplace under the employer’s management and control” and “provide information to employees … concerning health and safety at the workplace, including the names of persons to whom and employee may make an enquiry or complaint about health and safety”: s 22(1). An employer must also “keep information and records relating to the health and safety of employees of the employer”: s 22(2)(a).</w:t>
      </w:r>
    </w:p>
    <w:p w14:paraId="3643A9A1" w14:textId="4F5CAE34" w:rsidR="00A82F75" w:rsidRDefault="00A82F75" w:rsidP="00A82F75">
      <w:pPr>
        <w:pStyle w:val="ListParagraph"/>
      </w:pPr>
      <w:bookmarkStart w:id="12" w:name="_Ref108732799"/>
      <w:r>
        <w:t xml:space="preserve">In addition, the proposed Occupational Health and Safety Amendment (Psychological Health) Regulations, which will amend the Occupational Health and Safety Regulations 2017, are expected to require employers to identify and control “psychosocial hazards”, and </w:t>
      </w:r>
      <w:r>
        <w:lastRenderedPageBreak/>
        <w:t>to put prevention plans in place for such hazards, including sexual harassment, as are identified.</w:t>
      </w:r>
      <w:r w:rsidR="00704B18">
        <w:rPr>
          <w:rFonts w:ascii="ZWAdobeF" w:hAnsi="ZWAdobeF" w:cs="ZWAdobeF"/>
          <w:sz w:val="2"/>
          <w:szCs w:val="2"/>
        </w:rPr>
        <w:t>15F</w:t>
      </w:r>
      <w:r>
        <w:rPr>
          <w:rStyle w:val="FootnoteReference"/>
        </w:rPr>
        <w:footnoteReference w:id="18"/>
      </w:r>
      <w:r>
        <w:t xml:space="preserve">  The Regulations are also expected to impose reporting obligations which require an employer to “provide the Authority with a [written] report … in respect of any reportable psychosocial complaint that the employer has received during the reporting period”. </w:t>
      </w:r>
      <w:r w:rsidR="005A5A77">
        <w:t xml:space="preserve"> </w:t>
      </w:r>
      <w:r>
        <w:t xml:space="preserve">The report must include information including “a description of the workplace relationship between the persons involved in the reportable psychosocial complaint”. </w:t>
      </w:r>
      <w:r w:rsidR="005A5A77">
        <w:t xml:space="preserve"> </w:t>
      </w:r>
      <w:r>
        <w:t>A copy of the report must be kept for five years.</w:t>
      </w:r>
      <w:bookmarkEnd w:id="12"/>
      <w:r>
        <w:t xml:space="preserve"> </w:t>
      </w:r>
    </w:p>
    <w:p w14:paraId="54DEC24E" w14:textId="6EFBDC35" w:rsidR="007D636A" w:rsidRPr="00D22E03" w:rsidRDefault="007D636A" w:rsidP="00A82F75">
      <w:pPr>
        <w:pStyle w:val="Heading2"/>
      </w:pPr>
      <w:bookmarkStart w:id="13" w:name="_Toc112606872"/>
      <w:r w:rsidRPr="00A82F75">
        <w:rPr>
          <w:i/>
          <w:iCs/>
        </w:rPr>
        <w:t>Equal Opportunity Act 2010</w:t>
      </w:r>
      <w:r w:rsidRPr="00D22E03">
        <w:t xml:space="preserve"> (Vic)</w:t>
      </w:r>
      <w:bookmarkEnd w:id="13"/>
    </w:p>
    <w:p w14:paraId="00D0FA83" w14:textId="01623F95" w:rsidR="007D636A" w:rsidRPr="00D22E03" w:rsidRDefault="007D636A" w:rsidP="00F95B3E">
      <w:pPr>
        <w:pStyle w:val="ListParagraph"/>
        <w:spacing w:before="240"/>
      </w:pPr>
      <w:r w:rsidRPr="00D22E03">
        <w:t xml:space="preserve">Section 15 of the EO Act is headed </w:t>
      </w:r>
      <w:r w:rsidR="004C61A6" w:rsidRPr="00D22E03">
        <w:t>“</w:t>
      </w:r>
      <w:r w:rsidRPr="00D22E03">
        <w:t>[d]</w:t>
      </w:r>
      <w:proofErr w:type="spellStart"/>
      <w:r w:rsidRPr="00D22E03">
        <w:t>uty</w:t>
      </w:r>
      <w:proofErr w:type="spellEnd"/>
      <w:r w:rsidRPr="00D22E03">
        <w:t xml:space="preserve"> to eliminate discrimination, sexual </w:t>
      </w:r>
      <w:proofErr w:type="gramStart"/>
      <w:r w:rsidRPr="00D22E03">
        <w:t>harassment</w:t>
      </w:r>
      <w:proofErr w:type="gramEnd"/>
      <w:r w:rsidRPr="00D22E03">
        <w:t xml:space="preserve"> or victimisation</w:t>
      </w:r>
      <w:r w:rsidR="004C61A6" w:rsidRPr="00D22E03">
        <w:t>”</w:t>
      </w:r>
      <w:r w:rsidRPr="00D22E03">
        <w:t xml:space="preserve">.  The section applies to </w:t>
      </w:r>
      <w:r w:rsidR="004C61A6" w:rsidRPr="00D22E03">
        <w:t>“</w:t>
      </w:r>
      <w:r w:rsidRPr="00D22E03">
        <w:t xml:space="preserve">a person who has a duty under Part 4, 6 or 7 [of the Act] not to engage in discrimination, sexual </w:t>
      </w:r>
      <w:proofErr w:type="gramStart"/>
      <w:r w:rsidRPr="00D22E03">
        <w:t>harassment</w:t>
      </w:r>
      <w:proofErr w:type="gramEnd"/>
      <w:r w:rsidRPr="00D22E03">
        <w:t xml:space="preserve"> or victimisation</w:t>
      </w:r>
      <w:r w:rsidR="004C61A6" w:rsidRPr="00D22E03">
        <w:t>”</w:t>
      </w:r>
      <w:r w:rsidRPr="00D22E03">
        <w:t xml:space="preserve">: s 15(1).  Relevantly, under Part 6 of the EO Act, employers have a duty not to sexually harass a candidate for employment, or an employee (s 93(1)).  Section 15(2) of the EO Act then provides that </w:t>
      </w:r>
      <w:r w:rsidR="004C61A6" w:rsidRPr="00D22E03">
        <w:t>“</w:t>
      </w:r>
      <w:r w:rsidRPr="00D22E03">
        <w:t xml:space="preserve">[a] person must take reasonable and proportionate measures to eliminate that discrimination, sexual </w:t>
      </w:r>
      <w:proofErr w:type="gramStart"/>
      <w:r w:rsidRPr="00D22E03">
        <w:t>harassment</w:t>
      </w:r>
      <w:proofErr w:type="gramEnd"/>
      <w:r w:rsidRPr="00D22E03">
        <w:t xml:space="preserve"> or victimisation as far as possible</w:t>
      </w:r>
      <w:r w:rsidR="004C61A6" w:rsidRPr="00D22E03">
        <w:t>”</w:t>
      </w:r>
      <w:r w:rsidRPr="00D22E03">
        <w:t>.</w:t>
      </w:r>
    </w:p>
    <w:p w14:paraId="6C2734B3" w14:textId="301995B7" w:rsidR="007D636A" w:rsidRPr="00D22E03" w:rsidRDefault="007D636A" w:rsidP="0004466F">
      <w:pPr>
        <w:pStyle w:val="ListParagraph"/>
      </w:pPr>
      <w:r w:rsidRPr="00D22E03">
        <w:t xml:space="preserve">In determining whether a measure is </w:t>
      </w:r>
      <w:r w:rsidR="004C61A6" w:rsidRPr="00D22E03">
        <w:t>“</w:t>
      </w:r>
      <w:r w:rsidRPr="00D22E03">
        <w:t>reasonable and proportionate</w:t>
      </w:r>
      <w:r w:rsidR="004C61A6" w:rsidRPr="00D22E03">
        <w:t>”</w:t>
      </w:r>
      <w:r w:rsidRPr="00D22E03">
        <w:t xml:space="preserve"> for the purposes of testing compliance with the positive duty in s 15(2), </w:t>
      </w:r>
      <w:proofErr w:type="gramStart"/>
      <w:r w:rsidRPr="00D22E03">
        <w:t>a number of</w:t>
      </w:r>
      <w:proofErr w:type="gramEnd"/>
      <w:r w:rsidRPr="00D22E03">
        <w:t xml:space="preserve"> factors must be considered, including the size of the employer’s business or operations, the nature and circumstances of the employer’s business or operations, and the employer’s resources: s</w:t>
      </w:r>
      <w:r w:rsidR="0045034E">
        <w:t> </w:t>
      </w:r>
      <w:r w:rsidRPr="00D22E03">
        <w:t>15(6).  A</w:t>
      </w:r>
      <w:r w:rsidR="00314686" w:rsidRPr="00D22E03">
        <w:t> </w:t>
      </w:r>
      <w:r w:rsidRPr="00D22E03">
        <w:t xml:space="preserve">contravention of the duty created by s 15(2) may be the subject of an investigation by the </w:t>
      </w:r>
      <w:r w:rsidR="005A5A77">
        <w:t>VEOHRC</w:t>
      </w:r>
      <w:r w:rsidRPr="00D22E03">
        <w:t>: s 15(4)</w:t>
      </w:r>
      <w:r w:rsidR="001F5CE6">
        <w:t>.</w:t>
      </w:r>
      <w:r w:rsidRPr="00D22E03">
        <w:t xml:space="preserve"> </w:t>
      </w:r>
    </w:p>
    <w:p w14:paraId="371DB150" w14:textId="173D8548" w:rsidR="007D636A" w:rsidRDefault="00225BBD" w:rsidP="0004466F">
      <w:pPr>
        <w:pStyle w:val="ListParagraph"/>
      </w:pPr>
      <w:r w:rsidRPr="00D22E03">
        <w:t xml:space="preserve">The </w:t>
      </w:r>
      <w:r w:rsidR="004C61A6" w:rsidRPr="00D22E03">
        <w:t>“</w:t>
      </w:r>
      <w:proofErr w:type="spellStart"/>
      <w:r w:rsidR="007D636A" w:rsidRPr="00D22E03">
        <w:t>Respect@Work</w:t>
      </w:r>
      <w:proofErr w:type="spellEnd"/>
      <w:r w:rsidR="007D636A" w:rsidRPr="00D22E03">
        <w:t xml:space="preserve"> Report</w:t>
      </w:r>
      <w:r w:rsidR="004C61A6" w:rsidRPr="00D22E03">
        <w:t>”</w:t>
      </w:r>
      <w:r w:rsidR="00FB2C59">
        <w:t xml:space="preserve"> stat</w:t>
      </w:r>
      <w:r w:rsidR="00AA7566">
        <w:t>ed</w:t>
      </w:r>
      <w:r w:rsidR="00DA57B7">
        <w:t xml:space="preserve"> </w:t>
      </w:r>
      <w:r w:rsidR="00220BAD">
        <w:t>that</w:t>
      </w:r>
      <w:r w:rsidR="007D636A" w:rsidRPr="00D22E03">
        <w:t xml:space="preserve"> </w:t>
      </w:r>
      <w:r w:rsidR="004C61A6" w:rsidRPr="00D22E03">
        <w:t>“</w:t>
      </w:r>
      <w:r w:rsidR="007D636A" w:rsidRPr="00D22E03">
        <w:t>the positive duty applies to employers all the time and does not rely on an individual complaint to be made</w:t>
      </w:r>
      <w:r w:rsidR="004C61A6" w:rsidRPr="00D22E03">
        <w:t>”</w:t>
      </w:r>
      <w:r w:rsidR="007D636A" w:rsidRPr="00D22E03">
        <w:t>.</w:t>
      </w:r>
      <w:r w:rsidR="00813C2A">
        <w:rPr>
          <w:rFonts w:ascii="ZWAdobeF" w:hAnsi="ZWAdobeF" w:cs="ZWAdobeF"/>
          <w:sz w:val="2"/>
          <w:szCs w:val="2"/>
        </w:rPr>
        <w:t>12F</w:t>
      </w:r>
      <w:r w:rsidR="00704B18">
        <w:rPr>
          <w:rFonts w:ascii="ZWAdobeF" w:hAnsi="ZWAdobeF" w:cs="ZWAdobeF"/>
          <w:sz w:val="2"/>
          <w:szCs w:val="2"/>
        </w:rPr>
        <w:t>1</w:t>
      </w:r>
      <w:r w:rsidR="007D636A" w:rsidRPr="00D22E03">
        <w:rPr>
          <w:rStyle w:val="FootnoteReference"/>
        </w:rPr>
        <w:footnoteReference w:id="19"/>
      </w:r>
      <w:r w:rsidR="00AA7566">
        <w:t xml:space="preserve">  It </w:t>
      </w:r>
      <w:r w:rsidR="00AA7566" w:rsidRPr="00D22E03">
        <w:t>recommended the implementation of a positive duty at the federal level</w:t>
      </w:r>
      <w:r w:rsidR="00DA57B7">
        <w:t>.</w:t>
      </w:r>
    </w:p>
    <w:p w14:paraId="58388FBC" w14:textId="3B0F172C" w:rsidR="0087353F" w:rsidRPr="00D22E03" w:rsidRDefault="0087353F" w:rsidP="0087353F">
      <w:pPr>
        <w:pStyle w:val="ListParagraph"/>
      </w:pPr>
      <w:r>
        <w:t xml:space="preserve">Section 93(1) of the EO Act provides that an “employer must not sexually harass … an employee of that employer”. </w:t>
      </w:r>
      <w:r w:rsidR="007B7EC6">
        <w:t xml:space="preserve"> </w:t>
      </w:r>
      <w:r>
        <w:t>The word “employer” is defined in s</w:t>
      </w:r>
      <w:r w:rsidR="007B7EC6">
        <w:t> </w:t>
      </w:r>
      <w:r>
        <w:t xml:space="preserve">4 of the </w:t>
      </w:r>
      <w:r w:rsidR="007B7EC6">
        <w:t xml:space="preserve">EO </w:t>
      </w:r>
      <w:r>
        <w:t>Act in terms which would not capture a judicial officer.</w:t>
      </w:r>
    </w:p>
    <w:p w14:paraId="092819DD" w14:textId="582CDCF2" w:rsidR="007D636A" w:rsidRDefault="00D75E04" w:rsidP="0004466F">
      <w:pPr>
        <w:pStyle w:val="ListParagraph"/>
      </w:pPr>
      <w:r>
        <w:t>Section </w:t>
      </w:r>
      <w:r w:rsidR="007D636A" w:rsidRPr="00D22E03">
        <w:t xml:space="preserve">94(1) of the </w:t>
      </w:r>
      <w:r w:rsidR="00944293">
        <w:t xml:space="preserve">EO </w:t>
      </w:r>
      <w:r w:rsidR="007D636A" w:rsidRPr="00D22E03">
        <w:t>Act</w:t>
      </w:r>
      <w:r>
        <w:t xml:space="preserve"> is a</w:t>
      </w:r>
      <w:r w:rsidRPr="00D22E03">
        <w:t>lso relevant</w:t>
      </w:r>
      <w:r>
        <w:t>.  It</w:t>
      </w:r>
      <w:r w:rsidR="007D636A" w:rsidRPr="00D22E03">
        <w:t xml:space="preserve"> provides that a </w:t>
      </w:r>
      <w:r w:rsidR="004C61A6" w:rsidRPr="00D22E03">
        <w:t>“</w:t>
      </w:r>
      <w:r w:rsidR="007D636A" w:rsidRPr="00D22E03">
        <w:t>person must not sexually harass another person at a place that is a workplace of both of them</w:t>
      </w:r>
      <w:r w:rsidR="004C61A6" w:rsidRPr="00D22E03">
        <w:t>”</w:t>
      </w:r>
      <w:r w:rsidR="007D636A" w:rsidRPr="00D22E03">
        <w:t xml:space="preserve">.  For the purposes of that section, it is </w:t>
      </w:r>
      <w:r w:rsidR="004C61A6" w:rsidRPr="00D22E03">
        <w:t>“</w:t>
      </w:r>
      <w:r w:rsidR="007D636A" w:rsidRPr="00D22E03">
        <w:t>irrelevant</w:t>
      </w:r>
      <w:r w:rsidR="004C61A6" w:rsidRPr="00D22E03">
        <w:t>”</w:t>
      </w:r>
      <w:r w:rsidR="007D636A" w:rsidRPr="00D22E03">
        <w:t xml:space="preserve"> whether </w:t>
      </w:r>
      <w:r w:rsidR="004C61A6" w:rsidRPr="00D22E03">
        <w:t>“</w:t>
      </w:r>
      <w:r w:rsidR="007D636A" w:rsidRPr="00D22E03">
        <w:t>each person is an employer, an employee or neither</w:t>
      </w:r>
      <w:r w:rsidR="004C61A6" w:rsidRPr="00D22E03">
        <w:t>”</w:t>
      </w:r>
      <w:r w:rsidR="007D636A" w:rsidRPr="00D22E03">
        <w:t xml:space="preserve"> </w:t>
      </w:r>
      <w:r w:rsidR="007D636A" w:rsidRPr="00D22E03">
        <w:lastRenderedPageBreak/>
        <w:t xml:space="preserve">or, </w:t>
      </w:r>
      <w:r w:rsidR="004C61A6" w:rsidRPr="00D22E03">
        <w:t>“</w:t>
      </w:r>
      <w:r w:rsidR="007D636A" w:rsidRPr="00D22E03">
        <w:t>if they are employees, whether their employers are the same or different</w:t>
      </w:r>
      <w:r w:rsidR="004C61A6" w:rsidRPr="00D22E03">
        <w:t>”</w:t>
      </w:r>
      <w:r w:rsidR="007D636A" w:rsidRPr="00D22E03">
        <w:t>: s 94(2).  In</w:t>
      </w:r>
      <w:r w:rsidR="00314686" w:rsidRPr="00D22E03">
        <w:t> </w:t>
      </w:r>
      <w:r w:rsidR="007D636A" w:rsidRPr="00D22E03">
        <w:t>Ms</w:t>
      </w:r>
      <w:r w:rsidR="00314686" w:rsidRPr="00D22E03">
        <w:t> </w:t>
      </w:r>
      <w:r w:rsidR="007D636A" w:rsidRPr="00D22E03">
        <w:t xml:space="preserve">McLeod’s view, </w:t>
      </w:r>
      <w:r w:rsidR="004C61A6" w:rsidRPr="00D22E03">
        <w:t>“</w:t>
      </w:r>
      <w:r w:rsidR="007D636A" w:rsidRPr="00D22E03">
        <w:t>there is scope for section 94 of the EO Act to apply</w:t>
      </w:r>
      <w:r w:rsidR="004C61A6" w:rsidRPr="00D22E03">
        <w:t>”</w:t>
      </w:r>
      <w:r w:rsidR="007D636A" w:rsidRPr="00D22E03">
        <w:t xml:space="preserve"> to the conduct of a judicial officer in the workplace context.</w:t>
      </w:r>
      <w:r w:rsidR="00813C2A">
        <w:rPr>
          <w:rFonts w:ascii="ZWAdobeF" w:hAnsi="ZWAdobeF" w:cs="ZWAdobeF"/>
          <w:sz w:val="2"/>
          <w:szCs w:val="2"/>
        </w:rPr>
        <w:t>13F</w:t>
      </w:r>
      <w:r w:rsidR="00704B18">
        <w:rPr>
          <w:rFonts w:ascii="ZWAdobeF" w:hAnsi="ZWAdobeF" w:cs="ZWAdobeF"/>
          <w:sz w:val="2"/>
          <w:szCs w:val="2"/>
        </w:rPr>
        <w:t>17F</w:t>
      </w:r>
      <w:r w:rsidR="007D636A" w:rsidRPr="00D22E03">
        <w:rPr>
          <w:rStyle w:val="FootnoteReference"/>
        </w:rPr>
        <w:footnoteReference w:id="20"/>
      </w:r>
      <w:r w:rsidR="007D636A" w:rsidRPr="00D22E03">
        <w:t xml:space="preserve"> </w:t>
      </w:r>
    </w:p>
    <w:p w14:paraId="581E3813" w14:textId="77777777" w:rsidR="00CA1D97" w:rsidRDefault="00CA1D97" w:rsidP="00CA1D97">
      <w:pPr>
        <w:pStyle w:val="ListParagraph"/>
      </w:pPr>
      <w:r>
        <w:t xml:space="preserve">Section 105 of the EO Act provides that a “person must not request, instruct, induce, encourage, </w:t>
      </w:r>
      <w:proofErr w:type="gramStart"/>
      <w:r>
        <w:t>authorise</w:t>
      </w:r>
      <w:proofErr w:type="gramEnd"/>
      <w:r>
        <w:t xml:space="preserve"> or assist another person to contravene a provision of Part 4 or 6 [which contains the prohibitions of sexual harassment in ss 93–102] or this Part [Part 7]”. </w:t>
      </w:r>
    </w:p>
    <w:p w14:paraId="6274F7EB" w14:textId="37C639B2" w:rsidR="007D636A" w:rsidRDefault="007D636A" w:rsidP="0004466F">
      <w:pPr>
        <w:pStyle w:val="ListParagraph"/>
      </w:pPr>
      <w:r w:rsidRPr="00D22E03">
        <w:t xml:space="preserve">Employers are also, by virtue of s 109 of the EO Act, vicariously liable for a contravention of Part 6 of the Act by </w:t>
      </w:r>
      <w:r w:rsidR="004C61A6" w:rsidRPr="00D22E03">
        <w:t>“</w:t>
      </w:r>
      <w:r w:rsidRPr="00D22E03">
        <w:t>a person in the course of employment or while acting as an agent</w:t>
      </w:r>
      <w:r w:rsidR="004C61A6" w:rsidRPr="00D22E03">
        <w:t>”</w:t>
      </w:r>
      <w:r w:rsidRPr="00D22E03">
        <w:t xml:space="preserve">.  A judicial officer who carries out their role does not do so </w:t>
      </w:r>
      <w:r w:rsidR="004C61A6" w:rsidRPr="00D22E03">
        <w:t>“</w:t>
      </w:r>
      <w:r w:rsidRPr="00D22E03">
        <w:t>in the course of employment</w:t>
      </w:r>
      <w:r w:rsidR="004C61A6" w:rsidRPr="00D22E03">
        <w:t>”</w:t>
      </w:r>
      <w:r w:rsidRPr="00D22E03">
        <w:t xml:space="preserve"> as an employee of CSV, or as an agent of CSV.  As Ms McLeod stated</w:t>
      </w:r>
      <w:r w:rsidR="00497F9B">
        <w:t>,</w:t>
      </w:r>
      <w:r w:rsidR="00813C2A">
        <w:rPr>
          <w:rFonts w:ascii="ZWAdobeF" w:hAnsi="ZWAdobeF" w:cs="ZWAdobeF"/>
          <w:sz w:val="2"/>
          <w:szCs w:val="2"/>
        </w:rPr>
        <w:t>14F</w:t>
      </w:r>
      <w:r w:rsidR="00704B18">
        <w:rPr>
          <w:rFonts w:ascii="ZWAdobeF" w:hAnsi="ZWAdobeF" w:cs="ZWAdobeF"/>
          <w:sz w:val="2"/>
          <w:szCs w:val="2"/>
        </w:rPr>
        <w:t>18F</w:t>
      </w:r>
      <w:r w:rsidR="00497F9B">
        <w:rPr>
          <w:rStyle w:val="FootnoteReference"/>
        </w:rPr>
        <w:footnoteReference w:id="21"/>
      </w:r>
      <w:r w:rsidRPr="00D22E03">
        <w:t xml:space="preserve"> the </w:t>
      </w:r>
      <w:r w:rsidR="004C61A6" w:rsidRPr="00D22E03">
        <w:t>“</w:t>
      </w:r>
      <w:r w:rsidRPr="00D22E03">
        <w:t>nature of judicial appointment by commission … would appear to preclude a finding of vicarious liability</w:t>
      </w:r>
      <w:r w:rsidR="004C61A6" w:rsidRPr="00D22E03">
        <w:t>”</w:t>
      </w:r>
      <w:r w:rsidRPr="00D22E03">
        <w:t xml:space="preserve"> under the EO Act.</w:t>
      </w:r>
      <w:r w:rsidR="00813C2A">
        <w:rPr>
          <w:rFonts w:ascii="ZWAdobeF" w:hAnsi="ZWAdobeF" w:cs="ZWAdobeF"/>
          <w:sz w:val="2"/>
          <w:szCs w:val="2"/>
        </w:rPr>
        <w:t>15F</w:t>
      </w:r>
      <w:r w:rsidR="00704B18">
        <w:rPr>
          <w:rFonts w:ascii="ZWAdobeF" w:hAnsi="ZWAdobeF" w:cs="ZWAdobeF"/>
          <w:sz w:val="2"/>
          <w:szCs w:val="2"/>
        </w:rPr>
        <w:t>19F</w:t>
      </w:r>
      <w:r w:rsidRPr="00D22E03">
        <w:rPr>
          <w:rStyle w:val="FootnoteReference"/>
        </w:rPr>
        <w:footnoteReference w:id="22"/>
      </w:r>
      <w:r w:rsidR="00097D5E">
        <w:t xml:space="preserve"> </w:t>
      </w:r>
    </w:p>
    <w:p w14:paraId="3C57DAE6" w14:textId="2E2EE231" w:rsidR="007D636A" w:rsidRPr="00D22E03" w:rsidRDefault="007D636A" w:rsidP="00675B3F">
      <w:pPr>
        <w:pStyle w:val="Heading2"/>
      </w:pPr>
      <w:bookmarkStart w:id="14" w:name="_Toc112606873"/>
      <w:r w:rsidRPr="00D22E03">
        <w:t xml:space="preserve">Definition of </w:t>
      </w:r>
      <w:r w:rsidR="004C61A6" w:rsidRPr="00D22E03">
        <w:t>“</w:t>
      </w:r>
      <w:r w:rsidRPr="00D22E03">
        <w:t>sexual harassment</w:t>
      </w:r>
      <w:r w:rsidR="004C61A6" w:rsidRPr="00D22E03">
        <w:t>”</w:t>
      </w:r>
      <w:bookmarkEnd w:id="14"/>
    </w:p>
    <w:p w14:paraId="11756BF2" w14:textId="447052E8" w:rsidR="007D636A" w:rsidRPr="00D22E03" w:rsidRDefault="007D636A" w:rsidP="00675B3F">
      <w:pPr>
        <w:pStyle w:val="ListParagraph"/>
        <w:spacing w:before="240"/>
      </w:pPr>
      <w:r w:rsidRPr="00D22E03">
        <w:t xml:space="preserve">The </w:t>
      </w:r>
      <w:proofErr w:type="gramStart"/>
      <w:r w:rsidR="00BA0E00" w:rsidRPr="00D22E03">
        <w:t>generally-expressed</w:t>
      </w:r>
      <w:proofErr w:type="gramEnd"/>
      <w:r w:rsidR="00BA0E00" w:rsidRPr="00D22E03">
        <w:t xml:space="preserve"> </w:t>
      </w:r>
      <w:r w:rsidRPr="00D22E03">
        <w:t xml:space="preserve">duty in s 21(1) of the OHS </w:t>
      </w:r>
      <w:r w:rsidR="00345BB0" w:rsidRPr="00D22E03">
        <w:t xml:space="preserve">Act </w:t>
      </w:r>
      <w:r w:rsidR="00345BB0">
        <w:t>is</w:t>
      </w:r>
      <w:r w:rsidR="008D2F20">
        <w:t xml:space="preserve"> </w:t>
      </w:r>
      <w:r w:rsidRPr="00D22E03">
        <w:t xml:space="preserve">to provide and maintain </w:t>
      </w:r>
      <w:r w:rsidR="004C61A6" w:rsidRPr="00D22E03">
        <w:t>“</w:t>
      </w:r>
      <w:r w:rsidRPr="00D22E03">
        <w:t>a</w:t>
      </w:r>
      <w:r w:rsidR="00E54C31">
        <w:t> </w:t>
      </w:r>
      <w:r w:rsidRPr="00D22E03">
        <w:t>working environment that is safe and without risks to health</w:t>
      </w:r>
      <w:r w:rsidR="004C61A6" w:rsidRPr="00D22E03">
        <w:t>”</w:t>
      </w:r>
      <w:r w:rsidRPr="00D22E03">
        <w:t xml:space="preserve">.  That duty may be contravened if the working environment poses risk to an employee’s health, however that risk arises (including where the risk arises because of sexual harassment).  By contrast, the positive duty in s 15(2) of the EO Act referred to above is specifically tied to defined terms in that Act, namely </w:t>
      </w:r>
      <w:r w:rsidR="004C61A6" w:rsidRPr="00D22E03">
        <w:t>“</w:t>
      </w:r>
      <w:r w:rsidRPr="00D22E03">
        <w:t>discrimination</w:t>
      </w:r>
      <w:r w:rsidR="004C61A6" w:rsidRPr="00D22E03">
        <w:t>”</w:t>
      </w:r>
      <w:r w:rsidRPr="00D22E03">
        <w:t xml:space="preserve">, </w:t>
      </w:r>
      <w:r w:rsidR="004C61A6" w:rsidRPr="00D22E03">
        <w:t>“</w:t>
      </w:r>
      <w:r w:rsidRPr="00D22E03">
        <w:t>sexual harassment</w:t>
      </w:r>
      <w:r w:rsidR="004C61A6" w:rsidRPr="00D22E03">
        <w:t>”</w:t>
      </w:r>
      <w:r w:rsidRPr="00D22E03">
        <w:t xml:space="preserve"> and </w:t>
      </w:r>
      <w:r w:rsidR="004C61A6" w:rsidRPr="00D22E03">
        <w:t>“</w:t>
      </w:r>
      <w:r w:rsidRPr="00D22E03">
        <w:t>victimisation</w:t>
      </w:r>
      <w:r w:rsidR="004C61A6" w:rsidRPr="00D22E03">
        <w:t>”</w:t>
      </w:r>
      <w:r w:rsidRPr="00D22E03">
        <w:t>.</w:t>
      </w:r>
    </w:p>
    <w:p w14:paraId="60BAD3D7" w14:textId="6F7F92F7" w:rsidR="007D636A" w:rsidRPr="00D22E03" w:rsidRDefault="007D636A" w:rsidP="0004466F">
      <w:pPr>
        <w:pStyle w:val="ListParagraph"/>
        <w:keepNext/>
      </w:pPr>
      <w:r w:rsidRPr="00D22E03">
        <w:t>Section 92 of the EO Act</w:t>
      </w:r>
      <w:r w:rsidRPr="00D22E03">
        <w:rPr>
          <w:i/>
          <w:iCs/>
        </w:rPr>
        <w:t xml:space="preserve"> </w:t>
      </w:r>
      <w:r w:rsidRPr="00D22E03">
        <w:t xml:space="preserve">defines </w:t>
      </w:r>
      <w:r w:rsidR="004C61A6" w:rsidRPr="00D22E03">
        <w:t>“</w:t>
      </w:r>
      <w:r w:rsidRPr="00D22E03">
        <w:t>sexual harassment</w:t>
      </w:r>
      <w:r w:rsidR="004C61A6" w:rsidRPr="00D22E03">
        <w:t>”</w:t>
      </w:r>
      <w:r w:rsidRPr="00D22E03">
        <w:t xml:space="preserve"> as follows: </w:t>
      </w:r>
    </w:p>
    <w:p w14:paraId="7A5DD065" w14:textId="03867617" w:rsidR="007D636A" w:rsidRPr="00D22E03" w:rsidRDefault="007D636A" w:rsidP="00675B3F">
      <w:pPr>
        <w:pStyle w:val="Quote"/>
        <w:ind w:left="1701" w:hanging="567"/>
        <w:rPr>
          <w:lang w:val="en-US"/>
        </w:rPr>
      </w:pPr>
      <w:bookmarkStart w:id="15" w:name="_Toc88738040"/>
      <w:r w:rsidRPr="00D22E03">
        <w:rPr>
          <w:lang w:val="en-US"/>
        </w:rPr>
        <w:t>92</w:t>
      </w:r>
      <w:r w:rsidRPr="00D22E03">
        <w:rPr>
          <w:lang w:val="en-US"/>
        </w:rPr>
        <w:tab/>
        <w:t>What is sexual harassment?</w:t>
      </w:r>
      <w:bookmarkEnd w:id="15"/>
    </w:p>
    <w:p w14:paraId="7C10A51B" w14:textId="3353DD66" w:rsidR="007D636A" w:rsidRPr="00D22E03" w:rsidRDefault="007D636A" w:rsidP="00675B3F">
      <w:pPr>
        <w:pStyle w:val="Quote"/>
        <w:ind w:left="1701" w:hanging="567"/>
        <w:rPr>
          <w:lang w:val="en-US"/>
        </w:rPr>
      </w:pPr>
      <w:r w:rsidRPr="00D22E03">
        <w:rPr>
          <w:lang w:val="en-US"/>
        </w:rPr>
        <w:t>(1)</w:t>
      </w:r>
      <w:r w:rsidRPr="00D22E03">
        <w:rPr>
          <w:lang w:val="en-US"/>
        </w:rPr>
        <w:tab/>
        <w:t>For the purpose of this Act, a person sexually harasses another person if he or she—</w:t>
      </w:r>
    </w:p>
    <w:p w14:paraId="259AE4BC" w14:textId="014EB50B" w:rsidR="007D636A" w:rsidRPr="00D22E03" w:rsidRDefault="007D636A" w:rsidP="00675B3F">
      <w:pPr>
        <w:pStyle w:val="Quote"/>
        <w:ind w:left="2268" w:hanging="567"/>
        <w:rPr>
          <w:lang w:val="en-US"/>
        </w:rPr>
      </w:pPr>
      <w:r w:rsidRPr="00D22E03">
        <w:rPr>
          <w:lang w:val="en-US"/>
        </w:rPr>
        <w:t>(a)</w:t>
      </w:r>
      <w:r w:rsidRPr="00D22E03">
        <w:rPr>
          <w:lang w:val="en-US"/>
        </w:rPr>
        <w:tab/>
        <w:t xml:space="preserve">makes an unwelcome sexual advance, or an unwelcome request for sexual </w:t>
      </w:r>
      <w:proofErr w:type="spellStart"/>
      <w:r w:rsidRPr="00D22E03">
        <w:rPr>
          <w:lang w:val="en-US"/>
        </w:rPr>
        <w:t>favours</w:t>
      </w:r>
      <w:proofErr w:type="spellEnd"/>
      <w:r w:rsidRPr="00D22E03">
        <w:rPr>
          <w:lang w:val="en-US"/>
        </w:rPr>
        <w:t>, to the other person; or</w:t>
      </w:r>
    </w:p>
    <w:p w14:paraId="4245D7BD" w14:textId="05347745" w:rsidR="007D636A" w:rsidRPr="00D22E03" w:rsidRDefault="007D636A" w:rsidP="00675B3F">
      <w:pPr>
        <w:pStyle w:val="Quote"/>
        <w:ind w:left="2268" w:hanging="567"/>
        <w:rPr>
          <w:lang w:val="en-US"/>
        </w:rPr>
      </w:pPr>
      <w:r w:rsidRPr="00D22E03">
        <w:rPr>
          <w:lang w:val="en-US"/>
        </w:rPr>
        <w:t>(b)</w:t>
      </w:r>
      <w:r w:rsidRPr="00D22E03">
        <w:rPr>
          <w:lang w:val="en-US"/>
        </w:rPr>
        <w:tab/>
        <w:t>engages in any other unwelcome conduct of a sexual nature in relation to the other person—</w:t>
      </w:r>
    </w:p>
    <w:p w14:paraId="0C724687" w14:textId="77777777" w:rsidR="007D636A" w:rsidRPr="00D22E03" w:rsidRDefault="007D636A" w:rsidP="00675B3F">
      <w:pPr>
        <w:pStyle w:val="Quote"/>
        <w:ind w:left="1701"/>
        <w:rPr>
          <w:lang w:val="en-US"/>
        </w:rPr>
      </w:pPr>
      <w:r w:rsidRPr="00D22E03">
        <w:rPr>
          <w:lang w:val="en-US"/>
        </w:rPr>
        <w:t xml:space="preserve">in circumstances in which a reasonable person, having regard to all the circumstances, would have anticipated that the other person would be offended, </w:t>
      </w:r>
      <w:proofErr w:type="gramStart"/>
      <w:r w:rsidRPr="00D22E03">
        <w:rPr>
          <w:lang w:val="en-US"/>
        </w:rPr>
        <w:t>humiliated</w:t>
      </w:r>
      <w:proofErr w:type="gramEnd"/>
      <w:r w:rsidRPr="00D22E03">
        <w:rPr>
          <w:lang w:val="en-US"/>
        </w:rPr>
        <w:t xml:space="preserve"> or intimidated.</w:t>
      </w:r>
    </w:p>
    <w:p w14:paraId="51EFC3AC" w14:textId="46A9EBA7" w:rsidR="007D636A" w:rsidRPr="00D22E03" w:rsidRDefault="007D636A" w:rsidP="00756A00">
      <w:pPr>
        <w:pStyle w:val="ListParagraph"/>
      </w:pPr>
      <w:r w:rsidRPr="00D22E03">
        <w:lastRenderedPageBreak/>
        <w:t xml:space="preserve">This definition is substantially identical to the definition of </w:t>
      </w:r>
      <w:r w:rsidR="004C61A6" w:rsidRPr="00D22E03">
        <w:t>“</w:t>
      </w:r>
      <w:r w:rsidRPr="00D22E03">
        <w:t>sexual harassment</w:t>
      </w:r>
      <w:r w:rsidR="004C61A6" w:rsidRPr="00D22E03">
        <w:t>”</w:t>
      </w:r>
      <w:r w:rsidRPr="00D22E03">
        <w:t xml:space="preserve"> in s 28A of the </w:t>
      </w:r>
      <w:r w:rsidR="001C0FEF">
        <w:t>SD Act</w:t>
      </w:r>
      <w:r w:rsidR="0026583B">
        <w:t>.</w:t>
      </w:r>
    </w:p>
    <w:p w14:paraId="76327FB6" w14:textId="19EA99E5" w:rsidR="007D636A" w:rsidRPr="00D22E03" w:rsidRDefault="007D636A" w:rsidP="0004466F">
      <w:pPr>
        <w:pStyle w:val="ListParagraph"/>
      </w:pPr>
      <w:r w:rsidRPr="00D22E03">
        <w:t>Finally, even conduct that may not formally satisfy the legal definition of sexual harassment may nevertheless constitute sexual harassment in the sense that phrase is colloquially understood.  Further, conduct that falls short of meeting the legal definition may nevertheless carry the risk of harm to the target</w:t>
      </w:r>
      <w:r w:rsidR="0064265B">
        <w:t xml:space="preserve"> and devastating sanction to the perpetrator</w:t>
      </w:r>
      <w:r w:rsidR="0088442B">
        <w:t>,</w:t>
      </w:r>
      <w:r w:rsidRPr="00D22E03">
        <w:t xml:space="preserve"> as well as reputational risk to Victorian courts and VCAT.</w:t>
      </w:r>
      <w:r w:rsidR="0088442B">
        <w:t xml:space="preserve"> </w:t>
      </w:r>
      <w:r w:rsidR="00EB1D73">
        <w:t xml:space="preserve"> </w:t>
      </w:r>
      <w:r w:rsidR="00EB1D73" w:rsidRPr="005E6DA8">
        <w:t xml:space="preserve">As discussed above, such conduct on the part of a judge may </w:t>
      </w:r>
      <w:r w:rsidR="00D36813" w:rsidRPr="005E6DA8">
        <w:t>also justify the</w:t>
      </w:r>
      <w:r w:rsidR="005E6DA8">
        <w:t xml:space="preserve"> conclusion that </w:t>
      </w:r>
      <w:r w:rsidR="005A4D0D">
        <w:t>he or she is unfit to hold office.</w:t>
      </w:r>
      <w:r w:rsidR="00D36813">
        <w:t xml:space="preserve"> </w:t>
      </w:r>
    </w:p>
    <w:p w14:paraId="0A5A6E58" w14:textId="4A0FA00B" w:rsidR="007D636A" w:rsidRPr="00D22E03" w:rsidRDefault="007D636A" w:rsidP="00A0783E">
      <w:pPr>
        <w:pStyle w:val="Heading2"/>
      </w:pPr>
      <w:bookmarkStart w:id="16" w:name="_Toc112606874"/>
      <w:r w:rsidRPr="00D22E03">
        <w:t xml:space="preserve">Other Commonwealth legislation: </w:t>
      </w:r>
      <w:r w:rsidR="00C17C10">
        <w:t>R</w:t>
      </w:r>
      <w:r w:rsidRPr="00D22E03">
        <w:t xml:space="preserve">ecent amendments to the </w:t>
      </w:r>
      <w:r w:rsidRPr="00816478">
        <w:rPr>
          <w:i/>
          <w:iCs/>
        </w:rPr>
        <w:t>S</w:t>
      </w:r>
      <w:r w:rsidR="001B23FB" w:rsidRPr="00816478">
        <w:rPr>
          <w:i/>
          <w:iCs/>
        </w:rPr>
        <w:t xml:space="preserve">ex </w:t>
      </w:r>
      <w:r w:rsidRPr="00816478">
        <w:rPr>
          <w:i/>
          <w:iCs/>
        </w:rPr>
        <w:t>D</w:t>
      </w:r>
      <w:r w:rsidR="001B23FB" w:rsidRPr="00816478">
        <w:rPr>
          <w:i/>
          <w:iCs/>
        </w:rPr>
        <w:t xml:space="preserve">iscrimination Act </w:t>
      </w:r>
      <w:r w:rsidR="00816478" w:rsidRPr="00816478">
        <w:rPr>
          <w:i/>
          <w:iCs/>
        </w:rPr>
        <w:t>1984</w:t>
      </w:r>
      <w:r w:rsidR="00816478">
        <w:t xml:space="preserve"> (Cth)</w:t>
      </w:r>
      <w:bookmarkEnd w:id="16"/>
    </w:p>
    <w:p w14:paraId="4A47D7F2" w14:textId="46045904" w:rsidR="007D636A" w:rsidRPr="00D22E03" w:rsidRDefault="007D636A" w:rsidP="0004466F">
      <w:pPr>
        <w:pStyle w:val="ListParagraph"/>
        <w:keepNext/>
      </w:pPr>
      <w:r w:rsidRPr="00D22E03">
        <w:t xml:space="preserve">In 2021, the federal Parliament passed the </w:t>
      </w:r>
      <w:r w:rsidRPr="00D22E03">
        <w:rPr>
          <w:i/>
          <w:iCs/>
        </w:rPr>
        <w:t>Sex Discrimination and Fair Work (Respect at Work) Amendment Act 2021</w:t>
      </w:r>
      <w:r w:rsidRPr="00D22E03">
        <w:t xml:space="preserve">.  Among other things, the Act implemented several (but not all) recommendations of the </w:t>
      </w:r>
      <w:proofErr w:type="spellStart"/>
      <w:r w:rsidRPr="00D22E03">
        <w:t>Respect@Work</w:t>
      </w:r>
      <w:proofErr w:type="spellEnd"/>
      <w:r w:rsidRPr="00D22E03">
        <w:t xml:space="preserve"> Report</w:t>
      </w:r>
      <w:r w:rsidR="005A4D0D">
        <w:t>, including</w:t>
      </w:r>
      <w:r w:rsidRPr="00D22E03">
        <w:t xml:space="preserve"> that the </w:t>
      </w:r>
      <w:r w:rsidR="001C0FEF">
        <w:t>SD Act</w:t>
      </w:r>
      <w:r w:rsidRPr="00D22E03">
        <w:rPr>
          <w:i/>
          <w:iCs/>
        </w:rPr>
        <w:t xml:space="preserve"> </w:t>
      </w:r>
      <w:r w:rsidRPr="00D22E03">
        <w:t xml:space="preserve">be amended to ensure that </w:t>
      </w:r>
      <w:r w:rsidR="00CA11BF" w:rsidRPr="00D22E03">
        <w:t>“</w:t>
      </w:r>
      <w:r w:rsidRPr="00D22E03">
        <w:t>sex-based harassment</w:t>
      </w:r>
      <w:r w:rsidR="00CA11BF" w:rsidRPr="00D22E03">
        <w:t>”</w:t>
      </w:r>
      <w:r w:rsidRPr="00D22E03">
        <w:t xml:space="preserve"> be expressly prohibited.  Section 28</w:t>
      </w:r>
      <w:proofErr w:type="gramStart"/>
      <w:r w:rsidRPr="00D22E03">
        <w:t>AA(</w:t>
      </w:r>
      <w:proofErr w:type="gramEnd"/>
      <w:r w:rsidRPr="00D22E03">
        <w:t xml:space="preserve">1) of the </w:t>
      </w:r>
      <w:r w:rsidR="001C0FEF">
        <w:t>SD Act</w:t>
      </w:r>
      <w:r w:rsidRPr="00D22E03">
        <w:rPr>
          <w:i/>
          <w:iCs/>
        </w:rPr>
        <w:t xml:space="preserve"> </w:t>
      </w:r>
      <w:r w:rsidRPr="00D22E03">
        <w:t>now provides:</w:t>
      </w:r>
    </w:p>
    <w:p w14:paraId="41343EAC" w14:textId="3EC6773A" w:rsidR="007D636A" w:rsidRPr="00A0783E" w:rsidRDefault="007D636A" w:rsidP="00A0783E">
      <w:pPr>
        <w:pStyle w:val="Quote"/>
        <w:ind w:left="1985" w:hanging="851"/>
        <w:rPr>
          <w:b/>
          <w:bCs/>
        </w:rPr>
      </w:pPr>
      <w:bookmarkStart w:id="17" w:name="_Toc84580243"/>
      <w:r w:rsidRPr="00A0783E">
        <w:rPr>
          <w:rStyle w:val="CharSectno"/>
          <w:b/>
          <w:bCs/>
          <w:sz w:val="22"/>
        </w:rPr>
        <w:t>28AA</w:t>
      </w:r>
      <w:r w:rsidR="001F5CE6" w:rsidRPr="00A0783E">
        <w:rPr>
          <w:b/>
          <w:bCs/>
        </w:rPr>
        <w:tab/>
      </w:r>
      <w:r w:rsidRPr="00A0783E">
        <w:rPr>
          <w:b/>
          <w:bCs/>
        </w:rPr>
        <w:t>Meaning of harassment on the ground of sex</w:t>
      </w:r>
      <w:bookmarkEnd w:id="17"/>
    </w:p>
    <w:p w14:paraId="0C552B92" w14:textId="7D233A73" w:rsidR="007D636A" w:rsidRPr="00D22E03" w:rsidRDefault="007D636A" w:rsidP="00A0783E">
      <w:pPr>
        <w:pStyle w:val="Quote"/>
        <w:ind w:left="1701" w:hanging="567"/>
      </w:pPr>
      <w:r w:rsidRPr="00D22E03">
        <w:t>(1)</w:t>
      </w:r>
      <w:r w:rsidRPr="00D22E03">
        <w:tab/>
        <w:t xml:space="preserve">For the purposes of this Act, a person harasses another person (the </w:t>
      </w:r>
      <w:r w:rsidRPr="00D22E03">
        <w:rPr>
          <w:b/>
        </w:rPr>
        <w:t>person harassed</w:t>
      </w:r>
      <w:r w:rsidRPr="00D22E03">
        <w:t>) on the ground of sex if:</w:t>
      </w:r>
    </w:p>
    <w:p w14:paraId="3A7546C6" w14:textId="15DDFDE1" w:rsidR="007D636A" w:rsidRPr="00D22E03" w:rsidRDefault="007D636A" w:rsidP="00A0783E">
      <w:pPr>
        <w:pStyle w:val="Quote"/>
        <w:ind w:left="2268" w:hanging="567"/>
      </w:pPr>
      <w:r w:rsidRPr="00D22E03">
        <w:t>(a)</w:t>
      </w:r>
      <w:r w:rsidRPr="00D22E03">
        <w:tab/>
        <w:t>by reason of:</w:t>
      </w:r>
    </w:p>
    <w:p w14:paraId="4028DF63" w14:textId="41D3F6B3" w:rsidR="007D636A" w:rsidRPr="00D22E03" w:rsidRDefault="007D636A" w:rsidP="00A0783E">
      <w:pPr>
        <w:pStyle w:val="Quote"/>
        <w:ind w:left="2835" w:hanging="567"/>
      </w:pPr>
      <w:r w:rsidRPr="00D22E03">
        <w:t>(i)</w:t>
      </w:r>
      <w:r w:rsidRPr="00D22E03">
        <w:tab/>
        <w:t>the sex of the person harassed; or</w:t>
      </w:r>
    </w:p>
    <w:p w14:paraId="7B0EC169" w14:textId="4ADEAF6B" w:rsidR="007D636A" w:rsidRPr="00D22E03" w:rsidRDefault="007D636A" w:rsidP="00A0783E">
      <w:pPr>
        <w:pStyle w:val="Quote"/>
        <w:ind w:left="2835" w:hanging="567"/>
      </w:pPr>
      <w:r w:rsidRPr="00D22E03">
        <w:t>(ii)</w:t>
      </w:r>
      <w:r w:rsidRPr="00D22E03">
        <w:tab/>
        <w:t>a characteristic that appertains generally to persons of the sex of the person harassed; or</w:t>
      </w:r>
    </w:p>
    <w:p w14:paraId="001EE14B" w14:textId="18BA5A3E" w:rsidR="007D636A" w:rsidRPr="00D22E03" w:rsidRDefault="007D636A" w:rsidP="00A0783E">
      <w:pPr>
        <w:pStyle w:val="Quote"/>
        <w:ind w:left="2835" w:hanging="567"/>
      </w:pPr>
      <w:r w:rsidRPr="00D22E03">
        <w:t>(iii)</w:t>
      </w:r>
      <w:r w:rsidRPr="00D22E03">
        <w:tab/>
        <w:t xml:space="preserve">a characteristic that is generally imputed to persons of the sex of the person </w:t>
      </w:r>
      <w:proofErr w:type="gramStart"/>
      <w:r w:rsidRPr="00D22E03">
        <w:t>harassed;</w:t>
      </w:r>
      <w:proofErr w:type="gramEnd"/>
    </w:p>
    <w:p w14:paraId="3BB5AF5F" w14:textId="77777777" w:rsidR="007D636A" w:rsidRPr="00D22E03" w:rsidRDefault="007D636A" w:rsidP="00A0783E">
      <w:pPr>
        <w:pStyle w:val="Quote"/>
        <w:ind w:left="2268"/>
      </w:pPr>
      <w:r w:rsidRPr="00D22E03">
        <w:t>the person engages in unwelcome conduct of a seriously demeaning nature in relation to the person harassed; and</w:t>
      </w:r>
    </w:p>
    <w:p w14:paraId="4415A109" w14:textId="77777777" w:rsidR="007D636A" w:rsidRPr="00D22E03" w:rsidRDefault="007D636A" w:rsidP="00A0783E">
      <w:pPr>
        <w:pStyle w:val="Quote"/>
        <w:ind w:left="2268" w:hanging="567"/>
      </w:pPr>
      <w:r w:rsidRPr="00D22E03">
        <w:t>(b)</w:t>
      </w:r>
      <w:r w:rsidRPr="00D22E03">
        <w:tab/>
        <w:t xml:space="preserve">the person does so in circumstances in which a reasonable person, having regard to all the circumstances, would have anticipated the possibility that the person harassed would be offended, </w:t>
      </w:r>
      <w:proofErr w:type="gramStart"/>
      <w:r w:rsidRPr="00D22E03">
        <w:t>humiliated</w:t>
      </w:r>
      <w:proofErr w:type="gramEnd"/>
      <w:r w:rsidRPr="00D22E03">
        <w:t xml:space="preserve"> or intimidated.</w:t>
      </w:r>
    </w:p>
    <w:p w14:paraId="0CCFB01D" w14:textId="1023B4B6" w:rsidR="007D636A" w:rsidRPr="00D22E03" w:rsidRDefault="007D636A" w:rsidP="0004466F">
      <w:pPr>
        <w:pStyle w:val="ListParagraph"/>
      </w:pPr>
      <w:r w:rsidRPr="00D22E03">
        <w:t>There is no directly analogous provision to s 28AA under the Victorian EO Act.  However, some cases that would constitute harassment on the ground of sex within the meaning of s</w:t>
      </w:r>
      <w:r w:rsidR="00A0783E">
        <w:t> </w:t>
      </w:r>
      <w:r w:rsidRPr="00D22E03">
        <w:t xml:space="preserve">28AA of the </w:t>
      </w:r>
      <w:r w:rsidR="001C0FEF">
        <w:t>SD Act</w:t>
      </w:r>
      <w:r w:rsidRPr="00D22E03">
        <w:t xml:space="preserve"> might constitute discrimination </w:t>
      </w:r>
      <w:proofErr w:type="gramStart"/>
      <w:r w:rsidRPr="00D22E03">
        <w:t>on the basis of</w:t>
      </w:r>
      <w:proofErr w:type="gramEnd"/>
      <w:r w:rsidRPr="00D22E03">
        <w:t xml:space="preserve"> sex as defined in Part 2 of the EO Act.  As stated in the </w:t>
      </w:r>
      <w:proofErr w:type="spellStart"/>
      <w:r w:rsidRPr="00D22E03">
        <w:t>Respect@Work</w:t>
      </w:r>
      <w:proofErr w:type="spellEnd"/>
      <w:r w:rsidRPr="00D22E03">
        <w:t xml:space="preserve"> Report in the context of complaints made </w:t>
      </w:r>
      <w:r w:rsidRPr="00D22E03">
        <w:lastRenderedPageBreak/>
        <w:t xml:space="preserve">under the </w:t>
      </w:r>
      <w:r w:rsidRPr="001C0FEF">
        <w:t xml:space="preserve">Commonwealth </w:t>
      </w:r>
      <w:r w:rsidR="001C0FEF" w:rsidRPr="001C0FEF">
        <w:t>SD Act</w:t>
      </w:r>
      <w:r w:rsidRPr="00D22E03">
        <w:t xml:space="preserve">, </w:t>
      </w:r>
      <w:r w:rsidR="00CA11BF" w:rsidRPr="00D22E03">
        <w:t>“</w:t>
      </w:r>
      <w:r w:rsidRPr="00D22E03">
        <w:t>[i]f a person alleges that they are being harassed because of their sex, but the conduct complained of does not amount to ‘conduct of a sexual nature’ then the complaint may be assessed and accepted as one alleging sex discrimination</w:t>
      </w:r>
      <w:r w:rsidR="00CA11BF" w:rsidRPr="00D22E03">
        <w:t>”</w:t>
      </w:r>
      <w:r w:rsidRPr="00D22E03">
        <w:t>.</w:t>
      </w:r>
      <w:r w:rsidR="00813C2A">
        <w:rPr>
          <w:rFonts w:ascii="ZWAdobeF" w:hAnsi="ZWAdobeF" w:cs="ZWAdobeF"/>
          <w:sz w:val="2"/>
          <w:szCs w:val="2"/>
        </w:rPr>
        <w:t>37F</w:t>
      </w:r>
      <w:r w:rsidR="00704B18">
        <w:rPr>
          <w:rFonts w:ascii="ZWAdobeF" w:hAnsi="ZWAdobeF" w:cs="ZWAdobeF"/>
          <w:sz w:val="2"/>
          <w:szCs w:val="2"/>
        </w:rPr>
        <w:t>41F</w:t>
      </w:r>
      <w:r w:rsidRPr="00D22E03">
        <w:rPr>
          <w:rStyle w:val="FootnoteReference"/>
        </w:rPr>
        <w:footnoteReference w:id="23"/>
      </w:r>
      <w:r w:rsidRPr="00D22E03">
        <w:t xml:space="preserve"> </w:t>
      </w:r>
    </w:p>
    <w:p w14:paraId="16A3F3D9" w14:textId="0BE228C8" w:rsidR="007D636A" w:rsidRPr="00D22E03" w:rsidRDefault="007D636A" w:rsidP="0004466F">
      <w:pPr>
        <w:pStyle w:val="ListParagraph"/>
      </w:pPr>
      <w:r w:rsidRPr="00D22E03">
        <w:t>The 2021 Amendment Act</w:t>
      </w:r>
      <w:r w:rsidRPr="00D22E03">
        <w:rPr>
          <w:i/>
          <w:iCs/>
        </w:rPr>
        <w:t xml:space="preserve"> </w:t>
      </w:r>
      <w:r w:rsidRPr="00D22E03">
        <w:t xml:space="preserve">also introduced </w:t>
      </w:r>
      <w:proofErr w:type="gramStart"/>
      <w:r w:rsidRPr="00D22E03">
        <w:t>a number of</w:t>
      </w:r>
      <w:proofErr w:type="gramEnd"/>
      <w:r w:rsidRPr="00D22E03">
        <w:t xml:space="preserve"> provisions relating to the application of the </w:t>
      </w:r>
      <w:r w:rsidR="001C0FEF">
        <w:t>SD Act</w:t>
      </w:r>
      <w:r w:rsidRPr="00D22E03">
        <w:rPr>
          <w:i/>
          <w:iCs/>
        </w:rPr>
        <w:t xml:space="preserve"> </w:t>
      </w:r>
      <w:r w:rsidRPr="00D22E03">
        <w:t xml:space="preserve">to judges.  In that regard, the explanatory memorandum to the Sex Discrimination and Fair Work (Respect at Work) Amendment Bill 2021 stated that the purpose of these amendments, and others relating to members of parliament, was to </w:t>
      </w:r>
      <w:r w:rsidR="00CA11BF" w:rsidRPr="00D22E03">
        <w:t>“</w:t>
      </w:r>
      <w:r w:rsidRPr="00D22E03">
        <w:t xml:space="preserve">clarify that the scope of the </w:t>
      </w:r>
      <w:r w:rsidR="001C0FEF">
        <w:t>SD Act</w:t>
      </w:r>
      <w:r w:rsidRPr="00D22E03">
        <w:t xml:space="preserve"> extends to members of parliament, their staff, and judges at all levels of government</w:t>
      </w:r>
      <w:r w:rsidR="00CA11BF" w:rsidRPr="00D22E03">
        <w:t>”</w:t>
      </w:r>
      <w:r w:rsidRPr="00D22E03">
        <w:t>.</w:t>
      </w:r>
    </w:p>
    <w:p w14:paraId="2ACE7EDC" w14:textId="0BA4992E" w:rsidR="007D636A" w:rsidRPr="00D22E03" w:rsidRDefault="007D636A" w:rsidP="0004466F">
      <w:pPr>
        <w:pStyle w:val="ListParagraph"/>
      </w:pPr>
      <w:r w:rsidRPr="00D22E03">
        <w:t xml:space="preserve">Particularly, the 2021 Amendment Act inserted the words “a person who holds a Commonwealth judicial office” into the definition of “Commonwealth employee”.  A new definition of “State employee” was also inserted, which includes “a person who holds a State judicial office of the State”.  The change is significant because the concept of employment under the </w:t>
      </w:r>
      <w:r w:rsidR="001C0FEF">
        <w:t>SD Act</w:t>
      </w:r>
      <w:r w:rsidRPr="00D22E03">
        <w:t xml:space="preserve"> is defined to include </w:t>
      </w:r>
      <w:r w:rsidR="00CA11BF" w:rsidRPr="00D22E03">
        <w:t>“</w:t>
      </w:r>
      <w:r w:rsidRPr="00D22E03">
        <w:t>work as a Commonwealth employee</w:t>
      </w:r>
      <w:r w:rsidR="00CA11BF" w:rsidRPr="00D22E03">
        <w:t>”</w:t>
      </w:r>
      <w:r w:rsidRPr="00D22E03">
        <w:t xml:space="preserve"> and </w:t>
      </w:r>
      <w:r w:rsidR="00CA11BF" w:rsidRPr="00D22E03">
        <w:t>“</w:t>
      </w:r>
      <w:r w:rsidRPr="00D22E03">
        <w:t>work as a State employee of a State</w:t>
      </w:r>
      <w:r w:rsidR="00CA11BF" w:rsidRPr="00D22E03">
        <w:t>”</w:t>
      </w:r>
      <w:r w:rsidR="003B0FE3">
        <w:t xml:space="preserve">: </w:t>
      </w:r>
      <w:r w:rsidR="001C0FEF">
        <w:t>SD Act,</w:t>
      </w:r>
      <w:r w:rsidR="003B0FE3">
        <w:t xml:space="preserve"> s 4</w:t>
      </w:r>
      <w:r w:rsidRPr="00D22E03">
        <w:t xml:space="preserve">.  Therefore, persons captured by that definition can infringe (for example) s 28B(2) of the Act, which provides that it </w:t>
      </w:r>
      <w:r w:rsidR="00CA11BF" w:rsidRPr="00D22E03">
        <w:t>“</w:t>
      </w:r>
      <w:r w:rsidRPr="00D22E03">
        <w:t>is unlawful for an employee to sexually harass … a fellow employee or a person who is seeking employment with the same employer</w:t>
      </w:r>
      <w:r w:rsidR="00CA11BF" w:rsidRPr="00D22E03">
        <w:t>”</w:t>
      </w:r>
      <w:r w:rsidRPr="00D22E03">
        <w:t xml:space="preserve">, or s 28B(7) of the Act, which provides that it is </w:t>
      </w:r>
      <w:r w:rsidR="00CA11BF" w:rsidRPr="00D22E03">
        <w:t>“</w:t>
      </w:r>
      <w:r w:rsidRPr="00D22E03">
        <w:t>unlawful for a person (the first person) who is an employee … to sexually harass … a person if the harassment occurs in connection with the first person being an employee…</w:t>
      </w:r>
      <w:r w:rsidR="00CA11BF" w:rsidRPr="00D22E03">
        <w:t>”</w:t>
      </w:r>
      <w:r w:rsidRPr="00D22E03">
        <w:t>.</w:t>
      </w:r>
    </w:p>
    <w:p w14:paraId="4EE58C25" w14:textId="3CA043A8" w:rsidR="007D636A" w:rsidRPr="006B47CE" w:rsidRDefault="007D636A" w:rsidP="0004466F">
      <w:pPr>
        <w:pStyle w:val="ListParagraph"/>
        <w:rPr>
          <w:szCs w:val="23"/>
        </w:rPr>
      </w:pPr>
      <w:r w:rsidRPr="00D22E03">
        <w:t xml:space="preserve">Further, the </w:t>
      </w:r>
      <w:proofErr w:type="spellStart"/>
      <w:r w:rsidRPr="00D22E03">
        <w:t>new s</w:t>
      </w:r>
      <w:proofErr w:type="spellEnd"/>
      <w:r w:rsidR="00E54C31">
        <w:t> </w:t>
      </w:r>
      <w:r w:rsidRPr="00D22E03">
        <w:t xml:space="preserve">109 of the </w:t>
      </w:r>
      <w:r w:rsidR="001C0FEF">
        <w:t>SD Act</w:t>
      </w:r>
      <w:r w:rsidRPr="00D22E03">
        <w:rPr>
          <w:i/>
          <w:iCs/>
        </w:rPr>
        <w:t xml:space="preserve"> </w:t>
      </w:r>
      <w:r w:rsidRPr="00D22E03">
        <w:t xml:space="preserve">provides that “a State employee of a State [which now includes a person holding judicial office] is taken to be employed by the State”.  This </w:t>
      </w:r>
      <w:r w:rsidR="00014763">
        <w:t>will</w:t>
      </w:r>
      <w:r w:rsidRPr="00D22E03">
        <w:t xml:space="preserve"> have implications for potential vicarious liability under s 106 of the </w:t>
      </w:r>
      <w:r w:rsidR="001C0FEF">
        <w:t>SD Act</w:t>
      </w:r>
      <w:r w:rsidRPr="00D22E03">
        <w:t xml:space="preserve">.  There is an exception to vicarious liability under the Act where it is established that </w:t>
      </w:r>
      <w:r w:rsidR="00CA11BF" w:rsidRPr="00D22E03">
        <w:t>“</w:t>
      </w:r>
      <w:r w:rsidRPr="00D22E03">
        <w:t>all reasonable steps</w:t>
      </w:r>
      <w:r w:rsidR="00CA11BF" w:rsidRPr="00D22E03">
        <w:t>”</w:t>
      </w:r>
      <w:r w:rsidRPr="00D22E03">
        <w:t xml:space="preserve"> were taken </w:t>
      </w:r>
      <w:r w:rsidR="00CA11BF" w:rsidRPr="00D22E03">
        <w:t>“</w:t>
      </w:r>
      <w:r w:rsidRPr="00D22E03">
        <w:t>to prevent the employee… from doing [the relevant unlawful] acts</w:t>
      </w:r>
      <w:r w:rsidR="00CA11BF" w:rsidRPr="00D22E03">
        <w:t>”</w:t>
      </w:r>
      <w:r w:rsidRPr="00D22E03">
        <w:t>: s</w:t>
      </w:r>
      <w:r w:rsidR="001F5CE6">
        <w:t> </w:t>
      </w:r>
      <w:r w:rsidRPr="00D22E03">
        <w:t>106(2).</w:t>
      </w:r>
    </w:p>
    <w:p w14:paraId="1227D22A" w14:textId="21ABB44C" w:rsidR="006B47CE" w:rsidRPr="00D12057" w:rsidRDefault="00C311F1" w:rsidP="0004466F">
      <w:pPr>
        <w:pStyle w:val="ListParagraph"/>
        <w:rPr>
          <w:szCs w:val="23"/>
        </w:rPr>
      </w:pPr>
      <w:r>
        <w:rPr>
          <w:lang w:val="en-US"/>
        </w:rPr>
        <w:t>The above amendments to the SD Act were intended to bring both “judges at the federal level” and holders of a “State judicial office” “within the scope of the [SD Act] to the extent the Act applies to employment”.</w:t>
      </w:r>
      <w:r>
        <w:rPr>
          <w:rStyle w:val="FootnoteReference"/>
          <w:lang w:val="en-US"/>
        </w:rPr>
        <w:footnoteReference w:id="24"/>
      </w:r>
      <w:r>
        <w:rPr>
          <w:lang w:val="en-US"/>
        </w:rPr>
        <w:t xml:space="preserve">  Assuming that the amendments described above have that intended result, the SD Act as amended would have covered the complaints (discussed </w:t>
      </w:r>
      <w:r>
        <w:rPr>
          <w:lang w:val="en-US"/>
        </w:rPr>
        <w:lastRenderedPageBreak/>
        <w:t xml:space="preserve">below) of sexual harassment made against former Justice </w:t>
      </w:r>
      <w:proofErr w:type="spellStart"/>
      <w:r>
        <w:rPr>
          <w:lang w:val="en-US"/>
        </w:rPr>
        <w:t>Heydon</w:t>
      </w:r>
      <w:proofErr w:type="spellEnd"/>
      <w:r>
        <w:rPr>
          <w:lang w:val="en-US"/>
        </w:rPr>
        <w:t>, the Federal Circuit Court judge and former Justice Peter Vickery.</w:t>
      </w:r>
    </w:p>
    <w:p w14:paraId="573E598E" w14:textId="686A14E5" w:rsidR="007D636A" w:rsidRPr="00D22E03" w:rsidRDefault="007D636A" w:rsidP="008430A8">
      <w:pPr>
        <w:pStyle w:val="Heading2"/>
      </w:pPr>
      <w:bookmarkStart w:id="18" w:name="_Toc112606875"/>
      <w:r w:rsidRPr="00D22E03">
        <w:t xml:space="preserve">Other amendments to Commonwealth law in response to Respect@Work </w:t>
      </w:r>
      <w:r w:rsidR="00703D4A">
        <w:t>R</w:t>
      </w:r>
      <w:r w:rsidRPr="00D22E03">
        <w:t>eport</w:t>
      </w:r>
      <w:bookmarkStart w:id="19" w:name="_Hlk93249917"/>
      <w:bookmarkEnd w:id="18"/>
    </w:p>
    <w:p w14:paraId="0DFE8EEE" w14:textId="53308846" w:rsidR="007D636A" w:rsidRPr="00D22E03" w:rsidRDefault="007D636A" w:rsidP="008430A8">
      <w:pPr>
        <w:pStyle w:val="ListParagraph"/>
        <w:spacing w:before="240"/>
      </w:pPr>
      <w:r w:rsidRPr="00D22E03">
        <w:t xml:space="preserve">In addition to the above amendments to the </w:t>
      </w:r>
      <w:r w:rsidR="001C0FEF">
        <w:t>SD Act</w:t>
      </w:r>
      <w:r w:rsidRPr="00D22E03">
        <w:t xml:space="preserve">, the 2021 Amendment Act included several amendments to the </w:t>
      </w:r>
      <w:r w:rsidRPr="00D22E03">
        <w:rPr>
          <w:i/>
          <w:iCs/>
        </w:rPr>
        <w:t>Fair Work Act 2009</w:t>
      </w:r>
      <w:r w:rsidRPr="00D22E03">
        <w:t>.</w:t>
      </w:r>
    </w:p>
    <w:p w14:paraId="79BDFAFA" w14:textId="6B504F2F" w:rsidR="007D636A" w:rsidRPr="00D22E03" w:rsidRDefault="007D636A" w:rsidP="0004466F">
      <w:pPr>
        <w:pStyle w:val="ListParagraph"/>
      </w:pPr>
      <w:r w:rsidRPr="00D22E03">
        <w:t xml:space="preserve">Particularly, Part 6.4B of the </w:t>
      </w:r>
      <w:r w:rsidRPr="00D22E03">
        <w:rPr>
          <w:i/>
          <w:iCs/>
        </w:rPr>
        <w:t>Fair Work Act</w:t>
      </w:r>
      <w:r w:rsidRPr="00D22E03">
        <w:t xml:space="preserve"> was amended so as to permit the Fair Work Commission to make an order, if it is satisfied that a worked has been sexually harassed at work by one or more individuals and there is a risk of further sexual harassment, to prevent the worker from being sexually harassed at work by the individual or individuals: </w:t>
      </w:r>
      <w:r w:rsidRPr="00D22E03">
        <w:rPr>
          <w:i/>
          <w:iCs/>
        </w:rPr>
        <w:t>Fair Work Act 2009</w:t>
      </w:r>
      <w:r w:rsidRPr="00D22E03">
        <w:t xml:space="preserve"> s 789FF(1).  The phrase </w:t>
      </w:r>
      <w:r w:rsidR="00CA11BF" w:rsidRPr="00D22E03">
        <w:t>“</w:t>
      </w:r>
      <w:r w:rsidRPr="00D22E03">
        <w:t>sexually harassed at work</w:t>
      </w:r>
      <w:r w:rsidR="00CA11BF" w:rsidRPr="00D22E03">
        <w:t>”</w:t>
      </w:r>
      <w:r w:rsidRPr="00D22E03">
        <w:t xml:space="preserve"> is defined, for the purposes of Part 6.4B, in s 789FD(2A).  That provision states that </w:t>
      </w:r>
      <w:r w:rsidR="00CA11BF" w:rsidRPr="00D22E03">
        <w:t>“</w:t>
      </w:r>
      <w:r w:rsidRPr="00D22E03">
        <w:t>a worker is sexually harassed at work if, while the worker is at work in a constitutionally-covered business, one or more individuals sexually harasses the worker</w:t>
      </w:r>
      <w:r w:rsidR="00CA11BF" w:rsidRPr="00D22E03">
        <w:t>”</w:t>
      </w:r>
      <w:r w:rsidRPr="00D22E03">
        <w:t xml:space="preserve">.  The phrase </w:t>
      </w:r>
      <w:r w:rsidR="00CA11BF" w:rsidRPr="00D22E03">
        <w:t>“</w:t>
      </w:r>
      <w:r w:rsidRPr="00D22E03">
        <w:t>constitutionally-covered business</w:t>
      </w:r>
      <w:r w:rsidR="00CA11BF" w:rsidRPr="00D22E03">
        <w:t>”</w:t>
      </w:r>
      <w:r w:rsidRPr="00D22E03">
        <w:t xml:space="preserve"> is defined in s 789</w:t>
      </w:r>
      <w:proofErr w:type="gramStart"/>
      <w:r w:rsidRPr="00D22E03">
        <w:t>FD(</w:t>
      </w:r>
      <w:proofErr w:type="gramEnd"/>
      <w:r w:rsidRPr="00D22E03">
        <w:t xml:space="preserve">3) to mean a </w:t>
      </w:r>
      <w:r w:rsidR="00CA11BF" w:rsidRPr="00D22E03">
        <w:t>“</w:t>
      </w:r>
      <w:r w:rsidRPr="00D22E03">
        <w:t>business or undertaking</w:t>
      </w:r>
      <w:r w:rsidR="00CA11BF" w:rsidRPr="00D22E03">
        <w:t>”</w:t>
      </w:r>
      <w:r w:rsidRPr="00D22E03">
        <w:t xml:space="preserve"> conducted by a person that is, among other things, a </w:t>
      </w:r>
      <w:r w:rsidR="00CA11BF" w:rsidRPr="00D22E03">
        <w:t>“</w:t>
      </w:r>
      <w:r w:rsidRPr="00D22E03">
        <w:t>constitutional corporation</w:t>
      </w:r>
      <w:r w:rsidR="00CA11BF" w:rsidRPr="00D22E03">
        <w:t>”</w:t>
      </w:r>
      <w:r w:rsidRPr="00D22E03">
        <w:t xml:space="preserve"> or a Commonwealth authority.</w:t>
      </w:r>
    </w:p>
    <w:p w14:paraId="085243B5" w14:textId="77777777" w:rsidR="007D636A" w:rsidRPr="00D22E03" w:rsidRDefault="007D636A" w:rsidP="0004466F">
      <w:pPr>
        <w:pStyle w:val="ListParagraph"/>
        <w:keepNext/>
      </w:pPr>
      <w:bookmarkStart w:id="20" w:name="_Ref108610965"/>
      <w:r w:rsidRPr="00D22E03">
        <w:t xml:space="preserve">Other amendments to the </w:t>
      </w:r>
      <w:r w:rsidRPr="00D22E03">
        <w:rPr>
          <w:i/>
          <w:iCs/>
        </w:rPr>
        <w:t>Fair Work Act</w:t>
      </w:r>
      <w:r w:rsidRPr="00D22E03">
        <w:t xml:space="preserve"> and regulations</w:t>
      </w:r>
      <w:r w:rsidRPr="00D22E03">
        <w:rPr>
          <w:i/>
          <w:iCs/>
        </w:rPr>
        <w:t xml:space="preserve"> </w:t>
      </w:r>
      <w:r w:rsidRPr="00D22E03">
        <w:t>included:</w:t>
      </w:r>
      <w:bookmarkEnd w:id="20"/>
    </w:p>
    <w:p w14:paraId="56FC2608" w14:textId="77777777" w:rsidR="007D636A" w:rsidRPr="00D22E03" w:rsidRDefault="007D636A" w:rsidP="005223D1">
      <w:pPr>
        <w:pStyle w:val="List2"/>
      </w:pPr>
      <w:r w:rsidRPr="00D22E03">
        <w:t xml:space="preserve">the insertion of a legislative note in s 387 of that Act (which sets out criteria which must be </w:t>
      </w:r>
      <w:proofErr w:type="gramStart"/>
      <w:r w:rsidRPr="00D22E03">
        <w:t>taken into account</w:t>
      </w:r>
      <w:proofErr w:type="gramEnd"/>
      <w:r w:rsidRPr="00D22E03">
        <w:t xml:space="preserve"> considering whether an employee’s dismissal was harsh, unjust or unreasonable for the purposes of s 385 of the Act) stating that the fact that an employee has sexually harassed another person, and did so in connection with their employment, can amount to a valid reason for dismissal; and</w:t>
      </w:r>
    </w:p>
    <w:p w14:paraId="224BF25A" w14:textId="7F1D3164" w:rsidR="007D636A" w:rsidRPr="00D22E03" w:rsidRDefault="007D636A" w:rsidP="005223D1">
      <w:pPr>
        <w:pStyle w:val="List2"/>
      </w:pPr>
      <w:r w:rsidRPr="00D22E03">
        <w:t xml:space="preserve">amending the definition of “serious misconduct” in r 1.07 of the Fair Work Regulations 2009 (which in turn provides the meaning of “serious misconduct” for the purposes of the </w:t>
      </w:r>
      <w:r w:rsidRPr="00D22E03">
        <w:rPr>
          <w:i/>
          <w:iCs/>
        </w:rPr>
        <w:t>Fair Work Act</w:t>
      </w:r>
      <w:r w:rsidRPr="00D22E03">
        <w:t xml:space="preserve">: see s 12 of that Act) to include sexual harassment </w:t>
      </w:r>
      <w:proofErr w:type="gramStart"/>
      <w:r w:rsidRPr="00D22E03">
        <w:t>in the course of</w:t>
      </w:r>
      <w:proofErr w:type="gramEnd"/>
      <w:r w:rsidRPr="00D22E03">
        <w:t xml:space="preserve"> an employee’s employment.  </w:t>
      </w:r>
    </w:p>
    <w:p w14:paraId="7F042E4C" w14:textId="3FA90726" w:rsidR="00237A5D" w:rsidRDefault="00656CC5" w:rsidP="007E723A">
      <w:pPr>
        <w:pStyle w:val="Heading1"/>
      </w:pPr>
      <w:bookmarkStart w:id="21" w:name="_Toc112606876"/>
      <w:bookmarkEnd w:id="19"/>
      <w:r>
        <w:t>The Key</w:t>
      </w:r>
      <w:r w:rsidR="002C59B9">
        <w:t xml:space="preserve"> CSV Staff</w:t>
      </w:r>
      <w:r>
        <w:t xml:space="preserve"> R</w:t>
      </w:r>
      <w:r w:rsidR="00154618">
        <w:t>o</w:t>
      </w:r>
      <w:r>
        <w:t>les</w:t>
      </w:r>
      <w:bookmarkEnd w:id="21"/>
    </w:p>
    <w:p w14:paraId="17795E18" w14:textId="53D14DAD" w:rsidR="00237A5D" w:rsidRDefault="002F22F4" w:rsidP="008430A8">
      <w:pPr>
        <w:pStyle w:val="ListParagraph"/>
        <w:spacing w:before="240"/>
      </w:pPr>
      <w:r>
        <w:t xml:space="preserve">As stated above, although it has ancillary specified inclusions of sometimes debatable ambit, Recommendation 4’s principal focus </w:t>
      </w:r>
      <w:r w:rsidR="005C5442">
        <w:t xml:space="preserve">is </w:t>
      </w:r>
      <w:r>
        <w:t>on the recruitment and working conditions of “</w:t>
      </w:r>
      <w:r w:rsidR="002673C6">
        <w:t xml:space="preserve">Court Services </w:t>
      </w:r>
      <w:r>
        <w:t xml:space="preserve">staff who work </w:t>
      </w:r>
      <w:r w:rsidR="002673C6">
        <w:t xml:space="preserve">in a primary relationship </w:t>
      </w:r>
      <w:r>
        <w:t xml:space="preserve">with judicial </w:t>
      </w:r>
      <w:r w:rsidR="00D71940">
        <w:t>officers</w:t>
      </w:r>
      <w:r w:rsidR="002673C6">
        <w:t>…</w:t>
      </w:r>
      <w:r w:rsidR="00D71940">
        <w:t xml:space="preserve">”.  </w:t>
      </w:r>
      <w:r w:rsidR="001A5D4C">
        <w:t xml:space="preserve">Although it is not expressly stated, from the wider context of the Szoke Report, we assume that the recruitment processes and working conditions </w:t>
      </w:r>
      <w:r w:rsidR="009956E3">
        <w:t>should be examined with a view to:</w:t>
      </w:r>
    </w:p>
    <w:p w14:paraId="630ECDAF" w14:textId="375559A5" w:rsidR="009956E3" w:rsidRDefault="001D6B7B" w:rsidP="005223D1">
      <w:pPr>
        <w:pStyle w:val="List2"/>
      </w:pPr>
      <w:r>
        <w:lastRenderedPageBreak/>
        <w:t>i</w:t>
      </w:r>
      <w:r w:rsidR="009956E3">
        <w:t xml:space="preserve">dentifying the likely prevalence of and risk factors for the sexual harassment of the relevant staff by judicial </w:t>
      </w:r>
      <w:proofErr w:type="gramStart"/>
      <w:r w:rsidR="009956E3">
        <w:t>officers;</w:t>
      </w:r>
      <w:proofErr w:type="gramEnd"/>
    </w:p>
    <w:p w14:paraId="26D6ADBC" w14:textId="05B56D4A" w:rsidR="009956E3" w:rsidRDefault="001D6B7B" w:rsidP="005223D1">
      <w:pPr>
        <w:pStyle w:val="List2"/>
      </w:pPr>
      <w:r>
        <w:t>d</w:t>
      </w:r>
      <w:r w:rsidR="009956E3">
        <w:t>iscerning possible means of eliminating or reducing the pre</w:t>
      </w:r>
      <w:r>
        <w:t xml:space="preserve">valence and risk factors; and </w:t>
      </w:r>
    </w:p>
    <w:p w14:paraId="72FDF38C" w14:textId="713798B5" w:rsidR="001D6B7B" w:rsidRDefault="001D6B7B" w:rsidP="005223D1">
      <w:pPr>
        <w:pStyle w:val="List2"/>
      </w:pPr>
      <w:r>
        <w:t>identifying the optimal means of addressing and responding to any sexual harassment of CSV staff by judicial officers if it does occur.</w:t>
      </w:r>
    </w:p>
    <w:p w14:paraId="5A043901" w14:textId="6F6436A4" w:rsidR="001D6B7B" w:rsidRDefault="006960F7" w:rsidP="005223D1">
      <w:pPr>
        <w:pStyle w:val="ListParagraph"/>
        <w:keepNext/>
      </w:pPr>
      <w:r>
        <w:t>It is therefore necessary to:</w:t>
      </w:r>
    </w:p>
    <w:p w14:paraId="77A12340" w14:textId="25D0959D" w:rsidR="006960F7" w:rsidRDefault="006960F7" w:rsidP="005223D1">
      <w:pPr>
        <w:pStyle w:val="List2"/>
      </w:pPr>
      <w:r>
        <w:t xml:space="preserve">define the key terms, including “judicial officers” and </w:t>
      </w:r>
      <w:r w:rsidR="0012026D">
        <w:t>“</w:t>
      </w:r>
      <w:r>
        <w:t>CSV staff who work primarily with judicial officers</w:t>
      </w:r>
      <w:proofErr w:type="gramStart"/>
      <w:r w:rsidR="0012026D">
        <w:t>”</w:t>
      </w:r>
      <w:r w:rsidR="000166B6">
        <w:t>;</w:t>
      </w:r>
      <w:proofErr w:type="gramEnd"/>
    </w:p>
    <w:p w14:paraId="0DDE11EE" w14:textId="5FBB28B5" w:rsidR="000166B6" w:rsidRDefault="000166B6" w:rsidP="005223D1">
      <w:pPr>
        <w:pStyle w:val="List2"/>
      </w:pPr>
      <w:r>
        <w:t xml:space="preserve">consider the fundamental role, attributes and conditions of tenure or employment of the relevant </w:t>
      </w:r>
      <w:proofErr w:type="gramStart"/>
      <w:r>
        <w:t>personnel;</w:t>
      </w:r>
      <w:proofErr w:type="gramEnd"/>
    </w:p>
    <w:p w14:paraId="49F38EA7" w14:textId="6073BBFD" w:rsidR="000166B6" w:rsidRDefault="000166B6" w:rsidP="005223D1">
      <w:pPr>
        <w:pStyle w:val="List2"/>
      </w:pPr>
      <w:r>
        <w:t>identify acknowledge</w:t>
      </w:r>
      <w:r w:rsidR="002A22FC">
        <w:t>d or potential causes of and risk factors for the occurrence of sexual harassment; and</w:t>
      </w:r>
    </w:p>
    <w:p w14:paraId="0A6EEB2E" w14:textId="6062DB9A" w:rsidR="002A22FC" w:rsidRDefault="002A22FC" w:rsidP="005223D1">
      <w:pPr>
        <w:pStyle w:val="List2"/>
      </w:pPr>
      <w:r>
        <w:t>consider the potential operation and impact of the risk factors in the context of the attributes and functions of the persons involved.</w:t>
      </w:r>
    </w:p>
    <w:p w14:paraId="331C8352" w14:textId="621E9324" w:rsidR="002A22FC" w:rsidRDefault="002A22FC" w:rsidP="0004466F">
      <w:pPr>
        <w:pStyle w:val="ListParagraph"/>
      </w:pPr>
      <w:r>
        <w:t xml:space="preserve">We note that the literature on causes of and risk factors for sexual harassment in employment is varied and voluminous.  We consider this </w:t>
      </w:r>
      <w:r w:rsidR="001E2AFD">
        <w:t>separately below.</w:t>
      </w:r>
    </w:p>
    <w:p w14:paraId="7EDBA9A2" w14:textId="79BAC7EF" w:rsidR="001E2AFD" w:rsidRDefault="00DC4015" w:rsidP="0004466F">
      <w:pPr>
        <w:pStyle w:val="ListParagraph"/>
      </w:pPr>
      <w:r>
        <w:t xml:space="preserve">As noted above, the </w:t>
      </w:r>
      <w:r w:rsidR="001E2AFD">
        <w:t xml:space="preserve">six jurisdictions </w:t>
      </w:r>
      <w:r w:rsidR="00BB559F">
        <w:t xml:space="preserve">presenting </w:t>
      </w:r>
      <w:r w:rsidR="001E2AFD">
        <w:t xml:space="preserve">under review vary greatly, including in relation to the attributes and role of staff who serve </w:t>
      </w:r>
      <w:r w:rsidR="0033264A">
        <w:t>judicial officers</w:t>
      </w:r>
      <w:r w:rsidR="001E2AFD">
        <w:t>.  Only the Supreme and County Court currently retain traditional associates and tipstaves.</w:t>
      </w:r>
    </w:p>
    <w:p w14:paraId="68110BD5" w14:textId="1495FECB" w:rsidR="00C473C4" w:rsidRDefault="001E2AFD" w:rsidP="0004466F">
      <w:pPr>
        <w:pStyle w:val="ListParagraph"/>
      </w:pPr>
      <w:r>
        <w:t xml:space="preserve">The other jurisdictions </w:t>
      </w:r>
      <w:r w:rsidR="006A7306">
        <w:t>do</w:t>
      </w:r>
      <w:r>
        <w:t xml:space="preserve">, however, retain staff in roles and working relationships with judges that </w:t>
      </w:r>
      <w:r w:rsidR="00D73E60">
        <w:t xml:space="preserve">can </w:t>
      </w:r>
      <w:r>
        <w:t>approximate those of associates and tipstaves in relevant respects.  We</w:t>
      </w:r>
      <w:r w:rsidR="00CC7C9A">
        <w:t> </w:t>
      </w:r>
      <w:r>
        <w:t xml:space="preserve">commence with </w:t>
      </w:r>
      <w:r w:rsidR="00061E1B">
        <w:t xml:space="preserve">a general discussion of judicial officers, </w:t>
      </w:r>
      <w:proofErr w:type="gramStart"/>
      <w:r w:rsidR="00061E1B">
        <w:t>associates</w:t>
      </w:r>
      <w:proofErr w:type="gramEnd"/>
      <w:r w:rsidR="00061E1B">
        <w:t xml:space="preserve"> and tipstaves, but subsequently consider the staffing arrangements of each jurisdiction separately.</w:t>
      </w:r>
    </w:p>
    <w:p w14:paraId="186D05C6" w14:textId="2C98356C" w:rsidR="007868FD" w:rsidRPr="007868FD" w:rsidRDefault="007868FD" w:rsidP="007E723A">
      <w:pPr>
        <w:pStyle w:val="Heading2"/>
      </w:pPr>
      <w:bookmarkStart w:id="22" w:name="_Toc112606877"/>
      <w:r w:rsidRPr="007868FD">
        <w:t>Judicial Officers</w:t>
      </w:r>
      <w:bookmarkEnd w:id="22"/>
    </w:p>
    <w:p w14:paraId="298339EC" w14:textId="07608646" w:rsidR="007868FD" w:rsidRPr="007868FD" w:rsidRDefault="007868FD" w:rsidP="008430A8">
      <w:pPr>
        <w:pStyle w:val="ListParagraph"/>
        <w:spacing w:before="240"/>
      </w:pPr>
      <w:r w:rsidRPr="007868FD">
        <w:t>The term “judicial officers” is defined in the Szoke Report as: “</w:t>
      </w:r>
      <w:r w:rsidR="00537D9F">
        <w:t>[i]</w:t>
      </w:r>
      <w:proofErr w:type="spellStart"/>
      <w:r w:rsidRPr="007868FD">
        <w:t>ncludes</w:t>
      </w:r>
      <w:proofErr w:type="spellEnd"/>
      <w:r w:rsidRPr="007868FD">
        <w:t xml:space="preserve"> judges of the Supreme Court or County Court, reserve and associate judges of the Supreme </w:t>
      </w:r>
      <w:r w:rsidR="00A77A25">
        <w:t xml:space="preserve">Court </w:t>
      </w:r>
      <w:r w:rsidRPr="007868FD">
        <w:t>or County Court, magistrates, reserve magistrates, coroners, reserve coroners and judicial registrars”.</w:t>
      </w:r>
      <w:r w:rsidR="00813C2A">
        <w:rPr>
          <w:rFonts w:ascii="ZWAdobeF" w:hAnsi="ZWAdobeF" w:cs="ZWAdobeF"/>
          <w:sz w:val="2"/>
          <w:szCs w:val="2"/>
        </w:rPr>
        <w:t>38F</w:t>
      </w:r>
      <w:r w:rsidR="00704B18">
        <w:rPr>
          <w:rFonts w:ascii="ZWAdobeF" w:hAnsi="ZWAdobeF" w:cs="ZWAdobeF"/>
          <w:sz w:val="2"/>
          <w:szCs w:val="2"/>
        </w:rPr>
        <w:t>42F</w:t>
      </w:r>
      <w:r w:rsidR="00537D9F">
        <w:rPr>
          <w:rStyle w:val="FootnoteReference"/>
        </w:rPr>
        <w:footnoteReference w:id="25"/>
      </w:r>
    </w:p>
    <w:p w14:paraId="3EC4655A" w14:textId="476D9B59" w:rsidR="0064558A" w:rsidRDefault="007868FD" w:rsidP="0004466F">
      <w:pPr>
        <w:pStyle w:val="ListParagraph"/>
      </w:pPr>
      <w:r>
        <w:lastRenderedPageBreak/>
        <w:t xml:space="preserve">Judicial </w:t>
      </w:r>
      <w:r w:rsidR="00BC1127">
        <w:t xml:space="preserve">officers are not employees or public servants.  Rather, they are appointed by </w:t>
      </w:r>
      <w:r w:rsidR="00B74799">
        <w:t xml:space="preserve">the Governor in Council (on the recommendation of the Attorney-General) </w:t>
      </w:r>
      <w:r>
        <w:t xml:space="preserve">with secure </w:t>
      </w:r>
      <w:r w:rsidR="00BC1127">
        <w:t>tenure until the fixed age of retirement.</w:t>
      </w:r>
      <w:r w:rsidR="00704B18">
        <w:rPr>
          <w:rFonts w:ascii="ZWAdobeF" w:hAnsi="ZWAdobeF" w:cs="ZWAdobeF"/>
          <w:sz w:val="2"/>
          <w:szCs w:val="2"/>
        </w:rPr>
        <w:t>43F</w:t>
      </w:r>
      <w:r w:rsidR="00203E14">
        <w:rPr>
          <w:rStyle w:val="FootnoteReference"/>
        </w:rPr>
        <w:footnoteReference w:id="26"/>
      </w:r>
      <w:r w:rsidR="00203E14">
        <w:t xml:space="preserve"> </w:t>
      </w:r>
      <w:r w:rsidR="00BC1127">
        <w:t xml:space="preserve"> They are removable only by </w:t>
      </w:r>
      <w:r w:rsidR="00287A12">
        <w:t>the Governor in Council “on</w:t>
      </w:r>
      <w:r w:rsidR="00CC7C9A">
        <w:t> </w:t>
      </w:r>
      <w:r w:rsidR="00287A12">
        <w:t xml:space="preserve">the presentation to the Governor of an address from both Houses of the Parliament agreed to by a special majority in the same session praying for the removal on the ground of proved misbehaviour or incapacity”: </w:t>
      </w:r>
      <w:r w:rsidR="00287A12">
        <w:rPr>
          <w:i/>
          <w:iCs/>
        </w:rPr>
        <w:t xml:space="preserve">Constitution Act 1975 </w:t>
      </w:r>
      <w:r w:rsidR="00287A12">
        <w:t>(Vic) s</w:t>
      </w:r>
      <w:r w:rsidR="00563210">
        <w:t> </w:t>
      </w:r>
      <w:r w:rsidR="00287A12">
        <w:t>87AAB</w:t>
      </w:r>
      <w:r w:rsidR="00135A3A">
        <w:t>(1)</w:t>
      </w:r>
      <w:r w:rsidR="00287A12">
        <w:t>.</w:t>
      </w:r>
      <w:r w:rsidR="00813C2A">
        <w:rPr>
          <w:rFonts w:ascii="ZWAdobeF" w:hAnsi="ZWAdobeF" w:cs="ZWAdobeF"/>
          <w:sz w:val="2"/>
          <w:szCs w:val="2"/>
        </w:rPr>
        <w:t>39F</w:t>
      </w:r>
      <w:r w:rsidR="00704B18">
        <w:rPr>
          <w:rFonts w:ascii="ZWAdobeF" w:hAnsi="ZWAdobeF" w:cs="ZWAdobeF"/>
          <w:sz w:val="2"/>
          <w:szCs w:val="2"/>
        </w:rPr>
        <w:t>44F</w:t>
      </w:r>
      <w:r w:rsidR="00A95047">
        <w:rPr>
          <w:rStyle w:val="FootnoteReference"/>
        </w:rPr>
        <w:footnoteReference w:id="27"/>
      </w:r>
      <w:r w:rsidR="00287A12">
        <w:t xml:space="preserve"> </w:t>
      </w:r>
      <w:r w:rsidR="00A223E0">
        <w:t xml:space="preserve"> </w:t>
      </w:r>
      <w:r w:rsidR="00E57629">
        <w:t>A resolution of a House of the Parliament praying for the removal from office of a holder of judicial office “is</w:t>
      </w:r>
      <w:r w:rsidR="00E54C31">
        <w:t> </w:t>
      </w:r>
      <w:r w:rsidR="00E57629">
        <w:t xml:space="preserve">void if an investigating panel has not concluded that facts exist that could amount </w:t>
      </w:r>
      <w:proofErr w:type="spellStart"/>
      <w:r w:rsidR="00E57629">
        <w:t>to proved</w:t>
      </w:r>
      <w:proofErr w:type="spellEnd"/>
      <w:r w:rsidR="00E57629">
        <w:t xml:space="preserve"> misbehaviour or incapacity such as to warrant </w:t>
      </w:r>
      <w:r w:rsidR="003F1405">
        <w:t xml:space="preserve">that </w:t>
      </w:r>
      <w:r w:rsidR="00E57629">
        <w:t>removal of that office holder from office</w:t>
      </w:r>
      <w:r w:rsidR="00E54C31">
        <w:t>”</w:t>
      </w:r>
      <w:r w:rsidR="00E57629">
        <w:t xml:space="preserve">: </w:t>
      </w:r>
      <w:r w:rsidR="00E57629">
        <w:rPr>
          <w:i/>
          <w:iCs/>
        </w:rPr>
        <w:t>Constitution Act</w:t>
      </w:r>
      <w:r w:rsidR="00B64B38">
        <w:rPr>
          <w:i/>
          <w:iCs/>
        </w:rPr>
        <w:t xml:space="preserve"> </w:t>
      </w:r>
      <w:r w:rsidR="00B64B38">
        <w:t xml:space="preserve">s 87AAB(2). </w:t>
      </w:r>
    </w:p>
    <w:p w14:paraId="2EDF6D4E" w14:textId="71D77D14" w:rsidR="00BC1127" w:rsidRDefault="00A504B3" w:rsidP="0004466F">
      <w:pPr>
        <w:pStyle w:val="ListParagraph"/>
      </w:pPr>
      <w:r>
        <w:t>Removal of a judicial officer by parliament has happened only once in the history of the Australian judiciary.</w:t>
      </w:r>
      <w:r w:rsidR="00813C2A">
        <w:rPr>
          <w:rFonts w:ascii="ZWAdobeF" w:hAnsi="ZWAdobeF" w:cs="ZWAdobeF"/>
          <w:sz w:val="2"/>
          <w:szCs w:val="2"/>
        </w:rPr>
        <w:t>40F</w:t>
      </w:r>
      <w:r w:rsidR="00704B18">
        <w:rPr>
          <w:rFonts w:ascii="ZWAdobeF" w:hAnsi="ZWAdobeF" w:cs="ZWAdobeF"/>
          <w:sz w:val="2"/>
          <w:szCs w:val="2"/>
        </w:rPr>
        <w:t>45F</w:t>
      </w:r>
      <w:r w:rsidR="00CF089D">
        <w:rPr>
          <w:rStyle w:val="FootnoteReference"/>
        </w:rPr>
        <w:footnoteReference w:id="28"/>
      </w:r>
      <w:r>
        <w:t xml:space="preserve">  It is thus an extraordinarily rare event.  Whilst in office, judges wield enormous power in </w:t>
      </w:r>
      <w:r w:rsidR="00CF089D">
        <w:t xml:space="preserve">applying and construing the law, conducting </w:t>
      </w:r>
      <w:r>
        <w:t xml:space="preserve">criminal and civil </w:t>
      </w:r>
      <w:r w:rsidR="00CF089D">
        <w:t xml:space="preserve">trials, </w:t>
      </w:r>
      <w:r w:rsidR="00380977">
        <w:t xml:space="preserve">indicating the need for and nature of law reform, </w:t>
      </w:r>
      <w:r w:rsidR="00CF089D">
        <w:t>liaising with law reform and academic bodies and influencing legal and public discourse through their writings and decisions.  A</w:t>
      </w:r>
      <w:r w:rsidR="00380977">
        <w:t> </w:t>
      </w:r>
      <w:r w:rsidR="00CF089D">
        <w:t xml:space="preserve">judge’s </w:t>
      </w:r>
      <w:r w:rsidR="002F39AC">
        <w:t xml:space="preserve">exercise of </w:t>
      </w:r>
      <w:r w:rsidR="00CF089D">
        <w:t xml:space="preserve">office is likely to affect </w:t>
      </w:r>
      <w:r>
        <w:t>the property rights</w:t>
      </w:r>
      <w:r w:rsidR="00CF089D">
        <w:t xml:space="preserve">, personal </w:t>
      </w:r>
      <w:proofErr w:type="gramStart"/>
      <w:r w:rsidR="005A66F7">
        <w:t>freedoms</w:t>
      </w:r>
      <w:proofErr w:type="gramEnd"/>
      <w:r w:rsidR="005A66F7">
        <w:t xml:space="preserve"> and</w:t>
      </w:r>
      <w:r>
        <w:t xml:space="preserve"> </w:t>
      </w:r>
      <w:r w:rsidR="00CF089D">
        <w:t xml:space="preserve">civil </w:t>
      </w:r>
      <w:r>
        <w:t xml:space="preserve">liberties </w:t>
      </w:r>
      <w:r w:rsidR="00380977">
        <w:t xml:space="preserve">not only </w:t>
      </w:r>
      <w:r>
        <w:t xml:space="preserve">of individual </w:t>
      </w:r>
      <w:r w:rsidR="00CF089D">
        <w:t>litigants</w:t>
      </w:r>
      <w:r w:rsidR="00380977">
        <w:t>,</w:t>
      </w:r>
      <w:r w:rsidR="00CF089D">
        <w:t xml:space="preserve"> </w:t>
      </w:r>
      <w:r>
        <w:t xml:space="preserve">but of the </w:t>
      </w:r>
      <w:r w:rsidR="00380977">
        <w:t xml:space="preserve">entire </w:t>
      </w:r>
      <w:r>
        <w:t>community.</w:t>
      </w:r>
    </w:p>
    <w:p w14:paraId="58E07E90" w14:textId="72E65895" w:rsidR="00A504B3" w:rsidRDefault="00A504B3" w:rsidP="0004466F">
      <w:pPr>
        <w:pStyle w:val="ListParagraph"/>
      </w:pPr>
      <w:r>
        <w:t xml:space="preserve">Judges are </w:t>
      </w:r>
      <w:r w:rsidR="00380977">
        <w:t xml:space="preserve">generally </w:t>
      </w:r>
      <w:r>
        <w:t>not</w:t>
      </w:r>
      <w:r w:rsidR="00AD4824">
        <w:t>,</w:t>
      </w:r>
      <w:r>
        <w:t xml:space="preserve"> </w:t>
      </w:r>
      <w:r w:rsidR="00CF089D">
        <w:t xml:space="preserve">in the </w:t>
      </w:r>
      <w:r w:rsidR="00AD4824">
        <w:t>performance</w:t>
      </w:r>
      <w:r w:rsidR="00CF089D">
        <w:t xml:space="preserve"> of their judicial role</w:t>
      </w:r>
      <w:r w:rsidR="00AD4824">
        <w:t>,</w:t>
      </w:r>
      <w:r w:rsidR="00CF089D">
        <w:t xml:space="preserve"> </w:t>
      </w:r>
      <w:r>
        <w:t xml:space="preserve">subject to the </w:t>
      </w:r>
      <w:r w:rsidR="00AD4824">
        <w:t xml:space="preserve">authority or </w:t>
      </w:r>
      <w:r>
        <w:t>direction of any person or entity</w:t>
      </w:r>
      <w:r w:rsidR="00AD4824">
        <w:t>,</w:t>
      </w:r>
      <w:r>
        <w:t xml:space="preserve"> as even the head of each jurisdiction is not empowered to order or direct them, save in relation to some </w:t>
      </w:r>
      <w:r w:rsidR="00AD4824">
        <w:t xml:space="preserve">specific </w:t>
      </w:r>
      <w:r>
        <w:t>issues.</w:t>
      </w:r>
      <w:r w:rsidR="00813C2A">
        <w:rPr>
          <w:rFonts w:ascii="ZWAdobeF" w:hAnsi="ZWAdobeF" w:cs="ZWAdobeF"/>
          <w:sz w:val="2"/>
          <w:szCs w:val="2"/>
        </w:rPr>
        <w:t>41F</w:t>
      </w:r>
      <w:r w:rsidR="00704B18">
        <w:rPr>
          <w:rFonts w:ascii="ZWAdobeF" w:hAnsi="ZWAdobeF" w:cs="ZWAdobeF"/>
          <w:sz w:val="2"/>
          <w:szCs w:val="2"/>
        </w:rPr>
        <w:t>46F</w:t>
      </w:r>
      <w:r w:rsidR="00DC5C83">
        <w:rPr>
          <w:rStyle w:val="FootnoteReference"/>
        </w:rPr>
        <w:footnoteReference w:id="29"/>
      </w:r>
      <w:r>
        <w:t xml:space="preserve">  </w:t>
      </w:r>
      <w:r w:rsidR="00AD4824">
        <w:t xml:space="preserve">The </w:t>
      </w:r>
      <w:r w:rsidR="00350390">
        <w:t xml:space="preserve">almost complete </w:t>
      </w:r>
      <w:r w:rsidR="00AD4824">
        <w:t xml:space="preserve">freedom from external control is a necessary concomitant of judicial independence.  </w:t>
      </w:r>
      <w:r>
        <w:t>In</w:t>
      </w:r>
      <w:r w:rsidR="00350390">
        <w:t> </w:t>
      </w:r>
      <w:r>
        <w:t xml:space="preserve">practice, however, </w:t>
      </w:r>
      <w:r w:rsidR="00AD4824">
        <w:t>as seems well</w:t>
      </w:r>
      <w:r w:rsidR="00AD4824">
        <w:noBreakHyphen/>
        <w:t xml:space="preserve">recognised, most judges are profoundly aware of the dignity and responsibilities of their office and the public trust reposed </w:t>
      </w:r>
      <w:r w:rsidR="00D12C88">
        <w:t xml:space="preserve">in </w:t>
      </w:r>
      <w:r w:rsidR="00AD4824">
        <w:t xml:space="preserve">them.  They are aware </w:t>
      </w:r>
      <w:r w:rsidR="00350390">
        <w:t>of community expectations of</w:t>
      </w:r>
      <w:r w:rsidR="00C428E2">
        <w:t xml:space="preserve"> </w:t>
      </w:r>
      <w:r w:rsidR="00AD4824">
        <w:t>the highest standards of personal conduct and probity</w:t>
      </w:r>
      <w:r w:rsidR="00C428E2">
        <w:t>,</w:t>
      </w:r>
      <w:r w:rsidR="00AD4824">
        <w:t xml:space="preserve"> </w:t>
      </w:r>
      <w:r w:rsidR="00C428E2">
        <w:t xml:space="preserve">and the majority aim </w:t>
      </w:r>
      <w:r w:rsidR="00AD4824">
        <w:t xml:space="preserve">scrupulously to live up to </w:t>
      </w:r>
      <w:r w:rsidR="00C428E2">
        <w:t xml:space="preserve">the </w:t>
      </w:r>
      <w:r w:rsidR="0096375F">
        <w:t xml:space="preserve">ideals and </w:t>
      </w:r>
      <w:r w:rsidR="00AD4824">
        <w:t xml:space="preserve">expectations.  Judges typically </w:t>
      </w:r>
      <w:r w:rsidR="0096375F">
        <w:t xml:space="preserve">voluntarily </w:t>
      </w:r>
      <w:r>
        <w:t xml:space="preserve">comply with the requests of the Chief Justice or the collective decisions of the </w:t>
      </w:r>
      <w:r>
        <w:lastRenderedPageBreak/>
        <w:t xml:space="preserve">judges in </w:t>
      </w:r>
      <w:r w:rsidR="00AD4824">
        <w:t>council</w:t>
      </w:r>
      <w:r>
        <w:t xml:space="preserve">.  They are </w:t>
      </w:r>
      <w:r w:rsidR="0096375F">
        <w:t xml:space="preserve">in practice </w:t>
      </w:r>
      <w:r>
        <w:t>also very responsive to peer advice</w:t>
      </w:r>
      <w:r w:rsidR="0096375F">
        <w:t>,</w:t>
      </w:r>
      <w:r>
        <w:t xml:space="preserve"> suggestion, approval or subtle rebuke within the tight knit</w:t>
      </w:r>
      <w:r w:rsidR="004E0685">
        <w:t>,</w:t>
      </w:r>
      <w:r>
        <w:t xml:space="preserve"> collegiate </w:t>
      </w:r>
      <w:r w:rsidR="004E0685">
        <w:t xml:space="preserve">community </w:t>
      </w:r>
      <w:r>
        <w:t xml:space="preserve">of their </w:t>
      </w:r>
      <w:r w:rsidR="0096375F">
        <w:t xml:space="preserve">respective </w:t>
      </w:r>
      <w:r>
        <w:t>court</w:t>
      </w:r>
      <w:r w:rsidR="0096375F">
        <w:t>s</w:t>
      </w:r>
      <w:r>
        <w:t>.</w:t>
      </w:r>
    </w:p>
    <w:p w14:paraId="3DEC1F3B" w14:textId="1FF198DA" w:rsidR="001834DB" w:rsidRPr="008E7C0C" w:rsidRDefault="00D01FDD" w:rsidP="0004466F">
      <w:pPr>
        <w:pStyle w:val="ListParagraph"/>
      </w:pPr>
      <w:r>
        <w:t xml:space="preserve">Although </w:t>
      </w:r>
      <w:r w:rsidR="0096375F">
        <w:t xml:space="preserve">the Chief Judge of each </w:t>
      </w:r>
      <w:r w:rsidR="007827BD">
        <w:t xml:space="preserve">Victorian </w:t>
      </w:r>
      <w:r w:rsidR="0096375F">
        <w:t xml:space="preserve">jurisdiction may direct a judge to stand down pending an investigation of alleged misconduct and may direct judges to undertake some professional development activities, </w:t>
      </w:r>
      <w:r w:rsidR="001834DB">
        <w:t xml:space="preserve">there </w:t>
      </w:r>
      <w:r w:rsidR="00D12C88">
        <w:t xml:space="preserve">is </w:t>
      </w:r>
      <w:r w:rsidR="008D6B70">
        <w:t xml:space="preserve">no </w:t>
      </w:r>
      <w:r w:rsidR="00D12C88">
        <w:t xml:space="preserve">other </w:t>
      </w:r>
      <w:r w:rsidR="008D6B70">
        <w:t xml:space="preserve">basis </w:t>
      </w:r>
      <w:r w:rsidR="007A1636">
        <w:t xml:space="preserve">— apart from limiting the cases that are listed before that judge or ensuring that no cases are listed before that judge — for directing or coercing a judge.  </w:t>
      </w:r>
      <w:r w:rsidR="001C0EF3">
        <w:t xml:space="preserve">Nor is there </w:t>
      </w:r>
      <w:r w:rsidR="007827BD">
        <w:t xml:space="preserve">an obvious </w:t>
      </w:r>
      <w:r w:rsidR="001834DB">
        <w:t xml:space="preserve">means of </w:t>
      </w:r>
      <w:r w:rsidR="00807DE2">
        <w:t>disciplin</w:t>
      </w:r>
      <w:r w:rsidR="000401F9">
        <w:t>ing</w:t>
      </w:r>
      <w:r w:rsidR="00807DE2">
        <w:t xml:space="preserve"> </w:t>
      </w:r>
      <w:r w:rsidR="001834DB">
        <w:t xml:space="preserve">or sanctioning a recalcitrant judge who engages in inappropriate conduct that falls short of </w:t>
      </w:r>
      <w:r w:rsidR="000E0830">
        <w:t xml:space="preserve">justifying </w:t>
      </w:r>
      <w:r w:rsidR="001834DB">
        <w:t>the ultimate</w:t>
      </w:r>
      <w:r w:rsidR="000E0830">
        <w:t>,</w:t>
      </w:r>
      <w:r w:rsidR="001834DB">
        <w:t xml:space="preserve"> but virtually never invoked process of removal by Parliament.</w:t>
      </w:r>
      <w:r w:rsidR="00C25161">
        <w:t xml:space="preserve"> </w:t>
      </w:r>
      <w:r w:rsidR="007827BD">
        <w:t xml:space="preserve"> </w:t>
      </w:r>
      <w:r w:rsidR="00B4141D">
        <w:t xml:space="preserve">We are not aware that such a situation has ever arisen in Victorian courts.  </w:t>
      </w:r>
    </w:p>
    <w:p w14:paraId="7EA2B7AA" w14:textId="4BAD77F7" w:rsidR="000E0830" w:rsidRDefault="000C7B77" w:rsidP="007E723A">
      <w:pPr>
        <w:pStyle w:val="Heading2"/>
      </w:pPr>
      <w:bookmarkStart w:id="23" w:name="_Toc112606878"/>
      <w:r>
        <w:t>Judicial demographics and backgrounds</w:t>
      </w:r>
      <w:bookmarkEnd w:id="23"/>
    </w:p>
    <w:p w14:paraId="247A5B50" w14:textId="4698968E" w:rsidR="00E7678D" w:rsidRDefault="00E7678D" w:rsidP="0004466F">
      <w:pPr>
        <w:pStyle w:val="ListParagraph"/>
      </w:pPr>
      <w:r>
        <w:t xml:space="preserve">Judges of </w:t>
      </w:r>
      <w:r w:rsidR="009D7AD5">
        <w:t>the Supreme and County Courts</w:t>
      </w:r>
      <w:r>
        <w:t xml:space="preserve"> (who are the only judicial officers served by </w:t>
      </w:r>
      <w:r w:rsidR="009A4DAC">
        <w:t>associates and tipstaves</w:t>
      </w:r>
      <w:r>
        <w:t xml:space="preserve">) are typically </w:t>
      </w:r>
      <w:r w:rsidR="000E0830">
        <w:t xml:space="preserve">of mature age </w:t>
      </w:r>
      <w:r>
        <w:t xml:space="preserve">(the youngest </w:t>
      </w:r>
      <w:r w:rsidR="00E25FE9">
        <w:t xml:space="preserve">appointments </w:t>
      </w:r>
      <w:r w:rsidR="000E0830">
        <w:t xml:space="preserve">may be </w:t>
      </w:r>
      <w:r>
        <w:t xml:space="preserve">in their </w:t>
      </w:r>
      <w:proofErr w:type="gramStart"/>
      <w:r>
        <w:t>40s</w:t>
      </w:r>
      <w:proofErr w:type="gramEnd"/>
      <w:r>
        <w:t xml:space="preserve"> but </w:t>
      </w:r>
      <w:r w:rsidR="000E0830">
        <w:t xml:space="preserve">many are in their 50s </w:t>
      </w:r>
      <w:r w:rsidR="000C7B77">
        <w:t>and</w:t>
      </w:r>
      <w:r w:rsidR="000E0830">
        <w:t xml:space="preserve"> </w:t>
      </w:r>
      <w:r>
        <w:t>some appointees commenc</w:t>
      </w:r>
      <w:r w:rsidR="000E0830">
        <w:t>e</w:t>
      </w:r>
      <w:r>
        <w:t xml:space="preserve"> at over 60)</w:t>
      </w:r>
      <w:r w:rsidR="000E0830">
        <w:t>.</w:t>
      </w:r>
      <w:r>
        <w:t xml:space="preserve">  They are usually high achieving, highly regarded barristers </w:t>
      </w:r>
      <w:r w:rsidR="00367989">
        <w:t xml:space="preserve">with </w:t>
      </w:r>
      <w:r>
        <w:t>wide experience</w:t>
      </w:r>
      <w:r w:rsidR="00367989">
        <w:t>,</w:t>
      </w:r>
      <w:r>
        <w:t xml:space="preserve"> established reputations</w:t>
      </w:r>
      <w:r w:rsidR="00367989">
        <w:t xml:space="preserve"> and</w:t>
      </w:r>
      <w:r w:rsidR="000E0830">
        <w:t xml:space="preserve"> significant professional standing </w:t>
      </w:r>
      <w:r w:rsidR="00445748">
        <w:t xml:space="preserve">who command significant </w:t>
      </w:r>
      <w:r w:rsidR="000E0830">
        <w:t>personal respect</w:t>
      </w:r>
      <w:r>
        <w:t>.</w:t>
      </w:r>
    </w:p>
    <w:p w14:paraId="79FEB150" w14:textId="1CF3AB20" w:rsidR="00B4141D" w:rsidRDefault="00D12C88" w:rsidP="0004466F">
      <w:pPr>
        <w:pStyle w:val="ListParagraph"/>
      </w:pPr>
      <w:r>
        <w:t xml:space="preserve">In </w:t>
      </w:r>
      <w:r w:rsidR="000C7B77">
        <w:t xml:space="preserve">the Supreme Court and County Court, </w:t>
      </w:r>
      <w:r w:rsidR="005916EF">
        <w:t xml:space="preserve">modern appointment practices have made </w:t>
      </w:r>
      <w:r w:rsidR="00445748">
        <w:t xml:space="preserve">significant </w:t>
      </w:r>
      <w:r w:rsidR="005916EF">
        <w:t>inroads in</w:t>
      </w:r>
      <w:r w:rsidR="008D5DE9">
        <w:t>to</w:t>
      </w:r>
      <w:r w:rsidR="005916EF">
        <w:t xml:space="preserve"> </w:t>
      </w:r>
      <w:r w:rsidR="000C7B77">
        <w:t xml:space="preserve">the traditional </w:t>
      </w:r>
      <w:r w:rsidR="005916EF">
        <w:t>judicial stereotype of an elderly Anglo Saxon male barrister</w:t>
      </w:r>
      <w:r>
        <w:t>.  However</w:t>
      </w:r>
      <w:r w:rsidR="005916EF">
        <w:t xml:space="preserve">, </w:t>
      </w:r>
      <w:r w:rsidR="00360E3B">
        <w:t xml:space="preserve">although the </w:t>
      </w:r>
      <w:r w:rsidR="001E31AC">
        <w:t xml:space="preserve">current Chief Justice and the President of the Court of Appeal are both female, </w:t>
      </w:r>
      <w:proofErr w:type="gramStart"/>
      <w:r w:rsidR="005916EF">
        <w:t xml:space="preserve">the </w:t>
      </w:r>
      <w:r w:rsidR="001E31AC">
        <w:t>majority of</w:t>
      </w:r>
      <w:proofErr w:type="gramEnd"/>
      <w:r w:rsidR="001E31AC">
        <w:t xml:space="preserve"> </w:t>
      </w:r>
      <w:r w:rsidR="003718E1">
        <w:t xml:space="preserve">Supreme Court </w:t>
      </w:r>
      <w:r w:rsidR="005916EF">
        <w:t xml:space="preserve">judges </w:t>
      </w:r>
      <w:r w:rsidR="003718E1">
        <w:t>are male.</w:t>
      </w:r>
      <w:r w:rsidR="00413544">
        <w:t xml:space="preserve">  As at the time of writing, 38% of Supreme Court judges, 44% of Associate Judges and 45% of Judicial Registrars</w:t>
      </w:r>
      <w:r w:rsidR="004A783E">
        <w:t xml:space="preserve"> were women (comprising 40% of Supreme Court judicial officers).</w:t>
      </w:r>
      <w:r w:rsidR="00445748">
        <w:t xml:space="preserve"> </w:t>
      </w:r>
      <w:r w:rsidR="004A783E">
        <w:t xml:space="preserve"> M</w:t>
      </w:r>
      <w:r w:rsidR="001E31AC">
        <w:t xml:space="preserve">ost </w:t>
      </w:r>
      <w:r w:rsidR="00B64B15">
        <w:t xml:space="preserve">judges </w:t>
      </w:r>
      <w:r w:rsidR="00445748">
        <w:t>are</w:t>
      </w:r>
      <w:r w:rsidR="005916EF">
        <w:t xml:space="preserve"> recruited from the Victorian Bar</w:t>
      </w:r>
      <w:r w:rsidR="00C5296A">
        <w:t xml:space="preserve">.  </w:t>
      </w:r>
      <w:r w:rsidR="002625D5">
        <w:t>There are increasing numbers of solicitors or judges who had other legal roles.</w:t>
      </w:r>
      <w:r w:rsidR="002625D5">
        <w:rPr>
          <w:rStyle w:val="FootnoteReference"/>
        </w:rPr>
        <w:footnoteReference w:id="30"/>
      </w:r>
      <w:r w:rsidR="002625D5">
        <w:t xml:space="preserve">  </w:t>
      </w:r>
      <w:r w:rsidR="003F4DF0">
        <w:t xml:space="preserve">Practice as an advocate provides excellent preparation for a judicial role.  However, </w:t>
      </w:r>
      <w:r w:rsidR="00B4141D">
        <w:t>barristers are sole traders who frequently have no full</w:t>
      </w:r>
      <w:r w:rsidR="009A7DF9">
        <w:noBreakHyphen/>
      </w:r>
      <w:r w:rsidR="00B4141D">
        <w:t>time staff.  Even very senior barristers typically have only a single personal assistant</w:t>
      </w:r>
      <w:r w:rsidR="001E31AC">
        <w:t>.</w:t>
      </w:r>
      <w:r w:rsidR="00B4141D">
        <w:t xml:space="preserve">  In contrast to solicitors, barristers are unlikely to have any experience of systematically managing staff, or much familiarity with modern workplace </w:t>
      </w:r>
      <w:r w:rsidR="00383C78">
        <w:t>standards</w:t>
      </w:r>
      <w:r w:rsidR="008E1B9F">
        <w:t>,</w:t>
      </w:r>
      <w:r w:rsidR="00383C78">
        <w:t xml:space="preserve"> </w:t>
      </w:r>
      <w:proofErr w:type="gramStart"/>
      <w:r w:rsidR="001E31AC">
        <w:t>regulation</w:t>
      </w:r>
      <w:r w:rsidR="008E1B9F">
        <w:t>s</w:t>
      </w:r>
      <w:proofErr w:type="gramEnd"/>
      <w:r w:rsidR="001E31AC">
        <w:t xml:space="preserve"> </w:t>
      </w:r>
      <w:r w:rsidR="00B4141D">
        <w:t>and processes.</w:t>
      </w:r>
    </w:p>
    <w:p w14:paraId="78CEE9F7" w14:textId="4B75291F" w:rsidR="00B4141D" w:rsidRDefault="00D12C88" w:rsidP="0004466F">
      <w:pPr>
        <w:pStyle w:val="ListParagraph"/>
      </w:pPr>
      <w:r>
        <w:t xml:space="preserve">The judges of the County Court now </w:t>
      </w:r>
      <w:r w:rsidR="00EB2B13">
        <w:t xml:space="preserve">consist of almost </w:t>
      </w:r>
      <w:r>
        <w:t xml:space="preserve">equal numbers of men and women.  Many </w:t>
      </w:r>
      <w:r w:rsidR="00E5316A">
        <w:t xml:space="preserve">County Court judges are also </w:t>
      </w:r>
      <w:r>
        <w:t>recruited from the Victorian Bar</w:t>
      </w:r>
      <w:r w:rsidR="00E5316A">
        <w:t>.</w:t>
      </w:r>
      <w:r>
        <w:t xml:space="preserve"> </w:t>
      </w:r>
    </w:p>
    <w:p w14:paraId="629D5090" w14:textId="68B75CAE" w:rsidR="005916EF" w:rsidRDefault="00C5296A" w:rsidP="0004466F">
      <w:pPr>
        <w:pStyle w:val="ListParagraph"/>
      </w:pPr>
      <w:proofErr w:type="gramStart"/>
      <w:r>
        <w:lastRenderedPageBreak/>
        <w:t>As</w:t>
      </w:r>
      <w:r w:rsidR="00502BFD">
        <w:t> </w:t>
      </w:r>
      <w:r>
        <w:t>yet</w:t>
      </w:r>
      <w:proofErr w:type="gramEnd"/>
      <w:r>
        <w:t xml:space="preserve">, </w:t>
      </w:r>
      <w:r w:rsidR="00445748">
        <w:t xml:space="preserve">on cursory examination, </w:t>
      </w:r>
      <w:r w:rsidR="005916EF">
        <w:t>it would appear</w:t>
      </w:r>
      <w:r>
        <w:t xml:space="preserve"> that </w:t>
      </w:r>
      <w:r w:rsidR="00653368">
        <w:t xml:space="preserve">the judiciary of </w:t>
      </w:r>
      <w:r w:rsidR="00D12C88">
        <w:t xml:space="preserve">neither </w:t>
      </w:r>
      <w:r w:rsidR="005C161D">
        <w:t xml:space="preserve">court </w:t>
      </w:r>
      <w:r w:rsidR="005916EF">
        <w:t>reflect</w:t>
      </w:r>
      <w:r w:rsidR="00D12C88">
        <w:t xml:space="preserve">s </w:t>
      </w:r>
      <w:r w:rsidR="00EB2B13">
        <w:t xml:space="preserve">marked </w:t>
      </w:r>
      <w:r w:rsidR="005916EF">
        <w:t xml:space="preserve">ethnic </w:t>
      </w:r>
      <w:r>
        <w:t xml:space="preserve">or cultural </w:t>
      </w:r>
      <w:r w:rsidR="005916EF">
        <w:t>diversity.  The</w:t>
      </w:r>
      <w:r w:rsidR="00653368">
        <w:t xml:space="preserve"> judges</w:t>
      </w:r>
      <w:r w:rsidR="005916EF">
        <w:t xml:space="preserve"> are also, necessarily, an unusually </w:t>
      </w:r>
      <w:r w:rsidR="00BD4B85">
        <w:t xml:space="preserve">or even uniquely mature </w:t>
      </w:r>
      <w:r w:rsidR="005916EF">
        <w:t>workforce</w:t>
      </w:r>
      <w:r w:rsidR="00BD4B85">
        <w:t>,</w:t>
      </w:r>
      <w:r w:rsidR="005916EF">
        <w:t xml:space="preserve"> </w:t>
      </w:r>
      <w:r w:rsidR="00BD4B85">
        <w:t xml:space="preserve">as they </w:t>
      </w:r>
      <w:r>
        <w:t xml:space="preserve">commence their judicial career at ages when many members of the </w:t>
      </w:r>
      <w:r w:rsidR="0013722E">
        <w:t xml:space="preserve">community are </w:t>
      </w:r>
      <w:r w:rsidR="00D12C88">
        <w:t>well</w:t>
      </w:r>
      <w:r w:rsidR="00D12C88">
        <w:noBreakHyphen/>
        <w:t xml:space="preserve">established </w:t>
      </w:r>
      <w:r w:rsidR="00CC36FA">
        <w:t xml:space="preserve">in their workplace or even </w:t>
      </w:r>
      <w:r w:rsidR="0013722E">
        <w:t xml:space="preserve">verging on retirement.  This </w:t>
      </w:r>
      <w:r w:rsidR="005916EF">
        <w:t>is unavoidable</w:t>
      </w:r>
      <w:r w:rsidR="00BD4B85">
        <w:t>,</w:t>
      </w:r>
      <w:r w:rsidR="005916EF">
        <w:t xml:space="preserve"> given the </w:t>
      </w:r>
      <w:r w:rsidR="0013722E">
        <w:t xml:space="preserve">essential </w:t>
      </w:r>
      <w:r w:rsidR="005916EF">
        <w:t>requireme</w:t>
      </w:r>
      <w:r w:rsidR="00D41473">
        <w:t xml:space="preserve">nt for </w:t>
      </w:r>
      <w:r w:rsidR="00BD4B85">
        <w:t xml:space="preserve">long </w:t>
      </w:r>
      <w:r w:rsidR="00D41473">
        <w:t xml:space="preserve">experience, </w:t>
      </w:r>
      <w:r w:rsidR="00BD4B85">
        <w:t xml:space="preserve">wide </w:t>
      </w:r>
      <w:proofErr w:type="gramStart"/>
      <w:r w:rsidR="00D41473">
        <w:t>learning</w:t>
      </w:r>
      <w:proofErr w:type="gramEnd"/>
      <w:r w:rsidR="00D41473">
        <w:t xml:space="preserve"> and proven skill</w:t>
      </w:r>
      <w:r w:rsidR="0013722E">
        <w:t>.</w:t>
      </w:r>
    </w:p>
    <w:p w14:paraId="3271EE45" w14:textId="0279AF66" w:rsidR="002E74FB" w:rsidRDefault="002E74FB" w:rsidP="0004466F">
      <w:pPr>
        <w:pStyle w:val="ListParagraph"/>
      </w:pPr>
      <w:r>
        <w:t>In the Magistrates</w:t>
      </w:r>
      <w:r w:rsidR="00325D11">
        <w:t>’</w:t>
      </w:r>
      <w:r>
        <w:t xml:space="preserve"> Court, Children’s Court and Coroners Court, the judicial officers tend to be younger, are of much </w:t>
      </w:r>
      <w:r w:rsidRPr="00325D11">
        <w:t xml:space="preserve">more diverse professional backgrounds and </w:t>
      </w:r>
      <w:r w:rsidR="00BD4B85" w:rsidRPr="00325D11">
        <w:t xml:space="preserve">proportionately </w:t>
      </w:r>
      <w:r w:rsidRPr="00325D11">
        <w:t xml:space="preserve">include more women. </w:t>
      </w:r>
      <w:r w:rsidR="004B4DDA" w:rsidRPr="00325D11">
        <w:t xml:space="preserve"> This diversity is </w:t>
      </w:r>
      <w:r w:rsidR="00005916" w:rsidRPr="00325D11">
        <w:t xml:space="preserve">even </w:t>
      </w:r>
      <w:r w:rsidR="004B4DDA" w:rsidRPr="00325D11">
        <w:t xml:space="preserve">more pronounced in relation to VCAT </w:t>
      </w:r>
      <w:r w:rsidR="001C0422">
        <w:t>“ordinary members”</w:t>
      </w:r>
      <w:r w:rsidR="00B134A0">
        <w:t xml:space="preserve"> who</w:t>
      </w:r>
      <w:r w:rsidR="004B4DDA" w:rsidRPr="00325D11">
        <w:t xml:space="preserve"> are not required to be legally qualified</w:t>
      </w:r>
      <w:r w:rsidR="003B413B" w:rsidRPr="00325D11">
        <w:t xml:space="preserve">: </w:t>
      </w:r>
      <w:r w:rsidR="003B413B" w:rsidRPr="00325D11">
        <w:rPr>
          <w:i/>
          <w:iCs/>
        </w:rPr>
        <w:t xml:space="preserve">Victorian Civil and Administrative Tribunal Act </w:t>
      </w:r>
      <w:r w:rsidR="002F3D33" w:rsidRPr="00325D11">
        <w:rPr>
          <w:i/>
          <w:iCs/>
        </w:rPr>
        <w:t>1998</w:t>
      </w:r>
      <w:r w:rsidR="006053CF">
        <w:rPr>
          <w:i/>
          <w:iCs/>
        </w:rPr>
        <w:t>,</w:t>
      </w:r>
      <w:r w:rsidR="002F3D33" w:rsidRPr="00325D11">
        <w:t xml:space="preserve"> s 14</w:t>
      </w:r>
      <w:r w:rsidR="008E7F12" w:rsidRPr="00325D11">
        <w:t>(2)</w:t>
      </w:r>
      <w:r w:rsidR="002F3D33" w:rsidRPr="00325D11">
        <w:t>.</w:t>
      </w:r>
    </w:p>
    <w:p w14:paraId="7AD86F72" w14:textId="5FFE7502" w:rsidR="006105C5" w:rsidRDefault="002E74FB" w:rsidP="0004466F">
      <w:pPr>
        <w:pStyle w:val="ListParagraph"/>
        <w:keepNext/>
      </w:pPr>
      <w:r>
        <w:t xml:space="preserve">Moreover, despite the fundamental common features </w:t>
      </w:r>
      <w:r w:rsidR="004B4DDA">
        <w:t xml:space="preserve">of autonomy and judicial independence, as </w:t>
      </w:r>
      <w:r>
        <w:t xml:space="preserve">discussed, there are many differences </w:t>
      </w:r>
      <w:r w:rsidR="00E60F5C">
        <w:t>between</w:t>
      </w:r>
      <w:r>
        <w:t xml:space="preserve"> the </w:t>
      </w:r>
      <w:r w:rsidR="00005916">
        <w:t xml:space="preserve">practical </w:t>
      </w:r>
      <w:r>
        <w:t>roles</w:t>
      </w:r>
      <w:r w:rsidR="00005916">
        <w:t>, status</w:t>
      </w:r>
      <w:r>
        <w:t xml:space="preserve"> and working conditions of judicial officers </w:t>
      </w:r>
      <w:r w:rsidR="00E60F5C">
        <w:t xml:space="preserve">working in </w:t>
      </w:r>
      <w:r>
        <w:t>the six Victorian courts and tribunals.  They include:</w:t>
      </w:r>
    </w:p>
    <w:p w14:paraId="7BD65610" w14:textId="4297F74C" w:rsidR="002E74FB" w:rsidRDefault="002E74FB" w:rsidP="005223D1">
      <w:pPr>
        <w:pStyle w:val="List2"/>
      </w:pPr>
      <w:r>
        <w:t>jurisdiction</w:t>
      </w:r>
      <w:r w:rsidR="00E60F5C">
        <w:t xml:space="preserve"> – and the </w:t>
      </w:r>
      <w:r w:rsidR="00005916">
        <w:t xml:space="preserve">judicial officer’s </w:t>
      </w:r>
      <w:r w:rsidR="00E60F5C">
        <w:t xml:space="preserve">consequent </w:t>
      </w:r>
      <w:r w:rsidR="00AD25A8">
        <w:t xml:space="preserve">relative </w:t>
      </w:r>
      <w:r w:rsidR="00E60F5C">
        <w:t xml:space="preserve">status and authority within the context of an inescapably hierarchical </w:t>
      </w:r>
      <w:proofErr w:type="gramStart"/>
      <w:r w:rsidR="00E60F5C">
        <w:t>system;</w:t>
      </w:r>
      <w:proofErr w:type="gramEnd"/>
    </w:p>
    <w:p w14:paraId="68B0A600" w14:textId="4A714B7F" w:rsidR="002E74FB" w:rsidRDefault="00E60F5C" w:rsidP="005223D1">
      <w:pPr>
        <w:pStyle w:val="List2"/>
      </w:pPr>
      <w:r>
        <w:t xml:space="preserve">the </w:t>
      </w:r>
      <w:r w:rsidR="002E74FB">
        <w:t>predominant nature of the court</w:t>
      </w:r>
      <w:r w:rsidR="002E6CDD">
        <w:t>’</w:t>
      </w:r>
      <w:r w:rsidR="002E74FB">
        <w:t xml:space="preserve">s business / </w:t>
      </w:r>
      <w:proofErr w:type="gramStart"/>
      <w:r w:rsidR="002E74FB">
        <w:t>work;</w:t>
      </w:r>
      <w:proofErr w:type="gramEnd"/>
    </w:p>
    <w:p w14:paraId="5BDD2BBC" w14:textId="1158978D" w:rsidR="002E74FB" w:rsidRDefault="00E60F5C" w:rsidP="005223D1">
      <w:pPr>
        <w:pStyle w:val="List2"/>
      </w:pPr>
      <w:r>
        <w:t xml:space="preserve">the </w:t>
      </w:r>
      <w:r w:rsidR="002E74FB">
        <w:t xml:space="preserve">working conditions for judges and </w:t>
      </w:r>
      <w:proofErr w:type="gramStart"/>
      <w:r w:rsidR="002E74FB">
        <w:t>staff;</w:t>
      </w:r>
      <w:proofErr w:type="gramEnd"/>
    </w:p>
    <w:p w14:paraId="4EE3AE0D" w14:textId="435C1842" w:rsidR="002E74FB" w:rsidRDefault="005E16DC" w:rsidP="005223D1">
      <w:pPr>
        <w:pStyle w:val="List2"/>
      </w:pPr>
      <w:r>
        <w:t xml:space="preserve">demands of the position and </w:t>
      </w:r>
      <w:r w:rsidR="002E74FB">
        <w:t xml:space="preserve">hours of </w:t>
      </w:r>
      <w:proofErr w:type="gramStart"/>
      <w:r w:rsidR="002E74FB">
        <w:t>work;</w:t>
      </w:r>
      <w:proofErr w:type="gramEnd"/>
    </w:p>
    <w:p w14:paraId="0F991200" w14:textId="77777777" w:rsidR="002E74FB" w:rsidRDefault="002E74FB" w:rsidP="005223D1">
      <w:pPr>
        <w:pStyle w:val="List2"/>
      </w:pPr>
      <w:r>
        <w:t xml:space="preserve">travel requirements and </w:t>
      </w:r>
      <w:proofErr w:type="gramStart"/>
      <w:r>
        <w:t>conditions;</w:t>
      </w:r>
      <w:proofErr w:type="gramEnd"/>
    </w:p>
    <w:p w14:paraId="7E544557" w14:textId="112AA4C4" w:rsidR="002E74FB" w:rsidRDefault="002E74FB" w:rsidP="005223D1">
      <w:pPr>
        <w:pStyle w:val="List2"/>
      </w:pPr>
      <w:r>
        <w:t xml:space="preserve">the </w:t>
      </w:r>
      <w:r w:rsidR="00E60F5C">
        <w:t xml:space="preserve">size of the workforce </w:t>
      </w:r>
      <w:r>
        <w:t xml:space="preserve">in the court as a </w:t>
      </w:r>
      <w:proofErr w:type="gramStart"/>
      <w:r>
        <w:t>whole;</w:t>
      </w:r>
      <w:proofErr w:type="gramEnd"/>
    </w:p>
    <w:p w14:paraId="01F5156B" w14:textId="2BFFA2C9" w:rsidR="002E74FB" w:rsidRDefault="00E60F5C" w:rsidP="005223D1">
      <w:pPr>
        <w:pStyle w:val="List2"/>
      </w:pPr>
      <w:r>
        <w:t xml:space="preserve">the </w:t>
      </w:r>
      <w:r w:rsidR="002E74FB">
        <w:t xml:space="preserve">size of the judges’ dockets </w:t>
      </w:r>
      <w:r>
        <w:t>and the extent of their other</w:t>
      </w:r>
      <w:r w:rsidR="002E74FB">
        <w:t xml:space="preserve"> </w:t>
      </w:r>
      <w:proofErr w:type="gramStart"/>
      <w:r w:rsidR="002E74FB">
        <w:t>responsibilities;</w:t>
      </w:r>
      <w:proofErr w:type="gramEnd"/>
    </w:p>
    <w:p w14:paraId="32435242" w14:textId="4A4D2274" w:rsidR="002E74FB" w:rsidRDefault="00E60F5C" w:rsidP="005223D1">
      <w:pPr>
        <w:pStyle w:val="List2"/>
      </w:pPr>
      <w:r>
        <w:t xml:space="preserve">the </w:t>
      </w:r>
      <w:r w:rsidR="002E74FB">
        <w:t xml:space="preserve">number of staff </w:t>
      </w:r>
      <w:r>
        <w:t xml:space="preserve">assisting </w:t>
      </w:r>
      <w:r w:rsidR="002E74FB">
        <w:t xml:space="preserve">judges, </w:t>
      </w:r>
      <w:r>
        <w:t xml:space="preserve">in what capacity, for what period, </w:t>
      </w:r>
      <w:r w:rsidR="002E74FB">
        <w:t>on what terms</w:t>
      </w:r>
      <w:r>
        <w:t>,</w:t>
      </w:r>
      <w:r w:rsidR="002E74FB">
        <w:t xml:space="preserve"> how </w:t>
      </w:r>
      <w:r>
        <w:t xml:space="preserve">they are </w:t>
      </w:r>
      <w:r w:rsidR="002E74FB">
        <w:t>assigned</w:t>
      </w:r>
      <w:r>
        <w:t xml:space="preserve"> or selected, and on what basis are they redeployed or </w:t>
      </w:r>
      <w:proofErr w:type="gramStart"/>
      <w:r w:rsidR="002E74FB">
        <w:t>terminated;</w:t>
      </w:r>
      <w:proofErr w:type="gramEnd"/>
    </w:p>
    <w:p w14:paraId="5BB78425" w14:textId="7F3CB46C" w:rsidR="002E74FB" w:rsidRDefault="00E60F5C" w:rsidP="005223D1">
      <w:pPr>
        <w:pStyle w:val="List2"/>
      </w:pPr>
      <w:r>
        <w:t xml:space="preserve">the </w:t>
      </w:r>
      <w:r w:rsidR="002E74FB">
        <w:t>age</w:t>
      </w:r>
      <w:r>
        <w:t>,</w:t>
      </w:r>
      <w:r w:rsidR="002E74FB">
        <w:t xml:space="preserve"> background and experience of </w:t>
      </w:r>
      <w:r>
        <w:t xml:space="preserve">the </w:t>
      </w:r>
      <w:r w:rsidR="002E74FB">
        <w:t xml:space="preserve">staff </w:t>
      </w:r>
      <w:r>
        <w:t xml:space="preserve">assisting </w:t>
      </w:r>
      <w:r w:rsidR="002E74FB">
        <w:t xml:space="preserve">the judicial </w:t>
      </w:r>
      <w:proofErr w:type="gramStart"/>
      <w:r w:rsidR="002E74FB">
        <w:t>officers;</w:t>
      </w:r>
      <w:proofErr w:type="gramEnd"/>
    </w:p>
    <w:p w14:paraId="2A556BF0" w14:textId="12C8D3FE" w:rsidR="002E74FB" w:rsidRDefault="002E74FB" w:rsidP="005223D1">
      <w:pPr>
        <w:pStyle w:val="List2"/>
      </w:pPr>
      <w:r>
        <w:t>the accommodations in the court</w:t>
      </w:r>
      <w:r w:rsidR="00E60F5C">
        <w:t xml:space="preserve"> and the physical </w:t>
      </w:r>
      <w:r>
        <w:t>working environment;</w:t>
      </w:r>
      <w:r w:rsidR="00AD25A8">
        <w:t xml:space="preserve"> and</w:t>
      </w:r>
    </w:p>
    <w:p w14:paraId="2A1AB0A1" w14:textId="4A023861" w:rsidR="002E74FB" w:rsidRDefault="00E60F5C" w:rsidP="005223D1">
      <w:pPr>
        <w:pStyle w:val="List2"/>
      </w:pPr>
      <w:r>
        <w:t xml:space="preserve">the </w:t>
      </w:r>
      <w:r w:rsidR="002E74FB">
        <w:t xml:space="preserve">administrative structure </w:t>
      </w:r>
      <w:r w:rsidR="00AD25A8">
        <w:t xml:space="preserve">and reporting lines </w:t>
      </w:r>
      <w:r w:rsidR="002E74FB">
        <w:t>of the court</w:t>
      </w:r>
      <w:r w:rsidR="00AD25A8">
        <w:t>.</w:t>
      </w:r>
    </w:p>
    <w:p w14:paraId="7F7AD90C" w14:textId="3D717A68" w:rsidR="000F03C9" w:rsidRDefault="00D1371E" w:rsidP="007E723A">
      <w:pPr>
        <w:pStyle w:val="Heading2"/>
      </w:pPr>
      <w:bookmarkStart w:id="24" w:name="_Toc112606879"/>
      <w:r>
        <w:t>CSV staff in primar</w:t>
      </w:r>
      <w:r w:rsidR="00AA5DA0">
        <w:t>y relationship with judicial officers</w:t>
      </w:r>
      <w:bookmarkEnd w:id="24"/>
    </w:p>
    <w:p w14:paraId="7E1AB354" w14:textId="33658398" w:rsidR="006105C5" w:rsidRDefault="00341B24" w:rsidP="0004466F">
      <w:pPr>
        <w:pStyle w:val="ListParagraph"/>
      </w:pPr>
      <w:r>
        <w:t xml:space="preserve">As noted above, the </w:t>
      </w:r>
      <w:r w:rsidR="006105C5">
        <w:t>scope of the reference to “Court Services staff who work in a primary relationship with judicial officers…”</w:t>
      </w:r>
      <w:r w:rsidR="00F17E77">
        <w:t xml:space="preserve"> i</w:t>
      </w:r>
      <w:r w:rsidR="0009184F">
        <w:t xml:space="preserve">n Recommendation 4 </w:t>
      </w:r>
      <w:r w:rsidR="00A84E5A" w:rsidRPr="00F17E77">
        <w:t xml:space="preserve">may be debatable.  There is no </w:t>
      </w:r>
      <w:r w:rsidR="00A84E5A" w:rsidRPr="00F17E77">
        <w:lastRenderedPageBreak/>
        <w:t>definition of “a primary relationship with judicial officer</w:t>
      </w:r>
      <w:r w:rsidR="00DD6100">
        <w:t>s</w:t>
      </w:r>
      <w:r w:rsidR="00A84E5A" w:rsidRPr="00F17E77">
        <w:t xml:space="preserve">”.  </w:t>
      </w:r>
      <w:r w:rsidR="00A84E5A">
        <w:t xml:space="preserve">Recommendation 4’s language is not precisely the same as that of the definition of “judicial </w:t>
      </w:r>
      <w:r w:rsidR="00CB183E">
        <w:t>employees</w:t>
      </w:r>
      <w:r w:rsidR="00A84E5A">
        <w:t>” in the PA Act.  It</w:t>
      </w:r>
      <w:r w:rsidR="00C50BDF">
        <w:t> </w:t>
      </w:r>
      <w:r w:rsidR="00A84E5A">
        <w:t xml:space="preserve">echoes that </w:t>
      </w:r>
      <w:proofErr w:type="gramStart"/>
      <w:r w:rsidR="00A84E5A">
        <w:t>definition, but</w:t>
      </w:r>
      <w:proofErr w:type="gramEnd"/>
      <w:r w:rsidR="00A84E5A">
        <w:t xml:space="preserve"> is wider and more flexible.</w:t>
      </w:r>
      <w:r w:rsidR="006105C5">
        <w:t xml:space="preserve">  However, the Szoke Report’s genesis in the disclosure of sexual harassment of associates by a </w:t>
      </w:r>
      <w:proofErr w:type="gramStart"/>
      <w:r w:rsidR="006105C5">
        <w:t>high ranking</w:t>
      </w:r>
      <w:proofErr w:type="gramEnd"/>
      <w:r w:rsidR="006105C5">
        <w:t xml:space="preserve"> judge, and the </w:t>
      </w:r>
      <w:r w:rsidR="00273703">
        <w:t>recommendation</w:t>
      </w:r>
      <w:r w:rsidR="00DD6100">
        <w:t>’</w:t>
      </w:r>
      <w:r w:rsidR="00273703">
        <w:t xml:space="preserve">s </w:t>
      </w:r>
      <w:r w:rsidR="006105C5">
        <w:t xml:space="preserve">reference to “including associates, tipstaves and clerks” </w:t>
      </w:r>
      <w:r w:rsidR="00273703">
        <w:t xml:space="preserve">indicates </w:t>
      </w:r>
      <w:r w:rsidR="006105C5">
        <w:t xml:space="preserve">that the principal, </w:t>
      </w:r>
      <w:r w:rsidR="00E03257">
        <w:t xml:space="preserve">albeit not exclusive, </w:t>
      </w:r>
      <w:r w:rsidR="004B1810">
        <w:t xml:space="preserve">focus </w:t>
      </w:r>
      <w:r w:rsidR="006105C5">
        <w:t>is on traditional chambers staff (associates and tipstaves) who work exclusively with and for</w:t>
      </w:r>
      <w:r w:rsidR="00273703">
        <w:t>,</w:t>
      </w:r>
      <w:r w:rsidR="006105C5">
        <w:t xml:space="preserve"> and are attached to, a nominated judge throughout their service.  </w:t>
      </w:r>
      <w:r w:rsidR="00273703">
        <w:t xml:space="preserve">A </w:t>
      </w:r>
      <w:r w:rsidR="006105C5">
        <w:t xml:space="preserve">secretary, research assistant or executive </w:t>
      </w:r>
      <w:r w:rsidR="00273703">
        <w:t xml:space="preserve">assistant might in some cases work exclusively for a judge, but this is less common, even in the Supreme </w:t>
      </w:r>
      <w:r w:rsidR="00A77A25">
        <w:t xml:space="preserve">Court </w:t>
      </w:r>
      <w:r w:rsidR="00273703">
        <w:t xml:space="preserve">and County </w:t>
      </w:r>
      <w:r w:rsidR="00007EB8">
        <w:t>C</w:t>
      </w:r>
      <w:r w:rsidR="00273703">
        <w:t>ourt.  Such staff</w:t>
      </w:r>
      <w:r w:rsidR="00EC5675">
        <w:t>, in our view,</w:t>
      </w:r>
      <w:r w:rsidR="00273703">
        <w:t xml:space="preserve"> are within the scope of Recommendation 4 although not within the statutory definition of “judicial </w:t>
      </w:r>
      <w:r w:rsidR="00CB183E">
        <w:t>employees</w:t>
      </w:r>
      <w:r w:rsidR="00273703">
        <w:t>”.</w:t>
      </w:r>
    </w:p>
    <w:p w14:paraId="47DDD54A" w14:textId="03E36ED1" w:rsidR="00273703" w:rsidRDefault="00273703" w:rsidP="0004466F">
      <w:pPr>
        <w:pStyle w:val="ListParagraph"/>
      </w:pPr>
      <w:r>
        <w:t xml:space="preserve">Further, </w:t>
      </w:r>
      <w:r w:rsidR="006D0E96">
        <w:t xml:space="preserve">there are other categories of </w:t>
      </w:r>
      <w:r>
        <w:t xml:space="preserve">CSV court staff who, although not attached permanently </w:t>
      </w:r>
      <w:r w:rsidR="0087193D">
        <w:t>or full</w:t>
      </w:r>
      <w:r w:rsidR="0087193D">
        <w:noBreakHyphen/>
        <w:t xml:space="preserve">time to any </w:t>
      </w:r>
      <w:proofErr w:type="gramStart"/>
      <w:r w:rsidR="0087193D">
        <w:t>particular judge</w:t>
      </w:r>
      <w:proofErr w:type="gramEnd"/>
      <w:r w:rsidR="0087193D">
        <w:t xml:space="preserve">, work principally for and have significant contact with, a number of judges simultaneously, or work closely with a judge for certain periods.  </w:t>
      </w:r>
      <w:r w:rsidR="00CC36FA">
        <w:t>Working</w:t>
      </w:r>
      <w:r w:rsidR="00CE07EA">
        <w:t> </w:t>
      </w:r>
      <w:r w:rsidR="0087193D">
        <w:t xml:space="preserve">on that basis would bring such staff </w:t>
      </w:r>
      <w:r w:rsidR="00CC36FA">
        <w:t xml:space="preserve">(although not </w:t>
      </w:r>
      <w:r w:rsidR="009311BE">
        <w:t xml:space="preserve">falling into the categories of </w:t>
      </w:r>
      <w:r w:rsidR="00CC36FA">
        <w:t xml:space="preserve">associate, tipstaff, </w:t>
      </w:r>
      <w:proofErr w:type="gramStart"/>
      <w:r w:rsidR="00CC36FA">
        <w:t>clerk</w:t>
      </w:r>
      <w:proofErr w:type="gramEnd"/>
      <w:r w:rsidR="00CC36FA">
        <w:t xml:space="preserve"> or secretary) </w:t>
      </w:r>
      <w:r w:rsidR="0087193D">
        <w:t>within the scope of Recommendation 4.</w:t>
      </w:r>
    </w:p>
    <w:p w14:paraId="3ADED7D4" w14:textId="17E7959B" w:rsidR="005F1A3E" w:rsidRDefault="005F1A3E" w:rsidP="0004466F">
      <w:pPr>
        <w:pStyle w:val="ListParagraph"/>
      </w:pPr>
      <w:r>
        <w:t>It is clear</w:t>
      </w:r>
      <w:r w:rsidR="00CF0F4F">
        <w:t>,</w:t>
      </w:r>
      <w:r>
        <w:t xml:space="preserve"> however, that </w:t>
      </w:r>
      <w:proofErr w:type="gramStart"/>
      <w:r>
        <w:t>associates</w:t>
      </w:r>
      <w:proofErr w:type="gramEnd"/>
      <w:r>
        <w:t xml:space="preserve"> and tipstaves form the most identifiable occupational groups within the scope of Recommendation 4.  While </w:t>
      </w:r>
      <w:r w:rsidR="00DE46A6">
        <w:t>(</w:t>
      </w:r>
      <w:r>
        <w:t>for reasons discussed below</w:t>
      </w:r>
      <w:r w:rsidR="00DE46A6">
        <w:t>)</w:t>
      </w:r>
      <w:r>
        <w:t xml:space="preserve"> tipstaves do not pose obviously pronounced vulnerabilities to sexual harassment by judges or other persons within a court, associates, as a professional group, represent a particularly</w:t>
      </w:r>
      <w:r w:rsidR="00653368">
        <w:t>,</w:t>
      </w:r>
      <w:r>
        <w:t xml:space="preserve"> </w:t>
      </w:r>
      <w:r w:rsidR="00653368">
        <w:t xml:space="preserve">even uniquely, </w:t>
      </w:r>
      <w:r>
        <w:t xml:space="preserve">at risk </w:t>
      </w:r>
      <w:r w:rsidR="00DE46A6">
        <w:t xml:space="preserve">occupational </w:t>
      </w:r>
      <w:r>
        <w:t>cohort.</w:t>
      </w:r>
      <w:r w:rsidR="008E1B9F">
        <w:t xml:space="preserve"> </w:t>
      </w:r>
      <w:r w:rsidR="00586DDC">
        <w:t xml:space="preserve"> Indeed, for reasons discussed in detail below, </w:t>
      </w:r>
      <w:r w:rsidR="00F7378A">
        <w:t xml:space="preserve">relatively recent but significant changes to the recruitment of associates and consequent changes in the demographics of that population (while laudably substituting competitive merit-based selection over </w:t>
      </w:r>
      <w:r w:rsidR="003B3B98">
        <w:t xml:space="preserve">potential </w:t>
      </w:r>
      <w:r w:rsidR="00F7378A">
        <w:t xml:space="preserve">nepotism) may have magnified their vulnerabilities to the risk factors for sexual harassment in curial employment. </w:t>
      </w:r>
    </w:p>
    <w:p w14:paraId="08D4177F" w14:textId="1142F4E1" w:rsidR="00270700" w:rsidRDefault="00270700" w:rsidP="00844B14">
      <w:pPr>
        <w:pStyle w:val="Heading1"/>
      </w:pPr>
      <w:bookmarkStart w:id="25" w:name="_Toc112606880"/>
      <w:r>
        <w:t xml:space="preserve">The </w:t>
      </w:r>
      <w:r w:rsidR="008069DC">
        <w:t>Role of Associates and Tipstaves</w:t>
      </w:r>
      <w:bookmarkEnd w:id="25"/>
    </w:p>
    <w:p w14:paraId="4B960647" w14:textId="471C7711" w:rsidR="00270700" w:rsidRPr="003D1195" w:rsidRDefault="00270700" w:rsidP="00844B14">
      <w:pPr>
        <w:pStyle w:val="Heading2"/>
      </w:pPr>
      <w:bookmarkStart w:id="26" w:name="_Toc112606881"/>
      <w:r w:rsidRPr="003D1195">
        <w:t>Associates</w:t>
      </w:r>
      <w:bookmarkEnd w:id="26"/>
    </w:p>
    <w:p w14:paraId="557BB2E6" w14:textId="77777777" w:rsidR="00270700" w:rsidRPr="00AC5FFB" w:rsidRDefault="00270700" w:rsidP="0004466F">
      <w:pPr>
        <w:pStyle w:val="ListParagraph"/>
      </w:pPr>
      <w:bookmarkStart w:id="27" w:name="_Ref93843690"/>
      <w:r>
        <w:t>The traditional role of an associate is of very long standing and appears to be constant across both national and international jurisdictions.</w:t>
      </w:r>
      <w:bookmarkEnd w:id="27"/>
    </w:p>
    <w:p w14:paraId="058B0AFC" w14:textId="66432D3B" w:rsidR="00270700" w:rsidRDefault="00270700" w:rsidP="0004466F">
      <w:pPr>
        <w:pStyle w:val="ListParagraph"/>
      </w:pPr>
      <w:r>
        <w:t>The County Court’s website states that the</w:t>
      </w:r>
      <w:r w:rsidR="009C010D">
        <w:t xml:space="preserve"> “</w:t>
      </w:r>
      <w:r>
        <w:t>responsibility of an associate role is to provide operational, administrative and technical legal support to a judge both in chambers and in court.</w:t>
      </w:r>
      <w:r w:rsidR="009C010D">
        <w:t xml:space="preserve">” </w:t>
      </w:r>
      <w:r>
        <w:t xml:space="preserve">This is a generic but, so far as it goes, an accurate, summary of the associate’s role.  </w:t>
      </w:r>
      <w:r>
        <w:lastRenderedPageBreak/>
        <w:t xml:space="preserve">The role of an associate might also be described in broad terms as to carry out tasks as directed by their judge, and to assist their judge in the performance of their judicial functions.  </w:t>
      </w:r>
    </w:p>
    <w:p w14:paraId="42310877" w14:textId="09E130C3" w:rsidR="00270700" w:rsidRDefault="00270700" w:rsidP="0004466F">
      <w:pPr>
        <w:pStyle w:val="ListParagraph"/>
      </w:pPr>
      <w:r>
        <w:t>The role of an associate will typically include performing legal research as directed, proofreading rulings and judgments, and assisting the judge during hearings, including by ensuring that the judge has access to relevant materials.  The role might also include assisting the judge with extra-judicial tasks that are nevertheless connected to the judge’s role, such as speeches to the legal community</w:t>
      </w:r>
      <w:r w:rsidR="00A32E33">
        <w:t>,</w:t>
      </w:r>
      <w:r>
        <w:t xml:space="preserve"> liaising with external committees, helping with academic commitments, attending meetings and events with the </w:t>
      </w:r>
      <w:proofErr w:type="gramStart"/>
      <w:r>
        <w:t>judge</w:t>
      </w:r>
      <w:proofErr w:type="gramEnd"/>
      <w:r>
        <w:t xml:space="preserve"> and giving the judge feedback and input on cases, writings and other relevant matters.  In some circumstances, associates may exercise minor administrative powers under Rules of Court.</w:t>
      </w:r>
      <w:r w:rsidR="00813C2A">
        <w:rPr>
          <w:rFonts w:ascii="ZWAdobeF" w:hAnsi="ZWAdobeF" w:cs="ZWAdobeF"/>
          <w:sz w:val="2"/>
          <w:szCs w:val="2"/>
        </w:rPr>
        <w:t>42F</w:t>
      </w:r>
      <w:r w:rsidR="00704B18">
        <w:rPr>
          <w:rFonts w:ascii="ZWAdobeF" w:hAnsi="ZWAdobeF" w:cs="ZWAdobeF"/>
          <w:sz w:val="2"/>
          <w:szCs w:val="2"/>
        </w:rPr>
        <w:t>47F</w:t>
      </w:r>
      <w:r>
        <w:rPr>
          <w:rStyle w:val="FootnoteReference"/>
        </w:rPr>
        <w:footnoteReference w:id="31"/>
      </w:r>
      <w:r>
        <w:t xml:space="preserve"> </w:t>
      </w:r>
    </w:p>
    <w:p w14:paraId="06C21DC7" w14:textId="7EE4641C" w:rsidR="00CA3573" w:rsidRDefault="00CA3573" w:rsidP="0004466F">
      <w:pPr>
        <w:pStyle w:val="ListParagraph"/>
      </w:pPr>
      <w:r>
        <w:t xml:space="preserve">Further, </w:t>
      </w:r>
      <w:r w:rsidR="00481F74">
        <w:t xml:space="preserve">the duties of </w:t>
      </w:r>
      <w:r>
        <w:t>an associate to a judge who hears criminal trial</w:t>
      </w:r>
      <w:r w:rsidR="00481F74">
        <w:t>s</w:t>
      </w:r>
      <w:r>
        <w:t xml:space="preserve"> will </w:t>
      </w:r>
      <w:r w:rsidR="00481F74">
        <w:t xml:space="preserve">include </w:t>
      </w:r>
      <w:r>
        <w:t>assist</w:t>
      </w:r>
      <w:r w:rsidR="00A278E7">
        <w:t>ing</w:t>
      </w:r>
      <w:r>
        <w:t xml:space="preserve"> in empanelling a jury, arraign</w:t>
      </w:r>
      <w:r w:rsidR="00A278E7">
        <w:t>ing</w:t>
      </w:r>
      <w:r>
        <w:t xml:space="preserve"> the </w:t>
      </w:r>
      <w:proofErr w:type="gramStart"/>
      <w:r>
        <w:t>accused</w:t>
      </w:r>
      <w:proofErr w:type="gramEnd"/>
      <w:r>
        <w:t xml:space="preserve"> and </w:t>
      </w:r>
      <w:r w:rsidR="00A278E7">
        <w:t xml:space="preserve">taking </w:t>
      </w:r>
      <w:r>
        <w:t>the jury’s verdict.  Particularly where a judge does not also have a tipstaff on their staff, an associate might also swear-in witnesses, or act as a jury-keeper.</w:t>
      </w:r>
    </w:p>
    <w:p w14:paraId="22F0D0DA" w14:textId="6F1171AC" w:rsidR="004342E6" w:rsidRDefault="004342E6" w:rsidP="0004466F">
      <w:pPr>
        <w:pStyle w:val="ListParagraph"/>
      </w:pPr>
      <w:r>
        <w:t xml:space="preserve">In our experience, associates often perform supportive </w:t>
      </w:r>
      <w:r w:rsidR="00653368">
        <w:t>“</w:t>
      </w:r>
      <w:r>
        <w:t>housekeeping</w:t>
      </w:r>
      <w:r w:rsidR="00653368">
        <w:t>”</w:t>
      </w:r>
      <w:r>
        <w:t xml:space="preserve"> jobs for judges, including </w:t>
      </w:r>
      <w:r w:rsidR="001226A7">
        <w:t>serving coffee, collecting necessities</w:t>
      </w:r>
      <w:r w:rsidR="008E1B9F">
        <w:t>,</w:t>
      </w:r>
      <w:r w:rsidR="001226A7">
        <w:t xml:space="preserve"> and performing minor errands.  In</w:t>
      </w:r>
      <w:r w:rsidR="008E1B9F">
        <w:t> </w:t>
      </w:r>
      <w:r w:rsidR="001226A7">
        <w:t>chambers</w:t>
      </w:r>
      <w:r w:rsidR="008E1B9F">
        <w:t>,</w:t>
      </w:r>
      <w:r w:rsidR="004C1B04">
        <w:t xml:space="preserve"> where tipstaves are employed, </w:t>
      </w:r>
      <w:r w:rsidR="00974DE5">
        <w:t>tipstaves are more likely to perform such extra-legal tasks.</w:t>
      </w:r>
      <w:r w:rsidR="00653368">
        <w:t xml:space="preserve">  We heard that associates usually accept the need to perform some “non</w:t>
      </w:r>
      <w:r w:rsidR="00653368">
        <w:noBreakHyphen/>
        <w:t xml:space="preserve">legal” chambers tasks for the judge, but may feel aggrieved if too many “menial” chores are expected, </w:t>
      </w:r>
      <w:r w:rsidR="0053503E">
        <w:t>particularly</w:t>
      </w:r>
      <w:r w:rsidR="00653368">
        <w:t xml:space="preserve"> if demanded ungraciously</w:t>
      </w:r>
    </w:p>
    <w:p w14:paraId="6E1E896E" w14:textId="1EB3A9C3" w:rsidR="00270700" w:rsidRDefault="00270700" w:rsidP="0004466F">
      <w:pPr>
        <w:pStyle w:val="ListParagraph"/>
      </w:pPr>
      <w:r>
        <w:t>A significant part of the associate’s role, which may not be readily apparent to anyone who has not</w:t>
      </w:r>
      <w:r w:rsidR="00653368">
        <w:t xml:space="preserve"> been, or</w:t>
      </w:r>
      <w:r>
        <w:t xml:space="preserve"> worked closely with</w:t>
      </w:r>
      <w:r w:rsidR="00653368">
        <w:t>,</w:t>
      </w:r>
      <w:r>
        <w:t xml:space="preserve"> a judge, springs from the isolation of a judicial officer.  </w:t>
      </w:r>
      <w:proofErr w:type="gramStart"/>
      <w:r>
        <w:t>In order to</w:t>
      </w:r>
      <w:proofErr w:type="gramEnd"/>
      <w:r>
        <w:t xml:space="preserve"> avoid perceived conflicts of interest, or inconvenient exchanges that could lead to questions about judicial impartiality or preconceptions, judges</w:t>
      </w:r>
      <w:r w:rsidR="001771E9">
        <w:t>,</w:t>
      </w:r>
      <w:r>
        <w:t xml:space="preserve"> </w:t>
      </w:r>
      <w:r w:rsidR="00016EA7">
        <w:t xml:space="preserve">by convention, </w:t>
      </w:r>
      <w:r w:rsidR="00E026FE">
        <w:t xml:space="preserve">tend </w:t>
      </w:r>
      <w:r>
        <w:t xml:space="preserve">not </w:t>
      </w:r>
      <w:r w:rsidR="00E026FE">
        <w:t xml:space="preserve">to </w:t>
      </w:r>
      <w:r>
        <w:t xml:space="preserve">communicate directly with the profession or the public.  </w:t>
      </w:r>
      <w:r w:rsidR="00653368">
        <w:t xml:space="preserve">During a trial, it may be awkward or inconvenient for judges to </w:t>
      </w:r>
      <w:r w:rsidR="00F447C4">
        <w:t>encounter litigants or witnesses in a coffee shop or similar premises near the court.  Judges</w:t>
      </w:r>
      <w:r w:rsidR="00653368">
        <w:t xml:space="preserve"> </w:t>
      </w:r>
      <w:r>
        <w:t>generally refrain from publicly expressing views on most issues, particularly potential controversies.  Judges therefore rely on their associate to answer the chambers telephone and to email litigants and interested parties.  The associate routinely communicates with members of the legal profession concerning the conduct of matters listed before the judge.  The associate is in effect an intermediary between the profession and the judge.</w:t>
      </w:r>
    </w:p>
    <w:p w14:paraId="0BC02BE9" w14:textId="5E87041F" w:rsidR="00270700" w:rsidRDefault="00270700" w:rsidP="0004466F">
      <w:pPr>
        <w:pStyle w:val="ListParagraph"/>
      </w:pPr>
      <w:r>
        <w:lastRenderedPageBreak/>
        <w:t>The above is a general description of the types of tasks an associate will ordinarily undertake.  However, as each judge may have different expectations of their associate and different understandings of the proper role of an associate, the role of one associate may differ significantly from another associate, even within the same court.  Significant latitude has traditionally been extended to judges to define the role of their associate in the way they see fit.  For example, some judges might invite their associate to prepare a first draft of a judgment, while others might not.  Some judges might ask their associate to assist them with matters unconnected to their judicial office (for example, by arranging restaurant reservations or private travel for the judge), but some judges might view that as inappropriate.</w:t>
      </w:r>
    </w:p>
    <w:p w14:paraId="240B49F6" w14:textId="6E074427" w:rsidR="0074193B" w:rsidRDefault="0074193B" w:rsidP="0004466F">
      <w:pPr>
        <w:pStyle w:val="ListParagraph"/>
      </w:pPr>
      <w:r>
        <w:t xml:space="preserve">The </w:t>
      </w:r>
      <w:r w:rsidR="00963EB5">
        <w:t xml:space="preserve">quality </w:t>
      </w:r>
      <w:r>
        <w:t>of the personal interactions between judges and associates also varies.  Some</w:t>
      </w:r>
      <w:r w:rsidR="005C161D">
        <w:t> </w:t>
      </w:r>
      <w:r>
        <w:t xml:space="preserve">judges are </w:t>
      </w:r>
      <w:r w:rsidR="00963EB5">
        <w:t xml:space="preserve">personable, </w:t>
      </w:r>
      <w:proofErr w:type="gramStart"/>
      <w:r w:rsidR="002A1513">
        <w:t>friendly</w:t>
      </w:r>
      <w:proofErr w:type="gramEnd"/>
      <w:r w:rsidR="002A1513">
        <w:t xml:space="preserve"> and very informal.  Other judges prefer to maintain more professional distance and may not, for example, invite an associate to use </w:t>
      </w:r>
      <w:r w:rsidR="00625B23">
        <w:t xml:space="preserve">their </w:t>
      </w:r>
      <w:r w:rsidR="002A1513">
        <w:t>first name</w:t>
      </w:r>
      <w:r w:rsidR="00954D11">
        <w:t>s</w:t>
      </w:r>
      <w:r w:rsidR="002A1513">
        <w:t xml:space="preserve">.  This issue </w:t>
      </w:r>
      <w:r w:rsidR="00CC753A">
        <w:t xml:space="preserve">was raised </w:t>
      </w:r>
      <w:r w:rsidR="002A1513">
        <w:t xml:space="preserve">in our study, as some suggest that a more </w:t>
      </w:r>
      <w:r w:rsidR="000F52E2">
        <w:t>professional and formal protocol is protective against sexual harassment.</w:t>
      </w:r>
    </w:p>
    <w:p w14:paraId="66613A0C" w14:textId="0BE4417B" w:rsidR="00270700" w:rsidRDefault="00270700" w:rsidP="0004466F">
      <w:pPr>
        <w:pStyle w:val="ListParagraph"/>
      </w:pPr>
      <w:bookmarkStart w:id="28" w:name="_Ref93843701"/>
      <w:r>
        <w:t>Despite the difficulties involved in attempting to define a</w:t>
      </w:r>
      <w:r w:rsidR="009C010D">
        <w:t xml:space="preserve"> “</w:t>
      </w:r>
      <w:r>
        <w:t>typical</w:t>
      </w:r>
      <w:r w:rsidR="009C010D">
        <w:t xml:space="preserve">” </w:t>
      </w:r>
      <w:r>
        <w:t xml:space="preserve">role of an associate, </w:t>
      </w:r>
      <w:r w:rsidR="003C4C4D">
        <w:t xml:space="preserve">for all the reasons described above </w:t>
      </w:r>
      <w:r>
        <w:t xml:space="preserve">the role necessarily involves a close working relationship and the </w:t>
      </w:r>
      <w:r w:rsidRPr="00173403">
        <w:t xml:space="preserve">maintenance of the judge’s confidence.  </w:t>
      </w:r>
      <w:r w:rsidR="003B03D8" w:rsidRPr="00173403">
        <w:t xml:space="preserve">The judge, the associate and the tipstaff typically spend many hours each day working together in </w:t>
      </w:r>
      <w:r w:rsidR="00625B23">
        <w:t xml:space="preserve">court and </w:t>
      </w:r>
      <w:r w:rsidR="003B03D8" w:rsidRPr="00173403">
        <w:t xml:space="preserve">the same or closely connected chambers, often under pressure from deadlines, urgent </w:t>
      </w:r>
      <w:proofErr w:type="gramStart"/>
      <w:r w:rsidR="003B03D8" w:rsidRPr="00173403">
        <w:t>applications</w:t>
      </w:r>
      <w:proofErr w:type="gramEnd"/>
      <w:r w:rsidR="003B03D8" w:rsidRPr="00173403">
        <w:t xml:space="preserve"> or stressful matters.  They</w:t>
      </w:r>
      <w:r w:rsidR="00CE07EA">
        <w:t> </w:t>
      </w:r>
      <w:r w:rsidR="003B03D8" w:rsidRPr="00173403">
        <w:t xml:space="preserve">may overhear personal telephone calls and observe each other’s personal and relatively private interactions.  </w:t>
      </w:r>
      <w:r w:rsidRPr="00173403">
        <w:t>As</w:t>
      </w:r>
      <w:r>
        <w:t xml:space="preserve"> </w:t>
      </w:r>
      <w:proofErr w:type="spellStart"/>
      <w:r>
        <w:t>Dowsett</w:t>
      </w:r>
      <w:proofErr w:type="spellEnd"/>
      <w:r>
        <w:t xml:space="preserve"> J stated in </w:t>
      </w:r>
      <w:r w:rsidRPr="00AC30A3">
        <w:rPr>
          <w:i/>
          <w:iCs/>
        </w:rPr>
        <w:t>Hurley v McDonald’s Australia Ltd</w:t>
      </w:r>
      <w:r>
        <w:t>:</w:t>
      </w:r>
      <w:r w:rsidR="00813C2A">
        <w:rPr>
          <w:rFonts w:ascii="ZWAdobeF" w:hAnsi="ZWAdobeF" w:cs="ZWAdobeF"/>
          <w:sz w:val="2"/>
          <w:szCs w:val="2"/>
        </w:rPr>
        <w:t>43F</w:t>
      </w:r>
      <w:r w:rsidR="00704B18">
        <w:rPr>
          <w:rFonts w:ascii="ZWAdobeF" w:hAnsi="ZWAdobeF" w:cs="ZWAdobeF"/>
          <w:sz w:val="2"/>
          <w:szCs w:val="2"/>
        </w:rPr>
        <w:t>48F</w:t>
      </w:r>
      <w:r>
        <w:rPr>
          <w:rStyle w:val="FootnoteReference"/>
        </w:rPr>
        <w:footnoteReference w:id="32"/>
      </w:r>
      <w:bookmarkEnd w:id="28"/>
    </w:p>
    <w:p w14:paraId="3AFCC53D" w14:textId="52989F61" w:rsidR="00270700" w:rsidRDefault="00270700" w:rsidP="008430A8">
      <w:pPr>
        <w:pStyle w:val="Quote"/>
        <w:rPr>
          <w:shd w:val="clear" w:color="auto" w:fill="FFFFFF"/>
        </w:rPr>
      </w:pPr>
      <w:r w:rsidRPr="00376E29">
        <w:rPr>
          <w:shd w:val="clear" w:color="auto" w:fill="FFFFFF"/>
        </w:rPr>
        <w:t>The relationship between</w:t>
      </w:r>
      <w:r w:rsidR="00AB069C">
        <w:rPr>
          <w:shd w:val="clear" w:color="auto" w:fill="FFFFFF"/>
        </w:rPr>
        <w:t xml:space="preserve"> </w:t>
      </w:r>
      <w:r w:rsidRPr="00376E29">
        <w:rPr>
          <w:shd w:val="clear" w:color="auto" w:fill="FFFFFF"/>
        </w:rPr>
        <w:t>associate</w:t>
      </w:r>
      <w:r w:rsidR="00AB069C">
        <w:rPr>
          <w:shd w:val="clear" w:color="auto" w:fill="FFFFFF"/>
        </w:rPr>
        <w:t xml:space="preserve"> </w:t>
      </w:r>
      <w:r w:rsidRPr="00376E29">
        <w:rPr>
          <w:shd w:val="clear" w:color="auto" w:fill="FFFFFF"/>
        </w:rPr>
        <w:t>and Judge is routinely described as being one of confidence</w:t>
      </w:r>
      <w:r>
        <w:rPr>
          <w:shd w:val="clear" w:color="auto" w:fill="FFFFFF"/>
        </w:rPr>
        <w:t xml:space="preserve">.  </w:t>
      </w:r>
      <w:r w:rsidRPr="00376E29">
        <w:rPr>
          <w:shd w:val="clear" w:color="auto" w:fill="FFFFFF"/>
        </w:rPr>
        <w:t>There are, I believe, substantial reasons why a Judge would expect an</w:t>
      </w:r>
      <w:r w:rsidR="00AB069C">
        <w:rPr>
          <w:shd w:val="clear" w:color="auto" w:fill="FFFFFF"/>
        </w:rPr>
        <w:t xml:space="preserve"> </w:t>
      </w:r>
      <w:r w:rsidRPr="00376E29">
        <w:rPr>
          <w:shd w:val="clear" w:color="auto" w:fill="FFFFFF"/>
        </w:rPr>
        <w:t>associate</w:t>
      </w:r>
      <w:r w:rsidR="00AB069C">
        <w:rPr>
          <w:shd w:val="clear" w:color="auto" w:fill="FFFFFF"/>
        </w:rPr>
        <w:t xml:space="preserve"> </w:t>
      </w:r>
      <w:r w:rsidRPr="00376E29">
        <w:rPr>
          <w:shd w:val="clear" w:color="auto" w:fill="FFFFFF"/>
        </w:rPr>
        <w:t>to maintain confidentiality concerning knowledge derived during his or her employment</w:t>
      </w:r>
      <w:r>
        <w:rPr>
          <w:shd w:val="clear" w:color="auto" w:fill="FFFFFF"/>
        </w:rPr>
        <w:t xml:space="preserve">.  </w:t>
      </w:r>
      <w:r w:rsidRPr="00376E29">
        <w:rPr>
          <w:shd w:val="clear" w:color="auto" w:fill="FFFFFF"/>
        </w:rPr>
        <w:t>The</w:t>
      </w:r>
      <w:r w:rsidR="00AB069C">
        <w:rPr>
          <w:shd w:val="clear" w:color="auto" w:fill="FFFFFF"/>
        </w:rPr>
        <w:t xml:space="preserve"> </w:t>
      </w:r>
      <w:r w:rsidRPr="00376E29">
        <w:rPr>
          <w:shd w:val="clear" w:color="auto" w:fill="FFFFFF"/>
        </w:rPr>
        <w:t>associate</w:t>
      </w:r>
      <w:r w:rsidR="00AB069C">
        <w:rPr>
          <w:shd w:val="clear" w:color="auto" w:fill="FFFFFF"/>
        </w:rPr>
        <w:t xml:space="preserve"> </w:t>
      </w:r>
      <w:r w:rsidRPr="00376E29">
        <w:rPr>
          <w:shd w:val="clear" w:color="auto" w:fill="FFFFFF"/>
        </w:rPr>
        <w:t>may have knowledge of the Judge</w:t>
      </w:r>
      <w:r w:rsidR="00927B8C">
        <w:rPr>
          <w:shd w:val="clear" w:color="auto" w:fill="FFFFFF"/>
        </w:rPr>
        <w:t>’</w:t>
      </w:r>
      <w:r w:rsidRPr="00376E29">
        <w:rPr>
          <w:shd w:val="clear" w:color="auto" w:fill="FFFFFF"/>
        </w:rPr>
        <w:t>s personal affairs, of relationships between Judges in the same court and of the Judge</w:t>
      </w:r>
      <w:r w:rsidR="00927B8C">
        <w:rPr>
          <w:shd w:val="clear" w:color="auto" w:fill="FFFFFF"/>
        </w:rPr>
        <w:t>’</w:t>
      </w:r>
      <w:r w:rsidRPr="00376E29">
        <w:rPr>
          <w:shd w:val="clear" w:color="auto" w:fill="FFFFFF"/>
        </w:rPr>
        <w:t xml:space="preserve">s views concerning individual practitioners, other Judges, public issues (including political issues) and other sensitive matters which, if they became public, might embarrass the </w:t>
      </w:r>
      <w:proofErr w:type="gramStart"/>
      <w:r w:rsidRPr="00376E29">
        <w:rPr>
          <w:shd w:val="clear" w:color="auto" w:fill="FFFFFF"/>
        </w:rPr>
        <w:t>Judge</w:t>
      </w:r>
      <w:proofErr w:type="gramEnd"/>
      <w:r w:rsidRPr="00376E29">
        <w:rPr>
          <w:shd w:val="clear" w:color="auto" w:fill="FFFFFF"/>
        </w:rPr>
        <w:t xml:space="preserve"> or detract from the capacity to fulfil his or her functions</w:t>
      </w:r>
      <w:r>
        <w:rPr>
          <w:shd w:val="clear" w:color="auto" w:fill="FFFFFF"/>
        </w:rPr>
        <w:t xml:space="preserve">.  </w:t>
      </w:r>
      <w:r w:rsidRPr="00376E29">
        <w:rPr>
          <w:shd w:val="clear" w:color="auto" w:fill="FFFFFF"/>
        </w:rPr>
        <w:t xml:space="preserve">It might also be embarrassing if knowledge of </w:t>
      </w:r>
      <w:proofErr w:type="gramStart"/>
      <w:r w:rsidRPr="00376E29">
        <w:rPr>
          <w:shd w:val="clear" w:color="auto" w:fill="FFFFFF"/>
        </w:rPr>
        <w:t>particular idiosyncrasies</w:t>
      </w:r>
      <w:proofErr w:type="gramEnd"/>
      <w:r w:rsidRPr="00376E29">
        <w:rPr>
          <w:shd w:val="clear" w:color="auto" w:fill="FFFFFF"/>
        </w:rPr>
        <w:t xml:space="preserve"> were to be disclosed.</w:t>
      </w:r>
    </w:p>
    <w:p w14:paraId="2082066F" w14:textId="21DA99FC" w:rsidR="005F591E" w:rsidRPr="005F591E" w:rsidRDefault="005F591E" w:rsidP="005F591E">
      <w:pPr>
        <w:pStyle w:val="ListParagraph"/>
      </w:pPr>
      <w:r>
        <w:t xml:space="preserve">Accordingly, it is unsurprising that many judges have reported that a </w:t>
      </w:r>
      <w:r w:rsidR="00653368">
        <w:t xml:space="preserve">very </w:t>
      </w:r>
      <w:r>
        <w:t>important criterion when selecting an associate or tipstave is whether they are likely to get on well together</w:t>
      </w:r>
      <w:r w:rsidR="00164F4C">
        <w:t>, share trust</w:t>
      </w:r>
      <w:r>
        <w:t xml:space="preserve"> and feel comfortable </w:t>
      </w:r>
      <w:r w:rsidR="00653368">
        <w:t xml:space="preserve">working </w:t>
      </w:r>
      <w:r>
        <w:t>in each other’s company.</w:t>
      </w:r>
    </w:p>
    <w:p w14:paraId="1B27CCE5" w14:textId="731C513A" w:rsidR="00270700" w:rsidRDefault="00270700" w:rsidP="007E723A">
      <w:pPr>
        <w:pStyle w:val="Heading2"/>
      </w:pPr>
      <w:bookmarkStart w:id="29" w:name="_Toc112606882"/>
      <w:r w:rsidRPr="00632392">
        <w:lastRenderedPageBreak/>
        <w:t>Role of Tipstaves</w:t>
      </w:r>
      <w:bookmarkEnd w:id="29"/>
    </w:p>
    <w:p w14:paraId="27BC18D9" w14:textId="23E8F3BB" w:rsidR="0098494D" w:rsidRDefault="00270700" w:rsidP="0004466F">
      <w:pPr>
        <w:pStyle w:val="ListParagraph"/>
      </w:pPr>
      <w:r>
        <w:t xml:space="preserve">Unlike Associates who are now generally drawn from a younger </w:t>
      </w:r>
      <w:proofErr w:type="gramStart"/>
      <w:r>
        <w:t>highly-educated</w:t>
      </w:r>
      <w:proofErr w:type="gramEnd"/>
      <w:r>
        <w:t xml:space="preserve"> demographic (and who remain at the court for a fixed term), tipstaves in Victorian courts tend to be recruited from an older cohort, and tend not to have any legal qualifications.</w:t>
      </w:r>
    </w:p>
    <w:p w14:paraId="7611FE3E" w14:textId="0449E4B9" w:rsidR="0098494D" w:rsidRDefault="0098494D" w:rsidP="0098494D">
      <w:pPr>
        <w:pStyle w:val="ListParagraph"/>
      </w:pPr>
      <w:r w:rsidRPr="006D4811">
        <w:t>We also heard</w:t>
      </w:r>
      <w:r>
        <w:t xml:space="preserve"> </w:t>
      </w:r>
      <w:r w:rsidRPr="006D4811">
        <w:t>that the tipstaves of both the Supreme and County Courts have remained, unusually for the present era, almost exclusively male</w:t>
      </w:r>
      <w:r>
        <w:t>, and that there have been occasional reports of “</w:t>
      </w:r>
      <w:proofErr w:type="gramStart"/>
      <w:r>
        <w:t>every day</w:t>
      </w:r>
      <w:proofErr w:type="gramEnd"/>
      <w:r>
        <w:t xml:space="preserve"> sexism” associated with the cohort.</w:t>
      </w:r>
      <w:r w:rsidR="00704B18">
        <w:rPr>
          <w:rFonts w:ascii="ZWAdobeF" w:hAnsi="ZWAdobeF" w:cs="ZWAdobeF"/>
          <w:sz w:val="2"/>
          <w:szCs w:val="2"/>
        </w:rPr>
        <w:t>49F</w:t>
      </w:r>
      <w:r>
        <w:rPr>
          <w:rStyle w:val="FootnoteReference"/>
        </w:rPr>
        <w:footnoteReference w:id="33"/>
      </w:r>
    </w:p>
    <w:p w14:paraId="5FF5978A" w14:textId="650088A6" w:rsidR="00270700" w:rsidRDefault="00C64C92" w:rsidP="0004466F">
      <w:pPr>
        <w:pStyle w:val="ListParagraph"/>
      </w:pPr>
      <w:r>
        <w:t xml:space="preserve">Tipstaves tend to be employed </w:t>
      </w:r>
      <w:r w:rsidR="005527BA">
        <w:t xml:space="preserve">on a long-term basis. </w:t>
      </w:r>
      <w:r w:rsidR="00270700">
        <w:t xml:space="preserve">Correspondingly, their role is more </w:t>
      </w:r>
      <w:proofErr w:type="gramStart"/>
      <w:r w:rsidR="00270700">
        <w:t>administrative</w:t>
      </w:r>
      <w:proofErr w:type="gramEnd"/>
      <w:r w:rsidR="00270700">
        <w:t xml:space="preserve"> and security focused in nature.  It is not focused on legal research and analysis like that of an associate.</w:t>
      </w:r>
      <w:r w:rsidR="0098494D">
        <w:t xml:space="preserve">  </w:t>
      </w:r>
    </w:p>
    <w:p w14:paraId="6BC369F0" w14:textId="00327C3B" w:rsidR="00270700" w:rsidRDefault="00270700" w:rsidP="0004466F">
      <w:pPr>
        <w:pStyle w:val="ListParagraph"/>
      </w:pPr>
      <w:bookmarkStart w:id="30" w:name="_Ref108879665"/>
      <w:r>
        <w:t>A tipstaff assigned to a particular judge may assist generally in maintaining the judge’s chambers and carry out tasks for the judge, including tasks which are not necessarily directly connected with the judge’s judicial functions.  In court, the role of the tipstaff includes ensuring the smooth conduct of the matter before the judge, including by opening the court, escorting the judge, maintaining security, order and decorum, managing any disruptions within the courtroom, operating in-court technology (and particularly during the COVID-19 pandemic, setting up and overseeing Zoom or Teams hearings) and liaising with the parties to ensure that any audio-visual recordings can be played without technical issues.  The</w:t>
      </w:r>
      <w:r w:rsidR="00CC57C2">
        <w:t> </w:t>
      </w:r>
      <w:r>
        <w:t>tipstaff will administer oaths and affirmations to witnesses and jurors.  In a jury trial, the tipstaff will be responsible for the logistics of managing the jury, communicating with the jury about administrative matters, and passing any notes from jurors to the trial judge.</w:t>
      </w:r>
      <w:bookmarkEnd w:id="30"/>
    </w:p>
    <w:p w14:paraId="0D2FD460" w14:textId="21D84089" w:rsidR="00062BB6" w:rsidRPr="003F3370" w:rsidRDefault="00BE4FA3" w:rsidP="00F05146">
      <w:pPr>
        <w:pStyle w:val="Heading2"/>
      </w:pPr>
      <w:bookmarkStart w:id="31" w:name="_Toc112606883"/>
      <w:r>
        <w:t xml:space="preserve">Brief </w:t>
      </w:r>
      <w:r w:rsidR="000A081C">
        <w:t>h</w:t>
      </w:r>
      <w:r w:rsidR="00062BB6" w:rsidRPr="003F3370">
        <w:t xml:space="preserve">istory of </w:t>
      </w:r>
      <w:r w:rsidR="001F79F1">
        <w:t xml:space="preserve">the recruitment </w:t>
      </w:r>
      <w:r w:rsidR="00FD7B54">
        <w:t xml:space="preserve">and </w:t>
      </w:r>
      <w:r w:rsidR="00B60F4C">
        <w:t xml:space="preserve">composition </w:t>
      </w:r>
      <w:r w:rsidR="00FD7B54">
        <w:t xml:space="preserve">of </w:t>
      </w:r>
      <w:r w:rsidR="00062BB6" w:rsidRPr="003F3370">
        <w:t>Victorian chambers staff</w:t>
      </w:r>
      <w:r w:rsidR="00813C2A">
        <w:rPr>
          <w:rFonts w:ascii="ZWAdobeF" w:hAnsi="ZWAdobeF" w:cs="ZWAdobeF"/>
          <w:spacing w:val="0"/>
          <w:sz w:val="2"/>
          <w:szCs w:val="2"/>
        </w:rPr>
        <w:t>44F</w:t>
      </w:r>
      <w:r w:rsidR="00704B18">
        <w:rPr>
          <w:rFonts w:ascii="ZWAdobeF" w:hAnsi="ZWAdobeF" w:cs="ZWAdobeF"/>
          <w:spacing w:val="0"/>
          <w:sz w:val="2"/>
          <w:szCs w:val="2"/>
        </w:rPr>
        <w:t>50F</w:t>
      </w:r>
      <w:r w:rsidR="00532222">
        <w:rPr>
          <w:rStyle w:val="FootnoteReference"/>
        </w:rPr>
        <w:footnoteReference w:id="34"/>
      </w:r>
      <w:bookmarkEnd w:id="31"/>
    </w:p>
    <w:p w14:paraId="7EF31F4B" w14:textId="68AE27C8" w:rsidR="00062BB6" w:rsidRPr="00062BB6" w:rsidRDefault="00062BB6" w:rsidP="0004466F">
      <w:pPr>
        <w:pStyle w:val="ListParagraph"/>
      </w:pPr>
      <w:r w:rsidRPr="00062BB6">
        <w:t xml:space="preserve">As </w:t>
      </w:r>
      <w:proofErr w:type="gramStart"/>
      <w:r w:rsidRPr="00062BB6">
        <w:t>at</w:t>
      </w:r>
      <w:proofErr w:type="gramEnd"/>
      <w:r w:rsidRPr="00062BB6">
        <w:t xml:space="preserve"> 2002, the Supreme Court protocol (which also applie</w:t>
      </w:r>
      <w:r w:rsidR="00653368">
        <w:t>d</w:t>
      </w:r>
      <w:r w:rsidRPr="00062BB6">
        <w:t xml:space="preserve"> to the County Court) for recruiting a</w:t>
      </w:r>
      <w:r w:rsidR="00F93BB5">
        <w:t xml:space="preserve"> </w:t>
      </w:r>
      <w:r w:rsidR="00E506E5">
        <w:t xml:space="preserve">trial </w:t>
      </w:r>
      <w:r w:rsidRPr="00062BB6">
        <w:t xml:space="preserve">judge’s chambers staff, comprising an associate and tipstaff, was traditional and longstanding.  </w:t>
      </w:r>
      <w:r w:rsidR="002A04CD">
        <w:t xml:space="preserve">Judges might know </w:t>
      </w:r>
      <w:r w:rsidRPr="00062BB6">
        <w:t>of suitable candidates</w:t>
      </w:r>
      <w:r w:rsidR="00FE5149">
        <w:t xml:space="preserve"> or</w:t>
      </w:r>
      <w:r w:rsidRPr="00062BB6">
        <w:t xml:space="preserve"> ask other judges or staff for suggestions.  Alternatively, they consulted a </w:t>
      </w:r>
      <w:r w:rsidR="00514907">
        <w:t xml:space="preserve">sometimes </w:t>
      </w:r>
      <w:r w:rsidR="00FE5149">
        <w:t xml:space="preserve">outdated, </w:t>
      </w:r>
      <w:r w:rsidRPr="00062BB6">
        <w:t xml:space="preserve">looseleaf compilation of applicants who had written </w:t>
      </w:r>
      <w:r w:rsidR="00FE5149">
        <w:t xml:space="preserve">to the Court </w:t>
      </w:r>
      <w:r w:rsidRPr="00062BB6">
        <w:t>seeking positions, which was kept in the offices of the Chief Justice’s Associate.</w:t>
      </w:r>
    </w:p>
    <w:p w14:paraId="500477D5" w14:textId="6EE827DA" w:rsidR="00062BB6" w:rsidRPr="00062BB6" w:rsidRDefault="00062BB6" w:rsidP="0004466F">
      <w:pPr>
        <w:pStyle w:val="ListParagraph"/>
      </w:pPr>
      <w:r w:rsidRPr="00062BB6">
        <w:lastRenderedPageBreak/>
        <w:t xml:space="preserve">The choice of an associate and tipstaff, their age, gender, </w:t>
      </w:r>
      <w:proofErr w:type="gramStart"/>
      <w:r w:rsidRPr="00062BB6">
        <w:t>qualities</w:t>
      </w:r>
      <w:proofErr w:type="gramEnd"/>
      <w:r w:rsidRPr="00062BB6">
        <w:t xml:space="preserve"> and qualifications, were entirely left to the judge.  Further, whether there would be any, and if so what, interviews, how any interviews would be conducted, who would be present and what questions would be asked, were also entirely left to the discretion of the judge.  </w:t>
      </w:r>
      <w:r w:rsidR="00FE5149">
        <w:t xml:space="preserve">The most important consideration was that the judge could repose confidence </w:t>
      </w:r>
      <w:proofErr w:type="gramStart"/>
      <w:r w:rsidR="00FE5149">
        <w:t>in, and</w:t>
      </w:r>
      <w:proofErr w:type="gramEnd"/>
      <w:r w:rsidR="00FE5149">
        <w:t xml:space="preserve"> </w:t>
      </w:r>
      <w:r w:rsidRPr="00062BB6">
        <w:t xml:space="preserve">feel comfortable with a staff member with whom he or she was to work so closely and on whom the judge </w:t>
      </w:r>
      <w:r w:rsidR="007D12A4">
        <w:t xml:space="preserve">would </w:t>
      </w:r>
      <w:r w:rsidRPr="00062BB6">
        <w:t xml:space="preserve">greatly depend for many </w:t>
      </w:r>
      <w:r w:rsidR="007D12A4">
        <w:t xml:space="preserve">interactions </w:t>
      </w:r>
      <w:r w:rsidRPr="00062BB6">
        <w:t>with the profession, litigants and the public.</w:t>
      </w:r>
    </w:p>
    <w:p w14:paraId="5675FC52" w14:textId="1AE17C09" w:rsidR="00062BB6" w:rsidRPr="00062BB6" w:rsidRDefault="00550FCB" w:rsidP="0004466F">
      <w:pPr>
        <w:pStyle w:val="ListParagraph"/>
      </w:pPr>
      <w:r>
        <w:t>According to the traditional practice, t</w:t>
      </w:r>
      <w:r w:rsidR="00062BB6" w:rsidRPr="00062BB6">
        <w:t>he associate and the tipstaff were formally employed by the judge, pursuant to a contract under which their employment was tied to the judge personally.  Should the judge retire or die, their employment theoretically would cease, although in practice, another position in the court might be found for them.</w:t>
      </w:r>
      <w:r w:rsidR="00162396">
        <w:rPr>
          <w:rStyle w:val="FootnoteReference"/>
        </w:rPr>
        <w:footnoteReference w:id="35"/>
      </w:r>
      <w:r w:rsidR="00062BB6" w:rsidRPr="00062BB6">
        <w:t xml:space="preserve">  Although</w:t>
      </w:r>
      <w:r w:rsidR="005B43F5">
        <w:t xml:space="preserve"> the associate and tipstaff were</w:t>
      </w:r>
      <w:r w:rsidR="00062BB6" w:rsidRPr="00062BB6">
        <w:t xml:space="preserve"> employed by the judge, </w:t>
      </w:r>
      <w:r w:rsidR="005B43F5">
        <w:t xml:space="preserve">their </w:t>
      </w:r>
      <w:r w:rsidR="00062BB6" w:rsidRPr="00062BB6">
        <w:t xml:space="preserve">salaries were </w:t>
      </w:r>
      <w:r w:rsidR="00BA69E9">
        <w:t xml:space="preserve">government </w:t>
      </w:r>
      <w:r w:rsidR="00062BB6" w:rsidRPr="00062BB6">
        <w:t>funded</w:t>
      </w:r>
      <w:r w:rsidR="00BA69E9">
        <w:t>.</w:t>
      </w:r>
    </w:p>
    <w:p w14:paraId="075DBCBF" w14:textId="1A2D4835" w:rsidR="00062BB6" w:rsidRPr="00062BB6" w:rsidRDefault="00062BB6" w:rsidP="0004466F">
      <w:pPr>
        <w:pStyle w:val="ListParagraph"/>
      </w:pPr>
      <w:r w:rsidRPr="00062BB6">
        <w:t>At this time, the roles of the associate and the tipstaff were fundamentally the same as at present</w:t>
      </w:r>
      <w:r w:rsidR="00CB5CA5">
        <w:t xml:space="preserve">, as described at </w:t>
      </w:r>
      <w:r w:rsidR="00CB5CA5" w:rsidRPr="00047677">
        <w:t>paragraphs</w:t>
      </w:r>
      <w:r w:rsidR="00C12A35" w:rsidRPr="00047677">
        <w:t xml:space="preserve"> </w:t>
      </w:r>
      <w:r w:rsidR="00927B8C" w:rsidRPr="00047677">
        <w:t>[</w:t>
      </w:r>
      <w:r w:rsidR="00F37444" w:rsidRPr="00047677">
        <w:fldChar w:fldCharType="begin"/>
      </w:r>
      <w:r w:rsidR="00F37444" w:rsidRPr="00047677">
        <w:instrText xml:space="preserve"> REF _Ref93843690 \r \h </w:instrText>
      </w:r>
      <w:r w:rsidR="00047677">
        <w:instrText xml:space="preserve"> \* MERGEFORMAT </w:instrText>
      </w:r>
      <w:r w:rsidR="00F37444" w:rsidRPr="00047677">
        <w:fldChar w:fldCharType="separate"/>
      </w:r>
      <w:r w:rsidR="00CF093C">
        <w:t>103</w:t>
      </w:r>
      <w:r w:rsidR="00F37444" w:rsidRPr="00047677">
        <w:fldChar w:fldCharType="end"/>
      </w:r>
      <w:r w:rsidR="00927B8C" w:rsidRPr="00047677">
        <w:t>]</w:t>
      </w:r>
      <w:r w:rsidR="00B61174" w:rsidRPr="00047677">
        <w:t>-</w:t>
      </w:r>
      <w:r w:rsidR="00600AEA" w:rsidRPr="00047677">
        <w:t>[</w:t>
      </w:r>
      <w:r w:rsidR="00F37444" w:rsidRPr="00047677">
        <w:fldChar w:fldCharType="begin"/>
      </w:r>
      <w:r w:rsidR="00F37444" w:rsidRPr="00047677">
        <w:instrText xml:space="preserve"> REF _Ref108879665 \r \h </w:instrText>
      </w:r>
      <w:r w:rsidR="00047677">
        <w:instrText xml:space="preserve"> \* MERGEFORMAT </w:instrText>
      </w:r>
      <w:r w:rsidR="00F37444" w:rsidRPr="00047677">
        <w:fldChar w:fldCharType="separate"/>
      </w:r>
      <w:r w:rsidR="00CF093C">
        <w:t>116</w:t>
      </w:r>
      <w:r w:rsidR="00F37444" w:rsidRPr="00047677">
        <w:fldChar w:fldCharType="end"/>
      </w:r>
      <w:r w:rsidR="00600AEA" w:rsidRPr="00047677">
        <w:t>]</w:t>
      </w:r>
      <w:r w:rsidR="00846FCC" w:rsidRPr="00047677">
        <w:t xml:space="preserve"> </w:t>
      </w:r>
      <w:r w:rsidR="00CB5CA5" w:rsidRPr="00047677">
        <w:t>above</w:t>
      </w:r>
      <w:r w:rsidRPr="00062BB6">
        <w:t xml:space="preserve">.  </w:t>
      </w:r>
      <w:r w:rsidR="00745A25">
        <w:t>A</w:t>
      </w:r>
      <w:r w:rsidR="00745A25" w:rsidRPr="00062BB6">
        <w:t>lthough it was then relatively rare</w:t>
      </w:r>
      <w:r w:rsidR="00745A25">
        <w:t>,</w:t>
      </w:r>
      <w:r w:rsidR="00745A25" w:rsidRPr="00062BB6">
        <w:t xml:space="preserve"> some </w:t>
      </w:r>
      <w:r w:rsidRPr="00062BB6">
        <w:t>judges had two associates rather than an associate and a tipstaff</w:t>
      </w:r>
      <w:r w:rsidR="00745A25">
        <w:t>.</w:t>
      </w:r>
      <w:r w:rsidRPr="00062BB6">
        <w:t xml:space="preserve">  In such cases, the associates performed the tipstaff’s functions in court and </w:t>
      </w:r>
      <w:r w:rsidR="00745A25">
        <w:t xml:space="preserve">carried </w:t>
      </w:r>
      <w:r w:rsidRPr="00062BB6">
        <w:t xml:space="preserve">out </w:t>
      </w:r>
      <w:r w:rsidR="00653368">
        <w:t xml:space="preserve">minor </w:t>
      </w:r>
      <w:r w:rsidRPr="00062BB6">
        <w:t>services (such as running errands or fetching lunch).</w:t>
      </w:r>
    </w:p>
    <w:p w14:paraId="321E8E87" w14:textId="02CF7B9D" w:rsidR="00062BB6" w:rsidRPr="00062BB6" w:rsidRDefault="00062BB6" w:rsidP="0004466F">
      <w:pPr>
        <w:pStyle w:val="ListParagraph"/>
      </w:pPr>
      <w:r w:rsidRPr="00062BB6">
        <w:t xml:space="preserve">There was no requirement that associates possess legal qualifications or experience.  It was not uncommon for judges to have associates with no legal qualifications.  Similarly, it was not uncommon for associates to be personal relations of the judge.  Examples </w:t>
      </w:r>
      <w:r w:rsidR="006A4102">
        <w:t xml:space="preserve">of close relatives working as associates </w:t>
      </w:r>
      <w:r w:rsidRPr="00062BB6">
        <w:t xml:space="preserve">included the brother, son, daughter, sister and even a wife of the </w:t>
      </w:r>
      <w:r w:rsidR="006A4102">
        <w:t xml:space="preserve">relevant </w:t>
      </w:r>
      <w:r w:rsidRPr="00062BB6">
        <w:t>judge.  In other instances, the associate might be the child of a family friend, colleague, or a more distant relative.  In</w:t>
      </w:r>
      <w:r>
        <w:t> </w:t>
      </w:r>
      <w:r w:rsidRPr="00062BB6">
        <w:t>other cases, judges might employ each other’s children.</w:t>
      </w:r>
    </w:p>
    <w:p w14:paraId="594EB226" w14:textId="75484C7A" w:rsidR="00062BB6" w:rsidRPr="00062BB6" w:rsidRDefault="00062BB6" w:rsidP="0004466F">
      <w:pPr>
        <w:pStyle w:val="ListParagraph"/>
      </w:pPr>
      <w:r w:rsidRPr="00062BB6">
        <w:t>The ages and professional background of the associates was quite varied.  A</w:t>
      </w:r>
      <w:r w:rsidR="002B57E8">
        <w:t> </w:t>
      </w:r>
      <w:r w:rsidRPr="00062BB6">
        <w:t xml:space="preserve">majority were young law graduates (albeit not </w:t>
      </w:r>
      <w:r w:rsidR="009164C4">
        <w:t xml:space="preserve">necessarily </w:t>
      </w:r>
      <w:r w:rsidRPr="00062BB6">
        <w:t xml:space="preserve">competitively selected on merit) who retained the position for approximately two years.  However, there was also a not inconsiderable number of older associates in their 50s, 60s, 70s and even 80s, who had retired from their primary careers. </w:t>
      </w:r>
      <w:r w:rsidR="000E42C6">
        <w:t xml:space="preserve"> </w:t>
      </w:r>
      <w:r w:rsidRPr="00062BB6">
        <w:t>They included</w:t>
      </w:r>
      <w:r w:rsidR="00813C2A">
        <w:rPr>
          <w:rFonts w:ascii="ZWAdobeF" w:hAnsi="ZWAdobeF" w:cs="ZWAdobeF"/>
          <w:sz w:val="2"/>
          <w:szCs w:val="2"/>
        </w:rPr>
        <w:t>45F</w:t>
      </w:r>
      <w:r w:rsidR="00704B18">
        <w:rPr>
          <w:rFonts w:ascii="ZWAdobeF" w:hAnsi="ZWAdobeF" w:cs="ZWAdobeF"/>
          <w:sz w:val="2"/>
          <w:szCs w:val="2"/>
        </w:rPr>
        <w:t>51F</w:t>
      </w:r>
      <w:r w:rsidR="00F16517">
        <w:rPr>
          <w:rStyle w:val="FootnoteReference"/>
        </w:rPr>
        <w:footnoteReference w:id="36"/>
      </w:r>
      <w:r w:rsidRPr="00062BB6">
        <w:t xml:space="preserve"> a retired banker, chemist, headmaster and </w:t>
      </w:r>
      <w:r w:rsidR="006A4102">
        <w:t xml:space="preserve">several </w:t>
      </w:r>
      <w:r w:rsidRPr="00062BB6">
        <w:t>lawyer</w:t>
      </w:r>
      <w:r w:rsidR="008D18F2">
        <w:t>s</w:t>
      </w:r>
      <w:r w:rsidRPr="00062BB6">
        <w:t xml:space="preserve"> who had </w:t>
      </w:r>
      <w:r w:rsidR="00971B81">
        <w:t xml:space="preserve">transitioned </w:t>
      </w:r>
      <w:r w:rsidRPr="00062BB6">
        <w:t>from more demanding role</w:t>
      </w:r>
      <w:r w:rsidR="006A4102">
        <w:t>s</w:t>
      </w:r>
      <w:r w:rsidRPr="00062BB6">
        <w:t xml:space="preserve">.  Many of those associates were permanently employed and worked at the court for years, ultimately retiring only with “their” judge.  </w:t>
      </w:r>
      <w:r w:rsidR="007E28B2">
        <w:t xml:space="preserve">Some interviewees do not </w:t>
      </w:r>
      <w:r w:rsidR="00525E9E">
        <w:t xml:space="preserve">recollect a marked imbalance in the number of male and </w:t>
      </w:r>
      <w:r w:rsidR="00525E9E">
        <w:lastRenderedPageBreak/>
        <w:t xml:space="preserve">female associates in the early 2000s, but records </w:t>
      </w:r>
      <w:r w:rsidR="00CD60A6">
        <w:t xml:space="preserve">indicate that </w:t>
      </w:r>
      <w:proofErr w:type="gramStart"/>
      <w:r w:rsidR="00CD60A6">
        <w:t>a majority</w:t>
      </w:r>
      <w:r w:rsidR="00D06769">
        <w:t xml:space="preserve"> of</w:t>
      </w:r>
      <w:proofErr w:type="gramEnd"/>
      <w:r w:rsidR="00D06769">
        <w:t xml:space="preserve"> associates were female.</w:t>
      </w:r>
    </w:p>
    <w:p w14:paraId="3B15453B" w14:textId="4D622E2E" w:rsidR="00062BB6" w:rsidRPr="00062BB6" w:rsidRDefault="00062BB6" w:rsidP="0004466F">
      <w:pPr>
        <w:pStyle w:val="ListParagraph"/>
      </w:pPr>
      <w:bookmarkStart w:id="32" w:name="_Ref107382115"/>
      <w:r w:rsidRPr="00062BB6">
        <w:t>Tipstaves</w:t>
      </w:r>
      <w:r w:rsidR="000E40C3">
        <w:t>,</w:t>
      </w:r>
      <w:r w:rsidRPr="00062BB6">
        <w:t xml:space="preserve"> similarly</w:t>
      </w:r>
      <w:r w:rsidR="000E40C3">
        <w:t>,</w:t>
      </w:r>
      <w:r w:rsidRPr="00062BB6">
        <w:t xml:space="preserve"> were not competitively selected and there were no </w:t>
      </w:r>
      <w:proofErr w:type="gramStart"/>
      <w:r w:rsidRPr="00062BB6">
        <w:t>particular prerequisites</w:t>
      </w:r>
      <w:proofErr w:type="gramEnd"/>
      <w:r w:rsidRPr="00062BB6">
        <w:t xml:space="preserve"> for the role, other than the capacity to carry out the necessary functions.  Tipstaves nevertheless </w:t>
      </w:r>
      <w:r w:rsidR="008E76F3">
        <w:t xml:space="preserve">in practice </w:t>
      </w:r>
      <w:r w:rsidRPr="00062BB6">
        <w:t>tended to be retired prison</w:t>
      </w:r>
      <w:r w:rsidR="000E40C3">
        <w:t>,</w:t>
      </w:r>
      <w:r w:rsidRPr="00062BB6">
        <w:t xml:space="preserve"> custodial </w:t>
      </w:r>
      <w:r w:rsidR="000E40C3">
        <w:t xml:space="preserve">or </w:t>
      </w:r>
      <w:r w:rsidRPr="00062BB6">
        <w:t>military personnel.  They were exclusively male and</w:t>
      </w:r>
      <w:r w:rsidR="00A62CEA">
        <w:t>,</w:t>
      </w:r>
      <w:r w:rsidR="000E40C3">
        <w:t xml:space="preserve"> (like the judges)</w:t>
      </w:r>
      <w:r w:rsidRPr="00062BB6">
        <w:t xml:space="preserve"> constituted (having retired from their primary careers) an older demographic.  </w:t>
      </w:r>
      <w:r w:rsidR="004A55CB">
        <w:t xml:space="preserve">There have been suggestions that their military background predisposed tipstaves </w:t>
      </w:r>
      <w:r w:rsidR="00152AC4">
        <w:t xml:space="preserve">not to question a judge’s directions.  Similarly, some informants indicated that some tipstaves </w:t>
      </w:r>
      <w:r w:rsidR="009164C4">
        <w:t xml:space="preserve">(and </w:t>
      </w:r>
      <w:r w:rsidR="00653368">
        <w:t xml:space="preserve">in the past, </w:t>
      </w:r>
      <w:r w:rsidR="009164C4">
        <w:t xml:space="preserve">older male associates in at least one court) </w:t>
      </w:r>
      <w:r w:rsidR="00152AC4">
        <w:t>tended to engage in sexist “banter”</w:t>
      </w:r>
      <w:r w:rsidR="00AC3D70">
        <w:t xml:space="preserve">.  However, that was not a uniform perception.  </w:t>
      </w:r>
      <w:r w:rsidRPr="00062BB6">
        <w:t>The</w:t>
      </w:r>
      <w:r w:rsidR="000E42C6">
        <w:t> </w:t>
      </w:r>
      <w:r w:rsidRPr="00062BB6">
        <w:t xml:space="preserve">tipstaves’ remuneration was </w:t>
      </w:r>
      <w:r w:rsidR="008E76F3">
        <w:t xml:space="preserve">said to be </w:t>
      </w:r>
      <w:r w:rsidRPr="00062BB6">
        <w:t>modest, which was apparently justified on the ground that it was merely supplementary to a military or similar pension.</w:t>
      </w:r>
      <w:bookmarkEnd w:id="32"/>
    </w:p>
    <w:p w14:paraId="3A0DB1B7" w14:textId="729850FE" w:rsidR="00062BB6" w:rsidRPr="00062BB6" w:rsidRDefault="00062BB6" w:rsidP="0004466F">
      <w:pPr>
        <w:pStyle w:val="ListParagraph"/>
      </w:pPr>
      <w:r w:rsidRPr="00062BB6">
        <w:t>The tipstaves appeared to be a close</w:t>
      </w:r>
      <w:r w:rsidRPr="00062BB6">
        <w:noBreakHyphen/>
        <w:t>knit professional cohort</w:t>
      </w:r>
      <w:r w:rsidR="00A62CEA">
        <w:t xml:space="preserve"> within the Court</w:t>
      </w:r>
      <w:r w:rsidRPr="00062BB6">
        <w:t xml:space="preserve">.  They were permanently </w:t>
      </w:r>
      <w:proofErr w:type="gramStart"/>
      <w:r w:rsidRPr="00062BB6">
        <w:t>employed</w:t>
      </w:r>
      <w:proofErr w:type="gramEnd"/>
      <w:r w:rsidRPr="00062BB6">
        <w:t xml:space="preserve"> and many worked at the court, often for the same judge, for many years.</w:t>
      </w:r>
    </w:p>
    <w:p w14:paraId="3A6785AF" w14:textId="3C515185" w:rsidR="00062BB6" w:rsidRDefault="00062BB6" w:rsidP="0004466F">
      <w:pPr>
        <w:pStyle w:val="ListParagraph"/>
      </w:pPr>
      <w:r w:rsidRPr="00062BB6">
        <w:t>From personal observation, the tipstaves</w:t>
      </w:r>
      <w:r w:rsidR="008E76F3">
        <w:t xml:space="preserve"> in the Supreme Court</w:t>
      </w:r>
      <w:r w:rsidRPr="00062BB6">
        <w:t xml:space="preserve">, usually older men who were experienced and continuing employees, often had very amiable, strongly </w:t>
      </w:r>
      <w:proofErr w:type="gramStart"/>
      <w:r w:rsidRPr="00062BB6">
        <w:t>supportive</w:t>
      </w:r>
      <w:proofErr w:type="gramEnd"/>
      <w:r w:rsidRPr="00062BB6">
        <w:t xml:space="preserve"> and even protective relationships with their judge’s associates, including the young female associates.  Thus, while the associate and tipstaff model prevailed, the judge, associate and tipstaff maintained a close tripartite professional relationship.  At that time, there was no advertising for associates</w:t>
      </w:r>
      <w:r w:rsidR="008D18F2">
        <w:t xml:space="preserve"> or tipstaves</w:t>
      </w:r>
      <w:r w:rsidRPr="00062BB6">
        <w:t xml:space="preserve">.  Indeed, </w:t>
      </w:r>
      <w:r w:rsidR="00C32DE0">
        <w:t xml:space="preserve">a new judge </w:t>
      </w:r>
      <w:proofErr w:type="gramStart"/>
      <w:r w:rsidRPr="00062BB6">
        <w:t>made an attempt</w:t>
      </w:r>
      <w:proofErr w:type="gramEnd"/>
      <w:r w:rsidRPr="00062BB6">
        <w:t xml:space="preserve"> to advertise for an associate, in 2000 or 2002</w:t>
      </w:r>
      <w:r w:rsidR="0090642C">
        <w:t>,</w:t>
      </w:r>
      <w:r w:rsidRPr="00062BB6">
        <w:t xml:space="preserve"> but was informed by senior judges that it was not an accepted or correct practice.</w:t>
      </w:r>
    </w:p>
    <w:p w14:paraId="4E983F89" w14:textId="35D49C8F" w:rsidR="00A27914" w:rsidRDefault="00A27914" w:rsidP="0004466F">
      <w:pPr>
        <w:pStyle w:val="ListParagraph"/>
      </w:pPr>
      <w:r>
        <w:t>The above relates to chambers staff in the trial division.  A similar position prevailed in the Court of Appeal, save that the appeal judges shared a tipstaff’s services between three or four judges, as there were no juries or trial work.</w:t>
      </w:r>
    </w:p>
    <w:p w14:paraId="3886EBC6" w14:textId="018E098D" w:rsidR="00653368" w:rsidRDefault="00653368" w:rsidP="0004466F">
      <w:pPr>
        <w:pStyle w:val="ListParagraph"/>
      </w:pPr>
      <w:r>
        <w:t xml:space="preserve">Traditionally, judicial officers of the Magistrates’ Court, Children’s Court, Coroners Court and VCAT </w:t>
      </w:r>
      <w:r w:rsidR="0085170D">
        <w:t xml:space="preserve">have </w:t>
      </w:r>
      <w:r>
        <w:t>worked with</w:t>
      </w:r>
      <w:r w:rsidR="0085170D">
        <w:t>out</w:t>
      </w:r>
      <w:r>
        <w:t xml:space="preserve"> </w:t>
      </w:r>
      <w:r w:rsidR="000359C3">
        <w:t>dedicated associates and tipstaves.  We discuss the current position in those courts and VCAT below.</w:t>
      </w:r>
    </w:p>
    <w:p w14:paraId="4CDBC3E2" w14:textId="42639E79" w:rsidR="008817C5" w:rsidRPr="00B67CDE" w:rsidRDefault="008817C5" w:rsidP="0006530B">
      <w:pPr>
        <w:pStyle w:val="Heading1"/>
      </w:pPr>
      <w:bookmarkStart w:id="33" w:name="_Toc93057573"/>
      <w:bookmarkStart w:id="34" w:name="_Toc112606884"/>
      <w:r w:rsidRPr="00B67CDE">
        <w:t>The American clerkship hiring process and working conditions – Risks and Incentives</w:t>
      </w:r>
      <w:bookmarkEnd w:id="33"/>
      <w:bookmarkEnd w:id="34"/>
    </w:p>
    <w:p w14:paraId="54553C1F" w14:textId="7E7588F8" w:rsidR="00F60AB7" w:rsidRDefault="00F60AB7" w:rsidP="0004466F">
      <w:pPr>
        <w:pStyle w:val="ListParagraph"/>
      </w:pPr>
      <w:r>
        <w:t xml:space="preserve">The </w:t>
      </w:r>
      <w:r w:rsidR="00EB7647">
        <w:t>legal clerkship system — particularly as it exists in the federal court system in the United States —</w:t>
      </w:r>
      <w:r w:rsidR="00704B18">
        <w:rPr>
          <w:rFonts w:ascii="ZWAdobeF" w:hAnsi="ZWAdobeF" w:cs="ZWAdobeF"/>
          <w:sz w:val="2"/>
          <w:szCs w:val="2"/>
        </w:rPr>
        <w:t>53F</w:t>
      </w:r>
      <w:r w:rsidR="00EB7647">
        <w:t xml:space="preserve"> </w:t>
      </w:r>
      <w:r>
        <w:t xml:space="preserve">is highly relevant to the present review, as the </w:t>
      </w:r>
      <w:r w:rsidR="000359C3">
        <w:t xml:space="preserve">Victorian </w:t>
      </w:r>
      <w:r>
        <w:t xml:space="preserve">associateship model has, </w:t>
      </w:r>
      <w:r>
        <w:lastRenderedPageBreak/>
        <w:t xml:space="preserve">of recent years, tended to replicate it.  Some features of the American system </w:t>
      </w:r>
      <w:r w:rsidR="00537CF5">
        <w:t>heighten the risk of sexual harassment of chambers staff.  It is useful to identify those elements to see if they can be modified in the Australian model.</w:t>
      </w:r>
    </w:p>
    <w:p w14:paraId="25F6A5DF" w14:textId="0C05E638" w:rsidR="008817C5" w:rsidRDefault="008817C5" w:rsidP="0004466F">
      <w:pPr>
        <w:pStyle w:val="ListParagraph"/>
      </w:pPr>
      <w:r>
        <w:t xml:space="preserve">In </w:t>
      </w:r>
      <w:r>
        <w:rPr>
          <w:i/>
          <w:iCs/>
        </w:rPr>
        <w:t>On Sexual Harassment in the Judiciary</w:t>
      </w:r>
      <w:r>
        <w:t>,</w:t>
      </w:r>
      <w:r w:rsidR="00813C2A">
        <w:rPr>
          <w:rFonts w:ascii="ZWAdobeF" w:hAnsi="ZWAdobeF" w:cs="ZWAdobeF"/>
          <w:sz w:val="2"/>
          <w:szCs w:val="2"/>
        </w:rPr>
        <w:t>47F</w:t>
      </w:r>
      <w:r w:rsidR="00704B18">
        <w:rPr>
          <w:rFonts w:ascii="ZWAdobeF" w:hAnsi="ZWAdobeF" w:cs="ZWAdobeF"/>
          <w:sz w:val="2"/>
          <w:szCs w:val="2"/>
        </w:rPr>
        <w:t>54F</w:t>
      </w:r>
      <w:r w:rsidR="00754684">
        <w:rPr>
          <w:rStyle w:val="FootnoteReference"/>
        </w:rPr>
        <w:footnoteReference w:id="37"/>
      </w:r>
      <w:r>
        <w:t xml:space="preserve"> </w:t>
      </w:r>
      <w:proofErr w:type="spellStart"/>
      <w:r>
        <w:t>Litman</w:t>
      </w:r>
      <w:proofErr w:type="spellEnd"/>
      <w:r>
        <w:t xml:space="preserve"> and Shah</w:t>
      </w:r>
      <w:r w:rsidR="004908EA">
        <w:t xml:space="preserve"> (writing after highly publicised </w:t>
      </w:r>
      <w:r w:rsidR="000359C3">
        <w:t xml:space="preserve">allegations that two eminent American judges </w:t>
      </w:r>
      <w:r w:rsidR="004908EA">
        <w:t>sexual</w:t>
      </w:r>
      <w:r w:rsidR="000359C3">
        <w:t>ly</w:t>
      </w:r>
      <w:r w:rsidR="004908EA">
        <w:t xml:space="preserve"> harass</w:t>
      </w:r>
      <w:r w:rsidR="000359C3">
        <w:t>ed</w:t>
      </w:r>
      <w:r w:rsidR="004908EA">
        <w:t xml:space="preserve"> law clerks)</w:t>
      </w:r>
      <w:r>
        <w:t xml:space="preserve"> describe the American judicial clerkship, which </w:t>
      </w:r>
      <w:r w:rsidR="009E0839">
        <w:t xml:space="preserve">broadly </w:t>
      </w:r>
      <w:r>
        <w:t xml:space="preserve">corresponds to associateship in Australia.  The authors also identify </w:t>
      </w:r>
      <w:r w:rsidR="002F7A68">
        <w:t>“</w:t>
      </w:r>
      <w:r>
        <w:t>perverse incentives</w:t>
      </w:r>
      <w:r w:rsidR="002F7A68">
        <w:t>”</w:t>
      </w:r>
      <w:r>
        <w:t xml:space="preserve"> that create an environment conducive to </w:t>
      </w:r>
      <w:r w:rsidR="002F7A68">
        <w:t xml:space="preserve">the </w:t>
      </w:r>
      <w:r>
        <w:t xml:space="preserve">sexual harassment </w:t>
      </w:r>
      <w:r w:rsidR="002F7A68">
        <w:t xml:space="preserve">of </w:t>
      </w:r>
      <w:r>
        <w:t>American Federal Court clerks</w:t>
      </w:r>
      <w:r w:rsidR="002F7A68">
        <w:t>.</w:t>
      </w:r>
    </w:p>
    <w:p w14:paraId="02461DA7" w14:textId="72F22FD6" w:rsidR="008817C5" w:rsidRDefault="008817C5" w:rsidP="0004466F">
      <w:pPr>
        <w:pStyle w:val="ListParagraph"/>
      </w:pPr>
      <w:r>
        <w:t>It appears that although there are variations between courts</w:t>
      </w:r>
      <w:r w:rsidR="009E3468">
        <w:t>,</w:t>
      </w:r>
      <w:r>
        <w:t xml:space="preserve"> </w:t>
      </w:r>
      <w:r w:rsidR="009E0839">
        <w:t xml:space="preserve">American </w:t>
      </w:r>
      <w:r>
        <w:t xml:space="preserve">“Judicial law clerks” share basic job functions of researching legal issues, distilling briefs filed by the parties and helping their judge come to a legal conclusion.  </w:t>
      </w:r>
      <w:r w:rsidR="00C20668">
        <w:t xml:space="preserve">Clerks may or may not </w:t>
      </w:r>
      <w:r>
        <w:t>draft opinions</w:t>
      </w:r>
      <w:r w:rsidR="00C20668">
        <w:t>.  Some</w:t>
      </w:r>
      <w:r w:rsidR="000E42C6">
        <w:t> </w:t>
      </w:r>
      <w:r w:rsidR="00C20668">
        <w:t>are</w:t>
      </w:r>
      <w:r>
        <w:t xml:space="preserve"> permanent but most </w:t>
      </w:r>
      <w:r w:rsidR="00C20668">
        <w:t xml:space="preserve">are hired </w:t>
      </w:r>
      <w:r>
        <w:t xml:space="preserve">on an annual basis.  </w:t>
      </w:r>
      <w:r w:rsidR="00C20668">
        <w:t xml:space="preserve">Clerks </w:t>
      </w:r>
      <w:r>
        <w:t xml:space="preserve">typically work in chambers with </w:t>
      </w:r>
      <w:r w:rsidR="00857FCB">
        <w:t xml:space="preserve">their </w:t>
      </w:r>
      <w:r>
        <w:t>co</w:t>
      </w:r>
      <w:r>
        <w:noBreakHyphen/>
        <w:t>clerks</w:t>
      </w:r>
      <w:r w:rsidR="00857FCB">
        <w:t>.</w:t>
      </w:r>
    </w:p>
    <w:p w14:paraId="56EC47A3" w14:textId="7E17B3D6" w:rsidR="008817C5" w:rsidRDefault="00857FCB" w:rsidP="0004466F">
      <w:pPr>
        <w:pStyle w:val="ListParagraph"/>
        <w:keepNext/>
      </w:pPr>
      <w:r>
        <w:t xml:space="preserve">According to the authors, clerkships </w:t>
      </w:r>
      <w:r w:rsidR="008817C5">
        <w:t>provide the following personal and professional benefits</w:t>
      </w:r>
      <w:r w:rsidR="006900D9">
        <w:t xml:space="preserve"> for clerks</w:t>
      </w:r>
      <w:r w:rsidR="008817C5">
        <w:t>:</w:t>
      </w:r>
    </w:p>
    <w:p w14:paraId="41852C5B" w14:textId="589A24EA" w:rsidR="008817C5" w:rsidRDefault="00DC091B" w:rsidP="005223D1">
      <w:pPr>
        <w:pStyle w:val="List2"/>
      </w:pPr>
      <w:r>
        <w:t>they</w:t>
      </w:r>
      <w:r w:rsidR="00857FCB">
        <w:t xml:space="preserve"> </w:t>
      </w:r>
      <w:r w:rsidR="008817C5">
        <w:t>help determine outcome of cases</w:t>
      </w:r>
      <w:r>
        <w:t>,</w:t>
      </w:r>
      <w:r w:rsidR="008817C5">
        <w:t xml:space="preserve"> as opposed to</w:t>
      </w:r>
      <w:r w:rsidR="001D273C">
        <w:t xml:space="preserve"> carrying out</w:t>
      </w:r>
      <w:r w:rsidR="008817C5">
        <w:t xml:space="preserve"> junior tasks in law </w:t>
      </w:r>
      <w:proofErr w:type="gramStart"/>
      <w:r w:rsidR="008817C5">
        <w:t>firms;</w:t>
      </w:r>
      <w:proofErr w:type="gramEnd"/>
    </w:p>
    <w:p w14:paraId="2D037E5E" w14:textId="19148D10" w:rsidR="008817C5" w:rsidRDefault="00DC091B" w:rsidP="005223D1">
      <w:pPr>
        <w:pStyle w:val="List2"/>
      </w:pPr>
      <w:r>
        <w:t xml:space="preserve">they </w:t>
      </w:r>
      <w:r w:rsidR="008817C5">
        <w:t xml:space="preserve">improve their writing and analytical </w:t>
      </w:r>
      <w:proofErr w:type="gramStart"/>
      <w:r w:rsidR="008817C5">
        <w:t>skills;</w:t>
      </w:r>
      <w:proofErr w:type="gramEnd"/>
    </w:p>
    <w:p w14:paraId="7A13B7C8" w14:textId="740D1260" w:rsidR="008817C5" w:rsidRDefault="00DC091B" w:rsidP="005223D1">
      <w:pPr>
        <w:pStyle w:val="List2"/>
      </w:pPr>
      <w:r>
        <w:t xml:space="preserve">they </w:t>
      </w:r>
      <w:r w:rsidR="008817C5">
        <w:t xml:space="preserve">understand </w:t>
      </w:r>
      <w:proofErr w:type="gramStart"/>
      <w:r w:rsidR="008817C5">
        <w:t>procedure;</w:t>
      </w:r>
      <w:proofErr w:type="gramEnd"/>
    </w:p>
    <w:p w14:paraId="617E797A" w14:textId="1A0F642C" w:rsidR="008817C5" w:rsidRDefault="00DC091B" w:rsidP="005223D1">
      <w:pPr>
        <w:pStyle w:val="List2"/>
      </w:pPr>
      <w:r>
        <w:t xml:space="preserve">they </w:t>
      </w:r>
      <w:r w:rsidR="008817C5">
        <w:t xml:space="preserve">acquire behind the scenes </w:t>
      </w:r>
      <w:proofErr w:type="gramStart"/>
      <w:r w:rsidR="008817C5">
        <w:t>insights;</w:t>
      </w:r>
      <w:proofErr w:type="gramEnd"/>
    </w:p>
    <w:p w14:paraId="4C07270B" w14:textId="404F1044" w:rsidR="008817C5" w:rsidRDefault="00DC091B" w:rsidP="005223D1">
      <w:pPr>
        <w:pStyle w:val="List2"/>
      </w:pPr>
      <w:r>
        <w:t xml:space="preserve">they </w:t>
      </w:r>
      <w:r w:rsidR="008817C5">
        <w:t xml:space="preserve">learn from and are mentored by </w:t>
      </w:r>
      <w:proofErr w:type="gramStart"/>
      <w:r w:rsidR="008817C5">
        <w:t>judges;</w:t>
      </w:r>
      <w:proofErr w:type="gramEnd"/>
    </w:p>
    <w:p w14:paraId="4971B626" w14:textId="5912E097" w:rsidR="008817C5" w:rsidRDefault="00DC091B" w:rsidP="005223D1">
      <w:pPr>
        <w:pStyle w:val="List2"/>
      </w:pPr>
      <w:r>
        <w:t xml:space="preserve">they </w:t>
      </w:r>
      <w:r w:rsidR="008817C5">
        <w:t>gain a sense of what constitutes good and bad advocacy</w:t>
      </w:r>
      <w:r>
        <w:t>;</w:t>
      </w:r>
      <w:r w:rsidR="00786ECD">
        <w:t xml:space="preserve"> and</w:t>
      </w:r>
      <w:r w:rsidR="008817C5">
        <w:t xml:space="preserve"> </w:t>
      </w:r>
    </w:p>
    <w:p w14:paraId="2A65B1E3" w14:textId="3D4F81C5" w:rsidR="008817C5" w:rsidRDefault="00786ECD" w:rsidP="005223D1">
      <w:pPr>
        <w:pStyle w:val="List2"/>
      </w:pPr>
      <w:r>
        <w:t xml:space="preserve">they </w:t>
      </w:r>
      <w:r w:rsidR="008817C5">
        <w:t>gain unparalleled access to the legal world.</w:t>
      </w:r>
    </w:p>
    <w:p w14:paraId="1A662264" w14:textId="405DAA80" w:rsidR="008817C5" w:rsidRDefault="008817C5" w:rsidP="0004466F">
      <w:pPr>
        <w:pStyle w:val="ListParagraph"/>
      </w:pPr>
      <w:r>
        <w:t>The authors observe that the clerkship</w:t>
      </w:r>
      <w:r w:rsidR="00786ECD">
        <w:t>s</w:t>
      </w:r>
      <w:r>
        <w:t xml:space="preserve"> </w:t>
      </w:r>
      <w:r w:rsidR="00786ECD">
        <w:t xml:space="preserve">are </w:t>
      </w:r>
      <w:r>
        <w:t xml:space="preserve">prestigious due to the secrecy of the court’s internal workings.  Internal operating procedures, including case assignment, how judges </w:t>
      </w:r>
      <w:r w:rsidR="000359C3">
        <w:t>“</w:t>
      </w:r>
      <w:r>
        <w:t>vote</w:t>
      </w:r>
      <w:r w:rsidR="000359C3">
        <w:t>”</w:t>
      </w:r>
      <w:r>
        <w:t>, how they draft opinions, which judges are respected by their colleagues, how particular judges are persuaded and what their temperament is – are all inaccessible to outsiders.</w:t>
      </w:r>
    </w:p>
    <w:p w14:paraId="5B421065" w14:textId="02205083" w:rsidR="008817C5" w:rsidRDefault="00786ECD" w:rsidP="0004466F">
      <w:pPr>
        <w:pStyle w:val="ListParagraph"/>
      </w:pPr>
      <w:proofErr w:type="spellStart"/>
      <w:r>
        <w:lastRenderedPageBreak/>
        <w:t>Litman</w:t>
      </w:r>
      <w:proofErr w:type="spellEnd"/>
      <w:r>
        <w:t xml:space="preserve"> and Shah</w:t>
      </w:r>
      <w:r w:rsidR="008817C5">
        <w:t xml:space="preserve"> also identify some downsides of clerkship, including its poor pay rates </w:t>
      </w:r>
      <w:r>
        <w:t>(</w:t>
      </w:r>
      <w:r w:rsidR="008817C5">
        <w:t>which deter poorer students</w:t>
      </w:r>
      <w:r>
        <w:t>)</w:t>
      </w:r>
      <w:r w:rsidR="005950F1">
        <w:t xml:space="preserve">, missed vacations, lack of choice of </w:t>
      </w:r>
      <w:r w:rsidR="008817C5">
        <w:t>their co</w:t>
      </w:r>
      <w:r w:rsidR="008817C5">
        <w:noBreakHyphen/>
        <w:t>clerks (</w:t>
      </w:r>
      <w:r w:rsidR="00762108">
        <w:t xml:space="preserve">with whom clerks work </w:t>
      </w:r>
      <w:r w:rsidR="008817C5">
        <w:t xml:space="preserve">in </w:t>
      </w:r>
      <w:proofErr w:type="gramStart"/>
      <w:r w:rsidR="008817C5">
        <w:t>close proximity</w:t>
      </w:r>
      <w:proofErr w:type="gramEnd"/>
      <w:r w:rsidR="008817C5">
        <w:t xml:space="preserve">) </w:t>
      </w:r>
      <w:r w:rsidR="005950F1">
        <w:t xml:space="preserve">and a possibly </w:t>
      </w:r>
      <w:r w:rsidR="008817C5">
        <w:t>demanding or abusive judge</w:t>
      </w:r>
      <w:r w:rsidR="005950F1">
        <w:t>.</w:t>
      </w:r>
    </w:p>
    <w:p w14:paraId="107BEA21" w14:textId="6BDD8CBF" w:rsidR="008817C5" w:rsidRDefault="008817C5" w:rsidP="0004466F">
      <w:pPr>
        <w:pStyle w:val="ListParagraph"/>
      </w:pPr>
      <w:r>
        <w:t>Most American law clerks apply soon after graduation or within a few years</w:t>
      </w:r>
      <w:r w:rsidR="0048745D">
        <w:t xml:space="preserve"> </w:t>
      </w:r>
      <w:r w:rsidR="000359C3">
        <w:t>after</w:t>
      </w:r>
      <w:r w:rsidR="005950F1">
        <w:t>, rel</w:t>
      </w:r>
      <w:r w:rsidR="00A930AB">
        <w:t>ying</w:t>
      </w:r>
      <w:r>
        <w:t xml:space="preserve"> on their law school record, professors’ references and writing samples</w:t>
      </w:r>
      <w:r w:rsidR="00A930AB">
        <w:t>.</w:t>
      </w:r>
    </w:p>
    <w:p w14:paraId="7CD1BBFE" w14:textId="1D5DEC08" w:rsidR="008817C5" w:rsidRDefault="00A930AB" w:rsidP="0004466F">
      <w:pPr>
        <w:pStyle w:val="ListParagraph"/>
      </w:pPr>
      <w:r>
        <w:t xml:space="preserve">Sought </w:t>
      </w:r>
      <w:r w:rsidR="008817C5">
        <w:t>after districts and circuits receive hundreds of applications</w:t>
      </w:r>
      <w:r>
        <w:t xml:space="preserve">. </w:t>
      </w:r>
      <w:r w:rsidR="008817C5">
        <w:t xml:space="preserve"> </w:t>
      </w:r>
      <w:r>
        <w:t xml:space="preserve">Law </w:t>
      </w:r>
      <w:r w:rsidR="008817C5">
        <w:t xml:space="preserve">schools </w:t>
      </w:r>
      <w:r>
        <w:t xml:space="preserve">may </w:t>
      </w:r>
      <w:r w:rsidR="008817C5">
        <w:t>have clerkship committees to help students apply.</w:t>
      </w:r>
      <w:r w:rsidR="00C63C9D">
        <w:t xml:space="preserve"> </w:t>
      </w:r>
      <w:r w:rsidR="008817C5">
        <w:t xml:space="preserve"> </w:t>
      </w:r>
      <w:r w:rsidR="00C63C9D">
        <w:t>Shortlisted</w:t>
      </w:r>
      <w:r w:rsidR="008817C5">
        <w:t xml:space="preserve"> candidate</w:t>
      </w:r>
      <w:r w:rsidR="00C63C9D">
        <w:t>s</w:t>
      </w:r>
      <w:r w:rsidR="008817C5">
        <w:t xml:space="preserve"> </w:t>
      </w:r>
      <w:r w:rsidR="00C63C9D">
        <w:t xml:space="preserve">are </w:t>
      </w:r>
      <w:r w:rsidR="008817C5">
        <w:t>interviewed by the judge and the other clerks, in a style that is left up to the judge.</w:t>
      </w:r>
    </w:p>
    <w:p w14:paraId="6B3A3A59" w14:textId="595DBC72" w:rsidR="008817C5" w:rsidRDefault="008817C5" w:rsidP="0004466F">
      <w:pPr>
        <w:pStyle w:val="ListParagraph"/>
      </w:pPr>
      <w:proofErr w:type="spellStart"/>
      <w:r>
        <w:t>Litman</w:t>
      </w:r>
      <w:proofErr w:type="spellEnd"/>
      <w:r>
        <w:t xml:space="preserve"> and Shah state that clerkships provide access to the legal profession</w:t>
      </w:r>
      <w:r w:rsidR="00C63C9D">
        <w:t xml:space="preserve"> and </w:t>
      </w:r>
      <w:r>
        <w:t xml:space="preserve">the secrecy surrounding </w:t>
      </w:r>
      <w:r w:rsidR="00C63C9D">
        <w:t>them</w:t>
      </w:r>
      <w:r>
        <w:t xml:space="preserve"> </w:t>
      </w:r>
      <w:r w:rsidR="005E61E8">
        <w:t>“</w:t>
      </w:r>
      <w:r>
        <w:t>replicates the existing systems of inequality in the profession</w:t>
      </w:r>
      <w:r w:rsidR="005E61E8">
        <w:t>”</w:t>
      </w:r>
      <w:r>
        <w:t>.  Students know that they will interact with the powerful known professionals</w:t>
      </w:r>
      <w:r w:rsidR="005E61E8">
        <w:t xml:space="preserve"> and their “</w:t>
      </w:r>
      <w:r w:rsidR="00F24E82">
        <w:t xml:space="preserve">reverence </w:t>
      </w:r>
      <w:r>
        <w:t xml:space="preserve">seeps into the </w:t>
      </w:r>
      <w:r w:rsidR="00F24E82">
        <w:t xml:space="preserve">clerkship application </w:t>
      </w:r>
      <w:r>
        <w:t>process”.</w:t>
      </w:r>
      <w:r w:rsidR="00813C2A">
        <w:rPr>
          <w:rFonts w:ascii="ZWAdobeF" w:hAnsi="ZWAdobeF" w:cs="ZWAdobeF"/>
          <w:sz w:val="2"/>
          <w:szCs w:val="2"/>
        </w:rPr>
        <w:t>48F</w:t>
      </w:r>
      <w:r w:rsidR="00704B18">
        <w:rPr>
          <w:rFonts w:ascii="ZWAdobeF" w:hAnsi="ZWAdobeF" w:cs="ZWAdobeF"/>
          <w:sz w:val="2"/>
          <w:szCs w:val="2"/>
        </w:rPr>
        <w:t>55F</w:t>
      </w:r>
      <w:r w:rsidR="00497D3A">
        <w:rPr>
          <w:rStyle w:val="FootnoteReference"/>
        </w:rPr>
        <w:footnoteReference w:id="38"/>
      </w:r>
      <w:r w:rsidR="00034AF2">
        <w:t xml:space="preserve">  As secrecy </w:t>
      </w:r>
      <w:r>
        <w:t>and confidentiality surround the post</w:t>
      </w:r>
      <w:r w:rsidR="007A3891">
        <w:t>, s</w:t>
      </w:r>
      <w:r>
        <w:t xml:space="preserve">ome </w:t>
      </w:r>
      <w:r w:rsidR="00F24E82">
        <w:t xml:space="preserve">clerks </w:t>
      </w:r>
      <w:r w:rsidR="007A3891">
        <w:t xml:space="preserve">are </w:t>
      </w:r>
      <w:r w:rsidR="004663C8">
        <w:t xml:space="preserve">uncertain </w:t>
      </w:r>
      <w:r>
        <w:t>whether they can disclose misconduct or harassment.</w:t>
      </w:r>
    </w:p>
    <w:p w14:paraId="1AAA1A17" w14:textId="67554E59" w:rsidR="00185046" w:rsidRPr="00B67CDE" w:rsidRDefault="00185046" w:rsidP="0004466F">
      <w:pPr>
        <w:pStyle w:val="ListParagraph"/>
      </w:pPr>
      <w:proofErr w:type="spellStart"/>
      <w:r w:rsidRPr="00B67CDE">
        <w:t>Litman</w:t>
      </w:r>
      <w:proofErr w:type="spellEnd"/>
      <w:r w:rsidRPr="00B67CDE">
        <w:t xml:space="preserve"> and Shah argue that sexual harassment in the legal profession </w:t>
      </w:r>
      <w:r w:rsidR="004663C8">
        <w:t xml:space="preserve">is </w:t>
      </w:r>
      <w:r w:rsidRPr="00B67CDE">
        <w:t xml:space="preserve">not just </w:t>
      </w:r>
      <w:r w:rsidR="004663C8">
        <w:t xml:space="preserve">due to </w:t>
      </w:r>
      <w:r w:rsidRPr="00B67CDE">
        <w:t>the acts of individuals</w:t>
      </w:r>
      <w:r w:rsidR="004663C8">
        <w:t>.</w:t>
      </w:r>
      <w:r w:rsidRPr="00B67CDE">
        <w:t xml:space="preserve"> </w:t>
      </w:r>
      <w:r w:rsidR="004663C8">
        <w:t xml:space="preserve"> N</w:t>
      </w:r>
      <w:r w:rsidRPr="00B67CDE">
        <w:t xml:space="preserve">or </w:t>
      </w:r>
      <w:r w:rsidR="00E86529">
        <w:t xml:space="preserve">is </w:t>
      </w:r>
      <w:r w:rsidRPr="00B67CDE">
        <w:t xml:space="preserve">only the perpetrator culpable.  </w:t>
      </w:r>
      <w:r w:rsidR="00E86529">
        <w:t xml:space="preserve">Others </w:t>
      </w:r>
      <w:r w:rsidRPr="00B67CDE">
        <w:t xml:space="preserve">contribute </w:t>
      </w:r>
      <w:r w:rsidR="00E86529">
        <w:t xml:space="preserve">to it </w:t>
      </w:r>
      <w:r w:rsidRPr="00B67CDE">
        <w:t>by</w:t>
      </w:r>
      <w:r w:rsidR="0011002B">
        <w:t xml:space="preserve"> </w:t>
      </w:r>
      <w:r w:rsidR="00CE6E60">
        <w:t xml:space="preserve">recounting </w:t>
      </w:r>
      <w:r w:rsidR="00C22F9D">
        <w:t>un</w:t>
      </w:r>
      <w:r w:rsidR="00E914F4">
        <w:t xml:space="preserve">critically laudatory </w:t>
      </w:r>
      <w:r w:rsidR="00C22F9D">
        <w:t xml:space="preserve">stories or anecdotes about judges that promote undue </w:t>
      </w:r>
      <w:r w:rsidR="00F72F6B">
        <w:t>deference and id</w:t>
      </w:r>
      <w:r w:rsidR="005A319B">
        <w:t>olising</w:t>
      </w:r>
      <w:r w:rsidR="00F72F6B">
        <w:t xml:space="preserve">.  </w:t>
      </w:r>
      <w:r w:rsidR="00E86529" w:rsidRPr="00B67CDE">
        <w:t xml:space="preserve">Victims </w:t>
      </w:r>
      <w:r w:rsidRPr="00B67CDE">
        <w:t xml:space="preserve">of abuse </w:t>
      </w:r>
      <w:r w:rsidR="00C923B4">
        <w:t xml:space="preserve">fear </w:t>
      </w:r>
      <w:r w:rsidRPr="00B67CDE">
        <w:t>to come forward</w:t>
      </w:r>
      <w:r w:rsidR="00F125AA">
        <w:t xml:space="preserve"> as</w:t>
      </w:r>
      <w:r w:rsidR="004957AA">
        <w:t xml:space="preserve"> </w:t>
      </w:r>
      <w:r w:rsidRPr="00B67CDE">
        <w:t xml:space="preserve">bystanders </w:t>
      </w:r>
      <w:r w:rsidR="004957AA">
        <w:t xml:space="preserve">might </w:t>
      </w:r>
      <w:r w:rsidRPr="00B67CDE">
        <w:t>blame them</w:t>
      </w:r>
      <w:r w:rsidR="00C923B4">
        <w:t xml:space="preserve">. </w:t>
      </w:r>
      <w:r w:rsidRPr="00B67CDE">
        <w:t xml:space="preserve"> </w:t>
      </w:r>
      <w:r w:rsidR="00C923B4">
        <w:t xml:space="preserve">It is also </w:t>
      </w:r>
      <w:r w:rsidR="0092423D">
        <w:t xml:space="preserve">difficult for </w:t>
      </w:r>
      <w:r w:rsidR="0092423D" w:rsidRPr="00B67CDE">
        <w:t xml:space="preserve">people </w:t>
      </w:r>
      <w:r w:rsidRPr="00B67CDE">
        <w:t xml:space="preserve">to believe </w:t>
      </w:r>
      <w:r w:rsidR="0092423D">
        <w:t xml:space="preserve">that </w:t>
      </w:r>
      <w:r w:rsidRPr="00B67CDE">
        <w:t>a</w:t>
      </w:r>
      <w:r w:rsidR="00C923B4">
        <w:t>n</w:t>
      </w:r>
      <w:r w:rsidRPr="00B67CDE">
        <w:t xml:space="preserve"> </w:t>
      </w:r>
      <w:r w:rsidR="00C923B4">
        <w:t xml:space="preserve">adulated </w:t>
      </w:r>
      <w:r w:rsidRPr="00B67CDE">
        <w:t xml:space="preserve">judge would </w:t>
      </w:r>
      <w:r w:rsidR="00C67717">
        <w:t xml:space="preserve">be guilty of misconduct.  </w:t>
      </w:r>
      <w:r w:rsidR="00011BBF">
        <w:t>Further:</w:t>
      </w:r>
    </w:p>
    <w:p w14:paraId="0AB798F5" w14:textId="7C1353E7" w:rsidR="00185046" w:rsidRPr="00B67CDE" w:rsidRDefault="00185046" w:rsidP="005223D1">
      <w:pPr>
        <w:pStyle w:val="List2"/>
      </w:pPr>
      <w:r w:rsidRPr="00B67CDE">
        <w:t>The legal profession prizes access to judge</w:t>
      </w:r>
      <w:r w:rsidR="006C1B65">
        <w:t>s</w:t>
      </w:r>
      <w:r w:rsidR="00E860F8">
        <w:t xml:space="preserve">. </w:t>
      </w:r>
      <w:r w:rsidRPr="00B67CDE">
        <w:t xml:space="preserve"> </w:t>
      </w:r>
      <w:r w:rsidR="00E860F8" w:rsidRPr="00B67CDE">
        <w:t xml:space="preserve">Clerkships </w:t>
      </w:r>
      <w:r w:rsidR="00E860F8">
        <w:t xml:space="preserve">can be </w:t>
      </w:r>
      <w:r w:rsidRPr="00B67CDE">
        <w:t xml:space="preserve">a professional proxy to determine employment eligibility.  This </w:t>
      </w:r>
      <w:r w:rsidR="00E860F8">
        <w:t xml:space="preserve">can </w:t>
      </w:r>
      <w:r w:rsidRPr="00B67CDE">
        <w:t xml:space="preserve">prop up </w:t>
      </w:r>
      <w:r w:rsidR="00E860F8">
        <w:t xml:space="preserve">and reward </w:t>
      </w:r>
      <w:r w:rsidRPr="00B67CDE">
        <w:t>problematic behaviour</w:t>
      </w:r>
      <w:r w:rsidR="00E860F8">
        <w:t>.</w:t>
      </w:r>
      <w:r w:rsidRPr="00B67CDE">
        <w:t xml:space="preserve">  Other judges assume that if a particular judge hired a clerk, they could be Supreme Court material.</w:t>
      </w:r>
      <w:r w:rsidR="00813C2A">
        <w:rPr>
          <w:rFonts w:ascii="ZWAdobeF" w:hAnsi="ZWAdobeF" w:cs="ZWAdobeF"/>
          <w:sz w:val="2"/>
          <w:szCs w:val="2"/>
        </w:rPr>
        <w:t>49F</w:t>
      </w:r>
      <w:r w:rsidR="00704B18">
        <w:rPr>
          <w:rFonts w:ascii="ZWAdobeF" w:hAnsi="ZWAdobeF" w:cs="ZWAdobeF"/>
          <w:sz w:val="2"/>
          <w:szCs w:val="2"/>
        </w:rPr>
        <w:t>56F</w:t>
      </w:r>
      <w:r w:rsidR="00666BC4">
        <w:rPr>
          <w:rStyle w:val="FootnoteReference"/>
        </w:rPr>
        <w:footnoteReference w:id="39"/>
      </w:r>
    </w:p>
    <w:p w14:paraId="4073B61C" w14:textId="0C86B3BE" w:rsidR="00185046" w:rsidRPr="00B67CDE" w:rsidRDefault="00E860F8" w:rsidP="005223D1">
      <w:pPr>
        <w:pStyle w:val="List2"/>
      </w:pPr>
      <w:r>
        <w:t xml:space="preserve">There are </w:t>
      </w:r>
      <w:r w:rsidRPr="00B67CDE">
        <w:t xml:space="preserve">financial </w:t>
      </w:r>
      <w:r w:rsidR="00185046" w:rsidRPr="00B67CDE">
        <w:t>incentives</w:t>
      </w:r>
      <w:r w:rsidR="00A22081">
        <w:t>, because</w:t>
      </w:r>
      <w:r w:rsidR="00115940" w:rsidRPr="00B67CDE">
        <w:t xml:space="preserve"> </w:t>
      </w:r>
      <w:r w:rsidR="00185046" w:rsidRPr="00B67CDE">
        <w:t xml:space="preserve">law firms offer </w:t>
      </w:r>
      <w:r w:rsidR="006C1B65">
        <w:t xml:space="preserve">significant </w:t>
      </w:r>
      <w:r w:rsidR="00185046" w:rsidRPr="00B67CDE">
        <w:t xml:space="preserve">bonuses to Supreme Court clerks </w:t>
      </w:r>
      <w:r w:rsidR="00DF5B50">
        <w:t>—</w:t>
      </w:r>
      <w:r w:rsidR="00185046" w:rsidRPr="00B67CDE">
        <w:t xml:space="preserve">this </w:t>
      </w:r>
      <w:r w:rsidR="00185046" w:rsidRPr="001B4C0E">
        <w:t>is payment for access and insight into chambers</w:t>
      </w:r>
      <w:r w:rsidR="00F35B00">
        <w:t>,</w:t>
      </w:r>
      <w:r w:rsidR="00185046" w:rsidRPr="001B4C0E">
        <w:t xml:space="preserve"> which </w:t>
      </w:r>
      <w:r w:rsidR="009A5686">
        <w:t>law firms can sell</w:t>
      </w:r>
      <w:r w:rsidR="00F91ED2">
        <w:t xml:space="preserve"> to prospective clients</w:t>
      </w:r>
      <w:r w:rsidR="00185046" w:rsidRPr="00B67CDE">
        <w:t>.</w:t>
      </w:r>
      <w:r w:rsidR="00813C2A">
        <w:rPr>
          <w:rFonts w:ascii="ZWAdobeF" w:hAnsi="ZWAdobeF" w:cs="ZWAdobeF"/>
          <w:sz w:val="2"/>
          <w:szCs w:val="2"/>
        </w:rPr>
        <w:t>50F</w:t>
      </w:r>
      <w:r w:rsidR="00704B18">
        <w:rPr>
          <w:rFonts w:ascii="ZWAdobeF" w:hAnsi="ZWAdobeF" w:cs="ZWAdobeF"/>
          <w:sz w:val="2"/>
          <w:szCs w:val="2"/>
        </w:rPr>
        <w:t>57F</w:t>
      </w:r>
      <w:r w:rsidR="00E8463D">
        <w:rPr>
          <w:rStyle w:val="FootnoteReference"/>
        </w:rPr>
        <w:footnoteReference w:id="40"/>
      </w:r>
      <w:r w:rsidR="001551C4">
        <w:t xml:space="preserve"> </w:t>
      </w:r>
    </w:p>
    <w:p w14:paraId="321E3879" w14:textId="26AA2604" w:rsidR="00185046" w:rsidRPr="00B67CDE" w:rsidRDefault="00C4317C" w:rsidP="005223D1">
      <w:pPr>
        <w:pStyle w:val="List2"/>
      </w:pPr>
      <w:r>
        <w:t xml:space="preserve">There are </w:t>
      </w:r>
      <w:r w:rsidRPr="00B67CDE">
        <w:t xml:space="preserve">institutional </w:t>
      </w:r>
      <w:r w:rsidR="00185046" w:rsidRPr="00B67CDE">
        <w:t xml:space="preserve">incentives </w:t>
      </w:r>
      <w:r w:rsidR="00115940">
        <w:t>—</w:t>
      </w:r>
      <w:r w:rsidR="00115940" w:rsidRPr="00B67CDE">
        <w:t xml:space="preserve"> </w:t>
      </w:r>
      <w:r w:rsidR="00185046" w:rsidRPr="00B67CDE">
        <w:t xml:space="preserve">law schools prize clerkships in </w:t>
      </w:r>
      <w:r>
        <w:t>recruiting academics</w:t>
      </w:r>
      <w:r w:rsidR="001614BC">
        <w:t xml:space="preserve"> </w:t>
      </w:r>
      <w:r w:rsidR="00185046" w:rsidRPr="00B67CDE">
        <w:t xml:space="preserve">they have worked with respected jurists.  </w:t>
      </w:r>
      <w:r w:rsidR="00185046" w:rsidRPr="001B4C0E">
        <w:t>A clerk’s connection to the judge is a professional tool</w:t>
      </w:r>
      <w:r w:rsidR="001614BC">
        <w:t>,</w:t>
      </w:r>
      <w:r w:rsidR="00185046" w:rsidRPr="001B4C0E">
        <w:t xml:space="preserve"> as they are “in” and have a circle of privilege, a </w:t>
      </w:r>
      <w:proofErr w:type="gramStart"/>
      <w:r w:rsidR="00185046" w:rsidRPr="001B4C0E">
        <w:t>network</w:t>
      </w:r>
      <w:proofErr w:type="gramEnd"/>
      <w:r w:rsidR="00185046" w:rsidRPr="001B4C0E">
        <w:t xml:space="preserve"> and connections.</w:t>
      </w:r>
      <w:r w:rsidR="00185046" w:rsidRPr="00B67CDE">
        <w:t xml:space="preserve">  </w:t>
      </w:r>
      <w:r w:rsidR="00185046" w:rsidRPr="001B4C0E">
        <w:t xml:space="preserve">Access to judges and relationships with judges </w:t>
      </w:r>
      <w:r w:rsidR="007A172F">
        <w:t xml:space="preserve">are </w:t>
      </w:r>
      <w:r w:rsidR="00185046" w:rsidRPr="001B4C0E">
        <w:t>professional asset</w:t>
      </w:r>
      <w:r w:rsidR="007A172F">
        <w:t>s</w:t>
      </w:r>
      <w:r w:rsidR="00185046" w:rsidRPr="001B4C0E">
        <w:t>.</w:t>
      </w:r>
      <w:r w:rsidR="00813C2A">
        <w:rPr>
          <w:rFonts w:ascii="ZWAdobeF" w:hAnsi="ZWAdobeF" w:cs="ZWAdobeF"/>
          <w:sz w:val="2"/>
          <w:szCs w:val="2"/>
        </w:rPr>
        <w:t>51F</w:t>
      </w:r>
      <w:r w:rsidR="00704B18">
        <w:rPr>
          <w:rFonts w:ascii="ZWAdobeF" w:hAnsi="ZWAdobeF" w:cs="ZWAdobeF"/>
          <w:sz w:val="2"/>
          <w:szCs w:val="2"/>
        </w:rPr>
        <w:t>58F</w:t>
      </w:r>
      <w:r w:rsidR="00E836F6">
        <w:rPr>
          <w:rStyle w:val="FootnoteReference"/>
        </w:rPr>
        <w:footnoteReference w:id="41"/>
      </w:r>
    </w:p>
    <w:p w14:paraId="4C694DCD" w14:textId="68811E73" w:rsidR="00185046" w:rsidRPr="00B67CDE" w:rsidRDefault="00185046" w:rsidP="00090A07">
      <w:pPr>
        <w:pStyle w:val="ListParagraph"/>
      </w:pPr>
      <w:proofErr w:type="spellStart"/>
      <w:r w:rsidRPr="00B67CDE">
        <w:lastRenderedPageBreak/>
        <w:t>Litman</w:t>
      </w:r>
      <w:proofErr w:type="spellEnd"/>
      <w:r w:rsidRPr="00B67CDE">
        <w:t xml:space="preserve"> and Shah conclude that </w:t>
      </w:r>
      <w:r w:rsidR="001614BC">
        <w:t xml:space="preserve">although </w:t>
      </w:r>
      <w:r w:rsidRPr="00B67CDE">
        <w:t xml:space="preserve">the benefits from clerking are not inherently </w:t>
      </w:r>
      <w:proofErr w:type="gramStart"/>
      <w:r w:rsidR="00970776">
        <w:t>sinister</w:t>
      </w:r>
      <w:proofErr w:type="gramEnd"/>
      <w:r w:rsidR="00970776">
        <w:t xml:space="preserve"> </w:t>
      </w:r>
      <w:r w:rsidRPr="00B67CDE">
        <w:t xml:space="preserve">they prop up the clerkship system and deference </w:t>
      </w:r>
      <w:r w:rsidR="001614BC">
        <w:t xml:space="preserve">to </w:t>
      </w:r>
      <w:r w:rsidRPr="00B67CDE">
        <w:t>judges</w:t>
      </w:r>
      <w:r w:rsidR="001614BC">
        <w:t>,</w:t>
      </w:r>
      <w:r w:rsidRPr="00B67CDE">
        <w:t xml:space="preserve"> irrespective of their behaviour.  The clerkship process also entrenches some of the most problematic parts of an </w:t>
      </w:r>
      <w:r w:rsidR="001614BC">
        <w:t xml:space="preserve">already </w:t>
      </w:r>
      <w:r w:rsidRPr="00B67CDE">
        <w:t>unequal profession.</w:t>
      </w:r>
      <w:r w:rsidR="00813C2A">
        <w:rPr>
          <w:rFonts w:ascii="ZWAdobeF" w:hAnsi="ZWAdobeF" w:cs="ZWAdobeF"/>
          <w:sz w:val="2"/>
          <w:szCs w:val="2"/>
        </w:rPr>
        <w:t>52F</w:t>
      </w:r>
      <w:r w:rsidR="00704B18">
        <w:rPr>
          <w:rFonts w:ascii="ZWAdobeF" w:hAnsi="ZWAdobeF" w:cs="ZWAdobeF"/>
          <w:sz w:val="2"/>
          <w:szCs w:val="2"/>
        </w:rPr>
        <w:t>59F</w:t>
      </w:r>
      <w:r w:rsidR="00B03AFA">
        <w:rPr>
          <w:rStyle w:val="FootnoteReference"/>
        </w:rPr>
        <w:footnoteReference w:id="42"/>
      </w:r>
    </w:p>
    <w:p w14:paraId="7EDA9520" w14:textId="3C7A080E" w:rsidR="00185046" w:rsidRPr="00B67CDE" w:rsidRDefault="00185046" w:rsidP="0004466F">
      <w:pPr>
        <w:pStyle w:val="ListParagraph"/>
      </w:pPr>
      <w:r w:rsidRPr="00B67CDE">
        <w:t xml:space="preserve">The American clerkship process </w:t>
      </w:r>
      <w:r w:rsidR="001614BC">
        <w:t xml:space="preserve">also outsources </w:t>
      </w:r>
      <w:r w:rsidRPr="00B67CDE">
        <w:t>job selection functions to other people</w:t>
      </w:r>
      <w:r w:rsidR="001614BC">
        <w:t xml:space="preserve">, including </w:t>
      </w:r>
      <w:r w:rsidRPr="00B67CDE">
        <w:t xml:space="preserve">professors or other judges.  </w:t>
      </w:r>
      <w:bookmarkStart w:id="35" w:name="_Toc93057580"/>
      <w:r w:rsidRPr="00B67CDE">
        <w:t xml:space="preserve">This </w:t>
      </w:r>
      <w:r w:rsidR="001614BC">
        <w:t xml:space="preserve">entrenches </w:t>
      </w:r>
      <w:r w:rsidRPr="00B67CDE">
        <w:t>power structures through “tastemakers</w:t>
      </w:r>
      <w:bookmarkEnd w:id="35"/>
      <w:r w:rsidRPr="00B67CDE">
        <w:t xml:space="preserve">”.  </w:t>
      </w:r>
      <w:proofErr w:type="spellStart"/>
      <w:r w:rsidRPr="00B67CDE">
        <w:t>Litman</w:t>
      </w:r>
      <w:proofErr w:type="spellEnd"/>
      <w:r w:rsidRPr="00B67CDE">
        <w:t xml:space="preserve"> and Sha</w:t>
      </w:r>
      <w:r w:rsidR="005C1622">
        <w:t>h</w:t>
      </w:r>
      <w:r w:rsidRPr="00B67CDE">
        <w:t xml:space="preserve"> refer to the </w:t>
      </w:r>
      <w:r w:rsidR="002543BA">
        <w:t>well</w:t>
      </w:r>
      <w:r w:rsidR="002543BA">
        <w:noBreakHyphen/>
        <w:t xml:space="preserve">known </w:t>
      </w:r>
      <w:r w:rsidRPr="00B67CDE">
        <w:t xml:space="preserve">case of the </w:t>
      </w:r>
      <w:proofErr w:type="gramStart"/>
      <w:r w:rsidR="00E470C7">
        <w:t>husband and wife</w:t>
      </w:r>
      <w:proofErr w:type="gramEnd"/>
      <w:r w:rsidR="00E470C7">
        <w:t xml:space="preserve"> </w:t>
      </w:r>
      <w:r w:rsidRPr="00B67CDE">
        <w:t xml:space="preserve">Yale professors, Jed </w:t>
      </w:r>
      <w:proofErr w:type="spellStart"/>
      <w:r w:rsidRPr="00B67CDE">
        <w:t>Rubenfeld</w:t>
      </w:r>
      <w:proofErr w:type="spellEnd"/>
      <w:r w:rsidRPr="00B67CDE">
        <w:t xml:space="preserve"> and Amy Chua, who </w:t>
      </w:r>
      <w:r w:rsidR="002543BA">
        <w:t>claimed to influence whether applicants obtained</w:t>
      </w:r>
      <w:r w:rsidR="00BD48B1">
        <w:t xml:space="preserve"> or were denied </w:t>
      </w:r>
      <w:r w:rsidRPr="00B67CDE">
        <w:t>Supreme court clerkships</w:t>
      </w:r>
      <w:r w:rsidR="00BD48B1">
        <w:t>.</w:t>
      </w:r>
      <w:r w:rsidR="00C61D8D">
        <w:t xml:space="preserve"> </w:t>
      </w:r>
      <w:r w:rsidRPr="00B67CDE">
        <w:t xml:space="preserve"> </w:t>
      </w:r>
      <w:r w:rsidR="00DE5545">
        <w:t>Amy Chua</w:t>
      </w:r>
      <w:r w:rsidR="007A172F">
        <w:t>, a law professor</w:t>
      </w:r>
      <w:r w:rsidR="000359C3">
        <w:t xml:space="preserve"> at Yale, had an acquaintance with Justice Brett Kavanaugh (who in turn was a clerk and close associate of Judge </w:t>
      </w:r>
      <w:proofErr w:type="spellStart"/>
      <w:r w:rsidR="000359C3">
        <w:t>Kozinski</w:t>
      </w:r>
      <w:proofErr w:type="spellEnd"/>
      <w:r w:rsidR="000359C3">
        <w:t xml:space="preserve">, discussed below).  Professor Chua </w:t>
      </w:r>
      <w:r w:rsidR="00DE5545">
        <w:t xml:space="preserve">was </w:t>
      </w:r>
      <w:r w:rsidR="000359C3">
        <w:t xml:space="preserve">heavily </w:t>
      </w:r>
      <w:r w:rsidR="00DE5545">
        <w:t xml:space="preserve">criticised for allegedly advising </w:t>
      </w:r>
      <w:r w:rsidR="000359C3">
        <w:t xml:space="preserve">female </w:t>
      </w:r>
      <w:r w:rsidR="00DE5545">
        <w:t>applicants for clerkships with Justice Kavan</w:t>
      </w:r>
      <w:r w:rsidR="000162F4">
        <w:t xml:space="preserve">augh </w:t>
      </w:r>
      <w:r w:rsidR="00E470C7">
        <w:t xml:space="preserve">to dress attractively and </w:t>
      </w:r>
      <w:proofErr w:type="gramStart"/>
      <w:r w:rsidR="00E470C7">
        <w:t>in particular styles</w:t>
      </w:r>
      <w:proofErr w:type="gramEnd"/>
      <w:r w:rsidR="009B0111">
        <w:t xml:space="preserve">.  </w:t>
      </w:r>
      <w:r w:rsidR="00C61D8D">
        <w:t xml:space="preserve">Ultimately, </w:t>
      </w:r>
      <w:r w:rsidR="007A172F">
        <w:t>her spouse</w:t>
      </w:r>
      <w:r w:rsidR="00561C1D">
        <w:t>,</w:t>
      </w:r>
      <w:r w:rsidR="007A172F">
        <w:t xml:space="preserve"> </w:t>
      </w:r>
      <w:r w:rsidR="00775084">
        <w:t xml:space="preserve">Professor </w:t>
      </w:r>
      <w:proofErr w:type="spellStart"/>
      <w:r w:rsidRPr="00B67CDE">
        <w:t>Rubenfeld</w:t>
      </w:r>
      <w:proofErr w:type="spellEnd"/>
      <w:r w:rsidR="007A172F">
        <w:t>,</w:t>
      </w:r>
      <w:r w:rsidRPr="00B67CDE">
        <w:t xml:space="preserve"> was accused of sexually harassing female students.  His behaviour was variously described as “borderline”, “creepy” or “sexual harassment”.  In August 2020, </w:t>
      </w:r>
      <w:proofErr w:type="spellStart"/>
      <w:r w:rsidRPr="00B67CDE">
        <w:t>Rubenfeld</w:t>
      </w:r>
      <w:proofErr w:type="spellEnd"/>
      <w:r w:rsidRPr="00B67CDE">
        <w:t>, who denied the allegations, ceased to teach.</w:t>
      </w:r>
      <w:r w:rsidR="00813C2A">
        <w:rPr>
          <w:rFonts w:ascii="ZWAdobeF" w:hAnsi="ZWAdobeF" w:cs="ZWAdobeF"/>
          <w:sz w:val="2"/>
          <w:szCs w:val="2"/>
        </w:rPr>
        <w:t>53F</w:t>
      </w:r>
      <w:r w:rsidR="00704B18">
        <w:rPr>
          <w:rFonts w:ascii="ZWAdobeF" w:hAnsi="ZWAdobeF" w:cs="ZWAdobeF"/>
          <w:sz w:val="2"/>
          <w:szCs w:val="2"/>
        </w:rPr>
        <w:t>60F</w:t>
      </w:r>
      <w:r w:rsidR="00AE1072">
        <w:rPr>
          <w:rStyle w:val="FootnoteReference"/>
        </w:rPr>
        <w:footnoteReference w:id="43"/>
      </w:r>
    </w:p>
    <w:p w14:paraId="36FE2E70" w14:textId="3FD4F5DD" w:rsidR="00185046" w:rsidRPr="00B67CDE" w:rsidRDefault="00E470C7" w:rsidP="0004466F">
      <w:pPr>
        <w:pStyle w:val="ListParagraph"/>
      </w:pPr>
      <w:proofErr w:type="spellStart"/>
      <w:r>
        <w:t>Litman</w:t>
      </w:r>
      <w:proofErr w:type="spellEnd"/>
      <w:r>
        <w:t xml:space="preserve"> and Shah </w:t>
      </w:r>
      <w:r w:rsidR="00EE29E7">
        <w:t>argue that the toleration of sexual harassment is self</w:t>
      </w:r>
      <w:r w:rsidR="00EE29E7">
        <w:noBreakHyphen/>
        <w:t xml:space="preserve">replicating, because </w:t>
      </w:r>
      <w:r w:rsidR="00FC5D3A">
        <w:t xml:space="preserve">the </w:t>
      </w:r>
      <w:r w:rsidR="00185046" w:rsidRPr="00B67CDE">
        <w:t xml:space="preserve">effect of the above is that students who put up with such behaviour or do not speak out </w:t>
      </w:r>
      <w:r w:rsidR="00561C1D" w:rsidRPr="00B67CDE">
        <w:t xml:space="preserve">themselves </w:t>
      </w:r>
      <w:r w:rsidR="00185046" w:rsidRPr="00B67CDE">
        <w:t>secure prestigious posts, succeed and become powerful down the track</w:t>
      </w:r>
      <w:r w:rsidR="00C146B4">
        <w:t xml:space="preserve">. </w:t>
      </w:r>
      <w:r w:rsidR="0096353C">
        <w:t xml:space="preserve"> </w:t>
      </w:r>
      <w:r w:rsidR="00185046" w:rsidRPr="00B67CDE">
        <w:t>Thus</w:t>
      </w:r>
      <w:r w:rsidR="00CA29CB">
        <w:t>,</w:t>
      </w:r>
      <w:r w:rsidR="006360C7">
        <w:t> </w:t>
      </w:r>
      <w:r w:rsidR="00185046" w:rsidRPr="00B67CDE">
        <w:t>the hierarchical system “self</w:t>
      </w:r>
      <w:r w:rsidR="00185046" w:rsidRPr="00B67CDE">
        <w:noBreakHyphen/>
        <w:t>replicates” by promoting people with the same views.  There is mimicry and assimilation, as they adapt to the offender’s ways.  The incentive structures of the clerkship system</w:t>
      </w:r>
      <w:r w:rsidR="00FC5D3A">
        <w:t>,</w:t>
      </w:r>
      <w:r w:rsidR="00185046" w:rsidRPr="00B67CDE">
        <w:t xml:space="preserve"> and people’s implicit bias towards others like themselves</w:t>
      </w:r>
      <w:r w:rsidR="00FC5D3A">
        <w:t>,</w:t>
      </w:r>
      <w:r w:rsidR="00185046" w:rsidRPr="00B67CDE">
        <w:t xml:space="preserve"> produces assimilation.  There is no countervailing incentive for students to speak out.</w:t>
      </w:r>
      <w:r w:rsidR="00813C2A">
        <w:rPr>
          <w:rFonts w:ascii="ZWAdobeF" w:hAnsi="ZWAdobeF" w:cs="ZWAdobeF"/>
          <w:sz w:val="2"/>
          <w:szCs w:val="2"/>
        </w:rPr>
        <w:t>54F</w:t>
      </w:r>
      <w:r w:rsidR="00704B18">
        <w:rPr>
          <w:rFonts w:ascii="ZWAdobeF" w:hAnsi="ZWAdobeF" w:cs="ZWAdobeF"/>
          <w:sz w:val="2"/>
          <w:szCs w:val="2"/>
        </w:rPr>
        <w:t>61F</w:t>
      </w:r>
      <w:r w:rsidR="008C29F3">
        <w:rPr>
          <w:rStyle w:val="FootnoteReference"/>
        </w:rPr>
        <w:footnoteReference w:id="44"/>
      </w:r>
      <w:r w:rsidR="00FF0E49">
        <w:t xml:space="preserve">  </w:t>
      </w:r>
      <w:r w:rsidR="00FC5D3A">
        <w:t xml:space="preserve">Thus, </w:t>
      </w:r>
      <w:r w:rsidR="00FC5D3A" w:rsidRPr="00B67CDE">
        <w:t xml:space="preserve">the </w:t>
      </w:r>
      <w:r w:rsidR="00185046" w:rsidRPr="00B67CDE">
        <w:t xml:space="preserve">incentive system replicates hierarchies within the </w:t>
      </w:r>
      <w:r w:rsidR="00FC5D3A">
        <w:t xml:space="preserve">legal </w:t>
      </w:r>
      <w:r w:rsidR="00185046" w:rsidRPr="00B67CDE">
        <w:t>profession.</w:t>
      </w:r>
      <w:r w:rsidR="00813C2A">
        <w:rPr>
          <w:rFonts w:ascii="ZWAdobeF" w:hAnsi="ZWAdobeF" w:cs="ZWAdobeF"/>
          <w:sz w:val="2"/>
          <w:szCs w:val="2"/>
        </w:rPr>
        <w:t>55F</w:t>
      </w:r>
      <w:r w:rsidR="00704B18">
        <w:rPr>
          <w:rFonts w:ascii="ZWAdobeF" w:hAnsi="ZWAdobeF" w:cs="ZWAdobeF"/>
          <w:sz w:val="2"/>
          <w:szCs w:val="2"/>
        </w:rPr>
        <w:t>62F</w:t>
      </w:r>
      <w:r w:rsidR="00DE565E" w:rsidRPr="00285C48">
        <w:rPr>
          <w:rStyle w:val="FootnoteReference"/>
        </w:rPr>
        <w:footnoteReference w:id="45"/>
      </w:r>
    </w:p>
    <w:p w14:paraId="0361DA3E" w14:textId="7332F3F1" w:rsidR="00185046" w:rsidRDefault="00F5453E" w:rsidP="0004466F">
      <w:pPr>
        <w:pStyle w:val="ListParagraph"/>
      </w:pPr>
      <w:r>
        <w:t xml:space="preserve">The authors state that </w:t>
      </w:r>
      <w:r w:rsidRPr="00715C01">
        <w:t xml:space="preserve">people </w:t>
      </w:r>
      <w:r w:rsidR="00B667B0" w:rsidRPr="00715C01">
        <w:t>“</w:t>
      </w:r>
      <w:r w:rsidR="00185046" w:rsidRPr="00715C01">
        <w:t>who are likely to speak out against sexual harassment are frequently siphoned off from the pool of clerkship candidates.</w:t>
      </w:r>
      <w:r w:rsidR="00D13AA7" w:rsidRPr="00715C01">
        <w:t>”</w:t>
      </w:r>
      <w:r w:rsidR="00813C2A">
        <w:rPr>
          <w:rFonts w:ascii="ZWAdobeF" w:hAnsi="ZWAdobeF" w:cs="ZWAdobeF"/>
          <w:sz w:val="2"/>
          <w:szCs w:val="2"/>
        </w:rPr>
        <w:t>56F</w:t>
      </w:r>
      <w:r w:rsidR="00704B18">
        <w:rPr>
          <w:rFonts w:ascii="ZWAdobeF" w:hAnsi="ZWAdobeF" w:cs="ZWAdobeF"/>
          <w:sz w:val="2"/>
          <w:szCs w:val="2"/>
        </w:rPr>
        <w:t>63F</w:t>
      </w:r>
      <w:r w:rsidR="00383A80" w:rsidRPr="00715C01">
        <w:rPr>
          <w:rStyle w:val="FootnoteReference"/>
        </w:rPr>
        <w:footnoteReference w:id="46"/>
      </w:r>
      <w:r w:rsidR="00185046" w:rsidRPr="00B67CDE">
        <w:t xml:space="preserve">  </w:t>
      </w:r>
      <w:r w:rsidR="003F3D14" w:rsidRPr="00B67CDE">
        <w:t xml:space="preserve">Silence </w:t>
      </w:r>
      <w:r w:rsidR="00B749FF">
        <w:t>“</w:t>
      </w:r>
      <w:r w:rsidR="00185046" w:rsidRPr="00B67CDE">
        <w:t>reinforces the lack of support for future victims</w:t>
      </w:r>
      <w:r w:rsidR="00B749FF">
        <w:t>”</w:t>
      </w:r>
      <w:r w:rsidR="00813C2A">
        <w:rPr>
          <w:rFonts w:ascii="ZWAdobeF" w:hAnsi="ZWAdobeF" w:cs="ZWAdobeF"/>
          <w:sz w:val="2"/>
          <w:szCs w:val="2"/>
        </w:rPr>
        <w:t>57F</w:t>
      </w:r>
      <w:r w:rsidR="00704B18">
        <w:rPr>
          <w:rFonts w:ascii="ZWAdobeF" w:hAnsi="ZWAdobeF" w:cs="ZWAdobeF"/>
          <w:sz w:val="2"/>
          <w:szCs w:val="2"/>
        </w:rPr>
        <w:t>64F</w:t>
      </w:r>
      <w:r w:rsidR="00B749FF">
        <w:rPr>
          <w:rStyle w:val="FootnoteReference"/>
        </w:rPr>
        <w:footnoteReference w:id="47"/>
      </w:r>
      <w:r w:rsidR="00185046" w:rsidRPr="00B67CDE">
        <w:t xml:space="preserve">  Future victims feel isolated </w:t>
      </w:r>
      <w:r w:rsidR="00BB1D03">
        <w:t xml:space="preserve">because </w:t>
      </w:r>
      <w:r w:rsidR="00185046" w:rsidRPr="00B67CDE">
        <w:t>they have not seen other victims come forward.</w:t>
      </w:r>
      <w:r w:rsidR="007F0696">
        <w:t xml:space="preserve"> </w:t>
      </w:r>
    </w:p>
    <w:p w14:paraId="1829F1ED" w14:textId="58B1AADA" w:rsidR="00A15562" w:rsidRDefault="00A15562" w:rsidP="0006530B">
      <w:pPr>
        <w:pStyle w:val="Heading1"/>
      </w:pPr>
      <w:bookmarkStart w:id="36" w:name="_Toc112606885"/>
      <w:r>
        <w:lastRenderedPageBreak/>
        <w:t xml:space="preserve">Observations on changes in recruitment of Victorian associates, approximating </w:t>
      </w:r>
      <w:r w:rsidR="0048776B">
        <w:t>American Federal clerk system</w:t>
      </w:r>
      <w:bookmarkEnd w:id="36"/>
    </w:p>
    <w:p w14:paraId="1381F520" w14:textId="1AB11505" w:rsidR="008B18D1" w:rsidRDefault="008B18D1" w:rsidP="0004466F">
      <w:pPr>
        <w:pStyle w:val="ListParagraph"/>
      </w:pPr>
      <w:r>
        <w:t>American Federal Court clerkships are much more institutionalised and professionalised than traditional Australian associateships as described above.  There is a long</w:t>
      </w:r>
      <w:r>
        <w:noBreakHyphen/>
        <w:t>established</w:t>
      </w:r>
      <w:r w:rsidR="006E3376">
        <w:t>,</w:t>
      </w:r>
      <w:r>
        <w:t xml:space="preserve"> highly competitive (albeit still potentially nepotistic) process for securing a clerkship.  A clerkship has a significant dollar value that can vary according to the identity of the judge.  We have been informed that some clerkships can add </w:t>
      </w:r>
      <w:r w:rsidR="003140B2">
        <w:t xml:space="preserve">hundreds of thousands of dollars </w:t>
      </w:r>
      <w:r>
        <w:t>to the candidate’s salary in the profession.  A judge may accumulate a large</w:t>
      </w:r>
      <w:r w:rsidR="00817BF8">
        <w:t>,</w:t>
      </w:r>
      <w:r>
        <w:t xml:space="preserve"> close knit, influential network of former clerks.  There remain significant distinctions from the current Victorian position.  We are not aware of influential networks of former clerks, salary premiums or active recruitment inputs by law schools in Australia.  Nevertheless, the Victorian approach is (as an incident of the attempt to eliminate nepotism) moving closer to the American Federal clerkship system.  As stated, this is important because the American Federal clerkship system poses significant systemic and institutionalised risks for law clerks, which Victorian courts may yet, by timely consideration, avoid.</w:t>
      </w:r>
    </w:p>
    <w:p w14:paraId="5F4A9FED" w14:textId="1543F4E8" w:rsidR="00FF2B6B" w:rsidRPr="00081855" w:rsidRDefault="00FF2B6B" w:rsidP="0004466F">
      <w:pPr>
        <w:pStyle w:val="ListParagraph"/>
      </w:pPr>
      <w:proofErr w:type="gramStart"/>
      <w:r w:rsidRPr="00081855">
        <w:t>It is clear that within</w:t>
      </w:r>
      <w:proofErr w:type="gramEnd"/>
      <w:r w:rsidRPr="00081855">
        <w:t xml:space="preserve"> a relatively short space of time, significant changes have occurred in the recruitment of Victorian judges’ associates.  The judge’s </w:t>
      </w:r>
      <w:r w:rsidR="00E6312B">
        <w:t xml:space="preserve">untrammelled </w:t>
      </w:r>
      <w:r w:rsidRPr="00081855">
        <w:t>discretionary power to award the position</w:t>
      </w:r>
      <w:r w:rsidR="002435CD">
        <w:t>,</w:t>
      </w:r>
      <w:r w:rsidRPr="00081855">
        <w:t xml:space="preserve"> </w:t>
      </w:r>
      <w:r w:rsidR="00973A9B">
        <w:t xml:space="preserve">and </w:t>
      </w:r>
      <w:r w:rsidR="002435CD">
        <w:t xml:space="preserve">his or her </w:t>
      </w:r>
      <w:r w:rsidR="00973A9B">
        <w:t>status as an employer</w:t>
      </w:r>
      <w:r w:rsidR="002435CD">
        <w:t>,</w:t>
      </w:r>
      <w:r w:rsidR="00973A9B">
        <w:t xml:space="preserve"> </w:t>
      </w:r>
      <w:r w:rsidR="002435CD">
        <w:t xml:space="preserve">have </w:t>
      </w:r>
      <w:r w:rsidRPr="00081855">
        <w:t>disappeared.  The</w:t>
      </w:r>
      <w:r w:rsidR="0009665E">
        <w:t> </w:t>
      </w:r>
      <w:r w:rsidRPr="00081855">
        <w:t>change has been driven by a perception that a system of recruitment permitting nepotism and privileging inside knowledge was unacceptable in a modern public employment context.</w:t>
      </w:r>
    </w:p>
    <w:p w14:paraId="4CE62728" w14:textId="625189CB" w:rsidR="00FF2B6B" w:rsidRPr="00081855" w:rsidRDefault="00FF2B6B" w:rsidP="0004466F">
      <w:pPr>
        <w:pStyle w:val="ListParagraph"/>
      </w:pPr>
      <w:r w:rsidRPr="00081855">
        <w:t>A logical consequence of a shift to merit</w:t>
      </w:r>
      <w:r w:rsidRPr="00081855">
        <w:noBreakHyphen/>
        <w:t>based competitive recruitment</w:t>
      </w:r>
      <w:r w:rsidR="009C42A5">
        <w:t xml:space="preserve"> is</w:t>
      </w:r>
      <w:r w:rsidRPr="00081855">
        <w:t xml:space="preserve"> that all associates </w:t>
      </w:r>
      <w:r w:rsidR="00E67C61">
        <w:t xml:space="preserve">are required to </w:t>
      </w:r>
      <w:r w:rsidRPr="00081855">
        <w:t xml:space="preserve">have formal </w:t>
      </w:r>
      <w:r w:rsidR="00E67C61">
        <w:t xml:space="preserve">legal </w:t>
      </w:r>
      <w:r w:rsidRPr="00081855">
        <w:t xml:space="preserve">qualifications appropriate to the role, by which competing candidates can be objectively compared and measured.  That competitive process has inevitably led to recruitment of students with the best results from the most prestigious law schools.  </w:t>
      </w:r>
      <w:r w:rsidR="00644EA5">
        <w:t xml:space="preserve">Despite </w:t>
      </w:r>
      <w:r w:rsidRPr="00081855">
        <w:t>the relatively modest remuneration,</w:t>
      </w:r>
      <w:r w:rsidR="008422DB">
        <w:t xml:space="preserve"> the offsetting benefits are uniquely valuable to those embarking on a legal career. </w:t>
      </w:r>
      <w:r w:rsidRPr="00081855">
        <w:t xml:space="preserve"> </w:t>
      </w:r>
      <w:r w:rsidR="008422DB" w:rsidRPr="00081855">
        <w:t xml:space="preserve">Top </w:t>
      </w:r>
      <w:r w:rsidRPr="00081855">
        <w:t xml:space="preserve">law graduates with years of professional experience are unlikely to apply, as in their case, the offsetting </w:t>
      </w:r>
      <w:r w:rsidR="0056288B" w:rsidRPr="00081855">
        <w:t>benefits</w:t>
      </w:r>
      <w:r w:rsidRPr="00081855">
        <w:t xml:space="preserve"> are not</w:t>
      </w:r>
      <w:r w:rsidR="00DB175B">
        <w:t xml:space="preserve"> as</w:t>
      </w:r>
      <w:r w:rsidRPr="00081855">
        <w:t xml:space="preserve"> great.  </w:t>
      </w:r>
      <w:proofErr w:type="gramStart"/>
      <w:r w:rsidRPr="00081855">
        <w:t>Thus</w:t>
      </w:r>
      <w:proofErr w:type="gramEnd"/>
      <w:r w:rsidR="00EE6E75">
        <w:t> </w:t>
      </w:r>
      <w:r w:rsidRPr="00081855">
        <w:t>the well</w:t>
      </w:r>
      <w:r w:rsidRPr="00081855">
        <w:noBreakHyphen/>
        <w:t>qualified candidates are almost exclusively young</w:t>
      </w:r>
      <w:r w:rsidR="00F5453E">
        <w:t xml:space="preserve"> and/or </w:t>
      </w:r>
      <w:r w:rsidR="004E3FF2">
        <w:t xml:space="preserve">professionally </w:t>
      </w:r>
      <w:r w:rsidR="00F5453E">
        <w:t>junior</w:t>
      </w:r>
      <w:r w:rsidRPr="00081855">
        <w:t>.</w:t>
      </w:r>
    </w:p>
    <w:p w14:paraId="3478FE20" w14:textId="5F95AD1D" w:rsidR="00FF2B6B" w:rsidRPr="00081855" w:rsidRDefault="00FF2B6B" w:rsidP="0004466F">
      <w:pPr>
        <w:pStyle w:val="ListParagraph"/>
      </w:pPr>
      <w:r w:rsidRPr="00081855">
        <w:t xml:space="preserve">Whilst such candidates were always a significant proportion of the associates in a court, they now </w:t>
      </w:r>
      <w:r w:rsidR="00D511BB" w:rsidRPr="00081855">
        <w:t>almost exclusively</w:t>
      </w:r>
      <w:r w:rsidR="000A7C48">
        <w:t xml:space="preserve"> constitute</w:t>
      </w:r>
      <w:r w:rsidRPr="00081855">
        <w:t xml:space="preserve"> that cohort</w:t>
      </w:r>
      <w:r w:rsidR="000A7C48">
        <w:t>.</w:t>
      </w:r>
      <w:r w:rsidRPr="00081855">
        <w:t xml:space="preserve">  Moreover, the judge who is the associate’s functional employer, is no longer the legal employer.  </w:t>
      </w:r>
      <w:r w:rsidR="00952687">
        <w:t xml:space="preserve">The </w:t>
      </w:r>
      <w:r w:rsidRPr="00081855">
        <w:t xml:space="preserve">American system of recruitment still appears to allow the </w:t>
      </w:r>
      <w:r w:rsidR="004E3FF2">
        <w:t xml:space="preserve">American </w:t>
      </w:r>
      <w:r w:rsidRPr="00081855">
        <w:t>judge complete discretion, and nepotism remains possible</w:t>
      </w:r>
      <w:r w:rsidR="00952687">
        <w:t>.  Similarly</w:t>
      </w:r>
      <w:r w:rsidR="005D1D19">
        <w:t xml:space="preserve">, the American associates may be slightly older as a cohort, given that they </w:t>
      </w:r>
      <w:r w:rsidR="000034C1">
        <w:t xml:space="preserve">will have completed their law degree as post-graduates. </w:t>
      </w:r>
      <w:r w:rsidRPr="00081855">
        <w:t xml:space="preserve"> </w:t>
      </w:r>
      <w:r w:rsidR="005D1D19">
        <w:t>Otherwise</w:t>
      </w:r>
      <w:r w:rsidR="00CF1AC7">
        <w:t xml:space="preserve">, </w:t>
      </w:r>
      <w:r w:rsidRPr="00081855">
        <w:t xml:space="preserve">the </w:t>
      </w:r>
      <w:r w:rsidR="005D1D19">
        <w:t xml:space="preserve">demographic </w:t>
      </w:r>
      <w:r w:rsidRPr="00081855">
        <w:lastRenderedPageBreak/>
        <w:t xml:space="preserve">composition of the Victorian associate workforce </w:t>
      </w:r>
      <w:r w:rsidR="005D0423">
        <w:t xml:space="preserve">in the superior courts </w:t>
      </w:r>
      <w:r w:rsidRPr="00081855">
        <w:t xml:space="preserve">now appears </w:t>
      </w:r>
      <w:r w:rsidR="005D0423">
        <w:t xml:space="preserve">very similar </w:t>
      </w:r>
      <w:r w:rsidRPr="00081855">
        <w:t xml:space="preserve">to that in the USA.  </w:t>
      </w:r>
      <w:proofErr w:type="gramStart"/>
      <w:r w:rsidRPr="00081855">
        <w:t>Exactly the same</w:t>
      </w:r>
      <w:proofErr w:type="gramEnd"/>
      <w:r w:rsidRPr="00081855">
        <w:t xml:space="preserve"> kinds of benefits and rewards (which are uniquely attractive to aspiring lawyers at the outset of their careers) thus accrue to Victorian associates.</w:t>
      </w:r>
      <w:r w:rsidR="004E3FF2">
        <w:t xml:space="preserve">  Conversely, the threats to professional advancement posed by incurring a judge’s wrath also apply with unique force to this cohort.</w:t>
      </w:r>
    </w:p>
    <w:p w14:paraId="20B9EE3D" w14:textId="595134C9" w:rsidR="00FF2B6B" w:rsidRPr="00081855" w:rsidRDefault="00FF2B6B" w:rsidP="0004466F">
      <w:pPr>
        <w:pStyle w:val="ListParagraph"/>
      </w:pPr>
      <w:r w:rsidRPr="00081855">
        <w:t xml:space="preserve">The characteristics of a cohort of youthful top graduates, the high value they place </w:t>
      </w:r>
      <w:r w:rsidR="00B41488">
        <w:t>on</w:t>
      </w:r>
      <w:r w:rsidRPr="00081855">
        <w:t xml:space="preserve"> the benefits </w:t>
      </w:r>
      <w:r w:rsidR="00B41488">
        <w:t xml:space="preserve">of the role </w:t>
      </w:r>
      <w:r w:rsidRPr="00081855">
        <w:t xml:space="preserve">and the potentially disastrous consequences of losing the judge’s favour, combine </w:t>
      </w:r>
      <w:proofErr w:type="gramStart"/>
      <w:r w:rsidRPr="00081855">
        <w:t>a number of</w:t>
      </w:r>
      <w:proofErr w:type="gramEnd"/>
      <w:r w:rsidRPr="00081855">
        <w:t xml:space="preserve"> potent risk factors for both the occurrence of sexual harassment and the victim’s unwillingness to report it.</w:t>
      </w:r>
      <w:r w:rsidR="00E30056">
        <w:t xml:space="preserve">  To this may be added the more general established risk factors (see below) present in the workplaces of the superior courts.</w:t>
      </w:r>
    </w:p>
    <w:p w14:paraId="17F5611F" w14:textId="58932568" w:rsidR="00FF2B6B" w:rsidRPr="00062BB6" w:rsidRDefault="00FF2B6B" w:rsidP="0004466F">
      <w:pPr>
        <w:pStyle w:val="ListParagraph"/>
      </w:pPr>
      <w:r w:rsidRPr="00062BB6">
        <w:t>In summary, until recently, the system for recruiting judge’s associates and tipstaves</w:t>
      </w:r>
      <w:r w:rsidR="00BD0561">
        <w:t xml:space="preserve"> in Victoria</w:t>
      </w:r>
      <w:r w:rsidRPr="00062BB6">
        <w:t xml:space="preserve"> had few rules.  </w:t>
      </w:r>
      <w:r w:rsidR="000A7C48">
        <w:t>Many judges in practice selected their associates on merit.  However, the system</w:t>
      </w:r>
      <w:r w:rsidR="006C2127">
        <w:t xml:space="preserve"> unfairly </w:t>
      </w:r>
      <w:r w:rsidR="00E12EC9">
        <w:t>permitted</w:t>
      </w:r>
      <w:r w:rsidR="006C2127">
        <w:t xml:space="preserve"> nepotism, exclusiv</w:t>
      </w:r>
      <w:r w:rsidR="00F51BFC">
        <w:t>ity</w:t>
      </w:r>
      <w:r w:rsidR="006C2127">
        <w:t xml:space="preserve"> and </w:t>
      </w:r>
      <w:r w:rsidR="005E3267">
        <w:t>a</w:t>
      </w:r>
      <w:r w:rsidR="006C2127">
        <w:t xml:space="preserve">n </w:t>
      </w:r>
      <w:r w:rsidRPr="00062BB6">
        <w:t>uncompetitive “closed shop”</w:t>
      </w:r>
      <w:r w:rsidR="00E12EC9">
        <w:t xml:space="preserve">.  </w:t>
      </w:r>
      <w:r w:rsidRPr="00062BB6">
        <w:t xml:space="preserve">Associates’ positions, at least, were </w:t>
      </w:r>
      <w:r w:rsidR="005E3267">
        <w:t xml:space="preserve">especially, if not exclusively, </w:t>
      </w:r>
      <w:r w:rsidR="00CA0B44">
        <w:t xml:space="preserve">accessible to </w:t>
      </w:r>
      <w:r w:rsidR="00A402A7">
        <w:t xml:space="preserve">the </w:t>
      </w:r>
      <w:r w:rsidRPr="00062BB6">
        <w:t>well</w:t>
      </w:r>
      <w:r w:rsidRPr="00062BB6">
        <w:noBreakHyphen/>
        <w:t>connected</w:t>
      </w:r>
      <w:r w:rsidR="009041A4">
        <w:t>,</w:t>
      </w:r>
      <w:r w:rsidRPr="00062BB6">
        <w:t xml:space="preserve"> those </w:t>
      </w:r>
      <w:r>
        <w:t>“</w:t>
      </w:r>
      <w:r w:rsidRPr="00062BB6">
        <w:t>in the know</w:t>
      </w:r>
      <w:r>
        <w:t>”</w:t>
      </w:r>
      <w:r w:rsidR="009041A4">
        <w:t xml:space="preserve"> or extremely confident applicants who applied </w:t>
      </w:r>
      <w:r w:rsidR="00CA0B44">
        <w:t xml:space="preserve">despite </w:t>
      </w:r>
      <w:r w:rsidR="009041A4">
        <w:t xml:space="preserve">possessing </w:t>
      </w:r>
      <w:r w:rsidR="00CA0B44">
        <w:t xml:space="preserve">no </w:t>
      </w:r>
      <w:r w:rsidR="009041A4">
        <w:t>connections</w:t>
      </w:r>
      <w:r w:rsidRPr="00062BB6">
        <w:t xml:space="preserve">.  The judge’s </w:t>
      </w:r>
      <w:r>
        <w:t xml:space="preserve">absolute </w:t>
      </w:r>
      <w:r w:rsidRPr="00062BB6">
        <w:t>discretionary entitlement to award those jobs unaccountably</w:t>
      </w:r>
      <w:r>
        <w:t>,</w:t>
      </w:r>
      <w:r w:rsidRPr="00062BB6">
        <w:t xml:space="preserve"> and irrespective of merit</w:t>
      </w:r>
      <w:r>
        <w:t>,</w:t>
      </w:r>
      <w:r w:rsidRPr="00062BB6">
        <w:t xml:space="preserve"> was a valuable prerequisite of judicial office and hallmark of status.</w:t>
      </w:r>
    </w:p>
    <w:p w14:paraId="3B9B9643" w14:textId="19C366EE" w:rsidR="00FF2B6B" w:rsidRPr="00725342" w:rsidRDefault="00FF2B6B" w:rsidP="0004466F">
      <w:pPr>
        <w:pStyle w:val="ListParagraph"/>
      </w:pPr>
      <w:r w:rsidRPr="00062BB6">
        <w:t xml:space="preserve">However, ironically, this unregulated and quasi-feudal system resulted in a much more diverse </w:t>
      </w:r>
      <w:r>
        <w:t>associates’ cohort</w:t>
      </w:r>
      <w:r w:rsidRPr="00062BB6">
        <w:t xml:space="preserve"> than the current system (discussed below).  There were diverse ages, diverse job experience and </w:t>
      </w:r>
      <w:proofErr w:type="gramStart"/>
      <w:r w:rsidRPr="00062BB6">
        <w:t>a number of</w:t>
      </w:r>
      <w:proofErr w:type="gramEnd"/>
      <w:r w:rsidRPr="00062BB6">
        <w:t xml:space="preserve"> more mature professional peers, as well as a balance between permanent and </w:t>
      </w:r>
      <w:r w:rsidR="004D7A26">
        <w:t>short-term</w:t>
      </w:r>
      <w:r w:rsidRPr="00062BB6">
        <w:t xml:space="preserve"> staff.  </w:t>
      </w:r>
      <w:r w:rsidR="00063287">
        <w:t>Nevertheless, even if t</w:t>
      </w:r>
      <w:r w:rsidRPr="00062BB6">
        <w:t>he gender of the associates was evenly balanced, given that tipstaves were exclusively and judges’ predominantly male, males predominated in chambers.  The model of chambers staff was typically an associate and a mature male tipstaff from a military or custodial background who worked closely with the judge together.</w:t>
      </w:r>
    </w:p>
    <w:p w14:paraId="6D798C80" w14:textId="78508A0E" w:rsidR="00FF2B6B" w:rsidRPr="00062BB6" w:rsidRDefault="00FF2B6B" w:rsidP="0004466F">
      <w:pPr>
        <w:pStyle w:val="ListParagraph"/>
      </w:pPr>
      <w:r w:rsidRPr="00062BB6">
        <w:t xml:space="preserve">The transition to a competitive, </w:t>
      </w:r>
      <w:r>
        <w:t>merit</w:t>
      </w:r>
      <w:r>
        <w:noBreakHyphen/>
        <w:t xml:space="preserve">based </w:t>
      </w:r>
      <w:r w:rsidRPr="00062BB6">
        <w:t xml:space="preserve">recruitment system </w:t>
      </w:r>
      <w:r>
        <w:t xml:space="preserve">for associates </w:t>
      </w:r>
      <w:r w:rsidRPr="00062BB6">
        <w:t xml:space="preserve">has extinguished the old nepotism and exclusions, but ironically, it has also resulted in a </w:t>
      </w:r>
      <w:r w:rsidR="000A52B0">
        <w:t xml:space="preserve">potentially </w:t>
      </w:r>
      <w:r w:rsidRPr="00062BB6">
        <w:t xml:space="preserve">more elitist, less diverse associate cohort that is inherently more vulnerable to sexual harassment by judges.  This is reinforced by the </w:t>
      </w:r>
      <w:r>
        <w:t xml:space="preserve">current </w:t>
      </w:r>
      <w:r w:rsidRPr="00062BB6">
        <w:t xml:space="preserve">tendency to dispense with tipstaves and </w:t>
      </w:r>
      <w:r>
        <w:t xml:space="preserve">instead </w:t>
      </w:r>
      <w:r w:rsidRPr="00062BB6">
        <w:t xml:space="preserve">to employ two young, </w:t>
      </w:r>
      <w:r w:rsidR="004D7A26">
        <w:t>short-term</w:t>
      </w:r>
      <w:r w:rsidRPr="00062BB6">
        <w:t xml:space="preserve"> </w:t>
      </w:r>
      <w:r>
        <w:t xml:space="preserve">legal </w:t>
      </w:r>
      <w:r w:rsidRPr="00062BB6">
        <w:t>professionals as associates.</w:t>
      </w:r>
    </w:p>
    <w:p w14:paraId="5EA99A90" w14:textId="515416D7" w:rsidR="003F5F04" w:rsidRDefault="003F5F04" w:rsidP="003F5F04">
      <w:pPr>
        <w:pStyle w:val="Heading1"/>
      </w:pPr>
      <w:bookmarkStart w:id="37" w:name="_Toc112606886"/>
      <w:r>
        <w:lastRenderedPageBreak/>
        <w:t xml:space="preserve">Should the </w:t>
      </w:r>
      <w:r w:rsidR="00A3263F">
        <w:t>c</w:t>
      </w:r>
      <w:r>
        <w:t xml:space="preserve">ourts aim to </w:t>
      </w:r>
      <w:r w:rsidR="00A3263F">
        <w:t>r</w:t>
      </w:r>
      <w:r>
        <w:t xml:space="preserve">ecruit a more </w:t>
      </w:r>
      <w:r w:rsidR="00A3263F">
        <w:t>d</w:t>
      </w:r>
      <w:r>
        <w:t xml:space="preserve">iverse </w:t>
      </w:r>
      <w:r w:rsidR="00A3263F">
        <w:t>a</w:t>
      </w:r>
      <w:r w:rsidR="006D5ABA">
        <w:t xml:space="preserve">ssociate </w:t>
      </w:r>
      <w:r w:rsidR="00A3263F">
        <w:t>w</w:t>
      </w:r>
      <w:r w:rsidR="006D5ABA">
        <w:t xml:space="preserve">orkforce with more </w:t>
      </w:r>
      <w:r w:rsidR="00A3263F">
        <w:t>f</w:t>
      </w:r>
      <w:r w:rsidR="006D5ABA">
        <w:t xml:space="preserve">lexible </w:t>
      </w:r>
      <w:r w:rsidR="00A3263F">
        <w:t>t</w:t>
      </w:r>
      <w:r w:rsidR="006D5ABA">
        <w:t>erms?</w:t>
      </w:r>
      <w:bookmarkEnd w:id="37"/>
    </w:p>
    <w:p w14:paraId="601E7CA8" w14:textId="63F2DDF7" w:rsidR="00FF2B6B" w:rsidRPr="00062BB6" w:rsidRDefault="00FF2B6B" w:rsidP="0004466F">
      <w:pPr>
        <w:pStyle w:val="ListParagraph"/>
      </w:pPr>
      <w:bookmarkStart w:id="38" w:name="_Ref108975073"/>
      <w:r w:rsidRPr="00062BB6">
        <w:t xml:space="preserve">Victoria has </w:t>
      </w:r>
      <w:r>
        <w:t xml:space="preserve">rapidly </w:t>
      </w:r>
      <w:r w:rsidRPr="00062BB6">
        <w:t xml:space="preserve">moved to the American model of associateship, which has now all but replaced the more traditional one that applied a very short time ago.  The move to </w:t>
      </w:r>
      <w:r>
        <w:t xml:space="preserve">a </w:t>
      </w:r>
      <w:r w:rsidRPr="00062BB6">
        <w:t>merit</w:t>
      </w:r>
      <w:r>
        <w:noBreakHyphen/>
        <w:t>based</w:t>
      </w:r>
      <w:r w:rsidRPr="00062BB6">
        <w:t xml:space="preserve"> </w:t>
      </w:r>
      <w:r>
        <w:t xml:space="preserve">selection of associates </w:t>
      </w:r>
      <w:r w:rsidRPr="00062BB6">
        <w:t>and concomitant rejection of nepotism</w:t>
      </w:r>
      <w:r>
        <w:t>,</w:t>
      </w:r>
      <w:r w:rsidRPr="00062BB6">
        <w:t xml:space="preserve"> </w:t>
      </w:r>
      <w:r>
        <w:t xml:space="preserve">monopolising publicly funded jobs </w:t>
      </w:r>
      <w:r w:rsidRPr="00062BB6">
        <w:t>for a privileged inner circle</w:t>
      </w:r>
      <w:r>
        <w:t>, is laudable</w:t>
      </w:r>
      <w:r w:rsidRPr="00062BB6">
        <w:t>.</w:t>
      </w:r>
      <w:r w:rsidR="00152B88">
        <w:t xml:space="preserve">  </w:t>
      </w:r>
      <w:r w:rsidRPr="00062BB6">
        <w:t xml:space="preserve">It is, however, </w:t>
      </w:r>
      <w:r w:rsidR="00725342">
        <w:t xml:space="preserve">questionable </w:t>
      </w:r>
      <w:r w:rsidRPr="00062BB6">
        <w:t xml:space="preserve">whether only </w:t>
      </w:r>
      <w:r w:rsidR="00152B88">
        <w:t>high-achieving recent graduates</w:t>
      </w:r>
      <w:r w:rsidRPr="00062BB6">
        <w:t xml:space="preserve"> </w:t>
      </w:r>
      <w:r>
        <w:t xml:space="preserve">can </w:t>
      </w:r>
      <w:r w:rsidRPr="00062BB6">
        <w:t xml:space="preserve">best fulfil the demands of the position in every case.  </w:t>
      </w:r>
      <w:r w:rsidR="003B1AC9">
        <w:t>We were informed of a perception that only top graduates of top Australian or overseas law schools can confident</w:t>
      </w:r>
      <w:r w:rsidR="00165656">
        <w:t xml:space="preserve">ly apply for an associateship in the Supreme and County Courts.  </w:t>
      </w:r>
      <w:r w:rsidRPr="00062BB6">
        <w:t xml:space="preserve">We question whether the move to </w:t>
      </w:r>
      <w:r w:rsidR="00152B88" w:rsidRPr="00062BB6">
        <w:t>merit-based</w:t>
      </w:r>
      <w:r w:rsidRPr="00062BB6">
        <w:t xml:space="preserve"> recruitment </w:t>
      </w:r>
      <w:r>
        <w:t xml:space="preserve">can </w:t>
      </w:r>
      <w:r w:rsidRPr="00062BB6">
        <w:t>only be achieved at the expense of the greater demographic and professional diversity that was a strength of the old system.</w:t>
      </w:r>
      <w:bookmarkEnd w:id="38"/>
    </w:p>
    <w:p w14:paraId="0CA11545" w14:textId="78EBEABD" w:rsidR="00FF2B6B" w:rsidRPr="00062BB6" w:rsidRDefault="00034A80" w:rsidP="0004466F">
      <w:pPr>
        <w:pStyle w:val="ListParagraph"/>
      </w:pPr>
      <w:r>
        <w:t xml:space="preserve">We see no obvious </w:t>
      </w:r>
      <w:r w:rsidR="00FF2B6B" w:rsidRPr="00062BB6">
        <w:t xml:space="preserve">reason why </w:t>
      </w:r>
      <w:r w:rsidR="00FF2B6B">
        <w:t xml:space="preserve">all </w:t>
      </w:r>
      <w:r w:rsidR="00FF2B6B" w:rsidRPr="00062BB6">
        <w:t>associates must be young</w:t>
      </w:r>
      <w:r w:rsidR="00FF2B6B">
        <w:t>,</w:t>
      </w:r>
      <w:r w:rsidR="00FF2B6B" w:rsidRPr="00062BB6">
        <w:t xml:space="preserve"> top ranking, high</w:t>
      </w:r>
      <w:r w:rsidR="00FF2B6B" w:rsidRPr="00062BB6">
        <w:noBreakHyphen/>
        <w:t>achieving law graduates from elite law schools</w:t>
      </w:r>
      <w:r w:rsidR="00FF2B6B">
        <w:t>,</w:t>
      </w:r>
      <w:r w:rsidR="00FF2B6B" w:rsidRPr="00062BB6">
        <w:t xml:space="preserve"> embarking on</w:t>
      </w:r>
      <w:r w:rsidR="001F5F43" w:rsidRPr="00062BB6">
        <w:t xml:space="preserve"> </w:t>
      </w:r>
      <w:r w:rsidR="00FF2B6B" w:rsidRPr="00062BB6">
        <w:t>potentially stellar legal career</w:t>
      </w:r>
      <w:r w:rsidR="00FF2B6B">
        <w:t>s</w:t>
      </w:r>
      <w:r w:rsidR="00FF2B6B" w:rsidRPr="00062BB6">
        <w:t>.  Even in the relatively recent past, employing non-legally qualified associates did not detract from the excellence of judicial work</w:t>
      </w:r>
      <w:r w:rsidR="00FF2B6B">
        <w:t>.  For example,</w:t>
      </w:r>
      <w:r w:rsidR="00FF2B6B" w:rsidRPr="00062BB6">
        <w:t xml:space="preserve"> </w:t>
      </w:r>
      <w:r w:rsidR="00FF2B6B">
        <w:t xml:space="preserve">Victorian Supreme Court judges, </w:t>
      </w:r>
      <w:r w:rsidR="00FF2B6B" w:rsidRPr="00062BB6">
        <w:t xml:space="preserve">Justices </w:t>
      </w:r>
      <w:proofErr w:type="gramStart"/>
      <w:r w:rsidR="00FF2B6B" w:rsidRPr="00062BB6">
        <w:t>Nettle</w:t>
      </w:r>
      <w:proofErr w:type="gramEnd"/>
      <w:r w:rsidR="00FF2B6B">
        <w:t xml:space="preserve"> and</w:t>
      </w:r>
      <w:r w:rsidR="00FF2B6B" w:rsidRPr="00062BB6">
        <w:t xml:space="preserve"> Buchanan</w:t>
      </w:r>
      <w:r w:rsidR="00FF2B6B">
        <w:t>, who were well</w:t>
      </w:r>
      <w:r w:rsidR="00FF2B6B">
        <w:noBreakHyphen/>
        <w:t>known for the excellence of their judgments, had permanent, non</w:t>
      </w:r>
      <w:r w:rsidR="00FF2B6B">
        <w:noBreakHyphen/>
        <w:t>legally qualified associates.  Such judges highly valued the continuity and stability of their associates’ service, which could not be achieved with junior associates who treated the position as a brief interlude or “</w:t>
      </w:r>
      <w:proofErr w:type="gramStart"/>
      <w:r w:rsidR="00FF2B6B">
        <w:t>stepping stone</w:t>
      </w:r>
      <w:proofErr w:type="gramEnd"/>
      <w:r w:rsidR="00FF2B6B">
        <w:t>”.</w:t>
      </w:r>
      <w:r w:rsidR="00FF2B6B" w:rsidRPr="00062BB6">
        <w:t xml:space="preserve"> </w:t>
      </w:r>
    </w:p>
    <w:p w14:paraId="4F2D52C0" w14:textId="37462B73" w:rsidR="0085481E" w:rsidRDefault="0085481E" w:rsidP="0004466F">
      <w:pPr>
        <w:pStyle w:val="ListParagraph"/>
      </w:pPr>
      <w:bookmarkStart w:id="39" w:name="_Ref108726211"/>
      <w:r>
        <w:t>It may be that more flexible recruitment criteria could allow for the appointment of applicants who lack formal legal qualifications but possess equivalent experience or training, such as paralegals</w:t>
      </w:r>
      <w:r w:rsidR="00D7208E">
        <w:t>.</w:t>
      </w:r>
      <w:bookmarkEnd w:id="39"/>
    </w:p>
    <w:p w14:paraId="4C8F7EDC" w14:textId="5F975CCB" w:rsidR="00FF2B6B" w:rsidRDefault="00FF2B6B" w:rsidP="0004466F">
      <w:pPr>
        <w:pStyle w:val="ListParagraph"/>
      </w:pPr>
      <w:r w:rsidRPr="00062BB6">
        <w:t>Even</w:t>
      </w:r>
      <w:r>
        <w:t xml:space="preserve"> if the complex demands of modern litigation now require </w:t>
      </w:r>
      <w:r w:rsidRPr="00062BB6">
        <w:t xml:space="preserve">all associates </w:t>
      </w:r>
      <w:r w:rsidR="009B0BA4">
        <w:t xml:space="preserve">without exception </w:t>
      </w:r>
      <w:r>
        <w:t xml:space="preserve">to </w:t>
      </w:r>
      <w:r w:rsidRPr="00062BB6">
        <w:t xml:space="preserve">be legally qualified, </w:t>
      </w:r>
      <w:r w:rsidR="00034A80">
        <w:t xml:space="preserve">there is </w:t>
      </w:r>
      <w:r w:rsidRPr="00062BB6">
        <w:t>no reason why candidates in mid</w:t>
      </w:r>
      <w:r w:rsidRPr="00062BB6">
        <w:noBreakHyphen/>
        <w:t xml:space="preserve">career or towards retirement, </w:t>
      </w:r>
      <w:r w:rsidR="008C798E">
        <w:t xml:space="preserve">should not be encouraged, </w:t>
      </w:r>
      <w:r w:rsidRPr="00062BB6">
        <w:t xml:space="preserve">or why </w:t>
      </w:r>
      <w:r w:rsidR="00E953D6">
        <w:t xml:space="preserve">their appointment </w:t>
      </w:r>
      <w:r w:rsidRPr="00062BB6">
        <w:t xml:space="preserve">must necessarily be </w:t>
      </w:r>
      <w:r w:rsidR="004D7A26">
        <w:t>short</w:t>
      </w:r>
      <w:r w:rsidR="00272A3D">
        <w:noBreakHyphen/>
      </w:r>
      <w:r w:rsidR="004D7A26">
        <w:t>term</w:t>
      </w:r>
      <w:r w:rsidRPr="00062BB6">
        <w:t>.  In circumstances where a judge has two members of chambers staff or access to research support</w:t>
      </w:r>
      <w:r>
        <w:t xml:space="preserve"> outside chambers</w:t>
      </w:r>
      <w:r w:rsidRPr="00062BB6">
        <w:t xml:space="preserve">, there may be scope to employ a person who does not conform to the </w:t>
      </w:r>
      <w:r>
        <w:t xml:space="preserve">rigid </w:t>
      </w:r>
      <w:r w:rsidRPr="00062BB6">
        <w:t>pattern of a high</w:t>
      </w:r>
      <w:r w:rsidRPr="00062BB6">
        <w:noBreakHyphen/>
        <w:t>achieving</w:t>
      </w:r>
      <w:r>
        <w:t>, short-term</w:t>
      </w:r>
      <w:r w:rsidR="00E953D6">
        <w:t>,</w:t>
      </w:r>
      <w:r w:rsidRPr="00062BB6">
        <w:t xml:space="preserve"> junior lawyer.</w:t>
      </w:r>
      <w:r>
        <w:t xml:space="preserve"> </w:t>
      </w:r>
    </w:p>
    <w:p w14:paraId="1FFAD2B3" w14:textId="319946B0" w:rsidR="00034A80" w:rsidRDefault="00725342" w:rsidP="0004466F">
      <w:pPr>
        <w:pStyle w:val="ListParagraph"/>
      </w:pPr>
      <w:r>
        <w:t xml:space="preserve">Because </w:t>
      </w:r>
      <w:r w:rsidR="00034A80">
        <w:t xml:space="preserve">the remuneration is relatively low, </w:t>
      </w:r>
      <w:proofErr w:type="gramStart"/>
      <w:r w:rsidR="00034A80">
        <w:t>the majority of</w:t>
      </w:r>
      <w:proofErr w:type="gramEnd"/>
      <w:r w:rsidR="00034A80">
        <w:t xml:space="preserve"> applicants will </w:t>
      </w:r>
      <w:r>
        <w:t xml:space="preserve">probably continue to </w:t>
      </w:r>
      <w:r w:rsidR="00034A80">
        <w:t xml:space="preserve">be highly qualified young lawyers, as they uniquely </w:t>
      </w:r>
      <w:r w:rsidR="00E81AA8">
        <w:t xml:space="preserve">prize the offsetting benefits of the position.  It is likely, however, that there will always be some </w:t>
      </w:r>
      <w:r w:rsidR="0084600E">
        <w:t>more mature candidates for whom an associateship has appeal</w:t>
      </w:r>
      <w:r w:rsidR="00285C48">
        <w:t>.</w:t>
      </w:r>
    </w:p>
    <w:p w14:paraId="5AEB1F3A" w14:textId="77777777" w:rsidR="00A83BF7" w:rsidRPr="00A83BF7" w:rsidRDefault="00A83BF7" w:rsidP="00A83BF7">
      <w:pPr>
        <w:pStyle w:val="ListParagraph"/>
      </w:pPr>
      <w:r w:rsidRPr="00A83BF7">
        <w:lastRenderedPageBreak/>
        <w:t>We consulted widely with interviewees at different levels on the desirability of broadening the associates’ demographic in the context of more flexible and varied terms of employment.</w:t>
      </w:r>
    </w:p>
    <w:p w14:paraId="0919DEFF" w14:textId="158DB03F" w:rsidR="00A83BF7" w:rsidRDefault="00A83BF7" w:rsidP="00A83BF7">
      <w:pPr>
        <w:pStyle w:val="ListParagraph"/>
      </w:pPr>
      <w:r>
        <w:t xml:space="preserve">No interviewee had any objection to that proposal.  Associates and junior staff </w:t>
      </w:r>
      <w:r w:rsidR="00D84CDE">
        <w:t xml:space="preserve">uniformly </w:t>
      </w:r>
      <w:r>
        <w:t xml:space="preserve">indicated that they would welcome the presence of some more mature, </w:t>
      </w:r>
      <w:proofErr w:type="gramStart"/>
      <w:r>
        <w:t>experienced</w:t>
      </w:r>
      <w:proofErr w:type="gramEnd"/>
      <w:r>
        <w:t xml:space="preserve"> and permanent peers as an additional informal source of guidance, instruction and stability, as well as </w:t>
      </w:r>
      <w:r w:rsidR="00725342">
        <w:t xml:space="preserve">for </w:t>
      </w:r>
      <w:r>
        <w:t>potential recourse if concerns arose about a judge’s expectations or conduct.</w:t>
      </w:r>
      <w:r w:rsidR="00FB5F38">
        <w:t xml:space="preserve">  Several judges reported their own positive experience of long</w:t>
      </w:r>
      <w:r w:rsidR="004D7A26">
        <w:noBreakHyphen/>
      </w:r>
      <w:r w:rsidR="00FB5F38">
        <w:t>term associates who provided continuity and stable support over many years.</w:t>
      </w:r>
    </w:p>
    <w:p w14:paraId="408C97D5" w14:textId="7D6BF2FD" w:rsidR="00A83BF7" w:rsidRDefault="00A83BF7" w:rsidP="00A83BF7">
      <w:pPr>
        <w:pStyle w:val="ListParagraph"/>
      </w:pPr>
      <w:r>
        <w:t xml:space="preserve">Some interviewees, including heads of jurisdiction, while not opposed in principle, doubted that judges would </w:t>
      </w:r>
      <w:r w:rsidR="00FB5F38">
        <w:t xml:space="preserve">now </w:t>
      </w:r>
      <w:r>
        <w:t xml:space="preserve">wish to </w:t>
      </w:r>
      <w:r w:rsidR="00FB5F38">
        <w:t xml:space="preserve">recruit </w:t>
      </w:r>
      <w:r>
        <w:t xml:space="preserve">associates who did not conform to the present model.  There was </w:t>
      </w:r>
      <w:r w:rsidR="00FB5F38">
        <w:t xml:space="preserve">reference to the </w:t>
      </w:r>
      <w:r>
        <w:t>judges</w:t>
      </w:r>
      <w:r w:rsidR="00D4315D">
        <w:t>’ perception</w:t>
      </w:r>
      <w:r>
        <w:t xml:space="preserve"> that they should</w:t>
      </w:r>
      <w:r w:rsidR="0069040E">
        <w:t>, as a priority,</w:t>
      </w:r>
      <w:r>
        <w:t xml:space="preserve"> assist </w:t>
      </w:r>
      <w:r w:rsidR="00D4315D">
        <w:t xml:space="preserve">in training and mentoring </w:t>
      </w:r>
      <w:r>
        <w:t>young lawyers at the outset of their careers</w:t>
      </w:r>
      <w:r w:rsidR="00D4315D">
        <w:t xml:space="preserve">. </w:t>
      </w:r>
      <w:r>
        <w:t xml:space="preserve"> Some respondents also doubted that the </w:t>
      </w:r>
      <w:r w:rsidR="00D4315D">
        <w:t xml:space="preserve">current </w:t>
      </w:r>
      <w:r>
        <w:t>remuneration would attract more mature candidates.</w:t>
      </w:r>
      <w:r w:rsidR="00D84CDE">
        <w:t xml:space="preserve">  </w:t>
      </w:r>
    </w:p>
    <w:p w14:paraId="6CA98CE2" w14:textId="3A6CE1CD" w:rsidR="00A83BF7" w:rsidRDefault="00A83BF7" w:rsidP="00A83BF7">
      <w:pPr>
        <w:pStyle w:val="ListParagraph"/>
      </w:pPr>
      <w:r>
        <w:t xml:space="preserve">Nevertheless, the proposal </w:t>
      </w:r>
      <w:r w:rsidR="00D4315D">
        <w:t>to aim for a more diversified associate</w:t>
      </w:r>
      <w:r w:rsidR="00725342">
        <w:t>s</w:t>
      </w:r>
      <w:r w:rsidR="00D4315D">
        <w:t xml:space="preserve"> cohort </w:t>
      </w:r>
      <w:r>
        <w:t>drew strong support from Kate Eastman AM SC, who has wide experience in the field of workplace sexual harassment.</w:t>
      </w:r>
    </w:p>
    <w:p w14:paraId="2664B3AA" w14:textId="6AEE2553" w:rsidR="00853E48" w:rsidRDefault="00EB4705" w:rsidP="00A83BF7">
      <w:pPr>
        <w:pStyle w:val="Heading1"/>
      </w:pPr>
      <w:bookmarkStart w:id="40" w:name="_Ref94348959"/>
      <w:bookmarkStart w:id="41" w:name="_Ref94348964"/>
      <w:bookmarkStart w:id="42" w:name="_Toc112606887"/>
      <w:r>
        <w:t>Some</w:t>
      </w:r>
      <w:r w:rsidR="00853E48">
        <w:t xml:space="preserve"> observations on existing practices in </w:t>
      </w:r>
      <w:r w:rsidR="00A3263F">
        <w:t>S</w:t>
      </w:r>
      <w:r w:rsidR="00853E48">
        <w:t xml:space="preserve">upreme and </w:t>
      </w:r>
      <w:r w:rsidR="00A3263F">
        <w:t>C</w:t>
      </w:r>
      <w:r w:rsidR="00853E48">
        <w:t xml:space="preserve">ounty </w:t>
      </w:r>
      <w:r w:rsidR="0075199C">
        <w:t>C</w:t>
      </w:r>
      <w:r w:rsidR="00853E48">
        <w:t>ourts</w:t>
      </w:r>
      <w:bookmarkEnd w:id="40"/>
      <w:bookmarkEnd w:id="41"/>
      <w:bookmarkEnd w:id="42"/>
      <w:r w:rsidR="00853E48">
        <w:t xml:space="preserve"> </w:t>
      </w:r>
    </w:p>
    <w:p w14:paraId="6686BA81" w14:textId="17914741" w:rsidR="00853E48" w:rsidRPr="00CE5A55" w:rsidRDefault="00853E48" w:rsidP="008430A8">
      <w:pPr>
        <w:pStyle w:val="Heading2"/>
      </w:pPr>
      <w:bookmarkStart w:id="43" w:name="_Toc112606888"/>
      <w:r>
        <w:t>Supreme Court</w:t>
      </w:r>
      <w:r w:rsidR="00F3465F">
        <w:t xml:space="preserve"> of Victoria</w:t>
      </w:r>
      <w:bookmarkEnd w:id="43"/>
    </w:p>
    <w:p w14:paraId="2EA70833" w14:textId="31059FA7" w:rsidR="00345198" w:rsidRDefault="00345198" w:rsidP="0004466F">
      <w:pPr>
        <w:pStyle w:val="ListParagraph"/>
      </w:pPr>
      <w:bookmarkStart w:id="44" w:name="_Ref108637967"/>
      <w:r>
        <w:t>What follows is a selection of our observations of practices in the Supreme and County Courts concerning th</w:t>
      </w:r>
      <w:r w:rsidR="005739E9">
        <w:t xml:space="preserve">e recruitment, role and working arrangements of associates and other staff in primary working relationships with judges. As described above in this report, what is set out below is subject to change in a </w:t>
      </w:r>
      <w:proofErr w:type="gramStart"/>
      <w:r w:rsidR="005739E9">
        <w:t>rapidly-changing</w:t>
      </w:r>
      <w:proofErr w:type="gramEnd"/>
      <w:r w:rsidR="005739E9">
        <w:t xml:space="preserve"> environment. </w:t>
      </w:r>
      <w:r w:rsidR="002002C5">
        <w:t xml:space="preserve"> Our </w:t>
      </w:r>
      <w:r w:rsidR="00A73A57">
        <w:t xml:space="preserve">fact-finding </w:t>
      </w:r>
      <w:r w:rsidR="002002C5">
        <w:t xml:space="preserve">is based on conferences with court management and </w:t>
      </w:r>
      <w:r w:rsidR="004E78BE">
        <w:t xml:space="preserve">human resources </w:t>
      </w:r>
      <w:r w:rsidR="002002C5">
        <w:t xml:space="preserve">officers, </w:t>
      </w:r>
      <w:r w:rsidR="00A73A57">
        <w:t>consultations with heads of jurisdiction</w:t>
      </w:r>
      <w:r w:rsidR="009041A4">
        <w:t xml:space="preserve"> and feedback from the judges and employees themselves</w:t>
      </w:r>
      <w:r w:rsidR="00A73A57">
        <w:t>.</w:t>
      </w:r>
      <w:bookmarkEnd w:id="44"/>
      <w:r w:rsidR="00A73A57">
        <w:t xml:space="preserve"> </w:t>
      </w:r>
    </w:p>
    <w:p w14:paraId="59ADD5FB" w14:textId="4806242F" w:rsidR="00853E48" w:rsidRDefault="00853E48" w:rsidP="0004466F">
      <w:pPr>
        <w:pStyle w:val="ListParagraph"/>
      </w:pPr>
      <w:r>
        <w:t xml:space="preserve">Judges of the Supreme Court have the assistance of one or two associates. Some judges may also have a tipstaff on their staff, in preference to having two associates.  </w:t>
      </w:r>
    </w:p>
    <w:p w14:paraId="7CF6E655" w14:textId="77777777" w:rsidR="00853E48" w:rsidRDefault="00853E48" w:rsidP="0004466F">
      <w:pPr>
        <w:pStyle w:val="ListParagraph"/>
      </w:pPr>
      <w:r>
        <w:t xml:space="preserve">A Supreme Court associate works closely with their judge.  As noted above, the role of an associate will vary depending upon the requirements of each judge, but it includes researching points of law, proofreading judgments and liaising with members of the legal profession, as well as in-court assistance.  </w:t>
      </w:r>
    </w:p>
    <w:p w14:paraId="26EF3727" w14:textId="77777777" w:rsidR="00853E48" w:rsidRDefault="00853E48" w:rsidP="0004466F">
      <w:pPr>
        <w:pStyle w:val="ListParagraph"/>
      </w:pPr>
      <w:r>
        <w:t xml:space="preserve">Associates are employed at the VPS3 level.  The previous distinction between Junior (VPS2) and Senior Associates has been abolished.  </w:t>
      </w:r>
    </w:p>
    <w:p w14:paraId="422398C7" w14:textId="7732F0AD" w:rsidR="00853E48" w:rsidRDefault="00853E48" w:rsidP="0004466F">
      <w:pPr>
        <w:pStyle w:val="ListParagraph"/>
      </w:pPr>
      <w:r>
        <w:lastRenderedPageBreak/>
        <w:t xml:space="preserve">There is a slight majority of female associates.  This contrasts with the gender balance among judges of the Court, the majority of whom are male.  Associates are typically in their </w:t>
      </w:r>
      <w:r w:rsidR="00E92929">
        <w:t xml:space="preserve">twenties </w:t>
      </w:r>
      <w:r>
        <w:t xml:space="preserve">with little professional experience before joining the Court (although we heard that some judges prefer associates who have some post-qualification experience).  The competitive nature of </w:t>
      </w:r>
      <w:r w:rsidR="007522E3">
        <w:t xml:space="preserve">securing a </w:t>
      </w:r>
      <w:r>
        <w:t xml:space="preserve">Supreme Court associateship means that associates generally have strong academic credentials. </w:t>
      </w:r>
    </w:p>
    <w:p w14:paraId="6AA8DA50" w14:textId="1FCAF9E4" w:rsidR="00853E48" w:rsidRDefault="00853E48" w:rsidP="0004466F">
      <w:pPr>
        <w:pStyle w:val="ListParagraph"/>
      </w:pPr>
      <w:r>
        <w:t xml:space="preserve">Associates are employed for a fixed term (as we understand it, that term is often </w:t>
      </w:r>
      <w:r w:rsidR="00C96150">
        <w:t>12</w:t>
      </w:r>
      <w:r w:rsidR="00AC49A1">
        <w:noBreakHyphen/>
      </w:r>
      <w:r>
        <w:t>18</w:t>
      </w:r>
      <w:r w:rsidR="00AC49A1">
        <w:t> </w:t>
      </w:r>
      <w:r>
        <w:t xml:space="preserve">months).  We heard that the employment of long-term associates is not encouraged.  However, there remain a handful of longer-term associates at the Court, including in </w:t>
      </w:r>
      <w:r w:rsidR="000878A0">
        <w:t xml:space="preserve">learning </w:t>
      </w:r>
      <w:r>
        <w:t xml:space="preserve">and development roles.  We heard that other associates and court staff benefit from </w:t>
      </w:r>
      <w:r w:rsidR="002962D6">
        <w:t xml:space="preserve">and appreciate </w:t>
      </w:r>
      <w:r>
        <w:t xml:space="preserve">having access to the expertise of those associates.  </w:t>
      </w:r>
    </w:p>
    <w:p w14:paraId="6ACC2EF6" w14:textId="22700062" w:rsidR="00853E48" w:rsidRDefault="00853E48" w:rsidP="0004466F">
      <w:pPr>
        <w:pStyle w:val="ListParagraph"/>
      </w:pPr>
      <w:r>
        <w:t>The administrative reporting line of associates is not to the judge with whom they work, but to their Judicial Services Co-ordinator (</w:t>
      </w:r>
      <w:r w:rsidR="0059588B">
        <w:t>“</w:t>
      </w:r>
      <w:r>
        <w:t>JSC</w:t>
      </w:r>
      <w:r w:rsidR="0059588B">
        <w:t>”</w:t>
      </w:r>
      <w:r>
        <w:t>).  The JSC is a CSV employee who reports in turn to a Judicial Services Manager.  Broadly, the role of the JSC is to manage the working relationship between judge and associate</w:t>
      </w:r>
      <w:r w:rsidR="006360C7">
        <w:t>;</w:t>
      </w:r>
      <w:r>
        <w:t xml:space="preserve"> to be a point of contact for associates</w:t>
      </w:r>
      <w:r w:rsidR="006360C7">
        <w:t>;</w:t>
      </w:r>
      <w:r>
        <w:t xml:space="preserve"> and to ensure that judges have sufficient support, including by managing workloads of CSV staff and addressing any issues which arise</w:t>
      </w:r>
      <w:r w:rsidR="006360C7">
        <w:t xml:space="preserve">. </w:t>
      </w:r>
      <w:r w:rsidR="003F63A3" w:rsidRPr="003F63A3" w:rsidDel="00200538">
        <w:t xml:space="preserve"> </w:t>
      </w:r>
      <w:r w:rsidR="003F63A3">
        <w:t xml:space="preserve">Our consultations with court human resources </w:t>
      </w:r>
      <w:r w:rsidR="002962D6">
        <w:t xml:space="preserve">personnel indicated </w:t>
      </w:r>
      <w:r>
        <w:t xml:space="preserve">that JSCs form close working relationships with associates, and that a JSC speaks with incoming associates on their first day at the Court.  The conversation with incoming associates will include a description of the role of an </w:t>
      </w:r>
      <w:proofErr w:type="gramStart"/>
      <w:r>
        <w:t>associate and other practical matters</w:t>
      </w:r>
      <w:proofErr w:type="gramEnd"/>
      <w:r>
        <w:t xml:space="preserve">, including making associates aware that their work fortnight is 76 hours.  </w:t>
      </w:r>
      <w:r w:rsidR="007522E3">
        <w:t>Court</w:t>
      </w:r>
      <w:r w:rsidR="006360C7">
        <w:t> </w:t>
      </w:r>
      <w:r w:rsidR="007522E3">
        <w:t xml:space="preserve">managers and </w:t>
      </w:r>
      <w:r w:rsidR="006360C7">
        <w:t xml:space="preserve">human resource </w:t>
      </w:r>
      <w:r w:rsidR="007522E3">
        <w:t xml:space="preserve">officers acknowledged </w:t>
      </w:r>
      <w:r>
        <w:t>that, at least historically, the conversation between JSCs and incoming associates has not focused on training associates to identify, and to report, any</w:t>
      </w:r>
      <w:r w:rsidR="009C010D">
        <w:t xml:space="preserve"> “</w:t>
      </w:r>
      <w:r>
        <w:t>red flags</w:t>
      </w:r>
      <w:r w:rsidR="009C010D">
        <w:t xml:space="preserve">” </w:t>
      </w:r>
      <w:r>
        <w:t xml:space="preserve">of sexual harassment or inappropriate behaviour.  </w:t>
      </w:r>
    </w:p>
    <w:p w14:paraId="3B5ACAAD" w14:textId="0BF732F4" w:rsidR="00C21EB5" w:rsidRDefault="00853E48" w:rsidP="0004466F">
      <w:pPr>
        <w:pStyle w:val="ListParagraph"/>
      </w:pPr>
      <w:r>
        <w:t xml:space="preserve">The role of the JSC also includes being a point of contact for judges and associates </w:t>
      </w:r>
      <w:r w:rsidR="007522E3">
        <w:t xml:space="preserve">to raise concerns about </w:t>
      </w:r>
      <w:r>
        <w:t>how the judge-associate workplace relationship is progressing.  Given that the role of JSC involves close contact with judges and associates, we heard</w:t>
      </w:r>
      <w:r w:rsidR="00AD4265">
        <w:t xml:space="preserve"> from human resources officers and staff in court administration</w:t>
      </w:r>
      <w:r>
        <w:t xml:space="preserve"> that JSCs are likely to be in a position (or</w:t>
      </w:r>
      <w:r w:rsidR="00AC49A1">
        <w:t> </w:t>
      </w:r>
      <w:r>
        <w:t>at least the best position of anyone at the Court) to identify any</w:t>
      </w:r>
      <w:r w:rsidR="009C010D">
        <w:t xml:space="preserve"> “</w:t>
      </w:r>
      <w:r>
        <w:t>red flags</w:t>
      </w:r>
      <w:r w:rsidR="009C010D">
        <w:t xml:space="preserve">” </w:t>
      </w:r>
      <w:r>
        <w:t xml:space="preserve">which arise in the judge-associate relationship.  </w:t>
      </w:r>
      <w:r w:rsidR="00C21EB5">
        <w:t xml:space="preserve">That view, however, was not shared by associates who doubted that a JSC would ever be </w:t>
      </w:r>
      <w:proofErr w:type="gramStart"/>
      <w:r w:rsidR="00C21EB5">
        <w:t>in a position</w:t>
      </w:r>
      <w:proofErr w:type="gramEnd"/>
      <w:r w:rsidR="00C21EB5">
        <w:t xml:space="preserve"> to observe, and act upon, “red flags”.</w:t>
      </w:r>
    </w:p>
    <w:p w14:paraId="4DAD35DA" w14:textId="1A5B8F76" w:rsidR="00853E48" w:rsidRDefault="00B4138B" w:rsidP="0004466F">
      <w:pPr>
        <w:pStyle w:val="ListParagraph"/>
      </w:pPr>
      <w:proofErr w:type="gramStart"/>
      <w:r>
        <w:t>All of</w:t>
      </w:r>
      <w:proofErr w:type="gramEnd"/>
      <w:r>
        <w:t xml:space="preserve"> the JSCs at the Supreme Court, as well as the Judicial Services Manager, are (since the introduction of “contact officers” after the publication of the Szoke Report) contact officers and have completed the training relevant to that position.  Contact officers are CSV staff (across all jurisdictions) who act as voluntary contact points for CSV employees with </w:t>
      </w:r>
      <w:r>
        <w:lastRenderedPageBreak/>
        <w:t xml:space="preserve">enquiries related to bullying, harassment (including sexual harassment), or other misconduct. </w:t>
      </w:r>
      <w:r w:rsidR="00F334EA">
        <w:t xml:space="preserve"> </w:t>
      </w:r>
      <w:r>
        <w:t>Their role includes the provision of support and advice on CSV complaint resolution procedures and assisting employees to understand their options.</w:t>
      </w:r>
      <w:r w:rsidR="00853E48">
        <w:t xml:space="preserve"> </w:t>
      </w:r>
    </w:p>
    <w:p w14:paraId="66CF567C" w14:textId="3B35BE6B" w:rsidR="009B61B1" w:rsidRDefault="009B61B1" w:rsidP="0004466F">
      <w:pPr>
        <w:pStyle w:val="ListParagraph"/>
      </w:pPr>
      <w:r>
        <w:t xml:space="preserve">In addition to the support associates can receive from the JSCs, we heard that associates are set up with a “buddy” who is a more experienced associate at the Court.  </w:t>
      </w:r>
    </w:p>
    <w:p w14:paraId="66B5D9D1" w14:textId="7BB018ED" w:rsidR="00A60148" w:rsidRDefault="001E3A9E" w:rsidP="00B523CD">
      <w:pPr>
        <w:pStyle w:val="ListParagraph"/>
      </w:pPr>
      <w:bookmarkStart w:id="45" w:name="_Ref110861420"/>
      <w:r>
        <w:t xml:space="preserve">At the commencement of our Review, associates </w:t>
      </w:r>
      <w:r w:rsidR="00853E48">
        <w:t xml:space="preserve">(and other staff at the Court) </w:t>
      </w:r>
      <w:r w:rsidR="001A6211">
        <w:t xml:space="preserve">completed the CSV “modules” relating to the now superseded Respect in the Workplace policy.  There was no other formal training for incoming associates or other junior CSV staff that is specific to sexual harassment. </w:t>
      </w:r>
      <w:r w:rsidR="00F334EA">
        <w:t xml:space="preserve"> </w:t>
      </w:r>
      <w:r w:rsidR="001A6211">
        <w:t xml:space="preserve">As described below at </w:t>
      </w:r>
      <w:r w:rsidR="001A6211" w:rsidRPr="00694CFE">
        <w:t>[</w:t>
      </w:r>
      <w:r w:rsidR="006237B0" w:rsidRPr="00694CFE">
        <w:fldChar w:fldCharType="begin"/>
      </w:r>
      <w:r w:rsidR="006237B0" w:rsidRPr="00694CFE">
        <w:instrText xml:space="preserve"> REF _Ref108189812 \r \h </w:instrText>
      </w:r>
      <w:r w:rsidR="00694CFE">
        <w:instrText xml:space="preserve"> \* MERGEFORMAT </w:instrText>
      </w:r>
      <w:r w:rsidR="006237B0" w:rsidRPr="00694CFE">
        <w:fldChar w:fldCharType="separate"/>
      </w:r>
      <w:r w:rsidR="00CF093C">
        <w:t>358</w:t>
      </w:r>
      <w:r w:rsidR="006237B0" w:rsidRPr="00694CFE">
        <w:fldChar w:fldCharType="end"/>
      </w:r>
      <w:r w:rsidR="003E5A92" w:rsidRPr="00694CFE">
        <w:t>]</w:t>
      </w:r>
      <w:proofErr w:type="gramStart"/>
      <w:r w:rsidR="003E5A92" w:rsidRPr="00694CFE">
        <w:t>-[</w:t>
      </w:r>
      <w:proofErr w:type="gramEnd"/>
      <w:r w:rsidR="003E5A92" w:rsidRPr="00694CFE">
        <w:fldChar w:fldCharType="begin"/>
      </w:r>
      <w:r w:rsidR="003E5A92" w:rsidRPr="00694CFE">
        <w:instrText xml:space="preserve"> REF _Ref108637735 \r \h </w:instrText>
      </w:r>
      <w:r w:rsidR="00694CFE">
        <w:instrText xml:space="preserve"> \* MERGEFORMAT </w:instrText>
      </w:r>
      <w:r w:rsidR="003E5A92" w:rsidRPr="00694CFE">
        <w:fldChar w:fldCharType="separate"/>
      </w:r>
      <w:r w:rsidR="00CF093C">
        <w:t>365</w:t>
      </w:r>
      <w:r w:rsidR="003E5A92" w:rsidRPr="00694CFE">
        <w:fldChar w:fldCharType="end"/>
      </w:r>
      <w:r w:rsidR="001A6211" w:rsidRPr="00694CFE">
        <w:t>],</w:t>
      </w:r>
      <w:r w:rsidR="001A6211">
        <w:t xml:space="preserve"> several new CSV policies were introduced in 2022.  The associates with whom we consulted had been inducted prior to the introduction of the new policies.</w:t>
      </w:r>
      <w:r w:rsidR="003D5653" w:rsidRPr="00B523CD">
        <w:rPr>
          <w:rFonts w:cstheme="minorHAnsi"/>
        </w:rPr>
        <w:t xml:space="preserve">  </w:t>
      </w:r>
      <w:r w:rsidR="003D5653" w:rsidRPr="00B523CD">
        <w:rPr>
          <w:rFonts w:cstheme="minorHAnsi"/>
          <w:lang w:eastAsia="en-AU"/>
        </w:rPr>
        <w:t>We have been informed that all CSV staff, including associates, were required to complete an online sexual harassment module as part of their professional development plan for 2021/2022. All newly appointed staff will, from 1 July 2022, be required to complete the online sexual harassment module as part of their induction. Further, all existing staff will be required to complete refresher sexual harassment training in 2022/2023. We have also been informed that the Respect in the Workplace training is being revised.</w:t>
      </w:r>
      <w:bookmarkEnd w:id="45"/>
    </w:p>
    <w:p w14:paraId="2494B785" w14:textId="5375BBE3" w:rsidR="00853E48" w:rsidRDefault="00EE0A17" w:rsidP="0004466F">
      <w:pPr>
        <w:pStyle w:val="ListParagraph"/>
      </w:pPr>
      <w:r>
        <w:t xml:space="preserve">As noted above, </w:t>
      </w:r>
      <w:r w:rsidR="00D26EF3">
        <w:t xml:space="preserve">in </w:t>
      </w:r>
      <w:r w:rsidR="00853E48">
        <w:t>a significant departure from past practices, the recruitment of associates now involves a competitive merit-based recruitment process conducted by the Court’s administration.  In general, under the new process</w:t>
      </w:r>
      <w:r w:rsidR="000878A0">
        <w:t>,</w:t>
      </w:r>
      <w:r w:rsidR="00853E48">
        <w:t xml:space="preserve"> human resources will advertise for a pool of candidates (either for a Division of the Court or a particular judge), and candidates will register their interest.  JSCs will go through the pool and create a shortlist of candidates (unless the judge prefers to undertake that task himself or herself), and judges will interview, </w:t>
      </w:r>
      <w:r w:rsidR="007522E3">
        <w:t xml:space="preserve">usually </w:t>
      </w:r>
      <w:r w:rsidR="00853E48">
        <w:t xml:space="preserve">alongside a JSC, their preferred candidates from that shortlist.  </w:t>
      </w:r>
    </w:p>
    <w:p w14:paraId="78513BBC" w14:textId="4ACDF8D4" w:rsidR="00853E48" w:rsidRDefault="002829FC" w:rsidP="0004466F">
      <w:pPr>
        <w:pStyle w:val="ListParagraph"/>
      </w:pPr>
      <w:r>
        <w:t xml:space="preserve">Other CSV-employed staff at the Court who work closely with judges, in addition to registry staff, include tipstaves, researchers, policy officers and executive assistants.  Administratively, those staff also report to a JSC, or the Judicial Services Manager.  </w:t>
      </w:r>
    </w:p>
    <w:p w14:paraId="07E613BB" w14:textId="52CAA7AA" w:rsidR="006149A0" w:rsidRDefault="006149A0" w:rsidP="006149A0">
      <w:pPr>
        <w:pStyle w:val="ListParagraph"/>
      </w:pPr>
      <w:r>
        <w:t xml:space="preserve">We heard that the existing complaints procedure in the Supreme Court is that set out in the relevant CSV policies, particularly the </w:t>
      </w:r>
      <w:r w:rsidR="00F334EA">
        <w:t>“</w:t>
      </w:r>
      <w:r>
        <w:t>Resolution procedure — Inappropriate workplace behaviours</w:t>
      </w:r>
      <w:r w:rsidR="00F334EA">
        <w:t>”</w:t>
      </w:r>
      <w:r>
        <w:t xml:space="preserve"> document.  The process set out in that document is explained at </w:t>
      </w:r>
      <w:r w:rsidRPr="00AC49A1">
        <w:t>[</w:t>
      </w:r>
      <w:r w:rsidR="00E540FD" w:rsidRPr="00AC49A1">
        <w:fldChar w:fldCharType="begin"/>
      </w:r>
      <w:r w:rsidR="00E540FD" w:rsidRPr="00AC49A1">
        <w:instrText xml:space="preserve"> REF _Ref108637855 \r \h </w:instrText>
      </w:r>
      <w:r w:rsidR="00AC49A1">
        <w:instrText xml:space="preserve"> \* MERGEFORMAT </w:instrText>
      </w:r>
      <w:r w:rsidR="00E540FD" w:rsidRPr="00AC49A1">
        <w:fldChar w:fldCharType="separate"/>
      </w:r>
      <w:r w:rsidR="00CF093C">
        <w:t>360</w:t>
      </w:r>
      <w:r w:rsidR="00E540FD" w:rsidRPr="00AC49A1">
        <w:fldChar w:fldCharType="end"/>
      </w:r>
      <w:r w:rsidR="00E540FD" w:rsidRPr="00AC49A1">
        <w:t>]</w:t>
      </w:r>
      <w:proofErr w:type="gramStart"/>
      <w:r w:rsidR="00E540FD" w:rsidRPr="00AC49A1">
        <w:t>-[</w:t>
      </w:r>
      <w:proofErr w:type="gramEnd"/>
      <w:r w:rsidR="00E540FD" w:rsidRPr="00AC49A1">
        <w:fldChar w:fldCharType="begin"/>
      </w:r>
      <w:r w:rsidR="00E540FD" w:rsidRPr="00AC49A1">
        <w:instrText xml:space="preserve"> REF _Ref108637858 \r \h </w:instrText>
      </w:r>
      <w:r w:rsidR="00AC49A1">
        <w:instrText xml:space="preserve"> \* MERGEFORMAT </w:instrText>
      </w:r>
      <w:r w:rsidR="00E540FD" w:rsidRPr="00AC49A1">
        <w:fldChar w:fldCharType="separate"/>
      </w:r>
      <w:r w:rsidR="00CF093C">
        <w:t>361</w:t>
      </w:r>
      <w:r w:rsidR="00E540FD" w:rsidRPr="00AC49A1">
        <w:fldChar w:fldCharType="end"/>
      </w:r>
      <w:r w:rsidRPr="00AC49A1">
        <w:t>]</w:t>
      </w:r>
      <w:r>
        <w:t xml:space="preserve"> </w:t>
      </w:r>
      <w:r w:rsidR="00F334EA">
        <w:t>below.  There</w:t>
      </w:r>
      <w:r>
        <w:t xml:space="preserve"> is no written policy specific to the Supreme Court. </w:t>
      </w:r>
    </w:p>
    <w:p w14:paraId="09D3DC2F" w14:textId="6C440FDD" w:rsidR="00853E48" w:rsidRDefault="00512BD9" w:rsidP="0004466F">
      <w:pPr>
        <w:pStyle w:val="ListParagraph"/>
      </w:pPr>
      <w:r>
        <w:t>The administrative side of the Court has no role in the induction of judges beyond the practicalities of setting up chambers and IT systems.  We address the topic of induction of judges below and in our recommendations.</w:t>
      </w:r>
    </w:p>
    <w:p w14:paraId="1FB2A72E" w14:textId="5871825E" w:rsidR="00853E48" w:rsidRDefault="00853E48" w:rsidP="0004466F">
      <w:pPr>
        <w:pStyle w:val="ListParagraph"/>
      </w:pPr>
      <w:r>
        <w:lastRenderedPageBreak/>
        <w:t xml:space="preserve">Finally, we observe that there are significant differences between the Supreme Court and the other courts and tribunals the subject of our analysis.  The power disparity between judges and CSV-employees is at its greatest in the Supreme Court.  </w:t>
      </w:r>
      <w:r w:rsidR="005047B1">
        <w:t xml:space="preserve">That </w:t>
      </w:r>
      <w:r w:rsidR="00A00A45">
        <w:t xml:space="preserve">Court still has a preponderance of male judges who are on average older than in other courts.  </w:t>
      </w:r>
      <w:r>
        <w:t xml:space="preserve">Further, the geography of </w:t>
      </w:r>
      <w:r w:rsidR="000A389B">
        <w:t xml:space="preserve">the nineteenth century Supreme </w:t>
      </w:r>
      <w:r>
        <w:t xml:space="preserve">Court </w:t>
      </w:r>
      <w:r w:rsidR="000A389B">
        <w:t xml:space="preserve">building </w:t>
      </w:r>
      <w:r>
        <w:t>lends itself to a</w:t>
      </w:r>
      <w:r w:rsidR="009C010D">
        <w:t xml:space="preserve"> “</w:t>
      </w:r>
      <w:r>
        <w:t>cloistered</w:t>
      </w:r>
      <w:r w:rsidR="009C010D">
        <w:t xml:space="preserve">” </w:t>
      </w:r>
      <w:r>
        <w:t xml:space="preserve">working environment.  </w:t>
      </w:r>
      <w:r w:rsidR="000A389B">
        <w:t xml:space="preserve">In </w:t>
      </w:r>
      <w:r>
        <w:t xml:space="preserve">other courts staff assigned to a particular judge, </w:t>
      </w:r>
      <w:proofErr w:type="gramStart"/>
      <w:r>
        <w:t>magistrate</w:t>
      </w:r>
      <w:proofErr w:type="gramEnd"/>
      <w:r>
        <w:t xml:space="preserve"> or tribunal member (if any are</w:t>
      </w:r>
      <w:r w:rsidR="009C010D">
        <w:t xml:space="preserve"> “</w:t>
      </w:r>
      <w:r>
        <w:t>assigned</w:t>
      </w:r>
      <w:r w:rsidR="009C010D">
        <w:t xml:space="preserve">” </w:t>
      </w:r>
      <w:r>
        <w:t xml:space="preserve">at all) sit in an open-plan arrangement outside chambers, </w:t>
      </w:r>
      <w:r w:rsidR="000A389B">
        <w:t xml:space="preserve">and there are frequently </w:t>
      </w:r>
      <w:r w:rsidR="00B13392">
        <w:t xml:space="preserve">windows and glass </w:t>
      </w:r>
      <w:r w:rsidR="003D5C73">
        <w:t>partitions</w:t>
      </w:r>
      <w:r w:rsidR="00B13392">
        <w:t xml:space="preserve">.  Staff </w:t>
      </w:r>
      <w:r>
        <w:t xml:space="preserve">assigned to each judge of the Supreme Court </w:t>
      </w:r>
      <w:r w:rsidR="00764E98">
        <w:t xml:space="preserve">may </w:t>
      </w:r>
      <w:r>
        <w:t xml:space="preserve">sit with that judge within </w:t>
      </w:r>
      <w:r w:rsidR="00C06F1F">
        <w:t xml:space="preserve">the same </w:t>
      </w:r>
      <w:r>
        <w:t>chambers</w:t>
      </w:r>
      <w:r w:rsidR="00D4553E">
        <w:t xml:space="preserve"> complex (in which case</w:t>
      </w:r>
      <w:r>
        <w:t xml:space="preserve"> there are </w:t>
      </w:r>
      <w:r w:rsidR="00B13392">
        <w:t xml:space="preserve">physical </w:t>
      </w:r>
      <w:r>
        <w:t>barriers to visibility of how that working relationship is operating</w:t>
      </w:r>
      <w:r w:rsidR="00B31AB5">
        <w:t>)</w:t>
      </w:r>
      <w:r>
        <w:t xml:space="preserve">.  </w:t>
      </w:r>
      <w:r w:rsidR="00B31AB5">
        <w:t xml:space="preserve">In </w:t>
      </w:r>
      <w:r w:rsidR="006627BB">
        <w:t xml:space="preserve">most </w:t>
      </w:r>
      <w:r w:rsidR="00B31AB5">
        <w:t>cases, associates</w:t>
      </w:r>
      <w:r w:rsidR="006627BB">
        <w:t xml:space="preserve"> now</w:t>
      </w:r>
      <w:r w:rsidR="00B31AB5">
        <w:t xml:space="preserve"> have a separate office usually shared with another associate.  Irrespective of whether </w:t>
      </w:r>
      <w:r w:rsidR="00F24EFA">
        <w:t xml:space="preserve">associates have a separate office, they will frequently be required to attend the judge to work in chambers.  </w:t>
      </w:r>
      <w:r w:rsidR="00B13392">
        <w:t xml:space="preserve">The nature of the work is also such that chambers </w:t>
      </w:r>
      <w:r w:rsidR="007522E3">
        <w:t xml:space="preserve">often </w:t>
      </w:r>
      <w:r w:rsidR="008F765B">
        <w:t>operate</w:t>
      </w:r>
      <w:r w:rsidR="007966E6">
        <w:t>s</w:t>
      </w:r>
      <w:r w:rsidR="008F765B">
        <w:t xml:space="preserve"> as a </w:t>
      </w:r>
      <w:r w:rsidR="007966E6">
        <w:t>“</w:t>
      </w:r>
      <w:r w:rsidR="008F765B">
        <w:t>bubble</w:t>
      </w:r>
      <w:r w:rsidR="007966E6">
        <w:t>”</w:t>
      </w:r>
      <w:r w:rsidR="008F765B">
        <w:t xml:space="preserve"> or closed production unit</w:t>
      </w:r>
      <w:r w:rsidR="007966E6">
        <w:t>,</w:t>
      </w:r>
      <w:r w:rsidR="008F765B">
        <w:t xml:space="preserve"> without regular external input.  Those </w:t>
      </w:r>
      <w:r>
        <w:t>arrangement</w:t>
      </w:r>
      <w:r w:rsidR="008F765B">
        <w:t>s</w:t>
      </w:r>
      <w:r>
        <w:t xml:space="preserve"> may be conducive to an optimally productive judge-associate working relationship</w:t>
      </w:r>
      <w:r w:rsidR="00A00A45">
        <w:t xml:space="preserve">. </w:t>
      </w:r>
      <w:r>
        <w:t xml:space="preserve"> </w:t>
      </w:r>
      <w:r w:rsidR="00A00A45">
        <w:t xml:space="preserve">Indeed, it </w:t>
      </w:r>
      <w:r>
        <w:t>may be the only option</w:t>
      </w:r>
      <w:r w:rsidR="00E46E75">
        <w:t xml:space="preserve">, </w:t>
      </w:r>
      <w:r w:rsidR="008405F4">
        <w:t xml:space="preserve">given the nature of the work and </w:t>
      </w:r>
      <w:r>
        <w:t>the architecture of the Court</w:t>
      </w:r>
      <w:r w:rsidR="008405F4">
        <w:t xml:space="preserve">.  The latter </w:t>
      </w:r>
      <w:r>
        <w:t>is ill-suited to an open</w:t>
      </w:r>
      <w:r w:rsidR="00E46E75">
        <w:noBreakHyphen/>
      </w:r>
      <w:r>
        <w:t>plan arrangement</w:t>
      </w:r>
      <w:r w:rsidR="008405F4">
        <w:t xml:space="preserve"> and scope for significant change appears limited</w:t>
      </w:r>
      <w:r w:rsidR="00E46E75">
        <w:t xml:space="preserve">.  </w:t>
      </w:r>
      <w:r w:rsidR="001E59C2">
        <w:t xml:space="preserve">The geography </w:t>
      </w:r>
      <w:r w:rsidR="000728A2">
        <w:t xml:space="preserve">may </w:t>
      </w:r>
      <w:r w:rsidR="001E59C2">
        <w:t xml:space="preserve">nevertheless </w:t>
      </w:r>
      <w:r>
        <w:t xml:space="preserve">present a risk factor for sexual harassment or other inappropriate conduct.  </w:t>
      </w:r>
    </w:p>
    <w:p w14:paraId="016885B0" w14:textId="372C7706" w:rsidR="007966E6" w:rsidRDefault="00372A05" w:rsidP="000D6F2C">
      <w:pPr>
        <w:pStyle w:val="Heading3"/>
      </w:pPr>
      <w:bookmarkStart w:id="46" w:name="_Toc112606889"/>
      <w:r>
        <w:t xml:space="preserve">Supreme Court staff </w:t>
      </w:r>
      <w:r w:rsidR="007966E6">
        <w:t xml:space="preserve">Feedback on Recruitment and </w:t>
      </w:r>
      <w:r>
        <w:t xml:space="preserve">working </w:t>
      </w:r>
      <w:r w:rsidR="007966E6">
        <w:t>Conditions</w:t>
      </w:r>
      <w:bookmarkEnd w:id="46"/>
    </w:p>
    <w:p w14:paraId="6D3E4653" w14:textId="5075A32E" w:rsidR="00372A05" w:rsidRPr="00372A05" w:rsidRDefault="00372A05" w:rsidP="00372A05">
      <w:pPr>
        <w:pStyle w:val="ListParagraph"/>
      </w:pPr>
      <w:r>
        <w:t xml:space="preserve">We interviewed </w:t>
      </w:r>
      <w:proofErr w:type="gramStart"/>
      <w:r>
        <w:t>a number of</w:t>
      </w:r>
      <w:proofErr w:type="gramEnd"/>
      <w:r>
        <w:t xml:space="preserve"> past and present Supreme Court associates </w:t>
      </w:r>
      <w:r w:rsidR="008F6AE3">
        <w:t>and summarise their comments and feedback below.</w:t>
      </w:r>
    </w:p>
    <w:p w14:paraId="4FD2C834" w14:textId="3C07DA59" w:rsidR="0017447E" w:rsidRDefault="0017447E" w:rsidP="00E129FC">
      <w:pPr>
        <w:pStyle w:val="Heading3"/>
      </w:pPr>
      <w:bookmarkStart w:id="47" w:name="_Toc112606890"/>
      <w:r>
        <w:t>Summary of Key Comments</w:t>
      </w:r>
      <w:bookmarkEnd w:id="47"/>
    </w:p>
    <w:p w14:paraId="500CA316" w14:textId="2FD3FBFD" w:rsidR="0017447E" w:rsidRDefault="00515728" w:rsidP="00AC49A1">
      <w:pPr>
        <w:pStyle w:val="ListParagraph"/>
        <w:keepNext/>
      </w:pPr>
      <w:r>
        <w:t xml:space="preserve">Despite the great variation from very positive to very critical assessments, </w:t>
      </w:r>
      <w:proofErr w:type="gramStart"/>
      <w:r>
        <w:t>a number of</w:t>
      </w:r>
      <w:proofErr w:type="gramEnd"/>
      <w:r>
        <w:t xml:space="preserve"> common themes </w:t>
      </w:r>
      <w:r w:rsidR="003520DC">
        <w:t xml:space="preserve">consistently </w:t>
      </w:r>
      <w:r>
        <w:t xml:space="preserve">emerge from the </w:t>
      </w:r>
      <w:r w:rsidR="0010013A">
        <w:t xml:space="preserve">feedback of the </w:t>
      </w:r>
      <w:r>
        <w:t>Supreme Court associates:</w:t>
      </w:r>
    </w:p>
    <w:p w14:paraId="697886CF" w14:textId="395C8060" w:rsidR="00820A4A" w:rsidRDefault="0010013A" w:rsidP="00B465CE">
      <w:pPr>
        <w:pStyle w:val="List2"/>
      </w:pPr>
      <w:r>
        <w:t xml:space="preserve">Their </w:t>
      </w:r>
      <w:r w:rsidR="00820A4A">
        <w:t xml:space="preserve">inductions did not include </w:t>
      </w:r>
      <w:r>
        <w:t xml:space="preserve">any </w:t>
      </w:r>
      <w:r w:rsidR="00820A4A">
        <w:t xml:space="preserve">specific reference to sexual harassment by judges, instruction on reasonable limits of legitimate </w:t>
      </w:r>
      <w:r>
        <w:t xml:space="preserve">work </w:t>
      </w:r>
      <w:r w:rsidR="00820A4A">
        <w:t>demands or guidance on how to refuse unwanted invitations.</w:t>
      </w:r>
    </w:p>
    <w:p w14:paraId="59CC3938" w14:textId="1227377E" w:rsidR="00E56FEE" w:rsidRDefault="00E56FEE" w:rsidP="00B465CE">
      <w:pPr>
        <w:pStyle w:val="List2"/>
      </w:pPr>
      <w:r>
        <w:t xml:space="preserve">Associates want the option of raising their problems or complaints about a judge </w:t>
      </w:r>
      <w:r w:rsidR="0010013A">
        <w:t xml:space="preserve">with </w:t>
      </w:r>
      <w:r>
        <w:t xml:space="preserve">another judge </w:t>
      </w:r>
      <w:r w:rsidR="00D20704">
        <w:t>— “Someone who has power”.  They perceive HR personnel and CSV staff (including JSCs) as beholden, and equally subject to, the judge’s authority.</w:t>
      </w:r>
    </w:p>
    <w:p w14:paraId="558D48F8" w14:textId="4E7EB15D" w:rsidR="00E56FEE" w:rsidRDefault="00E56FEE" w:rsidP="00B465CE">
      <w:pPr>
        <w:pStyle w:val="List2"/>
      </w:pPr>
      <w:r>
        <w:lastRenderedPageBreak/>
        <w:t xml:space="preserve">Associates </w:t>
      </w:r>
      <w:r w:rsidR="00B0761D">
        <w:t xml:space="preserve">usually </w:t>
      </w:r>
      <w:r>
        <w:t>see themselves as “inducted into chambers”, not a workplace.  They</w:t>
      </w:r>
      <w:r w:rsidR="002C3858">
        <w:t> </w:t>
      </w:r>
      <w:r>
        <w:t>see CSV as relatively remote</w:t>
      </w:r>
      <w:r w:rsidR="00B0761D">
        <w:t xml:space="preserve"> from their daily working lives</w:t>
      </w:r>
      <w:r>
        <w:t>.</w:t>
      </w:r>
    </w:p>
    <w:p w14:paraId="46938176" w14:textId="75709FCA" w:rsidR="00070206" w:rsidRDefault="00070206" w:rsidP="00B465CE">
      <w:pPr>
        <w:pStyle w:val="List2"/>
      </w:pPr>
      <w:r>
        <w:t xml:space="preserve">Associates greatly appreciate </w:t>
      </w:r>
      <w:r w:rsidR="00B0761D">
        <w:t xml:space="preserve">strong </w:t>
      </w:r>
      <w:r>
        <w:t xml:space="preserve">public statements </w:t>
      </w:r>
      <w:r w:rsidR="00384A22">
        <w:t xml:space="preserve">by the Chief Justice </w:t>
      </w:r>
      <w:r w:rsidR="00B0761D">
        <w:t>denouncing judicial misconduct</w:t>
      </w:r>
      <w:r w:rsidR="00384A22">
        <w:t>.</w:t>
      </w:r>
    </w:p>
    <w:p w14:paraId="638C373B" w14:textId="76C695AB" w:rsidR="00070206" w:rsidRDefault="00070206" w:rsidP="00B465CE">
      <w:pPr>
        <w:pStyle w:val="List2"/>
      </w:pPr>
      <w:r>
        <w:t xml:space="preserve">Associates wish judges to receive some training in staff management as well as </w:t>
      </w:r>
      <w:r w:rsidR="00E9748D">
        <w:t xml:space="preserve">about </w:t>
      </w:r>
      <w:r>
        <w:t xml:space="preserve">sexual harassment, and </w:t>
      </w:r>
      <w:r w:rsidR="00E9748D">
        <w:t xml:space="preserve">training as to </w:t>
      </w:r>
      <w:r>
        <w:t xml:space="preserve">how </w:t>
      </w:r>
      <w:r w:rsidR="00E9748D">
        <w:t xml:space="preserve">a judge’s </w:t>
      </w:r>
      <w:r>
        <w:t xml:space="preserve">remarks may have </w:t>
      </w:r>
      <w:r w:rsidR="00E9748D">
        <w:t xml:space="preserve">an </w:t>
      </w:r>
      <w:r>
        <w:t xml:space="preserve">unintended </w:t>
      </w:r>
      <w:r w:rsidR="00CA3217">
        <w:t xml:space="preserve">detrimental </w:t>
      </w:r>
      <w:r>
        <w:t xml:space="preserve">impact </w:t>
      </w:r>
      <w:r w:rsidR="00CA3217">
        <w:t xml:space="preserve">on staff </w:t>
      </w:r>
      <w:r>
        <w:t xml:space="preserve">in the context of the </w:t>
      </w:r>
      <w:r w:rsidR="00CA3217">
        <w:t xml:space="preserve">great </w:t>
      </w:r>
      <w:r>
        <w:t xml:space="preserve">power </w:t>
      </w:r>
      <w:r w:rsidR="00CA3217">
        <w:t>disparity.</w:t>
      </w:r>
    </w:p>
    <w:p w14:paraId="3B68B257" w14:textId="7A06D962" w:rsidR="00F27EDF" w:rsidRDefault="00F27EDF" w:rsidP="00B465CE">
      <w:pPr>
        <w:pStyle w:val="List2"/>
      </w:pPr>
      <w:r>
        <w:t>Associates also wish to know, broadly, the content of the judges’ training and instruction on those matters.</w:t>
      </w:r>
    </w:p>
    <w:p w14:paraId="16E7FEA6" w14:textId="0F163063" w:rsidR="00070206" w:rsidRDefault="00CA3217" w:rsidP="00B465CE">
      <w:pPr>
        <w:pStyle w:val="List2"/>
      </w:pPr>
      <w:r>
        <w:t xml:space="preserve">Many </w:t>
      </w:r>
      <w:r w:rsidR="00070206">
        <w:t xml:space="preserve">associates found their associateship extremely rewarding and warn against destruction of the traditional relationship by over regulation </w:t>
      </w:r>
      <w:r>
        <w:t xml:space="preserve">responding </w:t>
      </w:r>
      <w:r w:rsidR="00070206">
        <w:t xml:space="preserve">to </w:t>
      </w:r>
      <w:r>
        <w:t xml:space="preserve">isolated </w:t>
      </w:r>
      <w:r w:rsidR="00070206">
        <w:t>cases of misconduct.</w:t>
      </w:r>
    </w:p>
    <w:p w14:paraId="34934573" w14:textId="586C70A8" w:rsidR="00070206" w:rsidRDefault="00070206" w:rsidP="00B465CE">
      <w:pPr>
        <w:pStyle w:val="List2"/>
      </w:pPr>
      <w:r>
        <w:t>Associates expressed support for the presence of a CSV or HR representative in their recruitment interview.</w:t>
      </w:r>
    </w:p>
    <w:p w14:paraId="532ACD46" w14:textId="309B8DE2" w:rsidR="00070206" w:rsidRDefault="00070206" w:rsidP="00B465CE">
      <w:pPr>
        <w:pStyle w:val="List2"/>
      </w:pPr>
      <w:r>
        <w:t>Associates advocate periodic checks on their wellbeing.</w:t>
      </w:r>
    </w:p>
    <w:p w14:paraId="41766989" w14:textId="0FD5D22E" w:rsidR="00070206" w:rsidRPr="0017447E" w:rsidRDefault="00070206" w:rsidP="00B465CE">
      <w:pPr>
        <w:pStyle w:val="List2"/>
      </w:pPr>
      <w:r>
        <w:t>Associates commented on the vast variation in work demands and atmosphere between different chambers.</w:t>
      </w:r>
    </w:p>
    <w:p w14:paraId="23C45AB7" w14:textId="2A9A0795" w:rsidR="00853E48" w:rsidRPr="00D95A5D" w:rsidRDefault="00853E48" w:rsidP="00ED7040">
      <w:pPr>
        <w:pStyle w:val="Heading2"/>
      </w:pPr>
      <w:bookmarkStart w:id="48" w:name="_Toc112606891"/>
      <w:r>
        <w:t>County</w:t>
      </w:r>
      <w:r w:rsidRPr="00EB36CD">
        <w:t xml:space="preserve"> Court</w:t>
      </w:r>
      <w:r w:rsidR="00F3465F">
        <w:t xml:space="preserve"> of Victoria</w:t>
      </w:r>
      <w:bookmarkEnd w:id="48"/>
    </w:p>
    <w:p w14:paraId="3ED8F180" w14:textId="3249E0FC" w:rsidR="00853E48" w:rsidRDefault="00853E48" w:rsidP="0004466F">
      <w:pPr>
        <w:pStyle w:val="ListParagraph"/>
      </w:pPr>
      <w:r>
        <w:t xml:space="preserve">Like the Supreme Court, judges of the County Court have associates to support them. </w:t>
      </w:r>
      <w:r w:rsidR="004D6B26">
        <w:t xml:space="preserve"> </w:t>
      </w:r>
      <w:proofErr w:type="gramStart"/>
      <w:r>
        <w:t>The</w:t>
      </w:r>
      <w:r w:rsidR="00AC49A1">
        <w:t> </w:t>
      </w:r>
      <w:r>
        <w:t>majority of</w:t>
      </w:r>
      <w:proofErr w:type="gramEnd"/>
      <w:r>
        <w:t xml:space="preserve"> judges of the County Court are supported by one associate and a tipstaff, although a handful of judges have opted to have two associates. As in the Supreme Court, associates are usually at a very early stage of their </w:t>
      </w:r>
      <w:proofErr w:type="gramStart"/>
      <w:r>
        <w:t>career, and</w:t>
      </w:r>
      <w:proofErr w:type="gramEnd"/>
      <w:r>
        <w:t xml:space="preserve"> are employed on a fixed term basis (usually for a period of up to two years, although we understand that there is some scope to extend the term for a further one year). </w:t>
      </w:r>
    </w:p>
    <w:p w14:paraId="23B59F3B" w14:textId="073AC8CF" w:rsidR="00853E48" w:rsidRDefault="00853E48" w:rsidP="0004466F">
      <w:pPr>
        <w:pStyle w:val="ListParagraph"/>
      </w:pPr>
      <w:r>
        <w:t xml:space="preserve">Unlike the Supreme Court, in the County Court associates (and tipstaves) sit together in an open plan arrangement, close to, but separate from, their judge’s chambers. </w:t>
      </w:r>
      <w:r w:rsidR="000728A2">
        <w:t xml:space="preserve"> This</w:t>
      </w:r>
      <w:r w:rsidR="00502BFD">
        <w:t> </w:t>
      </w:r>
      <w:r w:rsidR="000728A2">
        <w:t xml:space="preserve">accommodation may minimise the risk of inappropriate </w:t>
      </w:r>
      <w:proofErr w:type="gramStart"/>
      <w:r w:rsidR="000728A2">
        <w:t>conduct</w:t>
      </w:r>
      <w:proofErr w:type="gramEnd"/>
      <w:r w:rsidR="000728A2">
        <w:t xml:space="preserve"> but it has been noted that it is crowded and </w:t>
      </w:r>
      <w:r w:rsidR="00F17F4F">
        <w:t>is not entirely comfortable.</w:t>
      </w:r>
    </w:p>
    <w:p w14:paraId="09AA6B36" w14:textId="21B863FB" w:rsidR="00853E48" w:rsidRDefault="00853E48" w:rsidP="0004466F">
      <w:pPr>
        <w:pStyle w:val="ListParagraph"/>
      </w:pPr>
      <w:r>
        <w:t>Associates report to a Judicial Staff Co-ordinator.</w:t>
      </w:r>
      <w:r w:rsidR="008D59DE">
        <w:t xml:space="preserve"> </w:t>
      </w:r>
      <w:r>
        <w:t xml:space="preserve"> There is a co-ordinator based on each floor of the building where judges</w:t>
      </w:r>
      <w:r w:rsidR="00CB3A77">
        <w:t>’</w:t>
      </w:r>
      <w:r>
        <w:t xml:space="preserve"> chambers are located. </w:t>
      </w:r>
      <w:r w:rsidR="008D59DE">
        <w:t xml:space="preserve"> </w:t>
      </w:r>
      <w:r>
        <w:t xml:space="preserve">The role of the co-ordinator includes supporting judges and staff by organising recruitment processes for associates, dealing with staffing requirements for judges, supporting staff from a pastoral care perspective, and </w:t>
      </w:r>
      <w:r>
        <w:lastRenderedPageBreak/>
        <w:t xml:space="preserve">addressing any performance management issues that arise. </w:t>
      </w:r>
      <w:r w:rsidR="008D59DE">
        <w:t xml:space="preserve"> </w:t>
      </w:r>
      <w:r>
        <w:t xml:space="preserve">The co-ordinator will speak with judges to ensure they are getting adequate support. </w:t>
      </w:r>
      <w:r w:rsidR="00B46F9B">
        <w:t xml:space="preserve"> </w:t>
      </w:r>
      <w:r>
        <w:t xml:space="preserve">On any given day, they might also move staffing resources around to ensure that judges have sufficient support in court. For example, when an associate is absent, the co-ordinator will ensure that another associate is able to step in to assist that judge. </w:t>
      </w:r>
      <w:r w:rsidR="00B46F9B">
        <w:t xml:space="preserve"> </w:t>
      </w:r>
      <w:r>
        <w:t xml:space="preserve">That replacement associate might be drawn from the ranks of the Court’s “reserve” associates or tipstaves, who are not assigned to any </w:t>
      </w:r>
      <w:proofErr w:type="gramStart"/>
      <w:r>
        <w:t>particular</w:t>
      </w:r>
      <w:r w:rsidR="001017AB">
        <w:t xml:space="preserve"> judge</w:t>
      </w:r>
      <w:proofErr w:type="gramEnd"/>
      <w:r w:rsidR="005D4928">
        <w:t>.</w:t>
      </w:r>
      <w:r w:rsidR="00BD6792">
        <w:t xml:space="preserve">  </w:t>
      </w:r>
      <w:r w:rsidR="005D4928">
        <w:t>For</w:t>
      </w:r>
      <w:r w:rsidR="00AC49A1">
        <w:t> </w:t>
      </w:r>
      <w:r>
        <w:t>the co-ordinator’s pastoral care role, we heard that the co-ordinators had each undergone training as to how to respond to staff complaints of bullying or sexual harassment.</w:t>
      </w:r>
      <w:r w:rsidR="00B46F9B">
        <w:t xml:space="preserve"> </w:t>
      </w:r>
      <w:r>
        <w:t xml:space="preserve"> One of the purposes of the co-ordinator role is to establish rapport with staff so that co-ordinators are </w:t>
      </w:r>
      <w:proofErr w:type="gramStart"/>
      <w:r>
        <w:t>in a position</w:t>
      </w:r>
      <w:proofErr w:type="gramEnd"/>
      <w:r>
        <w:t xml:space="preserve"> to identify any</w:t>
      </w:r>
      <w:r w:rsidR="009C010D">
        <w:t xml:space="preserve"> “</w:t>
      </w:r>
      <w:r>
        <w:t>red flags</w:t>
      </w:r>
      <w:r w:rsidR="009C010D">
        <w:t xml:space="preserve">” </w:t>
      </w:r>
      <w:r>
        <w:t xml:space="preserve">in the judge-associate working relationship before significant problems arise, and so that associates feel comfortable in raising issues with </w:t>
      </w:r>
      <w:r w:rsidR="00BB37D5">
        <w:t>t</w:t>
      </w:r>
      <w:r>
        <w:t xml:space="preserve">he co-ordinators. </w:t>
      </w:r>
    </w:p>
    <w:p w14:paraId="69DFA2BF" w14:textId="41C65896" w:rsidR="00853E48" w:rsidRDefault="00853E48" w:rsidP="0004466F">
      <w:pPr>
        <w:pStyle w:val="ListParagraph"/>
      </w:pPr>
      <w:r>
        <w:t xml:space="preserve">Recruitment of associates is merit-based. Bulk recruitment is done twice a year. </w:t>
      </w:r>
      <w:r w:rsidR="005D4928">
        <w:t xml:space="preserve">From </w:t>
      </w:r>
      <w:r>
        <w:t>all applications received, court staff select a merit list. Each of the candidates who reaches the merit list is interviewed by court staff. When an associate position becomes available, court staff provide the judge with the CVs of those applicants on the merit list. The judge then goes through those CVs and organises an interview with the associates. In addition to the bulk recruitment</w:t>
      </w:r>
      <w:r w:rsidR="00EA0633">
        <w:t xml:space="preserve"> process</w:t>
      </w:r>
      <w:r>
        <w:t>, the Court will occasionally advertise a position with a specific judge if that judge feels that no one on the merit list is suitable for the role.</w:t>
      </w:r>
    </w:p>
    <w:p w14:paraId="43737911" w14:textId="62762679" w:rsidR="00853E48" w:rsidRDefault="00853E48" w:rsidP="0004466F">
      <w:pPr>
        <w:pStyle w:val="ListParagraph"/>
      </w:pPr>
      <w:r>
        <w:t xml:space="preserve">On induction, associates have a session with human resources where they are taken through the Code of Conduct. Associates are also told about the contact officers at the </w:t>
      </w:r>
      <w:proofErr w:type="gramStart"/>
      <w:r>
        <w:t>Court, and</w:t>
      </w:r>
      <w:proofErr w:type="gramEnd"/>
      <w:r>
        <w:t xml:space="preserve"> are given their contact details. </w:t>
      </w:r>
      <w:r w:rsidR="002E2CC9">
        <w:t xml:space="preserve"> </w:t>
      </w:r>
      <w:r w:rsidR="002C6902">
        <w:t xml:space="preserve">Until the publication of new CSV policies in early 2022, associates also completed </w:t>
      </w:r>
      <w:r>
        <w:t>the CSV</w:t>
      </w:r>
      <w:r w:rsidR="009C010D">
        <w:t xml:space="preserve"> “</w:t>
      </w:r>
      <w:r>
        <w:t>modules</w:t>
      </w:r>
      <w:r w:rsidR="00021393">
        <w:t>”</w:t>
      </w:r>
      <w:r>
        <w:t xml:space="preserve">, including that which covers the CSV Respect in the Workplace policy. </w:t>
      </w:r>
      <w:r w:rsidR="002E2CC9">
        <w:t xml:space="preserve"> </w:t>
      </w:r>
      <w:r w:rsidR="002B3D6C">
        <w:t xml:space="preserve">We set out recent developments in the training of associates through online modules at </w:t>
      </w:r>
      <w:r w:rsidR="00781F6C">
        <w:t>[</w:t>
      </w:r>
      <w:r w:rsidR="00781F6C">
        <w:fldChar w:fldCharType="begin"/>
      </w:r>
      <w:r w:rsidR="00781F6C">
        <w:instrText xml:space="preserve"> REF _Ref110861420 \r \h </w:instrText>
      </w:r>
      <w:r w:rsidR="00781F6C">
        <w:fldChar w:fldCharType="separate"/>
      </w:r>
      <w:r w:rsidR="00CF093C">
        <w:t>169</w:t>
      </w:r>
      <w:r w:rsidR="00781F6C">
        <w:fldChar w:fldCharType="end"/>
      </w:r>
      <w:r w:rsidR="00781F6C">
        <w:t xml:space="preserve">] above.  </w:t>
      </w:r>
      <w:r>
        <w:t xml:space="preserve">Associates also complete a course with a learning and development associate who trains them in the practical aspects of their role. </w:t>
      </w:r>
      <w:r w:rsidR="002E2CC9">
        <w:t xml:space="preserve"> </w:t>
      </w:r>
      <w:r>
        <w:t xml:space="preserve">New staff are also directed to the intranet, which includes contact details of the Court’s contact officers, as well as a </w:t>
      </w:r>
      <w:r w:rsidR="00DF2D70">
        <w:t xml:space="preserve">June 2020 </w:t>
      </w:r>
      <w:r>
        <w:t xml:space="preserve">memorandum from the Chief Judge and the CEO as to the seriousness with which the Court’s leaders take their responsibility to prevent and respond to sexual harassment. </w:t>
      </w:r>
      <w:r w:rsidR="002E2CC9">
        <w:t xml:space="preserve"> </w:t>
      </w:r>
      <w:r>
        <w:t>The</w:t>
      </w:r>
      <w:r w:rsidR="002E2CC9">
        <w:t> </w:t>
      </w:r>
      <w:r w:rsidR="00884FCA">
        <w:t xml:space="preserve">June 2020 </w:t>
      </w:r>
      <w:r>
        <w:t>memorandum also addresses the options</w:t>
      </w:r>
      <w:r w:rsidR="009C010D">
        <w:t xml:space="preserve"> “</w:t>
      </w:r>
      <w:r>
        <w:t xml:space="preserve">for making a complaint against </w:t>
      </w:r>
      <w:r>
        <w:rPr>
          <w:i/>
          <w:iCs/>
        </w:rPr>
        <w:t xml:space="preserve">anyone </w:t>
      </w:r>
      <w:r>
        <w:t>(judicial officers included) about inappropriate workplace behaviour</w:t>
      </w:r>
      <w:r w:rsidR="0017722B">
        <w:t xml:space="preserve">”, </w:t>
      </w:r>
      <w:r>
        <w:t xml:space="preserve">namely making a report to a manager, a member of the Court’s </w:t>
      </w:r>
      <w:r w:rsidR="00020B8C">
        <w:t>HR team</w:t>
      </w:r>
      <w:r>
        <w:t xml:space="preserve">, to a Peer Support Team member, to the CEO, to the Chief Judge, or (where the complaint relates to the conduct of a judicial officer) to the Judicial Commission of Victoria. </w:t>
      </w:r>
    </w:p>
    <w:p w14:paraId="3FF8486F" w14:textId="66A32FE9" w:rsidR="00853E48" w:rsidRDefault="00853E48" w:rsidP="0004466F">
      <w:pPr>
        <w:pStyle w:val="ListParagraph"/>
      </w:pPr>
      <w:r>
        <w:lastRenderedPageBreak/>
        <w:t xml:space="preserve">In addition to associates and tipstaves, </w:t>
      </w:r>
      <w:r w:rsidR="008D4920">
        <w:t xml:space="preserve">County Court </w:t>
      </w:r>
      <w:r>
        <w:t xml:space="preserve">CSV-employed staff whose role includes interacting with judges include researchers and divisional lawyers. </w:t>
      </w:r>
      <w:r w:rsidR="002E2CC9">
        <w:t xml:space="preserve"> </w:t>
      </w:r>
      <w:r>
        <w:t xml:space="preserve">Researchers are </w:t>
      </w:r>
      <w:r w:rsidR="00685837">
        <w:t xml:space="preserve">employed in </w:t>
      </w:r>
      <w:r>
        <w:t>ongoing full</w:t>
      </w:r>
      <w:r w:rsidR="002E2CC9">
        <w:noBreakHyphen/>
      </w:r>
      <w:r>
        <w:t xml:space="preserve">time roles. </w:t>
      </w:r>
      <w:r w:rsidR="002E2CC9">
        <w:t xml:space="preserve"> </w:t>
      </w:r>
      <w:r>
        <w:t>Divisional Lawyers are employed for a period of 3</w:t>
      </w:r>
      <w:r w:rsidR="002E2CC9">
        <w:t> </w:t>
      </w:r>
      <w:r>
        <w:t xml:space="preserve">years and tend to be more senior, as reflected by their employment at a VPS5 level. </w:t>
      </w:r>
    </w:p>
    <w:p w14:paraId="32FF9A33" w14:textId="2344B2EE" w:rsidR="00853E48" w:rsidRDefault="00853E48" w:rsidP="0004466F">
      <w:pPr>
        <w:pStyle w:val="ListParagraph"/>
      </w:pPr>
      <w:r>
        <w:t xml:space="preserve">The County Court undertakes a significant amount of circuit work. </w:t>
      </w:r>
      <w:r w:rsidR="00667F2D">
        <w:t xml:space="preserve"> </w:t>
      </w:r>
      <w:r>
        <w:t xml:space="preserve">We heard that there are no </w:t>
      </w:r>
      <w:r w:rsidR="00EA748E">
        <w:t xml:space="preserve">formal </w:t>
      </w:r>
      <w:r>
        <w:t>policies or guidelines specific to travel and accommodation arrangements on circuit, and that arrangements are left to each</w:t>
      </w:r>
      <w:r w:rsidR="009C010D">
        <w:t xml:space="preserve"> “</w:t>
      </w:r>
      <w:r>
        <w:t>team</w:t>
      </w:r>
      <w:r w:rsidR="009C010D">
        <w:t xml:space="preserve">” </w:t>
      </w:r>
      <w:r>
        <w:t xml:space="preserve">of judge, </w:t>
      </w:r>
      <w:proofErr w:type="gramStart"/>
      <w:r>
        <w:t>associate</w:t>
      </w:r>
      <w:proofErr w:type="gramEnd"/>
      <w:r>
        <w:t xml:space="preserve"> and tipstaff (which in practice means that arrangements are left to the judge). </w:t>
      </w:r>
    </w:p>
    <w:p w14:paraId="2FE4E431" w14:textId="58CB7186" w:rsidR="00853E48" w:rsidRDefault="00853E48" w:rsidP="0004466F">
      <w:pPr>
        <w:pStyle w:val="ListParagraph"/>
      </w:pPr>
      <w:r>
        <w:t xml:space="preserve">As to induction of judges, </w:t>
      </w:r>
      <w:r w:rsidR="004F0F09">
        <w:t xml:space="preserve">we heard that </w:t>
      </w:r>
      <w:r>
        <w:t xml:space="preserve">a judge of the court who is designated as the staff judge has a discussion with each incoming </w:t>
      </w:r>
      <w:proofErr w:type="gramStart"/>
      <w:r>
        <w:t>judge, and</w:t>
      </w:r>
      <w:proofErr w:type="gramEnd"/>
      <w:r>
        <w:t xml:space="preserve"> provides each judge with a package of induction materials.</w:t>
      </w:r>
      <w:r w:rsidR="00667F2D">
        <w:t xml:space="preserve"> </w:t>
      </w:r>
      <w:r>
        <w:t xml:space="preserve"> That discussion covers, among other things, the standards of behaviour expected of judges, as well as the role of CSV-employed staff. </w:t>
      </w:r>
      <w:r w:rsidR="00667F2D">
        <w:t xml:space="preserve"> </w:t>
      </w:r>
      <w:r w:rsidR="001B288D">
        <w:t xml:space="preserve">The discussion also covers various </w:t>
      </w:r>
      <w:r>
        <w:t xml:space="preserve">of the matters raised by the Szoke Report. </w:t>
      </w:r>
      <w:r w:rsidR="00667F2D">
        <w:t xml:space="preserve"> </w:t>
      </w:r>
      <w:r>
        <w:t>We understand that this discussion with the judicial staff judge is a relatively new practice within the Court. Incoming judges also have a session with the</w:t>
      </w:r>
      <w:r w:rsidR="00074BE7">
        <w:t xml:space="preserve"> Chief Judge</w:t>
      </w:r>
      <w:r w:rsidR="00915E36">
        <w:t xml:space="preserve"> which covers a range of topics and emphasises the need for the Court to be a civil working environment and the power imbalance that exists between judicial officers and staff</w:t>
      </w:r>
      <w:r w:rsidR="00483E97">
        <w:t xml:space="preserve">.  Incoming judges also </w:t>
      </w:r>
      <w:r w:rsidR="00667F2D">
        <w:t>meet with</w:t>
      </w:r>
      <w:r w:rsidR="00915E36">
        <w:t xml:space="preserve"> </w:t>
      </w:r>
      <w:r w:rsidR="00074BE7">
        <w:t>the</w:t>
      </w:r>
      <w:r>
        <w:t xml:space="preserve"> CEO of the Court and the Judicial Staff Manager.</w:t>
      </w:r>
      <w:r w:rsidR="00667F2D">
        <w:t xml:space="preserve"> </w:t>
      </w:r>
      <w:r>
        <w:t xml:space="preserve"> That conversation </w:t>
      </w:r>
      <w:r w:rsidR="00074BE7">
        <w:t xml:space="preserve">with the CEO </w:t>
      </w:r>
      <w:r>
        <w:t xml:space="preserve">covers practical matters including the judge’s preferred staffing model and what the judge can expect of court staff. </w:t>
      </w:r>
      <w:r w:rsidR="00333115">
        <w:t xml:space="preserve"> The </w:t>
      </w:r>
      <w:r>
        <w:t xml:space="preserve">conversation can also address, informally, the culture of the court and the potential risks presented by the power disparity between judge and staff. New judges are also </w:t>
      </w:r>
      <w:r w:rsidR="00B67264">
        <w:t>assigned</w:t>
      </w:r>
      <w:r>
        <w:t xml:space="preserve"> a senior judge</w:t>
      </w:r>
      <w:r w:rsidR="00B67264">
        <w:t xml:space="preserve"> as a mentor</w:t>
      </w:r>
      <w:r>
        <w:t>, who</w:t>
      </w:r>
      <w:r w:rsidR="00DA7243">
        <w:t>m</w:t>
      </w:r>
      <w:r>
        <w:t xml:space="preserve"> they </w:t>
      </w:r>
      <w:proofErr w:type="gramStart"/>
      <w:r>
        <w:t>are able to</w:t>
      </w:r>
      <w:proofErr w:type="gramEnd"/>
      <w:r>
        <w:t xml:space="preserve"> talk to about any matters, including staffing issues. </w:t>
      </w:r>
    </w:p>
    <w:p w14:paraId="186BAFA9" w14:textId="385EC5DB" w:rsidR="007575F9" w:rsidRDefault="00036AD0" w:rsidP="0006530B">
      <w:pPr>
        <w:pStyle w:val="Heading3"/>
      </w:pPr>
      <w:bookmarkStart w:id="49" w:name="_Toc112606892"/>
      <w:r>
        <w:t>Summary of Key Comments by County Court Associates, Staff and Judges</w:t>
      </w:r>
      <w:bookmarkEnd w:id="49"/>
    </w:p>
    <w:p w14:paraId="774E163D" w14:textId="33CDDB35" w:rsidR="00036AD0" w:rsidRDefault="00036AD0" w:rsidP="00036AD0">
      <w:pPr>
        <w:pStyle w:val="ListParagraph"/>
      </w:pPr>
      <w:r>
        <w:t>Until recently, the induction o</w:t>
      </w:r>
      <w:r w:rsidR="00C20A1C">
        <w:t>f</w:t>
      </w:r>
      <w:r>
        <w:t xml:space="preserve"> associates has not included </w:t>
      </w:r>
      <w:r w:rsidR="00AE285F">
        <w:t xml:space="preserve">any </w:t>
      </w:r>
      <w:r>
        <w:t xml:space="preserve">specific reference to sexual harassment.  </w:t>
      </w:r>
      <w:r w:rsidR="00515A3B">
        <w:t xml:space="preserve">A </w:t>
      </w:r>
      <w:r>
        <w:t xml:space="preserve">very recently appointed associate indicated that this has now changed.  </w:t>
      </w:r>
      <w:r w:rsidR="001546A0">
        <w:t xml:space="preserve">During our consultations, it appeared that revised training had not yet been consistently extended to those who </w:t>
      </w:r>
      <w:r w:rsidR="00412AFB">
        <w:t xml:space="preserve">had been inducted in the past.  However, as noted above, we have been informed that all staff were required </w:t>
      </w:r>
      <w:r w:rsidR="00BB64CF">
        <w:t xml:space="preserve">to complete an online sexual harassment module in 2021/2022.  </w:t>
      </w:r>
      <w:r w:rsidR="003C5E99">
        <w:t xml:space="preserve">Associates expressed a preference for training on </w:t>
      </w:r>
      <w:r w:rsidR="00AD7093">
        <w:t xml:space="preserve">how to interact </w:t>
      </w:r>
      <w:r w:rsidR="003C5E99">
        <w:t>with judges, based on specific scenarios.</w:t>
      </w:r>
    </w:p>
    <w:p w14:paraId="46623D7C" w14:textId="6E59BDDB" w:rsidR="003C5E99" w:rsidRDefault="003C5E99" w:rsidP="00036AD0">
      <w:pPr>
        <w:pStyle w:val="ListParagraph"/>
      </w:pPr>
      <w:r>
        <w:lastRenderedPageBreak/>
        <w:t xml:space="preserve">Associates do not know what the consequences of making a complaint will </w:t>
      </w:r>
      <w:proofErr w:type="gramStart"/>
      <w:r>
        <w:t>be, and</w:t>
      </w:r>
      <w:proofErr w:type="gramEnd"/>
      <w:r>
        <w:t xml:space="preserve"> have no insight into the possible consequences or sanctions for the judges.</w:t>
      </w:r>
      <w:r w:rsidR="00A33A9F">
        <w:t xml:space="preserve"> </w:t>
      </w:r>
      <w:r w:rsidR="001A7CB9">
        <w:t xml:space="preserve"> This adds to their reluctance to make a complaint.</w:t>
      </w:r>
    </w:p>
    <w:p w14:paraId="06EA998B" w14:textId="146DB3E5" w:rsidR="003C5E99" w:rsidRDefault="00292868" w:rsidP="00036AD0">
      <w:pPr>
        <w:pStyle w:val="ListParagraph"/>
      </w:pPr>
      <w:r>
        <w:t xml:space="preserve">Some </w:t>
      </w:r>
      <w:r w:rsidR="003C5E99">
        <w:t xml:space="preserve">of the associates who spoke to us believe that there are judges </w:t>
      </w:r>
      <w:r w:rsidR="00DE0CCD">
        <w:t xml:space="preserve">in the court </w:t>
      </w:r>
      <w:r w:rsidR="003C5E99">
        <w:t>who are well</w:t>
      </w:r>
      <w:r w:rsidR="003C5E99">
        <w:noBreakHyphen/>
        <w:t xml:space="preserve">known to be </w:t>
      </w:r>
      <w:r w:rsidR="00B50F32">
        <w:t>prone to sexually inappropriate behaviour</w:t>
      </w:r>
      <w:r w:rsidR="00F74D09">
        <w:t xml:space="preserve">, </w:t>
      </w:r>
      <w:r w:rsidR="00DE0CCD">
        <w:t xml:space="preserve">some of whom </w:t>
      </w:r>
      <w:r w:rsidR="00F74D09">
        <w:t xml:space="preserve">do not have female associates.  </w:t>
      </w:r>
      <w:r w:rsidR="00DE0CCD">
        <w:t xml:space="preserve">They report that there </w:t>
      </w:r>
      <w:r w:rsidR="00F74D09">
        <w:t xml:space="preserve">are also judges who engage in sexist banter in front of associates.  </w:t>
      </w:r>
      <w:r w:rsidR="009549CD">
        <w:t xml:space="preserve">One associate reported </w:t>
      </w:r>
      <w:r w:rsidR="002B29E9">
        <w:t xml:space="preserve">an </w:t>
      </w:r>
      <w:r w:rsidR="00F74D09">
        <w:t>unwanted sexual advance</w:t>
      </w:r>
      <w:r w:rsidR="002B29E9">
        <w:t xml:space="preserve"> </w:t>
      </w:r>
      <w:r w:rsidR="009549CD">
        <w:t xml:space="preserve">towards an associate, </w:t>
      </w:r>
      <w:r w:rsidR="002B29E9">
        <w:t>and a</w:t>
      </w:r>
      <w:r w:rsidR="00785BE8">
        <w:t>n</w:t>
      </w:r>
      <w:r w:rsidR="002B29E9">
        <w:t xml:space="preserve"> explicit, sexually predatory comment, by </w:t>
      </w:r>
      <w:r w:rsidR="00785BE8">
        <w:t xml:space="preserve">a </w:t>
      </w:r>
      <w:r w:rsidR="002B29E9">
        <w:t>judge.</w:t>
      </w:r>
      <w:r w:rsidR="00BE735E">
        <w:t xml:space="preserve">  </w:t>
      </w:r>
      <w:r>
        <w:t xml:space="preserve">Some </w:t>
      </w:r>
      <w:r w:rsidR="00EE32BA">
        <w:t>a</w:t>
      </w:r>
      <w:r w:rsidR="006F6E98">
        <w:t xml:space="preserve">ssociates feel that the judges who are known to engage in such conduct are tolerated.  </w:t>
      </w:r>
      <w:r w:rsidR="007B07AE">
        <w:t>It should be noted</w:t>
      </w:r>
      <w:r w:rsidR="004E5FCF">
        <w:t>, however,</w:t>
      </w:r>
      <w:r w:rsidR="007B07AE">
        <w:t xml:space="preserve"> that not all </w:t>
      </w:r>
      <w:r w:rsidR="00DA7C11">
        <w:t>our respondents were aware of such “open secrets”.  The recently retired judges and the newly appointed associate had not heard of them.</w:t>
      </w:r>
    </w:p>
    <w:p w14:paraId="746357EB" w14:textId="1EA60D48" w:rsidR="00DA7C11" w:rsidRPr="00036AD0" w:rsidRDefault="00DA7C11" w:rsidP="00036AD0">
      <w:pPr>
        <w:pStyle w:val="ListParagraph"/>
      </w:pPr>
      <w:r>
        <w:t xml:space="preserve">The </w:t>
      </w:r>
      <w:r w:rsidR="00785BE8">
        <w:t xml:space="preserve">County Court </w:t>
      </w:r>
      <w:r>
        <w:t xml:space="preserve">associates considered </w:t>
      </w:r>
      <w:r w:rsidR="009070E9">
        <w:t xml:space="preserve">that the </w:t>
      </w:r>
      <w:r w:rsidR="00785BE8">
        <w:t xml:space="preserve">current </w:t>
      </w:r>
      <w:r w:rsidR="009070E9">
        <w:t>high turnover and contract</w:t>
      </w:r>
      <w:r w:rsidR="009070E9">
        <w:noBreakHyphen/>
        <w:t xml:space="preserve">based terms of </w:t>
      </w:r>
      <w:r w:rsidR="00785BE8">
        <w:t xml:space="preserve">their </w:t>
      </w:r>
      <w:r w:rsidR="009070E9">
        <w:t>employment prevented the development of the positive, stable relationships that were once more common between judges and their associates.</w:t>
      </w:r>
    </w:p>
    <w:p w14:paraId="0737CEF2" w14:textId="4039462C" w:rsidR="00471FB9" w:rsidRDefault="00471FB9" w:rsidP="0004466F">
      <w:pPr>
        <w:pStyle w:val="Heading1"/>
      </w:pPr>
      <w:bookmarkStart w:id="50" w:name="_Toc89957957"/>
      <w:bookmarkStart w:id="51" w:name="_Toc112606893"/>
      <w:r w:rsidRPr="00471FB9">
        <w:t xml:space="preserve">Prevalence of sexual harassment in the </w:t>
      </w:r>
      <w:r w:rsidR="003A3789">
        <w:t xml:space="preserve">Australian </w:t>
      </w:r>
      <w:r w:rsidRPr="00471FB9">
        <w:t>courts – lack of reliable data</w:t>
      </w:r>
      <w:bookmarkEnd w:id="50"/>
      <w:bookmarkEnd w:id="51"/>
    </w:p>
    <w:p w14:paraId="58E0D751" w14:textId="78FF4350" w:rsidR="002A34F6" w:rsidRDefault="00494A16" w:rsidP="00ED7040">
      <w:pPr>
        <w:pStyle w:val="Heading2"/>
      </w:pPr>
      <w:bookmarkStart w:id="52" w:name="_Toc112606894"/>
      <w:r>
        <w:t>Data on Prevalence</w:t>
      </w:r>
      <w:bookmarkEnd w:id="52"/>
    </w:p>
    <w:p w14:paraId="3365F5E5" w14:textId="1C0B0E05" w:rsidR="00BF7454" w:rsidRDefault="002A34F6" w:rsidP="0004466F">
      <w:pPr>
        <w:pStyle w:val="ListParagraph"/>
      </w:pPr>
      <w:r>
        <w:t xml:space="preserve">We referred above at paragraph </w:t>
      </w:r>
      <w:r w:rsidR="006258DB">
        <w:fldChar w:fldCharType="begin" w:fldLock="1"/>
      </w:r>
      <w:r w:rsidR="006258DB">
        <w:instrText xml:space="preserve"> REF _Ref93851682 \r \h </w:instrText>
      </w:r>
      <w:r w:rsidR="0004466F">
        <w:instrText xml:space="preserve"> \* MERGEFORMAT </w:instrText>
      </w:r>
      <w:r w:rsidR="006258DB">
        <w:fldChar w:fldCharType="separate"/>
      </w:r>
      <w:r w:rsidR="00361D8A">
        <w:t>6</w:t>
      </w:r>
      <w:r w:rsidR="006258DB">
        <w:fldChar w:fldCharType="end"/>
      </w:r>
      <w:r>
        <w:t xml:space="preserve"> to the Szoke Report</w:t>
      </w:r>
      <w:r w:rsidR="0030273A">
        <w:t xml:space="preserve">’s observations on the </w:t>
      </w:r>
      <w:r w:rsidR="006258DB">
        <w:t xml:space="preserve">prevalence of sexual harassment within courts, and the legal profession more broadly. </w:t>
      </w:r>
      <w:r w:rsidR="0030273A">
        <w:t xml:space="preserve"> </w:t>
      </w:r>
      <w:r w:rsidR="0091503F">
        <w:t>We</w:t>
      </w:r>
      <w:r w:rsidR="00D7174E">
        <w:t> </w:t>
      </w:r>
      <w:r w:rsidR="0091503F">
        <w:t xml:space="preserve">observe that the evidence </w:t>
      </w:r>
      <w:r w:rsidR="0030273A">
        <w:t xml:space="preserve">set out </w:t>
      </w:r>
      <w:r w:rsidR="0091503F">
        <w:t xml:space="preserve">in the Szoke Report on the prevalence of sexual harassment, and the precise forms it has taken, </w:t>
      </w:r>
      <w:r w:rsidR="00753396">
        <w:t xml:space="preserve">contained very limited </w:t>
      </w:r>
      <w:r w:rsidR="00FF0BC1">
        <w:t>specific data on the conduct of judicial officers towards court staff.</w:t>
      </w:r>
      <w:r w:rsidR="0091503F">
        <w:t xml:space="preserve"> </w:t>
      </w:r>
      <w:r w:rsidR="00FF0BC1">
        <w:t xml:space="preserve"> </w:t>
      </w:r>
      <w:r w:rsidR="0076740E">
        <w:t>The</w:t>
      </w:r>
      <w:r w:rsidR="0091503F">
        <w:t xml:space="preserve"> evidence consists of anonymous assertions without much detail rather than tested statements or many particularised accounts of incidents.  The acts constituting sexual harassment (which cover a wide range) are rarely specified with precision.  </w:t>
      </w:r>
      <w:r w:rsidR="00B11485">
        <w:t xml:space="preserve">While </w:t>
      </w:r>
      <w:r w:rsidR="00755F3B">
        <w:t xml:space="preserve">28 respondents to the VEOHRC process conducted during the Szoke Review reported having experienced sexual harassment in the courts, </w:t>
      </w:r>
      <w:r w:rsidR="00DB145C">
        <w:t xml:space="preserve">the alleged perpetrators in those matters covered a broad spectrum of </w:t>
      </w:r>
      <w:r w:rsidR="001E4CD3">
        <w:t>colleagues, managers, barristers and others, in addition to judicial officers.</w:t>
      </w:r>
      <w:r w:rsidR="00813C2A">
        <w:rPr>
          <w:rFonts w:ascii="ZWAdobeF" w:hAnsi="ZWAdobeF" w:cs="ZWAdobeF"/>
          <w:sz w:val="2"/>
          <w:szCs w:val="2"/>
        </w:rPr>
        <w:t>58F</w:t>
      </w:r>
      <w:r w:rsidR="00704B18">
        <w:rPr>
          <w:rFonts w:ascii="ZWAdobeF" w:hAnsi="ZWAdobeF" w:cs="ZWAdobeF"/>
          <w:sz w:val="2"/>
          <w:szCs w:val="2"/>
        </w:rPr>
        <w:t>68F</w:t>
      </w:r>
      <w:r w:rsidR="00A67803">
        <w:rPr>
          <w:rStyle w:val="FootnoteReference"/>
        </w:rPr>
        <w:footnoteReference w:id="48"/>
      </w:r>
      <w:r w:rsidR="00E15519">
        <w:t xml:space="preserve"> </w:t>
      </w:r>
      <w:r w:rsidR="00674BD1">
        <w:t xml:space="preserve"> </w:t>
      </w:r>
      <w:r w:rsidR="00E15519">
        <w:t>A majority of the</w:t>
      </w:r>
      <w:r w:rsidR="00A51063">
        <w:t xml:space="preserve"> reported</w:t>
      </w:r>
      <w:r w:rsidR="00E15519">
        <w:t xml:space="preserve"> incidents involving judicial officers had occurred more than five years previously.</w:t>
      </w:r>
      <w:r w:rsidR="00813C2A">
        <w:rPr>
          <w:rFonts w:ascii="ZWAdobeF" w:hAnsi="ZWAdobeF" w:cs="ZWAdobeF"/>
          <w:sz w:val="2"/>
          <w:szCs w:val="2"/>
        </w:rPr>
        <w:t>59F</w:t>
      </w:r>
      <w:r w:rsidR="00704B18">
        <w:rPr>
          <w:rFonts w:ascii="ZWAdobeF" w:hAnsi="ZWAdobeF" w:cs="ZWAdobeF"/>
          <w:sz w:val="2"/>
          <w:szCs w:val="2"/>
        </w:rPr>
        <w:t>69F</w:t>
      </w:r>
      <w:r w:rsidR="00A51063">
        <w:rPr>
          <w:rStyle w:val="FootnoteReference"/>
        </w:rPr>
        <w:footnoteReference w:id="49"/>
      </w:r>
      <w:r w:rsidR="00E15519">
        <w:t xml:space="preserve"> </w:t>
      </w:r>
      <w:r w:rsidR="00DA7243">
        <w:t xml:space="preserve"> It is not possible to conclude how many incidents were attributable to judicial officers, or what form the conduct complained of took.</w:t>
      </w:r>
    </w:p>
    <w:p w14:paraId="11ACB56F" w14:textId="0187684A" w:rsidR="00756CDA" w:rsidRDefault="0094016E" w:rsidP="0004466F">
      <w:pPr>
        <w:pStyle w:val="ListParagraph"/>
      </w:pPr>
      <w:r>
        <w:lastRenderedPageBreak/>
        <w:t xml:space="preserve">The difficulties in </w:t>
      </w:r>
      <w:r w:rsidR="003C052D">
        <w:t>assessing the prevalence of the problem are compounded given that it cannot be assumed that the target of sexual harassment by a judge will report that conduct</w:t>
      </w:r>
      <w:r w:rsidR="007500C0">
        <w:t xml:space="preserve">.  </w:t>
      </w:r>
      <w:r w:rsidR="00C615E2">
        <w:t xml:space="preserve">Indeed, it is very likely that misconduct will not be reported.  </w:t>
      </w:r>
      <w:proofErr w:type="gramStart"/>
      <w:r w:rsidR="007500C0">
        <w:t>It is clear that the</w:t>
      </w:r>
      <w:proofErr w:type="gramEnd"/>
      <w:r w:rsidR="007500C0">
        <w:t xml:space="preserve"> usual significan</w:t>
      </w:r>
      <w:r w:rsidR="005F3034">
        <w:t xml:space="preserve">t reluctance to report sexual harassment is greatly magnified when the perpetrator is a judge. </w:t>
      </w:r>
      <w:r w:rsidR="00B07A94">
        <w:t xml:space="preserve"> </w:t>
      </w:r>
      <w:r w:rsidR="00FF0AE6">
        <w:t>Thus, the number of formal complaints made is a very unreliable indicator of the extent to which sexual harassment may be occurring.  In any event,</w:t>
      </w:r>
      <w:r w:rsidR="00B07A94">
        <w:t xml:space="preserve"> as we understand it, no organised record </w:t>
      </w:r>
      <w:r w:rsidR="00E25790">
        <w:t xml:space="preserve">is </w:t>
      </w:r>
      <w:r w:rsidR="00B07A94">
        <w:t xml:space="preserve">kept </w:t>
      </w:r>
      <w:r w:rsidR="00397A3D">
        <w:t xml:space="preserve">within each court </w:t>
      </w:r>
      <w:r w:rsidR="00B07A94">
        <w:t>of the number of complaints made</w:t>
      </w:r>
      <w:r w:rsidR="00FF0AE6">
        <w:t>.  More</w:t>
      </w:r>
      <w:r w:rsidR="00B127F8">
        <w:t> </w:t>
      </w:r>
      <w:r w:rsidR="00FF0AE6">
        <w:t>importantly, there is apparently</w:t>
      </w:r>
      <w:r w:rsidR="000F2A15">
        <w:t xml:space="preserve"> no comprehensive record of the queries, </w:t>
      </w:r>
      <w:proofErr w:type="gramStart"/>
      <w:r w:rsidR="000F2A15">
        <w:t>communications</w:t>
      </w:r>
      <w:proofErr w:type="gramEnd"/>
      <w:r w:rsidR="000F2A15">
        <w:t xml:space="preserve"> or expressions of concern (that do not rise to the level of “a complaint”) made to court authorities about possible misconduct by judges</w:t>
      </w:r>
      <w:r w:rsidR="006B089D">
        <w:t>.</w:t>
      </w:r>
      <w:r w:rsidR="009807BF">
        <w:t xml:space="preserve">  Thus, no reliable statistics are available </w:t>
      </w:r>
      <w:r w:rsidR="00DB377C">
        <w:t xml:space="preserve">from </w:t>
      </w:r>
      <w:r w:rsidR="009807BF">
        <w:t>which to draw conclusions about the prevalence of staff concerns</w:t>
      </w:r>
      <w:r w:rsidR="00E56FBE">
        <w:t xml:space="preserve"> over </w:t>
      </w:r>
      <w:r w:rsidR="009807BF">
        <w:t>their interaction with judges</w:t>
      </w:r>
      <w:r w:rsidR="000F3BCB">
        <w:t>;</w:t>
      </w:r>
      <w:r w:rsidR="009807BF">
        <w:t xml:space="preserve"> the nature of the concerning interaction</w:t>
      </w:r>
      <w:r w:rsidR="000F3BCB">
        <w:t>;</w:t>
      </w:r>
      <w:r w:rsidR="009807BF">
        <w:t xml:space="preserve"> or the outcome of the staff queries. </w:t>
      </w:r>
    </w:p>
    <w:p w14:paraId="01BB91FF" w14:textId="48BCCE9A" w:rsidR="00756CDA" w:rsidRDefault="00A30FC6" w:rsidP="0004466F">
      <w:pPr>
        <w:pStyle w:val="ListParagraph"/>
      </w:pPr>
      <w:r>
        <w:t xml:space="preserve">Although the existing Victorian data </w:t>
      </w:r>
      <w:r w:rsidR="00B5145F">
        <w:t xml:space="preserve">constitutes </w:t>
      </w:r>
      <w:r>
        <w:t xml:space="preserve">a relatively fragile basis for assessing prevalence of a characteristically hidden and under reported issue, </w:t>
      </w:r>
      <w:r w:rsidR="00173813">
        <w:t>it appears indisputable</w:t>
      </w:r>
      <w:r>
        <w:t xml:space="preserve"> that sexual harassment as defined in relevant legislation occurs within the legal profession, including the Bar and the courts.  Even extrapolating from data on workplaces generally, the rate of sexual harassment within the courts is likely to be </w:t>
      </w:r>
      <w:proofErr w:type="gramStart"/>
      <w:r w:rsidR="005B4F5B">
        <w:t xml:space="preserve">similar </w:t>
      </w:r>
      <w:r>
        <w:t>to</w:t>
      </w:r>
      <w:proofErr w:type="gramEnd"/>
      <w:r>
        <w:t xml:space="preserve"> that in workplaces generally.  Further, given the high level of characteristic identified drivers of sexual harassment present at the Bar and in the courts, it is possible that sexual harassment may be more prevalent in those workplaces.</w:t>
      </w:r>
      <w:r w:rsidR="00704B18">
        <w:rPr>
          <w:rFonts w:ascii="ZWAdobeF" w:hAnsi="ZWAdobeF" w:cs="ZWAdobeF"/>
          <w:sz w:val="2"/>
          <w:szCs w:val="2"/>
        </w:rPr>
        <w:t>70F</w:t>
      </w:r>
      <w:r w:rsidR="00B00D50">
        <w:rPr>
          <w:rStyle w:val="FootnoteReference"/>
        </w:rPr>
        <w:footnoteReference w:id="50"/>
      </w:r>
      <w:r>
        <w:t xml:space="preserve">  Against this, </w:t>
      </w:r>
      <w:r w:rsidR="00291114">
        <w:t>countervailing</w:t>
      </w:r>
      <w:r>
        <w:t xml:space="preserve"> factors </w:t>
      </w:r>
      <w:r w:rsidR="00317094">
        <w:t xml:space="preserve">in courts (discussed below) </w:t>
      </w:r>
      <w:r>
        <w:t xml:space="preserve">may have </w:t>
      </w:r>
      <w:r w:rsidR="00A60340">
        <w:t xml:space="preserve">a mitigating </w:t>
      </w:r>
      <w:r>
        <w:t>impact.</w:t>
      </w:r>
    </w:p>
    <w:p w14:paraId="669A9BB5" w14:textId="1D9AF924" w:rsidR="009536BD" w:rsidRDefault="00756CDA" w:rsidP="0004466F">
      <w:pPr>
        <w:pStyle w:val="ListParagraph"/>
      </w:pPr>
      <w:r>
        <w:t>Our investigation to date suggests that bullying and incivility are much more prevalent problems</w:t>
      </w:r>
      <w:r w:rsidR="00EF61D8">
        <w:t xml:space="preserve"> than sexual harassment by judicial officers</w:t>
      </w:r>
      <w:r>
        <w:t xml:space="preserve">.  </w:t>
      </w:r>
      <w:r w:rsidR="003B6AE7">
        <w:t xml:space="preserve">They are, at any rate, much more visible.  </w:t>
      </w:r>
      <w:r w:rsidR="00EF61D8">
        <w:t xml:space="preserve">Such behaviours </w:t>
      </w:r>
      <w:r>
        <w:t>are closely related</w:t>
      </w:r>
      <w:r w:rsidR="003B6AE7">
        <w:t xml:space="preserve"> to</w:t>
      </w:r>
      <w:r>
        <w:t>, and constitute</w:t>
      </w:r>
      <w:r w:rsidR="00D8087D">
        <w:t>,</w:t>
      </w:r>
      <w:r>
        <w:t xml:space="preserve"> the crucible of disrespect which fosters sexual harassment.  </w:t>
      </w:r>
      <w:r w:rsidR="004F6F3B">
        <w:t xml:space="preserve">With both bullying and sexual harassment, the “boss” has crossed </w:t>
      </w:r>
      <w:r w:rsidR="00DF1C41">
        <w:t xml:space="preserve">accepted boundaries.  </w:t>
      </w:r>
      <w:r>
        <w:t xml:space="preserve">The heightened </w:t>
      </w:r>
      <w:r w:rsidR="00C52ED3">
        <w:t>reluctance</w:t>
      </w:r>
      <w:r>
        <w:t xml:space="preserve"> to report </w:t>
      </w:r>
      <w:r w:rsidR="00DF1C41">
        <w:t xml:space="preserve">such conduct </w:t>
      </w:r>
      <w:r>
        <w:t xml:space="preserve">makes it difficult to form confident conclusions.  </w:t>
      </w:r>
      <w:r w:rsidR="002E2165">
        <w:t xml:space="preserve">In our consultations, we have </w:t>
      </w:r>
      <w:r w:rsidR="00967324">
        <w:t xml:space="preserve">also </w:t>
      </w:r>
      <w:r w:rsidR="002E2165">
        <w:t xml:space="preserve">heard reports of inappropriate sexual comments, sexually inappropriate </w:t>
      </w:r>
      <w:proofErr w:type="gramStart"/>
      <w:r w:rsidR="002E2165">
        <w:t>conduct</w:t>
      </w:r>
      <w:proofErr w:type="gramEnd"/>
      <w:r w:rsidR="002E2165">
        <w:t xml:space="preserve"> and sexist attitudes by some judges.  While </w:t>
      </w:r>
      <w:r>
        <w:t xml:space="preserve">it </w:t>
      </w:r>
      <w:r w:rsidR="002E2165">
        <w:t xml:space="preserve">appears that only a minority of judges engage in such behaviour, </w:t>
      </w:r>
      <w:proofErr w:type="gramStart"/>
      <w:r w:rsidR="002E2165">
        <w:t>it is clear that it</w:t>
      </w:r>
      <w:proofErr w:type="gramEnd"/>
      <w:r w:rsidR="002E2165">
        <w:t xml:space="preserve"> does occur, at varying levels of gravity.  The </w:t>
      </w:r>
      <w:r w:rsidR="00475ACD">
        <w:t xml:space="preserve">risk factors for </w:t>
      </w:r>
      <w:r w:rsidR="002E2165">
        <w:t xml:space="preserve">the </w:t>
      </w:r>
      <w:r w:rsidR="00475ACD">
        <w:t xml:space="preserve">occurrence </w:t>
      </w:r>
      <w:r w:rsidR="002E2165">
        <w:t xml:space="preserve">of sexual harassment </w:t>
      </w:r>
      <w:r w:rsidR="00475ACD">
        <w:t>exist, and</w:t>
      </w:r>
      <w:r>
        <w:t xml:space="preserve"> when it does occur</w:t>
      </w:r>
      <w:r w:rsidR="003C1D59">
        <w:t xml:space="preserve"> (as the three substantiated Australian cases </w:t>
      </w:r>
      <w:r w:rsidR="003C1D59">
        <w:lastRenderedPageBreak/>
        <w:t>demonstrate)</w:t>
      </w:r>
      <w:r>
        <w:t xml:space="preserve"> the consequences are potentially catastrophic for the victim/survivor, the judge, the </w:t>
      </w:r>
      <w:proofErr w:type="gramStart"/>
      <w:r>
        <w:t>courts</w:t>
      </w:r>
      <w:proofErr w:type="gramEnd"/>
      <w:r>
        <w:t xml:space="preserve"> and public confidence in the administration of justice.</w:t>
      </w:r>
      <w:r w:rsidR="00475ACD">
        <w:t xml:space="preserve"> </w:t>
      </w:r>
    </w:p>
    <w:p w14:paraId="0A575213" w14:textId="13B6DD99" w:rsidR="00756CDA" w:rsidRDefault="007F3B88" w:rsidP="0004466F">
      <w:pPr>
        <w:pStyle w:val="ListParagraph"/>
        <w:keepNext/>
      </w:pPr>
      <w:bookmarkStart w:id="53" w:name="_Ref108732410"/>
      <w:r>
        <w:t>The Victorian Public Sector Commission 2021 People Matter Survey provides some further support for the proposition that while relatively rare, sexual harassment does occur in Victorian courts and VCAT.</w:t>
      </w:r>
      <w:r w:rsidR="00704B18">
        <w:rPr>
          <w:rFonts w:ascii="ZWAdobeF" w:hAnsi="ZWAdobeF" w:cs="ZWAdobeF"/>
          <w:sz w:val="2"/>
          <w:szCs w:val="2"/>
        </w:rPr>
        <w:t>71F</w:t>
      </w:r>
      <w:r>
        <w:rPr>
          <w:rStyle w:val="FootnoteReference"/>
        </w:rPr>
        <w:footnoteReference w:id="51"/>
      </w:r>
      <w:r>
        <w:t xml:space="preserve"> </w:t>
      </w:r>
      <w:r w:rsidR="00E56FBE">
        <w:t xml:space="preserve"> </w:t>
      </w:r>
      <w:r>
        <w:t xml:space="preserve">There were a total of 881 CSV respondents (528 women and 238 men, 115 non-declared), 53% of whom were CSV Corporate staff.  6% of the total respondents reported having experienced sexual harassment within the previous 12 months. </w:t>
      </w:r>
      <w:r w:rsidR="00E56FBE">
        <w:t xml:space="preserve"> </w:t>
      </w:r>
      <w:bookmarkEnd w:id="53"/>
    </w:p>
    <w:p w14:paraId="14599E7D" w14:textId="3B94BEF6" w:rsidR="00FC24D7" w:rsidRPr="00796E89" w:rsidRDefault="00FC24D7" w:rsidP="0004466F">
      <w:pPr>
        <w:pStyle w:val="ListParagraph"/>
      </w:pPr>
      <w:r w:rsidRPr="00796E89">
        <w:t xml:space="preserve">The </w:t>
      </w:r>
      <w:proofErr w:type="spellStart"/>
      <w:r w:rsidRPr="00796E89">
        <w:t>Respect@Work</w:t>
      </w:r>
      <w:proofErr w:type="spellEnd"/>
      <w:r w:rsidRPr="00796E89">
        <w:t xml:space="preserve"> Report and other relevant studies emphasise the need for greater transparency </w:t>
      </w:r>
      <w:proofErr w:type="gramStart"/>
      <w:r w:rsidRPr="00796E89">
        <w:t>in order to</w:t>
      </w:r>
      <w:proofErr w:type="gramEnd"/>
      <w:r w:rsidRPr="00796E89">
        <w:t xml:space="preserve"> address the mischief of workplace sexual harassment and bullying.  The lack of capacity to provide information about how frequently staff raise concerns (as</w:t>
      </w:r>
      <w:r w:rsidR="00B127F8">
        <w:t> </w:t>
      </w:r>
      <w:r w:rsidRPr="00796E89">
        <w:t>distinct from formal complaints) with relevant court officers and about the nature of the conduct at issue poses a serious obstacle to assessing and addressing workplace risks.  It also creates a perception of secrecy, potential “cover up” and lack of judicial accountability.</w:t>
      </w:r>
    </w:p>
    <w:p w14:paraId="7EBED127" w14:textId="73ED4CD8" w:rsidR="00FC24D7" w:rsidRPr="00796E89" w:rsidRDefault="0057361E" w:rsidP="0004466F">
      <w:pPr>
        <w:pStyle w:val="ListParagraph"/>
      </w:pPr>
      <w:r w:rsidRPr="00796E89">
        <w:t>In our opinion, the courts should record all staff communications of concern (even if not amounting to a formal complaint) about a judge’s conduct, which are made to a court agent such as a judge, CSV manager or other supervisor.  We discuss this in detail below in our recommendations at</w:t>
      </w:r>
      <w:r w:rsidR="00995387">
        <w:t xml:space="preserve"> </w:t>
      </w:r>
      <w:r w:rsidR="00995387" w:rsidRPr="00995387">
        <w:rPr>
          <w:b/>
          <w:bCs/>
        </w:rPr>
        <w:t>Recommendation</w:t>
      </w:r>
      <w:r w:rsidRPr="00995387">
        <w:rPr>
          <w:b/>
          <w:bCs/>
        </w:rPr>
        <w:t xml:space="preserve"> </w:t>
      </w:r>
      <w:r w:rsidR="00A02AA4" w:rsidRPr="00995387">
        <w:rPr>
          <w:b/>
          <w:bCs/>
        </w:rPr>
        <w:fldChar w:fldCharType="begin"/>
      </w:r>
      <w:r w:rsidR="00A02AA4" w:rsidRPr="00995387">
        <w:rPr>
          <w:b/>
          <w:bCs/>
        </w:rPr>
        <w:instrText xml:space="preserve"> REF _Ref108974752 \r \h </w:instrText>
      </w:r>
      <w:r w:rsidR="00796E89" w:rsidRPr="00995387">
        <w:rPr>
          <w:b/>
          <w:bCs/>
        </w:rPr>
        <w:instrText xml:space="preserve"> \* MERGEFORMAT </w:instrText>
      </w:r>
      <w:r w:rsidR="00A02AA4" w:rsidRPr="00995387">
        <w:rPr>
          <w:b/>
          <w:bCs/>
        </w:rPr>
      </w:r>
      <w:r w:rsidR="00A02AA4" w:rsidRPr="00995387">
        <w:rPr>
          <w:b/>
          <w:bCs/>
        </w:rPr>
        <w:fldChar w:fldCharType="separate"/>
      </w:r>
      <w:r w:rsidR="00CF093C">
        <w:rPr>
          <w:b/>
          <w:bCs/>
        </w:rPr>
        <w:t>22</w:t>
      </w:r>
      <w:r w:rsidR="00A02AA4" w:rsidRPr="00995387">
        <w:rPr>
          <w:b/>
          <w:bCs/>
        </w:rPr>
        <w:fldChar w:fldCharType="end"/>
      </w:r>
      <w:r w:rsidRPr="00796E89">
        <w:t>.</w:t>
      </w:r>
    </w:p>
    <w:p w14:paraId="2E4C5AB3" w14:textId="639F4888" w:rsidR="00D709A2" w:rsidRDefault="00D709A2" w:rsidP="00D709A2">
      <w:pPr>
        <w:pStyle w:val="Heading1"/>
      </w:pPr>
      <w:bookmarkStart w:id="54" w:name="_Toc112606895"/>
      <w:r>
        <w:t xml:space="preserve">Current </w:t>
      </w:r>
      <w:r w:rsidR="00541035">
        <w:t>r</w:t>
      </w:r>
      <w:r>
        <w:t xml:space="preserve">ecord </w:t>
      </w:r>
      <w:r w:rsidR="00541035">
        <w:t>k</w:t>
      </w:r>
      <w:r>
        <w:t xml:space="preserve">eeping </w:t>
      </w:r>
      <w:r w:rsidR="00541035">
        <w:t>p</w:t>
      </w:r>
      <w:r>
        <w:t>rotocols in the Victorian Courts and VCAT</w:t>
      </w:r>
      <w:bookmarkEnd w:id="54"/>
    </w:p>
    <w:p w14:paraId="06ED308B" w14:textId="1879A37F" w:rsidR="003C1D59" w:rsidRDefault="003C1D59" w:rsidP="003C1D59">
      <w:pPr>
        <w:pStyle w:val="Heading2"/>
      </w:pPr>
      <w:bookmarkStart w:id="55" w:name="_Toc112606896"/>
      <w:r>
        <w:t xml:space="preserve">Investigations and their </w:t>
      </w:r>
      <w:r w:rsidR="00D93C62">
        <w:t>o</w:t>
      </w:r>
      <w:r>
        <w:t xml:space="preserve">utcomes </w:t>
      </w:r>
      <w:r w:rsidR="00D93C62">
        <w:t>n</w:t>
      </w:r>
      <w:r>
        <w:t xml:space="preserve">ot </w:t>
      </w:r>
      <w:r w:rsidR="00D93C62">
        <w:t>t</w:t>
      </w:r>
      <w:r>
        <w:t>ransparent</w:t>
      </w:r>
      <w:bookmarkEnd w:id="55"/>
    </w:p>
    <w:p w14:paraId="26B29FED" w14:textId="7B0A0C3E" w:rsidR="00F3660C" w:rsidRPr="00F3660C" w:rsidRDefault="00F3660C" w:rsidP="00F3660C">
      <w:pPr>
        <w:pStyle w:val="ListParagraph"/>
      </w:pPr>
      <w:bookmarkStart w:id="56" w:name="_Ref108732924"/>
      <w:r>
        <w:t>Just as there is no reliable or comp</w:t>
      </w:r>
      <w:r w:rsidR="007060E7">
        <w:t xml:space="preserve">rehensive data about the incidence of </w:t>
      </w:r>
      <w:r w:rsidR="00662090">
        <w:t xml:space="preserve">informal </w:t>
      </w:r>
      <w:r w:rsidR="003C1D59">
        <w:t xml:space="preserve">complaints or </w:t>
      </w:r>
      <w:r w:rsidR="00662090">
        <w:t>expressions of concern about a judge</w:t>
      </w:r>
      <w:r w:rsidR="003C1D59">
        <w:t>’s conduct</w:t>
      </w:r>
      <w:r w:rsidR="00662090">
        <w:t xml:space="preserve">, the written reports on investigations </w:t>
      </w:r>
      <w:r w:rsidR="002C6FF6">
        <w:t xml:space="preserve">of allegations of sexual harassment by judges are confidential.  They are not </w:t>
      </w:r>
      <w:proofErr w:type="gramStart"/>
      <w:r w:rsidR="002C6FF6">
        <w:t>published</w:t>
      </w:r>
      <w:proofErr w:type="gramEnd"/>
      <w:r w:rsidR="002C6FF6">
        <w:t xml:space="preserve"> and their content is not publicly available.</w:t>
      </w:r>
      <w:bookmarkEnd w:id="56"/>
    </w:p>
    <w:p w14:paraId="030AC560" w14:textId="5D5491E6" w:rsidR="00471FB9" w:rsidRPr="00471FB9" w:rsidRDefault="00ED2BF5" w:rsidP="0004466F">
      <w:pPr>
        <w:pStyle w:val="ListParagraph"/>
      </w:pPr>
      <w:r>
        <w:t>As</w:t>
      </w:r>
      <w:r w:rsidR="00013739">
        <w:t xml:space="preserve"> also</w:t>
      </w:r>
      <w:r>
        <w:t xml:space="preserve"> noted above, the</w:t>
      </w:r>
      <w:r w:rsidRPr="00471FB9">
        <w:t xml:space="preserve"> </w:t>
      </w:r>
      <w:r w:rsidR="00A010D3">
        <w:t xml:space="preserve">commissioning of the </w:t>
      </w:r>
      <w:r w:rsidR="00471FB9" w:rsidRPr="00471FB9">
        <w:t xml:space="preserve">Szoke Review was provoked by a disclosure of multiple complaints by </w:t>
      </w:r>
      <w:r w:rsidR="00270E1D">
        <w:t xml:space="preserve">five </w:t>
      </w:r>
      <w:r w:rsidR="00471FB9" w:rsidRPr="00471FB9">
        <w:t xml:space="preserve">former associates </w:t>
      </w:r>
      <w:r w:rsidR="00270E1D">
        <w:t xml:space="preserve">(and a staff member) </w:t>
      </w:r>
      <w:r w:rsidR="00471FB9" w:rsidRPr="00471FB9">
        <w:t xml:space="preserve">of sexual harassment at the High Court by Justice Dyson </w:t>
      </w:r>
      <w:proofErr w:type="spellStart"/>
      <w:r w:rsidR="00471FB9" w:rsidRPr="00471FB9">
        <w:t>Heydon</w:t>
      </w:r>
      <w:proofErr w:type="spellEnd"/>
      <w:r w:rsidR="00471FB9" w:rsidRPr="00471FB9">
        <w:t>, during his tenure as a High Court Judge.</w:t>
      </w:r>
    </w:p>
    <w:p w14:paraId="4F42B4D6" w14:textId="28B9DC13" w:rsidR="00471FB9" w:rsidRPr="00471FB9" w:rsidRDefault="00471FB9" w:rsidP="0004466F">
      <w:pPr>
        <w:pStyle w:val="ListParagraph"/>
      </w:pPr>
      <w:r w:rsidRPr="00471FB9">
        <w:t xml:space="preserve">The High Court commissioned an independent investigation of the complaints made against Justice </w:t>
      </w:r>
      <w:proofErr w:type="spellStart"/>
      <w:r w:rsidRPr="00471FB9">
        <w:t>Heydon</w:t>
      </w:r>
      <w:proofErr w:type="spellEnd"/>
      <w:r w:rsidRPr="00471FB9">
        <w:t xml:space="preserve"> (who had retired by the time of the complaints).  The High Court also </w:t>
      </w:r>
      <w:r w:rsidRPr="00471FB9">
        <w:lastRenderedPageBreak/>
        <w:t>proactively sought to ascertain whether persons other than the initial complainants had been the subject of misconduct.</w:t>
      </w:r>
    </w:p>
    <w:p w14:paraId="030DC1F5" w14:textId="360D1B0F" w:rsidR="00C87B8A" w:rsidRPr="00471FB9" w:rsidRDefault="00471FB9" w:rsidP="00C87B8A">
      <w:pPr>
        <w:pStyle w:val="ListParagraph"/>
      </w:pPr>
      <w:r w:rsidRPr="00471FB9">
        <w:t>The High Court investigation concluded that the complaints of sexual harassment were made out.  The Chief Justice publicly apologised to the complainants.  The</w:t>
      </w:r>
      <w:r w:rsidR="002D2581">
        <w:t> </w:t>
      </w:r>
      <w:r w:rsidRPr="00471FB9">
        <w:t xml:space="preserve">complainants all requested anonymity and confidentiality, which were accorded and maintained.  </w:t>
      </w:r>
      <w:r w:rsidR="00C87B8A">
        <w:t>One</w:t>
      </w:r>
      <w:r w:rsidR="00B127F8">
        <w:t> </w:t>
      </w:r>
      <w:r w:rsidR="00C87B8A">
        <w:t xml:space="preserve">complainant, Ms Alex </w:t>
      </w:r>
      <w:proofErr w:type="spellStart"/>
      <w:r w:rsidR="00C87B8A">
        <w:t>Eggerking</w:t>
      </w:r>
      <w:proofErr w:type="spellEnd"/>
      <w:r w:rsidR="00C87B8A">
        <w:t xml:space="preserve">, in February 2022 went public with her account of former Justice </w:t>
      </w:r>
      <w:proofErr w:type="spellStart"/>
      <w:r w:rsidR="00C87B8A">
        <w:t>Heydon’s</w:t>
      </w:r>
      <w:proofErr w:type="spellEnd"/>
      <w:r w:rsidR="00C87B8A">
        <w:t xml:space="preserve"> conduct and appeared on television.</w:t>
      </w:r>
      <w:r w:rsidR="00E56FBE">
        <w:t xml:space="preserve"> </w:t>
      </w:r>
      <w:r w:rsidR="00C87B8A" w:rsidRPr="00471FB9">
        <w:t xml:space="preserve"> The report of the investigation</w:t>
      </w:r>
      <w:r w:rsidR="00C87B8A">
        <w:t xml:space="preserve"> commissioned by the High Court</w:t>
      </w:r>
      <w:r w:rsidR="00C87B8A" w:rsidRPr="00471FB9">
        <w:t>, which was conducted by Dr Vivienne Thom AM</w:t>
      </w:r>
      <w:r w:rsidR="00C87B8A">
        <w:t>,</w:t>
      </w:r>
      <w:r w:rsidR="00C87B8A" w:rsidRPr="00471FB9">
        <w:t xml:space="preserve"> is not published or otherwise available.  It is not possible to ascertain the details of the conduct that the investigator held (albeit not judicially) to constitute sexual harassment by the judge.</w:t>
      </w:r>
    </w:p>
    <w:p w14:paraId="6E5FEFDC" w14:textId="7AF06E5A" w:rsidR="00471FB9" w:rsidRPr="00471FB9" w:rsidRDefault="00471FB9" w:rsidP="0004466F">
      <w:pPr>
        <w:pStyle w:val="ListParagraph"/>
      </w:pPr>
      <w:r w:rsidRPr="00471FB9">
        <w:t xml:space="preserve">The particulars of the </w:t>
      </w:r>
      <w:proofErr w:type="spellStart"/>
      <w:r w:rsidRPr="00471FB9">
        <w:t>Heydon</w:t>
      </w:r>
      <w:proofErr w:type="spellEnd"/>
      <w:r w:rsidRPr="00471FB9">
        <w:t xml:space="preserve"> incidents, whilst unprecedented and shocking, and provoking activity aimed at amelioration and reform, thus remain opaque.  </w:t>
      </w:r>
      <w:r w:rsidR="005E2A0E">
        <w:t>The matter</w:t>
      </w:r>
      <w:r w:rsidR="005E2A0E" w:rsidRPr="00471FB9">
        <w:t xml:space="preserve"> </w:t>
      </w:r>
      <w:r w:rsidRPr="00471FB9">
        <w:t xml:space="preserve">made clear the possibility of judicial sexual harassment (which many would previously have found unthinkable) but </w:t>
      </w:r>
      <w:r w:rsidR="005E2A0E">
        <w:t xml:space="preserve">it </w:t>
      </w:r>
      <w:r w:rsidRPr="00471FB9">
        <w:t>provide</w:t>
      </w:r>
      <w:r w:rsidR="005E2A0E">
        <w:t>d</w:t>
      </w:r>
      <w:r w:rsidRPr="00471FB9">
        <w:t xml:space="preserve"> no </w:t>
      </w:r>
      <w:r w:rsidR="005E2A0E">
        <w:t xml:space="preserve">detailed </w:t>
      </w:r>
      <w:r w:rsidRPr="00471FB9">
        <w:t>guidance as to background, context, causes, risks or means of avoiding or preventing such misconduct.</w:t>
      </w:r>
    </w:p>
    <w:p w14:paraId="7181AD26" w14:textId="23D60C68" w:rsidR="00471FB9" w:rsidRPr="00471FB9" w:rsidRDefault="00471FB9" w:rsidP="0004466F">
      <w:pPr>
        <w:pStyle w:val="ListParagraph"/>
      </w:pPr>
      <w:r w:rsidRPr="00471FB9">
        <w:t xml:space="preserve">The </w:t>
      </w:r>
      <w:proofErr w:type="spellStart"/>
      <w:r w:rsidRPr="00471FB9">
        <w:t>Heydon</w:t>
      </w:r>
      <w:proofErr w:type="spellEnd"/>
      <w:r w:rsidRPr="00471FB9">
        <w:t xml:space="preserve"> incidents were followed by two </w:t>
      </w:r>
      <w:r w:rsidR="008365F0">
        <w:t xml:space="preserve">substantiated </w:t>
      </w:r>
      <w:r w:rsidRPr="00471FB9">
        <w:t>complain</w:t>
      </w:r>
      <w:r w:rsidR="00E56FBE">
        <w:t>ts</w:t>
      </w:r>
      <w:r w:rsidRPr="00471FB9">
        <w:t xml:space="preserve"> of misconduct characterised as sexual harassment made against a Federal Circuit Court Judge (Judge Harman).  </w:t>
      </w:r>
      <w:r w:rsidR="00E479B5">
        <w:t>As outlined in more detail below,</w:t>
      </w:r>
      <w:r w:rsidR="00E479B5" w:rsidRPr="00471FB9">
        <w:t xml:space="preserve"> </w:t>
      </w:r>
      <w:r w:rsidR="00E479B5">
        <w:t>t</w:t>
      </w:r>
      <w:r w:rsidR="00E479B5" w:rsidRPr="00471FB9">
        <w:t xml:space="preserve">he two complainants in that matter were not associates and neither worked directly with the accused judge.  </w:t>
      </w:r>
    </w:p>
    <w:p w14:paraId="16DC901B" w14:textId="71DA1695" w:rsidR="00471FB9" w:rsidRPr="00471FB9" w:rsidRDefault="00471FB9" w:rsidP="0004466F">
      <w:pPr>
        <w:pStyle w:val="ListParagraph"/>
      </w:pPr>
      <w:r w:rsidRPr="00471FB9">
        <w:t xml:space="preserve">Unlike the </w:t>
      </w:r>
      <w:proofErr w:type="spellStart"/>
      <w:r w:rsidRPr="00471FB9">
        <w:t>Heydon</w:t>
      </w:r>
      <w:proofErr w:type="spellEnd"/>
      <w:r w:rsidRPr="00471FB9">
        <w:t xml:space="preserve"> case, the accused judge was currently in office and was sitting at the time the complaints were made.  He ceased to sit, but remained in office, during a lengthy investigation of the complaints.  </w:t>
      </w:r>
      <w:r w:rsidR="005E2A0E">
        <w:t>It was not</w:t>
      </w:r>
      <w:r w:rsidR="005E2A0E" w:rsidRPr="00471FB9">
        <w:t xml:space="preserve"> publicly disclosed</w:t>
      </w:r>
      <w:r w:rsidR="005E2A0E">
        <w:t xml:space="preserve"> </w:t>
      </w:r>
      <w:r w:rsidRPr="00471FB9">
        <w:t xml:space="preserve">that complaints had been made, and </w:t>
      </w:r>
      <w:r w:rsidR="00DB5707">
        <w:t xml:space="preserve">that </w:t>
      </w:r>
      <w:r w:rsidRPr="00471FB9">
        <w:t>an investigation was occurring</w:t>
      </w:r>
      <w:r w:rsidR="005E2A0E">
        <w:t>,</w:t>
      </w:r>
      <w:r w:rsidRPr="00471FB9">
        <w:t xml:space="preserve"> until the conclusion of the investigation</w:t>
      </w:r>
      <w:r w:rsidR="005E2A0E">
        <w:t>.</w:t>
      </w:r>
    </w:p>
    <w:p w14:paraId="269114AE" w14:textId="285FA5C5" w:rsidR="00471FB9" w:rsidRPr="00471FB9" w:rsidRDefault="00471FB9" w:rsidP="0004466F">
      <w:pPr>
        <w:pStyle w:val="ListParagraph"/>
      </w:pPr>
      <w:r w:rsidRPr="00471FB9">
        <w:t>A Conduct Committee comprising three retired judges of the Supreme Court of Victoria</w:t>
      </w:r>
      <w:r w:rsidR="00813C2A">
        <w:rPr>
          <w:rFonts w:ascii="ZWAdobeF" w:hAnsi="ZWAdobeF" w:cs="ZWAdobeF"/>
          <w:sz w:val="2"/>
          <w:szCs w:val="2"/>
        </w:rPr>
        <w:t>60F</w:t>
      </w:r>
      <w:r w:rsidR="00704B18">
        <w:rPr>
          <w:rFonts w:ascii="ZWAdobeF" w:hAnsi="ZWAdobeF" w:cs="ZWAdobeF"/>
          <w:sz w:val="2"/>
          <w:szCs w:val="2"/>
        </w:rPr>
        <w:t>72F</w:t>
      </w:r>
      <w:r w:rsidR="005C6426">
        <w:rPr>
          <w:rStyle w:val="FootnoteReference"/>
        </w:rPr>
        <w:footnoteReference w:id="52"/>
      </w:r>
      <w:r w:rsidRPr="00471FB9">
        <w:t xml:space="preserve"> investigated the complaints.  The Conduct Committee ultimately found that the judge had engaged in inappropriate sexualised conduct towards the complainants, that could well be found to constitute sexual harassment</w:t>
      </w:r>
      <w:r w:rsidR="00C97C62">
        <w:t>.</w:t>
      </w:r>
      <w:r w:rsidRPr="00471FB9">
        <w:t xml:space="preserve"> </w:t>
      </w:r>
      <w:r w:rsidR="00C97C62">
        <w:t xml:space="preserve"> </w:t>
      </w:r>
      <w:r w:rsidR="00C97C62" w:rsidRPr="00471FB9">
        <w:t xml:space="preserve">The </w:t>
      </w:r>
      <w:r w:rsidRPr="00471FB9">
        <w:t xml:space="preserve">Conduct Committee refrained from making a specific finding </w:t>
      </w:r>
      <w:r w:rsidR="000E2808">
        <w:t xml:space="preserve">of sexual harassment </w:t>
      </w:r>
      <w:r w:rsidRPr="00471FB9">
        <w:t xml:space="preserve">given the limitations of their investigative powers. </w:t>
      </w:r>
      <w:r w:rsidR="00A32D08">
        <w:t xml:space="preserve"> (Further, at that time, it was not clear that sexual harassment legislation applied to judicial officers). </w:t>
      </w:r>
      <w:r w:rsidRPr="00471FB9">
        <w:t xml:space="preserve"> The Conduct Committee recommended that the matter be referred to the Attorney</w:t>
      </w:r>
      <w:r w:rsidRPr="00471FB9">
        <w:noBreakHyphen/>
        <w:t xml:space="preserve">General </w:t>
      </w:r>
      <w:r w:rsidR="00A32D08">
        <w:t xml:space="preserve">to </w:t>
      </w:r>
      <w:r w:rsidR="00AF5D9A">
        <w:t xml:space="preserve">decide whether to refer </w:t>
      </w:r>
      <w:r w:rsidR="004529A6">
        <w:t xml:space="preserve">it </w:t>
      </w:r>
      <w:r w:rsidRPr="00471FB9">
        <w:t xml:space="preserve">to Parliament for </w:t>
      </w:r>
      <w:r w:rsidR="004529A6">
        <w:t xml:space="preserve">possible </w:t>
      </w:r>
      <w:r w:rsidRPr="00471FB9">
        <w:t xml:space="preserve">removal </w:t>
      </w:r>
      <w:r w:rsidR="004529A6">
        <w:t xml:space="preserve">of the judge </w:t>
      </w:r>
      <w:r w:rsidRPr="00471FB9">
        <w:t>for misconduct.</w:t>
      </w:r>
      <w:r w:rsidR="003F43BE">
        <w:t xml:space="preserve"> </w:t>
      </w:r>
      <w:r w:rsidR="00DD7C9C">
        <w:t xml:space="preserve"> </w:t>
      </w:r>
      <w:r w:rsidRPr="00471FB9">
        <w:t xml:space="preserve">The Chief Judge released a public statement identifying the outcome </w:t>
      </w:r>
      <w:r w:rsidR="003F43BE">
        <w:t xml:space="preserve">of the </w:t>
      </w:r>
      <w:r w:rsidR="003F43BE">
        <w:lastRenderedPageBreak/>
        <w:t xml:space="preserve">investigation </w:t>
      </w:r>
      <w:r w:rsidRPr="00471FB9">
        <w:t>and naming the judge, who immediately resigned.</w:t>
      </w:r>
      <w:r w:rsidR="00A32D08">
        <w:t xml:space="preserve">  The Chief Judge </w:t>
      </w:r>
      <w:r w:rsidR="004529A6">
        <w:t xml:space="preserve">both </w:t>
      </w:r>
      <w:r w:rsidR="0095557A">
        <w:t>publicly and privately apologised to the complainants.</w:t>
      </w:r>
    </w:p>
    <w:p w14:paraId="26D32BE2" w14:textId="6752F0F9" w:rsidR="00471FB9" w:rsidRPr="00471FB9" w:rsidRDefault="00471FB9" w:rsidP="0004466F">
      <w:pPr>
        <w:pStyle w:val="ListParagraph"/>
      </w:pPr>
      <w:r w:rsidRPr="00471FB9">
        <w:t xml:space="preserve">As in the </w:t>
      </w:r>
      <w:proofErr w:type="spellStart"/>
      <w:r w:rsidRPr="00471FB9">
        <w:t>Heydon</w:t>
      </w:r>
      <w:proofErr w:type="spellEnd"/>
      <w:r w:rsidRPr="00471FB9">
        <w:t xml:space="preserve"> matter, the undertakings given</w:t>
      </w:r>
      <w:r w:rsidR="0041057A">
        <w:t xml:space="preserve"> </w:t>
      </w:r>
      <w:r w:rsidR="0041057A" w:rsidRPr="00471FB9">
        <w:t>to the complainants and the judge</w:t>
      </w:r>
      <w:r w:rsidR="0041057A">
        <w:t xml:space="preserve"> by</w:t>
      </w:r>
      <w:r w:rsidRPr="00471FB9">
        <w:t xml:space="preserve"> the Chief Judge of the Federal Circuit Court and the Conduct Committee under the Federal Circuit Court Complaints Procedure to maintain confidentiality, have precluded the reporting or disclosure of communications conveyed by those parties to the Conduct Committee.</w:t>
      </w:r>
    </w:p>
    <w:p w14:paraId="0E473A52" w14:textId="2467502C" w:rsidR="00471FB9" w:rsidRDefault="00471FB9" w:rsidP="0004466F">
      <w:pPr>
        <w:pStyle w:val="ListParagraph"/>
      </w:pPr>
      <w:r w:rsidRPr="00471FB9">
        <w:t xml:space="preserve">At this stage, no part of the Conduct Committee’s lengthy report has been released.  Accordingly, </w:t>
      </w:r>
      <w:r w:rsidR="00F91B2F">
        <w:t xml:space="preserve">the </w:t>
      </w:r>
      <w:r w:rsidR="00E56FBE">
        <w:t xml:space="preserve">report on the </w:t>
      </w:r>
      <w:r w:rsidR="00AB377C">
        <w:t xml:space="preserve">Federal Circuit Court investigation </w:t>
      </w:r>
      <w:r w:rsidRPr="00471FB9">
        <w:t>also provide</w:t>
      </w:r>
      <w:r w:rsidR="00E56FBE">
        <w:t>s</w:t>
      </w:r>
      <w:r w:rsidRPr="00471FB9">
        <w:t xml:space="preserve"> no publicly available insights or learning as to the risks, </w:t>
      </w:r>
      <w:proofErr w:type="gramStart"/>
      <w:r w:rsidRPr="00471FB9">
        <w:t>prevention</w:t>
      </w:r>
      <w:proofErr w:type="gramEnd"/>
      <w:r w:rsidRPr="00471FB9">
        <w:t xml:space="preserve"> and consequences of sexual harassment by judges.</w:t>
      </w:r>
    </w:p>
    <w:p w14:paraId="01D155F6" w14:textId="332CA0D5" w:rsidR="0041057A" w:rsidRPr="00471FB9" w:rsidRDefault="005A59B6" w:rsidP="0004466F">
      <w:pPr>
        <w:pStyle w:val="ListParagraph"/>
      </w:pPr>
      <w:r>
        <w:t>The report of Ms K Eastman AM SC on her investigation of the allegations against former Justice Peter Vickery</w:t>
      </w:r>
      <w:r w:rsidR="006F6AEF">
        <w:t>, (which she found to be substantiated)</w:t>
      </w:r>
      <w:r>
        <w:t xml:space="preserve"> is likewise confidential and unavailable.</w:t>
      </w:r>
      <w:r w:rsidR="006E6663">
        <w:t xml:space="preserve">  </w:t>
      </w:r>
      <w:r w:rsidR="00A279E3">
        <w:t xml:space="preserve">That investigation was commissioned by the Supreme Court, and </w:t>
      </w:r>
      <w:r w:rsidR="006F6AEF">
        <w:t xml:space="preserve">the report </w:t>
      </w:r>
      <w:r w:rsidR="00B247A8">
        <w:t xml:space="preserve">is </w:t>
      </w:r>
      <w:r w:rsidR="00A279E3">
        <w:t>kept confidential at the request of the complainants.</w:t>
      </w:r>
      <w:r w:rsidR="00704B18">
        <w:rPr>
          <w:rFonts w:ascii="ZWAdobeF" w:hAnsi="ZWAdobeF" w:cs="ZWAdobeF"/>
          <w:sz w:val="2"/>
          <w:szCs w:val="2"/>
        </w:rPr>
        <w:t>73F</w:t>
      </w:r>
      <w:r w:rsidR="00A279E3">
        <w:rPr>
          <w:rStyle w:val="FootnoteReference"/>
        </w:rPr>
        <w:footnoteReference w:id="53"/>
      </w:r>
    </w:p>
    <w:p w14:paraId="5D951EA0" w14:textId="2A7B5E9C" w:rsidR="00471FB9" w:rsidRPr="00471FB9" w:rsidRDefault="002D0126" w:rsidP="0004466F">
      <w:pPr>
        <w:pStyle w:val="ListParagraph"/>
      </w:pPr>
      <w:r>
        <w:t xml:space="preserve">We acknowledge that the Victorian courts </w:t>
      </w:r>
      <w:r w:rsidR="00410951">
        <w:t>(in their non</w:t>
      </w:r>
      <w:r w:rsidR="00410951">
        <w:noBreakHyphen/>
        <w:t xml:space="preserve">judicial functions) </w:t>
      </w:r>
      <w:r>
        <w:t xml:space="preserve">and CSV are bound by privacy laws, including the </w:t>
      </w:r>
      <w:r w:rsidRPr="003944F8">
        <w:rPr>
          <w:i/>
          <w:iCs/>
        </w:rPr>
        <w:t>Privacy and Data Protection Act</w:t>
      </w:r>
      <w:r w:rsidR="005E4BC4">
        <w:rPr>
          <w:i/>
          <w:iCs/>
        </w:rPr>
        <w:t xml:space="preserve"> 2014</w:t>
      </w:r>
      <w:r w:rsidR="00D1478A">
        <w:rPr>
          <w:i/>
          <w:iCs/>
        </w:rPr>
        <w:t xml:space="preserve"> </w:t>
      </w:r>
      <w:r w:rsidR="00D1478A">
        <w:t>(Vic)</w:t>
      </w:r>
      <w:r>
        <w:t>.  The</w:t>
      </w:r>
      <w:r w:rsidR="00410951">
        <w:t> </w:t>
      </w:r>
      <w:r>
        <w:t xml:space="preserve">courts and CSV are also obliged </w:t>
      </w:r>
      <w:r w:rsidR="00FE54B0">
        <w:t xml:space="preserve">to maintain the confidentiality, and respect the wishes, of the targets of inappropriate conduct.  </w:t>
      </w:r>
      <w:r w:rsidR="003944F8">
        <w:t>Nevertheless, t</w:t>
      </w:r>
      <w:r w:rsidR="00471FB9" w:rsidRPr="00471FB9">
        <w:t xml:space="preserve">he confidentiality and secrecy that, for valid reasons, surround the investigation of and reports upon allegations of sexual harassment by judges in Australia, </w:t>
      </w:r>
      <w:r w:rsidR="00287346">
        <w:t xml:space="preserve">which are held to be substantiated, </w:t>
      </w:r>
      <w:r w:rsidR="00471FB9" w:rsidRPr="00471FB9">
        <w:t>constitute a serious impediment to understanding the prevalence, risks, behaviours and devising prevention strategies in this unique context.</w:t>
      </w:r>
    </w:p>
    <w:p w14:paraId="18F4D399" w14:textId="152D8DEB" w:rsidR="00F25C5F" w:rsidRDefault="009F679E" w:rsidP="00743485">
      <w:pPr>
        <w:pStyle w:val="ListParagraph"/>
        <w:keepNext/>
      </w:pPr>
      <w:r w:rsidRPr="00471FB9">
        <w:t xml:space="preserve">Allegations </w:t>
      </w:r>
      <w:r w:rsidR="00471FB9" w:rsidRPr="00471FB9">
        <w:t xml:space="preserve">and complaints may have been made and investigations may currently be in progress, but there is no </w:t>
      </w:r>
      <w:r w:rsidR="006212C5">
        <w:t xml:space="preserve">consistent </w:t>
      </w:r>
      <w:r w:rsidR="00471FB9" w:rsidRPr="00471FB9">
        <w:t>way of ascertaining this.</w:t>
      </w:r>
      <w:r w:rsidR="00813C2A">
        <w:rPr>
          <w:rFonts w:ascii="ZWAdobeF" w:hAnsi="ZWAdobeF" w:cs="ZWAdobeF"/>
          <w:sz w:val="2"/>
          <w:szCs w:val="2"/>
        </w:rPr>
        <w:t>61F</w:t>
      </w:r>
      <w:r w:rsidR="00704B18">
        <w:rPr>
          <w:rFonts w:ascii="ZWAdobeF" w:hAnsi="ZWAdobeF" w:cs="ZWAdobeF"/>
          <w:sz w:val="2"/>
          <w:szCs w:val="2"/>
        </w:rPr>
        <w:t>74F</w:t>
      </w:r>
      <w:r w:rsidR="0095557A">
        <w:rPr>
          <w:rStyle w:val="FootnoteReference"/>
        </w:rPr>
        <w:footnoteReference w:id="54"/>
      </w:r>
      <w:r w:rsidR="00471FB9" w:rsidRPr="00471FB9">
        <w:t xml:space="preserve">  </w:t>
      </w:r>
      <w:r w:rsidRPr="00471FB9">
        <w:t xml:space="preserve">Reliable </w:t>
      </w:r>
      <w:r w:rsidR="00471FB9" w:rsidRPr="00471FB9">
        <w:t xml:space="preserve">and meaningful data are scarce and detailed accounts which could lead to useful insights are unavailable. </w:t>
      </w:r>
      <w:r w:rsidR="003D2140">
        <w:t xml:space="preserve"> </w:t>
      </w:r>
      <w:r w:rsidR="00A373F3">
        <w:t>Further</w:t>
      </w:r>
      <w:r w:rsidR="00F25C5F">
        <w:t>:</w:t>
      </w:r>
    </w:p>
    <w:p w14:paraId="4C2042AE" w14:textId="2C35318D" w:rsidR="00883096" w:rsidRDefault="00883096" w:rsidP="00AA05E5">
      <w:pPr>
        <w:pStyle w:val="List2"/>
      </w:pPr>
      <w:r>
        <w:t xml:space="preserve">the level of secrecy </w:t>
      </w:r>
      <w:r w:rsidR="003C7272">
        <w:t xml:space="preserve">surrounding investigations of </w:t>
      </w:r>
      <w:r w:rsidR="000E133C">
        <w:t xml:space="preserve">and reports of substantiated misconduct </w:t>
      </w:r>
      <w:r w:rsidR="003C7272">
        <w:t xml:space="preserve">by judges </w:t>
      </w:r>
      <w:r w:rsidR="00BF601A">
        <w:t xml:space="preserve">means that a victim of sexual harassment may </w:t>
      </w:r>
      <w:r w:rsidR="000868AA">
        <w:t>consider, justifiably,</w:t>
      </w:r>
      <w:r w:rsidR="00BF601A">
        <w:t xml:space="preserve"> that there will be no </w:t>
      </w:r>
      <w:r w:rsidR="00A94F6D">
        <w:t xml:space="preserve">accountability for or </w:t>
      </w:r>
      <w:r w:rsidR="00BF601A">
        <w:t xml:space="preserve">public denunciation of </w:t>
      </w:r>
      <w:r w:rsidR="000E133C">
        <w:t xml:space="preserve">a </w:t>
      </w:r>
      <w:r w:rsidR="00BF601A">
        <w:t xml:space="preserve">judge’s </w:t>
      </w:r>
      <w:r w:rsidR="000E133C">
        <w:t>mis</w:t>
      </w:r>
      <w:r w:rsidR="00BF601A">
        <w:t xml:space="preserve">conduct, </w:t>
      </w:r>
      <w:r w:rsidR="000E133C">
        <w:t xml:space="preserve">which therefore </w:t>
      </w:r>
      <w:r w:rsidR="00BF601A">
        <w:t xml:space="preserve">may not be worth </w:t>
      </w:r>
      <w:proofErr w:type="gramStart"/>
      <w:r w:rsidR="00BF601A">
        <w:t>reporting</w:t>
      </w:r>
      <w:r w:rsidR="00886BE8">
        <w:t>;</w:t>
      </w:r>
      <w:proofErr w:type="gramEnd"/>
    </w:p>
    <w:p w14:paraId="520D6CB1" w14:textId="2A1EAD86" w:rsidR="00BF601A" w:rsidRDefault="004D4CF0" w:rsidP="00AA05E5">
      <w:pPr>
        <w:pStyle w:val="List2"/>
      </w:pPr>
      <w:r>
        <w:t xml:space="preserve">there is </w:t>
      </w:r>
      <w:r w:rsidR="00820DFC">
        <w:t>little</w:t>
      </w:r>
      <w:r w:rsidR="005157C4">
        <w:t xml:space="preserve"> scope for</w:t>
      </w:r>
      <w:r>
        <w:t xml:space="preserve"> </w:t>
      </w:r>
      <w:r w:rsidR="00756CDA">
        <w:t xml:space="preserve">meaningful </w:t>
      </w:r>
      <w:r>
        <w:t xml:space="preserve">general </w:t>
      </w:r>
      <w:proofErr w:type="gramStart"/>
      <w:r>
        <w:t>deterrence;</w:t>
      </w:r>
      <w:proofErr w:type="gramEnd"/>
      <w:r w:rsidR="00EC0A71">
        <w:t xml:space="preserve"> </w:t>
      </w:r>
    </w:p>
    <w:p w14:paraId="506C1754" w14:textId="028223A4" w:rsidR="00A71DAE" w:rsidRDefault="004D4CF0" w:rsidP="00AA05E5">
      <w:pPr>
        <w:pStyle w:val="List2"/>
      </w:pPr>
      <w:r>
        <w:lastRenderedPageBreak/>
        <w:t xml:space="preserve">judges are not informed of the types of circumstances which have </w:t>
      </w:r>
      <w:r w:rsidR="00DF33FD">
        <w:t>led to devastating personal consequences for other judges</w:t>
      </w:r>
      <w:r w:rsidR="00CA0B33">
        <w:t xml:space="preserve"> and the targets of their misconduct</w:t>
      </w:r>
      <w:r w:rsidR="00DF33FD">
        <w:t>, and so do not have the benefit of guidance in self-reflection and</w:t>
      </w:r>
      <w:r w:rsidR="00EC0A71">
        <w:t xml:space="preserve"> adjusting, if necessary, their own </w:t>
      </w:r>
      <w:proofErr w:type="gramStart"/>
      <w:r w:rsidR="00EC0A71">
        <w:t>conduct</w:t>
      </w:r>
      <w:r w:rsidR="001A4AA5">
        <w:t>;</w:t>
      </w:r>
      <w:proofErr w:type="gramEnd"/>
    </w:p>
    <w:p w14:paraId="3E086AB0" w14:textId="6A823D2B" w:rsidR="00FE2E8B" w:rsidRDefault="001A4AA5" w:rsidP="00AA05E5">
      <w:pPr>
        <w:pStyle w:val="List2"/>
      </w:pPr>
      <w:r>
        <w:t xml:space="preserve">the </w:t>
      </w:r>
      <w:r w:rsidR="00A94F6D">
        <w:t xml:space="preserve">courts, </w:t>
      </w:r>
      <w:r>
        <w:t xml:space="preserve">legal profession and the community </w:t>
      </w:r>
      <w:r w:rsidR="00A94F6D">
        <w:t xml:space="preserve">do not have the benefit </w:t>
      </w:r>
      <w:r w:rsidR="00FE2E8B">
        <w:t>of the information necessary to assess and address the problem;</w:t>
      </w:r>
      <w:r w:rsidR="00046723">
        <w:t xml:space="preserve"> and</w:t>
      </w:r>
    </w:p>
    <w:p w14:paraId="3F51E2B0" w14:textId="40205F70" w:rsidR="001A4AA5" w:rsidRDefault="00FE2E8B" w:rsidP="00AA05E5">
      <w:pPr>
        <w:pStyle w:val="List2"/>
      </w:pPr>
      <w:r>
        <w:t xml:space="preserve">the absence of transparency may be seen as </w:t>
      </w:r>
      <w:r w:rsidR="00622DA0">
        <w:t xml:space="preserve">judicial </w:t>
      </w:r>
      <w:r w:rsidR="008F50DF">
        <w:t>exceptionalism.</w:t>
      </w:r>
      <w:r w:rsidR="008B408E">
        <w:t xml:space="preserve">  More serious misconduct by other categories of persons is not exempt from scrutiny and report (subject to measures to protect the identity of victims).  </w:t>
      </w:r>
    </w:p>
    <w:p w14:paraId="1459A625" w14:textId="653FC44E" w:rsidR="008A0E8C" w:rsidRDefault="000A1012" w:rsidP="008A0E8C">
      <w:pPr>
        <w:pStyle w:val="ListParagraph"/>
      </w:pPr>
      <w:bookmarkStart w:id="57" w:name="_Ref108732946"/>
      <w:r>
        <w:t>In our opinion, the courts and the legal profession should</w:t>
      </w:r>
      <w:r w:rsidR="00B247A8">
        <w:t>, to the extent possible</w:t>
      </w:r>
      <w:r>
        <w:t xml:space="preserve"> </w:t>
      </w:r>
      <w:r w:rsidR="00F83049">
        <w:t xml:space="preserve">(and </w:t>
      </w:r>
      <w:r w:rsidR="008B5A80">
        <w:t xml:space="preserve">while affording due respect to the </w:t>
      </w:r>
      <w:r w:rsidR="00F83049">
        <w:t>needs and wishes of the</w:t>
      </w:r>
      <w:r w:rsidR="008F0EB1">
        <w:t xml:space="preserve"> complainants</w:t>
      </w:r>
      <w:r w:rsidR="00F83049">
        <w:t xml:space="preserve">) </w:t>
      </w:r>
      <w:r>
        <w:t xml:space="preserve">promote and facilitate publication of reports (redacted </w:t>
      </w:r>
      <w:r w:rsidR="00885116">
        <w:t xml:space="preserve">as </w:t>
      </w:r>
      <w:r>
        <w:t xml:space="preserve">appropriate) of investigations of allegations of significant judicial misconduct in cases where those allegations have been found to be substantiated.  </w:t>
      </w:r>
      <w:r w:rsidR="00B247A8">
        <w:t>In</w:t>
      </w:r>
      <w:r w:rsidR="00BF773D">
        <w:t> </w:t>
      </w:r>
      <w:r w:rsidR="00B247A8">
        <w:t xml:space="preserve">such cases, </w:t>
      </w:r>
      <w:r w:rsidR="00BD55C5">
        <w:t xml:space="preserve">provided that </w:t>
      </w:r>
      <w:r w:rsidR="009A57C6">
        <w:t xml:space="preserve">appropriate measures to preserve the anonymity of </w:t>
      </w:r>
      <w:r w:rsidR="00394AD1">
        <w:t>complainants</w:t>
      </w:r>
      <w:r w:rsidR="006D5431">
        <w:t xml:space="preserve"> </w:t>
      </w:r>
      <w:r w:rsidR="00BD55C5">
        <w:t xml:space="preserve">are </w:t>
      </w:r>
      <w:r w:rsidR="009A57C6">
        <w:t>adopted</w:t>
      </w:r>
      <w:r w:rsidR="00611CE5">
        <w:t xml:space="preserve"> and </w:t>
      </w:r>
      <w:r w:rsidR="00CE4E25">
        <w:t>the</w:t>
      </w:r>
      <w:r w:rsidR="00394AD1">
        <w:t>ir</w:t>
      </w:r>
      <w:r w:rsidR="00CE4E25">
        <w:t xml:space="preserve"> wishes </w:t>
      </w:r>
      <w:r w:rsidR="00611CE5">
        <w:t>consulted</w:t>
      </w:r>
      <w:r w:rsidR="00EC3696">
        <w:t>,</w:t>
      </w:r>
      <w:r w:rsidR="00AF1EBC">
        <w:t xml:space="preserve"> </w:t>
      </w:r>
      <w:r w:rsidR="00611CE5">
        <w:t>the identity of the judge should (save in exceptional circumstances) be disclosed</w:t>
      </w:r>
      <w:r w:rsidR="009A57C6">
        <w:t>.</w:t>
      </w:r>
      <w:r w:rsidR="00B247A8">
        <w:t xml:space="preserve">  We</w:t>
      </w:r>
      <w:r w:rsidR="000E25EC">
        <w:t> </w:t>
      </w:r>
      <w:r w:rsidR="00B247A8">
        <w:t xml:space="preserve">recognise that it </w:t>
      </w:r>
      <w:r w:rsidR="00611CE5">
        <w:t xml:space="preserve">may </w:t>
      </w:r>
      <w:r w:rsidR="00B247A8">
        <w:t xml:space="preserve">not be possible to achieve those goals </w:t>
      </w:r>
      <w:r w:rsidR="00611CE5">
        <w:t xml:space="preserve">given </w:t>
      </w:r>
      <w:r w:rsidR="000E25EC">
        <w:t xml:space="preserve">current legislative constraints, the wishes and requirements of some complainants and the prospect </w:t>
      </w:r>
      <w:r w:rsidR="00B247A8">
        <w:t>that sometimes, any disclosure will in effect identify the complainant</w:t>
      </w:r>
      <w:r w:rsidR="00712047">
        <w:t xml:space="preserve"> or other relevant persons</w:t>
      </w:r>
      <w:r w:rsidR="00B247A8">
        <w:t xml:space="preserve">.  </w:t>
      </w:r>
      <w:r w:rsidR="00723FF3">
        <w:t xml:space="preserve">Further consultation and legislative measures </w:t>
      </w:r>
      <w:r w:rsidR="00087E9B">
        <w:t xml:space="preserve">may be required.  </w:t>
      </w:r>
      <w:r w:rsidR="00B247A8">
        <w:t>However,</w:t>
      </w:r>
      <w:r w:rsidR="008B19B9">
        <w:t> </w:t>
      </w:r>
      <w:r w:rsidR="00B247A8">
        <w:t>commitment to provide greater transparency is justifiably sought by court staff and would secure wider benefits.</w:t>
      </w:r>
      <w:bookmarkEnd w:id="57"/>
    </w:p>
    <w:p w14:paraId="612488F7" w14:textId="3B1D089E" w:rsidR="009C42F7" w:rsidRDefault="006509EF" w:rsidP="0004466F">
      <w:pPr>
        <w:pStyle w:val="Heading1"/>
      </w:pPr>
      <w:bookmarkStart w:id="58" w:name="_Toc112606897"/>
      <w:r>
        <w:t>Case Studies of Inappropriate Sexualised Conduct by Judges of Chambers Staff or Junior Legal Personnel</w:t>
      </w:r>
      <w:bookmarkEnd w:id="58"/>
    </w:p>
    <w:p w14:paraId="019E6133" w14:textId="2BC74CE9" w:rsidR="00EF5408" w:rsidRDefault="006509EF" w:rsidP="00ED7040">
      <w:pPr>
        <w:pStyle w:val="Heading2"/>
      </w:pPr>
      <w:bookmarkStart w:id="59" w:name="_Toc112606898"/>
      <w:r>
        <w:t>The American Cases</w:t>
      </w:r>
      <w:bookmarkEnd w:id="59"/>
    </w:p>
    <w:p w14:paraId="64D64D91" w14:textId="3D766821" w:rsidR="006A19EF" w:rsidRDefault="006A19EF" w:rsidP="006A19EF">
      <w:pPr>
        <w:pStyle w:val="ListParagraph"/>
      </w:pPr>
      <w:r>
        <w:t>The disclosure of allegations of sexual harassment of chambers staff by two distinguished, high profile American judges provide</w:t>
      </w:r>
      <w:r w:rsidR="00AE22B6">
        <w:t xml:space="preserve">s insight into </w:t>
      </w:r>
      <w:r w:rsidR="00534C97">
        <w:t xml:space="preserve">the nature of such conduct as well as its </w:t>
      </w:r>
      <w:r w:rsidR="00AE22B6">
        <w:t>drive</w:t>
      </w:r>
      <w:r w:rsidR="00B225CB">
        <w:t>r</w:t>
      </w:r>
      <w:r w:rsidR="00AE22B6">
        <w:t>s and risk factors</w:t>
      </w:r>
      <w:r w:rsidR="00B225CB">
        <w:t>.</w:t>
      </w:r>
      <w:r w:rsidR="00AE22B6">
        <w:t xml:space="preserve">  The response to the allegations </w:t>
      </w:r>
      <w:r w:rsidR="00B225CB">
        <w:t>is also instructive.  It</w:t>
      </w:r>
      <w:r w:rsidR="00B247A8">
        <w:t> </w:t>
      </w:r>
      <w:r w:rsidR="00AE22B6">
        <w:t xml:space="preserve">contrasts with that of Australian courts, </w:t>
      </w:r>
      <w:r w:rsidR="00B225CB">
        <w:t>in that:</w:t>
      </w:r>
    </w:p>
    <w:p w14:paraId="55843D60" w14:textId="4E0ADAFB" w:rsidR="00B225CB" w:rsidRDefault="00B225CB" w:rsidP="00B225CB">
      <w:pPr>
        <w:pStyle w:val="List2"/>
      </w:pPr>
      <w:r>
        <w:t xml:space="preserve">legislative protection from sexual harassment has not been extended to court staff, including </w:t>
      </w:r>
      <w:proofErr w:type="gramStart"/>
      <w:r>
        <w:t>associates;</w:t>
      </w:r>
      <w:proofErr w:type="gramEnd"/>
    </w:p>
    <w:p w14:paraId="117FA73A" w14:textId="3602F4C8" w:rsidR="00B225CB" w:rsidRDefault="00B225CB" w:rsidP="00B225CB">
      <w:pPr>
        <w:pStyle w:val="List2"/>
      </w:pPr>
      <w:r>
        <w:t>the allegations, although numerous and widely supported</w:t>
      </w:r>
      <w:r w:rsidR="00593AFE">
        <w:t>,</w:t>
      </w:r>
      <w:r>
        <w:t xml:space="preserve"> have not been investigated as in one case the accused judge resigned and</w:t>
      </w:r>
      <w:r w:rsidR="00AE0E81">
        <w:t>,</w:t>
      </w:r>
      <w:r>
        <w:t xml:space="preserve"> in the other case, had </w:t>
      </w:r>
      <w:proofErr w:type="gramStart"/>
      <w:r>
        <w:t>died;</w:t>
      </w:r>
      <w:proofErr w:type="gramEnd"/>
      <w:r w:rsidR="00B828CF">
        <w:t xml:space="preserve"> and</w:t>
      </w:r>
    </w:p>
    <w:p w14:paraId="141A21C5" w14:textId="5A5AE210" w:rsidR="00B225CB" w:rsidRDefault="00CA440A" w:rsidP="00B225CB">
      <w:pPr>
        <w:pStyle w:val="List2"/>
      </w:pPr>
      <w:r>
        <w:lastRenderedPageBreak/>
        <w:t xml:space="preserve">complainants we interviewed stated that </w:t>
      </w:r>
      <w:r w:rsidR="00B225CB">
        <w:t>the courts offered no acknowledgment or apology</w:t>
      </w:r>
      <w:r w:rsidR="00B828CF">
        <w:t>.</w:t>
      </w:r>
    </w:p>
    <w:p w14:paraId="6E3A6DF0" w14:textId="0FAF38F8" w:rsidR="007F2CC3" w:rsidRDefault="007F2CC3" w:rsidP="0004466F">
      <w:pPr>
        <w:pStyle w:val="Heading3"/>
        <w:spacing w:line="480" w:lineRule="auto"/>
      </w:pPr>
      <w:bookmarkStart w:id="60" w:name="_Toc112606899"/>
      <w:r>
        <w:t>Judge Kozinski</w:t>
      </w:r>
      <w:bookmarkEnd w:id="60"/>
    </w:p>
    <w:p w14:paraId="5298708B" w14:textId="77777777" w:rsidR="007F2CC3" w:rsidRDefault="007F2CC3" w:rsidP="00674BD1">
      <w:pPr>
        <w:pStyle w:val="ListParagraph"/>
        <w:spacing w:before="0"/>
      </w:pPr>
      <w:r>
        <w:t xml:space="preserve">In December 2017, Judge Alex </w:t>
      </w:r>
      <w:proofErr w:type="spellStart"/>
      <w:r>
        <w:t>Kozinski</w:t>
      </w:r>
      <w:proofErr w:type="spellEnd"/>
      <w:r>
        <w:t xml:space="preserve"> of the United States Court of Appeals for the Ninth Circuit, resigned amidst numerous allegations of sexual harassment and like misconduct towards court chambers staff and other legal professionals.  His resignation forestalled an investigation of the allegations.</w:t>
      </w:r>
    </w:p>
    <w:p w14:paraId="3D22751D" w14:textId="69B12006" w:rsidR="007F2CC3" w:rsidRDefault="007F2CC3" w:rsidP="0004466F">
      <w:pPr>
        <w:pStyle w:val="ListParagraph"/>
      </w:pPr>
      <w:r>
        <w:t xml:space="preserve">The resignation originated when, earlier in the year, in the wake of the #MeToo movement, six former clerks or more junior staffers known as </w:t>
      </w:r>
      <w:r w:rsidR="007431CC">
        <w:t>“</w:t>
      </w:r>
      <w:r>
        <w:t xml:space="preserve">externs” alleged to the Washington Post that Judge </w:t>
      </w:r>
      <w:proofErr w:type="spellStart"/>
      <w:r>
        <w:t>Kozinski</w:t>
      </w:r>
      <w:proofErr w:type="spellEnd"/>
      <w:r>
        <w:t xml:space="preserve"> had subjected them to sexually inappropriate conduct or comments.</w:t>
      </w:r>
      <w:r w:rsidR="00D90820" w:rsidRPr="00D90820">
        <w:rPr>
          <w:rStyle w:val="FootnoteReference"/>
        </w:rPr>
        <w:t xml:space="preserve"> </w:t>
      </w:r>
      <w:r w:rsidR="00704B18">
        <w:rPr>
          <w:rFonts w:ascii="ZWAdobeF" w:hAnsi="ZWAdobeF" w:cs="ZWAdobeF"/>
          <w:sz w:val="2"/>
          <w:szCs w:val="2"/>
        </w:rPr>
        <w:t>75F</w:t>
      </w:r>
      <w:r w:rsidR="00D90820">
        <w:rPr>
          <w:rStyle w:val="FootnoteReference"/>
        </w:rPr>
        <w:footnoteReference w:id="55"/>
      </w:r>
    </w:p>
    <w:p w14:paraId="07657689" w14:textId="31ABC425" w:rsidR="00095151" w:rsidRDefault="00095151" w:rsidP="00095151">
      <w:pPr>
        <w:pStyle w:val="ListParagraph"/>
      </w:pPr>
      <w:r>
        <w:t xml:space="preserve">The judge also faced claims of imposing abusive employment demands on his chambers staff.  He </w:t>
      </w:r>
      <w:r w:rsidR="00821A3B">
        <w:t xml:space="preserve">allegedly </w:t>
      </w:r>
      <w:r>
        <w:t xml:space="preserve">had outbursts of furious temper tantrums.  </w:t>
      </w:r>
      <w:r w:rsidR="00821A3B">
        <w:t>It was reported that h</w:t>
      </w:r>
      <w:r>
        <w:t>e claimed that the location of his clerks’ apartments was subject to his approval, tried to dictate what they ate for lunch and made derogatory comments about women.</w:t>
      </w:r>
      <w:r w:rsidR="00014FA5">
        <w:t xml:space="preserve">  </w:t>
      </w:r>
      <w:r w:rsidR="00A36F07">
        <w:t>Allegedly, t</w:t>
      </w:r>
      <w:r w:rsidR="00014FA5">
        <w:t xml:space="preserve">he judge expressly forbade his clerks from socialising with each other without his permission or supervision.  He required them </w:t>
      </w:r>
      <w:r w:rsidR="00053ED5">
        <w:t xml:space="preserve">to arrive in chambers </w:t>
      </w:r>
      <w:r w:rsidR="00053ED5" w:rsidRPr="00E42F49">
        <w:t>at 9.30am</w:t>
      </w:r>
      <w:r w:rsidR="00053ED5">
        <w:t xml:space="preserve"> on weekdays and 12pm on weekends and stay until 1.30am each night</w:t>
      </w:r>
      <w:r w:rsidR="00533B44">
        <w:t>.</w:t>
      </w:r>
      <w:r w:rsidR="00704B18">
        <w:rPr>
          <w:rFonts w:ascii="ZWAdobeF" w:hAnsi="ZWAdobeF" w:cs="ZWAdobeF"/>
          <w:sz w:val="2"/>
          <w:szCs w:val="2"/>
        </w:rPr>
        <w:t>76F</w:t>
      </w:r>
      <w:r w:rsidR="00533B44">
        <w:rPr>
          <w:rStyle w:val="FootnoteReference"/>
        </w:rPr>
        <w:footnoteReference w:id="56"/>
      </w:r>
      <w:r w:rsidR="00533B44">
        <w:t xml:space="preserve">  Because judges are entitled to conduct their chambers as they see fit, these </w:t>
      </w:r>
      <w:r w:rsidR="002F6815">
        <w:t xml:space="preserve">alleged </w:t>
      </w:r>
      <w:r w:rsidR="00533B44">
        <w:t>practices had not previously been questioned.</w:t>
      </w:r>
    </w:p>
    <w:p w14:paraId="4FE6FD07" w14:textId="4FCE4E7C" w:rsidR="007F2CC3" w:rsidRDefault="007F2CC3" w:rsidP="0004466F">
      <w:pPr>
        <w:pStyle w:val="ListParagraph"/>
      </w:pPr>
      <w:r>
        <w:t>Shortly after the emergence of the multiple complaints, in December 2017, the then Chief Judge of the United States Court of Appeals for the Ninth Circuit initiated a review, although no formal complaint had been received.  The review could have led to a reprimand or a request that the judge retire or not take new cases for a time.</w:t>
      </w:r>
    </w:p>
    <w:p w14:paraId="651BB348" w14:textId="06495C68" w:rsidR="0020023B" w:rsidRPr="00A54515" w:rsidRDefault="0020023B" w:rsidP="0020023B">
      <w:pPr>
        <w:pStyle w:val="ListParagraph"/>
      </w:pPr>
      <w:r>
        <w:t xml:space="preserve">As noted above, </w:t>
      </w:r>
      <w:r w:rsidR="00B83CE2">
        <w:t xml:space="preserve">Judge </w:t>
      </w:r>
      <w:proofErr w:type="spellStart"/>
      <w:r w:rsidR="00B83CE2">
        <w:t>Kozinski’s</w:t>
      </w:r>
      <w:proofErr w:type="spellEnd"/>
      <w:r w:rsidR="00B83CE2">
        <w:t xml:space="preserve"> </w:t>
      </w:r>
      <w:r>
        <w:t>resignation meant that there was no formal inquiry and findings into the allegations made against him.</w:t>
      </w:r>
      <w:r w:rsidR="00B83CE2">
        <w:t xml:space="preserve"> </w:t>
      </w:r>
      <w:r>
        <w:t xml:space="preserve"> He has since returned to practice.</w:t>
      </w:r>
    </w:p>
    <w:p w14:paraId="7E9FA3A9" w14:textId="036AB818" w:rsidR="007F2CC3" w:rsidRDefault="007F2CC3" w:rsidP="0004466F">
      <w:pPr>
        <w:pStyle w:val="Heading3"/>
        <w:spacing w:line="480" w:lineRule="auto"/>
      </w:pPr>
      <w:bookmarkStart w:id="61" w:name="_Toc112606900"/>
      <w:r>
        <w:t>Judge Reinhardt</w:t>
      </w:r>
      <w:bookmarkEnd w:id="61"/>
    </w:p>
    <w:p w14:paraId="4D5674A4" w14:textId="2C271996" w:rsidR="007F2CC3" w:rsidRDefault="007F2CC3" w:rsidP="00FA68AF">
      <w:pPr>
        <w:pStyle w:val="ListParagraph"/>
      </w:pPr>
      <w:r>
        <w:t xml:space="preserve">Judge Stephen Reinhardt was an eminent American Federal Ninth Circuit judge, who throughout his </w:t>
      </w:r>
      <w:proofErr w:type="gramStart"/>
      <w:r>
        <w:t>decades</w:t>
      </w:r>
      <w:proofErr w:type="gramEnd"/>
      <w:r>
        <w:t xml:space="preserve"> long tenure, was widely known and lauded for liberal opinions and </w:t>
      </w:r>
      <w:r>
        <w:lastRenderedPageBreak/>
        <w:t>dissents upholding marriage equality, reproductive freedom and the right to determine the time and manner of one’s own death.  The judge was particularly known for his opposition to the death penalty.  A vocal opponent of what he described as impenetrable procedural rules elaborated by the Supreme Court to trump substantive rights, Judge Reinhardt was known as “the lion of liberalism”.</w:t>
      </w:r>
    </w:p>
    <w:p w14:paraId="08C5A74D" w14:textId="77777777" w:rsidR="007F2CC3" w:rsidRDefault="007F2CC3" w:rsidP="0004466F">
      <w:pPr>
        <w:pStyle w:val="ListParagraph"/>
      </w:pPr>
      <w:r>
        <w:t xml:space="preserve">When he died in office at age 87, he had some 150 former associates (clerks) many of whom published adulating eulogies and panegyrics. </w:t>
      </w:r>
    </w:p>
    <w:p w14:paraId="21AFE1C8" w14:textId="77777777" w:rsidR="007F2CC3" w:rsidRDefault="007F2CC3" w:rsidP="0004466F">
      <w:pPr>
        <w:pStyle w:val="ListParagraph"/>
      </w:pPr>
      <w:r>
        <w:t>Some memorials acknowledged that the late judge’s bluntness in criticising the judicial opponents, whatever their rank, also prevailed in communications with chambers staff.</w:t>
      </w:r>
    </w:p>
    <w:p w14:paraId="737580F5" w14:textId="1E3D7B18" w:rsidR="007F2CC3" w:rsidRDefault="007F2CC3" w:rsidP="006A3CA0">
      <w:pPr>
        <w:pStyle w:val="Quote"/>
      </w:pPr>
      <w:r>
        <w:t xml:space="preserve">I would learn soon enough when I became one of his law clerks, that Judge Reinhardt pulled no punches when talking to anyone, and that thick skin could be a valuable asset in </w:t>
      </w:r>
      <w:proofErr w:type="gramStart"/>
      <w:r>
        <w:t>this chambers</w:t>
      </w:r>
      <w:proofErr w:type="gramEnd"/>
      <w:r>
        <w:t>.</w:t>
      </w:r>
      <w:r w:rsidR="00704B18">
        <w:rPr>
          <w:rFonts w:ascii="ZWAdobeF" w:hAnsi="ZWAdobeF" w:cs="ZWAdobeF"/>
          <w:sz w:val="2"/>
          <w:szCs w:val="2"/>
        </w:rPr>
        <w:t>77F</w:t>
      </w:r>
      <w:r w:rsidR="00C94916">
        <w:rPr>
          <w:rStyle w:val="FootnoteReference"/>
        </w:rPr>
        <w:footnoteReference w:id="57"/>
      </w:r>
    </w:p>
    <w:p w14:paraId="5234497F" w14:textId="5D6ABE1C" w:rsidR="007F2CC3" w:rsidRDefault="00632A42" w:rsidP="00FC59D1">
      <w:pPr>
        <w:pStyle w:val="ListParagraph"/>
      </w:pPr>
      <w:r>
        <w:t xml:space="preserve">In </w:t>
      </w:r>
      <w:r w:rsidR="007C1C92">
        <w:t xml:space="preserve">February 2020 </w:t>
      </w:r>
      <w:r w:rsidR="00381869">
        <w:t>(</w:t>
      </w:r>
      <w:r w:rsidR="007C1C92">
        <w:t>after the judge’s death in March 2018</w:t>
      </w:r>
      <w:r w:rsidR="00381869">
        <w:t>)</w:t>
      </w:r>
      <w:r w:rsidR="007C1C92">
        <w:t>, Judge Reinhardt’s former clerk, Olivia Warren testified to a Congressional Panel about the Judge’s sexual harassment of her during her clerkship.</w:t>
      </w:r>
      <w:r w:rsidR="00704B18">
        <w:rPr>
          <w:rFonts w:ascii="ZWAdobeF" w:hAnsi="ZWAdobeF" w:cs="ZWAdobeF"/>
          <w:sz w:val="2"/>
          <w:szCs w:val="2"/>
        </w:rPr>
        <w:t>80F</w:t>
      </w:r>
      <w:r w:rsidR="007C1C92">
        <w:rPr>
          <w:rStyle w:val="FootnoteReference"/>
        </w:rPr>
        <w:footnoteReference w:id="58"/>
      </w:r>
      <w:r w:rsidR="007C1C92">
        <w:t xml:space="preserve">  Ms Warren, is a graduate of Harvard Law School who has since clerked for Justice </w:t>
      </w:r>
      <w:proofErr w:type="spellStart"/>
      <w:r w:rsidR="007C1C92">
        <w:t>Ketanj</w:t>
      </w:r>
      <w:proofErr w:type="spellEnd"/>
      <w:r w:rsidR="007C1C92">
        <w:t xml:space="preserve"> Brown Jackson and now works as a staff attorney at the Centre for Death Penalty Litigation in Durham, North Carolina.</w:t>
      </w:r>
    </w:p>
    <w:p w14:paraId="4DC1CA7F" w14:textId="7B6EDE2F" w:rsidR="00200D07" w:rsidRDefault="00F228E0" w:rsidP="00FC59D1">
      <w:pPr>
        <w:pStyle w:val="ListParagraph"/>
      </w:pPr>
      <w:r>
        <w:t>Ms Warren asserted before the Congressional Panel that that the judge’s misconduct was widely known and a long</w:t>
      </w:r>
      <w:r w:rsidR="00245008">
        <w:noBreakHyphen/>
      </w:r>
      <w:r>
        <w:t>standing open secret.</w:t>
      </w:r>
    </w:p>
    <w:p w14:paraId="662D372E" w14:textId="30655666" w:rsidR="000A3065" w:rsidRDefault="000A3065" w:rsidP="000A3065">
      <w:pPr>
        <w:pStyle w:val="ListParagraph"/>
      </w:pPr>
      <w:r>
        <w:t>In her written testimony to Congress at the hearing on 13 February 2020, Ms</w:t>
      </w:r>
      <w:r w:rsidR="00067162">
        <w:t> </w:t>
      </w:r>
      <w:r>
        <w:t>Warren testified to the view at Harvard that clerkships were:</w:t>
      </w:r>
    </w:p>
    <w:p w14:paraId="6FAABF9E" w14:textId="77777777" w:rsidR="000A3065" w:rsidRDefault="000A3065" w:rsidP="00E36005">
      <w:pPr>
        <w:pStyle w:val="Quote"/>
        <w:keepNext/>
        <w:ind w:right="805"/>
      </w:pPr>
      <w:r>
        <w:t xml:space="preserve">the </w:t>
      </w:r>
      <w:r w:rsidRPr="003B0377">
        <w:rPr>
          <w:i/>
          <w:iCs/>
          <w:u w:val="single"/>
        </w:rPr>
        <w:t>be all and end all for high performing law students</w:t>
      </w:r>
      <w:r>
        <w:t xml:space="preserve"> because they provide “singular opportunities within the legal profession to develop close relationships with judges, to gain </w:t>
      </w:r>
      <w:proofErr w:type="spellStart"/>
      <w:proofErr w:type="gramStart"/>
      <w:r>
        <w:t>first hand</w:t>
      </w:r>
      <w:proofErr w:type="spellEnd"/>
      <w:proofErr w:type="gramEnd"/>
      <w:r>
        <w:t xml:space="preserve"> experience with the judicial system as a young lawyer and, through connections to judges’ former clerks, to develop a robust professional network that can open professional doors and lead to further opportunities.</w:t>
      </w:r>
    </w:p>
    <w:p w14:paraId="0485FD6C" w14:textId="7F4F9133" w:rsidR="000A3065" w:rsidRPr="003B0377" w:rsidRDefault="00AA05E5" w:rsidP="000A3065">
      <w:pPr>
        <w:pStyle w:val="Quote"/>
      </w:pPr>
      <w:r>
        <w:t>(</w:t>
      </w:r>
      <w:r w:rsidR="000A3065">
        <w:t>Emphasis added</w:t>
      </w:r>
      <w:r>
        <w:t>)</w:t>
      </w:r>
    </w:p>
    <w:p w14:paraId="3AF4797C" w14:textId="34A54BAD" w:rsidR="007F2CC3" w:rsidRDefault="00AC1827" w:rsidP="0004466F">
      <w:pPr>
        <w:pStyle w:val="ListParagraph"/>
      </w:pPr>
      <w:r>
        <w:t xml:space="preserve">Ms Warren alleged that on her first day working as his clerk, Judge Reinhardt pointed out a drawing depicting a sine chart, on which he had drawn two round dots to the top of the curves to resemble breasts, affixed to her computer and asked her if it was accurate.  He routinely </w:t>
      </w:r>
      <w:r>
        <w:lastRenderedPageBreak/>
        <w:t>and frequently made disparaging comments about Ms Warren’s physical appearance.  He</w:t>
      </w:r>
      <w:r w:rsidR="00D12AA9">
        <w:t> </w:t>
      </w:r>
      <w:r>
        <w:t>expressed doubt that she could really have a husband or if so that her marriage had been consummated, due to her appearance and lack of sexual attraction.</w:t>
      </w:r>
    </w:p>
    <w:p w14:paraId="4DF491DB" w14:textId="259090F7" w:rsidR="00330A63" w:rsidRDefault="00D95111" w:rsidP="00330A63">
      <w:pPr>
        <w:pStyle w:val="ListParagraph"/>
      </w:pPr>
      <w:r>
        <w:t>Ms Warren alleged that t</w:t>
      </w:r>
      <w:r w:rsidR="00330A63">
        <w:t>he judge regularly commented in detail on the appearance of women.  He</w:t>
      </w:r>
      <w:r w:rsidR="00721E31">
        <w:t> </w:t>
      </w:r>
      <w:r w:rsidR="00330A63">
        <w:t xml:space="preserve">requested Ms Warren to look at photographs of applicants for clerkships and to identify which had nicer or longer legs.  The judge kept photographs of his “pretty” women clerks on a shelf. </w:t>
      </w:r>
      <w:r w:rsidR="00105CE0">
        <w:t xml:space="preserve"> </w:t>
      </w:r>
      <w:r w:rsidR="00330A63">
        <w:t>As described by Ms Warren in her testimony, Judge Reinhardt also:</w:t>
      </w:r>
    </w:p>
    <w:p w14:paraId="3A8C5806" w14:textId="77777777" w:rsidR="00330A63" w:rsidRDefault="00330A63" w:rsidP="00330A63">
      <w:pPr>
        <w:pStyle w:val="List2"/>
      </w:pPr>
      <w:r>
        <w:t>referred to a gay female clerk as a “</w:t>
      </w:r>
      <w:proofErr w:type="spellStart"/>
      <w:r>
        <w:t>dykester</w:t>
      </w:r>
      <w:proofErr w:type="spellEnd"/>
      <w:proofErr w:type="gramStart"/>
      <w:r>
        <w:t>”;</w:t>
      </w:r>
      <w:proofErr w:type="gramEnd"/>
    </w:p>
    <w:p w14:paraId="3519B360" w14:textId="77777777" w:rsidR="00330A63" w:rsidRDefault="00330A63" w:rsidP="00330A63">
      <w:pPr>
        <w:pStyle w:val="List2"/>
      </w:pPr>
      <w:r>
        <w:t xml:space="preserve">made, both to Ms Warren alone and in front of others, frequent disparaging comments about Ms Warren’s personal </w:t>
      </w:r>
      <w:proofErr w:type="gramStart"/>
      <w:r>
        <w:t>appearance;</w:t>
      </w:r>
      <w:proofErr w:type="gramEnd"/>
    </w:p>
    <w:p w14:paraId="36033182" w14:textId="77777777" w:rsidR="00330A63" w:rsidRDefault="00330A63" w:rsidP="00330A63">
      <w:pPr>
        <w:pStyle w:val="List2"/>
      </w:pPr>
      <w:r>
        <w:t xml:space="preserve">said that he was surprised that she had a husband, as no man could be attracted to </w:t>
      </w:r>
      <w:proofErr w:type="gramStart"/>
      <w:r>
        <w:t>her;</w:t>
      </w:r>
      <w:proofErr w:type="gramEnd"/>
    </w:p>
    <w:p w14:paraId="338F1494" w14:textId="77777777" w:rsidR="00330A63" w:rsidRDefault="00330A63" w:rsidP="00330A63">
      <w:pPr>
        <w:pStyle w:val="List2"/>
      </w:pPr>
      <w:r>
        <w:t xml:space="preserve">speculated that her husband was gay, a wimp or lacked a penis, was likely impotent and that the marriage had not been </w:t>
      </w:r>
      <w:proofErr w:type="gramStart"/>
      <w:r>
        <w:t>consummated;</w:t>
      </w:r>
      <w:proofErr w:type="gramEnd"/>
      <w:r>
        <w:t xml:space="preserve"> </w:t>
      </w:r>
    </w:p>
    <w:p w14:paraId="13154F21" w14:textId="77777777" w:rsidR="00330A63" w:rsidRDefault="00330A63" w:rsidP="00330A63">
      <w:pPr>
        <w:pStyle w:val="List2"/>
      </w:pPr>
      <w:r>
        <w:t xml:space="preserve">criticised her physical appearance and “short” (by which he meant unattractive) </w:t>
      </w:r>
      <w:proofErr w:type="gramStart"/>
      <w:r>
        <w:t>stature;</w:t>
      </w:r>
      <w:proofErr w:type="gramEnd"/>
    </w:p>
    <w:p w14:paraId="338964E7" w14:textId="77777777" w:rsidR="00330A63" w:rsidRDefault="00330A63" w:rsidP="00330A63">
      <w:pPr>
        <w:pStyle w:val="List2"/>
      </w:pPr>
      <w:r>
        <w:t xml:space="preserve">expressed disbelief in allegations of sexual harassment.  He believed that women were liars who initially “wanted it” but subsequently changed their </w:t>
      </w:r>
      <w:proofErr w:type="gramStart"/>
      <w:r>
        <w:t>minds;</w:t>
      </w:r>
      <w:proofErr w:type="gramEnd"/>
      <w:r>
        <w:t xml:space="preserve"> </w:t>
      </w:r>
    </w:p>
    <w:p w14:paraId="38F0C96F" w14:textId="77777777" w:rsidR="00330A63" w:rsidRDefault="00330A63" w:rsidP="00330A63">
      <w:pPr>
        <w:pStyle w:val="List2"/>
      </w:pPr>
      <w:r>
        <w:t xml:space="preserve">stated that Ms Warren could not understand sexual harassment, as she was not </w:t>
      </w:r>
      <w:proofErr w:type="gramStart"/>
      <w:r>
        <w:t>attractive</w:t>
      </w:r>
      <w:proofErr w:type="gramEnd"/>
      <w:r>
        <w:t xml:space="preserve"> and her husband was not a real man;</w:t>
      </w:r>
    </w:p>
    <w:p w14:paraId="086C8729" w14:textId="49DC9572" w:rsidR="00330A63" w:rsidRDefault="00330A63" w:rsidP="00330A63">
      <w:pPr>
        <w:pStyle w:val="List2"/>
      </w:pPr>
      <w:r>
        <w:t>stated that women were not to be trusted and that he would not hire any more female clerks; and</w:t>
      </w:r>
    </w:p>
    <w:p w14:paraId="4689EF95" w14:textId="34FF86A1" w:rsidR="00330A63" w:rsidRDefault="00330A63" w:rsidP="00330A63">
      <w:pPr>
        <w:pStyle w:val="List2"/>
      </w:pPr>
      <w:r>
        <w:t xml:space="preserve">called Ms Warren a “stupid little girl”.  </w:t>
      </w:r>
    </w:p>
    <w:p w14:paraId="3AABA1A4" w14:textId="6DC45E88" w:rsidR="00330A63" w:rsidRDefault="00330A63" w:rsidP="00330A63">
      <w:pPr>
        <w:pStyle w:val="ListParagraph"/>
      </w:pPr>
      <w:r>
        <w:t xml:space="preserve">Ms Warren also stated that when allegations were made against Judge Alex </w:t>
      </w:r>
      <w:proofErr w:type="spellStart"/>
      <w:r>
        <w:t>Kozinski</w:t>
      </w:r>
      <w:proofErr w:type="spellEnd"/>
      <w:r>
        <w:t xml:space="preserve"> in 2017, Judge Reinhardt, (a close friend of Judge </w:t>
      </w:r>
      <w:proofErr w:type="spellStart"/>
      <w:r>
        <w:t>Kozinski</w:t>
      </w:r>
      <w:proofErr w:type="spellEnd"/>
      <w:r>
        <w:t>) was angered by and critical of the MeToo movement associated with the former’s exposure and resignation.</w:t>
      </w:r>
    </w:p>
    <w:p w14:paraId="6564F581" w14:textId="77777777" w:rsidR="00330A63" w:rsidRDefault="00330A63" w:rsidP="00330A63">
      <w:pPr>
        <w:pStyle w:val="ListParagraph"/>
      </w:pPr>
      <w:r>
        <w:t xml:space="preserve">Ms Warren confided in close friends and family, and a mentor about the judge’s conduct during her clerkship.  </w:t>
      </w:r>
    </w:p>
    <w:p w14:paraId="4A98C5C6" w14:textId="77777777" w:rsidR="00330A63" w:rsidRDefault="00330A63" w:rsidP="00330A63">
      <w:pPr>
        <w:pStyle w:val="ListParagraph"/>
      </w:pPr>
      <w:r>
        <w:t xml:space="preserve">Ms Warren stated that systemic barriers kept her from reporting her mistreatment by Judge Reinhardt even after reforms were adopted in the wake of Judge </w:t>
      </w:r>
      <w:proofErr w:type="spellStart"/>
      <w:r>
        <w:t>Kozinski’s</w:t>
      </w:r>
      <w:proofErr w:type="spellEnd"/>
      <w:r>
        <w:t xml:space="preserve"> resignation.</w:t>
      </w:r>
    </w:p>
    <w:p w14:paraId="61E81F89" w14:textId="77777777" w:rsidR="00330A63" w:rsidRDefault="00330A63" w:rsidP="00C23EB4">
      <w:pPr>
        <w:pStyle w:val="ListParagraph"/>
        <w:keepNext/>
      </w:pPr>
      <w:r>
        <w:lastRenderedPageBreak/>
        <w:t>Ms Warren stated:</w:t>
      </w:r>
    </w:p>
    <w:p w14:paraId="210EA61C" w14:textId="77777777" w:rsidR="00330A63" w:rsidRDefault="00330A63" w:rsidP="00330A63">
      <w:pPr>
        <w:pStyle w:val="Quote"/>
      </w:pPr>
      <w:r>
        <w:t xml:space="preserve">there are systemic barriers to reporting harassment and misconduct by judges that are unique to the legal profession and uniquely formidable in the context of the relationship between law clerk and judge.  The consequences of miscalculating the risk of possibly offending a judge are fraught with a peril that does not dissipate with time and can hang over </w:t>
      </w:r>
      <w:proofErr w:type="gramStart"/>
      <w:r>
        <w:t>ones</w:t>
      </w:r>
      <w:proofErr w:type="gramEnd"/>
      <w:r>
        <w:t xml:space="preserve"> entire professional career.  For a law clerk, at the precipice of his or her legal career, alienating a federal judge can spell doom for their life in the law.  And it is not only the judge him or herself from whom retribution is feared”.  </w:t>
      </w:r>
    </w:p>
    <w:p w14:paraId="4A0743C2" w14:textId="77777777" w:rsidR="00330A63" w:rsidRDefault="00330A63" w:rsidP="00FC47F0">
      <w:pPr>
        <w:pStyle w:val="ListParagraph"/>
      </w:pPr>
      <w:r>
        <w:t xml:space="preserve">Ms Warren explained that the judges, peers, friends and associates (for whom the </w:t>
      </w:r>
      <w:proofErr w:type="gramStart"/>
      <w:r>
        <w:t>judges</w:t>
      </w:r>
      <w:proofErr w:type="gramEnd"/>
      <w:r>
        <w:t xml:space="preserve"> reputation is inextricably intertwined with their own) “would wish to protect that reputation at all costs.</w:t>
      </w:r>
    </w:p>
    <w:p w14:paraId="23E21FC9" w14:textId="19DB1A7D" w:rsidR="007F2CC3" w:rsidRPr="004A215F" w:rsidRDefault="004A215F" w:rsidP="0004466F">
      <w:pPr>
        <w:pStyle w:val="ListParagraph"/>
      </w:pPr>
      <w:r w:rsidRPr="004A215F">
        <w:t xml:space="preserve">A group of over 70 of Judge Reinhardt’s former clerks issued a joint statement supporting Ms Warren.  </w:t>
      </w:r>
      <w:r w:rsidR="003B0377">
        <w:t xml:space="preserve">They </w:t>
      </w:r>
      <w:r w:rsidR="007F2CC3" w:rsidRPr="004A215F">
        <w:t>signed an open letter seeking new procedures for reporting workplace misconduct by judges and supervisors, as well as improved training on sexual harassment.  The signatories represented over half of Judge Reinhardt’s former law clerks.</w:t>
      </w:r>
    </w:p>
    <w:p w14:paraId="34EA2921" w14:textId="77777777" w:rsidR="007F2CC3" w:rsidRDefault="007F2CC3" w:rsidP="0004466F">
      <w:pPr>
        <w:pStyle w:val="ListParagraph"/>
      </w:pPr>
      <w:r>
        <w:t>The open letter stated that “we believe the clerk’s testimony that she experienced inappropriate conduct, including sexual harassment”.</w:t>
      </w:r>
    </w:p>
    <w:p w14:paraId="163898EE" w14:textId="20A3F3BE" w:rsidR="007F2CC3" w:rsidRDefault="007F2CC3" w:rsidP="0004466F">
      <w:pPr>
        <w:pStyle w:val="ListParagraph"/>
      </w:pPr>
      <w:r>
        <w:t xml:space="preserve">The letter praised Ms Warren’s courage, regretted that she did not feel secure to reach out to the network of Judge Reinhardt’s clerks, and urge that Title VIII Protections </w:t>
      </w:r>
      <w:r w:rsidR="00C75D15">
        <w:t>(anti</w:t>
      </w:r>
      <w:r w:rsidR="00C75D15">
        <w:noBreakHyphen/>
        <w:t xml:space="preserve">discrimination protections) </w:t>
      </w:r>
      <w:r>
        <w:t>should be extended to law clerks working in the judicial branch</w:t>
      </w:r>
      <w:r w:rsidR="00C75D15">
        <w:t>.</w:t>
      </w:r>
      <w:r>
        <w:t xml:space="preserve"> </w:t>
      </w:r>
    </w:p>
    <w:p w14:paraId="144F8FF2" w14:textId="77777777" w:rsidR="007F2CC3" w:rsidRDefault="007F2CC3" w:rsidP="0004466F">
      <w:pPr>
        <w:pStyle w:val="ListParagraph"/>
      </w:pPr>
      <w:r>
        <w:t xml:space="preserve">The letter stated that “some of us experienced or witnessed conduct in chambers that we would call sexist, workplace </w:t>
      </w:r>
      <w:proofErr w:type="gramStart"/>
      <w:r>
        <w:t>bullying</w:t>
      </w:r>
      <w:proofErr w:type="gramEnd"/>
      <w:r>
        <w:t xml:space="preserve"> or mistreatment and others did not”.</w:t>
      </w:r>
    </w:p>
    <w:p w14:paraId="1C6FAF49" w14:textId="0C5A66B9" w:rsidR="00A960C4" w:rsidRDefault="00A960C4" w:rsidP="00B95FE0">
      <w:pPr>
        <w:pStyle w:val="Heading2"/>
      </w:pPr>
      <w:bookmarkStart w:id="62" w:name="_Toc112606901"/>
      <w:r>
        <w:t xml:space="preserve">Conclusion on Reported </w:t>
      </w:r>
      <w:r w:rsidR="00B95FE0">
        <w:t>American Incidents</w:t>
      </w:r>
      <w:bookmarkEnd w:id="62"/>
    </w:p>
    <w:p w14:paraId="38311780" w14:textId="0A833B1C" w:rsidR="00B95FE0" w:rsidRDefault="00B95FE0" w:rsidP="00B95FE0">
      <w:pPr>
        <w:pStyle w:val="ListParagraph"/>
      </w:pPr>
      <w:r>
        <w:t>The reported and apparently undisputed allegations against the eminent American judges demonstrate the impact of many of the recognised risk factors for sexual harassment – the enormous power disparity</w:t>
      </w:r>
      <w:r w:rsidR="0062132C">
        <w:t>;</w:t>
      </w:r>
      <w:r>
        <w:t xml:space="preserve"> </w:t>
      </w:r>
      <w:r w:rsidR="00CA500B">
        <w:t>the extreme reverence for the distinguished judges</w:t>
      </w:r>
      <w:r w:rsidR="0062132C">
        <w:t>;</w:t>
      </w:r>
      <w:r w:rsidR="00CA500B">
        <w:t xml:space="preserve"> the isolation and segregation of the courts as workplaces</w:t>
      </w:r>
      <w:r w:rsidR="0062132C">
        <w:t>; and</w:t>
      </w:r>
      <w:r w:rsidR="00CA500B">
        <w:t xml:space="preserve"> the lack of any effective external restraint or curb upon “employees” who were so high value that they apparently did not accept that normal professional boundaries and protocols applied to them.  Such assumptions were apparently </w:t>
      </w:r>
      <w:r w:rsidR="000D0792">
        <w:t xml:space="preserve">reinforced by the widespread adulation of their clerks </w:t>
      </w:r>
      <w:r w:rsidR="000B37D9">
        <w:t xml:space="preserve">and </w:t>
      </w:r>
      <w:r w:rsidR="000D0792">
        <w:t>legal profession</w:t>
      </w:r>
      <w:r w:rsidR="000B37D9">
        <w:t>al</w:t>
      </w:r>
      <w:r w:rsidR="000D0792">
        <w:t xml:space="preserve">s, </w:t>
      </w:r>
      <w:r w:rsidR="000B37D9">
        <w:t xml:space="preserve">by whom </w:t>
      </w:r>
      <w:r w:rsidR="000D0792">
        <w:t xml:space="preserve">the judges’ </w:t>
      </w:r>
      <w:r w:rsidR="004C672A">
        <w:t xml:space="preserve">alleged </w:t>
      </w:r>
      <w:r w:rsidR="000D0792">
        <w:t>misconduct was mischaracterised as loveable eccentricity.</w:t>
      </w:r>
    </w:p>
    <w:p w14:paraId="018DC70E" w14:textId="0E708092" w:rsidR="000D0792" w:rsidRDefault="000D0792" w:rsidP="00B95FE0">
      <w:pPr>
        <w:pStyle w:val="ListParagraph"/>
      </w:pPr>
      <w:r>
        <w:lastRenderedPageBreak/>
        <w:t xml:space="preserve">The unique risk factors lay the extreme vulnerabilities of the Federal law clerks springing from the unparalleled special relationship </w:t>
      </w:r>
      <w:r w:rsidR="003828C4">
        <w:t>between judges and their associates.  The</w:t>
      </w:r>
      <w:r w:rsidR="000B37D9">
        <w:t> </w:t>
      </w:r>
      <w:r w:rsidR="003828C4">
        <w:t xml:space="preserve">inherent vulnerabilities of the relationship are exaggerated in the American federal context by </w:t>
      </w:r>
      <w:proofErr w:type="gramStart"/>
      <w:r w:rsidR="003828C4">
        <w:t>particular features</w:t>
      </w:r>
      <w:proofErr w:type="gramEnd"/>
      <w:r w:rsidR="003828C4">
        <w:t>, such as the status, qualifications and aspirations (universal to the associate cohort)</w:t>
      </w:r>
      <w:r w:rsidR="00C914E4">
        <w:t>,</w:t>
      </w:r>
      <w:r w:rsidR="001E6AF7">
        <w:t xml:space="preserve"> the institutionalised networking practices, the development of influential “armies” of linked former associates, the </w:t>
      </w:r>
      <w:r w:rsidR="00A320E9">
        <w:t>pecuniary premium and other high value benefits of service with identified judges and the consequent “make or break” power of the judge.</w:t>
      </w:r>
    </w:p>
    <w:p w14:paraId="6ADE28AD" w14:textId="04129ADF" w:rsidR="00A320E9" w:rsidRDefault="00A320E9" w:rsidP="00B95FE0">
      <w:pPr>
        <w:pStyle w:val="ListParagraph"/>
      </w:pPr>
      <w:r>
        <w:t xml:space="preserve">Other recognised patterns are clearly identifiable.  The </w:t>
      </w:r>
      <w:r w:rsidR="007C7DAF">
        <w:t>evolution of minor incivilities to more serious misconduct, the fine line between bullying and sexual harassment</w:t>
      </w:r>
      <w:r w:rsidR="000169B4">
        <w:t>, the multiplicity of targets and the development of disturbing “open secrets”.</w:t>
      </w:r>
    </w:p>
    <w:p w14:paraId="7C08AAC9" w14:textId="36161F2F" w:rsidR="001C4F3F" w:rsidRPr="00B95FE0" w:rsidRDefault="001C4F3F" w:rsidP="00B95FE0">
      <w:pPr>
        <w:pStyle w:val="ListParagraph"/>
      </w:pPr>
      <w:r>
        <w:t>It is unlikely that the open</w:t>
      </w:r>
      <w:r w:rsidR="00B67CF1">
        <w:t>,</w:t>
      </w:r>
      <w:r>
        <w:t xml:space="preserve"> persistent</w:t>
      </w:r>
      <w:r w:rsidR="00B67CF1">
        <w:t>,</w:t>
      </w:r>
      <w:r>
        <w:t xml:space="preserve"> </w:t>
      </w:r>
      <w:proofErr w:type="gramStart"/>
      <w:r>
        <w:t>unreasonable</w:t>
      </w:r>
      <w:proofErr w:type="gramEnd"/>
      <w:r>
        <w:t xml:space="preserve"> and extreme work demands </w:t>
      </w:r>
      <w:r w:rsidR="00943B4B">
        <w:t xml:space="preserve">allegedly </w:t>
      </w:r>
      <w:r>
        <w:t xml:space="preserve">imposed by </w:t>
      </w:r>
      <w:r w:rsidR="000B37D9">
        <w:t xml:space="preserve">the American </w:t>
      </w:r>
      <w:r>
        <w:t xml:space="preserve">judges would be tolerated in the Australian context.  Nor have the same patterns of networking, </w:t>
      </w:r>
      <w:proofErr w:type="gramStart"/>
      <w:r>
        <w:t>patronage</w:t>
      </w:r>
      <w:proofErr w:type="gramEnd"/>
      <w:r>
        <w:t xml:space="preserve"> and premiums for service amongst Australian associates yet d</w:t>
      </w:r>
      <w:r w:rsidR="00F156B5">
        <w:t>eveloped.  As stated, however, the Victorian arrangements for recruiting associates now ha</w:t>
      </w:r>
      <w:r w:rsidR="00A356A4">
        <w:t>ve</w:t>
      </w:r>
      <w:r w:rsidR="00F156B5">
        <w:t xml:space="preserve"> many similarities to that of the American </w:t>
      </w:r>
      <w:r w:rsidR="00095FEE">
        <w:t xml:space="preserve">Federal </w:t>
      </w:r>
      <w:r w:rsidR="00F156B5">
        <w:t>approach.</w:t>
      </w:r>
    </w:p>
    <w:p w14:paraId="759B0B3B" w14:textId="39107BB7" w:rsidR="007F2CC3" w:rsidRDefault="007F2CC3" w:rsidP="00EE1D45">
      <w:pPr>
        <w:pStyle w:val="Heading1"/>
      </w:pPr>
      <w:bookmarkStart w:id="63" w:name="_Toc105435511"/>
      <w:bookmarkStart w:id="64" w:name="_Toc112606902"/>
      <w:r>
        <w:t>The Substantiated Cases of Judicial Sexual Harassment in Australia</w:t>
      </w:r>
      <w:bookmarkStart w:id="65" w:name="_Hlk93251290"/>
      <w:bookmarkEnd w:id="63"/>
      <w:bookmarkEnd w:id="64"/>
    </w:p>
    <w:p w14:paraId="580ADF07" w14:textId="3D7EA4C0" w:rsidR="007F2CC3" w:rsidRDefault="007F2CC3" w:rsidP="0004466F">
      <w:pPr>
        <w:pStyle w:val="ListParagraph"/>
      </w:pPr>
      <w:r>
        <w:t>Substantiated cases of sexual harassment or similar misconduct by judges are rare in Australian courts.  The real prevalence is more difficult to assess because the conduct is frequently secret and unwitnessed, targets rarely complain and there is a lack of reliable comprehensive data or record keeping.</w:t>
      </w:r>
    </w:p>
    <w:p w14:paraId="341AEE7A" w14:textId="3E832008" w:rsidR="007F2CC3" w:rsidRDefault="007F2CC3" w:rsidP="0004466F">
      <w:pPr>
        <w:pStyle w:val="ListParagraph"/>
      </w:pPr>
      <w:r>
        <w:t>Whatever its prevalence, the impact of sexual harassment by a judge is potentially catastrophic, for the victim, for the judge, for the court and the wider community.</w:t>
      </w:r>
    </w:p>
    <w:p w14:paraId="083B9D7C" w14:textId="42455369" w:rsidR="007F2CC3" w:rsidRDefault="007F2CC3" w:rsidP="0004466F">
      <w:pPr>
        <w:pStyle w:val="ListParagraph"/>
      </w:pPr>
      <w:r>
        <w:t xml:space="preserve">There are now three Australian cases in which complaints of sexual harassment or similar misconduct have been formally investigated and substantiated:  </w:t>
      </w:r>
      <w:r w:rsidR="003B0377">
        <w:t>They concern judges</w:t>
      </w:r>
      <w:r w:rsidR="00A43B59">
        <w:t xml:space="preserve"> of the </w:t>
      </w:r>
      <w:r>
        <w:t>High Court of Australia, Federal Circuit and Family Court of Australia and the Supreme Court of Victoria.</w:t>
      </w:r>
    </w:p>
    <w:p w14:paraId="72154562" w14:textId="483F8D1B" w:rsidR="007F2CC3" w:rsidRDefault="007F2CC3" w:rsidP="00DB4AE1">
      <w:pPr>
        <w:pStyle w:val="ListParagraph"/>
      </w:pPr>
      <w:r>
        <w:t>There have been other unresolved incidents.  An additional</w:t>
      </w:r>
      <w:r w:rsidR="00A43B59">
        <w:t>, publicly reported</w:t>
      </w:r>
      <w:r>
        <w:t xml:space="preserve"> complaint against another Federal Circuit and Family Court judge </w:t>
      </w:r>
      <w:r w:rsidR="004501DD">
        <w:t xml:space="preserve">was </w:t>
      </w:r>
      <w:r>
        <w:t>not substantiated on investigation</w:t>
      </w:r>
      <w:r w:rsidR="004501DD">
        <w:t>,</w:t>
      </w:r>
      <w:r>
        <w:t xml:space="preserve"> but the judge subsequently resigned.  </w:t>
      </w:r>
      <w:r w:rsidR="00A43B59">
        <w:t xml:space="preserve">An </w:t>
      </w:r>
      <w:r>
        <w:t>investigation of complaints against a magistrate in South Australia</w:t>
      </w:r>
      <w:r w:rsidR="00A43B59">
        <w:t xml:space="preserve"> </w:t>
      </w:r>
      <w:r w:rsidR="002E6870">
        <w:t xml:space="preserve">by a judicial conduct panel </w:t>
      </w:r>
      <w:r w:rsidR="00A43B59">
        <w:t>is reportedly in progress</w:t>
      </w:r>
      <w:r>
        <w:t>.</w:t>
      </w:r>
      <w:r w:rsidR="00704B18">
        <w:rPr>
          <w:rFonts w:ascii="ZWAdobeF" w:hAnsi="ZWAdobeF" w:cs="ZWAdobeF"/>
          <w:sz w:val="2"/>
          <w:szCs w:val="2"/>
        </w:rPr>
        <w:t>81F</w:t>
      </w:r>
      <w:r w:rsidR="00757D9D">
        <w:rPr>
          <w:rStyle w:val="FootnoteReference"/>
        </w:rPr>
        <w:footnoteReference w:id="59"/>
      </w:r>
    </w:p>
    <w:p w14:paraId="3513A84E" w14:textId="5201B380" w:rsidR="007F2CC3" w:rsidRDefault="007F2CC3" w:rsidP="0004466F">
      <w:pPr>
        <w:pStyle w:val="ListParagraph"/>
      </w:pPr>
      <w:r>
        <w:lastRenderedPageBreak/>
        <w:t xml:space="preserve">As stated above, the Australian cases were preceded by </w:t>
      </w:r>
      <w:r w:rsidR="00E31D59">
        <w:t xml:space="preserve">the </w:t>
      </w:r>
      <w:r>
        <w:t xml:space="preserve">dismaying </w:t>
      </w:r>
      <w:r w:rsidR="008D4A1A">
        <w:t>allegations,</w:t>
      </w:r>
      <w:r>
        <w:t xml:space="preserve"> in the context of #MeToo, of two of America’s most venerated, </w:t>
      </w:r>
      <w:proofErr w:type="gramStart"/>
      <w:r>
        <w:t>influential</w:t>
      </w:r>
      <w:proofErr w:type="gramEnd"/>
      <w:r>
        <w:t xml:space="preserve"> and senior judges, </w:t>
      </w:r>
      <w:r w:rsidR="00CB7BCD">
        <w:t xml:space="preserve">Judges </w:t>
      </w:r>
      <w:proofErr w:type="spellStart"/>
      <w:r>
        <w:t>Kozinski</w:t>
      </w:r>
      <w:proofErr w:type="spellEnd"/>
      <w:r>
        <w:t xml:space="preserve"> and Reinhardt, which inspired Chief Justice Roberts to commission a Working Group.</w:t>
      </w:r>
      <w:r w:rsidR="00A22DB9">
        <w:t xml:space="preserve">  In contrast to the American instances, the Australian courts commissioned a full investigation of the allegations.  When the allegations were found to be substantiated, the Chief Justice of the relevant court apologised to the complainants.</w:t>
      </w:r>
    </w:p>
    <w:p w14:paraId="1B6FC25F" w14:textId="2BB9B4A0" w:rsidR="007F2CC3" w:rsidRPr="002E5866" w:rsidRDefault="007F2CC3" w:rsidP="0004466F">
      <w:pPr>
        <w:pStyle w:val="ListParagraph"/>
      </w:pPr>
      <w:r>
        <w:t>Whether alleged misconduct comes within the ambit of sexual harassment as statutorily defined is not of primary relevance in the case of judges.  Indeed, within many workplaces, people may be sanctioned, including with dismissal, for inappropriate sexualised behaviours (contrary to corporate policies incorporated into contracts of employment</w:t>
      </w:r>
      <w:r w:rsidR="00A356A4">
        <w:t>)</w:t>
      </w:r>
      <w:r>
        <w:t xml:space="preserve">, irrespective of whether the conduct constitutes sexual harassment within terms of the applicable legislation.  </w:t>
      </w:r>
      <w:r w:rsidRPr="002E5866">
        <w:t>Further, at the time of the conduct complained of in all three Australian instances</w:t>
      </w:r>
      <w:r w:rsidR="00D1676E" w:rsidRPr="002E5866">
        <w:t>,</w:t>
      </w:r>
      <w:r w:rsidRPr="002E5866">
        <w:t xml:space="preserve"> there was significant doubt as to whether the legislation did apply to judges.  </w:t>
      </w:r>
      <w:r w:rsidR="00804598" w:rsidRPr="002E5866">
        <w:t xml:space="preserve">As outlined above in this Report, amendments introduced have made the application clear following recommendations in the </w:t>
      </w:r>
      <w:proofErr w:type="spellStart"/>
      <w:r w:rsidR="00804598" w:rsidRPr="002E5866">
        <w:t>Respect@Work</w:t>
      </w:r>
      <w:proofErr w:type="spellEnd"/>
      <w:r w:rsidR="00804598" w:rsidRPr="002E5866">
        <w:t xml:space="preserve"> Report. </w:t>
      </w:r>
    </w:p>
    <w:p w14:paraId="754C607E" w14:textId="47F3FF44" w:rsidR="009D0215" w:rsidRPr="0043328B" w:rsidRDefault="009D0215" w:rsidP="00B24AB1">
      <w:pPr>
        <w:pStyle w:val="Heading1"/>
      </w:pPr>
      <w:bookmarkStart w:id="66" w:name="_Toc112606903"/>
      <w:r>
        <w:t xml:space="preserve">Observations </w:t>
      </w:r>
      <w:r w:rsidR="00F47EB3">
        <w:t>on the Australian Cases of inappropriate sexu</w:t>
      </w:r>
      <w:r w:rsidR="00480E14">
        <w:t>a</w:t>
      </w:r>
      <w:r w:rsidR="00F47EB3">
        <w:t>lised</w:t>
      </w:r>
      <w:r w:rsidR="00526BA6">
        <w:t xml:space="preserve"> conduct by judges</w:t>
      </w:r>
      <w:bookmarkEnd w:id="66"/>
    </w:p>
    <w:p w14:paraId="79EDC148" w14:textId="688923EE" w:rsidR="00577F58" w:rsidRDefault="00577F58" w:rsidP="00577F58">
      <w:pPr>
        <w:pStyle w:val="ListParagraph"/>
      </w:pPr>
      <w:r>
        <w:t>Although the investigations and reports on the three cases remain confidential, it is possible to learn something of the conduct complained of, because some of the complainants elected to go to the press or appear on television.  In one instance, the judge responded publicly.</w:t>
      </w:r>
    </w:p>
    <w:p w14:paraId="53982973" w14:textId="57A07F2D" w:rsidR="007F2CC3" w:rsidRPr="005432F2" w:rsidRDefault="007F2CC3" w:rsidP="001849EF">
      <w:pPr>
        <w:pStyle w:val="ListParagraph"/>
      </w:pPr>
      <w:r w:rsidRPr="005432F2">
        <w:t xml:space="preserve">The nature of the conduct </w:t>
      </w:r>
      <w:r w:rsidR="00A93C2F">
        <w:t xml:space="preserve">alleged </w:t>
      </w:r>
      <w:r w:rsidR="00CA17D0" w:rsidRPr="005432F2">
        <w:t xml:space="preserve">in the three substantiated Australian cases </w:t>
      </w:r>
      <w:r w:rsidRPr="005432F2">
        <w:t xml:space="preserve">was, broadly, as </w:t>
      </w:r>
      <w:r w:rsidR="00A93C2F">
        <w:t xml:space="preserve">publicly </w:t>
      </w:r>
      <w:r w:rsidRPr="005432F2">
        <w:t xml:space="preserve">reported </w:t>
      </w:r>
      <w:r w:rsidR="000645B3">
        <w:t xml:space="preserve">(in the High Court and Supreme Court cases) </w:t>
      </w:r>
      <w:r w:rsidRPr="005432F2">
        <w:t xml:space="preserve">seeking or giving unwanted kisses, </w:t>
      </w:r>
      <w:r w:rsidR="000645B3">
        <w:t xml:space="preserve">inappropriate comments, </w:t>
      </w:r>
      <w:r w:rsidRPr="005432F2">
        <w:t xml:space="preserve">invitations to </w:t>
      </w:r>
      <w:r w:rsidR="00CA17D0" w:rsidRPr="005432F2">
        <w:t>“one</w:t>
      </w:r>
      <w:r w:rsidR="004A4EA0">
        <w:noBreakHyphen/>
      </w:r>
      <w:r w:rsidR="00CA17D0" w:rsidRPr="005432F2">
        <w:t>on</w:t>
      </w:r>
      <w:r w:rsidR="004A4EA0">
        <w:noBreakHyphen/>
      </w:r>
      <w:r w:rsidR="00CA17D0" w:rsidRPr="005432F2">
        <w:t>one” meals in restaurants</w:t>
      </w:r>
      <w:r w:rsidR="00B85A11" w:rsidRPr="005432F2">
        <w:t xml:space="preserve">, </w:t>
      </w:r>
      <w:r w:rsidRPr="005432F2">
        <w:t>texting, asking for dates and solitary meetings</w:t>
      </w:r>
      <w:r w:rsidR="004074D8">
        <w:t xml:space="preserve"> and</w:t>
      </w:r>
      <w:r w:rsidRPr="005432F2">
        <w:t xml:space="preserve"> touching the target</w:t>
      </w:r>
      <w:r w:rsidR="00F45233" w:rsidRPr="005432F2">
        <w:t>’</w:t>
      </w:r>
      <w:r w:rsidRPr="005432F2">
        <w:t>s thighs</w:t>
      </w:r>
      <w:r w:rsidR="004074D8">
        <w:t xml:space="preserve">.  In the Federal Circuit Court case, the alleged conduct was </w:t>
      </w:r>
      <w:r w:rsidR="00B10FF3" w:rsidRPr="005432F2">
        <w:t xml:space="preserve">communicating in an unduly personal </w:t>
      </w:r>
      <w:r w:rsidR="00B10FF3">
        <w:t xml:space="preserve">and sexualised </w:t>
      </w:r>
      <w:r w:rsidR="00B10FF3" w:rsidRPr="005432F2">
        <w:t>manner</w:t>
      </w:r>
      <w:r w:rsidR="00B10FF3">
        <w:t xml:space="preserve"> and giving unwelcome hugs.</w:t>
      </w:r>
    </w:p>
    <w:p w14:paraId="0F7AFAD8" w14:textId="60257AA9" w:rsidR="007F2CC3" w:rsidRPr="005432F2" w:rsidRDefault="007F2CC3" w:rsidP="0004466F">
      <w:pPr>
        <w:pStyle w:val="ListParagraph"/>
      </w:pPr>
      <w:r w:rsidRPr="005432F2">
        <w:t xml:space="preserve">Some aspects of the conduct </w:t>
      </w:r>
      <w:r w:rsidR="00F45233" w:rsidRPr="005432F2">
        <w:t xml:space="preserve">(particularly indecent physical contact) </w:t>
      </w:r>
      <w:r w:rsidRPr="005432F2">
        <w:t>were denied.  If much was admitted, in all cases, the judge denied that it amounted to sexual harassment or other wrongdoing.</w:t>
      </w:r>
    </w:p>
    <w:p w14:paraId="18DF9318" w14:textId="7B75FEF6" w:rsidR="00264DD6" w:rsidRPr="005432F2" w:rsidRDefault="0039156B" w:rsidP="0004466F">
      <w:pPr>
        <w:pStyle w:val="ListParagraph"/>
      </w:pPr>
      <w:r w:rsidRPr="005432F2">
        <w:t xml:space="preserve">In the </w:t>
      </w:r>
      <w:proofErr w:type="spellStart"/>
      <w:r w:rsidRPr="005432F2">
        <w:t>Heydon</w:t>
      </w:r>
      <w:proofErr w:type="spellEnd"/>
      <w:r w:rsidRPr="005432F2">
        <w:t xml:space="preserve"> and Vickery cases, </w:t>
      </w:r>
      <w:r w:rsidR="001C361D" w:rsidRPr="005432F2">
        <w:t xml:space="preserve">the </w:t>
      </w:r>
      <w:r w:rsidR="00C50862" w:rsidRPr="005432F2">
        <w:t xml:space="preserve">complainants </w:t>
      </w:r>
      <w:r w:rsidR="001C361D" w:rsidRPr="005432F2">
        <w:t>were associates.</w:t>
      </w:r>
      <w:r w:rsidR="00C50862" w:rsidRPr="005432F2">
        <w:t xml:space="preserve">  In the </w:t>
      </w:r>
      <w:r w:rsidR="00A346A8" w:rsidRPr="005432F2">
        <w:t xml:space="preserve">Federal Circuit Court </w:t>
      </w:r>
      <w:r w:rsidR="00C50862" w:rsidRPr="005432F2">
        <w:t xml:space="preserve">case, the complainants were a </w:t>
      </w:r>
      <w:r w:rsidR="00FD14C9">
        <w:t xml:space="preserve">former </w:t>
      </w:r>
      <w:r w:rsidR="00C50862" w:rsidRPr="005432F2">
        <w:t xml:space="preserve">law student </w:t>
      </w:r>
      <w:r w:rsidR="00E742E5" w:rsidRPr="005432F2">
        <w:t xml:space="preserve">and a </w:t>
      </w:r>
      <w:r w:rsidR="002E1313">
        <w:t>junior female court employee.</w:t>
      </w:r>
    </w:p>
    <w:p w14:paraId="78E41A2D" w14:textId="51E80201" w:rsidR="00A17707" w:rsidRPr="005432F2" w:rsidRDefault="00A17707" w:rsidP="0004466F">
      <w:pPr>
        <w:pStyle w:val="ListParagraph"/>
      </w:pPr>
      <w:r w:rsidRPr="005432F2">
        <w:t xml:space="preserve">In all cases, there were multiple targets, who were all young, inexperienced </w:t>
      </w:r>
      <w:r w:rsidR="00224218" w:rsidRPr="005432F2">
        <w:t xml:space="preserve">professional </w:t>
      </w:r>
      <w:r w:rsidRPr="005432F2">
        <w:t>women at an early stage of their legal (or related) career.</w:t>
      </w:r>
    </w:p>
    <w:p w14:paraId="5608C5D0" w14:textId="34277175" w:rsidR="00986DFE" w:rsidRDefault="00A17707" w:rsidP="00767A52">
      <w:pPr>
        <w:pStyle w:val="ListParagraph"/>
      </w:pPr>
      <w:r w:rsidRPr="005432F2">
        <w:lastRenderedPageBreak/>
        <w:t xml:space="preserve">It is reported that in the case of the High Court justice, other justices knew nothing of the conduct, although the court is relatively small.  </w:t>
      </w:r>
      <w:r w:rsidR="00AA5BCF" w:rsidRPr="002442D6">
        <w:rPr>
          <w:lang w:val="en-US"/>
        </w:rPr>
        <w:t xml:space="preserve">There were, however, reports in June 2020 that two judges of the High Court came to know of reported misconduct against one of Justice </w:t>
      </w:r>
      <w:proofErr w:type="spellStart"/>
      <w:r w:rsidR="00AA5BCF" w:rsidRPr="002442D6">
        <w:rPr>
          <w:lang w:val="en-US"/>
        </w:rPr>
        <w:t>Heydon’s</w:t>
      </w:r>
      <w:proofErr w:type="spellEnd"/>
      <w:r w:rsidR="00AA5BCF" w:rsidRPr="002442D6">
        <w:rPr>
          <w:lang w:val="en-US"/>
        </w:rPr>
        <w:t xml:space="preserve"> associates in 2005, after an associate (who was not an associate of Justice </w:t>
      </w:r>
      <w:proofErr w:type="spellStart"/>
      <w:r w:rsidR="00AA5BCF" w:rsidRPr="002442D6">
        <w:rPr>
          <w:lang w:val="en-US"/>
        </w:rPr>
        <w:t>Heydon</w:t>
      </w:r>
      <w:proofErr w:type="spellEnd"/>
      <w:r w:rsidR="00AA5BCF" w:rsidRPr="002442D6">
        <w:rPr>
          <w:lang w:val="en-US"/>
        </w:rPr>
        <w:t xml:space="preserve">) told her judge of what one of Justice </w:t>
      </w:r>
      <w:proofErr w:type="spellStart"/>
      <w:r w:rsidR="00AA5BCF" w:rsidRPr="002442D6">
        <w:rPr>
          <w:lang w:val="en-US"/>
        </w:rPr>
        <w:t>Heydon’s</w:t>
      </w:r>
      <w:proofErr w:type="spellEnd"/>
      <w:r w:rsidR="00AA5BCF" w:rsidRPr="002442D6">
        <w:rPr>
          <w:lang w:val="en-US"/>
        </w:rPr>
        <w:t xml:space="preserve"> associates, who had been a target of offending conduct, had told her. </w:t>
      </w:r>
      <w:r w:rsidR="003641B5" w:rsidRPr="002442D6">
        <w:rPr>
          <w:lang w:val="en-US"/>
        </w:rPr>
        <w:t xml:space="preserve"> </w:t>
      </w:r>
      <w:r w:rsidRPr="005432F2">
        <w:t xml:space="preserve">In the other cases, </w:t>
      </w:r>
      <w:r w:rsidR="002179B7" w:rsidRPr="005432F2">
        <w:t xml:space="preserve">there are no reports </w:t>
      </w:r>
      <w:r w:rsidR="00F36C0C" w:rsidRPr="005432F2">
        <w:t xml:space="preserve">on whether other judges </w:t>
      </w:r>
      <w:r w:rsidR="00E266C5" w:rsidRPr="005432F2">
        <w:t xml:space="preserve">suspected or were aware of the conduct.  </w:t>
      </w:r>
      <w:r w:rsidR="004935F1">
        <w:t xml:space="preserve">While it is frequently asserted that </w:t>
      </w:r>
      <w:r w:rsidR="00986DFE" w:rsidRPr="00986DFE">
        <w:t>the inappropriate behaviour of a</w:t>
      </w:r>
      <w:r w:rsidR="00986DFE">
        <w:t xml:space="preserve"> </w:t>
      </w:r>
      <w:r w:rsidR="00986DFE" w:rsidRPr="00986DFE">
        <w:t xml:space="preserve">judge </w:t>
      </w:r>
      <w:r w:rsidR="004935F1">
        <w:t xml:space="preserve">is </w:t>
      </w:r>
      <w:r w:rsidR="00986DFE" w:rsidRPr="00986DFE">
        <w:t xml:space="preserve">an </w:t>
      </w:r>
      <w:r w:rsidR="00986DFE">
        <w:t>“</w:t>
      </w:r>
      <w:r w:rsidR="00986DFE" w:rsidRPr="00986DFE">
        <w:t>open secret</w:t>
      </w:r>
      <w:r w:rsidR="00986DFE">
        <w:t>”</w:t>
      </w:r>
      <w:r w:rsidR="00986DFE" w:rsidRPr="00986DFE">
        <w:t>, at least among some groups of staff</w:t>
      </w:r>
      <w:r w:rsidR="004935F1">
        <w:t xml:space="preserve">, </w:t>
      </w:r>
      <w:proofErr w:type="gramStart"/>
      <w:r w:rsidR="004935F1">
        <w:t>i</w:t>
      </w:r>
      <w:r w:rsidR="00986DFE" w:rsidRPr="00986DFE">
        <w:t>t would seem</w:t>
      </w:r>
      <w:r w:rsidR="00986DFE">
        <w:t xml:space="preserve"> </w:t>
      </w:r>
      <w:r w:rsidR="00986DFE" w:rsidRPr="00986DFE">
        <w:t>that other</w:t>
      </w:r>
      <w:proofErr w:type="gramEnd"/>
      <w:r w:rsidR="00986DFE" w:rsidRPr="00986DFE">
        <w:t xml:space="preserve"> judges are less likely than staff to know of the situation.</w:t>
      </w:r>
    </w:p>
    <w:p w14:paraId="2B30836F" w14:textId="55A65C2E" w:rsidR="007C4A37" w:rsidRPr="005432F2" w:rsidRDefault="00172DAF" w:rsidP="0004466F">
      <w:pPr>
        <w:pStyle w:val="ListParagraph"/>
      </w:pPr>
      <w:r w:rsidRPr="005432F2">
        <w:t xml:space="preserve">The </w:t>
      </w:r>
      <w:r w:rsidR="005B3BF1">
        <w:t xml:space="preserve">Australian </w:t>
      </w:r>
      <w:r w:rsidRPr="005432F2">
        <w:t xml:space="preserve">cases indicate many established risk factors </w:t>
      </w:r>
      <w:r w:rsidR="006C66E6">
        <w:t xml:space="preserve">that </w:t>
      </w:r>
      <w:r w:rsidR="00D9370E" w:rsidRPr="005432F2">
        <w:t>play a significant role in</w:t>
      </w:r>
      <w:r w:rsidR="006B5F65" w:rsidRPr="005432F2">
        <w:t xml:space="preserve"> </w:t>
      </w:r>
      <w:r w:rsidR="00D9370E" w:rsidRPr="005432F2">
        <w:t>pattern</w:t>
      </w:r>
      <w:r w:rsidR="005B3BF1">
        <w:t>s</w:t>
      </w:r>
      <w:r w:rsidR="00D9370E" w:rsidRPr="005432F2">
        <w:t xml:space="preserve"> of misconduct.  The judges </w:t>
      </w:r>
      <w:r w:rsidR="009A49BE" w:rsidRPr="005432F2">
        <w:t>were</w:t>
      </w:r>
      <w:r w:rsidR="006B5F65" w:rsidRPr="005432F2">
        <w:t xml:space="preserve"> classical</w:t>
      </w:r>
      <w:r w:rsidR="009A49BE" w:rsidRPr="005432F2">
        <w:t xml:space="preserve"> </w:t>
      </w:r>
      <w:r w:rsidR="006B5F65" w:rsidRPr="005432F2">
        <w:t>“</w:t>
      </w:r>
      <w:r w:rsidR="00D9370E" w:rsidRPr="005432F2">
        <w:t>high value employees</w:t>
      </w:r>
      <w:r w:rsidR="006B5F65" w:rsidRPr="005432F2">
        <w:t>”</w:t>
      </w:r>
      <w:r w:rsidR="00D9370E" w:rsidRPr="005432F2">
        <w:t xml:space="preserve"> who </w:t>
      </w:r>
      <w:r w:rsidR="00464D55">
        <w:t xml:space="preserve">may </w:t>
      </w:r>
      <w:r w:rsidR="00BD034E" w:rsidRPr="005432F2">
        <w:t xml:space="preserve">assume that </w:t>
      </w:r>
      <w:r w:rsidR="00CC7D06" w:rsidRPr="005432F2">
        <w:t xml:space="preserve">relevant policies </w:t>
      </w:r>
      <w:r w:rsidR="00BD034E" w:rsidRPr="005432F2">
        <w:t>and employment law</w:t>
      </w:r>
      <w:r w:rsidR="004C4CB7" w:rsidRPr="005432F2">
        <w:t>s</w:t>
      </w:r>
      <w:r w:rsidR="00BD034E" w:rsidRPr="005432F2">
        <w:t xml:space="preserve"> </w:t>
      </w:r>
      <w:r w:rsidR="008B1969">
        <w:t xml:space="preserve">do </w:t>
      </w:r>
      <w:r w:rsidR="00BD034E" w:rsidRPr="005432F2">
        <w:t>not apply to them</w:t>
      </w:r>
      <w:r w:rsidR="004C4CB7" w:rsidRPr="005432F2">
        <w:t>,</w:t>
      </w:r>
      <w:r w:rsidR="00BD034E" w:rsidRPr="005432F2">
        <w:t xml:space="preserve"> </w:t>
      </w:r>
      <w:r w:rsidR="004C4CB7" w:rsidRPr="005432F2">
        <w:t xml:space="preserve">so </w:t>
      </w:r>
      <w:r w:rsidR="00BD034E" w:rsidRPr="005432F2">
        <w:t xml:space="preserve">that they </w:t>
      </w:r>
      <w:r w:rsidR="008B1969">
        <w:t xml:space="preserve">have </w:t>
      </w:r>
      <w:r w:rsidR="00BD034E" w:rsidRPr="005432F2">
        <w:t xml:space="preserve">absolute power over </w:t>
      </w:r>
      <w:r w:rsidR="004C4CB7" w:rsidRPr="005432F2">
        <w:t xml:space="preserve">those working </w:t>
      </w:r>
      <w:r w:rsidR="00BD034E" w:rsidRPr="005432F2">
        <w:t>in chambers.</w:t>
      </w:r>
    </w:p>
    <w:p w14:paraId="55A15FFB" w14:textId="2F40C408" w:rsidR="00BD034E" w:rsidRPr="005432F2" w:rsidRDefault="00BD034E" w:rsidP="0004466F">
      <w:pPr>
        <w:pStyle w:val="ListParagraph"/>
      </w:pPr>
      <w:r w:rsidRPr="005432F2">
        <w:t xml:space="preserve">The unique vulnerability of associates (or similar staff) </w:t>
      </w:r>
      <w:r w:rsidR="005E20A1" w:rsidRPr="005432F2">
        <w:t xml:space="preserve">as a cohort is evident in all cases.  </w:t>
      </w:r>
      <w:r w:rsidR="00EB0A4F" w:rsidRPr="005432F2">
        <w:t xml:space="preserve">Targets </w:t>
      </w:r>
      <w:r w:rsidR="00EB0A4F">
        <w:t xml:space="preserve">are fearful </w:t>
      </w:r>
      <w:r w:rsidR="005E20A1" w:rsidRPr="005432F2">
        <w:t xml:space="preserve">to confront or report on a judge who could have them sacked and </w:t>
      </w:r>
      <w:r w:rsidR="004C4CB7" w:rsidRPr="005432F2">
        <w:t xml:space="preserve">could </w:t>
      </w:r>
      <w:r w:rsidR="005E20A1" w:rsidRPr="005432F2">
        <w:t>make or break their subsequent career.</w:t>
      </w:r>
    </w:p>
    <w:p w14:paraId="775FB196" w14:textId="49469B48" w:rsidR="005E20A1" w:rsidRPr="005432F2" w:rsidRDefault="00EB0A4F" w:rsidP="0004466F">
      <w:pPr>
        <w:pStyle w:val="ListParagraph"/>
      </w:pPr>
      <w:r>
        <w:t>T</w:t>
      </w:r>
      <w:r w:rsidR="005E20A1" w:rsidRPr="005432F2">
        <w:t xml:space="preserve">argets </w:t>
      </w:r>
      <w:r w:rsidR="00FB1A6B">
        <w:t>are</w:t>
      </w:r>
      <w:r w:rsidR="005E20A1" w:rsidRPr="005432F2">
        <w:t xml:space="preserve"> also very hesitant to </w:t>
      </w:r>
      <w:r w:rsidR="00F55AD5" w:rsidRPr="005432F2">
        <w:t xml:space="preserve">reveal </w:t>
      </w:r>
      <w:r w:rsidR="005E20A1" w:rsidRPr="005432F2">
        <w:t xml:space="preserve">their </w:t>
      </w:r>
      <w:r w:rsidR="00FB1A6B">
        <w:t xml:space="preserve">reluctance to respond to a </w:t>
      </w:r>
      <w:r w:rsidR="005E20A1" w:rsidRPr="005432F2">
        <w:t xml:space="preserve">judge’s personal, </w:t>
      </w:r>
      <w:proofErr w:type="gramStart"/>
      <w:r w:rsidR="005E20A1" w:rsidRPr="005432F2">
        <w:t>social</w:t>
      </w:r>
      <w:proofErr w:type="gramEnd"/>
      <w:r w:rsidR="005E20A1" w:rsidRPr="005432F2">
        <w:t xml:space="preserve"> or romantic overtures</w:t>
      </w:r>
      <w:r w:rsidR="00F55AD5" w:rsidRPr="005432F2">
        <w:t xml:space="preserve">.  They </w:t>
      </w:r>
      <w:r w:rsidR="00F27057">
        <w:t xml:space="preserve">may be </w:t>
      </w:r>
      <w:r w:rsidR="005E20A1" w:rsidRPr="005432F2">
        <w:t xml:space="preserve">paralysed with fear but compelled to feign </w:t>
      </w:r>
      <w:r w:rsidR="00F55AD5" w:rsidRPr="005432F2">
        <w:t xml:space="preserve">an </w:t>
      </w:r>
      <w:r w:rsidR="00F55485" w:rsidRPr="005432F2">
        <w:t xml:space="preserve">acquiescence </w:t>
      </w:r>
      <w:r w:rsidR="00F55AD5" w:rsidRPr="005432F2">
        <w:t xml:space="preserve">that </w:t>
      </w:r>
      <w:r w:rsidR="003C0C17" w:rsidRPr="005432F2">
        <w:t xml:space="preserve">they </w:t>
      </w:r>
      <w:r w:rsidR="00F27057">
        <w:t xml:space="preserve">do </w:t>
      </w:r>
      <w:r w:rsidR="003C0C17" w:rsidRPr="005432F2">
        <w:t>not feel.</w:t>
      </w:r>
    </w:p>
    <w:p w14:paraId="379D332F" w14:textId="2113EC12" w:rsidR="002E1EF1" w:rsidRPr="005432F2" w:rsidRDefault="006A23E3" w:rsidP="0004466F">
      <w:pPr>
        <w:pStyle w:val="ListParagraph"/>
      </w:pPr>
      <w:r>
        <w:t xml:space="preserve">One case reported to us </w:t>
      </w:r>
      <w:r w:rsidR="002E1EF1" w:rsidRPr="005432F2">
        <w:t>particular</w:t>
      </w:r>
      <w:r w:rsidR="0084541E" w:rsidRPr="005432F2">
        <w:t>ly</w:t>
      </w:r>
      <w:r w:rsidR="002E1EF1" w:rsidRPr="005432F2">
        <w:t xml:space="preserve"> highlights the deleterious effects of isolation and segregation.  The associate in question had no friends or buddies, was unfortunately without a fellow associate for much of the time</w:t>
      </w:r>
      <w:r w:rsidR="0084541E" w:rsidRPr="005432F2">
        <w:t xml:space="preserve"> and</w:t>
      </w:r>
      <w:r w:rsidR="002E1EF1" w:rsidRPr="005432F2">
        <w:t xml:space="preserve"> was obliged to attend circuit alone with the judge.  Her fellow </w:t>
      </w:r>
      <w:r w:rsidR="00AB3DAB" w:rsidRPr="005432F2">
        <w:t>associates were distant and disapproving due to the rumours of the sexual relationship with the judge and a subsequent judge specifically instructed her not to make friends.</w:t>
      </w:r>
    </w:p>
    <w:p w14:paraId="18FDB658" w14:textId="750577B4" w:rsidR="00AB3DAB" w:rsidRPr="005432F2" w:rsidRDefault="00AB3DAB" w:rsidP="0004466F">
      <w:pPr>
        <w:pStyle w:val="ListParagraph"/>
      </w:pPr>
      <w:r w:rsidRPr="005432F2">
        <w:t>The associate was so isolated that she was unknown to other judges, who therefore may not have understood</w:t>
      </w:r>
      <w:r w:rsidR="006A23E3">
        <w:t xml:space="preserve"> the implications when a judge publicly embraced the associate.</w:t>
      </w:r>
      <w:r w:rsidRPr="005432F2">
        <w:t xml:space="preserve">  She thus was not assisted by any bystander or intervening judge and felt totally dependent on the judge</w:t>
      </w:r>
      <w:r w:rsidR="008527B8" w:rsidRPr="005432F2">
        <w:t xml:space="preserve"> </w:t>
      </w:r>
      <w:r w:rsidR="001977B0">
        <w:t xml:space="preserve">for </w:t>
      </w:r>
      <w:r w:rsidR="008527B8" w:rsidRPr="005432F2">
        <w:t xml:space="preserve">whom she </w:t>
      </w:r>
      <w:r w:rsidR="001977B0">
        <w:t>worked.</w:t>
      </w:r>
    </w:p>
    <w:p w14:paraId="518BA4B0" w14:textId="479951C6" w:rsidR="008527B8" w:rsidRPr="005432F2" w:rsidRDefault="008527B8" w:rsidP="0004466F">
      <w:pPr>
        <w:pStyle w:val="ListParagraph"/>
      </w:pPr>
      <w:r w:rsidRPr="005432F2">
        <w:t xml:space="preserve">It is highly improbable </w:t>
      </w:r>
      <w:r w:rsidR="00F0293A" w:rsidRPr="005432F2">
        <w:t xml:space="preserve">that judicial misconduct </w:t>
      </w:r>
      <w:r w:rsidR="0084541E" w:rsidRPr="005432F2">
        <w:t xml:space="preserve">that occurred in that case </w:t>
      </w:r>
      <w:r w:rsidR="00F0293A" w:rsidRPr="005432F2">
        <w:t>could now play out in the same way, given the many measures and safeguards that have</w:t>
      </w:r>
      <w:r w:rsidR="006C593D" w:rsidRPr="005432F2">
        <w:t xml:space="preserve"> already</w:t>
      </w:r>
      <w:r w:rsidR="00F0293A" w:rsidRPr="005432F2">
        <w:t xml:space="preserve"> been introduced.</w:t>
      </w:r>
    </w:p>
    <w:p w14:paraId="63AB6BEA" w14:textId="34BFF8FE" w:rsidR="00F0293A" w:rsidRPr="005432F2" w:rsidRDefault="00F0293A" w:rsidP="0004466F">
      <w:pPr>
        <w:pStyle w:val="ListParagraph"/>
      </w:pPr>
      <w:r w:rsidRPr="005432F2">
        <w:t xml:space="preserve">One </w:t>
      </w:r>
      <w:r w:rsidR="0084541E" w:rsidRPr="005432F2">
        <w:t xml:space="preserve">retired </w:t>
      </w:r>
      <w:r w:rsidRPr="005432F2">
        <w:t xml:space="preserve">judge when interviewed, acknowledged that he probably would not have made any inquiry had he witnessed the public </w:t>
      </w:r>
      <w:r w:rsidR="00F27057">
        <w:t>embrace</w:t>
      </w:r>
      <w:r w:rsidRPr="005432F2">
        <w:t xml:space="preserve"> at the time.  He </w:t>
      </w:r>
      <w:r w:rsidR="0084541E" w:rsidRPr="005432F2">
        <w:t xml:space="preserve">observed </w:t>
      </w:r>
      <w:r w:rsidRPr="005432F2">
        <w:t xml:space="preserve">that he </w:t>
      </w:r>
      <w:r w:rsidR="0084541E" w:rsidRPr="005432F2">
        <w:t xml:space="preserve">would </w:t>
      </w:r>
      <w:r w:rsidRPr="005432F2">
        <w:t xml:space="preserve">not have known </w:t>
      </w:r>
      <w:r w:rsidR="004B225D" w:rsidRPr="005432F2">
        <w:t xml:space="preserve">that the young woman </w:t>
      </w:r>
      <w:r w:rsidR="008019B7" w:rsidRPr="005432F2">
        <w:t>was a staff member</w:t>
      </w:r>
      <w:r w:rsidR="0084541E" w:rsidRPr="005432F2">
        <w:t>,</w:t>
      </w:r>
      <w:r w:rsidR="008019B7" w:rsidRPr="005432F2">
        <w:t xml:space="preserve"> as opposed to the judge’s partner.  </w:t>
      </w:r>
      <w:r w:rsidR="008019B7" w:rsidRPr="005432F2">
        <w:lastRenderedPageBreak/>
        <w:t>If</w:t>
      </w:r>
      <w:r w:rsidR="0000159B" w:rsidRPr="005432F2">
        <w:t> </w:t>
      </w:r>
      <w:r w:rsidR="008019B7" w:rsidRPr="005432F2">
        <w:t>he had known that the target was an associate</w:t>
      </w:r>
      <w:r w:rsidR="0084541E" w:rsidRPr="005432F2">
        <w:t>,</w:t>
      </w:r>
      <w:r w:rsidR="008019B7" w:rsidRPr="005432F2">
        <w:t xml:space="preserve"> he may still not have acted</w:t>
      </w:r>
      <w:r w:rsidR="00307906" w:rsidRPr="005432F2">
        <w:t>,</w:t>
      </w:r>
      <w:r w:rsidR="008019B7" w:rsidRPr="005432F2">
        <w:t xml:space="preserve"> as </w:t>
      </w:r>
      <w:r w:rsidR="0084541E" w:rsidRPr="005432F2">
        <w:t xml:space="preserve">at the time, </w:t>
      </w:r>
      <w:r w:rsidR="008019B7" w:rsidRPr="005432F2">
        <w:t>it would have seemed officious.  The retired judge stated that he would now</w:t>
      </w:r>
      <w:r w:rsidR="00325671" w:rsidRPr="005432F2">
        <w:t xml:space="preserve"> act differently</w:t>
      </w:r>
      <w:r w:rsidR="008019B7" w:rsidRPr="005432F2">
        <w:t xml:space="preserve">, in the light of </w:t>
      </w:r>
      <w:r w:rsidR="00325671" w:rsidRPr="005432F2">
        <w:t xml:space="preserve">current awareness of the problem of sexual harassment.  He would </w:t>
      </w:r>
      <w:r w:rsidR="008019B7" w:rsidRPr="005432F2">
        <w:t>make inquiries and follow up on such an occurrence.</w:t>
      </w:r>
    </w:p>
    <w:p w14:paraId="79594CE0" w14:textId="5A2CCAD2" w:rsidR="00307906" w:rsidRDefault="00307906" w:rsidP="0004466F">
      <w:pPr>
        <w:pStyle w:val="ListParagraph"/>
      </w:pPr>
      <w:r w:rsidRPr="005432F2">
        <w:t>Clearly, Victorian courts are in the process of a cultural transition, but many of the fundamental risk factors for sexual harassment by judges remain entrenched.</w:t>
      </w:r>
    </w:p>
    <w:p w14:paraId="7030669B" w14:textId="77777777" w:rsidR="00577F58" w:rsidRDefault="00577F58" w:rsidP="00577F58">
      <w:pPr>
        <w:pStyle w:val="Heading1"/>
      </w:pPr>
      <w:bookmarkStart w:id="67" w:name="_Toc112606904"/>
      <w:r>
        <w:t>A positive outcome from a bystander report coupled with prompt intervention by another judge</w:t>
      </w:r>
      <w:bookmarkEnd w:id="67"/>
    </w:p>
    <w:p w14:paraId="0BDD2E37" w14:textId="42F1C8F7" w:rsidR="00577F58" w:rsidRDefault="00577F58" w:rsidP="00577F58">
      <w:pPr>
        <w:pStyle w:val="ListParagraph"/>
      </w:pPr>
      <w:r>
        <w:rPr>
          <w:lang w:val="en-US"/>
        </w:rPr>
        <w:t>During our consultations, we spoke with a person known to us who had worked as an associate</w:t>
      </w:r>
      <w:r w:rsidR="00A207BD">
        <w:rPr>
          <w:lang w:val="en-US"/>
        </w:rPr>
        <w:t xml:space="preserve"> </w:t>
      </w:r>
      <w:r>
        <w:rPr>
          <w:lang w:val="en-US"/>
        </w:rPr>
        <w:t>(Associate A).</w:t>
      </w:r>
    </w:p>
    <w:p w14:paraId="3F42A8A8" w14:textId="77777777" w:rsidR="00577F58" w:rsidRDefault="00577F58" w:rsidP="00577F58">
      <w:pPr>
        <w:pStyle w:val="ListParagraph"/>
        <w:keepNext/>
      </w:pPr>
      <w:r>
        <w:t>Associate A recounted that:</w:t>
      </w:r>
    </w:p>
    <w:p w14:paraId="7B4D031A" w14:textId="77777777" w:rsidR="00577F58" w:rsidRDefault="00577F58" w:rsidP="00577F58">
      <w:pPr>
        <w:pStyle w:val="List2"/>
      </w:pPr>
      <w:r>
        <w:rPr>
          <w:lang w:val="en-US"/>
        </w:rPr>
        <w:t xml:space="preserve">She worked with a judge aged in his late 60s who occupied a senior role at the </w:t>
      </w:r>
      <w:proofErr w:type="gramStart"/>
      <w:r>
        <w:rPr>
          <w:lang w:val="en-US"/>
        </w:rPr>
        <w:t>court, and</w:t>
      </w:r>
      <w:proofErr w:type="gramEnd"/>
      <w:r>
        <w:rPr>
          <w:lang w:val="en-US"/>
        </w:rPr>
        <w:t xml:space="preserve"> was harassed by a different judge in the course of her employment.</w:t>
      </w:r>
    </w:p>
    <w:p w14:paraId="547D06FD" w14:textId="77777777" w:rsidR="00577F58" w:rsidRDefault="00577F58" w:rsidP="00577F58">
      <w:pPr>
        <w:pStyle w:val="List2"/>
      </w:pPr>
      <w:r>
        <w:t>The sexual harassment was ongoing.  Associate A had a lot of contact with the relevant judge.  It got to the point where he asked Associate A if she would like a sexual relationship with him – he was in his late 50s, and she was in her early 20s.</w:t>
      </w:r>
    </w:p>
    <w:p w14:paraId="5B81EC34" w14:textId="77777777" w:rsidR="00577F58" w:rsidRDefault="00577F58" w:rsidP="00577F58">
      <w:pPr>
        <w:pStyle w:val="List2"/>
      </w:pPr>
      <w:r>
        <w:t>Associate A tried to “bat him away”.  At a dinner, however, the harassment became obvious to other judges in attendance.  They could tell he was over-</w:t>
      </w:r>
      <w:proofErr w:type="gramStart"/>
      <w:r>
        <w:t>friendly</w:t>
      </w:r>
      <w:proofErr w:type="gramEnd"/>
      <w:r>
        <w:t xml:space="preserve"> and that Associate A was uncomfortable.  A female judge noticed it – she reported her concerns to Associate A’s judge, who raised it with her and had a “one</w:t>
      </w:r>
      <w:r>
        <w:noBreakHyphen/>
        <w:t>on</w:t>
      </w:r>
      <w:r>
        <w:noBreakHyphen/>
        <w:t>one” talk with her.  Associate A was upset and had to take a few days off.  He asked Associate A what she wanted to do – how to handle it – whether by a formal complaint or otherwise.</w:t>
      </w:r>
    </w:p>
    <w:p w14:paraId="224F6DFE" w14:textId="77777777" w:rsidR="00577F58" w:rsidRDefault="00577F58" w:rsidP="00577F58">
      <w:pPr>
        <w:pStyle w:val="List2"/>
      </w:pPr>
      <w:r>
        <w:t xml:space="preserve">Associate A said that a complainant should be able to choose a formal complaint process or an alternative.  Associate A simply wanted the conduct to stop and for the judge concerned not to be working with other young women. </w:t>
      </w:r>
    </w:p>
    <w:p w14:paraId="5C3B80B7" w14:textId="77777777" w:rsidR="00577F58" w:rsidRDefault="00577F58" w:rsidP="00577F58">
      <w:pPr>
        <w:pStyle w:val="List2"/>
      </w:pPr>
      <w:r>
        <w:t xml:space="preserve">The offending judge did realise what he had done.  Associate A’s judge met him, took him on and told him that other judges were aware of his conduct.  He was embarrassed.  </w:t>
      </w:r>
    </w:p>
    <w:p w14:paraId="71C5C558" w14:textId="77777777" w:rsidR="00577F58" w:rsidRDefault="00577F58" w:rsidP="00577F58">
      <w:pPr>
        <w:pStyle w:val="List2"/>
      </w:pPr>
      <w:r>
        <w:t>Associate A said that there was basically no supervision of judges’ conduct towards associates because they worked “one</w:t>
      </w:r>
      <w:r>
        <w:noBreakHyphen/>
        <w:t>on</w:t>
      </w:r>
      <w:r>
        <w:noBreakHyphen/>
        <w:t>one”.</w:t>
      </w:r>
    </w:p>
    <w:p w14:paraId="4B30AB24" w14:textId="77777777" w:rsidR="00577F58" w:rsidRDefault="00577F58" w:rsidP="00577F58">
      <w:pPr>
        <w:pStyle w:val="List2"/>
      </w:pPr>
      <w:r>
        <w:t>Associate A did not want to be in the same room with the offending judge or have email contact.  The judge did not stay in the same position – he was moved so he no longer had contact with her.</w:t>
      </w:r>
    </w:p>
    <w:p w14:paraId="25226CC1" w14:textId="77777777" w:rsidR="00577F58" w:rsidRDefault="00577F58" w:rsidP="00577F58">
      <w:pPr>
        <w:pStyle w:val="List2"/>
      </w:pPr>
      <w:r>
        <w:rPr>
          <w:lang w:val="en-US"/>
        </w:rPr>
        <w:lastRenderedPageBreak/>
        <w:t>Associate A’s employer had nothing to do with this process.  In practical terms, her employer was a “token” employer who paid Associate A and did little else.  Associate A did not want human resources to be told as she felt she would have then lost control over the process.</w:t>
      </w:r>
    </w:p>
    <w:p w14:paraId="34B2F870" w14:textId="77777777" w:rsidR="00577F58" w:rsidRDefault="00577F58" w:rsidP="00577F58">
      <w:pPr>
        <w:pStyle w:val="List2"/>
      </w:pPr>
      <w:r>
        <w:t xml:space="preserve">It was a relief to Associate A that her judge broached it with her.  She regretted not telling him beforehand. </w:t>
      </w:r>
    </w:p>
    <w:p w14:paraId="50F1AFBC" w14:textId="77777777" w:rsidR="00577F58" w:rsidRDefault="00577F58" w:rsidP="00577F58">
      <w:pPr>
        <w:pStyle w:val="List2"/>
      </w:pPr>
      <w:r>
        <w:rPr>
          <w:lang w:val="en-US"/>
        </w:rPr>
        <w:t>Associate A observed that most people who suffer this treatment (sexual harassment) just resign.  Her “feisty” judge de-escalated the problem.  To address sexual harassment, she recommended that surveys be conducted of the last five clerks who worked for each judge and those clerks be asked to provide anonymous feedback.</w:t>
      </w:r>
    </w:p>
    <w:p w14:paraId="62EFB156" w14:textId="77777777" w:rsidR="00577F58" w:rsidRDefault="00577F58" w:rsidP="00577F58">
      <w:pPr>
        <w:pStyle w:val="ListParagraph"/>
      </w:pPr>
      <w:r>
        <w:t>Associate A’s narrative is especially interesting because it provides an encouraging example of how a bystander communication (where the bystander was a judge), coupled with active intervention by a fellow judge, short</w:t>
      </w:r>
      <w:r>
        <w:noBreakHyphen/>
        <w:t>circuited a problem which could have escalated with very grave outcomes for both the associate and erring judicial officer.</w:t>
      </w:r>
    </w:p>
    <w:p w14:paraId="20731B9E" w14:textId="77777777" w:rsidR="00577F58" w:rsidRDefault="00577F58" w:rsidP="00577F58">
      <w:pPr>
        <w:pStyle w:val="ListParagraph"/>
      </w:pPr>
      <w:r>
        <w:t xml:space="preserve">It also eloquently underscores how embedded is the reluctance of an associate to complain about the conduct of a judicial officer, even when the associate is working for another judge in whom she has total confidence.  It also demonstrates the desirability of taking steps to ensure that associates, other chambers staff and people working closely with judges are known to, at least some other judges.  Unless the social segregation of chambers staff can be reduced, it is improbable that inappropriate behaviour will be witnessed by a person who has both sufficient context and familiarity with the principals to interpret it, coupled with the power, </w:t>
      </w:r>
      <w:proofErr w:type="gramStart"/>
      <w:r>
        <w:t>status</w:t>
      </w:r>
      <w:proofErr w:type="gramEnd"/>
      <w:r>
        <w:t xml:space="preserve"> and authority to effectively intervene, or at least to communicate the problem to such a person.</w:t>
      </w:r>
    </w:p>
    <w:p w14:paraId="7AF73B09" w14:textId="77777777" w:rsidR="00577F58" w:rsidRDefault="00577F58" w:rsidP="00577F58">
      <w:pPr>
        <w:pStyle w:val="ListParagraph"/>
      </w:pPr>
      <w:r>
        <w:t>The outcome in the above case was very positive (given that inappropriate conduct had already occurred).  The target was not subjected to the potentially terrifying ordeal of lodging a formal complaint.  The inappropriate conduct and all unwanted contacted by the judge stopped forthwith.  The erring judge was moved from the committee on which he interacted with the associate, while the associate maintained her position.  She did not suffer any further detriment.</w:t>
      </w:r>
    </w:p>
    <w:p w14:paraId="79A0C2C6" w14:textId="77777777" w:rsidR="00577F58" w:rsidRDefault="00577F58" w:rsidP="00577F58">
      <w:pPr>
        <w:pStyle w:val="ListParagraph"/>
      </w:pPr>
      <w:r>
        <w:t>The associate was left in control of the process.  “Her” judge inquired whether the witnessing judge’s concerns were well</w:t>
      </w:r>
      <w:r>
        <w:noBreakHyphen/>
        <w:t>founded and although distressed, Associate A was then able to confide in him.  Her judge asked her how she wanted the matter handled and conscientiously observed her wishes.</w:t>
      </w:r>
    </w:p>
    <w:p w14:paraId="275D2589" w14:textId="31CA1798" w:rsidR="00577F58" w:rsidRDefault="00577F58" w:rsidP="00577F58">
      <w:pPr>
        <w:pStyle w:val="ListParagraph"/>
      </w:pPr>
      <w:r>
        <w:lastRenderedPageBreak/>
        <w:t xml:space="preserve">He took the matter so seriously that he at once </w:t>
      </w:r>
      <w:r w:rsidR="00E76705">
        <w:t xml:space="preserve">travelled </w:t>
      </w:r>
      <w:r>
        <w:t xml:space="preserve">to another city </w:t>
      </w:r>
      <w:proofErr w:type="gramStart"/>
      <w:r>
        <w:t>in order to</w:t>
      </w:r>
      <w:proofErr w:type="gramEnd"/>
      <w:r>
        <w:t xml:space="preserve"> confront the erring judge.  The latter was remorseful, </w:t>
      </w:r>
      <w:proofErr w:type="gramStart"/>
      <w:r>
        <w:t>compliant</w:t>
      </w:r>
      <w:proofErr w:type="gramEnd"/>
      <w:r>
        <w:t xml:space="preserve"> and shamed by the realisation that other judges were aware of his inappropriate conduct.</w:t>
      </w:r>
    </w:p>
    <w:p w14:paraId="3B75B922" w14:textId="77777777" w:rsidR="00577F58" w:rsidRDefault="00577F58" w:rsidP="00577F58">
      <w:pPr>
        <w:pStyle w:val="ListParagraph"/>
      </w:pPr>
      <w:r>
        <w:t xml:space="preserve">It is apparent that the witnessing judge did not feel able to confront the harassing judge herself.  There may be many cases when the witness, even if a judge, is not prepared to do so, either because he or she lacks the seniority or </w:t>
      </w:r>
      <w:proofErr w:type="gramStart"/>
      <w:r>
        <w:t>status, or</w:t>
      </w:r>
      <w:proofErr w:type="gramEnd"/>
      <w:r>
        <w:t xml:space="preserve"> feels uncomfortable for other reasons.  The witnessing judge nevertheless passed her concerns on to someone who possessed the confidence of, and ability to question, the target.  He also had the status and confidence to confront the errant judge.</w:t>
      </w:r>
    </w:p>
    <w:p w14:paraId="2E4C2851" w14:textId="77777777" w:rsidR="00577F58" w:rsidRDefault="00577F58" w:rsidP="00577F58">
      <w:pPr>
        <w:pStyle w:val="ListParagraph"/>
      </w:pPr>
      <w:proofErr w:type="gramStart"/>
      <w:r>
        <w:t>It is clear that the</w:t>
      </w:r>
      <w:proofErr w:type="gramEnd"/>
      <w:r>
        <w:t xml:space="preserve"> witness need not be a judge in order to achieve a similar outcome.  It does, however, seem that the early involvement of a judge of sufficient status, who is willing forcefully to intervene, is essential to a de</w:t>
      </w:r>
      <w:r>
        <w:noBreakHyphen/>
        <w:t>escalating, informal and effective intervention.</w:t>
      </w:r>
    </w:p>
    <w:p w14:paraId="036DB3D5" w14:textId="4FFC1A96" w:rsidR="00577F58" w:rsidRPr="005432F2" w:rsidRDefault="00577F58" w:rsidP="00577F58">
      <w:pPr>
        <w:pStyle w:val="ListParagraph"/>
      </w:pPr>
      <w:r>
        <w:t>As discussed below, we consider that one or more staff judges with suitable backgrounds and some appropriate training could be designated to receive expressions of concern from witnesses or indeed targets of potentially unwelcome conduct.</w:t>
      </w:r>
    </w:p>
    <w:p w14:paraId="42F10C81" w14:textId="6A65DB41" w:rsidR="00826C3B" w:rsidRDefault="00D81E72" w:rsidP="00B7605E">
      <w:pPr>
        <w:pStyle w:val="Heading1"/>
      </w:pPr>
      <w:bookmarkStart w:id="68" w:name="_Toc112606905"/>
      <w:bookmarkEnd w:id="65"/>
      <w:r>
        <w:t xml:space="preserve">The </w:t>
      </w:r>
      <w:r w:rsidR="00BC5739">
        <w:t>C</w:t>
      </w:r>
      <w:r>
        <w:t>auses and Drivers of Sexual Harassment</w:t>
      </w:r>
      <w:bookmarkEnd w:id="68"/>
    </w:p>
    <w:p w14:paraId="46A3BCD1" w14:textId="1C8FB770" w:rsidR="002F6F7F" w:rsidRPr="002F6F7F" w:rsidRDefault="002F6F7F" w:rsidP="00B7605E">
      <w:pPr>
        <w:pStyle w:val="Heading2"/>
      </w:pPr>
      <w:bookmarkStart w:id="69" w:name="_Toc112606906"/>
      <w:r>
        <w:t>Szoke Report</w:t>
      </w:r>
      <w:bookmarkEnd w:id="69"/>
    </w:p>
    <w:p w14:paraId="654C9392" w14:textId="227097F3" w:rsidR="00BD33BD" w:rsidRDefault="00BD33BD" w:rsidP="004049DA">
      <w:pPr>
        <w:pStyle w:val="ListParagraph"/>
        <w:keepNext/>
      </w:pPr>
      <w:r>
        <w:t>The Szoke Report identified the drivers of sexual harassment as follows:</w:t>
      </w:r>
      <w:r w:rsidR="00813C2A">
        <w:rPr>
          <w:rFonts w:ascii="ZWAdobeF" w:hAnsi="ZWAdobeF" w:cs="ZWAdobeF"/>
          <w:sz w:val="2"/>
          <w:szCs w:val="2"/>
        </w:rPr>
        <w:t>62F</w:t>
      </w:r>
      <w:r w:rsidR="00704B18">
        <w:rPr>
          <w:rFonts w:ascii="ZWAdobeF" w:hAnsi="ZWAdobeF" w:cs="ZWAdobeF"/>
          <w:sz w:val="2"/>
          <w:szCs w:val="2"/>
        </w:rPr>
        <w:t>83F</w:t>
      </w:r>
      <w:r w:rsidR="000E311D">
        <w:rPr>
          <w:rStyle w:val="FootnoteReference"/>
        </w:rPr>
        <w:footnoteReference w:id="60"/>
      </w:r>
    </w:p>
    <w:p w14:paraId="431D7738" w14:textId="420CE923" w:rsidR="00D444AD" w:rsidRDefault="00D444AD" w:rsidP="004049DA">
      <w:pPr>
        <w:pStyle w:val="List2"/>
      </w:pPr>
      <w:r w:rsidRPr="00FA280F">
        <w:rPr>
          <w:b/>
          <w:bCs/>
        </w:rPr>
        <w:t>Gender Inequality</w:t>
      </w:r>
      <w:r>
        <w:t xml:space="preserve">:  </w:t>
      </w:r>
      <w:proofErr w:type="gramStart"/>
      <w:r>
        <w:t>the</w:t>
      </w:r>
      <w:proofErr w:type="gramEnd"/>
      <w:r>
        <w:t xml:space="preserve"> Report identified gender inequality (unequal power between men and women in society) as the central driver of sexual harassment.  Other drivers, many of which are related to gender inequality, included:</w:t>
      </w:r>
    </w:p>
    <w:p w14:paraId="6294C6C8" w14:textId="77777777" w:rsidR="00BD33BD" w:rsidRDefault="00BD33BD" w:rsidP="004049DA">
      <w:pPr>
        <w:pStyle w:val="List3"/>
      </w:pPr>
      <w:r>
        <w:t xml:space="preserve">conservative norms of gender and </w:t>
      </w:r>
      <w:proofErr w:type="gramStart"/>
      <w:r>
        <w:t>sexuality;</w:t>
      </w:r>
      <w:proofErr w:type="gramEnd"/>
    </w:p>
    <w:p w14:paraId="009AC5BF" w14:textId="741EABA1" w:rsidR="00BD33BD" w:rsidRDefault="006C34B9" w:rsidP="004049DA">
      <w:pPr>
        <w:pStyle w:val="List3"/>
      </w:pPr>
      <w:r>
        <w:t xml:space="preserve">the culture </w:t>
      </w:r>
      <w:r w:rsidR="00BD33BD">
        <w:t>of a workplace, including the role of leadership in setting</w:t>
      </w:r>
      <w:r w:rsidR="008116EE">
        <w:t xml:space="preserve"> </w:t>
      </w:r>
      <w:r w:rsidR="00BD33BD">
        <w:t xml:space="preserve">workplace behaviour and </w:t>
      </w:r>
      <w:proofErr w:type="gramStart"/>
      <w:r w:rsidR="00BD33BD">
        <w:t>norms;</w:t>
      </w:r>
      <w:proofErr w:type="gramEnd"/>
    </w:p>
    <w:p w14:paraId="4CA0D0C1" w14:textId="467AB0F3" w:rsidR="00BD33BD" w:rsidRDefault="00BD33BD" w:rsidP="004049DA">
      <w:pPr>
        <w:pStyle w:val="List3"/>
      </w:pPr>
      <w:r>
        <w:t xml:space="preserve">overlapping systems of discrimination or disadvantage, including race and </w:t>
      </w:r>
      <w:proofErr w:type="gramStart"/>
      <w:r>
        <w:t>disability;</w:t>
      </w:r>
      <w:proofErr w:type="gramEnd"/>
    </w:p>
    <w:p w14:paraId="507567F0" w14:textId="77777777" w:rsidR="00BD33BD" w:rsidRDefault="00BD33BD" w:rsidP="004049DA">
      <w:pPr>
        <w:pStyle w:val="List3"/>
      </w:pPr>
      <w:r>
        <w:t xml:space="preserve">lack of understanding about what constitutes sexual </w:t>
      </w:r>
      <w:proofErr w:type="gramStart"/>
      <w:r>
        <w:t>harassment;</w:t>
      </w:r>
      <w:proofErr w:type="gramEnd"/>
    </w:p>
    <w:p w14:paraId="43212FBD" w14:textId="57381805" w:rsidR="00BD33BD" w:rsidRDefault="00BD33BD" w:rsidP="004049DA">
      <w:pPr>
        <w:pStyle w:val="List3"/>
      </w:pPr>
      <w:r>
        <w:t xml:space="preserve">sexualisation and subordination of women in traditionally female </w:t>
      </w:r>
      <w:proofErr w:type="gramStart"/>
      <w:r>
        <w:t>roles;</w:t>
      </w:r>
      <w:proofErr w:type="gramEnd"/>
    </w:p>
    <w:p w14:paraId="6B313F6C" w14:textId="388D0D61" w:rsidR="00BD33BD" w:rsidRDefault="000F240F" w:rsidP="004049DA">
      <w:pPr>
        <w:pStyle w:val="List3"/>
      </w:pPr>
      <w:r>
        <w:lastRenderedPageBreak/>
        <w:t xml:space="preserve">a </w:t>
      </w:r>
      <w:r w:rsidR="00BD33BD">
        <w:t>sense of entitlement and lack of accountability by those who hold powerful positions in the workplace; and</w:t>
      </w:r>
    </w:p>
    <w:p w14:paraId="5B5B034D" w14:textId="77777777" w:rsidR="00BD33BD" w:rsidRDefault="00BD33BD" w:rsidP="004049DA">
      <w:pPr>
        <w:pStyle w:val="List3"/>
      </w:pPr>
      <w:r>
        <w:t>abuse of alcohol in the workplace context.</w:t>
      </w:r>
    </w:p>
    <w:p w14:paraId="4D9A7E8F" w14:textId="31B91A84" w:rsidR="00BD33BD" w:rsidRDefault="00BD33BD" w:rsidP="004049DA">
      <w:pPr>
        <w:pStyle w:val="List2"/>
      </w:pPr>
      <w:r>
        <w:rPr>
          <w:b/>
          <w:bCs/>
        </w:rPr>
        <w:t>Abuse of Power</w:t>
      </w:r>
      <w:r>
        <w:t>:</w:t>
      </w:r>
      <w:r w:rsidR="004F5F53">
        <w:t xml:space="preserve"> </w:t>
      </w:r>
      <w:proofErr w:type="gramStart"/>
      <w:r w:rsidR="00FE1575">
        <w:t>t</w:t>
      </w:r>
      <w:r>
        <w:t>he</w:t>
      </w:r>
      <w:proofErr w:type="gramEnd"/>
      <w:r>
        <w:t xml:space="preserve"> Szoke Report emphasised that hierarchy and power imbalance are key risk factors.  The Report accepted that sexual harassment prevails in hierarchical workplaces with strongly embedded masculine norms and a dominance of male leadership.  Those factors can also create a “culture of silence” against speaking out.</w:t>
      </w:r>
    </w:p>
    <w:p w14:paraId="3AF608C5" w14:textId="63F0B152" w:rsidR="00BD33BD" w:rsidRDefault="00BD33BD" w:rsidP="009452C1">
      <w:pPr>
        <w:pStyle w:val="ListParagraph"/>
      </w:pPr>
      <w:r>
        <w:t xml:space="preserve">Further, the Szoke Report </w:t>
      </w:r>
      <w:r w:rsidR="0010142C">
        <w:t>set out (with</w:t>
      </w:r>
      <w:r w:rsidR="00CD6F29">
        <w:t xml:space="preserve"> apparent</w:t>
      </w:r>
      <w:r w:rsidR="0010142C">
        <w:t xml:space="preserve"> approval)</w:t>
      </w:r>
      <w:r w:rsidR="007E4B59">
        <w:t xml:space="preserve"> a commentary by a law lecturer </w:t>
      </w:r>
      <w:r w:rsidR="00FB7FA5">
        <w:t>at the University of South Australia, Dr Joe McIntyre</w:t>
      </w:r>
      <w:r>
        <w:t>:</w:t>
      </w:r>
    </w:p>
    <w:p w14:paraId="0BBB38B9" w14:textId="455B859B" w:rsidR="00BD33BD" w:rsidRPr="005927F3" w:rsidRDefault="00BD33BD" w:rsidP="006A3CA0">
      <w:pPr>
        <w:pStyle w:val="Quote"/>
      </w:pPr>
      <w:r>
        <w:t>[t]he foundational sin in the legal profession is that it remains a domain dependent upon personal relationships and hierarchical power …</w:t>
      </w:r>
      <w:r w:rsidR="00D06F1D">
        <w:t xml:space="preserve"> [i]t is significant that the further up the hierarchy of legal practice one climbs, the more dependent upon personal relationships</w:t>
      </w:r>
      <w:r>
        <w:t xml:space="preserve"> for referrals, briefs, appointments</w:t>
      </w:r>
      <w:r w:rsidR="00301F01">
        <w:t xml:space="preserve"> one becomes</w:t>
      </w:r>
      <w:r w:rsidR="006B4859">
        <w:t>.</w:t>
      </w:r>
      <w:r w:rsidR="00863A88">
        <w:t xml:space="preserve"> </w:t>
      </w:r>
      <w:r>
        <w:t>…</w:t>
      </w:r>
      <w:r w:rsidR="006B4859">
        <w:t xml:space="preserve"> </w:t>
      </w:r>
      <w:r>
        <w:t>Men in positions of power are operating with a sense of practical immunity, because if the women speak out, they know their career is dust</w:t>
      </w:r>
      <w:r w:rsidR="00B07B47">
        <w:t>.</w:t>
      </w:r>
      <w:r w:rsidR="00813C2A">
        <w:rPr>
          <w:rFonts w:ascii="ZWAdobeF" w:hAnsi="ZWAdobeF" w:cs="ZWAdobeF"/>
          <w:sz w:val="2"/>
          <w:szCs w:val="2"/>
        </w:rPr>
        <w:t>63F</w:t>
      </w:r>
      <w:r w:rsidR="00704B18">
        <w:rPr>
          <w:rFonts w:ascii="ZWAdobeF" w:hAnsi="ZWAdobeF" w:cs="ZWAdobeF"/>
          <w:sz w:val="2"/>
          <w:szCs w:val="2"/>
        </w:rPr>
        <w:t>84F</w:t>
      </w:r>
      <w:r w:rsidR="00863A88">
        <w:rPr>
          <w:rStyle w:val="FootnoteReference"/>
        </w:rPr>
        <w:footnoteReference w:id="61"/>
      </w:r>
    </w:p>
    <w:p w14:paraId="287BCBCD" w14:textId="14D8C178" w:rsidR="00BD33BD" w:rsidRDefault="00BD33BD" w:rsidP="0004466F">
      <w:pPr>
        <w:pStyle w:val="ListParagraph"/>
      </w:pPr>
      <w:r>
        <w:t xml:space="preserve">The Szoke Report referred to sexual harassment as a particular manifestation of abuse of power by judicial officers, which occurred together with disrespect and uncivil behaviour.  The abuse of power was also reflected in inadequate responses to sexual harassment, as many respondents indicated that they would neither confront a perpetrator nor report bad behaviour </w:t>
      </w:r>
      <w:r w:rsidR="004523B4">
        <w:t>by judicial officers</w:t>
      </w:r>
      <w:r>
        <w:t>.</w:t>
      </w:r>
    </w:p>
    <w:p w14:paraId="304652F6" w14:textId="74C6754C" w:rsidR="00BD33BD" w:rsidRDefault="00BD33BD" w:rsidP="0004466F">
      <w:pPr>
        <w:pStyle w:val="ListParagraph"/>
      </w:pPr>
      <w:r>
        <w:t xml:space="preserve">The Szoke Report referred to a permissive culture in which sexual harassment and </w:t>
      </w:r>
      <w:r w:rsidR="00AC390D">
        <w:t>(</w:t>
      </w:r>
      <w:r>
        <w:t>a range of cognate behaviours</w:t>
      </w:r>
      <w:r w:rsidR="00AC390D">
        <w:t xml:space="preserve"> –</w:t>
      </w:r>
      <w:r>
        <w:t xml:space="preserve"> gendered bullying, disrespect and </w:t>
      </w:r>
      <w:proofErr w:type="gramStart"/>
      <w:r>
        <w:t>every day</w:t>
      </w:r>
      <w:proofErr w:type="gramEnd"/>
      <w:r>
        <w:t xml:space="preserve"> sexism</w:t>
      </w:r>
      <w:r w:rsidR="00AC390D">
        <w:t>)</w:t>
      </w:r>
      <w:r>
        <w:t xml:space="preserve"> are overlooked, tolerated or condoned.  In such environments, there is no risk management of sexual harassment, employees are not confident to report it, </w:t>
      </w:r>
      <w:r w:rsidR="008C0D01">
        <w:t xml:space="preserve">as they </w:t>
      </w:r>
      <w:r>
        <w:t>feel that complaints will not be taken seriously and that perpetrators will not be held to account.</w:t>
      </w:r>
      <w:r w:rsidR="00704B18">
        <w:rPr>
          <w:rFonts w:ascii="ZWAdobeF" w:hAnsi="ZWAdobeF" w:cs="ZWAdobeF"/>
          <w:sz w:val="2"/>
          <w:szCs w:val="2"/>
        </w:rPr>
        <w:t>85F</w:t>
      </w:r>
      <w:r w:rsidR="00EB3A0A">
        <w:rPr>
          <w:rStyle w:val="FootnoteReference"/>
        </w:rPr>
        <w:footnoteReference w:id="62"/>
      </w:r>
    </w:p>
    <w:p w14:paraId="14E978E4" w14:textId="5DD4F2FA" w:rsidR="00BD33BD" w:rsidRDefault="00BD33BD" w:rsidP="0004466F">
      <w:pPr>
        <w:pStyle w:val="ListParagraph"/>
      </w:pPr>
      <w:r>
        <w:t>The Szoke Report recognised the perhaps unique combination of features of a court workplace, including complex and demanding environments, long hours, pressure for unquestioning obedience and travel requirements, including circuit obligations.</w:t>
      </w:r>
      <w:r w:rsidR="00813C2A">
        <w:rPr>
          <w:rFonts w:ascii="ZWAdobeF" w:hAnsi="ZWAdobeF" w:cs="ZWAdobeF"/>
          <w:sz w:val="2"/>
          <w:szCs w:val="2"/>
        </w:rPr>
        <w:t>64F</w:t>
      </w:r>
      <w:r w:rsidR="00704B18">
        <w:rPr>
          <w:rFonts w:ascii="ZWAdobeF" w:hAnsi="ZWAdobeF" w:cs="ZWAdobeF"/>
          <w:sz w:val="2"/>
          <w:szCs w:val="2"/>
        </w:rPr>
        <w:t>86F</w:t>
      </w:r>
      <w:r w:rsidR="00E6411E">
        <w:rPr>
          <w:rStyle w:val="FootnoteReference"/>
        </w:rPr>
        <w:footnoteReference w:id="63"/>
      </w:r>
    </w:p>
    <w:p w14:paraId="5BCF8E48" w14:textId="4D7A3A22" w:rsidR="00BD33BD" w:rsidRDefault="00BD33BD" w:rsidP="0004466F">
      <w:pPr>
        <w:pStyle w:val="ListParagraph"/>
      </w:pPr>
      <w:r>
        <w:t xml:space="preserve">The </w:t>
      </w:r>
      <w:r w:rsidR="0083337D">
        <w:t>R</w:t>
      </w:r>
      <w:r>
        <w:t xml:space="preserve">eport also recognised a professional expectation of socialising and networking at events which could include alcohol consumption.  Alcohol, while not causative on its own, </w:t>
      </w:r>
      <w:r>
        <w:lastRenderedPageBreak/>
        <w:t xml:space="preserve">could contribute to sexual harassment, sexual </w:t>
      </w:r>
      <w:proofErr w:type="gramStart"/>
      <w:r>
        <w:t>assault</w:t>
      </w:r>
      <w:proofErr w:type="gramEnd"/>
      <w:r>
        <w:t xml:space="preserve"> and inappropriate behaviours.  Therefore, the report </w:t>
      </w:r>
      <w:r w:rsidR="008C0D01">
        <w:t>recommended that,</w:t>
      </w:r>
      <w:r>
        <w:t xml:space="preserve"> as </w:t>
      </w:r>
      <w:proofErr w:type="spellStart"/>
      <w:r>
        <w:t>Respect</w:t>
      </w:r>
      <w:r w:rsidR="00D22E03">
        <w:t>@</w:t>
      </w:r>
      <w:r>
        <w:t>Work</w:t>
      </w:r>
      <w:proofErr w:type="spellEnd"/>
      <w:r>
        <w:t xml:space="preserve"> indicated, prevention measures should include consideration of how access to alcohol, especially at work social events, could increase the risk of workplace sexual harassment.</w:t>
      </w:r>
      <w:r w:rsidR="00813C2A">
        <w:rPr>
          <w:rFonts w:ascii="ZWAdobeF" w:hAnsi="ZWAdobeF" w:cs="ZWAdobeF"/>
          <w:sz w:val="2"/>
          <w:szCs w:val="2"/>
        </w:rPr>
        <w:t>65F</w:t>
      </w:r>
      <w:r w:rsidR="00704B18">
        <w:rPr>
          <w:rFonts w:ascii="ZWAdobeF" w:hAnsi="ZWAdobeF" w:cs="ZWAdobeF"/>
          <w:sz w:val="2"/>
          <w:szCs w:val="2"/>
        </w:rPr>
        <w:t>87F</w:t>
      </w:r>
      <w:r w:rsidR="005B78FE">
        <w:rPr>
          <w:rStyle w:val="FootnoteReference"/>
        </w:rPr>
        <w:footnoteReference w:id="64"/>
      </w:r>
    </w:p>
    <w:p w14:paraId="28E27504" w14:textId="3CD19A5E" w:rsidR="004D4F4B" w:rsidRDefault="001A5B9A" w:rsidP="0004466F">
      <w:pPr>
        <w:pStyle w:val="Heading1"/>
        <w:rPr>
          <w:lang w:val="en-US"/>
        </w:rPr>
      </w:pPr>
      <w:bookmarkStart w:id="70" w:name="_Toc112606907"/>
      <w:r>
        <w:t>I</w:t>
      </w:r>
      <w:r w:rsidR="00B8131F">
        <w:t>dentification of, and attempts to solve,</w:t>
      </w:r>
      <w:r w:rsidR="00864821">
        <w:t xml:space="preserve"> the problem in the united states</w:t>
      </w:r>
      <w:bookmarkEnd w:id="70"/>
    </w:p>
    <w:p w14:paraId="12AFD8DF" w14:textId="115026BB" w:rsidR="004D4F4B" w:rsidRDefault="00EB1524" w:rsidP="0004466F">
      <w:pPr>
        <w:pStyle w:val="ListParagraph"/>
      </w:pPr>
      <w:r>
        <w:t xml:space="preserve">Above, we referred to the work of Leah </w:t>
      </w:r>
      <w:proofErr w:type="spellStart"/>
      <w:r>
        <w:t>Litman</w:t>
      </w:r>
      <w:proofErr w:type="spellEnd"/>
      <w:r>
        <w:t xml:space="preserve"> and </w:t>
      </w:r>
      <w:proofErr w:type="spellStart"/>
      <w:r>
        <w:t>Deeva</w:t>
      </w:r>
      <w:proofErr w:type="spellEnd"/>
      <w:r>
        <w:t xml:space="preserve"> Shah in </w:t>
      </w:r>
      <w:r w:rsidR="004D4F4B">
        <w:rPr>
          <w:i/>
          <w:iCs/>
        </w:rPr>
        <w:t>On Sexual Harassment in the Judiciary</w:t>
      </w:r>
      <w:r w:rsidR="00D022E9">
        <w:t>. It</w:t>
      </w:r>
      <w:r w:rsidR="00864821">
        <w:rPr>
          <w:i/>
          <w:iCs/>
        </w:rPr>
        <w:t xml:space="preserve"> </w:t>
      </w:r>
      <w:r w:rsidR="006416E8">
        <w:t xml:space="preserve">is a penetrating study of relevant developments in the </w:t>
      </w:r>
      <w:r w:rsidR="004D4F4B">
        <w:t>current American context</w:t>
      </w:r>
      <w:r w:rsidR="008F07CF">
        <w:t xml:space="preserve"> with ramifications for the Victorian situation</w:t>
      </w:r>
      <w:r w:rsidR="004D4F4B">
        <w:t>.</w:t>
      </w:r>
      <w:r w:rsidR="000929A4">
        <w:t xml:space="preserve"> Many of the observations in the article are </w:t>
      </w:r>
      <w:r w:rsidR="00E16ED1">
        <w:t xml:space="preserve">applicable </w:t>
      </w:r>
      <w:r w:rsidR="000929A4">
        <w:t xml:space="preserve">to the Victorian context. </w:t>
      </w:r>
    </w:p>
    <w:p w14:paraId="1E5DD522" w14:textId="3058E709" w:rsidR="004D4F4B" w:rsidRDefault="004D4F4B" w:rsidP="0004466F">
      <w:pPr>
        <w:pStyle w:val="ListParagraph"/>
      </w:pPr>
      <w:proofErr w:type="spellStart"/>
      <w:r>
        <w:t>Litman</w:t>
      </w:r>
      <w:proofErr w:type="spellEnd"/>
      <w:r>
        <w:t xml:space="preserve"> and Shah identify the important accusations of sexual harassment by two </w:t>
      </w:r>
      <w:r w:rsidR="002650C9">
        <w:t>former judges of the United States 9</w:t>
      </w:r>
      <w:r w:rsidR="002650C9" w:rsidRPr="002650C9">
        <w:rPr>
          <w:vertAlign w:val="superscript"/>
        </w:rPr>
        <w:t>th</w:t>
      </w:r>
      <w:r w:rsidR="002650C9">
        <w:t xml:space="preserve"> Circuit Court</w:t>
      </w:r>
      <w:r w:rsidR="006C5740">
        <w:t xml:space="preserve"> of Appeals</w:t>
      </w:r>
      <w:r>
        <w:t xml:space="preserve">, Judge Alex </w:t>
      </w:r>
      <w:proofErr w:type="spellStart"/>
      <w:r>
        <w:t>Kozinski</w:t>
      </w:r>
      <w:proofErr w:type="spellEnd"/>
      <w:r>
        <w:t xml:space="preserve"> and Judge Stephen Reinhardt</w:t>
      </w:r>
      <w:r w:rsidR="008F07CF">
        <w:t>,</w:t>
      </w:r>
      <w:r>
        <w:t xml:space="preserve"> as provoking important public discourse</w:t>
      </w:r>
      <w:r w:rsidR="008F07CF">
        <w:t xml:space="preserve"> in the context of</w:t>
      </w:r>
      <w:r w:rsidR="000E1A1F">
        <w:t xml:space="preserve"> the</w:t>
      </w:r>
      <w:r w:rsidR="008F07CF">
        <w:t xml:space="preserve"> “MeToo”</w:t>
      </w:r>
      <w:r w:rsidR="000E1A1F">
        <w:t xml:space="preserve"> movement</w:t>
      </w:r>
      <w:r>
        <w:t>.</w:t>
      </w:r>
      <w:r w:rsidR="00394B3A">
        <w:t xml:space="preserve">  We have summarised the details of those accusations above.</w:t>
      </w:r>
    </w:p>
    <w:p w14:paraId="6D3EC44E" w14:textId="55B9456B" w:rsidR="00667636" w:rsidRDefault="00704B18" w:rsidP="0004466F">
      <w:pPr>
        <w:pStyle w:val="ListParagraph"/>
      </w:pPr>
      <w:r>
        <w:rPr>
          <w:rFonts w:ascii="ZWAdobeF" w:hAnsi="ZWAdobeF" w:cs="ZWAdobeF"/>
          <w:bCs/>
          <w:sz w:val="2"/>
          <w:szCs w:val="2"/>
        </w:rPr>
        <w:t>94F95F</w:t>
      </w:r>
      <w:r w:rsidR="006F0523">
        <w:t xml:space="preserve">The authors referred to the </w:t>
      </w:r>
      <w:proofErr w:type="gramStart"/>
      <w:r w:rsidR="006F0523">
        <w:t>particular instances</w:t>
      </w:r>
      <w:proofErr w:type="gramEnd"/>
      <w:r w:rsidR="006F0523">
        <w:t xml:space="preserve"> of alleged misconduct by both judges and observed that c</w:t>
      </w:r>
      <w:r w:rsidR="00667636">
        <w:t xml:space="preserve">lerks who had not witnessed extreme instances of sexual harassment had </w:t>
      </w:r>
      <w:r w:rsidR="006F0523">
        <w:t xml:space="preserve">nevertheless </w:t>
      </w:r>
      <w:r w:rsidR="00667636">
        <w:t>witnessed sexist behaviour and aggressive bullying or sexist bullying.</w:t>
      </w:r>
    </w:p>
    <w:p w14:paraId="58D09C4D" w14:textId="0807FCC7" w:rsidR="004D4F4B" w:rsidRDefault="00A9752D" w:rsidP="000C4B82">
      <w:pPr>
        <w:pStyle w:val="ListParagraph"/>
        <w:keepNext/>
      </w:pPr>
      <w:proofErr w:type="spellStart"/>
      <w:r>
        <w:t>Litman</w:t>
      </w:r>
      <w:proofErr w:type="spellEnd"/>
      <w:r>
        <w:t xml:space="preserve"> and Shah advocate </w:t>
      </w:r>
      <w:r w:rsidR="004D4F4B">
        <w:t>a broader understanding of causes of and responsibility for sexual harassment, which includes:</w:t>
      </w:r>
      <w:r w:rsidR="00813C2A">
        <w:rPr>
          <w:rFonts w:ascii="ZWAdobeF" w:hAnsi="ZWAdobeF" w:cs="ZWAdobeF"/>
          <w:sz w:val="2"/>
          <w:szCs w:val="2"/>
        </w:rPr>
        <w:t>74F</w:t>
      </w:r>
      <w:r w:rsidR="00704B18">
        <w:rPr>
          <w:rFonts w:ascii="ZWAdobeF" w:hAnsi="ZWAdobeF" w:cs="ZWAdobeF"/>
          <w:sz w:val="2"/>
          <w:szCs w:val="2"/>
        </w:rPr>
        <w:t>96F</w:t>
      </w:r>
      <w:r w:rsidR="00EF6791">
        <w:rPr>
          <w:rStyle w:val="FootnoteReference"/>
        </w:rPr>
        <w:footnoteReference w:id="65"/>
      </w:r>
    </w:p>
    <w:p w14:paraId="56090A91" w14:textId="37C7B732" w:rsidR="004D4F4B" w:rsidRDefault="004D4F4B" w:rsidP="00C52754">
      <w:pPr>
        <w:pStyle w:val="List2"/>
      </w:pPr>
      <w:r>
        <w:t xml:space="preserve">recognition that a myriad of specific behaviours that fall well short of serious or actionable sexual harassment are red flags.  </w:t>
      </w:r>
      <w:r w:rsidR="00E403E0">
        <w:t xml:space="preserve">Those behaviours can have an exclusionary impact particularly on disadvantaged groups, and seemingly insignificant behaviours can normalise other inappropriate behaviours and lead to more severe harassment and discrimination, creating a work culture where inappropriate behaviour can </w:t>
      </w:r>
      <w:proofErr w:type="gramStart"/>
      <w:r w:rsidR="00E403E0">
        <w:t>escalate;</w:t>
      </w:r>
      <w:proofErr w:type="gramEnd"/>
    </w:p>
    <w:p w14:paraId="33E7394A" w14:textId="06679C76" w:rsidR="004D4F4B" w:rsidRDefault="004D4F4B" w:rsidP="00C52754">
      <w:pPr>
        <w:pStyle w:val="List2"/>
      </w:pPr>
      <w:r>
        <w:t xml:space="preserve">acknowledging </w:t>
      </w:r>
      <w:r w:rsidR="00A9752D">
        <w:t xml:space="preserve">that </w:t>
      </w:r>
      <w:r>
        <w:t>problematic behaviours fall</w:t>
      </w:r>
      <w:r w:rsidR="00A9752D">
        <w:t>ing</w:t>
      </w:r>
      <w:r>
        <w:t xml:space="preserve"> short of being illegal or cruel could help to identify unsafe working environments before they become more severe; and</w:t>
      </w:r>
    </w:p>
    <w:p w14:paraId="488D92D7" w14:textId="4FEA0EDE" w:rsidR="004D4F4B" w:rsidRDefault="00A9752D" w:rsidP="00C52754">
      <w:pPr>
        <w:pStyle w:val="List2"/>
      </w:pPr>
      <w:r>
        <w:t xml:space="preserve">accepting </w:t>
      </w:r>
      <w:r w:rsidR="004D4F4B">
        <w:t>broader responsibility for sexual harassment beyond merely witnessing specific instances.</w:t>
      </w:r>
    </w:p>
    <w:p w14:paraId="63EE4C5B" w14:textId="5B3E25D2" w:rsidR="00F602F5" w:rsidRDefault="00F602F5" w:rsidP="00B7605E">
      <w:pPr>
        <w:pStyle w:val="Heading2"/>
      </w:pPr>
      <w:bookmarkStart w:id="71" w:name="_Toc112606908"/>
      <w:r>
        <w:lastRenderedPageBreak/>
        <w:t>Report of the Federal Judiciary Workplace Conduct Working Group</w:t>
      </w:r>
      <w:bookmarkEnd w:id="71"/>
    </w:p>
    <w:p w14:paraId="00335BB4" w14:textId="35791644" w:rsidR="004D6E99" w:rsidRDefault="004D6E99" w:rsidP="0004466F">
      <w:pPr>
        <w:pStyle w:val="ListParagraph"/>
      </w:pPr>
      <w:r>
        <w:t>The</w:t>
      </w:r>
      <w:r w:rsidR="0035501F">
        <w:t xml:space="preserve"> Report of the</w:t>
      </w:r>
      <w:r>
        <w:t xml:space="preserve"> Federal Judiciary Workplace Conduct Working Group</w:t>
      </w:r>
      <w:r w:rsidR="00A039D9">
        <w:t xml:space="preserve"> (USA)</w:t>
      </w:r>
      <w:r w:rsidR="0035501F">
        <w:t xml:space="preserve"> </w:t>
      </w:r>
      <w:r w:rsidR="00122689">
        <w:t>(</w:t>
      </w:r>
      <w:r w:rsidR="0035501F">
        <w:t xml:space="preserve">which was established in December 2017 on the request of Chief Justice </w:t>
      </w:r>
      <w:r w:rsidR="00952AF0">
        <w:t xml:space="preserve">Roberts </w:t>
      </w:r>
      <w:r w:rsidR="0035501F">
        <w:t>of the United States</w:t>
      </w:r>
      <w:r w:rsidR="000942EB">
        <w:t xml:space="preserve"> </w:t>
      </w:r>
      <w:r w:rsidR="00952AF0">
        <w:t xml:space="preserve">Supreme Court </w:t>
      </w:r>
      <w:r w:rsidR="000942EB">
        <w:t>to examine the sufficiency of safeguards in place to protect court employees from inappropriate conduct</w:t>
      </w:r>
      <w:r w:rsidR="00122689">
        <w:t>)</w:t>
      </w:r>
      <w:r w:rsidR="0035501F">
        <w:t xml:space="preserve"> </w:t>
      </w:r>
      <w:r>
        <w:t>states that the most significant challenge for accountability “…arises from the reluctance of victims to report misconduct”.</w:t>
      </w:r>
      <w:r w:rsidR="00813C2A">
        <w:rPr>
          <w:rFonts w:ascii="ZWAdobeF" w:hAnsi="ZWAdobeF" w:cs="ZWAdobeF"/>
          <w:sz w:val="2"/>
          <w:szCs w:val="2"/>
        </w:rPr>
        <w:t>75F</w:t>
      </w:r>
      <w:r w:rsidR="00704B18">
        <w:rPr>
          <w:rFonts w:ascii="ZWAdobeF" w:hAnsi="ZWAdobeF" w:cs="ZWAdobeF"/>
          <w:sz w:val="2"/>
          <w:szCs w:val="2"/>
        </w:rPr>
        <w:t>97F</w:t>
      </w:r>
      <w:r>
        <w:rPr>
          <w:rStyle w:val="FootnoteReference"/>
        </w:rPr>
        <w:footnoteReference w:id="66"/>
      </w:r>
    </w:p>
    <w:p w14:paraId="797E699E" w14:textId="015807FC" w:rsidR="00B0545B" w:rsidRDefault="00B0545B" w:rsidP="0004466F">
      <w:pPr>
        <w:pStyle w:val="ListParagraph"/>
      </w:pPr>
      <w:r>
        <w:t xml:space="preserve">The Working Group comprised </w:t>
      </w:r>
      <w:r w:rsidR="00952AF0">
        <w:t xml:space="preserve">eight </w:t>
      </w:r>
      <w:r>
        <w:t>experienced judges and courts administrators from the diverse units within the judiciary.  The Chair was the director of the Administrative Office of the United States Courts.</w:t>
      </w:r>
      <w:r w:rsidR="00813C2A">
        <w:rPr>
          <w:rFonts w:ascii="ZWAdobeF" w:hAnsi="ZWAdobeF" w:cs="ZWAdobeF"/>
          <w:sz w:val="2"/>
          <w:szCs w:val="2"/>
        </w:rPr>
        <w:t>76F</w:t>
      </w:r>
      <w:r w:rsidR="00704B18">
        <w:rPr>
          <w:rFonts w:ascii="ZWAdobeF" w:hAnsi="ZWAdobeF" w:cs="ZWAdobeF"/>
          <w:sz w:val="2"/>
          <w:szCs w:val="2"/>
        </w:rPr>
        <w:t>98F</w:t>
      </w:r>
      <w:r w:rsidR="0099789F">
        <w:rPr>
          <w:rStyle w:val="FootnoteReference"/>
        </w:rPr>
        <w:footnoteReference w:id="67"/>
      </w:r>
    </w:p>
    <w:p w14:paraId="01A6C9B0" w14:textId="77777777" w:rsidR="00B0545B" w:rsidRDefault="00B0545B" w:rsidP="00F54B7C">
      <w:pPr>
        <w:pStyle w:val="ListParagraph"/>
        <w:keepNext/>
      </w:pPr>
      <w:r>
        <w:t>The Working Group’s Charter, at the instance of Chief Justice Roberts, was to consider what changes were needed:</w:t>
      </w:r>
    </w:p>
    <w:p w14:paraId="76941F01" w14:textId="5A031BB3" w:rsidR="00B0545B" w:rsidRDefault="00B0545B" w:rsidP="00C52754">
      <w:pPr>
        <w:pStyle w:val="List2"/>
      </w:pPr>
      <w:r>
        <w:t>to the Judiciar</w:t>
      </w:r>
      <w:r w:rsidR="00BF5E7F">
        <w:t>y’s</w:t>
      </w:r>
      <w:r>
        <w:t xml:space="preserve"> Code of </w:t>
      </w:r>
      <w:proofErr w:type="gramStart"/>
      <w:r>
        <w:t>Conduct;</w:t>
      </w:r>
      <w:proofErr w:type="gramEnd"/>
    </w:p>
    <w:p w14:paraId="2B7660CD" w14:textId="77777777" w:rsidR="00B0545B" w:rsidRDefault="00B0545B" w:rsidP="00C52754">
      <w:pPr>
        <w:pStyle w:val="List2"/>
      </w:pPr>
      <w:r>
        <w:t xml:space="preserve">guidance to employees on issues of confidentiality and reporting instances of </w:t>
      </w:r>
      <w:proofErr w:type="gramStart"/>
      <w:r>
        <w:t>misconduct;</w:t>
      </w:r>
      <w:proofErr w:type="gramEnd"/>
    </w:p>
    <w:p w14:paraId="776C6C04" w14:textId="77777777" w:rsidR="00B0545B" w:rsidRDefault="00B0545B" w:rsidP="00C52754">
      <w:pPr>
        <w:pStyle w:val="List2"/>
      </w:pPr>
      <w:r>
        <w:t>educational programs; and</w:t>
      </w:r>
    </w:p>
    <w:p w14:paraId="1578C39A" w14:textId="77777777" w:rsidR="00B0545B" w:rsidRDefault="00B0545B" w:rsidP="00C52754">
      <w:pPr>
        <w:pStyle w:val="List2"/>
      </w:pPr>
      <w:r>
        <w:t>rules for investigating and processing misconduct complaints.</w:t>
      </w:r>
    </w:p>
    <w:p w14:paraId="54F49F05" w14:textId="2936FF1A" w:rsidR="00B0545B" w:rsidRDefault="00B0545B" w:rsidP="0004466F">
      <w:pPr>
        <w:pStyle w:val="ListParagraph"/>
      </w:pPr>
      <w:r>
        <w:t xml:space="preserve">The </w:t>
      </w:r>
      <w:proofErr w:type="gramStart"/>
      <w:r>
        <w:t>ultimate goal</w:t>
      </w:r>
      <w:proofErr w:type="gramEnd"/>
      <w:r>
        <w:t xml:space="preserve"> was to ensure an </w:t>
      </w:r>
      <w:r w:rsidR="006F0523">
        <w:t>“</w:t>
      </w:r>
      <w:r>
        <w:t>exemplary workplace</w:t>
      </w:r>
      <w:r w:rsidR="006F0523">
        <w:t>”</w:t>
      </w:r>
      <w:r>
        <w:t xml:space="preserve"> for every judge and every court employee.  The Working Group recognised that “the judiciary must hold itself to the highest standards of conduct and </w:t>
      </w:r>
      <w:r w:rsidR="008E3C90">
        <w:t>civility</w:t>
      </w:r>
      <w:r>
        <w:t xml:space="preserve"> to maintain</w:t>
      </w:r>
      <w:r w:rsidR="00D94900">
        <w:t xml:space="preserve"> the</w:t>
      </w:r>
      <w:r>
        <w:t xml:space="preserve"> public trust</w:t>
      </w:r>
      <w:r w:rsidR="0075308D">
        <w:t>”</w:t>
      </w:r>
      <w:r>
        <w:t xml:space="preserve"> and must not only address harassment but </w:t>
      </w:r>
      <w:r w:rsidR="000B0466">
        <w:t>“</w:t>
      </w:r>
      <w:r>
        <w:t>pursue the overarching goal of an inclusive and respectful workplace</w:t>
      </w:r>
      <w:r w:rsidR="000B0466">
        <w:t>”</w:t>
      </w:r>
      <w:r>
        <w:t>.</w:t>
      </w:r>
      <w:r w:rsidR="00813C2A">
        <w:rPr>
          <w:rFonts w:ascii="ZWAdobeF" w:hAnsi="ZWAdobeF" w:cs="ZWAdobeF"/>
          <w:sz w:val="2"/>
          <w:szCs w:val="2"/>
        </w:rPr>
        <w:t>77F</w:t>
      </w:r>
      <w:r w:rsidR="00704B18">
        <w:rPr>
          <w:rFonts w:ascii="ZWAdobeF" w:hAnsi="ZWAdobeF" w:cs="ZWAdobeF"/>
          <w:sz w:val="2"/>
          <w:szCs w:val="2"/>
        </w:rPr>
        <w:t>99F</w:t>
      </w:r>
      <w:r w:rsidR="00032B0A">
        <w:rPr>
          <w:rStyle w:val="FootnoteReference"/>
        </w:rPr>
        <w:footnoteReference w:id="68"/>
      </w:r>
    </w:p>
    <w:p w14:paraId="478565DF" w14:textId="3DE556E6" w:rsidR="00B0545B" w:rsidRDefault="00B0545B" w:rsidP="0004466F">
      <w:pPr>
        <w:pStyle w:val="ListParagraph"/>
      </w:pPr>
      <w:r>
        <w:t>The Working Group stated that the various complaints provisions are effective when their provisions are invoked, although there was room for greater transparency and accessibility.</w:t>
      </w:r>
      <w:r w:rsidR="00813C2A">
        <w:rPr>
          <w:rFonts w:ascii="ZWAdobeF" w:hAnsi="ZWAdobeF" w:cs="ZWAdobeF"/>
          <w:sz w:val="2"/>
          <w:szCs w:val="2"/>
        </w:rPr>
        <w:t>78F</w:t>
      </w:r>
      <w:r w:rsidR="00704B18">
        <w:rPr>
          <w:rFonts w:ascii="ZWAdobeF" w:hAnsi="ZWAdobeF" w:cs="ZWAdobeF"/>
          <w:sz w:val="2"/>
          <w:szCs w:val="2"/>
        </w:rPr>
        <w:t>100F</w:t>
      </w:r>
      <w:r w:rsidR="008479E5">
        <w:rPr>
          <w:rStyle w:val="FootnoteReference"/>
        </w:rPr>
        <w:footnoteReference w:id="69"/>
      </w:r>
      <w:r w:rsidR="00A039D9">
        <w:t xml:space="preserve">  The Working Group recommended that:</w:t>
      </w:r>
    </w:p>
    <w:p w14:paraId="63A1FACB" w14:textId="22437B5A" w:rsidR="00B0545B" w:rsidRDefault="00B0545B" w:rsidP="00C52754">
      <w:pPr>
        <w:pStyle w:val="List2"/>
      </w:pPr>
      <w:r>
        <w:t>Chief Judges should inform chief circuit judges or judicial councils of reports of wrongful conduct by judges and how those reports were being addressed</w:t>
      </w:r>
      <w:r w:rsidR="00B93362">
        <w:t>;</w:t>
      </w:r>
      <w:r w:rsidR="00813C2A">
        <w:rPr>
          <w:rFonts w:ascii="ZWAdobeF" w:hAnsi="ZWAdobeF" w:cs="ZWAdobeF"/>
          <w:sz w:val="2"/>
          <w:szCs w:val="2"/>
        </w:rPr>
        <w:t>79F</w:t>
      </w:r>
      <w:r w:rsidR="00704B18">
        <w:rPr>
          <w:rFonts w:ascii="ZWAdobeF" w:hAnsi="ZWAdobeF" w:cs="ZWAdobeF"/>
          <w:sz w:val="2"/>
          <w:szCs w:val="2"/>
        </w:rPr>
        <w:t>101F</w:t>
      </w:r>
      <w:r w:rsidR="00A44226">
        <w:rPr>
          <w:rStyle w:val="FootnoteReference"/>
        </w:rPr>
        <w:footnoteReference w:id="70"/>
      </w:r>
    </w:p>
    <w:p w14:paraId="581F3555" w14:textId="11DFF9EC" w:rsidR="00B0545B" w:rsidRDefault="00B0545B" w:rsidP="00C52754">
      <w:pPr>
        <w:pStyle w:val="List2"/>
      </w:pPr>
      <w:r>
        <w:t xml:space="preserve">Further complaints of sexual harassment by judges should be specifically identified in statistical reports and </w:t>
      </w:r>
      <w:r w:rsidR="00517636">
        <w:t>“</w:t>
      </w:r>
      <w:r>
        <w:t xml:space="preserve">decisions on those complaints made more readily accessible </w:t>
      </w:r>
      <w:r>
        <w:lastRenderedPageBreak/>
        <w:t>through searchable electronic indices</w:t>
      </w:r>
      <w:r w:rsidR="00517636">
        <w:t>”</w:t>
      </w:r>
      <w:r>
        <w:t>.  Accountability would be strengthened if the outcomes of disciplinary proceedings were better communicated</w:t>
      </w:r>
      <w:r w:rsidR="00B93362">
        <w:t>;</w:t>
      </w:r>
      <w:r w:rsidR="00813C2A">
        <w:rPr>
          <w:rFonts w:ascii="ZWAdobeF" w:hAnsi="ZWAdobeF" w:cs="ZWAdobeF"/>
          <w:sz w:val="2"/>
          <w:szCs w:val="2"/>
        </w:rPr>
        <w:t>80F</w:t>
      </w:r>
      <w:r w:rsidR="00704B18">
        <w:rPr>
          <w:rFonts w:ascii="ZWAdobeF" w:hAnsi="ZWAdobeF" w:cs="ZWAdobeF"/>
          <w:sz w:val="2"/>
          <w:szCs w:val="2"/>
        </w:rPr>
        <w:t>102F</w:t>
      </w:r>
      <w:r w:rsidR="00A04499">
        <w:rPr>
          <w:rStyle w:val="FootnoteReference"/>
        </w:rPr>
        <w:footnoteReference w:id="71"/>
      </w:r>
      <w:r w:rsidR="00B93362">
        <w:t xml:space="preserve"> and</w:t>
      </w:r>
    </w:p>
    <w:p w14:paraId="404DD3D2" w14:textId="58839E7C" w:rsidR="00B0545B" w:rsidRDefault="00B0545B" w:rsidP="00C52754">
      <w:pPr>
        <w:pStyle w:val="List2"/>
      </w:pPr>
      <w:r>
        <w:t>Regular employee input should be sought and exit interviews should be conducted.</w:t>
      </w:r>
      <w:r w:rsidR="00813C2A">
        <w:rPr>
          <w:rFonts w:ascii="ZWAdobeF" w:hAnsi="ZWAdobeF" w:cs="ZWAdobeF"/>
          <w:sz w:val="2"/>
          <w:szCs w:val="2"/>
        </w:rPr>
        <w:t>81F</w:t>
      </w:r>
      <w:r w:rsidR="00704B18">
        <w:rPr>
          <w:rFonts w:ascii="ZWAdobeF" w:hAnsi="ZWAdobeF" w:cs="ZWAdobeF"/>
          <w:sz w:val="2"/>
          <w:szCs w:val="2"/>
        </w:rPr>
        <w:t>103F</w:t>
      </w:r>
      <w:r w:rsidR="00F5300F">
        <w:rPr>
          <w:rStyle w:val="FootnoteReference"/>
        </w:rPr>
        <w:footnoteReference w:id="72"/>
      </w:r>
    </w:p>
    <w:p w14:paraId="04C4063F" w14:textId="4C63ED63" w:rsidR="00B0545B" w:rsidRDefault="00B0545B" w:rsidP="0004466F">
      <w:pPr>
        <w:pStyle w:val="ListParagraph"/>
      </w:pPr>
      <w:r>
        <w:t xml:space="preserve">The Working Group noted that law clerks expressed concern about the seeming lack of punishment for errant judges who could terminate disciplinary proceedings </w:t>
      </w:r>
      <w:r w:rsidR="006B7832">
        <w:t>by resigning and, if qualified, could just retire on full benefits and carry on an alternative legal career.</w:t>
      </w:r>
      <w:r w:rsidR="006B7832">
        <w:rPr>
          <w:rFonts w:ascii="ZWAdobeF" w:hAnsi="ZWAdobeF" w:cs="ZWAdobeF"/>
          <w:sz w:val="2"/>
          <w:szCs w:val="2"/>
        </w:rPr>
        <w:t>82F</w:t>
      </w:r>
      <w:r w:rsidR="006B7832">
        <w:rPr>
          <w:rStyle w:val="FootnoteReference"/>
        </w:rPr>
        <w:t xml:space="preserve"> </w:t>
      </w:r>
      <w:r w:rsidR="00704B18">
        <w:rPr>
          <w:rFonts w:ascii="ZWAdobeF" w:hAnsi="ZWAdobeF" w:cs="ZWAdobeF"/>
          <w:sz w:val="2"/>
          <w:szCs w:val="2"/>
        </w:rPr>
        <w:t>104F</w:t>
      </w:r>
      <w:r w:rsidR="00F96EC9">
        <w:rPr>
          <w:rStyle w:val="FootnoteReference"/>
        </w:rPr>
        <w:footnoteReference w:id="73"/>
      </w:r>
    </w:p>
    <w:p w14:paraId="6F304207" w14:textId="3096CFD9" w:rsidR="00B0545B" w:rsidRDefault="00B0545B" w:rsidP="0004466F">
      <w:pPr>
        <w:pStyle w:val="ListParagraph"/>
        <w:keepNext/>
      </w:pPr>
      <w:r>
        <w:t>The Working Group emphasised that:</w:t>
      </w:r>
      <w:r w:rsidR="00813C2A">
        <w:rPr>
          <w:rFonts w:ascii="ZWAdobeF" w:hAnsi="ZWAdobeF" w:cs="ZWAdobeF"/>
          <w:sz w:val="2"/>
          <w:szCs w:val="2"/>
        </w:rPr>
        <w:t>83F</w:t>
      </w:r>
      <w:r w:rsidR="00704B18">
        <w:rPr>
          <w:rFonts w:ascii="ZWAdobeF" w:hAnsi="ZWAdobeF" w:cs="ZWAdobeF"/>
          <w:sz w:val="2"/>
          <w:szCs w:val="2"/>
        </w:rPr>
        <w:t>105F</w:t>
      </w:r>
      <w:r>
        <w:rPr>
          <w:rStyle w:val="FootnoteReference"/>
        </w:rPr>
        <w:footnoteReference w:id="74"/>
      </w:r>
    </w:p>
    <w:p w14:paraId="2961E7A7" w14:textId="77777777" w:rsidR="00B0545B" w:rsidRDefault="00B0545B" w:rsidP="00C52754">
      <w:pPr>
        <w:pStyle w:val="List2"/>
      </w:pPr>
      <w:r>
        <w:t xml:space="preserve">leadership is crucial and must come from the top of the judiciary, but must also extend to the judges generally, throughout the diverse </w:t>
      </w:r>
      <w:proofErr w:type="gramStart"/>
      <w:r>
        <w:t>courts;</w:t>
      </w:r>
      <w:proofErr w:type="gramEnd"/>
    </w:p>
    <w:p w14:paraId="2C00B4BB" w14:textId="1137A383" w:rsidR="00B0545B" w:rsidRDefault="00B0545B" w:rsidP="00C52754">
      <w:pPr>
        <w:pStyle w:val="List2"/>
      </w:pPr>
      <w:r>
        <w:t xml:space="preserve">there must be commitment to the goal of a </w:t>
      </w:r>
      <w:r w:rsidR="00361CF7">
        <w:t>“</w:t>
      </w:r>
      <w:r>
        <w:t>welcoming and civil workplace</w:t>
      </w:r>
      <w:r w:rsidR="00361CF7">
        <w:t>”</w:t>
      </w:r>
      <w:r>
        <w:t xml:space="preserve">, backed up by </w:t>
      </w:r>
      <w:r w:rsidR="001E1AF5">
        <w:t>“</w:t>
      </w:r>
      <w:r>
        <w:t>educational programs, performance reviews and mechanisms for motivating positive change</w:t>
      </w:r>
      <w:r w:rsidR="00F4307F">
        <w:t>”</w:t>
      </w:r>
      <w:r>
        <w:t xml:space="preserve"> from the judges, executives, </w:t>
      </w:r>
      <w:proofErr w:type="gramStart"/>
      <w:r>
        <w:t>supervisors</w:t>
      </w:r>
      <w:proofErr w:type="gramEnd"/>
      <w:r>
        <w:t xml:space="preserve"> and managers at every level.</w:t>
      </w:r>
    </w:p>
    <w:p w14:paraId="4F2FD321" w14:textId="6841F47B" w:rsidR="00B0545B" w:rsidRDefault="00B0545B" w:rsidP="00C52754">
      <w:pPr>
        <w:pStyle w:val="List2"/>
      </w:pPr>
      <w:r>
        <w:t xml:space="preserve">Employees must see that </w:t>
      </w:r>
      <w:r w:rsidR="007768E3">
        <w:t>“</w:t>
      </w:r>
      <w:r>
        <w:t>bad behaviour will not stand and that everyone complicit in that behaviour will be held responsible</w:t>
      </w:r>
      <w:r w:rsidR="007B446A">
        <w:t>”</w:t>
      </w:r>
      <w:r>
        <w:t>.</w:t>
      </w:r>
    </w:p>
    <w:p w14:paraId="4D51B8B8" w14:textId="4D1CC488" w:rsidR="004D6E99" w:rsidRDefault="004D6E99" w:rsidP="0004466F">
      <w:pPr>
        <w:pStyle w:val="ListParagraph"/>
      </w:pPr>
      <w:r>
        <w:t xml:space="preserve">The Working Group identified </w:t>
      </w:r>
      <w:r w:rsidR="004D7A26">
        <w:t>short-term</w:t>
      </w:r>
      <w:r>
        <w:t xml:space="preserve"> contract employment as a significant problem.  It</w:t>
      </w:r>
      <w:r w:rsidR="00BB20D0">
        <w:t> </w:t>
      </w:r>
      <w:r>
        <w:t>stated:</w:t>
      </w:r>
      <w:r w:rsidR="00813C2A">
        <w:rPr>
          <w:rFonts w:ascii="ZWAdobeF" w:hAnsi="ZWAdobeF" w:cs="ZWAdobeF"/>
          <w:sz w:val="2"/>
          <w:szCs w:val="2"/>
        </w:rPr>
        <w:t>84F</w:t>
      </w:r>
      <w:r w:rsidR="00704B18">
        <w:rPr>
          <w:rFonts w:ascii="ZWAdobeF" w:hAnsi="ZWAdobeF" w:cs="ZWAdobeF"/>
          <w:sz w:val="2"/>
          <w:szCs w:val="2"/>
        </w:rPr>
        <w:t>106F</w:t>
      </w:r>
      <w:r>
        <w:rPr>
          <w:rStyle w:val="FootnoteReference"/>
        </w:rPr>
        <w:footnoteReference w:id="75"/>
      </w:r>
      <w:r>
        <w:t xml:space="preserve"> </w:t>
      </w:r>
    </w:p>
    <w:p w14:paraId="7A7949E3" w14:textId="3231279D" w:rsidR="00954CED" w:rsidRDefault="00954CED" w:rsidP="006A3CA0">
      <w:pPr>
        <w:pStyle w:val="Quote"/>
      </w:pPr>
      <w:r>
        <w:t>Although</w:t>
      </w:r>
      <w:r w:rsidR="004D6E99">
        <w:t xml:space="preserve"> the reluctance to report misconduct arises in all employment categories, it deserves special attention in the case of law clerks, most of whom serve in the courts for only one to two years.  </w:t>
      </w:r>
      <w:r>
        <w:t xml:space="preserve">… </w:t>
      </w:r>
      <w:r w:rsidR="004D6E99">
        <w:t xml:space="preserve">Law clerks, who are typically at the start of their legal careers…work in close quarters with their judge providing confidential support in an isolating environment.  There is an acute “power disparity” between a life tenured judge, who is a person of stature and influence, and a law clerk.  Law clerks face strong disincentives to report inappropriate conduct.  The law clerk who reports misconduct may understandably fear that the complaint will permanently destroy the bond of trust between the judge and the clerk and cause unwelcome strife in the chambers.  Law clerks know that a judge’s recommendation often plays a role in the individual’s future job prospects.  A judge’s </w:t>
      </w:r>
      <w:proofErr w:type="spellStart"/>
      <w:r>
        <w:t>rancor</w:t>
      </w:r>
      <w:proofErr w:type="spellEnd"/>
      <w:r w:rsidR="004D6E99">
        <w:t xml:space="preserve"> may result in embarrassment among peers, tarnish the </w:t>
      </w:r>
      <w:proofErr w:type="gramStart"/>
      <w:r w:rsidR="004D6E99">
        <w:t>clerks</w:t>
      </w:r>
      <w:proofErr w:type="gramEnd"/>
      <w:r w:rsidR="004D6E99">
        <w:t xml:space="preserve"> professional reputation, and curtail career opportunities.</w:t>
      </w:r>
    </w:p>
    <w:p w14:paraId="58571C86" w14:textId="24052E57" w:rsidR="00954CED" w:rsidRDefault="00954CED" w:rsidP="00B45B81">
      <w:pPr>
        <w:pStyle w:val="ListParagraph"/>
        <w:keepNext/>
      </w:pPr>
      <w:r>
        <w:lastRenderedPageBreak/>
        <w:t>The Working Group proposed vigilance on the part of judges themselves as a solution. It</w:t>
      </w:r>
      <w:r w:rsidR="00BB20D0">
        <w:t> </w:t>
      </w:r>
      <w:r>
        <w:t>stated:</w:t>
      </w:r>
      <w:r w:rsidR="00813C2A">
        <w:rPr>
          <w:rFonts w:ascii="ZWAdobeF" w:hAnsi="ZWAdobeF" w:cs="ZWAdobeF"/>
          <w:sz w:val="2"/>
          <w:szCs w:val="2"/>
        </w:rPr>
        <w:t>85F</w:t>
      </w:r>
      <w:r w:rsidR="00704B18">
        <w:rPr>
          <w:rFonts w:ascii="ZWAdobeF" w:hAnsi="ZWAdobeF" w:cs="ZWAdobeF"/>
          <w:sz w:val="2"/>
          <w:szCs w:val="2"/>
        </w:rPr>
        <w:t>107F</w:t>
      </w:r>
      <w:r w:rsidR="006E213F">
        <w:rPr>
          <w:rStyle w:val="FootnoteReference"/>
        </w:rPr>
        <w:footnoteReference w:id="76"/>
      </w:r>
    </w:p>
    <w:p w14:paraId="773C6DC3" w14:textId="0D96482F" w:rsidR="00A50490" w:rsidRDefault="00A50490" w:rsidP="006A3CA0">
      <w:pPr>
        <w:pStyle w:val="Quote"/>
      </w:pPr>
      <w:r>
        <w:t xml:space="preserve">…[t]he virtues of mutual respect, independence, and collegiality should not prevent a judge from intervening when necessary to protect an employee from another judge’s inappropriate conduct. </w:t>
      </w:r>
    </w:p>
    <w:p w14:paraId="595BD95D" w14:textId="7EFFC57D" w:rsidR="00A50490" w:rsidRDefault="00A50490" w:rsidP="006A3CA0">
      <w:pPr>
        <w:pStyle w:val="Quote"/>
      </w:pPr>
      <w:r>
        <w:t>…</w:t>
      </w:r>
    </w:p>
    <w:p w14:paraId="4BC8A328" w14:textId="3F216659" w:rsidR="004D6E99" w:rsidRDefault="00A50490" w:rsidP="006A3CA0">
      <w:pPr>
        <w:pStyle w:val="Quote"/>
      </w:pPr>
      <w:r>
        <w:t>The Code of Conduct should make clearer that judges cannot turn a blind eye to a colleague’s mistreatment of employees, and the training programs for new and experienced judges should provide direction on how to navigate this sensitive issue without eroding the distinctive values of the Judicial Branch.</w:t>
      </w:r>
    </w:p>
    <w:p w14:paraId="6B281596" w14:textId="28041428" w:rsidR="004D6E99" w:rsidRPr="00714753" w:rsidRDefault="004D6E99" w:rsidP="00D07BC5">
      <w:pPr>
        <w:pStyle w:val="ListParagraph"/>
        <w:keepNext/>
      </w:pPr>
      <w:r w:rsidRPr="00714753">
        <w:t xml:space="preserve">The Working Group </w:t>
      </w:r>
      <w:r w:rsidR="00D75493" w:rsidRPr="00714753">
        <w:t xml:space="preserve">also </w:t>
      </w:r>
      <w:r w:rsidRPr="00714753">
        <w:t>advocated:</w:t>
      </w:r>
    </w:p>
    <w:p w14:paraId="1F571677" w14:textId="75CF8AAE" w:rsidR="004D6E99" w:rsidRPr="00714753" w:rsidRDefault="004D6E99" w:rsidP="00C52754">
      <w:pPr>
        <w:pStyle w:val="List2"/>
      </w:pPr>
      <w:r w:rsidRPr="00714753">
        <w:t xml:space="preserve">Codes of Conduct for judges to clarify and make explicit that </w:t>
      </w:r>
      <w:r w:rsidR="004A029A">
        <w:t>“</w:t>
      </w:r>
      <w:r w:rsidRPr="00714753">
        <w:t>disrespect, abuse and harassment are impermissible and should be reported</w:t>
      </w:r>
      <w:r w:rsidR="004A029A">
        <w:t>”</w:t>
      </w:r>
      <w:r w:rsidRPr="00714753">
        <w:t>;</w:t>
      </w:r>
      <w:r w:rsidR="00813C2A">
        <w:rPr>
          <w:rFonts w:ascii="ZWAdobeF" w:hAnsi="ZWAdobeF" w:cs="ZWAdobeF"/>
          <w:sz w:val="2"/>
          <w:szCs w:val="2"/>
        </w:rPr>
        <w:t>86F</w:t>
      </w:r>
      <w:r w:rsidR="00704B18">
        <w:rPr>
          <w:rFonts w:ascii="ZWAdobeF" w:hAnsi="ZWAdobeF" w:cs="ZWAdobeF"/>
          <w:sz w:val="2"/>
          <w:szCs w:val="2"/>
        </w:rPr>
        <w:t>108F</w:t>
      </w:r>
      <w:r w:rsidR="00714753">
        <w:rPr>
          <w:rStyle w:val="FootnoteReference"/>
        </w:rPr>
        <w:footnoteReference w:id="77"/>
      </w:r>
    </w:p>
    <w:p w14:paraId="6B05A13B" w14:textId="36083590" w:rsidR="004D6E99" w:rsidRPr="00714753" w:rsidRDefault="004D6E99" w:rsidP="00C52754">
      <w:pPr>
        <w:pStyle w:val="List2"/>
      </w:pPr>
      <w:r w:rsidRPr="00714753">
        <w:t>Codes and publications to make clearer that confidentiality obligations do not prevent an employee from reporting misconduct</w:t>
      </w:r>
      <w:r w:rsidR="00714753">
        <w:t>;</w:t>
      </w:r>
      <w:r w:rsidR="00813C2A">
        <w:rPr>
          <w:rFonts w:ascii="ZWAdobeF" w:hAnsi="ZWAdobeF" w:cs="ZWAdobeF"/>
          <w:sz w:val="2"/>
          <w:szCs w:val="2"/>
        </w:rPr>
        <w:t>87F</w:t>
      </w:r>
      <w:r w:rsidR="00704B18">
        <w:rPr>
          <w:rFonts w:ascii="ZWAdobeF" w:hAnsi="ZWAdobeF" w:cs="ZWAdobeF"/>
          <w:sz w:val="2"/>
          <w:szCs w:val="2"/>
        </w:rPr>
        <w:t>109F</w:t>
      </w:r>
      <w:r w:rsidR="00714753">
        <w:rPr>
          <w:rStyle w:val="FootnoteReference"/>
        </w:rPr>
        <w:footnoteReference w:id="78"/>
      </w:r>
    </w:p>
    <w:p w14:paraId="520731A5" w14:textId="73FBB4FE" w:rsidR="004D6E99" w:rsidRPr="00714753" w:rsidRDefault="004D6E99" w:rsidP="00C52754">
      <w:pPr>
        <w:pStyle w:val="List2"/>
      </w:pPr>
      <w:r w:rsidRPr="00714753">
        <w:t>ensure that avoidance of sexual harassment or inappropriate behaviour does not work to exclude any groups from opportunities;</w:t>
      </w:r>
      <w:r w:rsidR="00813C2A">
        <w:rPr>
          <w:rFonts w:ascii="ZWAdobeF" w:hAnsi="ZWAdobeF" w:cs="ZWAdobeF"/>
          <w:sz w:val="2"/>
          <w:szCs w:val="2"/>
        </w:rPr>
        <w:t>88F</w:t>
      </w:r>
      <w:r w:rsidR="00704B18">
        <w:rPr>
          <w:rFonts w:ascii="ZWAdobeF" w:hAnsi="ZWAdobeF" w:cs="ZWAdobeF"/>
          <w:sz w:val="2"/>
          <w:szCs w:val="2"/>
        </w:rPr>
        <w:t>110F</w:t>
      </w:r>
      <w:r w:rsidR="00714753">
        <w:rPr>
          <w:rStyle w:val="FootnoteReference"/>
        </w:rPr>
        <w:footnoteReference w:id="79"/>
      </w:r>
      <w:r w:rsidR="00714753">
        <w:t xml:space="preserve"> and</w:t>
      </w:r>
    </w:p>
    <w:p w14:paraId="5E87FF84" w14:textId="1A5B72C1" w:rsidR="004D6E99" w:rsidRPr="00714753" w:rsidRDefault="004D6E99" w:rsidP="00C52754">
      <w:pPr>
        <w:pStyle w:val="List2"/>
      </w:pPr>
      <w:r w:rsidRPr="00714753">
        <w:t>clarified complaints procedures, including lists of key contacts</w:t>
      </w:r>
      <w:r w:rsidR="00714753">
        <w:t>.</w:t>
      </w:r>
      <w:r w:rsidR="00813C2A">
        <w:rPr>
          <w:rFonts w:ascii="ZWAdobeF" w:hAnsi="ZWAdobeF" w:cs="ZWAdobeF"/>
          <w:sz w:val="2"/>
          <w:szCs w:val="2"/>
        </w:rPr>
        <w:t>89F</w:t>
      </w:r>
      <w:r w:rsidR="00704B18">
        <w:rPr>
          <w:rFonts w:ascii="ZWAdobeF" w:hAnsi="ZWAdobeF" w:cs="ZWAdobeF"/>
          <w:sz w:val="2"/>
          <w:szCs w:val="2"/>
        </w:rPr>
        <w:t>111F</w:t>
      </w:r>
      <w:r w:rsidR="00714753">
        <w:rPr>
          <w:rStyle w:val="FootnoteReference"/>
        </w:rPr>
        <w:footnoteReference w:id="80"/>
      </w:r>
    </w:p>
    <w:p w14:paraId="7AE0B2D3" w14:textId="34ADE8D9" w:rsidR="0041169A" w:rsidRDefault="0041169A" w:rsidP="0004466F">
      <w:pPr>
        <w:pStyle w:val="ListParagraph"/>
      </w:pPr>
      <w:r>
        <w:t>The Federal Judiciary Workplace Conduct Group</w:t>
      </w:r>
      <w:r w:rsidR="00BD4080">
        <w:t>’s report</w:t>
      </w:r>
      <w:r>
        <w:t xml:space="preserve"> acknowledged that the American Judiciary shared common features with other American public and private workplaces, although it was unique in certain respects.  On the one hand</w:t>
      </w:r>
      <w:r w:rsidR="008E3972">
        <w:t>, the following factors tended to mitigate risk</w:t>
      </w:r>
      <w:r>
        <w:t>:</w:t>
      </w:r>
      <w:r w:rsidR="00813C2A">
        <w:rPr>
          <w:rFonts w:ascii="ZWAdobeF" w:hAnsi="ZWAdobeF" w:cs="ZWAdobeF"/>
          <w:sz w:val="2"/>
          <w:szCs w:val="2"/>
        </w:rPr>
        <w:t>90F</w:t>
      </w:r>
      <w:r w:rsidR="00704B18">
        <w:rPr>
          <w:rFonts w:ascii="ZWAdobeF" w:hAnsi="ZWAdobeF" w:cs="ZWAdobeF"/>
          <w:sz w:val="2"/>
          <w:szCs w:val="2"/>
        </w:rPr>
        <w:t>112F</w:t>
      </w:r>
      <w:r w:rsidR="00380D9B">
        <w:rPr>
          <w:rStyle w:val="FootnoteReference"/>
        </w:rPr>
        <w:footnoteReference w:id="81"/>
      </w:r>
    </w:p>
    <w:p w14:paraId="19393CDE" w14:textId="77777777" w:rsidR="0041169A" w:rsidRDefault="0041169A" w:rsidP="00C52754">
      <w:pPr>
        <w:pStyle w:val="List2"/>
      </w:pPr>
      <w:r>
        <w:t xml:space="preserve">the rigorous screening of judges through the judicial vetting prior to </w:t>
      </w:r>
      <w:proofErr w:type="gramStart"/>
      <w:r>
        <w:t>appointment;</w:t>
      </w:r>
      <w:proofErr w:type="gramEnd"/>
    </w:p>
    <w:p w14:paraId="43E0DFFF" w14:textId="77777777" w:rsidR="0041169A" w:rsidRDefault="0041169A" w:rsidP="00C52754">
      <w:pPr>
        <w:pStyle w:val="List2"/>
      </w:pPr>
      <w:r>
        <w:t xml:space="preserve">the judiciary’s institutional role involving commitment to fairness and the rule of </w:t>
      </w:r>
      <w:proofErr w:type="gramStart"/>
      <w:r>
        <w:t>law;</w:t>
      </w:r>
      <w:proofErr w:type="gramEnd"/>
      <w:r>
        <w:t xml:space="preserve"> </w:t>
      </w:r>
    </w:p>
    <w:p w14:paraId="24FE2131" w14:textId="77777777" w:rsidR="0041169A" w:rsidRDefault="0041169A" w:rsidP="00C52754">
      <w:pPr>
        <w:pStyle w:val="List2"/>
      </w:pPr>
      <w:r>
        <w:t>the fact that most employees are subject to pre</w:t>
      </w:r>
      <w:r>
        <w:noBreakHyphen/>
        <w:t xml:space="preserve">employment background </w:t>
      </w:r>
      <w:proofErr w:type="gramStart"/>
      <w:r>
        <w:t>investigations;</w:t>
      </w:r>
      <w:proofErr w:type="gramEnd"/>
    </w:p>
    <w:p w14:paraId="444C0953" w14:textId="4D653070" w:rsidR="0041169A" w:rsidRDefault="0041169A" w:rsidP="00C52754">
      <w:pPr>
        <w:pStyle w:val="List2"/>
      </w:pPr>
      <w:r>
        <w:t xml:space="preserve">long-maintained </w:t>
      </w:r>
      <w:r w:rsidR="00685FA8">
        <w:t xml:space="preserve">codes </w:t>
      </w:r>
      <w:r>
        <w:t xml:space="preserve">of professional </w:t>
      </w:r>
      <w:proofErr w:type="gramStart"/>
      <w:r>
        <w:t>conduct;</w:t>
      </w:r>
      <w:proofErr w:type="gramEnd"/>
    </w:p>
    <w:p w14:paraId="340E9BA8" w14:textId="553A24A2" w:rsidR="0041169A" w:rsidRDefault="0041169A" w:rsidP="00C52754">
      <w:pPr>
        <w:pStyle w:val="List2"/>
      </w:pPr>
      <w:r>
        <w:t>a host of fair employment training and educational programs;</w:t>
      </w:r>
      <w:r w:rsidR="00E20E4A">
        <w:t xml:space="preserve"> and</w:t>
      </w:r>
    </w:p>
    <w:p w14:paraId="2F764217" w14:textId="329C3358" w:rsidR="0041169A" w:rsidRDefault="00E20E4A" w:rsidP="00C52754">
      <w:pPr>
        <w:pStyle w:val="List2"/>
      </w:pPr>
      <w:r>
        <w:lastRenderedPageBreak/>
        <w:t xml:space="preserve">judges are </w:t>
      </w:r>
      <w:r w:rsidR="0041169A">
        <w:t>subject to both statutory and regulatory programs to investigate misconduct.</w:t>
      </w:r>
    </w:p>
    <w:p w14:paraId="66D23FD3" w14:textId="6D538F2D" w:rsidR="0041169A" w:rsidRDefault="006525DC" w:rsidP="00F650B9">
      <w:pPr>
        <w:pStyle w:val="ListParagraph"/>
        <w:keepNext/>
      </w:pPr>
      <w:r>
        <w:t>The Report noted, however, that</w:t>
      </w:r>
      <w:r w:rsidR="0041169A">
        <w:t xml:space="preserve"> elements of the judicial workplace can increase the risk of misconduct or impose obstacles to addressing inappropriate behaviour effectively:</w:t>
      </w:r>
      <w:r w:rsidR="00813C2A">
        <w:rPr>
          <w:rFonts w:ascii="ZWAdobeF" w:hAnsi="ZWAdobeF" w:cs="ZWAdobeF"/>
          <w:sz w:val="2"/>
          <w:szCs w:val="2"/>
        </w:rPr>
        <w:t>91F</w:t>
      </w:r>
      <w:r w:rsidR="00704B18">
        <w:rPr>
          <w:rFonts w:ascii="ZWAdobeF" w:hAnsi="ZWAdobeF" w:cs="ZWAdobeF"/>
          <w:sz w:val="2"/>
          <w:szCs w:val="2"/>
        </w:rPr>
        <w:t>113F</w:t>
      </w:r>
      <w:r w:rsidR="00342B20">
        <w:rPr>
          <w:rStyle w:val="FootnoteReference"/>
        </w:rPr>
        <w:footnoteReference w:id="82"/>
      </w:r>
    </w:p>
    <w:p w14:paraId="2AE768D5" w14:textId="165CA72D" w:rsidR="0041169A" w:rsidRDefault="0041169A" w:rsidP="00C52754">
      <w:pPr>
        <w:pStyle w:val="List2"/>
      </w:pPr>
      <w:r>
        <w:t xml:space="preserve">significant power disparities </w:t>
      </w:r>
      <w:r w:rsidR="003B0A3B">
        <w:t xml:space="preserve">exist </w:t>
      </w:r>
      <w:r>
        <w:t xml:space="preserve">between judges and law clerks (and other employees) which may deter the latter from reporting or challenging objectionable </w:t>
      </w:r>
      <w:proofErr w:type="gramStart"/>
      <w:r>
        <w:t>conduct;</w:t>
      </w:r>
      <w:proofErr w:type="gramEnd"/>
    </w:p>
    <w:p w14:paraId="0AAD6B6E" w14:textId="77777777" w:rsidR="0041169A" w:rsidRDefault="0041169A" w:rsidP="00C52754">
      <w:pPr>
        <w:pStyle w:val="List2"/>
      </w:pPr>
      <w:r>
        <w:t xml:space="preserve">judges enjoy life tenure and are subject to discipline only through formal </w:t>
      </w:r>
      <w:proofErr w:type="gramStart"/>
      <w:r>
        <w:t>processes;</w:t>
      </w:r>
      <w:proofErr w:type="gramEnd"/>
    </w:p>
    <w:p w14:paraId="39FF0958" w14:textId="6771B1D3" w:rsidR="0041169A" w:rsidRDefault="00E20E4A" w:rsidP="00C52754">
      <w:pPr>
        <w:pStyle w:val="List2"/>
      </w:pPr>
      <w:r>
        <w:t xml:space="preserve">a </w:t>
      </w:r>
      <w:r w:rsidR="0041169A">
        <w:t>high degree of confidentiality required by judicial decision</w:t>
      </w:r>
      <w:r w:rsidR="0041169A">
        <w:noBreakHyphen/>
        <w:t xml:space="preserve">making, which clerks and chambers employees may </w:t>
      </w:r>
      <w:r w:rsidR="00787F56">
        <w:t xml:space="preserve">think forbids </w:t>
      </w:r>
      <w:r w:rsidR="00A31EB8">
        <w:t xml:space="preserve">the </w:t>
      </w:r>
      <w:r w:rsidR="0041169A">
        <w:t xml:space="preserve">reporting </w:t>
      </w:r>
      <w:r w:rsidR="00A31EB8">
        <w:t xml:space="preserve">of </w:t>
      </w:r>
      <w:r w:rsidR="0041169A">
        <w:t>misconduct.</w:t>
      </w:r>
    </w:p>
    <w:p w14:paraId="579B723F" w14:textId="39A89D52" w:rsidR="0041169A" w:rsidRPr="00A33838" w:rsidRDefault="0041169A" w:rsidP="0004466F">
      <w:pPr>
        <w:pStyle w:val="ListParagraph"/>
      </w:pPr>
      <w:r w:rsidRPr="00880B1B">
        <w:t>The Working Group referred</w:t>
      </w:r>
      <w:r w:rsidR="00813C2A">
        <w:rPr>
          <w:rFonts w:ascii="ZWAdobeF" w:hAnsi="ZWAdobeF" w:cs="ZWAdobeF"/>
          <w:sz w:val="2"/>
          <w:szCs w:val="2"/>
        </w:rPr>
        <w:t>92F</w:t>
      </w:r>
      <w:r w:rsidR="00704B18">
        <w:rPr>
          <w:rFonts w:ascii="ZWAdobeF" w:hAnsi="ZWAdobeF" w:cs="ZWAdobeF"/>
          <w:sz w:val="2"/>
          <w:szCs w:val="2"/>
        </w:rPr>
        <w:t>114F</w:t>
      </w:r>
      <w:r w:rsidR="007E7163">
        <w:rPr>
          <w:rStyle w:val="FootnoteReference"/>
        </w:rPr>
        <w:footnoteReference w:id="83"/>
      </w:r>
      <w:r w:rsidRPr="00880B1B">
        <w:t xml:space="preserve"> to the EEOC </w:t>
      </w:r>
      <w:r w:rsidR="00A33838">
        <w:t>(Equal Employment Opportunity Commission)</w:t>
      </w:r>
      <w:r w:rsidR="00E901D9">
        <w:t xml:space="preserve"> </w:t>
      </w:r>
      <w:r w:rsidRPr="00880B1B">
        <w:t xml:space="preserve">Task Force Study of Harassment in the Workforce </w:t>
      </w:r>
      <w:r w:rsidR="007E7163">
        <w:t xml:space="preserve">(2016) </w:t>
      </w:r>
      <w:r w:rsidRPr="00880B1B">
        <w:t xml:space="preserve">which explained that workplace harassment is a persistent and pervasive problem in all economic sectors, </w:t>
      </w:r>
      <w:r>
        <w:t>in all socio</w:t>
      </w:r>
      <w:r>
        <w:noBreakHyphen/>
      </w:r>
      <w:r w:rsidRPr="00880B1B">
        <w:t xml:space="preserve">economic </w:t>
      </w:r>
      <w:r>
        <w:t xml:space="preserve">classes </w:t>
      </w:r>
      <w:r w:rsidRPr="00880B1B">
        <w:t xml:space="preserve">and at all organisational levels.  As it was both widespread and under reported in workplaces, the Chief Justice </w:t>
      </w:r>
      <w:r w:rsidR="006F0523">
        <w:t xml:space="preserve">had </w:t>
      </w:r>
      <w:r w:rsidRPr="00880B1B">
        <w:t xml:space="preserve">acknowledged “there is no reason to </w:t>
      </w:r>
      <w:r>
        <w:t xml:space="preserve">believe </w:t>
      </w:r>
      <w:r w:rsidRPr="00880B1B">
        <w:t>that the judiciary is immune”.</w:t>
      </w:r>
      <w:r w:rsidR="00A33838">
        <w:t xml:space="preserve"> </w:t>
      </w:r>
      <w:r w:rsidRPr="00A33838">
        <w:t xml:space="preserve">The Working Group </w:t>
      </w:r>
      <w:r w:rsidR="00A33838">
        <w:t xml:space="preserve">cited the EEOC’s </w:t>
      </w:r>
      <w:r w:rsidR="00A33838" w:rsidRPr="00CF03D5">
        <w:t>identification of five</w:t>
      </w:r>
      <w:r w:rsidRPr="00CF03D5">
        <w:t xml:space="preserve"> ste</w:t>
      </w:r>
      <w:r w:rsidRPr="00A33838">
        <w:t>ps that employers could take to end sexual harassment:</w:t>
      </w:r>
    </w:p>
    <w:p w14:paraId="017AB601" w14:textId="77777777" w:rsidR="0041169A" w:rsidRDefault="0041169A" w:rsidP="00C52754">
      <w:pPr>
        <w:pStyle w:val="List2"/>
      </w:pPr>
      <w:r w:rsidRPr="00A33838">
        <w:t xml:space="preserve">demonstrate committed and engaged </w:t>
      </w:r>
      <w:proofErr w:type="gramStart"/>
      <w:r w:rsidRPr="00A33838">
        <w:t>leadership;</w:t>
      </w:r>
      <w:proofErr w:type="gramEnd"/>
    </w:p>
    <w:p w14:paraId="4387643C" w14:textId="32D2C997" w:rsidR="006E40BD" w:rsidRPr="00A33838" w:rsidRDefault="006E40BD" w:rsidP="00C52754">
      <w:pPr>
        <w:pStyle w:val="List2"/>
      </w:pPr>
      <w:r>
        <w:t xml:space="preserve">require consistent and demonstrated </w:t>
      </w:r>
      <w:proofErr w:type="gramStart"/>
      <w:r>
        <w:t>accountability;</w:t>
      </w:r>
      <w:proofErr w:type="gramEnd"/>
    </w:p>
    <w:p w14:paraId="5BA4F30B" w14:textId="77777777" w:rsidR="0041169A" w:rsidRPr="00A33838" w:rsidRDefault="0041169A" w:rsidP="00C52754">
      <w:pPr>
        <w:pStyle w:val="List2"/>
      </w:pPr>
      <w:r w:rsidRPr="00A33838">
        <w:t xml:space="preserve">issue strong and comprehensive </w:t>
      </w:r>
      <w:proofErr w:type="gramStart"/>
      <w:r w:rsidRPr="00A33838">
        <w:t>policies;</w:t>
      </w:r>
      <w:proofErr w:type="gramEnd"/>
    </w:p>
    <w:p w14:paraId="620CCD0E" w14:textId="77777777" w:rsidR="0041169A" w:rsidRPr="00A33838" w:rsidRDefault="0041169A" w:rsidP="00C52754">
      <w:pPr>
        <w:pStyle w:val="List2"/>
      </w:pPr>
      <w:r w:rsidRPr="00A33838">
        <w:t>offer trusted and accessible complaints procedures; and</w:t>
      </w:r>
    </w:p>
    <w:p w14:paraId="37746EA4" w14:textId="5883F4EE" w:rsidR="009629F5" w:rsidRPr="00CD19BF" w:rsidRDefault="0041169A" w:rsidP="00577F58">
      <w:pPr>
        <w:pStyle w:val="List2"/>
      </w:pPr>
      <w:r w:rsidRPr="00A33838">
        <w:t>provide regular interactive training tailored to the organisation</w:t>
      </w:r>
      <w:r w:rsidR="00E901D9">
        <w:t>.</w:t>
      </w:r>
    </w:p>
    <w:p w14:paraId="78316E8C" w14:textId="05ECBE6E" w:rsidR="004D4F4B" w:rsidRDefault="004D4F4B" w:rsidP="00B7605E">
      <w:pPr>
        <w:pStyle w:val="Heading2"/>
      </w:pPr>
      <w:bookmarkStart w:id="72" w:name="_Toc93057574"/>
      <w:bookmarkStart w:id="73" w:name="_Toc112606909"/>
      <w:r>
        <w:t xml:space="preserve">Risk factors for </w:t>
      </w:r>
      <w:r w:rsidR="004F2F88">
        <w:t xml:space="preserve">sexual </w:t>
      </w:r>
      <w:r>
        <w:t>harassment and the judiciary</w:t>
      </w:r>
      <w:r w:rsidR="001F6D16">
        <w:t xml:space="preserve"> identified in the United States</w:t>
      </w:r>
      <w:bookmarkEnd w:id="72"/>
      <w:bookmarkEnd w:id="73"/>
    </w:p>
    <w:p w14:paraId="1B6AD8CA" w14:textId="48462863" w:rsidR="004D4F4B" w:rsidRDefault="004D4F4B" w:rsidP="0004466F">
      <w:pPr>
        <w:pStyle w:val="ListParagraph"/>
        <w:spacing w:before="240"/>
      </w:pPr>
      <w:r>
        <w:t>The 2016 Equal Employment Opportunity Commission Report identified 12</w:t>
      </w:r>
      <w:r w:rsidR="004811E5">
        <w:t> </w:t>
      </w:r>
      <w:r>
        <w:t>non</w:t>
      </w:r>
      <w:r>
        <w:noBreakHyphen/>
        <w:t>exhaustive conditions that amount to risk factors</w:t>
      </w:r>
      <w:r w:rsidR="00BD1853">
        <w:t>,</w:t>
      </w:r>
      <w:r>
        <w:t xml:space="preserve"> </w:t>
      </w:r>
      <w:r w:rsidR="00EA528E">
        <w:t>o</w:t>
      </w:r>
      <w:r>
        <w:t xml:space="preserve">ne or more </w:t>
      </w:r>
      <w:r w:rsidR="001218E5">
        <w:t xml:space="preserve">of which </w:t>
      </w:r>
      <w:r>
        <w:t xml:space="preserve">could constitute fertile ground for sexual harassment to occur.  </w:t>
      </w:r>
      <w:r w:rsidR="00E268EA">
        <w:t xml:space="preserve">According to </w:t>
      </w:r>
      <w:proofErr w:type="spellStart"/>
      <w:r w:rsidR="00E268EA">
        <w:t>Litman</w:t>
      </w:r>
      <w:proofErr w:type="spellEnd"/>
      <w:r w:rsidR="00E268EA">
        <w:t xml:space="preserve"> and Shah, the </w:t>
      </w:r>
      <w:r>
        <w:t>federal judiciary exhibit</w:t>
      </w:r>
      <w:r w:rsidR="001218E5">
        <w:t>ed</w:t>
      </w:r>
      <w:r>
        <w:t xml:space="preserve"> </w:t>
      </w:r>
      <w:r w:rsidR="001218E5">
        <w:t xml:space="preserve">the following </w:t>
      </w:r>
      <w:r>
        <w:t>five factors</w:t>
      </w:r>
      <w:r w:rsidR="00AB65EA">
        <w:t>:</w:t>
      </w:r>
      <w:r w:rsidR="00813C2A">
        <w:rPr>
          <w:rFonts w:ascii="ZWAdobeF" w:hAnsi="ZWAdobeF" w:cs="ZWAdobeF"/>
          <w:sz w:val="2"/>
          <w:szCs w:val="2"/>
        </w:rPr>
        <w:t>96F</w:t>
      </w:r>
      <w:r w:rsidR="00704B18">
        <w:rPr>
          <w:rFonts w:ascii="ZWAdobeF" w:hAnsi="ZWAdobeF" w:cs="ZWAdobeF"/>
          <w:sz w:val="2"/>
          <w:szCs w:val="2"/>
        </w:rPr>
        <w:t>118F</w:t>
      </w:r>
      <w:r w:rsidR="00BA7DF6">
        <w:rPr>
          <w:rStyle w:val="FootnoteReference"/>
        </w:rPr>
        <w:footnoteReference w:id="84"/>
      </w:r>
    </w:p>
    <w:p w14:paraId="276AB114" w14:textId="1D783BE4" w:rsidR="00AB65EA" w:rsidRDefault="003530C3" w:rsidP="00C52754">
      <w:pPr>
        <w:pStyle w:val="List2"/>
      </w:pPr>
      <w:r>
        <w:rPr>
          <w:b/>
          <w:bCs/>
        </w:rPr>
        <w:t>Homogenous workforce</w:t>
      </w:r>
      <w:r>
        <w:t xml:space="preserve">. </w:t>
      </w:r>
      <w:r w:rsidR="00F84385">
        <w:t xml:space="preserve">Sexual harassment is more likely where there is a lack of diversity in the workplace. </w:t>
      </w:r>
      <w:proofErr w:type="spellStart"/>
      <w:r w:rsidR="00D933B8">
        <w:t>Litman</w:t>
      </w:r>
      <w:proofErr w:type="spellEnd"/>
      <w:r w:rsidR="00D933B8">
        <w:t xml:space="preserve"> and Shah noted a 2000 study which revealed that, </w:t>
      </w:r>
      <w:r w:rsidR="00D933B8">
        <w:lastRenderedPageBreak/>
        <w:t>between 1994 and 1998,</w:t>
      </w:r>
      <w:r w:rsidR="00F84385">
        <w:t xml:space="preserve"> </w:t>
      </w:r>
      <w:r w:rsidR="00E830D4">
        <w:t xml:space="preserve">more than </w:t>
      </w:r>
      <w:r w:rsidR="00F84385">
        <w:t xml:space="preserve">85% of federal clerks in the United States </w:t>
      </w:r>
      <w:r w:rsidR="005C16C4">
        <w:t>were</w:t>
      </w:r>
      <w:r w:rsidR="00F84385">
        <w:t xml:space="preserve"> white.</w:t>
      </w:r>
      <w:r w:rsidR="00326C73">
        <w:t xml:space="preserve"> </w:t>
      </w:r>
      <w:r w:rsidR="00F650B9">
        <w:t xml:space="preserve"> </w:t>
      </w:r>
      <w:r w:rsidR="00326C73">
        <w:t xml:space="preserve">A significant majority of federal judges are men. </w:t>
      </w:r>
    </w:p>
    <w:p w14:paraId="511E86F3" w14:textId="0C62E94D" w:rsidR="00F84385" w:rsidRDefault="002874DA" w:rsidP="00C52754">
      <w:pPr>
        <w:pStyle w:val="List2"/>
      </w:pPr>
      <w:r>
        <w:rPr>
          <w:b/>
          <w:bCs/>
        </w:rPr>
        <w:t>Workplaces with significant power disparities</w:t>
      </w:r>
      <w:r>
        <w:t xml:space="preserve">. There is a significant power disparity in the judiciary. </w:t>
      </w:r>
      <w:r w:rsidR="00C567E4">
        <w:t xml:space="preserve">Judges have real power to affect the career of clerks, and job loss reflects poorly on competence and employability. </w:t>
      </w:r>
    </w:p>
    <w:p w14:paraId="4FB62380" w14:textId="289E5B04" w:rsidR="00326C73" w:rsidRDefault="00DD4762" w:rsidP="00C52754">
      <w:pPr>
        <w:pStyle w:val="List2"/>
      </w:pPr>
      <w:r>
        <w:rPr>
          <w:b/>
          <w:bCs/>
        </w:rPr>
        <w:t>Isolated workspaces</w:t>
      </w:r>
      <w:r>
        <w:t>. Harassment is more likely for physically isolated workers. Harassers have easy access and there are few witnesses.</w:t>
      </w:r>
      <w:r w:rsidR="00F650B9">
        <w:t xml:space="preserve"> </w:t>
      </w:r>
      <w:r>
        <w:t xml:space="preserve"> Judicial chambers are entirely isolated, and judges can forbid staff to go out or </w:t>
      </w:r>
      <w:proofErr w:type="gramStart"/>
      <w:r>
        <w:t>socialise, or</w:t>
      </w:r>
      <w:proofErr w:type="gramEnd"/>
      <w:r>
        <w:t xml:space="preserve"> require them to stay late.</w:t>
      </w:r>
    </w:p>
    <w:p w14:paraId="12D47579" w14:textId="0881033C" w:rsidR="00DD4762" w:rsidRDefault="00DD4762" w:rsidP="00C52754">
      <w:pPr>
        <w:pStyle w:val="List2"/>
      </w:pPr>
      <w:r>
        <w:rPr>
          <w:b/>
          <w:bCs/>
        </w:rPr>
        <w:t>Decentralised work</w:t>
      </w:r>
      <w:r w:rsidR="006A6E7B">
        <w:rPr>
          <w:b/>
          <w:bCs/>
        </w:rPr>
        <w:t>place</w:t>
      </w:r>
      <w:r w:rsidR="006A6E7B">
        <w:t xml:space="preserve">. If there is limited communication between organisational levels, sexual harassment may go unchecked. </w:t>
      </w:r>
      <w:r w:rsidR="00F650B9">
        <w:t xml:space="preserve"> </w:t>
      </w:r>
      <w:r w:rsidR="006A6E7B">
        <w:t xml:space="preserve">The judicial workplace is almost entirely decentralised. </w:t>
      </w:r>
      <w:r w:rsidR="00F650B9">
        <w:t xml:space="preserve"> </w:t>
      </w:r>
      <w:r w:rsidR="006A6E7B">
        <w:t xml:space="preserve">Although the Chief Judge may be seen as senior management, the communication between levels is limited and there appear to be no rules requiring judges to report on employment issues. </w:t>
      </w:r>
      <w:r w:rsidR="00F650B9">
        <w:t xml:space="preserve"> </w:t>
      </w:r>
      <w:r w:rsidR="00B37B48">
        <w:t xml:space="preserve">Judges have incentives not to act as checks on one another.  Even if misconduct is an “open secret”, they are reluctant to address it and do not interfere in how other judges run their chambers.  They may want to preserve a good personal relationship with other judges, as they must work together. Further, judicial chambers are hierarchical fiefdoms that lead to judicial isolation. The purported rationale is judicial independence, but the result is unchecked judicial power in an employment context. </w:t>
      </w:r>
    </w:p>
    <w:p w14:paraId="72376F0F" w14:textId="7DC8F218" w:rsidR="001F1AAE" w:rsidRDefault="001F1AAE" w:rsidP="00C52754">
      <w:pPr>
        <w:pStyle w:val="List2"/>
      </w:pPr>
      <w:r>
        <w:rPr>
          <w:b/>
          <w:bCs/>
        </w:rPr>
        <w:t>Workplaces with high-value employees</w:t>
      </w:r>
      <w:r>
        <w:t xml:space="preserve">. </w:t>
      </w:r>
      <w:r w:rsidR="000101F7">
        <w:t>There is reluctance to challenge the behaviours of highly valued employees (or in this context, judges) who may believe that workplace rules do not apply to them.  Judges may be appointed for life and be removable only by impeachment, which is uncommon</w:t>
      </w:r>
      <w:r w:rsidR="00BA7DF6">
        <w:t>.</w:t>
      </w:r>
    </w:p>
    <w:p w14:paraId="20FC8120" w14:textId="71265887" w:rsidR="00BD1853" w:rsidRDefault="00BD1853" w:rsidP="00BD1853">
      <w:pPr>
        <w:pStyle w:val="Heading1"/>
      </w:pPr>
      <w:bookmarkStart w:id="74" w:name="_Toc112606910"/>
      <w:r>
        <w:t>Risk Factors in Victorian Courts</w:t>
      </w:r>
      <w:bookmarkEnd w:id="74"/>
    </w:p>
    <w:p w14:paraId="53F69EE7" w14:textId="28A3446E" w:rsidR="00BD1853" w:rsidRPr="00BD1853" w:rsidRDefault="00BD1853" w:rsidP="00BD1853">
      <w:pPr>
        <w:pStyle w:val="Heading2"/>
      </w:pPr>
      <w:bookmarkStart w:id="75" w:name="_Toc112606911"/>
      <w:r>
        <w:t>Supreme Court</w:t>
      </w:r>
      <w:bookmarkEnd w:id="75"/>
    </w:p>
    <w:p w14:paraId="6E8483CF" w14:textId="051DD350" w:rsidR="00BD1853" w:rsidRDefault="00BD1853" w:rsidP="00BD1853">
      <w:pPr>
        <w:pStyle w:val="ListParagraph"/>
      </w:pPr>
      <w:r>
        <w:t xml:space="preserve">In our opinion, the Supreme Court of Victoria displays </w:t>
      </w:r>
      <w:proofErr w:type="gramStart"/>
      <w:r w:rsidR="000832AE">
        <w:t>all of</w:t>
      </w:r>
      <w:proofErr w:type="gramEnd"/>
      <w:r w:rsidR="000832AE">
        <w:t xml:space="preserve"> the above </w:t>
      </w:r>
      <w:r>
        <w:t>risk factors for the occurrence of sexual harassment.  It is an extremely hierarchical workplace with significant power disparities between the judges and all other staff</w:t>
      </w:r>
      <w:r w:rsidR="000832AE">
        <w:t>,</w:t>
      </w:r>
      <w:r>
        <w:t xml:space="preserve"> but most particularly</w:t>
      </w:r>
      <w:r w:rsidR="000832AE">
        <w:t>,</w:t>
      </w:r>
      <w:r>
        <w:t xml:space="preserve"> chambers</w:t>
      </w:r>
      <w:r w:rsidR="001B4F9A">
        <w:t>’</w:t>
      </w:r>
      <w:r>
        <w:t xml:space="preserve"> staff, including junior support staff</w:t>
      </w:r>
      <w:r w:rsidR="00D95EDC">
        <w:t>,</w:t>
      </w:r>
      <w:r>
        <w:t xml:space="preserve"> such as associates.</w:t>
      </w:r>
    </w:p>
    <w:p w14:paraId="21473B30" w14:textId="52CCA218" w:rsidR="00B25255" w:rsidRDefault="00BD1853" w:rsidP="00D52AB3">
      <w:pPr>
        <w:pStyle w:val="ListParagraph"/>
      </w:pPr>
      <w:r>
        <w:t xml:space="preserve">Although the balance between male and female judges is becoming more equal and both the current Chief Justice and the President of the Court of Appeal are women, </w:t>
      </w:r>
      <w:proofErr w:type="gramStart"/>
      <w:r>
        <w:t>a majority of</w:t>
      </w:r>
      <w:proofErr w:type="gramEnd"/>
      <w:r>
        <w:t xml:space="preserve"> judges are male.  The workforce appears to be </w:t>
      </w:r>
      <w:r w:rsidR="001B4F9A">
        <w:t xml:space="preserve">relatively </w:t>
      </w:r>
      <w:r>
        <w:t xml:space="preserve">homogeneous.  The architecture and layout of the court result in physical isolation.  The workplace is very decentralised.  </w:t>
      </w:r>
      <w:r>
        <w:lastRenderedPageBreak/>
        <w:t>Communication between the various levels and categories of workers are limited.  The</w:t>
      </w:r>
      <w:r w:rsidR="00F650B9">
        <w:t> </w:t>
      </w:r>
      <w:r>
        <w:t>workplace is segregated as many workers do not meet or know each other.  Although most other staff members know the judges by sight and name, the judges m</w:t>
      </w:r>
      <w:r w:rsidR="00B25255">
        <w:t xml:space="preserve">ay not know or even recognise many staff members apart from their own chambers staff.  The difficulty is compounded by the shifting population of </w:t>
      </w:r>
      <w:r w:rsidR="004D7A26">
        <w:t>short-term</w:t>
      </w:r>
      <w:r w:rsidR="00B25255">
        <w:t xml:space="preserve"> associates and the heavy workload.  The judges are a classical and extreme example of </w:t>
      </w:r>
      <w:r w:rsidR="00EB6A23">
        <w:t>“</w:t>
      </w:r>
      <w:r w:rsidR="00B25255">
        <w:t>high value employees</w:t>
      </w:r>
      <w:r w:rsidR="00EB6A23">
        <w:t>”</w:t>
      </w:r>
      <w:r w:rsidR="00B25255">
        <w:t>, as they legitimately exercise greater power</w:t>
      </w:r>
      <w:r w:rsidR="008F4BD3">
        <w:t>,</w:t>
      </w:r>
      <w:r w:rsidR="00B25255">
        <w:t xml:space="preserve"> are, broadly, subject to no higher authority and cannot be removed from office save by a cumbersome and very rarely invoked process.</w:t>
      </w:r>
    </w:p>
    <w:p w14:paraId="0F54238B" w14:textId="7DC8D056" w:rsidR="00B25255" w:rsidRDefault="00B25255" w:rsidP="00BD1853">
      <w:pPr>
        <w:pStyle w:val="ListParagraph"/>
      </w:pPr>
      <w:r>
        <w:t xml:space="preserve">To the above </w:t>
      </w:r>
      <w:r w:rsidR="008F4BD3">
        <w:t>well</w:t>
      </w:r>
      <w:r w:rsidR="008F4BD3">
        <w:noBreakHyphen/>
      </w:r>
      <w:r>
        <w:t xml:space="preserve">recognised risk factors, we would add some risk factors </w:t>
      </w:r>
      <w:r w:rsidR="008F4BD3">
        <w:t>peculi</w:t>
      </w:r>
      <w:r w:rsidR="00B42C1D">
        <w:t>ar</w:t>
      </w:r>
      <w:r w:rsidR="008F4BD3">
        <w:t xml:space="preserve"> </w:t>
      </w:r>
      <w:r>
        <w:t>to judges and curial workplaces.  Most obviously, there is the unique working relationship of judge and associate which necessarily involves an unusual mutual proximity and dependency</w:t>
      </w:r>
      <w:r w:rsidR="00B92069">
        <w:t>.</w:t>
      </w:r>
      <w:r>
        <w:t xml:space="preserve"> </w:t>
      </w:r>
      <w:r w:rsidR="00B92069">
        <w:t xml:space="preserve"> This</w:t>
      </w:r>
      <w:r w:rsidR="00D07BC5">
        <w:t> </w:t>
      </w:r>
      <w:r>
        <w:t>offer</w:t>
      </w:r>
      <w:r w:rsidR="00B92069">
        <w:t>s</w:t>
      </w:r>
      <w:r>
        <w:t xml:space="preserve"> the associate crucial professional </w:t>
      </w:r>
      <w:proofErr w:type="gramStart"/>
      <w:r>
        <w:t>benefits</w:t>
      </w:r>
      <w:r w:rsidR="00B92069">
        <w:t>,</w:t>
      </w:r>
      <w:r>
        <w:t xml:space="preserve"> but</w:t>
      </w:r>
      <w:proofErr w:type="gramEnd"/>
      <w:r>
        <w:t xml:space="preserve"> engender</w:t>
      </w:r>
      <w:r w:rsidR="00B92069">
        <w:t>s</w:t>
      </w:r>
      <w:r>
        <w:t xml:space="preserve"> great vulnerabilities.  The integral vulnerability is exacerbated by the current norm of </w:t>
      </w:r>
      <w:r w:rsidR="004D7A26">
        <w:t>short-term</w:t>
      </w:r>
      <w:r w:rsidR="00B92069">
        <w:t>,</w:t>
      </w:r>
      <w:r>
        <w:t xml:space="preserve"> insecure employment and </w:t>
      </w:r>
      <w:r w:rsidR="00B92069">
        <w:t xml:space="preserve">recruiting </w:t>
      </w:r>
      <w:r>
        <w:t>high achieving law graduates at the outset of their career.</w:t>
      </w:r>
    </w:p>
    <w:p w14:paraId="096469ED" w14:textId="28FAEEFA" w:rsidR="00B25255" w:rsidRDefault="00E31279" w:rsidP="00BD1853">
      <w:pPr>
        <w:pStyle w:val="ListParagraph"/>
      </w:pPr>
      <w:r>
        <w:t>Further, due to the high status of the judge in professional legal circles generally, junior legal professionals, law students and other court workers who are not associates</w:t>
      </w:r>
      <w:r w:rsidR="00F07D5F">
        <w:t xml:space="preserve"> may share virtually the same vulnerability</w:t>
      </w:r>
      <w:r>
        <w:t>.  Judges are frequently requested or encouraged to meet with, assist and mentor young persons in the profession, who may be in awe of the judge.</w:t>
      </w:r>
    </w:p>
    <w:p w14:paraId="21682918" w14:textId="072817A3" w:rsidR="00B25255" w:rsidRDefault="00F07D5F" w:rsidP="00BD1853">
      <w:pPr>
        <w:pStyle w:val="ListParagraph"/>
      </w:pPr>
      <w:r>
        <w:t xml:space="preserve">The </w:t>
      </w:r>
      <w:r w:rsidR="00E31279">
        <w:t xml:space="preserve">role of the judge is isolating, as the workload is heavy, sometimes </w:t>
      </w:r>
      <w:proofErr w:type="gramStart"/>
      <w:r w:rsidR="00E31279">
        <w:t>urgent</w:t>
      </w:r>
      <w:proofErr w:type="gramEnd"/>
      <w:r w:rsidR="00E31279">
        <w:t xml:space="preserve"> and often stressful.  </w:t>
      </w:r>
      <w:r>
        <w:t xml:space="preserve">Judges may experience </w:t>
      </w:r>
      <w:r w:rsidR="00E31279">
        <w:t>a painful contrast</w:t>
      </w:r>
      <w:r w:rsidR="00E04A77">
        <w:t xml:space="preserve"> with the camaraderie, wide social interactions and peer support of the bar or a solicitors</w:t>
      </w:r>
      <w:r w:rsidR="00F26C09">
        <w:t>’</w:t>
      </w:r>
      <w:r w:rsidR="00E04A77">
        <w:t xml:space="preserve"> firm</w:t>
      </w:r>
      <w:r w:rsidR="00F26C09">
        <w:t>,</w:t>
      </w:r>
      <w:r w:rsidR="00E04A77">
        <w:t xml:space="preserve"> from which most judges are recruited.</w:t>
      </w:r>
    </w:p>
    <w:p w14:paraId="6E3F32CD" w14:textId="66EB3AC1" w:rsidR="00B25255" w:rsidRDefault="00D41477" w:rsidP="00D41477">
      <w:pPr>
        <w:pStyle w:val="Heading2"/>
      </w:pPr>
      <w:bookmarkStart w:id="76" w:name="_Toc112606912"/>
      <w:r>
        <w:t>County Court</w:t>
      </w:r>
      <w:bookmarkEnd w:id="76"/>
    </w:p>
    <w:p w14:paraId="091D6A4F" w14:textId="5596D651" w:rsidR="00B25255" w:rsidRDefault="00D41477" w:rsidP="00BD1853">
      <w:pPr>
        <w:pStyle w:val="ListParagraph"/>
      </w:pPr>
      <w:r>
        <w:t xml:space="preserve">The County Court shares similar risk factors to the Supreme </w:t>
      </w:r>
      <w:proofErr w:type="gramStart"/>
      <w:r>
        <w:t>Court, but</w:t>
      </w:r>
      <w:proofErr w:type="gramEnd"/>
      <w:r>
        <w:t xml:space="preserve"> has a better architecture and layout.  </w:t>
      </w:r>
      <w:r w:rsidR="005402A5">
        <w:t xml:space="preserve">Associates sit together in groups in open plan. </w:t>
      </w:r>
      <w:r>
        <w:t>It also has a somewhat more balanced gender distribution of judges who may, on average, be younger and include more non</w:t>
      </w:r>
      <w:r>
        <w:noBreakHyphen/>
        <w:t>barristers.</w:t>
      </w:r>
    </w:p>
    <w:p w14:paraId="60476EAF" w14:textId="3B3518C3" w:rsidR="00D41477" w:rsidRDefault="00D41477" w:rsidP="00D41477">
      <w:pPr>
        <w:pStyle w:val="Heading2"/>
      </w:pPr>
      <w:bookmarkStart w:id="77" w:name="_Toc112606913"/>
      <w:r>
        <w:t>The Other Courts</w:t>
      </w:r>
      <w:bookmarkEnd w:id="77"/>
    </w:p>
    <w:p w14:paraId="7A728AD3" w14:textId="1598DB3E" w:rsidR="00D41477" w:rsidRPr="00D41477" w:rsidRDefault="00D41477" w:rsidP="00D41477">
      <w:pPr>
        <w:pStyle w:val="ListParagraph"/>
      </w:pPr>
      <w:r>
        <w:t xml:space="preserve">As discussed </w:t>
      </w:r>
      <w:r w:rsidR="00D51BFA">
        <w:t xml:space="preserve">in detail </w:t>
      </w:r>
      <w:r>
        <w:t>above, the risk factors are much less pronounced.</w:t>
      </w:r>
    </w:p>
    <w:p w14:paraId="0F40D39A" w14:textId="7D44A654" w:rsidR="00343733" w:rsidRPr="001D72D2" w:rsidRDefault="00CB205B" w:rsidP="00B7605E">
      <w:pPr>
        <w:pStyle w:val="Heading1"/>
      </w:pPr>
      <w:bookmarkStart w:id="78" w:name="_Toc112606914"/>
      <w:r>
        <w:lastRenderedPageBreak/>
        <w:t>Brief</w:t>
      </w:r>
      <w:r w:rsidR="001C6127">
        <w:t xml:space="preserve"> Summary of Employment Arrangements in </w:t>
      </w:r>
      <w:r w:rsidR="00466A29">
        <w:t>each</w:t>
      </w:r>
      <w:r w:rsidR="005F4627">
        <w:t xml:space="preserve"> </w:t>
      </w:r>
      <w:r w:rsidR="001C6127">
        <w:t>Relevant Jurisdiction</w:t>
      </w:r>
      <w:bookmarkEnd w:id="78"/>
    </w:p>
    <w:p w14:paraId="516EFAD0" w14:textId="1FC63876" w:rsidR="008B2BEB" w:rsidRPr="00871591" w:rsidRDefault="00277FC0" w:rsidP="0004466F">
      <w:pPr>
        <w:pStyle w:val="ListParagraph"/>
      </w:pPr>
      <w:r w:rsidRPr="00871591">
        <w:t xml:space="preserve">Commencing at </w:t>
      </w:r>
      <w:r w:rsidR="008B2BEB" w:rsidRPr="00871591">
        <w:t>paragraph [</w:t>
      </w:r>
      <w:r w:rsidR="00854BCA" w:rsidRPr="00871591">
        <w:fldChar w:fldCharType="begin"/>
      </w:r>
      <w:r w:rsidR="00854BCA" w:rsidRPr="00871591">
        <w:instrText xml:space="preserve"> REF _Ref108637967 \r \h </w:instrText>
      </w:r>
      <w:r w:rsidR="00D07BC5" w:rsidRPr="00871591">
        <w:instrText xml:space="preserve"> \* MERGEFORMAT </w:instrText>
      </w:r>
      <w:r w:rsidR="00854BCA" w:rsidRPr="00871591">
        <w:fldChar w:fldCharType="separate"/>
      </w:r>
      <w:r w:rsidR="00CF093C">
        <w:t>159</w:t>
      </w:r>
      <w:r w:rsidR="00854BCA" w:rsidRPr="00871591">
        <w:fldChar w:fldCharType="end"/>
      </w:r>
      <w:r w:rsidR="008B2BEB" w:rsidRPr="00871591">
        <w:t xml:space="preserve">] above, we set out our observations on practices at the Supreme Court and County Court concerning the recruitment of, and working arrangements of, associates and other judicial staff in those Courts. </w:t>
      </w:r>
    </w:p>
    <w:p w14:paraId="76FFB7F7" w14:textId="2A306941" w:rsidR="001D72D2" w:rsidRPr="00871591" w:rsidRDefault="00E06BE3" w:rsidP="0004466F">
      <w:pPr>
        <w:pStyle w:val="ListParagraph"/>
      </w:pPr>
      <w:r w:rsidRPr="00871591">
        <w:t xml:space="preserve">The following section of the Report contains our observations on practices in the Magistrates’ Court, Children’s Court, Coroners Court and VCAT.  </w:t>
      </w:r>
    </w:p>
    <w:p w14:paraId="5DB1FC19" w14:textId="264EC703" w:rsidR="001D72D2" w:rsidRPr="00567450" w:rsidRDefault="001D72D2" w:rsidP="00B7605E">
      <w:pPr>
        <w:pStyle w:val="Heading2"/>
      </w:pPr>
      <w:bookmarkStart w:id="79" w:name="_Toc112606915"/>
      <w:r>
        <w:t>Magistrates’ Court</w:t>
      </w:r>
      <w:bookmarkEnd w:id="79"/>
    </w:p>
    <w:p w14:paraId="1021340F" w14:textId="5AE51066" w:rsidR="001D72D2" w:rsidRDefault="001D72D2" w:rsidP="0004466F">
      <w:pPr>
        <w:pStyle w:val="ListParagraph"/>
      </w:pPr>
      <w:r>
        <w:t>The Magistrates’ Court does not employ the Associate model adopted in the higher courts.  Instead, a magistrate will be assisted in court by a</w:t>
      </w:r>
      <w:r w:rsidR="009C010D">
        <w:t xml:space="preserve"> “</w:t>
      </w:r>
      <w:r>
        <w:t>bench clerk</w:t>
      </w:r>
      <w:r w:rsidR="00021393">
        <w:t>”</w:t>
      </w:r>
      <w:r>
        <w:t>, and that role will usually</w:t>
      </w:r>
      <w:r w:rsidR="00AB1608">
        <w:t>, but not invariably,</w:t>
      </w:r>
      <w:r>
        <w:t xml:space="preserve"> be filled by a different CSV-employed staff member from day-to-day.  The bench clerk assists the magistrate in court, including by entering court orders into the Court’s systems and liaising with members of the profession.  Given the volume of matters typically heard by a magistrate on any day, and the number of lawyers present in the court room (or the virtual court room) with whom the bench clerk must liaise to ensure that the sittings go smoothly, the role of a bench clerk can be demanding.  </w:t>
      </w:r>
    </w:p>
    <w:p w14:paraId="64D6E948" w14:textId="1BFC4496" w:rsidR="001D72D2" w:rsidRDefault="001D72D2" w:rsidP="0004466F">
      <w:pPr>
        <w:pStyle w:val="ListParagraph"/>
      </w:pPr>
      <w:r>
        <w:t>The</w:t>
      </w:r>
      <w:r w:rsidR="009C010D">
        <w:t xml:space="preserve"> “</w:t>
      </w:r>
      <w:r>
        <w:t>bench clerk</w:t>
      </w:r>
      <w:r w:rsidR="009C010D">
        <w:t xml:space="preserve">” </w:t>
      </w:r>
      <w:r>
        <w:t xml:space="preserve">role is usually carried out by CSV-employed staff designated as </w:t>
      </w:r>
      <w:r w:rsidR="00604335">
        <w:t>“</w:t>
      </w:r>
      <w:r>
        <w:t>Trainee Court Registrars</w:t>
      </w:r>
      <w:r w:rsidR="00604335">
        <w:t>”</w:t>
      </w:r>
      <w:r>
        <w:t xml:space="preserve"> (</w:t>
      </w:r>
      <w:r w:rsidR="00604335">
        <w:t>“</w:t>
      </w:r>
      <w:r>
        <w:t>TCRs</w:t>
      </w:r>
      <w:r w:rsidR="00604335">
        <w:t>”</w:t>
      </w:r>
      <w:r>
        <w:t xml:space="preserve">).  TCRs are very junior employees employed on a permanent ongoing basis at the VPS2 level with a six-month probation period.  A law degree is not a prerequisite for employment as a TCR.  </w:t>
      </w:r>
      <w:r w:rsidR="00882353">
        <w:t xml:space="preserve">We </w:t>
      </w:r>
      <w:r w:rsidR="009226D6">
        <w:t xml:space="preserve">understand that TCRs </w:t>
      </w:r>
      <w:r w:rsidR="00C64C89">
        <w:t xml:space="preserve">may potentially remain at the Court indefinitely, subject to </w:t>
      </w:r>
      <w:r w:rsidR="00F90854">
        <w:t xml:space="preserve">satisfactory </w:t>
      </w:r>
      <w:r w:rsidR="00C64C89">
        <w:t>completion of their training</w:t>
      </w:r>
      <w:r w:rsidR="00F73602">
        <w:t xml:space="preserve"> and potential promotion to a more senior role</w:t>
      </w:r>
      <w:r w:rsidR="009F4DCE">
        <w:t>.</w:t>
      </w:r>
    </w:p>
    <w:p w14:paraId="23C05416" w14:textId="546534DA" w:rsidR="001D72D2" w:rsidRDefault="001D72D2" w:rsidP="0004466F">
      <w:pPr>
        <w:pStyle w:val="ListParagraph"/>
      </w:pPr>
      <w:r>
        <w:t>TCRs report through Registry, generally to a VPS3 or VPS4 staff member.  Given</w:t>
      </w:r>
      <w:r w:rsidR="00286839">
        <w:t> </w:t>
      </w:r>
      <w:r>
        <w:t>that it is a traineeship role paid at a VPS2 level, TCRs are typically young people in their</w:t>
      </w:r>
      <w:r w:rsidR="009F4DCE">
        <w:t> </w:t>
      </w:r>
      <w:r w:rsidR="00E92929">
        <w:t>twenties.</w:t>
      </w:r>
      <w:r>
        <w:t xml:space="preserve">  When working as bench clerks, these very junior staff work in close and regular contact with magistrates.  </w:t>
      </w:r>
    </w:p>
    <w:p w14:paraId="24669D2C" w14:textId="77777777" w:rsidR="001D72D2" w:rsidRDefault="001D72D2" w:rsidP="0004466F">
      <w:pPr>
        <w:pStyle w:val="ListParagraph"/>
      </w:pPr>
      <w:r>
        <w:t xml:space="preserve">The recruitment process for TCRs is merit-based.  The Court advertises for TCRs through normal channels, such as advertising online on Seek.  We were told that the Court advertises for TCRs approximately every two months.  </w:t>
      </w:r>
    </w:p>
    <w:p w14:paraId="0FA857E9" w14:textId="77777777" w:rsidR="001D72D2" w:rsidRDefault="001D72D2" w:rsidP="0004466F">
      <w:pPr>
        <w:pStyle w:val="ListParagraph"/>
      </w:pPr>
      <w:r>
        <w:t xml:space="preserve">Some TCRs are based in regional locations, across the 51 court locations throughout the State.  However, it is sometimes necessary to have TCRs commute to a different location, particularly to regional courts in areas where it is difficult to recruit TCRs.  </w:t>
      </w:r>
    </w:p>
    <w:p w14:paraId="48413E97" w14:textId="6FE2CAAF" w:rsidR="001D72D2" w:rsidRDefault="001D72D2" w:rsidP="0004466F">
      <w:pPr>
        <w:pStyle w:val="ListParagraph"/>
      </w:pPr>
      <w:r>
        <w:lastRenderedPageBreak/>
        <w:t>The traineeship period for a TCR typically takes three years to complete.  An</w:t>
      </w:r>
      <w:r w:rsidR="000A1F85">
        <w:t> </w:t>
      </w:r>
      <w:r>
        <w:t>induction program facilitated by the Court’s Learning and Development Unit is run monthly.  That</w:t>
      </w:r>
      <w:r w:rsidR="00F650B9">
        <w:t> </w:t>
      </w:r>
      <w:r>
        <w:t>induction program runs for three weeks, and TCRs then move into their work locations for on-the-job</w:t>
      </w:r>
      <w:r w:rsidR="00C86A42">
        <w:t xml:space="preserve"> </w:t>
      </w:r>
      <w:r>
        <w:t xml:space="preserve">learning.  The Learning and Development Unit’s training sessions cover a general induction to the </w:t>
      </w:r>
      <w:proofErr w:type="gramStart"/>
      <w:r>
        <w:t>Court, and</w:t>
      </w:r>
      <w:proofErr w:type="gramEnd"/>
      <w:r>
        <w:t xml:space="preserve"> go through the policies in place at the Court, including the CSV</w:t>
      </w:r>
      <w:r w:rsidR="009C010D">
        <w:t xml:space="preserve"> “</w:t>
      </w:r>
      <w:r>
        <w:t>Respect in the Workplace</w:t>
      </w:r>
      <w:r w:rsidR="009C010D">
        <w:t xml:space="preserve">” </w:t>
      </w:r>
      <w:r w:rsidR="00C86A42">
        <w:t>policy and the eLearn relating to that policy</w:t>
      </w:r>
      <w:r>
        <w:t>.  We were told that TCRs are also advised during induction as to what they can do if they have concerns about anything at work, and how they might raise those concerns.  This includes a discussion on what types of behaviour are inappropriate and not tolerated within the Court.</w:t>
      </w:r>
    </w:p>
    <w:p w14:paraId="0A0B027F" w14:textId="3AE0E557" w:rsidR="001D72D2" w:rsidRPr="00F964E3" w:rsidRDefault="001D72D2" w:rsidP="0004466F">
      <w:pPr>
        <w:pStyle w:val="ListParagraph"/>
      </w:pPr>
      <w:r>
        <w:t>TCRs are</w:t>
      </w:r>
      <w:r w:rsidR="009C010D">
        <w:t xml:space="preserve"> “</w:t>
      </w:r>
      <w:r>
        <w:t>rotated</w:t>
      </w:r>
      <w:r w:rsidR="009C010D">
        <w:t xml:space="preserve">” </w:t>
      </w:r>
      <w:r>
        <w:t xml:space="preserve">and assigned to different magistrates, rather than assigned to any one </w:t>
      </w:r>
      <w:proofErr w:type="gramStart"/>
      <w:r>
        <w:t>magistrate in particular</w:t>
      </w:r>
      <w:proofErr w:type="gramEnd"/>
      <w:r>
        <w:t xml:space="preserve">.  </w:t>
      </w:r>
      <w:r w:rsidR="0054498F">
        <w:t>S</w:t>
      </w:r>
      <w:r>
        <w:t>ome magistrates will, however, express a preference for a particular TCR who has worked well with them in the past</w:t>
      </w:r>
      <w:r w:rsidR="00F34563">
        <w:t xml:space="preserve">. </w:t>
      </w:r>
      <w:r w:rsidR="00B458DE">
        <w:t xml:space="preserve"> </w:t>
      </w:r>
      <w:r>
        <w:t xml:space="preserve">When that occurs, the magistrate will ask the co-ordinator to schedule that TCR to be the bench clerk for their hearings.  </w:t>
      </w:r>
      <w:r w:rsidR="00DD2416">
        <w:t>However, we understand that assignment on that basis is very uncommon.</w:t>
      </w:r>
      <w:r w:rsidR="00E520C1">
        <w:t xml:space="preserve"> </w:t>
      </w:r>
      <w:r w:rsidR="00DD2416">
        <w:t xml:space="preserve"> </w:t>
      </w:r>
      <w:r>
        <w:t xml:space="preserve">We were told that if for any reason the working relationship between a TCR and a judicial officer becomes strained, it is possible to ensure that that TCR is not assigned to work with that magistrate, and indeed that is what often happens.  TCRs may also report to court administration, or even to the Chief Magistrate, if they have a problem with a particular magistrate and do not wish to be assigned to that magistrate, although we understand that TCRs in practice do not tend </w:t>
      </w:r>
      <w:r w:rsidRPr="00F964E3">
        <w:t xml:space="preserve">to take that step.  </w:t>
      </w:r>
    </w:p>
    <w:p w14:paraId="636B7B3B" w14:textId="4B6F96D3" w:rsidR="001D72D2" w:rsidRDefault="001D72D2" w:rsidP="0004466F">
      <w:pPr>
        <w:pStyle w:val="ListParagraph"/>
      </w:pPr>
      <w:r w:rsidRPr="00F964E3">
        <w:t xml:space="preserve">As to training for new </w:t>
      </w:r>
      <w:r w:rsidR="007470C9">
        <w:t>magistrates</w:t>
      </w:r>
      <w:r w:rsidRPr="00F964E3">
        <w:t xml:space="preserve">, we were told that a team of Learning and Development staff conduct training focused on </w:t>
      </w:r>
      <w:r w:rsidR="00EC4020">
        <w:t>the court’s computer systems.  There is also three weeks of judicially</w:t>
      </w:r>
      <w:r w:rsidR="00EC4020">
        <w:noBreakHyphen/>
        <w:t xml:space="preserve">led training on </w:t>
      </w:r>
      <w:r w:rsidRPr="00F964E3">
        <w:t>court craft</w:t>
      </w:r>
      <w:r w:rsidR="00EC4020">
        <w:t>.</w:t>
      </w:r>
      <w:r w:rsidRPr="00F964E3">
        <w:t xml:space="preserve">  The Chief Magistrate also has one-on-one meetings with all newly appointed magistrates.  Further, there are occasional</w:t>
      </w:r>
      <w:r w:rsidR="009C010D">
        <w:t xml:space="preserve"> “</w:t>
      </w:r>
      <w:r w:rsidRPr="00F964E3">
        <w:t>development days</w:t>
      </w:r>
      <w:r w:rsidR="00021393">
        <w:t>”</w:t>
      </w:r>
      <w:r w:rsidRPr="00F964E3">
        <w:t>, at which the Chief Magistrate might speak to judicial officers about management of staff or standards of appropriate behaviour</w:t>
      </w:r>
      <w:r>
        <w:t xml:space="preserve">. </w:t>
      </w:r>
      <w:r w:rsidR="005B694B">
        <w:t xml:space="preserve"> </w:t>
      </w:r>
      <w:r w:rsidR="003F764F">
        <w:t xml:space="preserve">For example, on one development day magistrates attended a session on sexual harassment conducted by Kristen Hilton, former </w:t>
      </w:r>
      <w:r w:rsidR="007F19DB">
        <w:t xml:space="preserve">Victorian </w:t>
      </w:r>
      <w:r w:rsidR="00812DC9">
        <w:t xml:space="preserve">Equal </w:t>
      </w:r>
      <w:proofErr w:type="gramStart"/>
      <w:r w:rsidR="00812DC9">
        <w:t>Opportunity</w:t>
      </w:r>
      <w:proofErr w:type="gramEnd"/>
      <w:r w:rsidR="00812DC9">
        <w:t xml:space="preserve"> and </w:t>
      </w:r>
      <w:r w:rsidR="007F19DB">
        <w:t>Human Rights Commissioner.</w:t>
      </w:r>
      <w:r>
        <w:t xml:space="preserve"> </w:t>
      </w:r>
    </w:p>
    <w:p w14:paraId="2D637002" w14:textId="0425487E" w:rsidR="001D72D2" w:rsidRDefault="00212F65" w:rsidP="0004466F">
      <w:pPr>
        <w:pStyle w:val="ListParagraph"/>
      </w:pPr>
      <w:r>
        <w:rPr>
          <w:lang w:val="en-US"/>
        </w:rPr>
        <w:t xml:space="preserve">As to the complaints process that existed prior to the introduction of new CSV policies in 2022, we heard that information on where to report sexual harassment was available, but not always easy to find. </w:t>
      </w:r>
      <w:r w:rsidR="00CC211B">
        <w:rPr>
          <w:lang w:val="en-US"/>
        </w:rPr>
        <w:t xml:space="preserve"> </w:t>
      </w:r>
      <w:r>
        <w:rPr>
          <w:lang w:val="en-US"/>
        </w:rPr>
        <w:t>We were also told that staff are informed that the Court administration is under a positive obligation to take reports further if it becomes aware of serious allegations which pose a risk to the health of staff, even if the complainant indicates that he or she does not wish the complaint to be taken further.</w:t>
      </w:r>
    </w:p>
    <w:p w14:paraId="5ACCD3F1" w14:textId="70BDDEBA" w:rsidR="001D72D2" w:rsidRDefault="001D72D2" w:rsidP="0004466F">
      <w:pPr>
        <w:pStyle w:val="ListParagraph"/>
      </w:pPr>
      <w:r>
        <w:lastRenderedPageBreak/>
        <w:t xml:space="preserve">We heard that the impression within the Court is that sexual harassment is not a significant issue, but that there is no reason to believe that the Court is entirely free of such behaviour.  Anecdotally, however, other interpersonal behaviour such as </w:t>
      </w:r>
      <w:proofErr w:type="gramStart"/>
      <w:r>
        <w:t>bullying</w:t>
      </w:r>
      <w:proofErr w:type="gramEnd"/>
      <w:r>
        <w:t xml:space="preserve"> or simply unprofessional behaviour is a more prominent concern at the Court.  </w:t>
      </w:r>
      <w:r w:rsidR="003F33BC">
        <w:t xml:space="preserve">Sexual </w:t>
      </w:r>
      <w:r>
        <w:t>harassment incidents within the recent past concerned interactions between CSV employees</w:t>
      </w:r>
      <w:r w:rsidR="003F33BC">
        <w:t>,</w:t>
      </w:r>
      <w:r>
        <w:t xml:space="preserve"> </w:t>
      </w:r>
      <w:r w:rsidR="00D81344">
        <w:t xml:space="preserve">not conduct by </w:t>
      </w:r>
      <w:r>
        <w:t xml:space="preserve">a judicial officer </w:t>
      </w:r>
      <w:r w:rsidR="00D81344">
        <w:t xml:space="preserve">towards </w:t>
      </w:r>
      <w:r>
        <w:t>a CSV employee.  Further, given the multitude of avenues by which a complaint might be raised, there is no comprehensive data on the scope of the problem of sexual harassment.</w:t>
      </w:r>
    </w:p>
    <w:p w14:paraId="7EEBAEDF" w14:textId="21FBFAD2" w:rsidR="001D72D2" w:rsidRDefault="001D72D2" w:rsidP="0004466F">
      <w:pPr>
        <w:pStyle w:val="ListParagraph"/>
      </w:pPr>
      <w:r>
        <w:t>There are also other significant and relevant differences between the Magistrates’ Court and the higher courts, including the large size of the Court (there are approximately 140 judicial officers and 1,000 CSV-employed staff members), and the demographics of the Court.  We</w:t>
      </w:r>
      <w:r w:rsidR="00E919D9">
        <w:t> </w:t>
      </w:r>
      <w:r>
        <w:t>were told that the gender composition among judicial officers is approximately 50:50, and that approximately 77% of CSV-employed staff at the Court are female</w:t>
      </w:r>
      <w:r w:rsidR="00D44C4F">
        <w:t>.</w:t>
      </w:r>
      <w:r>
        <w:t xml:space="preserve"> </w:t>
      </w:r>
      <w:r w:rsidR="00D44C4F">
        <w:t xml:space="preserve"> That</w:t>
      </w:r>
      <w:r w:rsidR="00E919D9">
        <w:t> </w:t>
      </w:r>
      <w:r>
        <w:t>ratio does shift somewhat at higher levels of court administration among senior registrars.</w:t>
      </w:r>
    </w:p>
    <w:p w14:paraId="32A0978D" w14:textId="6E86DE41" w:rsidR="001D72D2" w:rsidRDefault="001D72D2" w:rsidP="0004466F">
      <w:pPr>
        <w:pStyle w:val="ListParagraph"/>
      </w:pPr>
      <w:r>
        <w:rPr>
          <w:lang w:val="en-US"/>
        </w:rPr>
        <w:t xml:space="preserve">It was evident in our discussions with Court staff that the Court benefited from </w:t>
      </w:r>
      <w:r w:rsidR="00CC29B0">
        <w:rPr>
          <w:lang w:val="en-US"/>
        </w:rPr>
        <w:t xml:space="preserve">the Chief Magistrate’s </w:t>
      </w:r>
      <w:r>
        <w:rPr>
          <w:lang w:val="en-US"/>
        </w:rPr>
        <w:t>strong messaging on appropriate standards of behaviour</w:t>
      </w:r>
      <w:r w:rsidR="00CC29B0">
        <w:rPr>
          <w:lang w:val="en-US"/>
        </w:rPr>
        <w:t xml:space="preserve">.  </w:t>
      </w:r>
      <w:r>
        <w:rPr>
          <w:lang w:val="en-US"/>
        </w:rPr>
        <w:t>In an</w:t>
      </w:r>
      <w:r w:rsidRPr="00B25110">
        <w:rPr>
          <w:lang w:val="en-US"/>
        </w:rPr>
        <w:t xml:space="preserve"> email to all staff soon after the release of the Szoke Report, the Chief Magistrate included a link to the Szoke Report, stated that the issue was one she and the court leadership took seriously, called upon all judicial officers and staff to engage in steps to address sexual harassment and implement the Szoke Report recommendations</w:t>
      </w:r>
      <w:r w:rsidR="00185456">
        <w:rPr>
          <w:lang w:val="en-US"/>
        </w:rPr>
        <w:t xml:space="preserve">.  The Chief Magistrate </w:t>
      </w:r>
      <w:r w:rsidRPr="00B25110">
        <w:rPr>
          <w:lang w:val="en-US"/>
        </w:rPr>
        <w:t>drew attention to the supports available to anyone who had experienced sexual harassment at the Court, including the Sexual Harassment Confidential Support Service</w:t>
      </w:r>
      <w:r>
        <w:rPr>
          <w:lang w:val="en-US"/>
        </w:rPr>
        <w:t xml:space="preserve">.  </w:t>
      </w:r>
      <w:r w:rsidR="00185456">
        <w:rPr>
          <w:lang w:val="en-US"/>
        </w:rPr>
        <w:t xml:space="preserve">Her </w:t>
      </w:r>
      <w:r w:rsidRPr="00B25110">
        <w:rPr>
          <w:lang w:val="en-US"/>
        </w:rPr>
        <w:t>email also included contact details of relevant personnel in the</w:t>
      </w:r>
      <w:r w:rsidR="009C010D">
        <w:rPr>
          <w:lang w:val="en-US"/>
        </w:rPr>
        <w:t xml:space="preserve"> “</w:t>
      </w:r>
      <w:r w:rsidRPr="00B25110">
        <w:rPr>
          <w:lang w:val="en-US"/>
        </w:rPr>
        <w:t>Contact Officer Group</w:t>
      </w:r>
      <w:r w:rsidR="00021393">
        <w:rPr>
          <w:lang w:val="en-US"/>
        </w:rPr>
        <w:t>”</w:t>
      </w:r>
      <w:r w:rsidRPr="00B25110">
        <w:rPr>
          <w:lang w:val="en-US"/>
        </w:rPr>
        <w:t>, as well as in People and Culture, and encouraged court staff to raise matters with her directly.</w:t>
      </w:r>
    </w:p>
    <w:p w14:paraId="55E2BD7C" w14:textId="77777777" w:rsidR="001D72D2" w:rsidRDefault="001D72D2" w:rsidP="0004466F">
      <w:pPr>
        <w:pStyle w:val="ListParagraph"/>
        <w:rPr>
          <w:lang w:val="en-US"/>
        </w:rPr>
      </w:pPr>
      <w:r>
        <w:rPr>
          <w:lang w:val="en-US"/>
        </w:rPr>
        <w:t xml:space="preserve">Since the onset of the pandemic, there have been relevant changes in the Court’s staffing and processes.  </w:t>
      </w:r>
    </w:p>
    <w:p w14:paraId="768C1FE6" w14:textId="37DFF1DB" w:rsidR="001D72D2" w:rsidRPr="00B25110" w:rsidRDefault="001D72D2" w:rsidP="0004466F">
      <w:pPr>
        <w:pStyle w:val="ListParagraph"/>
        <w:rPr>
          <w:lang w:val="en-US"/>
        </w:rPr>
      </w:pPr>
      <w:r>
        <w:rPr>
          <w:lang w:val="en-US"/>
        </w:rPr>
        <w:t xml:space="preserve">First, </w:t>
      </w:r>
      <w:r w:rsidR="00185456">
        <w:rPr>
          <w:lang w:val="en-US"/>
        </w:rPr>
        <w:t>the</w:t>
      </w:r>
      <w:r>
        <w:rPr>
          <w:lang w:val="en-US"/>
        </w:rPr>
        <w:t xml:space="preserve"> Chief Magistrate and the Court’s CEO have instituted regular</w:t>
      </w:r>
      <w:r w:rsidR="009C010D">
        <w:rPr>
          <w:lang w:val="en-US"/>
        </w:rPr>
        <w:t xml:space="preserve"> “</w:t>
      </w:r>
      <w:r>
        <w:rPr>
          <w:lang w:val="en-US"/>
        </w:rPr>
        <w:t>town hall</w:t>
      </w:r>
      <w:r w:rsidR="009C010D">
        <w:rPr>
          <w:lang w:val="en-US"/>
        </w:rPr>
        <w:t xml:space="preserve">” </w:t>
      </w:r>
      <w:r>
        <w:rPr>
          <w:lang w:val="en-US"/>
        </w:rPr>
        <w:t xml:space="preserve">meetings with all staff.  The meetings are conducted by Zoom, and all staff may attend (and we understand some magistrates also attend).  At one such meeting, the Chief Magistrate raised the issue of sexual harassment within </w:t>
      </w:r>
      <w:proofErr w:type="gramStart"/>
      <w:r>
        <w:rPr>
          <w:lang w:val="en-US"/>
        </w:rPr>
        <w:t>courts, and</w:t>
      </w:r>
      <w:proofErr w:type="gramEnd"/>
      <w:r>
        <w:rPr>
          <w:lang w:val="en-US"/>
        </w:rPr>
        <w:t xml:space="preserve"> indicated that she views it as an important issue.  Participants are given the opportunity to ask questions during the town hall meetings, and some of the questions asked have been directed to the topic of appropriate behaviour by magistrates towards staff.  </w:t>
      </w:r>
      <w:r w:rsidR="00185456">
        <w:rPr>
          <w:lang w:val="en-US"/>
        </w:rPr>
        <w:t xml:space="preserve">The staff attendees may remain invisible and </w:t>
      </w:r>
      <w:r w:rsidR="00437611">
        <w:rPr>
          <w:lang w:val="en-US"/>
        </w:rPr>
        <w:t xml:space="preserve">can ask questions anonymously.  </w:t>
      </w:r>
      <w:r>
        <w:rPr>
          <w:lang w:val="en-US"/>
        </w:rPr>
        <w:t xml:space="preserve">From all accounts, the town hall meetings have been very successful in raising awareness of the issue and reinforcing that the topic of sexual harassment is taken very </w:t>
      </w:r>
      <w:r>
        <w:rPr>
          <w:lang w:val="en-US"/>
        </w:rPr>
        <w:lastRenderedPageBreak/>
        <w:t xml:space="preserve">seriously by the Court’s leadership.  </w:t>
      </w:r>
      <w:r w:rsidR="00322CD6">
        <w:rPr>
          <w:lang w:val="en-US"/>
        </w:rPr>
        <w:t xml:space="preserve">The town hall meetings also </w:t>
      </w:r>
      <w:r w:rsidR="00286839">
        <w:rPr>
          <w:lang w:val="en-US"/>
        </w:rPr>
        <w:t xml:space="preserve">allow all </w:t>
      </w:r>
      <w:r w:rsidR="00322CD6">
        <w:rPr>
          <w:lang w:val="en-US"/>
        </w:rPr>
        <w:t xml:space="preserve">court personnel to </w:t>
      </w:r>
      <w:proofErr w:type="gramStart"/>
      <w:r w:rsidR="00286839">
        <w:rPr>
          <w:lang w:val="en-US"/>
        </w:rPr>
        <w:t>assemble together</w:t>
      </w:r>
      <w:proofErr w:type="gramEnd"/>
      <w:r w:rsidR="00286839">
        <w:rPr>
          <w:lang w:val="en-US"/>
        </w:rPr>
        <w:t xml:space="preserve"> as a </w:t>
      </w:r>
      <w:r w:rsidR="000B2FED">
        <w:rPr>
          <w:lang w:val="en-US"/>
        </w:rPr>
        <w:t>u</w:t>
      </w:r>
      <w:r w:rsidR="00286839">
        <w:rPr>
          <w:lang w:val="en-US"/>
        </w:rPr>
        <w:t xml:space="preserve">nited </w:t>
      </w:r>
      <w:r w:rsidR="00954C25">
        <w:rPr>
          <w:lang w:val="en-US"/>
        </w:rPr>
        <w:t xml:space="preserve">workforce </w:t>
      </w:r>
      <w:r w:rsidR="00FA25A9">
        <w:rPr>
          <w:lang w:val="en-US"/>
        </w:rPr>
        <w:t xml:space="preserve">which mitigates the known risk of </w:t>
      </w:r>
      <w:proofErr w:type="spellStart"/>
      <w:r w:rsidR="00FA25A9">
        <w:rPr>
          <w:lang w:val="en-US"/>
        </w:rPr>
        <w:t>decentralisation</w:t>
      </w:r>
      <w:proofErr w:type="spellEnd"/>
      <w:r w:rsidR="00FA25A9">
        <w:rPr>
          <w:lang w:val="en-US"/>
        </w:rPr>
        <w:t xml:space="preserve">.  </w:t>
      </w:r>
      <w:r w:rsidR="00954C25">
        <w:rPr>
          <w:lang w:val="en-US"/>
        </w:rPr>
        <w:t xml:space="preserve">The meetings also </w:t>
      </w:r>
      <w:proofErr w:type="spellStart"/>
      <w:r w:rsidR="00954C25">
        <w:rPr>
          <w:lang w:val="en-US"/>
        </w:rPr>
        <w:t>familiarise</w:t>
      </w:r>
      <w:proofErr w:type="spellEnd"/>
      <w:r w:rsidR="00954C25">
        <w:rPr>
          <w:lang w:val="en-US"/>
        </w:rPr>
        <w:t xml:space="preserve"> </w:t>
      </w:r>
      <w:r w:rsidR="00FA25A9">
        <w:rPr>
          <w:lang w:val="en-US"/>
        </w:rPr>
        <w:t xml:space="preserve">the leadership </w:t>
      </w:r>
      <w:r w:rsidR="00351000">
        <w:rPr>
          <w:lang w:val="en-US"/>
        </w:rPr>
        <w:t xml:space="preserve">to court workers at </w:t>
      </w:r>
      <w:r w:rsidR="004E270C">
        <w:rPr>
          <w:lang w:val="en-US"/>
        </w:rPr>
        <w:t xml:space="preserve">all </w:t>
      </w:r>
      <w:r w:rsidR="00667D1E">
        <w:rPr>
          <w:lang w:val="en-US"/>
        </w:rPr>
        <w:t xml:space="preserve">levels.  The </w:t>
      </w:r>
      <w:r w:rsidR="004E270C">
        <w:rPr>
          <w:lang w:val="en-US"/>
        </w:rPr>
        <w:t xml:space="preserve">leaders </w:t>
      </w:r>
      <w:r w:rsidR="00667D1E">
        <w:rPr>
          <w:lang w:val="en-US"/>
        </w:rPr>
        <w:t xml:space="preserve">are </w:t>
      </w:r>
      <w:r w:rsidR="007C529B">
        <w:rPr>
          <w:lang w:val="en-US"/>
        </w:rPr>
        <w:t xml:space="preserve">thus </w:t>
      </w:r>
      <w:r w:rsidR="00667D1E">
        <w:rPr>
          <w:lang w:val="en-US"/>
        </w:rPr>
        <w:t xml:space="preserve">not simply </w:t>
      </w:r>
      <w:r w:rsidR="007C529B">
        <w:rPr>
          <w:lang w:val="en-US"/>
        </w:rPr>
        <w:t xml:space="preserve">remote </w:t>
      </w:r>
      <w:r w:rsidR="00667D1E">
        <w:rPr>
          <w:lang w:val="en-US"/>
        </w:rPr>
        <w:t xml:space="preserve">figures </w:t>
      </w:r>
      <w:r w:rsidR="007C529B">
        <w:rPr>
          <w:lang w:val="en-US"/>
        </w:rPr>
        <w:t xml:space="preserve">and </w:t>
      </w:r>
      <w:r w:rsidR="00954C25">
        <w:rPr>
          <w:lang w:val="en-US"/>
        </w:rPr>
        <w:t xml:space="preserve">can promote important </w:t>
      </w:r>
      <w:r w:rsidR="007C529B">
        <w:rPr>
          <w:lang w:val="en-US"/>
        </w:rPr>
        <w:t xml:space="preserve">messages </w:t>
      </w:r>
      <w:r w:rsidR="00954C25">
        <w:rPr>
          <w:lang w:val="en-US"/>
        </w:rPr>
        <w:t xml:space="preserve">in </w:t>
      </w:r>
      <w:r w:rsidR="007C529B">
        <w:rPr>
          <w:lang w:val="en-US"/>
        </w:rPr>
        <w:t xml:space="preserve">an accessible </w:t>
      </w:r>
      <w:r w:rsidR="0042612B">
        <w:rPr>
          <w:lang w:val="en-US"/>
        </w:rPr>
        <w:t>forum.</w:t>
      </w:r>
    </w:p>
    <w:p w14:paraId="78B0C34C" w14:textId="59A7C64C" w:rsidR="001D72D2" w:rsidRDefault="001D72D2" w:rsidP="0004466F">
      <w:pPr>
        <w:pStyle w:val="ListParagraph"/>
        <w:rPr>
          <w:lang w:val="en-US"/>
        </w:rPr>
      </w:pPr>
      <w:bookmarkStart w:id="80" w:name="_Ref108877591"/>
      <w:r>
        <w:rPr>
          <w:lang w:val="en-US"/>
        </w:rPr>
        <w:t>Secondly, the Court has instituted a new category of CSV-employed staff:</w:t>
      </w:r>
      <w:r w:rsidR="009C010D">
        <w:rPr>
          <w:lang w:val="en-US"/>
        </w:rPr>
        <w:t xml:space="preserve"> “</w:t>
      </w:r>
      <w:r>
        <w:rPr>
          <w:lang w:val="en-US"/>
        </w:rPr>
        <w:t>Court Officers</w:t>
      </w:r>
      <w:r w:rsidR="00547C69">
        <w:rPr>
          <w:lang w:val="en-US"/>
        </w:rPr>
        <w:t>”</w:t>
      </w:r>
      <w:r>
        <w:rPr>
          <w:lang w:val="en-US"/>
        </w:rPr>
        <w:t xml:space="preserve">.  We heard that the Court Officer program was designed with the recommendations of the Szoke Report in mind.  Like TCRs, Court Officers are employed at the VPS2 level.  The role is </w:t>
      </w:r>
      <w:proofErr w:type="gramStart"/>
      <w:r>
        <w:rPr>
          <w:lang w:val="en-US"/>
        </w:rPr>
        <w:t>similar to</w:t>
      </w:r>
      <w:proofErr w:type="gramEnd"/>
      <w:r>
        <w:rPr>
          <w:lang w:val="en-US"/>
        </w:rPr>
        <w:t xml:space="preserve"> that of the typical role of an Associate in the higher courts, in that it is envisaged that each Court Officer will be assigned to work with a particular magistrate and to support that magistrate.</w:t>
      </w:r>
      <w:bookmarkEnd w:id="80"/>
    </w:p>
    <w:p w14:paraId="3041277B" w14:textId="6FED8CF7" w:rsidR="001D72D2" w:rsidRDefault="001D72D2" w:rsidP="0004466F">
      <w:pPr>
        <w:pStyle w:val="ListParagraph"/>
        <w:rPr>
          <w:lang w:val="en-US"/>
        </w:rPr>
      </w:pPr>
      <w:bookmarkStart w:id="81" w:name="_Ref108731182"/>
      <w:r>
        <w:rPr>
          <w:lang w:val="en-US"/>
        </w:rPr>
        <w:t xml:space="preserve">Court Officers report directly to the Legal Policy Unit at the Court.  Their induction is conducted by the Legal Policy </w:t>
      </w:r>
      <w:proofErr w:type="gramStart"/>
      <w:r>
        <w:rPr>
          <w:lang w:val="en-US"/>
        </w:rPr>
        <w:t>Unit, and</w:t>
      </w:r>
      <w:proofErr w:type="gramEnd"/>
      <w:r>
        <w:rPr>
          <w:lang w:val="en-US"/>
        </w:rPr>
        <w:t xml:space="preserve"> includes a discussion about reasonable expectations magistrates may have of them in their role, and how Court Officers may escalate any concerns which they have when working with a magistrate.  </w:t>
      </w:r>
      <w:r w:rsidR="00691621">
        <w:rPr>
          <w:lang w:val="en-US"/>
        </w:rPr>
        <w:t xml:space="preserve">Reporting </w:t>
      </w:r>
      <w:r w:rsidR="004D7800">
        <w:rPr>
          <w:lang w:val="en-US"/>
        </w:rPr>
        <w:t xml:space="preserve">to </w:t>
      </w:r>
      <w:r w:rsidR="00691621">
        <w:rPr>
          <w:lang w:val="en-US"/>
        </w:rPr>
        <w:t xml:space="preserve">legally </w:t>
      </w:r>
      <w:r w:rsidR="004D7800">
        <w:rPr>
          <w:lang w:val="en-US"/>
        </w:rPr>
        <w:t xml:space="preserve">qualified </w:t>
      </w:r>
      <w:r w:rsidR="00691621">
        <w:rPr>
          <w:lang w:val="en-US"/>
        </w:rPr>
        <w:t xml:space="preserve">persons was </w:t>
      </w:r>
      <w:r w:rsidR="004D7800">
        <w:rPr>
          <w:lang w:val="en-US"/>
        </w:rPr>
        <w:t xml:space="preserve">perceived </w:t>
      </w:r>
      <w:r w:rsidR="00691621">
        <w:rPr>
          <w:lang w:val="en-US"/>
        </w:rPr>
        <w:t xml:space="preserve">as an </w:t>
      </w:r>
      <w:r w:rsidR="004D7800">
        <w:rPr>
          <w:lang w:val="en-US"/>
        </w:rPr>
        <w:t xml:space="preserve">advantage, as </w:t>
      </w:r>
      <w:r w:rsidR="00691621">
        <w:rPr>
          <w:lang w:val="en-US"/>
        </w:rPr>
        <w:t xml:space="preserve">there </w:t>
      </w:r>
      <w:r w:rsidR="004D7800">
        <w:rPr>
          <w:lang w:val="en-US"/>
        </w:rPr>
        <w:t xml:space="preserve">is a shared understanding of what may </w:t>
      </w:r>
      <w:r w:rsidR="00691621">
        <w:rPr>
          <w:lang w:val="en-US"/>
        </w:rPr>
        <w:t xml:space="preserve">be </w:t>
      </w:r>
      <w:r w:rsidR="00644921">
        <w:rPr>
          <w:lang w:val="en-US"/>
        </w:rPr>
        <w:t>at stake in making any complaint</w:t>
      </w:r>
      <w:r w:rsidR="00C04036">
        <w:rPr>
          <w:lang w:val="en-US"/>
        </w:rPr>
        <w:t xml:space="preserve">.  </w:t>
      </w:r>
      <w:r>
        <w:rPr>
          <w:lang w:val="en-US"/>
        </w:rPr>
        <w:t>The induction process is about a month long.  One session focuses specifically on sexual harassment.  A series of slides are given to inductees and Divisional Lawyers speak to those slides.  That session covers:</w:t>
      </w:r>
      <w:bookmarkEnd w:id="81"/>
    </w:p>
    <w:p w14:paraId="4E9470AD" w14:textId="56FF008F" w:rsidR="001D72D2" w:rsidRDefault="001D72D2" w:rsidP="00EE0D50">
      <w:pPr>
        <w:pStyle w:val="List2"/>
        <w:rPr>
          <w:lang w:val="en-US"/>
        </w:rPr>
      </w:pPr>
      <w:r>
        <w:rPr>
          <w:lang w:val="en-US"/>
        </w:rPr>
        <w:t xml:space="preserve">the definition of sexual harassment under the </w:t>
      </w:r>
      <w:r w:rsidR="001C0FEF">
        <w:rPr>
          <w:lang w:val="en-US"/>
        </w:rPr>
        <w:t xml:space="preserve">SD </w:t>
      </w:r>
      <w:proofErr w:type="gramStart"/>
      <w:r w:rsidR="001C0FEF">
        <w:rPr>
          <w:lang w:val="en-US"/>
        </w:rPr>
        <w:t>Act;</w:t>
      </w:r>
      <w:proofErr w:type="gramEnd"/>
    </w:p>
    <w:p w14:paraId="2FB37244" w14:textId="77777777" w:rsidR="001D72D2" w:rsidRDefault="001D72D2" w:rsidP="00EE0D50">
      <w:pPr>
        <w:pStyle w:val="List2"/>
        <w:rPr>
          <w:lang w:val="en-US"/>
        </w:rPr>
      </w:pPr>
      <w:r>
        <w:rPr>
          <w:lang w:val="en-US"/>
        </w:rPr>
        <w:t xml:space="preserve">an outline of the Szoke Report, including the risk factors for sexual harassment identified in the </w:t>
      </w:r>
      <w:proofErr w:type="gramStart"/>
      <w:r>
        <w:rPr>
          <w:lang w:val="en-US"/>
        </w:rPr>
        <w:t>Report;</w:t>
      </w:r>
      <w:proofErr w:type="gramEnd"/>
    </w:p>
    <w:p w14:paraId="1233773E" w14:textId="77777777" w:rsidR="001D72D2" w:rsidRPr="00A41F30" w:rsidRDefault="001D72D2" w:rsidP="00EE0D50">
      <w:pPr>
        <w:pStyle w:val="List2"/>
        <w:rPr>
          <w:lang w:val="en-US"/>
        </w:rPr>
      </w:pPr>
      <w:r>
        <w:rPr>
          <w:lang w:val="en-US"/>
        </w:rPr>
        <w:t>a list of common concerns staff may have around making a report (for example, “it will ruin my career”, or “the person who harassed me is a judicial officer”), and the Court’s response to those concerns (inductees are shown a quotation from a statement by the Chief Justice that “there is zero tolerance for sexual harassment”, and told that confidentiality obligations between staff and a judicial officer do not prevent the making of a complaint);</w:t>
      </w:r>
    </w:p>
    <w:p w14:paraId="5B724583" w14:textId="77777777" w:rsidR="001D72D2" w:rsidRDefault="001D72D2" w:rsidP="00EE0D50">
      <w:pPr>
        <w:pStyle w:val="List2"/>
        <w:rPr>
          <w:lang w:val="en-US"/>
        </w:rPr>
      </w:pPr>
      <w:r>
        <w:rPr>
          <w:lang w:val="en-US"/>
        </w:rPr>
        <w:t>a series of scenarios during which inductees are invited to consider whether the conduct described in the scenario is appropriate (for example, “X messages everyone but Y in their work team via WhatsApp to talk about Y’s short skirt and generally “super sexy” work outfits”); and</w:t>
      </w:r>
    </w:p>
    <w:p w14:paraId="49E19113" w14:textId="77777777" w:rsidR="001D72D2" w:rsidRPr="00600F07" w:rsidRDefault="001D72D2" w:rsidP="00EE0D50">
      <w:pPr>
        <w:pStyle w:val="List2"/>
        <w:rPr>
          <w:lang w:val="en-US"/>
        </w:rPr>
      </w:pPr>
      <w:r>
        <w:rPr>
          <w:lang w:val="en-US"/>
        </w:rPr>
        <w:lastRenderedPageBreak/>
        <w:t xml:space="preserve">the process for making sexual harassment and victimisation complaints (noting that that process is subject to change with the publication of new CSV policies), including flowcharts of the complaint procedure.  </w:t>
      </w:r>
    </w:p>
    <w:p w14:paraId="6D87619D" w14:textId="07DB1140" w:rsidR="001D72D2" w:rsidRDefault="001D72D2" w:rsidP="0004466F">
      <w:pPr>
        <w:pStyle w:val="ListParagraph"/>
        <w:rPr>
          <w:lang w:val="en-US"/>
        </w:rPr>
      </w:pPr>
      <w:r>
        <w:rPr>
          <w:lang w:val="en-US"/>
        </w:rPr>
        <w:t>During induction, Court Officers are also told that the magistrate to whom they are assigned is not their employer or supervisor.  It is reinforced that they report to the Court’s Legal Policy Unit.  The message is further reinforced by the fact that the Court Officers have desks in the William Cooper building, alongside their supervisors, separate from the magistrate to whom they are assigned</w:t>
      </w:r>
      <w:r w:rsidR="002D2F3E">
        <w:rPr>
          <w:lang w:val="en-US"/>
        </w:rPr>
        <w:t xml:space="preserve">, although we understand that </w:t>
      </w:r>
      <w:r w:rsidR="004A5345">
        <w:rPr>
          <w:lang w:val="en-US"/>
        </w:rPr>
        <w:t>these arrangements</w:t>
      </w:r>
      <w:r w:rsidR="002D2F3E">
        <w:rPr>
          <w:lang w:val="en-US"/>
        </w:rPr>
        <w:t xml:space="preserve"> may change over time</w:t>
      </w:r>
      <w:r>
        <w:rPr>
          <w:lang w:val="en-US"/>
        </w:rPr>
        <w:t xml:space="preserve">.  </w:t>
      </w:r>
      <w:r w:rsidR="00C04036">
        <w:rPr>
          <w:lang w:val="en-US"/>
        </w:rPr>
        <w:t xml:space="preserve">This </w:t>
      </w:r>
      <w:r>
        <w:rPr>
          <w:lang w:val="en-US"/>
        </w:rPr>
        <w:t xml:space="preserve">arrangement </w:t>
      </w:r>
      <w:r w:rsidR="00C04036">
        <w:rPr>
          <w:lang w:val="en-US"/>
        </w:rPr>
        <w:t xml:space="preserve">deliberately </w:t>
      </w:r>
      <w:proofErr w:type="spellStart"/>
      <w:r>
        <w:rPr>
          <w:lang w:val="en-US"/>
        </w:rPr>
        <w:t>emphasise</w:t>
      </w:r>
      <w:r w:rsidR="00C04036">
        <w:rPr>
          <w:lang w:val="en-US"/>
        </w:rPr>
        <w:t>s</w:t>
      </w:r>
      <w:proofErr w:type="spellEnd"/>
      <w:r>
        <w:rPr>
          <w:lang w:val="en-US"/>
        </w:rPr>
        <w:t xml:space="preserve"> that the Court Officers are part of a team of Court Officers.  Further, each Court Officer is assigned a mentor at the VPS3 </w:t>
      </w:r>
      <w:proofErr w:type="gramStart"/>
      <w:r>
        <w:rPr>
          <w:lang w:val="en-US"/>
        </w:rPr>
        <w:t>level, and</w:t>
      </w:r>
      <w:proofErr w:type="gramEnd"/>
      <w:r>
        <w:rPr>
          <w:lang w:val="en-US"/>
        </w:rPr>
        <w:t xml:space="preserve"> is encouraged to build a relationship with their mentor.</w:t>
      </w:r>
    </w:p>
    <w:p w14:paraId="7DB8AA75" w14:textId="3B513F61" w:rsidR="001D72D2" w:rsidRDefault="001D72D2" w:rsidP="0004466F">
      <w:pPr>
        <w:pStyle w:val="ListParagraph"/>
        <w:rPr>
          <w:lang w:val="en-US"/>
        </w:rPr>
      </w:pPr>
      <w:bookmarkStart w:id="82" w:name="_Ref108877611"/>
      <w:r>
        <w:rPr>
          <w:lang w:val="en-US"/>
        </w:rPr>
        <w:t xml:space="preserve">Alongside the induction of new Court Officers, there is a further induction process for magistrates who are to be assigned a Court Officer.  As part of that process, it is </w:t>
      </w:r>
      <w:proofErr w:type="spellStart"/>
      <w:r>
        <w:rPr>
          <w:lang w:val="en-US"/>
        </w:rPr>
        <w:t>emphasised</w:t>
      </w:r>
      <w:proofErr w:type="spellEnd"/>
      <w:r>
        <w:rPr>
          <w:lang w:val="en-US"/>
        </w:rPr>
        <w:t xml:space="preserve"> that they are not the employer or supervisor of the Court Officer assigned to them.  The Chief Magistrate speaks with those magistrates, including </w:t>
      </w:r>
      <w:r w:rsidR="00C04036">
        <w:rPr>
          <w:lang w:val="en-US"/>
        </w:rPr>
        <w:t xml:space="preserve">about </w:t>
      </w:r>
      <w:r>
        <w:rPr>
          <w:lang w:val="en-US"/>
        </w:rPr>
        <w:t>appropriate standards of conduct.</w:t>
      </w:r>
      <w:r w:rsidR="00CA2652">
        <w:rPr>
          <w:lang w:val="en-US"/>
        </w:rPr>
        <w:t xml:space="preserve">  As part of that discussion, the Chief Magistrate states that any performance issues are to be raised with the Court’s </w:t>
      </w:r>
      <w:proofErr w:type="gramStart"/>
      <w:r w:rsidR="00CA2652">
        <w:rPr>
          <w:lang w:val="en-US"/>
        </w:rPr>
        <w:t>administration, and</w:t>
      </w:r>
      <w:proofErr w:type="gramEnd"/>
      <w:r w:rsidR="00CA2652">
        <w:rPr>
          <w:lang w:val="en-US"/>
        </w:rPr>
        <w:t xml:space="preserve"> speaks to magistrates about the limits of the Court Officer’s role and the tasks which may be expected of them. </w:t>
      </w:r>
      <w:r w:rsidR="00BD04C6">
        <w:rPr>
          <w:lang w:val="en-US"/>
        </w:rPr>
        <w:t xml:space="preserve"> </w:t>
      </w:r>
      <w:r w:rsidR="00CA2652">
        <w:rPr>
          <w:lang w:val="en-US"/>
        </w:rPr>
        <w:t>We heard that this practice works well, and that Court Officers gain additional comfort from their awareness that the magistrates to whom they have been assigned have been instructed, including by the head of jurisdiction, about the nature and limits of their role</w:t>
      </w:r>
      <w:bookmarkEnd w:id="82"/>
      <w:r w:rsidR="00BD04C6">
        <w:rPr>
          <w:lang w:val="en-US"/>
        </w:rPr>
        <w:t>.</w:t>
      </w:r>
    </w:p>
    <w:p w14:paraId="2E9AE6A0" w14:textId="39ED903B" w:rsidR="00666A35" w:rsidRDefault="005B3176" w:rsidP="0004466F">
      <w:pPr>
        <w:pStyle w:val="ListParagraph"/>
        <w:rPr>
          <w:lang w:val="en-US"/>
        </w:rPr>
      </w:pPr>
      <w:bookmarkStart w:id="83" w:name="_Ref110930873"/>
      <w:r>
        <w:rPr>
          <w:lang w:val="en-US"/>
        </w:rPr>
        <w:t xml:space="preserve">The determination of which Court Officer will be assigned to a particular magistrate is made by the Legal Policy Unit. </w:t>
      </w:r>
      <w:r w:rsidR="00BD04C6">
        <w:rPr>
          <w:lang w:val="en-US"/>
        </w:rPr>
        <w:t xml:space="preserve"> </w:t>
      </w:r>
      <w:r>
        <w:rPr>
          <w:lang w:val="en-US"/>
        </w:rPr>
        <w:t xml:space="preserve">Various factors are considered in the assignment process, including the Court Officer’s interests and whether the working practices of the Court Officer match that of the magistrate. </w:t>
      </w:r>
      <w:r w:rsidR="00BD04C6">
        <w:rPr>
          <w:lang w:val="en-US"/>
        </w:rPr>
        <w:t xml:space="preserve"> </w:t>
      </w:r>
      <w:r>
        <w:rPr>
          <w:lang w:val="en-US"/>
        </w:rPr>
        <w:t>Court Officers are encouraged to report if the assignment is not working for any reason.</w:t>
      </w:r>
      <w:bookmarkEnd w:id="83"/>
    </w:p>
    <w:p w14:paraId="30705665" w14:textId="2100414E" w:rsidR="001D72D2" w:rsidRPr="008E3FFA" w:rsidRDefault="001D72D2" w:rsidP="00B7605E">
      <w:pPr>
        <w:pStyle w:val="Heading2"/>
        <w:rPr>
          <w:lang w:val="en-US"/>
        </w:rPr>
      </w:pPr>
      <w:bookmarkStart w:id="84" w:name="_Toc112606916"/>
      <w:r w:rsidRPr="008E3FFA">
        <w:rPr>
          <w:lang w:val="en-US"/>
        </w:rPr>
        <w:t>C</w:t>
      </w:r>
      <w:r>
        <w:rPr>
          <w:lang w:val="en-US"/>
        </w:rPr>
        <w:t>h</w:t>
      </w:r>
      <w:r w:rsidRPr="008E3FFA">
        <w:rPr>
          <w:lang w:val="en-US"/>
        </w:rPr>
        <w:t>ildren’s Court</w:t>
      </w:r>
      <w:bookmarkEnd w:id="84"/>
    </w:p>
    <w:p w14:paraId="60AF3F53" w14:textId="37D9A349" w:rsidR="001D72D2" w:rsidRDefault="001D72D2" w:rsidP="0004466F">
      <w:pPr>
        <w:pStyle w:val="ListParagraph"/>
        <w:rPr>
          <w:lang w:val="en-US"/>
        </w:rPr>
      </w:pPr>
      <w:r>
        <w:rPr>
          <w:lang w:val="en-US"/>
        </w:rPr>
        <w:t>The Children’s Court is a workplace with a very high percentage of female staff and magistrates.  We understand that</w:t>
      </w:r>
      <w:r w:rsidR="006F36D4">
        <w:rPr>
          <w:lang w:val="en-US"/>
        </w:rPr>
        <w:t xml:space="preserve"> (as </w:t>
      </w:r>
      <w:proofErr w:type="gramStart"/>
      <w:r w:rsidR="006F36D4">
        <w:rPr>
          <w:lang w:val="en-US"/>
        </w:rPr>
        <w:t>at</w:t>
      </w:r>
      <w:proofErr w:type="gramEnd"/>
      <w:r w:rsidR="006F36D4">
        <w:rPr>
          <w:lang w:val="en-US"/>
        </w:rPr>
        <w:t xml:space="preserve"> January 2022)</w:t>
      </w:r>
      <w:r>
        <w:rPr>
          <w:lang w:val="en-US"/>
        </w:rPr>
        <w:t xml:space="preserve"> there are approximately 170 staff at the Court, of whom 82 per cent are female, and that of the 22 judicial officers at the Court (18 magistrates and 4 judicial registrars), 17 are female.  </w:t>
      </w:r>
    </w:p>
    <w:p w14:paraId="3E1D3CCD" w14:textId="212CEC1A" w:rsidR="001D72D2" w:rsidRDefault="001D72D2" w:rsidP="0004466F">
      <w:pPr>
        <w:pStyle w:val="ListParagraph"/>
        <w:rPr>
          <w:lang w:val="en-US"/>
        </w:rPr>
      </w:pPr>
      <w:r>
        <w:rPr>
          <w:lang w:val="en-US"/>
        </w:rPr>
        <w:t>The Court does not employ associates as that role is typically understood in the higher courts.  Approximately 25 TCRs are employed at the Court.  These TCRs carry out the bulk of the</w:t>
      </w:r>
      <w:r w:rsidR="009C010D">
        <w:rPr>
          <w:lang w:val="en-US"/>
        </w:rPr>
        <w:t xml:space="preserve"> </w:t>
      </w:r>
      <w:r w:rsidR="009C010D">
        <w:rPr>
          <w:lang w:val="en-US"/>
        </w:rPr>
        <w:lastRenderedPageBreak/>
        <w:t>“</w:t>
      </w:r>
      <w:r>
        <w:rPr>
          <w:lang w:val="en-US"/>
        </w:rPr>
        <w:t>bench clerk</w:t>
      </w:r>
      <w:r w:rsidR="009C010D">
        <w:rPr>
          <w:lang w:val="en-US"/>
        </w:rPr>
        <w:t xml:space="preserve">” </w:t>
      </w:r>
      <w:r>
        <w:rPr>
          <w:lang w:val="en-US"/>
        </w:rPr>
        <w:t xml:space="preserve">work at the Court, although on occasion a VPS3 or VPS4 staff member (who </w:t>
      </w:r>
      <w:r w:rsidR="00577F58">
        <w:rPr>
          <w:lang w:val="en-US"/>
        </w:rPr>
        <w:t xml:space="preserve">is </w:t>
      </w:r>
      <w:r>
        <w:rPr>
          <w:lang w:val="en-US"/>
        </w:rPr>
        <w:t xml:space="preserve">often </w:t>
      </w:r>
      <w:r w:rsidR="009D0968">
        <w:rPr>
          <w:lang w:val="en-US"/>
        </w:rPr>
        <w:t xml:space="preserve">a former </w:t>
      </w:r>
      <w:r>
        <w:rPr>
          <w:lang w:val="en-US"/>
        </w:rPr>
        <w:t xml:space="preserve">TCR who has been promoted </w:t>
      </w:r>
      <w:r w:rsidR="009D0968">
        <w:rPr>
          <w:lang w:val="en-US"/>
        </w:rPr>
        <w:t xml:space="preserve">from </w:t>
      </w:r>
      <w:r>
        <w:rPr>
          <w:lang w:val="en-US"/>
        </w:rPr>
        <w:t xml:space="preserve">the ranks) will carry out that task when a TCR is absent.  </w:t>
      </w:r>
    </w:p>
    <w:p w14:paraId="02B262A9" w14:textId="15FDCA73" w:rsidR="001D72D2" w:rsidRDefault="009D0968" w:rsidP="0004466F">
      <w:pPr>
        <w:pStyle w:val="ListParagraph"/>
        <w:rPr>
          <w:lang w:val="en-US"/>
        </w:rPr>
      </w:pPr>
      <w:r>
        <w:rPr>
          <w:lang w:val="en-US"/>
        </w:rPr>
        <w:t xml:space="preserve">The Magistrates’ Court </w:t>
      </w:r>
      <w:r w:rsidR="004A678B">
        <w:rPr>
          <w:lang w:val="en-US"/>
        </w:rPr>
        <w:t xml:space="preserve">manages the recruitment </w:t>
      </w:r>
      <w:r w:rsidR="001D72D2">
        <w:rPr>
          <w:lang w:val="en-US"/>
        </w:rPr>
        <w:t>of TCRs for both the Magistrates’ Court and the Children’s Court.  TCRs employed at the Children’s Court therefore complete the same 3-week induction as do TCRs based at the Magistrates’ Court, including the</w:t>
      </w:r>
      <w:r w:rsidR="009C010D">
        <w:rPr>
          <w:lang w:val="en-US"/>
        </w:rPr>
        <w:t xml:space="preserve"> “</w:t>
      </w:r>
      <w:r w:rsidR="001D72D2">
        <w:rPr>
          <w:lang w:val="en-US"/>
        </w:rPr>
        <w:t>Respect in the Workplace</w:t>
      </w:r>
      <w:r w:rsidR="009C010D">
        <w:rPr>
          <w:lang w:val="en-US"/>
        </w:rPr>
        <w:t xml:space="preserve">” </w:t>
      </w:r>
      <w:r w:rsidR="001D72D2">
        <w:rPr>
          <w:lang w:val="en-US"/>
        </w:rPr>
        <w:t>learning module.  TCRs may spend 12 to 18 months at the Children’s Court, then move to the Magistrates’ Court for a time to complete their training.  As in the Magistrates’ Court, TCRs are overwhelmingly female and in their early to mid-</w:t>
      </w:r>
      <w:r w:rsidR="00AD6642">
        <w:rPr>
          <w:lang w:val="en-US"/>
        </w:rPr>
        <w:t>twenties.</w:t>
      </w:r>
      <w:r w:rsidR="001D72D2">
        <w:rPr>
          <w:lang w:val="en-US"/>
        </w:rPr>
        <w:t xml:space="preserve">  We</w:t>
      </w:r>
      <w:r w:rsidR="0066218C">
        <w:rPr>
          <w:lang w:val="en-US"/>
        </w:rPr>
        <w:t> </w:t>
      </w:r>
      <w:r w:rsidR="001D72D2">
        <w:rPr>
          <w:lang w:val="en-US"/>
        </w:rPr>
        <w:t xml:space="preserve">were told that this demographic reflects the demographics of applicants for the role.  </w:t>
      </w:r>
    </w:p>
    <w:p w14:paraId="107FAD3D" w14:textId="519E9887" w:rsidR="001D72D2" w:rsidRDefault="001D72D2" w:rsidP="0004466F">
      <w:pPr>
        <w:pStyle w:val="ListParagraph"/>
        <w:rPr>
          <w:lang w:val="en-US"/>
        </w:rPr>
      </w:pPr>
      <w:r>
        <w:rPr>
          <w:lang w:val="en-US"/>
        </w:rPr>
        <w:t xml:space="preserve">We were told </w:t>
      </w:r>
      <w:proofErr w:type="gramStart"/>
      <w:r>
        <w:rPr>
          <w:lang w:val="en-US"/>
        </w:rPr>
        <w:t>that senior members of staff</w:t>
      </w:r>
      <w:proofErr w:type="gramEnd"/>
      <w:r>
        <w:rPr>
          <w:lang w:val="en-US"/>
        </w:rPr>
        <w:t xml:space="preserve"> meet with new </w:t>
      </w:r>
      <w:r w:rsidR="004A678B">
        <w:rPr>
          <w:lang w:val="en-US"/>
        </w:rPr>
        <w:t xml:space="preserve">recruits </w:t>
      </w:r>
      <w:r>
        <w:rPr>
          <w:lang w:val="en-US"/>
        </w:rPr>
        <w:t xml:space="preserve">at the Court.  That meeting mostly concerns staff </w:t>
      </w:r>
      <w:proofErr w:type="gramStart"/>
      <w:r>
        <w:rPr>
          <w:lang w:val="en-US"/>
        </w:rPr>
        <w:t>wellbeing, and</w:t>
      </w:r>
      <w:proofErr w:type="gramEnd"/>
      <w:r>
        <w:rPr>
          <w:lang w:val="en-US"/>
        </w:rPr>
        <w:t xml:space="preserve"> includes a discussion around reasonable expectations which magistrates may have and the boundaries of proper judicial expectations.  In that regard, we were told that the experience of the Court during COVID has increased the awareness of the need to draw a clear boundary between work hours and non-work hours, including by instructing staff that there is no expectation for them to have contact with any judicial officers outside of work hours.  </w:t>
      </w:r>
    </w:p>
    <w:p w14:paraId="0D25A75A" w14:textId="5D00B911" w:rsidR="001D72D2" w:rsidRDefault="001D72D2" w:rsidP="0004466F">
      <w:pPr>
        <w:pStyle w:val="ListParagraph"/>
        <w:rPr>
          <w:lang w:val="en-US"/>
        </w:rPr>
      </w:pPr>
      <w:r>
        <w:rPr>
          <w:lang w:val="en-US"/>
        </w:rPr>
        <w:t xml:space="preserve">In the relatively recent past, the policies at the Court concerning assignment of TCRs to magistrates have changed.  While in the past bench clerks were posted to courts on a day-to-day basis without being attached to any particular magistrate, under the new arrangements TCRs are assigned to a particular magistrate for a </w:t>
      </w:r>
      <w:proofErr w:type="gramStart"/>
      <w:r>
        <w:rPr>
          <w:lang w:val="en-US"/>
        </w:rPr>
        <w:t>3 or 4 month</w:t>
      </w:r>
      <w:proofErr w:type="gramEnd"/>
      <w:r>
        <w:rPr>
          <w:lang w:val="en-US"/>
        </w:rPr>
        <w:t xml:space="preserve"> term.  We were told that while a TCR is administratively assigned to a particular magistrate, that TCR remains part of a CSV-employed</w:t>
      </w:r>
      <w:r w:rsidR="009C010D">
        <w:rPr>
          <w:lang w:val="en-US"/>
        </w:rPr>
        <w:t xml:space="preserve"> “</w:t>
      </w:r>
      <w:r>
        <w:rPr>
          <w:lang w:val="en-US"/>
        </w:rPr>
        <w:t>team</w:t>
      </w:r>
      <w:r w:rsidR="009C010D">
        <w:rPr>
          <w:lang w:val="en-US"/>
        </w:rPr>
        <w:t xml:space="preserve">” </w:t>
      </w:r>
      <w:r>
        <w:rPr>
          <w:lang w:val="en-US"/>
        </w:rPr>
        <w:t xml:space="preserve">assisting that magistrate including a bench clerk, </w:t>
      </w:r>
      <w:proofErr w:type="gramStart"/>
      <w:r>
        <w:rPr>
          <w:lang w:val="en-US"/>
        </w:rPr>
        <w:t>registrar</w:t>
      </w:r>
      <w:proofErr w:type="gramEnd"/>
      <w:r>
        <w:rPr>
          <w:lang w:val="en-US"/>
        </w:rPr>
        <w:t xml:space="preserve"> and manager.  TCRs do not sit with the magistrate to whom they are assigned, and continue to sit with the registry staff</w:t>
      </w:r>
      <w:r w:rsidR="00893C05">
        <w:rPr>
          <w:lang w:val="en-US"/>
        </w:rPr>
        <w:t>, in</w:t>
      </w:r>
      <w:r>
        <w:rPr>
          <w:lang w:val="en-US"/>
        </w:rPr>
        <w:t xml:space="preserve"> an open</w:t>
      </w:r>
      <w:r w:rsidR="00C70071">
        <w:rPr>
          <w:lang w:val="en-US"/>
        </w:rPr>
        <w:noBreakHyphen/>
      </w:r>
      <w:r>
        <w:rPr>
          <w:lang w:val="en-US"/>
        </w:rPr>
        <w:t xml:space="preserve">plan environment, within their teams to ensure that they have support for their ongoing development.  Judicial officers sit on the same floor as the registry, and we were told that given the open-plan layout, there is ample visibility of what is occurring on the floor.  </w:t>
      </w:r>
    </w:p>
    <w:p w14:paraId="7891D5EC" w14:textId="78CC9713" w:rsidR="001D72D2" w:rsidRDefault="00943C9D" w:rsidP="0004466F">
      <w:pPr>
        <w:pStyle w:val="ListParagraph"/>
        <w:rPr>
          <w:lang w:val="en-US"/>
        </w:rPr>
      </w:pPr>
      <w:r>
        <w:rPr>
          <w:lang w:val="en-US"/>
        </w:rPr>
        <w:t xml:space="preserve">Under </w:t>
      </w:r>
      <w:r w:rsidR="001D72D2">
        <w:rPr>
          <w:lang w:val="en-US"/>
        </w:rPr>
        <w:t>the new arrangements</w:t>
      </w:r>
      <w:r>
        <w:rPr>
          <w:lang w:val="en-US"/>
        </w:rPr>
        <w:t>,</w:t>
      </w:r>
      <w:r w:rsidR="001D72D2">
        <w:rPr>
          <w:lang w:val="en-US"/>
        </w:rPr>
        <w:t xml:space="preserve"> the Senior Registrar and the Operations Manager</w:t>
      </w:r>
      <w:r>
        <w:rPr>
          <w:lang w:val="en-US"/>
        </w:rPr>
        <w:t xml:space="preserve"> assign TCRs to magistrates</w:t>
      </w:r>
      <w:r w:rsidR="001D72D2">
        <w:rPr>
          <w:lang w:val="en-US"/>
        </w:rPr>
        <w:t xml:space="preserve">.  </w:t>
      </w:r>
      <w:r w:rsidR="002C0F61">
        <w:rPr>
          <w:lang w:val="en-US"/>
        </w:rPr>
        <w:t xml:space="preserve">They consider </w:t>
      </w:r>
      <w:proofErr w:type="gramStart"/>
      <w:r w:rsidR="001D72D2">
        <w:rPr>
          <w:lang w:val="en-US"/>
        </w:rPr>
        <w:t>a number of</w:t>
      </w:r>
      <w:proofErr w:type="gramEnd"/>
      <w:r w:rsidR="001D72D2">
        <w:rPr>
          <w:lang w:val="en-US"/>
        </w:rPr>
        <w:t xml:space="preserve"> factors </w:t>
      </w:r>
      <w:r w:rsidR="002C0F61">
        <w:rPr>
          <w:lang w:val="en-US"/>
        </w:rPr>
        <w:t xml:space="preserve">assigning the TCRS, </w:t>
      </w:r>
      <w:r w:rsidR="001D72D2">
        <w:rPr>
          <w:lang w:val="en-US"/>
        </w:rPr>
        <w:t xml:space="preserve">including the </w:t>
      </w:r>
      <w:r w:rsidR="002C0F61">
        <w:rPr>
          <w:lang w:val="en-US"/>
        </w:rPr>
        <w:t xml:space="preserve">TCR’s </w:t>
      </w:r>
      <w:r w:rsidR="001D72D2">
        <w:rPr>
          <w:lang w:val="en-US"/>
        </w:rPr>
        <w:t>stage of training</w:t>
      </w:r>
      <w:r w:rsidR="002C0F61">
        <w:rPr>
          <w:lang w:val="en-US"/>
        </w:rPr>
        <w:t>,</w:t>
      </w:r>
      <w:r w:rsidR="001D72D2">
        <w:rPr>
          <w:lang w:val="en-US"/>
        </w:rPr>
        <w:t xml:space="preserve"> </w:t>
      </w:r>
      <w:r w:rsidR="002C0F61">
        <w:rPr>
          <w:lang w:val="en-US"/>
        </w:rPr>
        <w:t xml:space="preserve">their </w:t>
      </w:r>
      <w:r w:rsidR="001D72D2">
        <w:rPr>
          <w:lang w:val="en-US"/>
        </w:rPr>
        <w:t xml:space="preserve">strengths and weakness </w:t>
      </w:r>
      <w:r w:rsidR="009207E0">
        <w:rPr>
          <w:lang w:val="en-US"/>
        </w:rPr>
        <w:t xml:space="preserve">and </w:t>
      </w:r>
      <w:r w:rsidR="001D72D2">
        <w:rPr>
          <w:lang w:val="en-US"/>
        </w:rPr>
        <w:t>the expectations of magistrates</w:t>
      </w:r>
      <w:r w:rsidR="009207E0">
        <w:rPr>
          <w:lang w:val="en-US"/>
        </w:rPr>
        <w:t>.  They</w:t>
      </w:r>
      <w:r w:rsidR="0066218C">
        <w:rPr>
          <w:lang w:val="en-US"/>
        </w:rPr>
        <w:t> </w:t>
      </w:r>
      <w:proofErr w:type="gramStart"/>
      <w:r w:rsidR="009207E0">
        <w:rPr>
          <w:lang w:val="en-US"/>
        </w:rPr>
        <w:t>take into account</w:t>
      </w:r>
      <w:proofErr w:type="gramEnd"/>
      <w:r w:rsidR="009207E0">
        <w:rPr>
          <w:lang w:val="en-US"/>
        </w:rPr>
        <w:t xml:space="preserve"> the TCR’s personality, including </w:t>
      </w:r>
      <w:r w:rsidR="001D72D2">
        <w:rPr>
          <w:lang w:val="en-US"/>
        </w:rPr>
        <w:t xml:space="preserve">whether </w:t>
      </w:r>
      <w:r w:rsidR="00AA067B">
        <w:rPr>
          <w:lang w:val="en-US"/>
        </w:rPr>
        <w:t xml:space="preserve">they are </w:t>
      </w:r>
      <w:r w:rsidR="001D72D2">
        <w:rPr>
          <w:lang w:val="en-US"/>
        </w:rPr>
        <w:t xml:space="preserve">introverted or extroverted.  Before a TCR is assigned to a magistrate, staff speak to the magistrate and inform them of the chosen TCR to ensure that the magistrate is comfortable with the assignment.  Throughout the assignment, the working relationship is monitored by senior registry staff </w:t>
      </w:r>
      <w:r w:rsidR="001D72D2">
        <w:rPr>
          <w:lang w:val="en-US"/>
        </w:rPr>
        <w:lastRenderedPageBreak/>
        <w:t>and there is capacity to re-assign a TCR to a different magistrate if the assignment is not working, including where a magistrate is not satisfied with the TCR’s performance</w:t>
      </w:r>
      <w:r w:rsidR="00AA067B">
        <w:rPr>
          <w:lang w:val="en-US"/>
        </w:rPr>
        <w:t xml:space="preserve">. </w:t>
      </w:r>
      <w:r w:rsidR="001D72D2">
        <w:rPr>
          <w:lang w:val="en-US"/>
        </w:rPr>
        <w:t xml:space="preserve"> </w:t>
      </w:r>
      <w:r w:rsidR="00AA067B">
        <w:rPr>
          <w:lang w:val="en-US"/>
        </w:rPr>
        <w:t xml:space="preserve">In </w:t>
      </w:r>
      <w:r w:rsidR="001D72D2">
        <w:rPr>
          <w:lang w:val="en-US"/>
        </w:rPr>
        <w:t>that case</w:t>
      </w:r>
      <w:r w:rsidR="0042251D">
        <w:rPr>
          <w:lang w:val="en-US"/>
        </w:rPr>
        <w:t>, however,</w:t>
      </w:r>
      <w:r w:rsidR="001D72D2">
        <w:rPr>
          <w:lang w:val="en-US"/>
        </w:rPr>
        <w:t xml:space="preserve"> registry staff will first work with that TCR to attempt to build-up the TCR’s capabilities.  At the end of the 3-to-4-month assignment, a TCR will be rotated.</w:t>
      </w:r>
      <w:r w:rsidR="00DE28A8">
        <w:rPr>
          <w:rStyle w:val="FootnoteReference"/>
          <w:lang w:val="en-US"/>
        </w:rPr>
        <w:footnoteReference w:id="85"/>
      </w:r>
      <w:r w:rsidR="001D72D2">
        <w:rPr>
          <w:lang w:val="en-US"/>
        </w:rPr>
        <w:t xml:space="preserve">  </w:t>
      </w:r>
    </w:p>
    <w:p w14:paraId="0DC8C1B6" w14:textId="454F2AF6" w:rsidR="001D72D2" w:rsidRPr="00541BDA" w:rsidRDefault="001D72D2" w:rsidP="0004466F">
      <w:pPr>
        <w:pStyle w:val="ListParagraph"/>
        <w:rPr>
          <w:lang w:val="en-US"/>
        </w:rPr>
      </w:pPr>
      <w:r>
        <w:rPr>
          <w:lang w:val="en-US"/>
        </w:rPr>
        <w:t xml:space="preserve">Reporting lines within the Court appear to be clear.  We were told that TCRs report to VPS3 Registrars, who in turn report to VPS4 Registry Managers.  Those VPS4s report to the Operations Manager, who reports to the Senior Registrar at the VPS6 level.  We were further told that, from a registry perspective, there are clear expectations </w:t>
      </w:r>
      <w:r w:rsidR="0042251D">
        <w:rPr>
          <w:lang w:val="en-US"/>
        </w:rPr>
        <w:t xml:space="preserve">about </w:t>
      </w:r>
      <w:r>
        <w:rPr>
          <w:lang w:val="en-US"/>
        </w:rPr>
        <w:t>regular catch</w:t>
      </w:r>
      <w:r w:rsidR="00EE0D50">
        <w:rPr>
          <w:lang w:val="en-US"/>
        </w:rPr>
        <w:noBreakHyphen/>
      </w:r>
      <w:r>
        <w:rPr>
          <w:lang w:val="en-US"/>
        </w:rPr>
        <w:t xml:space="preserve">ups within reporting lines as well as performance discussions.  Managers are expected to be proactive in having weekly and fortnightly </w:t>
      </w:r>
      <w:proofErr w:type="gramStart"/>
      <w:r>
        <w:rPr>
          <w:lang w:val="en-US"/>
        </w:rPr>
        <w:t>catch-ups</w:t>
      </w:r>
      <w:proofErr w:type="gramEnd"/>
      <w:r>
        <w:rPr>
          <w:lang w:val="en-US"/>
        </w:rPr>
        <w:t xml:space="preserve">, and there are regular staff meetings.  Peer level meetings also occur on a regular basis to discuss any issues which arise.  Mentoring and peer support is also provided, particularly for the VPS2 and VPS3-level staff, in a monthly externally facilitated session where those staff members can speak about how they are feeling given the </w:t>
      </w:r>
      <w:proofErr w:type="gramStart"/>
      <w:r>
        <w:rPr>
          <w:lang w:val="en-US"/>
        </w:rPr>
        <w:t>sometimes challenging</w:t>
      </w:r>
      <w:proofErr w:type="gramEnd"/>
      <w:r>
        <w:rPr>
          <w:lang w:val="en-US"/>
        </w:rPr>
        <w:t xml:space="preserve"> nature of the Court’s work.  </w:t>
      </w:r>
    </w:p>
    <w:p w14:paraId="69BC2A12" w14:textId="3511D72C" w:rsidR="001D72D2" w:rsidRDefault="001D72D2" w:rsidP="0004466F">
      <w:pPr>
        <w:pStyle w:val="ListParagraph"/>
        <w:rPr>
          <w:lang w:val="en-US"/>
        </w:rPr>
      </w:pPr>
      <w:r>
        <w:rPr>
          <w:lang w:val="en-US"/>
        </w:rPr>
        <w:t xml:space="preserve">During our consultations, </w:t>
      </w:r>
      <w:r w:rsidR="0042251D">
        <w:rPr>
          <w:lang w:val="en-US"/>
        </w:rPr>
        <w:t xml:space="preserve">the managers and the CEO </w:t>
      </w:r>
      <w:proofErr w:type="spellStart"/>
      <w:r>
        <w:rPr>
          <w:lang w:val="en-US"/>
        </w:rPr>
        <w:t>emphasised</w:t>
      </w:r>
      <w:proofErr w:type="spellEnd"/>
      <w:r>
        <w:rPr>
          <w:lang w:val="en-US"/>
        </w:rPr>
        <w:t xml:space="preserve"> the benefits of the relatively small size of the Children’s Court.  We were told that there is a real sense of working together within the Court.  Senior registry staff </w:t>
      </w:r>
      <w:proofErr w:type="gramStart"/>
      <w:r>
        <w:rPr>
          <w:lang w:val="en-US"/>
        </w:rPr>
        <w:t>are able to</w:t>
      </w:r>
      <w:proofErr w:type="gramEnd"/>
      <w:r>
        <w:rPr>
          <w:lang w:val="en-US"/>
        </w:rPr>
        <w:t xml:space="preserve"> get to know junior registry staff.  Similarly,</w:t>
      </w:r>
      <w:r w:rsidR="00C70071">
        <w:rPr>
          <w:lang w:val="en-US"/>
        </w:rPr>
        <w:t> </w:t>
      </w:r>
      <w:r>
        <w:rPr>
          <w:lang w:val="en-US"/>
        </w:rPr>
        <w:t>staff get to know magistrates well.  All staff we spoke to appeared confident that any</w:t>
      </w:r>
      <w:r w:rsidR="009C010D">
        <w:rPr>
          <w:lang w:val="en-US"/>
        </w:rPr>
        <w:t xml:space="preserve"> “</w:t>
      </w:r>
      <w:r>
        <w:rPr>
          <w:lang w:val="en-US"/>
        </w:rPr>
        <w:t>red flags</w:t>
      </w:r>
      <w:r w:rsidR="009C010D">
        <w:rPr>
          <w:lang w:val="en-US"/>
        </w:rPr>
        <w:t xml:space="preserve">” </w:t>
      </w:r>
      <w:r>
        <w:rPr>
          <w:lang w:val="en-US"/>
        </w:rPr>
        <w:t>of sexual harassment would be detected, and that junior staff members would feel comfortable in raising any concerns with more senior members of the registry.</w:t>
      </w:r>
    </w:p>
    <w:p w14:paraId="72A6F543" w14:textId="745E3B2F" w:rsidR="001D72D2" w:rsidRDefault="001D72D2" w:rsidP="0004466F">
      <w:pPr>
        <w:pStyle w:val="ListParagraph"/>
        <w:rPr>
          <w:lang w:val="en-US"/>
        </w:rPr>
      </w:pPr>
      <w:r>
        <w:rPr>
          <w:lang w:val="en-US"/>
        </w:rPr>
        <w:t xml:space="preserve">We were also told that there are no specific written protocols relating to arrangements for travel on circuit.  In practice, however, CSV staff will generally travel to the destination separately from the judicial officer and will stay at separate accommodation.  </w:t>
      </w:r>
    </w:p>
    <w:p w14:paraId="0A1C0DCB" w14:textId="4A38E3FF" w:rsidR="001D72D2" w:rsidRPr="00192A48" w:rsidRDefault="001D72D2" w:rsidP="00B7605E">
      <w:pPr>
        <w:pStyle w:val="Heading2"/>
        <w:rPr>
          <w:lang w:val="en-US"/>
        </w:rPr>
      </w:pPr>
      <w:bookmarkStart w:id="85" w:name="_Toc112606917"/>
      <w:r w:rsidRPr="00192A48">
        <w:rPr>
          <w:lang w:val="en-US"/>
        </w:rPr>
        <w:t>Coroners Court</w:t>
      </w:r>
      <w:bookmarkEnd w:id="85"/>
    </w:p>
    <w:p w14:paraId="7149E15C" w14:textId="1068AF1B" w:rsidR="001D72D2" w:rsidRDefault="001D72D2" w:rsidP="0004466F">
      <w:pPr>
        <w:pStyle w:val="ListParagraph"/>
        <w:rPr>
          <w:lang w:val="en-US"/>
        </w:rPr>
      </w:pPr>
      <w:r>
        <w:rPr>
          <w:lang w:val="en-US"/>
        </w:rPr>
        <w:t xml:space="preserve">The </w:t>
      </w:r>
      <w:proofErr w:type="gramStart"/>
      <w:r>
        <w:rPr>
          <w:lang w:val="en-US"/>
        </w:rPr>
        <w:t>Coroners</w:t>
      </w:r>
      <w:proofErr w:type="gramEnd"/>
      <w:r>
        <w:rPr>
          <w:lang w:val="en-US"/>
        </w:rPr>
        <w:t xml:space="preserve"> Court </w:t>
      </w:r>
      <w:r w:rsidR="00EC70A9">
        <w:rPr>
          <w:lang w:val="en-US"/>
        </w:rPr>
        <w:t xml:space="preserve">is </w:t>
      </w:r>
      <w:r>
        <w:rPr>
          <w:lang w:val="en-US"/>
        </w:rPr>
        <w:t xml:space="preserve">unlike other jurisdictions in many respects.  Much of the Court’s work is done in chambers, with only a very small proportion of the Court’s matters progressing to an inquest.  Further, the Court’s work is inquisitorial, rather than adversarial.  The nature of the Court’s work and the consequent risk of vicarious trauma necessitates a focus on staff wellbeing.  </w:t>
      </w:r>
    </w:p>
    <w:p w14:paraId="3A57849A" w14:textId="08788EA0" w:rsidR="001D72D2" w:rsidRDefault="001D72D2" w:rsidP="0004466F">
      <w:pPr>
        <w:pStyle w:val="ListParagraph"/>
        <w:rPr>
          <w:lang w:val="en-US"/>
        </w:rPr>
      </w:pPr>
      <w:r>
        <w:rPr>
          <w:lang w:val="en-US"/>
        </w:rPr>
        <w:lastRenderedPageBreak/>
        <w:t>The problems</w:t>
      </w:r>
      <w:r w:rsidR="00096470">
        <w:rPr>
          <w:lang w:val="en-US"/>
        </w:rPr>
        <w:t xml:space="preserve"> which</w:t>
      </w:r>
      <w:r>
        <w:rPr>
          <w:lang w:val="en-US"/>
        </w:rPr>
        <w:t xml:space="preserve"> the Coroners Court</w:t>
      </w:r>
      <w:r w:rsidR="00EC70A9">
        <w:rPr>
          <w:lang w:val="en-US"/>
        </w:rPr>
        <w:t xml:space="preserve"> has</w:t>
      </w:r>
      <w:r>
        <w:rPr>
          <w:lang w:val="en-US"/>
        </w:rPr>
        <w:t xml:space="preserve"> faced in recent years have been well </w:t>
      </w:r>
      <w:proofErr w:type="spellStart"/>
      <w:r>
        <w:rPr>
          <w:lang w:val="en-US"/>
        </w:rPr>
        <w:t>publicised</w:t>
      </w:r>
      <w:proofErr w:type="spellEnd"/>
      <w:r>
        <w:rPr>
          <w:lang w:val="en-US"/>
        </w:rPr>
        <w:t xml:space="preserve">.  Some detail of those matters appears in the November 2020 </w:t>
      </w:r>
      <w:r w:rsidR="005F1F7B">
        <w:rPr>
          <w:lang w:val="en-US"/>
        </w:rPr>
        <w:t>“</w:t>
      </w:r>
      <w:r w:rsidR="00F756E5">
        <w:rPr>
          <w:lang w:val="en-US"/>
        </w:rPr>
        <w:t>Finding into Death without Inquest</w:t>
      </w:r>
      <w:r w:rsidR="005F1F7B">
        <w:rPr>
          <w:lang w:val="en-US"/>
        </w:rPr>
        <w:t xml:space="preserve">” </w:t>
      </w:r>
      <w:r>
        <w:rPr>
          <w:lang w:val="en-US"/>
        </w:rPr>
        <w:t>concerning the death of a Court employee in September 2018.  The coroner found in that matter that the employee</w:t>
      </w:r>
      <w:r w:rsidR="009D45E5">
        <w:rPr>
          <w:lang w:val="en-US"/>
        </w:rPr>
        <w:t>, a</w:t>
      </w:r>
      <w:r w:rsidR="00B677C1">
        <w:rPr>
          <w:lang w:val="en-US"/>
        </w:rPr>
        <w:t xml:space="preserve"> respected</w:t>
      </w:r>
      <w:r w:rsidR="009D45E5">
        <w:rPr>
          <w:lang w:val="en-US"/>
        </w:rPr>
        <w:t xml:space="preserve"> senior solicitor,</w:t>
      </w:r>
      <w:r>
        <w:rPr>
          <w:lang w:val="en-US"/>
        </w:rPr>
        <w:t xml:space="preserve"> had been suffering from a</w:t>
      </w:r>
      <w:r w:rsidR="009C010D">
        <w:rPr>
          <w:lang w:val="en-US"/>
        </w:rPr>
        <w:t xml:space="preserve"> “</w:t>
      </w:r>
      <w:r>
        <w:rPr>
          <w:lang w:val="en-US"/>
        </w:rPr>
        <w:t>work related major depressive disorder</w:t>
      </w:r>
      <w:r w:rsidR="00547C69">
        <w:rPr>
          <w:lang w:val="en-US"/>
        </w:rPr>
        <w:t>”</w:t>
      </w:r>
      <w:r w:rsidR="005F5BE7">
        <w:rPr>
          <w:lang w:val="en-US"/>
        </w:rPr>
        <w:t xml:space="preserve">, and that the </w:t>
      </w:r>
      <w:r w:rsidR="00755459">
        <w:rPr>
          <w:lang w:val="en-US"/>
        </w:rPr>
        <w:t xml:space="preserve">“workplace and its culture </w:t>
      </w:r>
      <w:r w:rsidR="00E84D0C">
        <w:rPr>
          <w:lang w:val="en-US"/>
        </w:rPr>
        <w:t>at the time, was deeply flawed”.</w:t>
      </w:r>
    </w:p>
    <w:p w14:paraId="5E6E61A3" w14:textId="16035332" w:rsidR="003365AB" w:rsidRPr="003365AB" w:rsidRDefault="008850A6" w:rsidP="0004466F">
      <w:pPr>
        <w:pStyle w:val="ListParagraph"/>
      </w:pPr>
      <w:r>
        <w:t xml:space="preserve">In </w:t>
      </w:r>
      <w:r w:rsidR="0067708A">
        <w:t xml:space="preserve">2019, </w:t>
      </w:r>
      <w:proofErr w:type="gramStart"/>
      <w:r w:rsidR="0067708A">
        <w:t>a number of</w:t>
      </w:r>
      <w:proofErr w:type="gramEnd"/>
      <w:r w:rsidR="0067708A">
        <w:t xml:space="preserve"> allegations of misconduct or inappropriate behaviour against the then State Coroner were made and investigated by the Judicial Commission.  Most of the allegations were dismissed after a preliminary investigation.  Several allegations were referred to the Chief Judge of the County Court for counselling.</w:t>
      </w:r>
      <w:r w:rsidR="00480CEC">
        <w:t xml:space="preserve"> </w:t>
      </w:r>
      <w:r w:rsidR="0067708A">
        <w:t xml:space="preserve"> One allegation concerning the removal of alcohol purchased by Court funds for personal use was referred to an investigating </w:t>
      </w:r>
      <w:proofErr w:type="gramStart"/>
      <w:r w:rsidR="0067708A">
        <w:t>panel, and</w:t>
      </w:r>
      <w:proofErr w:type="gramEnd"/>
      <w:r w:rsidR="0067708A">
        <w:t xml:space="preserve"> was dismissed. </w:t>
      </w:r>
      <w:r w:rsidR="00480CEC">
        <w:t xml:space="preserve"> </w:t>
      </w:r>
      <w:r w:rsidR="0067708A">
        <w:t xml:space="preserve">The then State Coroner resigned but remained as a </w:t>
      </w:r>
      <w:proofErr w:type="gramStart"/>
      <w:r w:rsidR="0067708A">
        <w:t>County</w:t>
      </w:r>
      <w:proofErr w:type="gramEnd"/>
      <w:r w:rsidR="0067708A">
        <w:t xml:space="preserve"> Court judge.</w:t>
      </w:r>
    </w:p>
    <w:p w14:paraId="4A86DD4A" w14:textId="57FB4AB8" w:rsidR="001D72D2" w:rsidRPr="00F952A4" w:rsidRDefault="001D72D2" w:rsidP="0004466F">
      <w:pPr>
        <w:pStyle w:val="ListParagraph"/>
      </w:pPr>
      <w:r w:rsidRPr="00F952A4">
        <w:rPr>
          <w:lang w:val="en-US"/>
        </w:rPr>
        <w:t xml:space="preserve">In our consultations with Court </w:t>
      </w:r>
      <w:r w:rsidR="00324458">
        <w:rPr>
          <w:lang w:val="en-US"/>
        </w:rPr>
        <w:t>HR management and CEO,</w:t>
      </w:r>
      <w:r w:rsidRPr="00F952A4">
        <w:rPr>
          <w:lang w:val="en-US"/>
        </w:rPr>
        <w:t xml:space="preserve"> we gained the impression that the troubles the Court has been through have provided the impetus for significant structural change within the Court as a workplace</w:t>
      </w:r>
      <w:r>
        <w:rPr>
          <w:lang w:val="en-US"/>
        </w:rPr>
        <w:t xml:space="preserve">.  We heard also that the Court’s leadership takes a strong stand on setting positive values within the Court, and regularly communicates with staff about staff wellbeing and support.  We also heard that the relationship between staff and coroners tends to be significantly less formal than it is in the higher courts, and that there is not the same kind of power imbalance and hierarchy as exists in the higher courts.  </w:t>
      </w:r>
    </w:p>
    <w:p w14:paraId="32E43574" w14:textId="02FA9F09" w:rsidR="001D72D2" w:rsidRPr="00822436" w:rsidRDefault="001D72D2" w:rsidP="0004466F">
      <w:pPr>
        <w:pStyle w:val="ListParagraph"/>
      </w:pPr>
      <w:r>
        <w:rPr>
          <w:lang w:val="en-US"/>
        </w:rPr>
        <w:t xml:space="preserve">The Court </w:t>
      </w:r>
      <w:r w:rsidR="00A723C8">
        <w:rPr>
          <w:lang w:val="en-US"/>
        </w:rPr>
        <w:t xml:space="preserve">has </w:t>
      </w:r>
      <w:r>
        <w:rPr>
          <w:lang w:val="en-US"/>
        </w:rPr>
        <w:t>14 coroners, with a gender balance that is approximately 60% female.  Some</w:t>
      </w:r>
      <w:r w:rsidR="0066218C">
        <w:rPr>
          <w:lang w:val="en-US"/>
        </w:rPr>
        <w:t> </w:t>
      </w:r>
      <w:r>
        <w:rPr>
          <w:lang w:val="en-US"/>
        </w:rPr>
        <w:t>coroners are magistrates, while others are appointed simply as coroners on a fixed</w:t>
      </w:r>
      <w:r w:rsidR="00C70071">
        <w:rPr>
          <w:lang w:val="en-US"/>
        </w:rPr>
        <w:noBreakHyphen/>
      </w:r>
      <w:r>
        <w:rPr>
          <w:lang w:val="en-US"/>
        </w:rPr>
        <w:t xml:space="preserve">term basis.  </w:t>
      </w:r>
      <w:r w:rsidRPr="000B7378">
        <w:rPr>
          <w:lang w:val="en-US"/>
        </w:rPr>
        <w:t>The coroners are supported by 116</w:t>
      </w:r>
      <w:r>
        <w:rPr>
          <w:lang w:val="en-US"/>
        </w:rPr>
        <w:t xml:space="preserve"> CSV-employed</w:t>
      </w:r>
      <w:r w:rsidRPr="000B7378">
        <w:rPr>
          <w:lang w:val="en-US"/>
        </w:rPr>
        <w:t xml:space="preserve"> staff, approximately 70% of whom are female</w:t>
      </w:r>
      <w:r>
        <w:rPr>
          <w:lang w:val="en-US"/>
        </w:rPr>
        <w:t xml:space="preserve">.  </w:t>
      </w:r>
      <w:r w:rsidRPr="000B7378">
        <w:rPr>
          <w:lang w:val="en-US"/>
        </w:rPr>
        <w:t xml:space="preserve">Staff </w:t>
      </w:r>
      <w:r>
        <w:rPr>
          <w:lang w:val="en-US"/>
        </w:rPr>
        <w:t>are generally</w:t>
      </w:r>
      <w:r w:rsidRPr="000B7378">
        <w:rPr>
          <w:lang w:val="en-US"/>
        </w:rPr>
        <w:t xml:space="preserve"> in their </w:t>
      </w:r>
      <w:r w:rsidR="00AD6642">
        <w:rPr>
          <w:lang w:val="en-US"/>
        </w:rPr>
        <w:t>twenties or thirties.</w:t>
      </w:r>
      <w:r>
        <w:rPr>
          <w:lang w:val="en-US"/>
        </w:rPr>
        <w:t xml:space="preserve">  </w:t>
      </w:r>
    </w:p>
    <w:p w14:paraId="77E3673F" w14:textId="1F64DF9D" w:rsidR="001D72D2" w:rsidRDefault="001D72D2" w:rsidP="0004466F">
      <w:pPr>
        <w:pStyle w:val="ListParagraph"/>
      </w:pPr>
      <w:r>
        <w:t xml:space="preserve">Each coroner is supported by a team comprising a solicitor and a registrar.  Each Coroner and their team will have a caseload of about 400 matters at any single time, of which about 20 to 30% of which will result in </w:t>
      </w:r>
      <w:r w:rsidR="00277992">
        <w:t xml:space="preserve">written </w:t>
      </w:r>
      <w:r>
        <w:t xml:space="preserve">findings, and about 1% will progress to an inquest.  The solicitor provides legal support, and the registrar case manages matters.  There is no analogue to associates/tipstaves in the higher courts.  Registrars are employed at the VPS3 level, and solicitors are employed at the VPS4 level.  As registrars are employed </w:t>
      </w:r>
      <w:r w:rsidR="00134FD8">
        <w:t>at a higher level than in other courts</w:t>
      </w:r>
      <w:r w:rsidR="00F54642">
        <w:t xml:space="preserve"> (where junior registrars tend to be employed at the VPS2 level)</w:t>
      </w:r>
      <w:r>
        <w:t xml:space="preserve">, the Coroners Court is often seen as a desirable destination for registrars looking to progress in their career.  Accordingly, the Court’s registrars tend to have some previous experience in the workforce before working at the Court.  </w:t>
      </w:r>
    </w:p>
    <w:p w14:paraId="69FCE05C" w14:textId="1E1E4B43" w:rsidR="001D72D2" w:rsidRDefault="001D72D2" w:rsidP="0004466F">
      <w:pPr>
        <w:pStyle w:val="ListParagraph"/>
      </w:pPr>
      <w:r>
        <w:lastRenderedPageBreak/>
        <w:t xml:space="preserve">A significant factor which sets the Coroners Court apart from other jurisdictions is that staff are now </w:t>
      </w:r>
      <w:r w:rsidR="006E7D96">
        <w:t xml:space="preserve">in </w:t>
      </w:r>
      <w:r>
        <w:t xml:space="preserve">ongoing roles, rather than appointed on fixed terms.  </w:t>
      </w:r>
      <w:r w:rsidR="00C42F75">
        <w:t>Staff</w:t>
      </w:r>
      <w:r>
        <w:t xml:space="preserve"> at the Court tend to be senior in grade to their counterparts at other courts and have more secure employment on a long-term basis.  We heard further tha</w:t>
      </w:r>
      <w:r w:rsidR="00C31F82">
        <w:t>t</w:t>
      </w:r>
      <w:r>
        <w:t xml:space="preserve"> the security of tenure among staff has instilled a sense of stability in the workplace</w:t>
      </w:r>
      <w:r w:rsidR="006E7D96">
        <w:t>.  The</w:t>
      </w:r>
      <w:r>
        <w:t xml:space="preserve"> longer tenure ensures that staff are familiar with the way in which the court operates and </w:t>
      </w:r>
      <w:proofErr w:type="gramStart"/>
      <w:r w:rsidR="006E7D96">
        <w:t xml:space="preserve">are </w:t>
      </w:r>
      <w:r>
        <w:t>able to</w:t>
      </w:r>
      <w:proofErr w:type="gramEnd"/>
      <w:r>
        <w:t xml:space="preserve"> provide better support to coroners.  </w:t>
      </w:r>
      <w:r w:rsidR="006E7D96">
        <w:t xml:space="preserve">As stated above, </w:t>
      </w:r>
      <w:r w:rsidR="004D7A26">
        <w:t>short-term</w:t>
      </w:r>
      <w:r w:rsidR="006E7D96">
        <w:t xml:space="preserve"> contract employment is a major risk factor for sexual harassment, which the new Coroners Court arrangement avoids.</w:t>
      </w:r>
    </w:p>
    <w:p w14:paraId="253808A8" w14:textId="5A567E42" w:rsidR="001D72D2" w:rsidRDefault="001D72D2" w:rsidP="0004466F">
      <w:pPr>
        <w:pStyle w:val="ListParagraph"/>
      </w:pPr>
      <w:r>
        <w:t xml:space="preserve">In addition to solicitors and registrars, other staff at the Court include investigators, Family Liaison </w:t>
      </w:r>
      <w:proofErr w:type="gramStart"/>
      <w:r>
        <w:t>Officers</w:t>
      </w:r>
      <w:proofErr w:type="gramEnd"/>
      <w:r>
        <w:t xml:space="preserve"> and Koori Family Liaison Officers.</w:t>
      </w:r>
    </w:p>
    <w:p w14:paraId="71B0E9B3" w14:textId="1FB8C1BE" w:rsidR="001D72D2" w:rsidRDefault="001D72D2" w:rsidP="0004466F">
      <w:pPr>
        <w:pStyle w:val="ListParagraph"/>
      </w:pPr>
      <w:r>
        <w:t xml:space="preserve">Given the nature of the Court’s jurisdiction and work, recruitment decisions are influenced by the need for candidates </w:t>
      </w:r>
      <w:r w:rsidR="006E7D96">
        <w:t xml:space="preserve">with </w:t>
      </w:r>
      <w:r>
        <w:t xml:space="preserve">resilience.  During the recruitment process (which is a competitive process based on merit), the Court communicates openly about the </w:t>
      </w:r>
      <w:proofErr w:type="gramStart"/>
      <w:r>
        <w:t>sometimes challenging</w:t>
      </w:r>
      <w:proofErr w:type="gramEnd"/>
      <w:r>
        <w:t xml:space="preserve"> nature of the work.  This includes the publication of a series called “a Day in the Life” which sets out what sort of tasks an employee at the Court might undertake in a day in their role.  The purpose of the publication is to ensure that applicants know what to expect.  </w:t>
      </w:r>
    </w:p>
    <w:p w14:paraId="2B025B9C" w14:textId="66FC9AA8" w:rsidR="001D72D2" w:rsidRDefault="001D72D2" w:rsidP="0004466F">
      <w:pPr>
        <w:pStyle w:val="ListParagraph"/>
      </w:pPr>
      <w:r>
        <w:t xml:space="preserve">We heard that there are no fixed arrangements for how long a </w:t>
      </w:r>
      <w:r w:rsidR="009C010D">
        <w:t>“</w:t>
      </w:r>
      <w:r>
        <w:t>team</w:t>
      </w:r>
      <w:r w:rsidR="009C010D">
        <w:t>”</w:t>
      </w:r>
      <w:r>
        <w:t xml:space="preserve"> (comprising a coroner, </w:t>
      </w:r>
      <w:proofErr w:type="gramStart"/>
      <w:r>
        <w:t>registrar</w:t>
      </w:r>
      <w:proofErr w:type="gramEnd"/>
      <w:r>
        <w:t xml:space="preserve"> and a solicitor) will stay together.  The decision is based on business needs.  The</w:t>
      </w:r>
      <w:r w:rsidR="0066218C">
        <w:t> </w:t>
      </w:r>
      <w:r>
        <w:t>Court will generally aim to keep a team together on a long-term basis to foster seamless working arrangements and in recognition that each coroner will like things done in a certain way.  However, there is scope to change the composition of teams in certain circumstances</w:t>
      </w:r>
      <w:r w:rsidR="00590CAA">
        <w:t xml:space="preserve">.  For </w:t>
      </w:r>
      <w:r>
        <w:t>example</w:t>
      </w:r>
      <w:r w:rsidR="00590CAA">
        <w:t>,</w:t>
      </w:r>
      <w:r>
        <w:t xml:space="preserve"> a new coroner </w:t>
      </w:r>
      <w:r w:rsidR="00590CAA">
        <w:t xml:space="preserve">may </w:t>
      </w:r>
      <w:r>
        <w:t xml:space="preserve">join the Court and require assistance from experienced staff, or there </w:t>
      </w:r>
      <w:r w:rsidR="00590CAA">
        <w:t xml:space="preserve">may be other </w:t>
      </w:r>
      <w:r>
        <w:t xml:space="preserve">issues within the team which affect the working environment.  </w:t>
      </w:r>
    </w:p>
    <w:p w14:paraId="14813296" w14:textId="660A9730" w:rsidR="001D72D2" w:rsidRDefault="001D72D2" w:rsidP="0004466F">
      <w:pPr>
        <w:pStyle w:val="ListParagraph"/>
      </w:pPr>
      <w:r>
        <w:t xml:space="preserve">As to induction, new staff members have a </w:t>
      </w:r>
      <w:r w:rsidR="00126D3A">
        <w:t>one</w:t>
      </w:r>
      <w:r w:rsidR="004A4EA0">
        <w:noBreakHyphen/>
      </w:r>
      <w:r w:rsidR="00126D3A">
        <w:t>on</w:t>
      </w:r>
      <w:r w:rsidR="004A4EA0">
        <w:noBreakHyphen/>
      </w:r>
      <w:r w:rsidR="00126D3A">
        <w:t>one</w:t>
      </w:r>
      <w:r>
        <w:t xml:space="preserve"> conversation with the head of HR shortly after commencement of their employment and are given a detailed Welcome Information Pack, and a</w:t>
      </w:r>
      <w:r w:rsidR="009C010D">
        <w:t xml:space="preserve"> “</w:t>
      </w:r>
      <w:r>
        <w:t>Welcome to the Coroners Court’ eBook.  The Welcome Information Pack includes an organisational chart with details of the Court’s executive team and a diagram of the business unit structure.  One page of the Welcome Information Pack is headed</w:t>
      </w:r>
      <w:r w:rsidR="009C010D">
        <w:t xml:space="preserve"> “</w:t>
      </w:r>
      <w:r>
        <w:t>A safe, healthy and respectful workplace</w:t>
      </w:r>
      <w:r w:rsidR="0078553C">
        <w:t>”</w:t>
      </w:r>
      <w:r>
        <w:t>.  New staff are informed that the Court is committed to providing a</w:t>
      </w:r>
      <w:r w:rsidR="009C010D">
        <w:t xml:space="preserve"> “</w:t>
      </w:r>
      <w:r>
        <w:t>safe, healthy and respectful workplace</w:t>
      </w:r>
      <w:r w:rsidR="00590CAA">
        <w:t>”</w:t>
      </w:r>
      <w:r>
        <w:t>, and that</w:t>
      </w:r>
      <w:r w:rsidR="009C010D">
        <w:t xml:space="preserve"> “</w:t>
      </w:r>
      <w:r>
        <w:t>[a]</w:t>
      </w:r>
      <w:proofErr w:type="spellStart"/>
      <w:r>
        <w:t>ll</w:t>
      </w:r>
      <w:proofErr w:type="spellEnd"/>
      <w:r>
        <w:t xml:space="preserve"> care is taken to protect the privacy of </w:t>
      </w:r>
      <w:r w:rsidR="00636510">
        <w:t>[</w:t>
      </w:r>
      <w:r w:rsidR="0078553C">
        <w:t>complainants</w:t>
      </w:r>
      <w:r w:rsidR="00636510">
        <w:t>]</w:t>
      </w:r>
      <w:r w:rsidR="000E51CE">
        <w:t xml:space="preserve">, </w:t>
      </w:r>
      <w:r>
        <w:t>with supports being put in place while complaints are resolved</w:t>
      </w:r>
      <w:r w:rsidR="005553C5">
        <w:t>”.</w:t>
      </w:r>
      <w:r>
        <w:t xml:space="preserve"> </w:t>
      </w:r>
      <w:r w:rsidR="005553C5">
        <w:t xml:space="preserve"> Staff are also informed </w:t>
      </w:r>
      <w:r>
        <w:t>that they will be required to undertake the mandatory</w:t>
      </w:r>
      <w:r w:rsidR="009C010D">
        <w:t xml:space="preserve"> “</w:t>
      </w:r>
      <w:r>
        <w:t>Respect in the Workplace</w:t>
      </w:r>
      <w:r w:rsidR="009C010D">
        <w:t xml:space="preserve">” </w:t>
      </w:r>
      <w:r>
        <w:t xml:space="preserve">eLearn.  Another page of the Welcome Information Pack sets out the various health and wellbeing </w:t>
      </w:r>
      <w:r w:rsidR="00596FE2">
        <w:t xml:space="preserve">supports </w:t>
      </w:r>
      <w:r>
        <w:t xml:space="preserve">available to staff, including confidential one-on-one wellbeing debriefs with psychologists, as well as vicarious trauma </w:t>
      </w:r>
      <w:r>
        <w:lastRenderedPageBreak/>
        <w:t xml:space="preserve">workshops.  New staff will also have a welfare supervision session at week 6 of their employment where they will see a psychologist to have a general conversation and are given the option of creating a wellbeing plan.  </w:t>
      </w:r>
    </w:p>
    <w:p w14:paraId="3B7E5FD6" w14:textId="36387A4B" w:rsidR="001D72D2" w:rsidRDefault="001D72D2" w:rsidP="0004466F">
      <w:pPr>
        <w:pStyle w:val="ListParagraph"/>
      </w:pPr>
      <w:r>
        <w:t>We heard that a significant part of the work of the human resources division at the Court has been the development of appropriate reporting structures.  Supervision ratios have significantly improved since 2018.  Within the legal services team at the Court, the role of</w:t>
      </w:r>
      <w:r w:rsidR="009C010D">
        <w:t xml:space="preserve"> “</w:t>
      </w:r>
      <w:r>
        <w:t>Senior Solicitor</w:t>
      </w:r>
      <w:r w:rsidR="009C010D">
        <w:t xml:space="preserve">” </w:t>
      </w:r>
      <w:r>
        <w:t>has been created.  Each</w:t>
      </w:r>
      <w:r w:rsidR="009C010D">
        <w:t xml:space="preserve"> “</w:t>
      </w:r>
      <w:r>
        <w:t>Senior Solicitor</w:t>
      </w:r>
      <w:r w:rsidR="009C010D">
        <w:t xml:space="preserve">” </w:t>
      </w:r>
      <w:r>
        <w:t>has three solicitors who report to them.  A similar arrangement exists within the registry team within the Court.  A strong supervision framework has been developed</w:t>
      </w:r>
      <w:r w:rsidR="005553C5">
        <w:t xml:space="preserve">. </w:t>
      </w:r>
      <w:r>
        <w:t xml:space="preserve"> </w:t>
      </w:r>
      <w:r w:rsidR="005553C5">
        <w:t xml:space="preserve">A </w:t>
      </w:r>
      <w:r>
        <w:t xml:space="preserve">staff member with supervision responsibilities is expected to have regular </w:t>
      </w:r>
      <w:proofErr w:type="gramStart"/>
      <w:r>
        <w:t>catch-ups</w:t>
      </w:r>
      <w:proofErr w:type="gramEnd"/>
      <w:r>
        <w:t xml:space="preserve"> with staff which are designed to give staff an opportunity to speak about how their work is progressing, both in terms of performance and the staff member’s wellbeing.  Such meetings are scheduled during work hours and are one-on-one meetings between staff and supervisor.  The Court has developed a template to guide conversation during those supervision meetings.  We heard that supervisors within the Court are attuned to what reasonable expectations are within each role at the Court, and that staff </w:t>
      </w:r>
      <w:proofErr w:type="gramStart"/>
      <w:r>
        <w:t>are able to</w:t>
      </w:r>
      <w:proofErr w:type="gramEnd"/>
      <w:r>
        <w:t xml:space="preserve"> raise any concerns in that regard during supervision discussions.  We heard that there is an understanding at the Court that the supervision arrangements are working well, and that as a result senior leadership has visibility of any</w:t>
      </w:r>
      <w:r w:rsidR="009C010D">
        <w:t xml:space="preserve"> “</w:t>
      </w:r>
      <w:r>
        <w:t>red flags</w:t>
      </w:r>
      <w:r w:rsidR="009C010D">
        <w:t xml:space="preserve">” </w:t>
      </w:r>
      <w:r>
        <w:t xml:space="preserve">that develop within the Court.  </w:t>
      </w:r>
    </w:p>
    <w:p w14:paraId="7A2F692F" w14:textId="2FB86112" w:rsidR="001D72D2" w:rsidRDefault="001D72D2" w:rsidP="0004466F">
      <w:pPr>
        <w:pStyle w:val="ListParagraph"/>
      </w:pPr>
      <w:r>
        <w:t xml:space="preserve">The Court’s geography comprises modern, open workspaces.  Staff are not situated within the same room as the coroner to whom they are assigned.  Coroners are assigned </w:t>
      </w:r>
      <w:r w:rsidR="009A67C6">
        <w:t xml:space="preserve">offices </w:t>
      </w:r>
      <w:r>
        <w:t xml:space="preserve">that are glass-fronted, with frosted glass.  </w:t>
      </w:r>
    </w:p>
    <w:p w14:paraId="07E3251E" w14:textId="65ACEA54" w:rsidR="001D72D2" w:rsidRDefault="001D72D2" w:rsidP="0004466F">
      <w:pPr>
        <w:pStyle w:val="ListParagraph"/>
      </w:pPr>
      <w:r>
        <w:t>As to induction of coroners, an induction program has been designed in recent years.  No</w:t>
      </w:r>
      <w:r w:rsidR="0066218C">
        <w:t> </w:t>
      </w:r>
      <w:r>
        <w:t xml:space="preserve">formal induction was previously in place.  As part of the induction, the CEO meets with each new coroner and takes him or her through, among other things, the administrative arrangements concerning the employment of staff and the coroner’s relationship with staff (noting that staff are employed by CSV and have their own reporting lines independent of the coroner), the Court’s values and priorities, and how the Court operates.  New coroners also meet with other members of the Court’s leadership team, including the Principal Registrar and the Head of Legal Services.  At present, the induction for coroners does not include any formal session specific to sexual harassment. </w:t>
      </w:r>
    </w:p>
    <w:p w14:paraId="16946D30" w14:textId="0571BBC1" w:rsidR="003F1DFE" w:rsidRDefault="003F1DFE" w:rsidP="003F1DFE">
      <w:pPr>
        <w:pStyle w:val="Heading2"/>
      </w:pPr>
      <w:bookmarkStart w:id="86" w:name="_Toc112606918"/>
      <w:r>
        <w:t>Conclusion</w:t>
      </w:r>
      <w:bookmarkEnd w:id="86"/>
    </w:p>
    <w:p w14:paraId="7A0A302A" w14:textId="7A8C1BCB" w:rsidR="00277392" w:rsidRDefault="001125E9" w:rsidP="00A03328">
      <w:pPr>
        <w:pStyle w:val="ListParagraph"/>
      </w:pPr>
      <w:r>
        <w:t xml:space="preserve">In summary, the Coroners Court lacks many of the risk factors that are obvious </w:t>
      </w:r>
      <w:r w:rsidR="00DF3DCB">
        <w:t>in the Supreme and other Courts, but the background of traumatic past events</w:t>
      </w:r>
      <w:r w:rsidR="001161ED">
        <w:t xml:space="preserve"> has not been entirely </w:t>
      </w:r>
      <w:r w:rsidR="001161ED">
        <w:lastRenderedPageBreak/>
        <w:t xml:space="preserve">blotted out.  </w:t>
      </w:r>
      <w:r w:rsidR="0006701F">
        <w:t>The observations of some interviewees</w:t>
      </w:r>
      <w:r w:rsidR="000A4294">
        <w:t xml:space="preserve"> suggest that </w:t>
      </w:r>
      <w:r w:rsidR="002D30BA">
        <w:t xml:space="preserve">some instances of inappropriate conduct continue to occur.  While the targets of an individual judicial officer had confidence to complain and the latter’s conduct has been curbed, </w:t>
      </w:r>
      <w:proofErr w:type="gramStart"/>
      <w:r w:rsidR="002D30BA">
        <w:t xml:space="preserve">it is clear that </w:t>
      </w:r>
      <w:r w:rsidR="000A4294">
        <w:t>the</w:t>
      </w:r>
      <w:proofErr w:type="gramEnd"/>
      <w:r w:rsidR="000A4294">
        <w:t xml:space="preserve"> Coroners Court should persist in</w:t>
      </w:r>
      <w:r w:rsidR="001161ED">
        <w:t>, strengthen</w:t>
      </w:r>
      <w:r w:rsidR="000A4294">
        <w:t xml:space="preserve"> and reinforce the many appropriate responsive measures it is currently implementing.</w:t>
      </w:r>
    </w:p>
    <w:p w14:paraId="301398E3" w14:textId="0BFDFDFA" w:rsidR="001D72D2" w:rsidRPr="00193AC5" w:rsidRDefault="00F41A6C" w:rsidP="007909D4">
      <w:pPr>
        <w:pStyle w:val="Heading1"/>
      </w:pPr>
      <w:bookmarkStart w:id="87" w:name="_Toc112606919"/>
      <w:r>
        <w:t>V</w:t>
      </w:r>
      <w:r w:rsidR="00F63B65">
        <w:t xml:space="preserve">ictorian </w:t>
      </w:r>
      <w:r>
        <w:t>C</w:t>
      </w:r>
      <w:r w:rsidR="00F63B65">
        <w:t xml:space="preserve">ivil </w:t>
      </w:r>
      <w:r w:rsidR="006F5BFA">
        <w:t xml:space="preserve">and Administrative </w:t>
      </w:r>
      <w:r>
        <w:t>T</w:t>
      </w:r>
      <w:r w:rsidR="006F5BFA">
        <w:t>ribunal</w:t>
      </w:r>
      <w:bookmarkEnd w:id="87"/>
    </w:p>
    <w:p w14:paraId="7ADCFDA6" w14:textId="0D6BFCC1" w:rsidR="001D72D2" w:rsidRDefault="001D72D2" w:rsidP="0004466F">
      <w:pPr>
        <w:pStyle w:val="ListParagraph"/>
      </w:pPr>
      <w:r>
        <w:t xml:space="preserve">There are approximately 250 CSV-employed staff at VCAT, along with approximately </w:t>
      </w:r>
      <w:r w:rsidR="00725A9F">
        <w:t>200</w:t>
      </w:r>
      <w:r w:rsidR="0066218C">
        <w:t> </w:t>
      </w:r>
      <w:r>
        <w:t>members, some of whom are appointed on a permanent basis</w:t>
      </w:r>
      <w:r w:rsidR="00B061CF">
        <w:t xml:space="preserve">, </w:t>
      </w:r>
      <w:r>
        <w:t xml:space="preserve">and others on a sessional basis.  </w:t>
      </w:r>
      <w:r w:rsidR="003E73AC">
        <w:t xml:space="preserve">The senior permanent membership is an older group, mainly aged in their sixties.  </w:t>
      </w:r>
      <w:r>
        <w:t xml:space="preserve">There are more women than </w:t>
      </w:r>
      <w:r w:rsidR="00D11E4A">
        <w:t xml:space="preserve">men </w:t>
      </w:r>
      <w:r>
        <w:t xml:space="preserve">at all levels within the organisation, including </w:t>
      </w:r>
      <w:r w:rsidR="00FC2003">
        <w:rPr>
          <w:lang w:val="en-US"/>
        </w:rPr>
        <w:t>among members, a slight majority of whom are female.</w:t>
      </w:r>
    </w:p>
    <w:p w14:paraId="0AFBCA8F" w14:textId="2E265C6F" w:rsidR="001D72D2" w:rsidRDefault="001D72D2" w:rsidP="0004466F">
      <w:pPr>
        <w:pStyle w:val="ListParagraph"/>
      </w:pPr>
      <w:r>
        <w:t>CSV-</w:t>
      </w:r>
      <w:r w:rsidR="006956C5">
        <w:t xml:space="preserve">employed </w:t>
      </w:r>
      <w:r>
        <w:t>staff at the Tribunal are recruited in a merit-based competitive process.  The</w:t>
      </w:r>
      <w:r w:rsidR="0066218C">
        <w:t> </w:t>
      </w:r>
      <w:r>
        <w:t xml:space="preserve">Court advertises for positions when there is a vacancy.  </w:t>
      </w:r>
    </w:p>
    <w:p w14:paraId="78969029" w14:textId="3628EEC4" w:rsidR="001D72D2" w:rsidRDefault="001D72D2" w:rsidP="0004466F">
      <w:pPr>
        <w:pStyle w:val="ListParagraph"/>
      </w:pPr>
      <w:r>
        <w:t xml:space="preserve">Tribunal members, whether sessional or permanent, </w:t>
      </w:r>
      <w:r w:rsidR="003E73AC">
        <w:t xml:space="preserve">are not assigned </w:t>
      </w:r>
      <w:r>
        <w:t>associates</w:t>
      </w:r>
      <w:r w:rsidR="003E73AC">
        <w:t>.</w:t>
      </w:r>
      <w:r>
        <w:t xml:space="preserve">  Rather, a pool of staff within the Tribunal’s Registry work </w:t>
      </w:r>
      <w:r w:rsidR="009F76F4">
        <w:t xml:space="preserve">with </w:t>
      </w:r>
      <w:r>
        <w:t>different members and provide them with assistance.  The staff who work most closely with members are known as Member Support Officers (</w:t>
      </w:r>
      <w:r w:rsidR="00474688">
        <w:t>“</w:t>
      </w:r>
      <w:r>
        <w:t>MSOs</w:t>
      </w:r>
      <w:r w:rsidR="00474688">
        <w:t>”</w:t>
      </w:r>
      <w:r>
        <w:t xml:space="preserve">).  MSOs are employed on an ongoing basis, and we heard that there is relatively low staff turnover.  </w:t>
      </w:r>
      <w:r w:rsidR="005B5BFF">
        <w:t xml:space="preserve">Indeed, some staff at the Tribunal have been </w:t>
      </w:r>
      <w:r w:rsidR="00EC33A6">
        <w:t>employed at the Tribunal since it</w:t>
      </w:r>
      <w:r w:rsidR="005B5BFF">
        <w:t xml:space="preserve"> was established over 20 years ago. </w:t>
      </w:r>
      <w:r w:rsidR="009F76F4">
        <w:t xml:space="preserve"> It is recognised that short</w:t>
      </w:r>
      <w:r w:rsidR="009F76F4">
        <w:noBreakHyphen/>
        <w:t>term employment is a risk factor for, among other things, sexual harassment.</w:t>
      </w:r>
    </w:p>
    <w:p w14:paraId="43256849" w14:textId="031F5444" w:rsidR="001D72D2" w:rsidRDefault="001D72D2" w:rsidP="0004466F">
      <w:pPr>
        <w:pStyle w:val="ListParagraph"/>
      </w:pPr>
      <w:r>
        <w:t xml:space="preserve">The tasks of MSOs include legal research (a role usually conducted by more senior MSOs), assistance with typing up rulings, ensuring that the relevant papers for the matter are available to the member, and helping to set-up remote hearings.  MSOs are not assigned to </w:t>
      </w:r>
      <w:proofErr w:type="gramStart"/>
      <w:r>
        <w:t>particular members</w:t>
      </w:r>
      <w:proofErr w:type="gramEnd"/>
      <w:r>
        <w:t xml:space="preserve">, but rather to particular lists within the Tribunal, such as the Human Rights List or the Residential Tenancies and Planning Lists.  MSOs will often rotate to other lists for their own learning and development, but there are some MSOs who stay with one list, and so work with a particular group of members, on a long-term basis.  Therefore, if a member has, for example, a research task with which they require support, that member will not go to any one </w:t>
      </w:r>
      <w:r w:rsidR="002447BD">
        <w:t xml:space="preserve">designated </w:t>
      </w:r>
      <w:proofErr w:type="gramStart"/>
      <w:r>
        <w:t>MSO</w:t>
      </w:r>
      <w:r w:rsidR="001F1C1C">
        <w:t xml:space="preserve"> in particular</w:t>
      </w:r>
      <w:r>
        <w:t>, but</w:t>
      </w:r>
      <w:proofErr w:type="gramEnd"/>
      <w:r>
        <w:t xml:space="preserve"> rather one of a number of MSOs assigned to the relevant list.  The exception to the above arrangements is that judicial officers at VCAT, the President and Deputy Presidents, have their own associates pursuant to the arrangements applying within the Supreme Court and the County Court.</w:t>
      </w:r>
    </w:p>
    <w:p w14:paraId="0D1E87DF" w14:textId="57A711A9" w:rsidR="001D72D2" w:rsidRDefault="001D72D2" w:rsidP="0004466F">
      <w:pPr>
        <w:pStyle w:val="ListParagraph"/>
      </w:pPr>
      <w:r>
        <w:lastRenderedPageBreak/>
        <w:t xml:space="preserve">MSOs report to a CSV-employed manager, and not to any member.  Their direct report is to a Team Leader, with whom they work closely day-to-day and who is located on their floor.  That Team Leader in turn reports to the Manager, Member Support and Hearing Services, who reports to an Executive Director.  The role of the Manager, Member Support Services includes determining the assignment of MSOs to </w:t>
      </w:r>
      <w:proofErr w:type="gramStart"/>
      <w:r>
        <w:t>particular lists</w:t>
      </w:r>
      <w:proofErr w:type="gramEnd"/>
      <w:r>
        <w:t xml:space="preserve">.  CSV, through the Manager, has the ultimate say on which MSOs will be assigned to </w:t>
      </w:r>
      <w:proofErr w:type="gramStart"/>
      <w:r>
        <w:t>particular lists</w:t>
      </w:r>
      <w:proofErr w:type="gramEnd"/>
      <w:r w:rsidR="00344997">
        <w:t>.</w:t>
      </w:r>
      <w:r>
        <w:t xml:space="preserve"> </w:t>
      </w:r>
      <w:r w:rsidR="00344997">
        <w:t xml:space="preserve"> This </w:t>
      </w:r>
      <w:r>
        <w:t>is done</w:t>
      </w:r>
      <w:r w:rsidR="00344997">
        <w:t>, however,</w:t>
      </w:r>
      <w:r>
        <w:t xml:space="preserve"> in consultation with members</w:t>
      </w:r>
      <w:r w:rsidR="00344997">
        <w:t>,</w:t>
      </w:r>
      <w:r>
        <w:t xml:space="preserve"> </w:t>
      </w:r>
      <w:r w:rsidR="00A501B1">
        <w:t xml:space="preserve">who </w:t>
      </w:r>
      <w:r>
        <w:t xml:space="preserve">may express a preference for certain MSOs.  </w:t>
      </w:r>
      <w:r w:rsidR="00A501B1">
        <w:t>If</w:t>
      </w:r>
      <w:r w:rsidR="0066218C">
        <w:t> </w:t>
      </w:r>
      <w:r>
        <w:t xml:space="preserve">a problem </w:t>
      </w:r>
      <w:r w:rsidR="00A501B1">
        <w:t>arises</w:t>
      </w:r>
      <w:r>
        <w:t xml:space="preserve"> in the working relationship between a</w:t>
      </w:r>
      <w:r w:rsidR="00ED0FC2">
        <w:t>n</w:t>
      </w:r>
      <w:r>
        <w:t xml:space="preserve"> MSO and a member, it would be possible for that MSO to be rotated away from that member.  We heard that these reporting arrangements were implemented in the relatively recent past, and that MSOs previously reported directly into People &amp; Culture.  </w:t>
      </w:r>
      <w:r w:rsidR="00A501B1">
        <w:t xml:space="preserve">The </w:t>
      </w:r>
      <w:r>
        <w:t xml:space="preserve">change was </w:t>
      </w:r>
      <w:r w:rsidR="00A501B1">
        <w:t xml:space="preserve">intended </w:t>
      </w:r>
      <w:r>
        <w:t xml:space="preserve">to bring MSOs within more regular management lines within the Tribunal’s registry and operations area, and to ensure that there was more visibility over any </w:t>
      </w:r>
      <w:r w:rsidR="00E266F7">
        <w:t xml:space="preserve">instances </w:t>
      </w:r>
      <w:r>
        <w:t xml:space="preserve">of MSOs being subject to </w:t>
      </w:r>
      <w:r w:rsidR="00E266F7">
        <w:t xml:space="preserve">members’ </w:t>
      </w:r>
      <w:r>
        <w:t>unreasonable expectations</w:t>
      </w:r>
      <w:r w:rsidR="00E266F7">
        <w:t>.</w:t>
      </w:r>
      <w:r>
        <w:t xml:space="preserve">  </w:t>
      </w:r>
    </w:p>
    <w:p w14:paraId="674F3732" w14:textId="26B81840" w:rsidR="001D72D2" w:rsidRDefault="001D72D2" w:rsidP="0004466F">
      <w:pPr>
        <w:pStyle w:val="ListParagraph"/>
      </w:pPr>
      <w:r>
        <w:t xml:space="preserve">During our consultations, we heard that senior leadership at the </w:t>
      </w:r>
      <w:r w:rsidR="008D7710">
        <w:t xml:space="preserve">Tribunal </w:t>
      </w:r>
      <w:r>
        <w:t>are proactive in setting the culture at the Tribunal, and in addressing any inappropriate conduct that arises at the Tribunal.  The Court has instituted a practice of holding</w:t>
      </w:r>
      <w:r w:rsidR="009C010D">
        <w:t xml:space="preserve"> “</w:t>
      </w:r>
      <w:r>
        <w:t>town hall</w:t>
      </w:r>
      <w:r w:rsidR="009C010D">
        <w:t xml:space="preserve">” </w:t>
      </w:r>
      <w:r>
        <w:t xml:space="preserve">meetings which are conducted by Zoom and take place every Friday.  The President of the Tribunal speaks at those town hall meetings, </w:t>
      </w:r>
      <w:r w:rsidR="00675B06">
        <w:t>including on subjects</w:t>
      </w:r>
      <w:r>
        <w:t xml:space="preserve"> concerning wellbeing and the need for kind and respectful behaviour within the Tribunal.  We heard that the town hall meetings </w:t>
      </w:r>
      <w:r w:rsidR="00D414FE">
        <w:t xml:space="preserve">are very well attended, staff ask questions on any matter </w:t>
      </w:r>
      <w:r w:rsidR="00A251C7">
        <w:t xml:space="preserve">anonymously and become familiar with the Tribunal’s leaders.  The staff have indicated that they value the </w:t>
      </w:r>
      <w:r w:rsidR="00212D99">
        <w:t>town hall</w:t>
      </w:r>
      <w:r w:rsidR="004A67F3">
        <w:t xml:space="preserve"> meetings and wish them to continue.  The meetings </w:t>
      </w:r>
      <w:r>
        <w:t>have been instrumental in setting a positive culture during the Tribunal during the COVID pandemic.</w:t>
      </w:r>
    </w:p>
    <w:p w14:paraId="65057A6A" w14:textId="5EE2E893" w:rsidR="001D72D2" w:rsidRDefault="001D72D2" w:rsidP="0004466F">
      <w:pPr>
        <w:pStyle w:val="ListParagraph"/>
      </w:pPr>
      <w:r>
        <w:t>We also heard that the perception within the Tribunal is that the power differential</w:t>
      </w:r>
      <w:r w:rsidR="004E70F1">
        <w:t>s</w:t>
      </w:r>
      <w:r>
        <w:t xml:space="preserve"> within the Tribunal </w:t>
      </w:r>
      <w:r w:rsidR="004E70F1">
        <w:t xml:space="preserve">are not as great as in </w:t>
      </w:r>
      <w:r>
        <w:t>the higher courts, and that there is less sense of a strict hierarchy.  Staff and members are on first name terms.  Regular training sessions at the Court are also conducted jointly with both members and staff in attendance.</w:t>
      </w:r>
    </w:p>
    <w:p w14:paraId="1E361B03" w14:textId="63F782DD" w:rsidR="001D72D2" w:rsidRDefault="001D72D2" w:rsidP="0004466F">
      <w:pPr>
        <w:pStyle w:val="ListParagraph"/>
      </w:pPr>
      <w:r>
        <w:t xml:space="preserve">We heard that while the Tribunal had not conducted any training sessions specific to the topic of sexual harassment for members, members had access to the materials produced by the Judicial College on that topic.  As for training for new members, there is an induction program that is run by the Tribunal’s People &amp; Culture Unit.  That program is based on CSV materials and </w:t>
      </w:r>
      <w:proofErr w:type="gramStart"/>
      <w:r>
        <w:t>policies, and</w:t>
      </w:r>
      <w:proofErr w:type="gramEnd"/>
      <w:r>
        <w:t xml:space="preserve"> covers the CSV policies on workplace respect and sexual harassment, but is specific to VCAT.  We heard that there was interest within the Tribunal in expanding the induction materials supplied to new members on the topic of sexual </w:t>
      </w:r>
      <w:r>
        <w:lastRenderedPageBreak/>
        <w:t xml:space="preserve">harassment, and the subject of inappropriate behaviour more broadly.  In addition, when members join the Tribunal, they are assigned a mentor from the ranks of more senior </w:t>
      </w:r>
      <w:proofErr w:type="gramStart"/>
      <w:r>
        <w:t>members, and</w:t>
      </w:r>
      <w:proofErr w:type="gramEnd"/>
      <w:r>
        <w:t xml:space="preserve"> advised that they can approach the heads of lists and divisions at the Tribunal for assistance.  </w:t>
      </w:r>
      <w:r w:rsidR="00E35D97">
        <w:t>Heads of lists and divisions are in turn encouraged to act as mentors for members.</w:t>
      </w:r>
      <w:r w:rsidR="00D7333A">
        <w:t xml:space="preserve">  </w:t>
      </w:r>
      <w:r w:rsidR="00D7333A">
        <w:rPr>
          <w:lang w:val="en-US"/>
        </w:rPr>
        <w:t>The President of VCAT also meets with each new member.</w:t>
      </w:r>
    </w:p>
    <w:p w14:paraId="73B163DE" w14:textId="4E0352CF" w:rsidR="00A76DDE" w:rsidRPr="00A76DDE" w:rsidRDefault="001D72D2" w:rsidP="00C375D0">
      <w:pPr>
        <w:pStyle w:val="ListParagraph"/>
      </w:pPr>
      <w:r>
        <w:t xml:space="preserve">Geographically within the Tribunal, MSOs sit in an open plan arrangement co-located with members.  While permanent members have their own offices, sessional members share working places within an open area.  Members’ offices have glass doors.  Lunchrooms and kitchens are shared by staff and members.  </w:t>
      </w:r>
    </w:p>
    <w:p w14:paraId="34C06D47" w14:textId="006F8118" w:rsidR="001D72D2" w:rsidRPr="00B541A5" w:rsidRDefault="001D72D2" w:rsidP="0006530B">
      <w:pPr>
        <w:pStyle w:val="Heading1"/>
      </w:pPr>
      <w:bookmarkStart w:id="88" w:name="_Toc112606920"/>
      <w:r>
        <w:t>Across all Courts and VCAT</w:t>
      </w:r>
      <w:bookmarkEnd w:id="88"/>
    </w:p>
    <w:p w14:paraId="552CFD9B" w14:textId="05716BA0" w:rsidR="001D72D2" w:rsidRPr="00594761" w:rsidRDefault="001D72D2" w:rsidP="0006530B">
      <w:pPr>
        <w:pStyle w:val="Heading2"/>
      </w:pPr>
      <w:bookmarkStart w:id="89" w:name="_Toc112606921"/>
      <w:r w:rsidRPr="00594761">
        <w:t xml:space="preserve">The Respect in the Workplace </w:t>
      </w:r>
      <w:r>
        <w:t>Policy</w:t>
      </w:r>
      <w:bookmarkEnd w:id="89"/>
    </w:p>
    <w:p w14:paraId="3A0A01B8" w14:textId="0221B3F6" w:rsidR="001D72D2" w:rsidRDefault="00BF51E5" w:rsidP="001A0A93">
      <w:pPr>
        <w:pStyle w:val="ListParagraph"/>
        <w:spacing w:before="240"/>
      </w:pPr>
      <w:r>
        <w:t>As at the end of 2021, the relevant CSV policy was the “Respect in the Workplace” policy.</w:t>
      </w:r>
      <w:r w:rsidR="00055D12">
        <w:rPr>
          <w:rStyle w:val="FootnoteReference"/>
        </w:rPr>
        <w:footnoteReference w:id="86"/>
      </w:r>
      <w:r>
        <w:t xml:space="preserve">  The stated purpose of the policy was “to outline the behaviour that is expected of employees, volunteers and contractors/consultants, and the steps that can be taken if it is considered that this policy has been breached”. </w:t>
      </w:r>
      <w:r w:rsidR="00EB4023">
        <w:t xml:space="preserve">The policy applied to all VPS employees of CSV, and to “all workplaces and work activities of CSV, where staff are performing the duties of their employment, or are engaging in other activities during the course of their employment or which are related to or in connection with their employment with CSV”.  The policy stated that “CSV aims to create an environment of exemplary work standards and conduct, and to ensure high levels of positive public opinion”.  </w:t>
      </w:r>
      <w:r w:rsidR="00CA6603">
        <w:t>It went on to state that staff “must show respect for others, including public officials and members of the public by treating them fairly and objectively and ensuring freedom from discrimination, sexual harassment, racial or religious vilification, victimisation, occupational violence and bullying.”</w:t>
      </w:r>
    </w:p>
    <w:p w14:paraId="2CF0C497" w14:textId="62388900" w:rsidR="001D72D2" w:rsidRDefault="0071119F" w:rsidP="0004466F">
      <w:pPr>
        <w:pStyle w:val="ListParagraph"/>
      </w:pPr>
      <w:r>
        <w:t xml:space="preserve">The policy defined </w:t>
      </w:r>
      <w:r w:rsidR="001D72D2">
        <w:t xml:space="preserve">sexual harassment in the same terms as in s 92 of the </w:t>
      </w:r>
      <w:r w:rsidR="00C74487">
        <w:t>EO Act</w:t>
      </w:r>
      <w:r w:rsidR="001D72D2">
        <w:t xml:space="preserve">.  The policy also sets out </w:t>
      </w:r>
      <w:proofErr w:type="gramStart"/>
      <w:r w:rsidR="001D72D2">
        <w:t>a number of</w:t>
      </w:r>
      <w:proofErr w:type="gramEnd"/>
      <w:r w:rsidR="001D72D2">
        <w:t xml:space="preserve"> examples of conduct which may constitute sexual harassment, including inappropriate sexually suggesting comments, repeated unwanted requests to go out, or intrusive questions or remarks about a person’s sexual activities or private life.</w:t>
      </w:r>
    </w:p>
    <w:p w14:paraId="2BB2990B" w14:textId="1F0D35A3" w:rsidR="001D72D2" w:rsidRDefault="001D72D2" w:rsidP="0004466F">
      <w:pPr>
        <w:pStyle w:val="ListParagraph"/>
      </w:pPr>
      <w:r>
        <w:t xml:space="preserve">Under the heading “Procedure”, the policy </w:t>
      </w:r>
      <w:r w:rsidR="008F7470">
        <w:t xml:space="preserve">stated </w:t>
      </w:r>
      <w:r>
        <w:t>that “[d]</w:t>
      </w:r>
      <w:proofErr w:type="spellStart"/>
      <w:r>
        <w:t>epending</w:t>
      </w:r>
      <w:proofErr w:type="spellEnd"/>
      <w:r>
        <w:t xml:space="preserve"> on the nature of the alleged conduct, local and informal resolution of complaints is preferred if possible”.  </w:t>
      </w:r>
      <w:r w:rsidR="007736A5">
        <w:t xml:space="preserve">added </w:t>
      </w:r>
      <w:r>
        <w:t xml:space="preserve">that the resolution of complaints can include among other things “the individual concerned </w:t>
      </w:r>
      <w:r>
        <w:lastRenderedPageBreak/>
        <w:t xml:space="preserve">resolving the matter with the relevant party/parties”, “mediation or a facilitated discussion between the parties”, “investigating the incident”, “conducting a workplace review” or “referring the matter to Victoria Police”.  </w:t>
      </w:r>
      <w:proofErr w:type="gramStart"/>
      <w:r>
        <w:t>A number of</w:t>
      </w:r>
      <w:proofErr w:type="gramEnd"/>
      <w:r>
        <w:t xml:space="preserve"> options for making a report </w:t>
      </w:r>
      <w:r w:rsidR="00B455AA">
        <w:t xml:space="preserve">were then </w:t>
      </w:r>
      <w:r>
        <w:t xml:space="preserve">set out, including raising the matter with a manager or HR representative, raising the matter with the CEO of the Court or Tribunal (or the CEO of CSV if the matter involves the CEO), or raising the matter with Workplace Relations, or external bodies such as the </w:t>
      </w:r>
      <w:r w:rsidR="005A5A77">
        <w:t>VEOHRC</w:t>
      </w:r>
      <w:r>
        <w:t>.</w:t>
      </w:r>
    </w:p>
    <w:p w14:paraId="7DA5F9B5" w14:textId="4201281E" w:rsidR="001D72D2" w:rsidRDefault="007D3CAA" w:rsidP="0004466F">
      <w:pPr>
        <w:pStyle w:val="ListParagraph"/>
      </w:pPr>
      <w:r>
        <w:t>The Respect in the Workplace policy did not specifically address the concerns which CSV</w:t>
      </w:r>
      <w:r>
        <w:noBreakHyphen/>
        <w:t xml:space="preserve">employees may have in reporting conduct where the perpetrator is a judicial officer, or any specific reporting pathways or complaint resolution processes which apply in those circumstances.  The focus of the policy was the standards of behaviour expected of CSV employees.  </w:t>
      </w:r>
    </w:p>
    <w:p w14:paraId="6369963A" w14:textId="7B0BE109" w:rsidR="001D72D2" w:rsidRPr="00594761" w:rsidRDefault="001D72D2" w:rsidP="0006530B">
      <w:pPr>
        <w:pStyle w:val="Heading2"/>
      </w:pPr>
      <w:bookmarkStart w:id="90" w:name="_Toc112606922"/>
      <w:r w:rsidRPr="00594761">
        <w:t>The Respect in the Workplace Module</w:t>
      </w:r>
      <w:bookmarkEnd w:id="90"/>
    </w:p>
    <w:p w14:paraId="166744CD" w14:textId="6066D5DF" w:rsidR="00C92084" w:rsidRDefault="00C92084" w:rsidP="0004466F">
      <w:pPr>
        <w:pStyle w:val="ListParagraph"/>
      </w:pPr>
      <w:r>
        <w:t xml:space="preserve">We heard that within all Courts and VCAT (as at the end of 2021), CSV-employed staff were required to complete the “Respect in the Workplace” eLearn.  As noted above, staff with </w:t>
      </w:r>
      <w:r w:rsidR="00055D12">
        <w:t xml:space="preserve">whom </w:t>
      </w:r>
      <w:r>
        <w:t>we consulted viewed the “eLearn” as a “tick and flick” exercise, which was unsatisfactory as it was not tailored to the court workplace and dealt solely with peer-to-peer interactions between CSV employees.</w:t>
      </w:r>
      <w:r w:rsidR="00314A7B">
        <w:t xml:space="preserve"> </w:t>
      </w:r>
      <w:r>
        <w:t xml:space="preserve"> In our Progress Report at [280]</w:t>
      </w:r>
      <w:proofErr w:type="gramStart"/>
      <w:r>
        <w:t>–[</w:t>
      </w:r>
      <w:proofErr w:type="gramEnd"/>
      <w:r>
        <w:t xml:space="preserve">281], we set out the contents of the “eLearn”. </w:t>
      </w:r>
      <w:r w:rsidR="00B177FA" w:rsidRPr="00B177FA">
        <w:rPr>
          <w:rFonts w:cstheme="minorHAnsi"/>
        </w:rPr>
        <w:t xml:space="preserve"> We are informed that CSV has a design and proposal for the customisation and delivery of a new </w:t>
      </w:r>
      <w:r w:rsidR="00B177FA">
        <w:rPr>
          <w:rFonts w:cstheme="minorHAnsi"/>
        </w:rPr>
        <w:t>“</w:t>
      </w:r>
      <w:r w:rsidR="00B177FA" w:rsidRPr="00B177FA">
        <w:rPr>
          <w:rFonts w:cstheme="minorHAnsi"/>
        </w:rPr>
        <w:t>Respect &amp; Equality at CSV” module, which will replace the old Respect in the Workplace module.</w:t>
      </w:r>
    </w:p>
    <w:p w14:paraId="2233A3A3" w14:textId="23B1A08F" w:rsidR="00FC6E9D" w:rsidRDefault="00FC6E9D" w:rsidP="00FC6E9D">
      <w:pPr>
        <w:pStyle w:val="ListParagraph"/>
      </w:pPr>
      <w:r>
        <w:t xml:space="preserve">The eLearn made no mention whatsoever of judicial officers.  The risks presented by the power differential between judge and CSV-employed staff were simply not addressed. </w:t>
      </w:r>
      <w:r w:rsidR="00776CBE">
        <w:t xml:space="preserve"> </w:t>
      </w:r>
      <w:r>
        <w:t xml:space="preserve">It did not address the standards of behaviour expected of judicial </w:t>
      </w:r>
      <w:proofErr w:type="gramStart"/>
      <w:r>
        <w:t>officers, or</w:t>
      </w:r>
      <w:proofErr w:type="gramEnd"/>
      <w:r>
        <w:t xml:space="preserve"> assist staff experiencing inappropriate behaviour perpetrated by a judicial officer who were seeking to understand what options might be available to them.</w:t>
      </w:r>
    </w:p>
    <w:p w14:paraId="1BE7D533" w14:textId="49DCB702" w:rsidR="00AB3FB6" w:rsidRPr="00CD19BF" w:rsidRDefault="00AB3FB6" w:rsidP="00AB3FB6">
      <w:pPr>
        <w:pStyle w:val="Heading1"/>
        <w:tabs>
          <w:tab w:val="num" w:pos="643"/>
        </w:tabs>
      </w:pPr>
      <w:bookmarkStart w:id="91" w:name="_Toc112606923"/>
      <w:r w:rsidRPr="00CD19BF">
        <w:t>N</w:t>
      </w:r>
      <w:r w:rsidR="00DC0495" w:rsidRPr="00CD19BF">
        <w:t>ew</w:t>
      </w:r>
      <w:r w:rsidRPr="00CD19BF">
        <w:t xml:space="preserve"> CSV </w:t>
      </w:r>
      <w:r w:rsidR="00DC0495" w:rsidRPr="00CD19BF">
        <w:t>Policies</w:t>
      </w:r>
      <w:bookmarkEnd w:id="91"/>
      <w:r w:rsidR="00DC0495" w:rsidRPr="00CD19BF">
        <w:t xml:space="preserve"> </w:t>
      </w:r>
    </w:p>
    <w:p w14:paraId="5A9E5626" w14:textId="535B7408" w:rsidR="00AB3FB6" w:rsidRPr="00CD19BF" w:rsidRDefault="000A4607" w:rsidP="00CD19BF">
      <w:pPr>
        <w:pStyle w:val="ListParagraph"/>
      </w:pPr>
      <w:bookmarkStart w:id="92" w:name="_Ref108189812"/>
      <w:proofErr w:type="gramStart"/>
      <w:r w:rsidRPr="00CD19BF">
        <w:rPr>
          <w:lang w:val="en-US"/>
        </w:rPr>
        <w:t>A number of</w:t>
      </w:r>
      <w:proofErr w:type="gramEnd"/>
      <w:r w:rsidRPr="00CD19BF">
        <w:rPr>
          <w:lang w:val="en-US"/>
        </w:rPr>
        <w:t xml:space="preserve"> new policies and guidelines have been implemented by CSV since we began our review. Many of the new policies were published in January 2022, after we had already commenced our consultations with court staff. Further, </w:t>
      </w:r>
      <w:proofErr w:type="gramStart"/>
      <w:r w:rsidRPr="00CD19BF">
        <w:rPr>
          <w:lang w:val="en-US"/>
        </w:rPr>
        <w:t>the majority of</w:t>
      </w:r>
      <w:proofErr w:type="gramEnd"/>
      <w:r w:rsidRPr="00CD19BF">
        <w:rPr>
          <w:lang w:val="en-US"/>
        </w:rPr>
        <w:t xml:space="preserve"> the judicial staff with whom we consulted had been inducted into their roles prior to the introduction of those policies</w:t>
      </w:r>
      <w:r>
        <w:rPr>
          <w:lang w:val="en-US"/>
        </w:rPr>
        <w:t xml:space="preserve"> and had therefore had to complete the </w:t>
      </w:r>
      <w:r w:rsidR="009B629B">
        <w:rPr>
          <w:lang w:val="en-US"/>
        </w:rPr>
        <w:t>“</w:t>
      </w:r>
      <w:r>
        <w:rPr>
          <w:lang w:val="en-US"/>
        </w:rPr>
        <w:t>Respect in the Workplace</w:t>
      </w:r>
      <w:r w:rsidR="009B629B">
        <w:rPr>
          <w:lang w:val="en-US"/>
        </w:rPr>
        <w:t>”</w:t>
      </w:r>
      <w:r>
        <w:rPr>
          <w:lang w:val="en-US"/>
        </w:rPr>
        <w:t xml:space="preserve"> module and “eLearn” described above. </w:t>
      </w:r>
      <w:bookmarkEnd w:id="92"/>
    </w:p>
    <w:p w14:paraId="075BE033" w14:textId="0379D2EC" w:rsidR="00AB3FB6" w:rsidRPr="00CD19BF" w:rsidRDefault="00AB3FB6" w:rsidP="00CD19BF">
      <w:pPr>
        <w:pStyle w:val="ListParagraph"/>
      </w:pPr>
      <w:r w:rsidRPr="00CD19BF">
        <w:t>The relevant CSV policies and guidelines which were publicised in early 2022 are:</w:t>
      </w:r>
    </w:p>
    <w:p w14:paraId="6AB4C9AF" w14:textId="739D5896" w:rsidR="00AB3FB6" w:rsidRPr="00CD19BF" w:rsidRDefault="00AB3FB6" w:rsidP="00166761">
      <w:pPr>
        <w:pStyle w:val="List2"/>
        <w:numPr>
          <w:ilvl w:val="1"/>
          <w:numId w:val="10"/>
        </w:numPr>
        <w:rPr>
          <w:u w:val="single"/>
        </w:rPr>
      </w:pPr>
      <w:r w:rsidRPr="00CD19BF">
        <w:lastRenderedPageBreak/>
        <w:t xml:space="preserve">The </w:t>
      </w:r>
      <w:r w:rsidR="002E4429">
        <w:t>“</w:t>
      </w:r>
      <w:r w:rsidRPr="00CD19BF">
        <w:t>Sexual Harassment and Victimisation Policy</w:t>
      </w:r>
      <w:r w:rsidR="002E4429">
        <w:t>”</w:t>
      </w:r>
      <w:r w:rsidRPr="00CD19BF">
        <w:t xml:space="preserve">. </w:t>
      </w:r>
      <w:r w:rsidR="001C0FEF">
        <w:t xml:space="preserve"> </w:t>
      </w:r>
      <w:r w:rsidRPr="00CD19BF">
        <w:t xml:space="preserve">The purposes of that policy are “to provide all [CSV] employees with a clear understanding of what sexual harassment and victimisation are; to make clear CSV’s commitment to ensuring a workplace that is free of sexual harassment and victimisation; to make employees aware of their obligations in relation to standards of workplace behaviour, in particular sexual </w:t>
      </w:r>
      <w:proofErr w:type="gramStart"/>
      <w:r w:rsidRPr="00CD19BF">
        <w:t>harassment</w:t>
      </w:r>
      <w:proofErr w:type="gramEnd"/>
      <w:r w:rsidRPr="00CD19BF">
        <w:t xml:space="preserve"> and victimisation; and to provide guidance on how to make a report or complaint”.</w:t>
      </w:r>
      <w:r w:rsidR="001C0FEF">
        <w:t xml:space="preserve"> </w:t>
      </w:r>
      <w:r w:rsidRPr="00CD19BF">
        <w:t xml:space="preserve"> The policy contains a definition of sexual harassment and states that sexual harassment is unlawful under the </w:t>
      </w:r>
      <w:r w:rsidR="001C0FEF">
        <w:t>EO Act</w:t>
      </w:r>
      <w:r w:rsidRPr="00CD19BF">
        <w:t xml:space="preserve"> and the </w:t>
      </w:r>
      <w:r w:rsidR="001C0FEF">
        <w:t xml:space="preserve">SD Act. </w:t>
      </w:r>
      <w:r w:rsidRPr="00CD19BF">
        <w:t xml:space="preserve"> The policy also states that “[b]</w:t>
      </w:r>
      <w:proofErr w:type="spellStart"/>
      <w:r w:rsidRPr="00CD19BF">
        <w:t>ystanders</w:t>
      </w:r>
      <w:proofErr w:type="spellEnd"/>
      <w:r w:rsidRPr="00CD19BF">
        <w:t xml:space="preserve"> have an important role in responding to instances of sexual harassment and/or victimisation”</w:t>
      </w:r>
      <w:r w:rsidRPr="00CD19BF">
        <w:rPr>
          <w:i/>
          <w:iCs/>
        </w:rPr>
        <w:t xml:space="preserve"> </w:t>
      </w:r>
      <w:r w:rsidRPr="00CD19BF">
        <w:t xml:space="preserve">and that “CSV will support and protect bystanders against victimisation, wherever possible”.  The policy </w:t>
      </w:r>
      <w:proofErr w:type="gramStart"/>
      <w:r w:rsidRPr="00CD19BF">
        <w:t>provide</w:t>
      </w:r>
      <w:r w:rsidR="00731BA8">
        <w:t>d</w:t>
      </w:r>
      <w:r w:rsidRPr="00CD19BF">
        <w:t xml:space="preserve"> that</w:t>
      </w:r>
      <w:proofErr w:type="gramEnd"/>
      <w:r w:rsidRPr="00CD19BF">
        <w:t xml:space="preserve"> employees can make a complaint of sexual harassment or victimisation by telling a manager, anonymously reporting via the CSV Respect and Integrity Hotline,</w:t>
      </w:r>
      <w:r w:rsidR="00731BA8">
        <w:rPr>
          <w:rStyle w:val="FootnoteReference"/>
        </w:rPr>
        <w:footnoteReference w:id="87"/>
      </w:r>
      <w:r w:rsidRPr="00CD19BF">
        <w:t xml:space="preserve"> notifying the CSO or CSV, or talking to a contact officer.  The policy further states that “[a]</w:t>
      </w:r>
      <w:proofErr w:type="spellStart"/>
      <w:r w:rsidRPr="00CD19BF">
        <w:t>ll</w:t>
      </w:r>
      <w:proofErr w:type="spellEnd"/>
      <w:r w:rsidRPr="00CD19BF">
        <w:t xml:space="preserve"> complaints will, to the extent reasonably practicable, be treated confidentially”, but notes that “at times information about alleged or proven behaviour may need to be used within CSV or a court or tribunal in a disciplinary proceeding or to address health and safety risks”. </w:t>
      </w:r>
    </w:p>
    <w:p w14:paraId="34AA3184" w14:textId="0D3B24BA" w:rsidR="00AB3FB6" w:rsidRPr="00CD19BF" w:rsidRDefault="00AB3FB6" w:rsidP="00166761">
      <w:pPr>
        <w:pStyle w:val="List2"/>
        <w:numPr>
          <w:ilvl w:val="0"/>
          <w:numId w:val="0"/>
        </w:numPr>
        <w:ind w:left="1134"/>
        <w:rPr>
          <w:u w:val="single"/>
        </w:rPr>
      </w:pPr>
      <w:r w:rsidRPr="00CD19BF">
        <w:t>The policy also contains a heading titled “Complaints against judicial officers”. It</w:t>
      </w:r>
      <w:r w:rsidR="002E4429">
        <w:t> </w:t>
      </w:r>
      <w:r w:rsidRPr="00CD19BF">
        <w:t>states that “[c]</w:t>
      </w:r>
      <w:proofErr w:type="spellStart"/>
      <w:r w:rsidRPr="00CD19BF">
        <w:t>omplaints</w:t>
      </w:r>
      <w:proofErr w:type="spellEnd"/>
      <w:r w:rsidRPr="00CD19BF">
        <w:t xml:space="preserve"> against current judicial officers can be made to the Judicial Commission of Victoria, head of jurisdiction, or the Australian Human Rights Commission (AHRC) (pursuant to the </w:t>
      </w:r>
      <w:r w:rsidR="001C0FEF">
        <w:t>SD Act),</w:t>
      </w:r>
      <w:r w:rsidRPr="00CD19BF">
        <w:t xml:space="preserve"> whilst complaints against former judicial officers can be made to the relevant head or jurisdiction or the AHRC (although time limits apply). </w:t>
      </w:r>
    </w:p>
    <w:p w14:paraId="003A60DC" w14:textId="1BCCE35D" w:rsidR="00AB3FB6" w:rsidRPr="00CD19BF" w:rsidRDefault="00AB3FB6" w:rsidP="002E4429">
      <w:pPr>
        <w:pStyle w:val="List2"/>
        <w:numPr>
          <w:ilvl w:val="1"/>
          <w:numId w:val="10"/>
        </w:numPr>
        <w:rPr>
          <w:u w:val="single"/>
        </w:rPr>
      </w:pPr>
      <w:r w:rsidRPr="00CD19BF">
        <w:t xml:space="preserve">The </w:t>
      </w:r>
      <w:r w:rsidR="002E4429">
        <w:t>“</w:t>
      </w:r>
      <w:r w:rsidRPr="00CD19BF">
        <w:t>Bullying, Discrimination, Harassment and Victimisation Policy</w:t>
      </w:r>
      <w:r w:rsidR="002E4429">
        <w:t>”</w:t>
      </w:r>
      <w:r w:rsidRPr="00CD19BF">
        <w:t>.</w:t>
      </w:r>
      <w:r w:rsidR="002E4429">
        <w:t xml:space="preserve"> </w:t>
      </w:r>
      <w:r w:rsidRPr="00CD19BF">
        <w:t xml:space="preserve"> The purposes of that policy are “to ensure that all [CSV] employees are aware of their obligations in relation to standards of workplace behaviour; to provide a clear understanding of what bullying, discrimination, </w:t>
      </w:r>
      <w:proofErr w:type="gramStart"/>
      <w:r w:rsidRPr="00CD19BF">
        <w:t>harassment</w:t>
      </w:r>
      <w:proofErr w:type="gramEnd"/>
      <w:r w:rsidRPr="00CD19BF">
        <w:t xml:space="preserve"> and victimisation are; and to make clear CSV’s commitment to ensuring a workplace that is free of bullying, discrimination, harassment and victimisation, and to provide guidance on how to make a report or complaint”. </w:t>
      </w:r>
      <w:r w:rsidR="002E4429">
        <w:t xml:space="preserve"> </w:t>
      </w:r>
      <w:r w:rsidRPr="00CD19BF">
        <w:t xml:space="preserve">The policy states that “CSV recognises the right of all employees to attend work and to perform their duties without being subjected to any form of bullying, </w:t>
      </w:r>
      <w:r w:rsidRPr="00CD19BF">
        <w:lastRenderedPageBreak/>
        <w:t xml:space="preserve">discrimination, harassment or victimisation”. </w:t>
      </w:r>
      <w:r w:rsidR="002E4429">
        <w:t xml:space="preserve"> </w:t>
      </w:r>
      <w:r w:rsidRPr="00CD19BF">
        <w:t xml:space="preserve">Like the </w:t>
      </w:r>
      <w:r w:rsidR="002E4429">
        <w:t>“</w:t>
      </w:r>
      <w:r w:rsidRPr="00CD19BF">
        <w:t>Sexual Harassment and Victimisation Policy</w:t>
      </w:r>
      <w:r w:rsidR="002E4429">
        <w:t>”</w:t>
      </w:r>
      <w:r w:rsidRPr="00CD19BF">
        <w:t xml:space="preserve">, the policy contains a section dealing with complaints against judicial officers which states that complaints can be made to the Judicial Commission or the Australian Human Rights Commission. </w:t>
      </w:r>
      <w:r w:rsidR="002E4429">
        <w:t xml:space="preserve"> </w:t>
      </w:r>
      <w:r w:rsidRPr="00CD19BF">
        <w:t xml:space="preserve">The policy adds that confidentiality obligations between staff and judicial officers do not prevent employees from making a complaint about bullying, discrimination, </w:t>
      </w:r>
      <w:proofErr w:type="gramStart"/>
      <w:r w:rsidRPr="00CD19BF">
        <w:t>harassment</w:t>
      </w:r>
      <w:proofErr w:type="gramEnd"/>
      <w:r w:rsidRPr="00CD19BF">
        <w:t xml:space="preserve"> or victimisation.</w:t>
      </w:r>
    </w:p>
    <w:p w14:paraId="5AA28B79" w14:textId="5AA7F814" w:rsidR="00AB3FB6" w:rsidRPr="00CD19BF" w:rsidRDefault="00AB3FB6" w:rsidP="002E4429">
      <w:pPr>
        <w:pStyle w:val="List2"/>
        <w:numPr>
          <w:ilvl w:val="1"/>
          <w:numId w:val="10"/>
        </w:numPr>
        <w:rPr>
          <w:u w:val="single"/>
        </w:rPr>
      </w:pPr>
      <w:r w:rsidRPr="00CD19BF">
        <w:t xml:space="preserve">The </w:t>
      </w:r>
      <w:r w:rsidR="002E4429">
        <w:t>“</w:t>
      </w:r>
      <w:r w:rsidRPr="00CD19BF">
        <w:t xml:space="preserve">Alcohol Consumption at </w:t>
      </w:r>
      <w:proofErr w:type="gramStart"/>
      <w:r w:rsidRPr="00CD19BF">
        <w:t>Work and Work Related</w:t>
      </w:r>
      <w:proofErr w:type="gramEnd"/>
      <w:r w:rsidRPr="00CD19BF">
        <w:t xml:space="preserve"> Events</w:t>
      </w:r>
      <w:r w:rsidR="002E4429">
        <w:t>”</w:t>
      </w:r>
      <w:r w:rsidRPr="00CD19BF">
        <w:t xml:space="preserve"> guideline. </w:t>
      </w:r>
      <w:r w:rsidR="002E4429">
        <w:t xml:space="preserve"> </w:t>
      </w:r>
      <w:r w:rsidRPr="00CD19BF">
        <w:t>The</w:t>
      </w:r>
      <w:r w:rsidR="002E4429">
        <w:t> </w:t>
      </w:r>
      <w:r w:rsidRPr="00CD19BF">
        <w:t xml:space="preserve">purpose of the guideline is to ensure that CSV employees “are aware of their obligations in relation to standards of workplace behaviour, in particular the consumption of alcohol at work and when attending work-related events and work functions, and to demonstrate CSV’s commitment to ensuring a workplace that is free of sexual harassment, bullying, discrimination, other harassment and victimisation”. </w:t>
      </w:r>
      <w:r w:rsidR="00403F34">
        <w:t xml:space="preserve"> </w:t>
      </w:r>
      <w:r w:rsidRPr="00CD19BF">
        <w:t>Under the heading “Statement of Guideline”, it is stated that “CSV acknowledges the rights of employees to consume alcohol in a legal and responsible manner at work</w:t>
      </w:r>
      <w:r w:rsidR="00403F34">
        <w:noBreakHyphen/>
      </w:r>
      <w:r w:rsidRPr="00CD19BF">
        <w:t>related events and work functions”, and that “[a]</w:t>
      </w:r>
      <w:proofErr w:type="spellStart"/>
      <w:r w:rsidRPr="00CD19BF">
        <w:t>ll</w:t>
      </w:r>
      <w:proofErr w:type="spellEnd"/>
      <w:r w:rsidRPr="00CD19BF">
        <w:t xml:space="preserve"> CSV employees are expected to ensure that their alcohol consumption at work, in the workplace, and at work-related events is moderate and responsible in all circumstances”. </w:t>
      </w:r>
      <w:r w:rsidR="00403F34">
        <w:t xml:space="preserve"> </w:t>
      </w:r>
      <w:r w:rsidRPr="00CD19BF">
        <w:t xml:space="preserve">The guideline does not mention judicial officers. </w:t>
      </w:r>
    </w:p>
    <w:p w14:paraId="28CD799A" w14:textId="71E2928D" w:rsidR="00AB3FB6" w:rsidRPr="00CD19BF" w:rsidRDefault="00AB3FB6" w:rsidP="002E4429">
      <w:pPr>
        <w:pStyle w:val="List2"/>
        <w:numPr>
          <w:ilvl w:val="1"/>
          <w:numId w:val="10"/>
        </w:numPr>
        <w:rPr>
          <w:u w:val="single"/>
        </w:rPr>
      </w:pPr>
      <w:r w:rsidRPr="00CD19BF">
        <w:t xml:space="preserve">The </w:t>
      </w:r>
      <w:r w:rsidR="002E4429">
        <w:t>“</w:t>
      </w:r>
      <w:r w:rsidRPr="00CD19BF">
        <w:t>Managing Consensual Personal Relationships in the Workplace</w:t>
      </w:r>
      <w:r w:rsidR="002E4429">
        <w:t>”</w:t>
      </w:r>
      <w:r w:rsidRPr="00CD19BF">
        <w:t xml:space="preserve"> guideline.</w:t>
      </w:r>
      <w:r w:rsidR="002E4429">
        <w:t xml:space="preserve"> </w:t>
      </w:r>
      <w:r w:rsidRPr="00CD19BF">
        <w:t xml:space="preserve"> The</w:t>
      </w:r>
      <w:r w:rsidR="002E4429">
        <w:t> </w:t>
      </w:r>
      <w:r w:rsidRPr="00CD19BF">
        <w:t xml:space="preserve">purpose of that guideline is to enable CSV employees “to be aware of and manage the impacts that consensual personal relationships may have in the workplace…”. </w:t>
      </w:r>
      <w:r w:rsidR="002E4429">
        <w:t xml:space="preserve"> </w:t>
      </w:r>
      <w:r w:rsidRPr="00CD19BF">
        <w:t>The</w:t>
      </w:r>
      <w:r w:rsidR="002E4429">
        <w:t> </w:t>
      </w:r>
      <w:r w:rsidRPr="00CD19BF">
        <w:t>guideline notes that “[a]</w:t>
      </w:r>
      <w:proofErr w:type="spellStart"/>
      <w:r w:rsidRPr="00CD19BF">
        <w:t>ny</w:t>
      </w:r>
      <w:proofErr w:type="spellEnd"/>
      <w:r w:rsidRPr="00CD19BF">
        <w:t xml:space="preserve"> consensual personal relationships involving people in a hierarchical working relationship can represent a potential conflict of interest risk. The risks of potential conflicts of interest are likely to be heightened for employees in senior leadership positions and for judicial officers”. The guideline adds that “[e]</w:t>
      </w:r>
      <w:proofErr w:type="spellStart"/>
      <w:r w:rsidRPr="00CD19BF">
        <w:t>mployees</w:t>
      </w:r>
      <w:proofErr w:type="spellEnd"/>
      <w:r w:rsidRPr="00CD19BF">
        <w:t xml:space="preserve"> who are in a consensual personal relationship within a hierarchical working relationship should confidentially declare the relationship”. </w:t>
      </w:r>
    </w:p>
    <w:p w14:paraId="6DBEC63C" w14:textId="5AD012F6" w:rsidR="00AB3FB6" w:rsidRPr="00CD19BF" w:rsidRDefault="00AB3FB6" w:rsidP="002E4429">
      <w:pPr>
        <w:pStyle w:val="List2"/>
        <w:numPr>
          <w:ilvl w:val="0"/>
          <w:numId w:val="0"/>
        </w:numPr>
        <w:ind w:left="1134"/>
      </w:pPr>
      <w:r w:rsidRPr="00CD19BF">
        <w:t>The guideline also states that “[j]</w:t>
      </w:r>
      <w:proofErr w:type="spellStart"/>
      <w:r w:rsidRPr="00CD19BF">
        <w:t>udicial</w:t>
      </w:r>
      <w:proofErr w:type="spellEnd"/>
      <w:r w:rsidRPr="00CD19BF">
        <w:t xml:space="preserve"> officers are required to conduct themselves in accordance with Guidelines set out by the Judicial Commission of Victoria…”. Relevantly, the </w:t>
      </w:r>
      <w:r w:rsidR="004C1DAD">
        <w:t>“</w:t>
      </w:r>
      <w:r w:rsidRPr="00CD19BF">
        <w:t>Judicial Conduct Guideline: Sexual Harassment</w:t>
      </w:r>
      <w:r w:rsidR="004C1DAD">
        <w:t>”</w:t>
      </w:r>
      <w:r w:rsidRPr="00CD19BF">
        <w:t xml:space="preserve"> published by the Judicial Commission:</w:t>
      </w:r>
    </w:p>
    <w:p w14:paraId="4AC7DBF7" w14:textId="77777777" w:rsidR="00AB3FB6" w:rsidRPr="00CD19BF" w:rsidRDefault="00AB3FB6" w:rsidP="004C1DAD">
      <w:pPr>
        <w:pStyle w:val="Quote"/>
        <w:numPr>
          <w:ilvl w:val="0"/>
          <w:numId w:val="18"/>
        </w:numPr>
      </w:pPr>
      <w:r w:rsidRPr="00CD19BF">
        <w:t xml:space="preserve">acknowledges that personal relationships can occur in a workplace and take various forms, including sexual or nonsexual </w:t>
      </w:r>
      <w:proofErr w:type="gramStart"/>
      <w:r w:rsidRPr="00CD19BF">
        <w:t>relationships;</w:t>
      </w:r>
      <w:proofErr w:type="gramEnd"/>
    </w:p>
    <w:p w14:paraId="704E696B" w14:textId="77777777" w:rsidR="00AB3FB6" w:rsidRPr="00CD19BF" w:rsidRDefault="00AB3FB6" w:rsidP="004C1DAD">
      <w:pPr>
        <w:pStyle w:val="Quote"/>
        <w:numPr>
          <w:ilvl w:val="0"/>
          <w:numId w:val="18"/>
        </w:numPr>
      </w:pPr>
      <w:r w:rsidRPr="00CD19BF">
        <w:lastRenderedPageBreak/>
        <w:t>states that “judicial officers must recognise how factors such as gender and power imbalances can impact on how people respond to unwanted sexual advances</w:t>
      </w:r>
      <w:proofErr w:type="gramStart"/>
      <w:r w:rsidRPr="00CD19BF">
        <w:t>”;</w:t>
      </w:r>
      <w:proofErr w:type="gramEnd"/>
    </w:p>
    <w:p w14:paraId="0B2F3425" w14:textId="77777777" w:rsidR="00AB3FB6" w:rsidRPr="00CD19BF" w:rsidRDefault="00AB3FB6" w:rsidP="004C1DAD">
      <w:pPr>
        <w:pStyle w:val="Quote"/>
        <w:numPr>
          <w:ilvl w:val="0"/>
          <w:numId w:val="18"/>
        </w:numPr>
      </w:pPr>
      <w:r w:rsidRPr="00CD19BF">
        <w:t xml:space="preserve">states that judicial officers should be aware of the requirement on CSV employees to declare a sexual relationship where there is a hierarchical working relationship and an actual, potential or perceived potential of </w:t>
      </w:r>
      <w:proofErr w:type="gramStart"/>
      <w:r w:rsidRPr="00CD19BF">
        <w:t>interest;</w:t>
      </w:r>
      <w:proofErr w:type="gramEnd"/>
    </w:p>
    <w:p w14:paraId="2CF0361A" w14:textId="77777777" w:rsidR="00AB3FB6" w:rsidRPr="00CD19BF" w:rsidRDefault="00AB3FB6" w:rsidP="004C1DAD">
      <w:pPr>
        <w:pStyle w:val="Quote"/>
        <w:numPr>
          <w:ilvl w:val="0"/>
          <w:numId w:val="18"/>
        </w:numPr>
      </w:pPr>
      <w:r w:rsidRPr="00CD19BF">
        <w:t xml:space="preserve">requires that judicial officers declare to their head of jurisdiction a sexual relationship with a CSV employee where there is a hierarchical working relationship and an actual, </w:t>
      </w:r>
      <w:proofErr w:type="gramStart"/>
      <w:r w:rsidRPr="00CD19BF">
        <w:t>potential</w:t>
      </w:r>
      <w:proofErr w:type="gramEnd"/>
      <w:r w:rsidRPr="00CD19BF">
        <w:t xml:space="preserve"> or perceived conflict of interest, so that the head of jurisdiction can work with the judicial officer concerned to put in place arrangements to avoid actual, potential or perceived conflicts. </w:t>
      </w:r>
    </w:p>
    <w:p w14:paraId="165841F0" w14:textId="0B7CCCAE" w:rsidR="00AB3FB6" w:rsidRPr="00CD19BF" w:rsidRDefault="00AB3FB6" w:rsidP="009937DA">
      <w:pPr>
        <w:pStyle w:val="ListParagraph"/>
        <w:numPr>
          <w:ilvl w:val="0"/>
          <w:numId w:val="10"/>
        </w:numPr>
        <w:rPr>
          <w:u w:val="single"/>
        </w:rPr>
      </w:pPr>
      <w:bookmarkStart w:id="93" w:name="_Ref108637855"/>
      <w:r w:rsidRPr="00CD19BF">
        <w:t>In June 2022, CSV published a new complaints process set out in a document titled “Resolution procedure — Inappropriate workplace behaviours”.</w:t>
      </w:r>
      <w:r w:rsidR="007E08A0">
        <w:t xml:space="preserve"> </w:t>
      </w:r>
      <w:r w:rsidRPr="00CD19BF">
        <w:t xml:space="preserve"> The procedures outlined in that document apply to all matters involving CSV employees, </w:t>
      </w:r>
      <w:proofErr w:type="gramStart"/>
      <w:r w:rsidRPr="00CD19BF">
        <w:t>and also</w:t>
      </w:r>
      <w:proofErr w:type="gramEnd"/>
      <w:r w:rsidRPr="00CD19BF">
        <w:t xml:space="preserve"> applies to reports regarding judicial officers (including VCAT members). </w:t>
      </w:r>
      <w:r w:rsidR="004C1DAD">
        <w:t xml:space="preserve"> </w:t>
      </w:r>
      <w:r w:rsidRPr="00CD19BF">
        <w:t>The document sets out a list of persons and organisations a CSV employee may contact in the first instance to seek support: Your Safe Space; a CSV Contact Officer; Agile Mental Health; the Employee Assistance Program; local human resources; CSV People and Culture; CSV Workplace Relations; or the employee’s manager or another manager.</w:t>
      </w:r>
      <w:bookmarkEnd w:id="93"/>
      <w:r w:rsidRPr="00CD19BF">
        <w:t xml:space="preserve"> </w:t>
      </w:r>
    </w:p>
    <w:p w14:paraId="52E65A65" w14:textId="111F367E" w:rsidR="00AB3FB6" w:rsidRPr="00CD19BF" w:rsidRDefault="00AB3FB6" w:rsidP="009937DA">
      <w:pPr>
        <w:pStyle w:val="ListParagraph"/>
        <w:numPr>
          <w:ilvl w:val="0"/>
          <w:numId w:val="10"/>
        </w:numPr>
        <w:rPr>
          <w:u w:val="single"/>
        </w:rPr>
      </w:pPr>
      <w:bookmarkStart w:id="94" w:name="_Ref108637858"/>
      <w:r w:rsidRPr="00CD19BF">
        <w:t>The document provides further information about Your Safe Space, which is described as “an independent external service provider that specialises in wellbeing support to those who have experienced inappropriate workplace behaviours”, which can “provide guidance on resolving matters” and “</w:t>
      </w:r>
      <w:proofErr w:type="gramStart"/>
      <w:r w:rsidRPr="00CD19BF">
        <w:t>provide assistance</w:t>
      </w:r>
      <w:proofErr w:type="gramEnd"/>
      <w:r w:rsidRPr="00CD19BF">
        <w:t xml:space="preserve"> in determining the preferred pathways to seek resolution, including provision of a case manager if needed”. </w:t>
      </w:r>
      <w:r w:rsidR="00AD0ADE">
        <w:t xml:space="preserve"> </w:t>
      </w:r>
      <w:r w:rsidRPr="00CD19BF">
        <w:t xml:space="preserve">The service is confidential and “provides specialist care including psychological first aid support and warm referrals to specialised providers”. </w:t>
      </w:r>
      <w:r w:rsidR="00AD0ADE">
        <w:t xml:space="preserve"> </w:t>
      </w:r>
      <w:r w:rsidRPr="00CD19BF">
        <w:t>The document also provides background information on CSV Contact Officers (“CSV employees who have been identified as well-regarded, trusted, specialist and trained members of staff who can support confidential discussions about inappropriate workplace behaviours”) and notes that a list of contact officers is to be found on the intranet.</w:t>
      </w:r>
      <w:bookmarkEnd w:id="94"/>
      <w:r w:rsidRPr="00CD19BF">
        <w:t xml:space="preserve"> </w:t>
      </w:r>
    </w:p>
    <w:p w14:paraId="6A26B619" w14:textId="27FB34BC" w:rsidR="00AB3FB6" w:rsidRPr="00CD19BF" w:rsidRDefault="00AB3FB6" w:rsidP="009937DA">
      <w:pPr>
        <w:pStyle w:val="ListParagraph"/>
        <w:numPr>
          <w:ilvl w:val="0"/>
          <w:numId w:val="10"/>
        </w:numPr>
        <w:rPr>
          <w:u w:val="single"/>
        </w:rPr>
      </w:pPr>
      <w:r w:rsidRPr="00CD19BF">
        <w:t xml:space="preserve">Under the heading “Employee guided resolution options”, the document notes that an “employee has several resolution options they may choose from to resolve the matter”. </w:t>
      </w:r>
      <w:r w:rsidR="00AD0ADE">
        <w:t xml:space="preserve"> </w:t>
      </w:r>
      <w:r w:rsidRPr="00CD19BF">
        <w:t xml:space="preserve">These include self-management whereby the employee talks directly to the other person/s involved, if they feel comfortable to do so, and can choose to contact Your Safe Space, their manager, human resources or People and Culture to receive support in doing so. </w:t>
      </w:r>
      <w:r w:rsidR="00AD0ADE">
        <w:t xml:space="preserve"> </w:t>
      </w:r>
      <w:r w:rsidRPr="00CD19BF">
        <w:t xml:space="preserve">Alternatively, </w:t>
      </w:r>
      <w:r w:rsidRPr="00CD19BF">
        <w:lastRenderedPageBreak/>
        <w:t xml:space="preserve">employees may seek assisted resolution through Your Safe Space, a manager, local human resources, People and Culture, or CSV Workplace Relations who will “arrange a suitable agreed third person to facilitate the discussion”. A further option is to report anonymously. This may be done by contacting Your Safe Space or CSV Workplace Relations. </w:t>
      </w:r>
      <w:r w:rsidR="00AD0ADE">
        <w:t xml:space="preserve"> </w:t>
      </w:r>
      <w:r w:rsidRPr="00CD19BF">
        <w:t xml:space="preserve">Where this is done and the complainant decides to remain anonymous, “a deidentified report will be recorded and the information will be provided to the Chief People Officer, CSV who will take whatever steps are reasonably practicable to address the health and safety risks”. </w:t>
      </w:r>
      <w:r w:rsidR="00AD0ADE">
        <w:t xml:space="preserve"> </w:t>
      </w:r>
      <w:r w:rsidRPr="00CD19BF">
        <w:t xml:space="preserve">Another option is a formal resolution process initiated by reporting a matter to Your Safe Space, a manager, local human resources, CSV Workplace Relations, or CSV People and Culture. CSV Workplace Relations “will determine if an investigation is appropriate”, and “if an investigation is deemed appropriate, an independent investigator may be engaged”. </w:t>
      </w:r>
      <w:r w:rsidR="00AD0ADE">
        <w:t xml:space="preserve"> </w:t>
      </w:r>
      <w:r w:rsidRPr="00CD19BF">
        <w:t xml:space="preserve">Finally, employees may choose to report to an external body such as Victoria Police, the Judicial Commission of Victoria, the </w:t>
      </w:r>
      <w:r w:rsidR="005A5A77">
        <w:t>VEOHRC</w:t>
      </w:r>
      <w:r w:rsidRPr="00CD19BF">
        <w:t xml:space="preserve">, the Australian Human Rights Commission, the Fair Work Commission, WorkSafe Victoria or the Victorian Workcover Authority. </w:t>
      </w:r>
    </w:p>
    <w:p w14:paraId="6A24BC04" w14:textId="77777777" w:rsidR="00AB3FB6" w:rsidRPr="00CD19BF" w:rsidRDefault="00AB3FB6" w:rsidP="009937DA">
      <w:pPr>
        <w:pStyle w:val="ListParagraph"/>
        <w:numPr>
          <w:ilvl w:val="0"/>
          <w:numId w:val="10"/>
        </w:numPr>
        <w:rPr>
          <w:u w:val="single"/>
        </w:rPr>
      </w:pPr>
      <w:r w:rsidRPr="00CD19BF">
        <w:t>Specific to the case where the alleged perpetrator is a judicial officer, the document states that:</w:t>
      </w:r>
    </w:p>
    <w:p w14:paraId="1E4DC49D" w14:textId="77777777" w:rsidR="00AB3FB6" w:rsidRPr="00CD19BF" w:rsidRDefault="00AB3FB6" w:rsidP="001E3728">
      <w:pPr>
        <w:pStyle w:val="Quote"/>
        <w:numPr>
          <w:ilvl w:val="0"/>
          <w:numId w:val="19"/>
        </w:numPr>
      </w:pPr>
      <w:r w:rsidRPr="00CD19BF">
        <w:t xml:space="preserve">reports about judicial officers may be made to Your Safe Space, CSV Workplace Relations or the relevant local human resources team, CEO or head of </w:t>
      </w:r>
      <w:proofErr w:type="gramStart"/>
      <w:r w:rsidRPr="00CD19BF">
        <w:t>jurisdiction;</w:t>
      </w:r>
      <w:proofErr w:type="gramEnd"/>
    </w:p>
    <w:p w14:paraId="287C88BD" w14:textId="77777777" w:rsidR="00AB3FB6" w:rsidRPr="00CD19BF" w:rsidRDefault="00AB3FB6" w:rsidP="001E3728">
      <w:pPr>
        <w:pStyle w:val="Quote"/>
        <w:numPr>
          <w:ilvl w:val="0"/>
          <w:numId w:val="19"/>
        </w:numPr>
      </w:pPr>
      <w:r w:rsidRPr="00CD19BF">
        <w:t xml:space="preserve">if a report is made to Your Safe Space, local human resources, CSV People and Culture or CSV Workplace Relations they may need to report the matter to the head of jurisdiction on the employee’s behalf, if the employee </w:t>
      </w:r>
      <w:proofErr w:type="gramStart"/>
      <w:r w:rsidRPr="00CD19BF">
        <w:t>consents;</w:t>
      </w:r>
      <w:proofErr w:type="gramEnd"/>
    </w:p>
    <w:p w14:paraId="4C967BFF" w14:textId="77777777" w:rsidR="00AB3FB6" w:rsidRPr="00CD19BF" w:rsidRDefault="00AB3FB6" w:rsidP="001E3728">
      <w:pPr>
        <w:pStyle w:val="Quote"/>
        <w:numPr>
          <w:ilvl w:val="0"/>
          <w:numId w:val="19"/>
        </w:numPr>
      </w:pPr>
      <w:r w:rsidRPr="00CD19BF">
        <w:t xml:space="preserve">a report may be made by an employee (including a bystander) directly to a head of jurisdiction or to an external </w:t>
      </w:r>
      <w:proofErr w:type="gramStart"/>
      <w:r w:rsidRPr="00CD19BF">
        <w:t>body;</w:t>
      </w:r>
      <w:proofErr w:type="gramEnd"/>
    </w:p>
    <w:p w14:paraId="441FCE76" w14:textId="77777777" w:rsidR="00AB3FB6" w:rsidRPr="00CD19BF" w:rsidRDefault="00AB3FB6" w:rsidP="001E3728">
      <w:pPr>
        <w:pStyle w:val="Quote"/>
        <w:numPr>
          <w:ilvl w:val="0"/>
          <w:numId w:val="19"/>
        </w:numPr>
      </w:pPr>
      <w:r w:rsidRPr="00CD19BF">
        <w:t>the head of jurisdiction may determine to resolve the matter locally (by speaking to the judicial officer concerned) or through assisted or formal resolution (including through the Judicial Commission of Victoria, or by engaging an independent body to investigate the matter).</w:t>
      </w:r>
    </w:p>
    <w:p w14:paraId="13406321" w14:textId="6B22CA84" w:rsidR="00AB3FB6" w:rsidRPr="00CD19BF" w:rsidRDefault="00AB3FB6" w:rsidP="009937DA">
      <w:pPr>
        <w:pStyle w:val="ListParagraph"/>
        <w:numPr>
          <w:ilvl w:val="0"/>
          <w:numId w:val="10"/>
        </w:numPr>
        <w:rPr>
          <w:u w:val="single"/>
        </w:rPr>
      </w:pPr>
      <w:r w:rsidRPr="00CD19BF">
        <w:t xml:space="preserve">Finally, in June 2022 CSV also published a document titled “Guidance Material for Judicial Officers and VCAT Members”. </w:t>
      </w:r>
      <w:r w:rsidR="00AD0ADE">
        <w:t xml:space="preserve"> </w:t>
      </w:r>
      <w:r w:rsidRPr="00CD19BF">
        <w:t>The purpose of the document is to assist judicial officers (including VCAT members) when:</w:t>
      </w:r>
    </w:p>
    <w:p w14:paraId="2827AFCC" w14:textId="158EDB47" w:rsidR="00AB3FB6" w:rsidRPr="00CD19BF" w:rsidRDefault="00AB3FB6" w:rsidP="000777A2">
      <w:pPr>
        <w:pStyle w:val="List2"/>
        <w:numPr>
          <w:ilvl w:val="1"/>
          <w:numId w:val="10"/>
        </w:numPr>
      </w:pPr>
      <w:r w:rsidRPr="00CD19BF">
        <w:t>approached by a staff member or another person making a disclosure about inappropriate behaviour directed towards them or where they have observed inappropriate behaviour;</w:t>
      </w:r>
      <w:r w:rsidR="0050590A">
        <w:t xml:space="preserve"> and</w:t>
      </w:r>
    </w:p>
    <w:p w14:paraId="158FF18A" w14:textId="77777777" w:rsidR="00AB3FB6" w:rsidRPr="00CD19BF" w:rsidRDefault="00AB3FB6" w:rsidP="000777A2">
      <w:pPr>
        <w:pStyle w:val="List2"/>
        <w:numPr>
          <w:ilvl w:val="1"/>
          <w:numId w:val="10"/>
        </w:numPr>
      </w:pPr>
      <w:r w:rsidRPr="00CD19BF">
        <w:lastRenderedPageBreak/>
        <w:t>observing potential inappropriate behaviour towards a person.</w:t>
      </w:r>
    </w:p>
    <w:p w14:paraId="4E31F919" w14:textId="1E4A134C" w:rsidR="00AB3FB6" w:rsidRPr="00CD19BF" w:rsidRDefault="00AB3FB6" w:rsidP="009937DA">
      <w:pPr>
        <w:pStyle w:val="ListParagraph"/>
        <w:numPr>
          <w:ilvl w:val="0"/>
          <w:numId w:val="10"/>
        </w:numPr>
        <w:rPr>
          <w:u w:val="single"/>
        </w:rPr>
      </w:pPr>
      <w:bookmarkStart w:id="95" w:name="_Ref108637735"/>
      <w:r w:rsidRPr="00CD19BF">
        <w:t>In the first case, guidance is provided that judicial officers should: (a) listen to the disclosure; (b) provide support to the person; (c) inform them of their reporting options (which are then set out); (d) encourage or assist the disclosure of the matter to the CSV Chief People Officer and/or to the Head of Jurisdiction where appropriate; and (e) keep a confidential record of their report.</w:t>
      </w:r>
      <w:r w:rsidR="0050590A">
        <w:t xml:space="preserve"> </w:t>
      </w:r>
      <w:r w:rsidRPr="00CD19BF">
        <w:t xml:space="preserve"> In the second case, guidance is provided that when a judicial officer observes what they consider is inappropriate conduct towards a person in a work or work-related setting, the judicial officer should consider whether it is appropriate to speak up or act at the time.</w:t>
      </w:r>
      <w:r w:rsidR="0050590A">
        <w:t xml:space="preserve"> </w:t>
      </w:r>
      <w:r w:rsidRPr="00CD19BF">
        <w:t xml:space="preserve"> The guidance notes that if a judicial officer speaks up or acts in response to such conduct, that sends a significant message. </w:t>
      </w:r>
      <w:r w:rsidR="0050590A">
        <w:t xml:space="preserve"> </w:t>
      </w:r>
      <w:r w:rsidRPr="00CD19BF">
        <w:t xml:space="preserve">The guidance sets out </w:t>
      </w:r>
      <w:proofErr w:type="gramStart"/>
      <w:r w:rsidRPr="00CD19BF">
        <w:t>a number of</w:t>
      </w:r>
      <w:proofErr w:type="gramEnd"/>
      <w:r w:rsidRPr="00CD19BF">
        <w:t xml:space="preserve"> examples of types of inappropriate behaviour and possible responses.</w:t>
      </w:r>
      <w:bookmarkEnd w:id="95"/>
    </w:p>
    <w:p w14:paraId="47E38342" w14:textId="50DACD48" w:rsidR="001E4696" w:rsidRPr="001D72D2" w:rsidRDefault="00A931C7" w:rsidP="00B7605E">
      <w:pPr>
        <w:pStyle w:val="Heading1"/>
      </w:pPr>
      <w:bookmarkStart w:id="96" w:name="_Toc112606924"/>
      <w:r>
        <w:t xml:space="preserve">Summary of </w:t>
      </w:r>
      <w:r w:rsidR="001C6127">
        <w:t>Observations</w:t>
      </w:r>
      <w:bookmarkEnd w:id="96"/>
    </w:p>
    <w:p w14:paraId="7457649A" w14:textId="528CD4A4" w:rsidR="00F479F7" w:rsidRPr="0095337B" w:rsidRDefault="00A931C7" w:rsidP="0004466F">
      <w:pPr>
        <w:pStyle w:val="ListParagraph"/>
      </w:pPr>
      <w:r w:rsidRPr="0095337B">
        <w:t xml:space="preserve">In this </w:t>
      </w:r>
      <w:r w:rsidR="00F479F7" w:rsidRPr="0095337B">
        <w:t xml:space="preserve">section </w:t>
      </w:r>
      <w:r w:rsidRPr="0095337B">
        <w:t xml:space="preserve">we </w:t>
      </w:r>
      <w:r w:rsidR="00F479F7" w:rsidRPr="0095337B">
        <w:t xml:space="preserve">briefly summarise several of our </w:t>
      </w:r>
      <w:r w:rsidRPr="0095337B">
        <w:t xml:space="preserve">principal </w:t>
      </w:r>
      <w:proofErr w:type="gramStart"/>
      <w:r w:rsidR="00F479F7" w:rsidRPr="0095337B">
        <w:t>observations, and</w:t>
      </w:r>
      <w:proofErr w:type="gramEnd"/>
      <w:r w:rsidR="00F479F7" w:rsidRPr="0095337B">
        <w:t xml:space="preserve"> identif</w:t>
      </w:r>
      <w:r w:rsidRPr="0095337B">
        <w:t>y some possible ways forward.</w:t>
      </w:r>
      <w:r w:rsidR="00F479F7" w:rsidRPr="0095337B">
        <w:t xml:space="preserve"> </w:t>
      </w:r>
    </w:p>
    <w:p w14:paraId="57BB4CDF" w14:textId="42C7F43A" w:rsidR="00F479F7" w:rsidRPr="008B5290" w:rsidRDefault="00F479F7" w:rsidP="00B7605E">
      <w:pPr>
        <w:pStyle w:val="Heading2"/>
      </w:pPr>
      <w:bookmarkStart w:id="97" w:name="_Toc112606925"/>
      <w:r>
        <w:t>Demographics and Length of Tenure of Associates</w:t>
      </w:r>
      <w:bookmarkEnd w:id="97"/>
    </w:p>
    <w:p w14:paraId="4780FAA0" w14:textId="0EED5184" w:rsidR="00F479F7" w:rsidRPr="005D72C8" w:rsidRDefault="00F479F7" w:rsidP="0004466F">
      <w:pPr>
        <w:pStyle w:val="ListParagraph"/>
      </w:pPr>
      <w:r w:rsidRPr="005D72C8">
        <w:t xml:space="preserve">We described above the relatively recent shift towards a merit-based recruitment process for associates.  That shift has, entirely appropriately, done away with the </w:t>
      </w:r>
      <w:r w:rsidR="003A7118" w:rsidRPr="005D72C8">
        <w:t xml:space="preserve">potential for </w:t>
      </w:r>
      <w:r w:rsidRPr="005D72C8">
        <w:t xml:space="preserve">nepotism historically associated with the position. </w:t>
      </w:r>
    </w:p>
    <w:p w14:paraId="3A1BB061" w14:textId="2CF15214" w:rsidR="00F479F7" w:rsidRPr="005D72C8" w:rsidRDefault="00F479F7" w:rsidP="0004466F">
      <w:pPr>
        <w:pStyle w:val="ListParagraph"/>
      </w:pPr>
      <w:r w:rsidRPr="005D72C8">
        <w:t>Together with the short-term employment of associates in the Supreme and County Courts (typically on fixed-terms of two years or less), a result of the change to a merit-based recruitment process is that associates in the higher courts form a younger demographic of high-achieving recent graduates who use the position as a valuable “</w:t>
      </w:r>
      <w:proofErr w:type="gramStart"/>
      <w:r w:rsidRPr="005D72C8">
        <w:t>stepping stone</w:t>
      </w:r>
      <w:proofErr w:type="gramEnd"/>
      <w:r w:rsidRPr="005D72C8">
        <w:t xml:space="preserve">” to other positions within the profession.  </w:t>
      </w:r>
      <w:r w:rsidR="00377047" w:rsidRPr="005D72C8">
        <w:t xml:space="preserve">We have been informed that there is a widespread assumption that only top honours </w:t>
      </w:r>
      <w:proofErr w:type="gramStart"/>
      <w:r w:rsidR="00377047" w:rsidRPr="005D72C8">
        <w:t>graduates</w:t>
      </w:r>
      <w:proofErr w:type="gramEnd"/>
      <w:r w:rsidR="00377047" w:rsidRPr="005D72C8">
        <w:t xml:space="preserve"> from </w:t>
      </w:r>
      <w:r w:rsidR="004C29FB" w:rsidRPr="005D72C8">
        <w:t>Melbourne Law School, Monash Law School or other elite law schools</w:t>
      </w:r>
      <w:r w:rsidR="00E47427" w:rsidRPr="005D72C8">
        <w:t>,</w:t>
      </w:r>
      <w:r w:rsidR="004C29FB" w:rsidRPr="005D72C8">
        <w:t xml:space="preserve"> with valuable extra</w:t>
      </w:r>
      <w:r w:rsidR="004C29FB" w:rsidRPr="005D72C8">
        <w:noBreakHyphen/>
        <w:t>curricular achievements</w:t>
      </w:r>
      <w:r w:rsidR="00E47427" w:rsidRPr="005D72C8">
        <w:t>,</w:t>
      </w:r>
      <w:r w:rsidR="004C29FB" w:rsidRPr="005D72C8">
        <w:t xml:space="preserve"> need bother to apply.  </w:t>
      </w:r>
      <w:r w:rsidRPr="005D72C8">
        <w:t xml:space="preserve">While </w:t>
      </w:r>
      <w:r w:rsidR="00C36EA4" w:rsidRPr="005D72C8">
        <w:t xml:space="preserve">a few </w:t>
      </w:r>
      <w:r w:rsidRPr="005D72C8">
        <w:t>longer-term associates do remain in the Supreme and County Courts, including in learning and development roles, they are very much in the minority.  We</w:t>
      </w:r>
      <w:r w:rsidR="0050590A">
        <w:t> </w:t>
      </w:r>
      <w:r w:rsidRPr="005D72C8">
        <w:t xml:space="preserve">understand that the employment of associates on a long-term basis is </w:t>
      </w:r>
      <w:proofErr w:type="gramStart"/>
      <w:r w:rsidRPr="005D72C8">
        <w:t>discouraged, if</w:t>
      </w:r>
      <w:proofErr w:type="gramEnd"/>
      <w:r w:rsidRPr="005D72C8">
        <w:t xml:space="preserve"> it is possible at all.  However, as discussed in detail above in this report, there is no reason why all associates must be young, high-achieving graduates from top law schools. </w:t>
      </w:r>
    </w:p>
    <w:p w14:paraId="534A546D" w14:textId="6490E2A5" w:rsidR="00F479F7" w:rsidRPr="005D72C8" w:rsidRDefault="00F479F7" w:rsidP="0004466F">
      <w:pPr>
        <w:pStyle w:val="ListParagraph"/>
      </w:pPr>
      <w:r w:rsidRPr="005D72C8">
        <w:t xml:space="preserve">The advantages of retaining longer-term associates include the learning and development role they can play, </w:t>
      </w:r>
      <w:r w:rsidR="00C36EA4" w:rsidRPr="005D72C8">
        <w:t xml:space="preserve">the mature and </w:t>
      </w:r>
      <w:r w:rsidR="00A934B7" w:rsidRPr="005D72C8">
        <w:t xml:space="preserve">accessible mentorship they can </w:t>
      </w:r>
      <w:proofErr w:type="gramStart"/>
      <w:r w:rsidR="00A934B7" w:rsidRPr="005D72C8">
        <w:t>provide</w:t>
      </w:r>
      <w:proofErr w:type="gramEnd"/>
      <w:r w:rsidR="00A934B7" w:rsidRPr="005D72C8">
        <w:t xml:space="preserve"> </w:t>
      </w:r>
      <w:r w:rsidRPr="005D72C8">
        <w:t xml:space="preserve">and the quality of their work given their length of experience. In our experience, longer-term associates are </w:t>
      </w:r>
      <w:r w:rsidRPr="005D72C8">
        <w:lastRenderedPageBreak/>
        <w:t xml:space="preserve">invaluable in assisting new associates to settle into the court environment.  Further, they are regarded by junior associates as a source of expertise and advice not only for technical questions as to how to carry out the role of an associate, but also for questions as to how to navigate any issues which might arise with other court staff or judicial officers.  </w:t>
      </w:r>
      <w:r w:rsidR="00A934B7" w:rsidRPr="005D72C8">
        <w:t>Such</w:t>
      </w:r>
      <w:r w:rsidR="0050590A">
        <w:t> </w:t>
      </w:r>
      <w:r w:rsidR="00A934B7" w:rsidRPr="005D72C8">
        <w:t xml:space="preserve">associates may preserve an </w:t>
      </w:r>
      <w:r w:rsidR="00536FDA" w:rsidRPr="005D72C8">
        <w:t>“institutional memory” and knowledge base.  Their</w:t>
      </w:r>
      <w:r w:rsidR="0050590A">
        <w:t> </w:t>
      </w:r>
      <w:r w:rsidR="00536FDA" w:rsidRPr="005D72C8">
        <w:t xml:space="preserve">presence promotes continuity, </w:t>
      </w:r>
      <w:proofErr w:type="gramStart"/>
      <w:r w:rsidR="00536FDA" w:rsidRPr="005D72C8">
        <w:t>stability</w:t>
      </w:r>
      <w:proofErr w:type="gramEnd"/>
      <w:r w:rsidR="00536FDA" w:rsidRPr="005D72C8">
        <w:t xml:space="preserve"> and diversity.  </w:t>
      </w:r>
      <w:r w:rsidRPr="005D72C8">
        <w:t xml:space="preserve">Longer-term associates do not necessarily have any </w:t>
      </w:r>
      <w:r w:rsidRPr="005D72C8">
        <w:rPr>
          <w:i/>
          <w:iCs/>
        </w:rPr>
        <w:t>formal</w:t>
      </w:r>
      <w:r w:rsidRPr="005D72C8">
        <w:t xml:space="preserve"> peer support role, but in our experience</w:t>
      </w:r>
      <w:r w:rsidR="000310C6" w:rsidRPr="005D72C8">
        <w:t>, they</w:t>
      </w:r>
      <w:r w:rsidRPr="005D72C8">
        <w:t xml:space="preserve"> do provide a valuable source of support for new </w:t>
      </w:r>
      <w:r w:rsidR="000310C6" w:rsidRPr="005D72C8">
        <w:t xml:space="preserve">recruits </w:t>
      </w:r>
      <w:r w:rsidRPr="005D72C8">
        <w:t xml:space="preserve">at the court. </w:t>
      </w:r>
    </w:p>
    <w:p w14:paraId="6595B59C" w14:textId="03B98346" w:rsidR="00F479F7" w:rsidRPr="005D72C8" w:rsidRDefault="00F479F7" w:rsidP="0004466F">
      <w:pPr>
        <w:pStyle w:val="ListParagraph"/>
      </w:pPr>
      <w:r w:rsidRPr="005D72C8">
        <w:t xml:space="preserve">The fact that </w:t>
      </w:r>
      <w:proofErr w:type="gramStart"/>
      <w:r w:rsidRPr="005D72C8">
        <w:t>the significant majority of</w:t>
      </w:r>
      <w:proofErr w:type="gramEnd"/>
      <w:r w:rsidRPr="005D72C8">
        <w:t xml:space="preserve"> associates are employed on short-term contracts is itself </w:t>
      </w:r>
      <w:r w:rsidR="00D956CA" w:rsidRPr="005D72C8">
        <w:t xml:space="preserve">an obvious and significant </w:t>
      </w:r>
      <w:r w:rsidRPr="005D72C8">
        <w:t xml:space="preserve">risk-factor for sexual harassment. It </w:t>
      </w:r>
      <w:r w:rsidR="00D956CA" w:rsidRPr="005D72C8">
        <w:t xml:space="preserve">also </w:t>
      </w:r>
      <w:r w:rsidRPr="005D72C8">
        <w:t xml:space="preserve">provides a disincentive for associates to report inappropriate conduct: an associate subjected to such conduct might think it better to “put up with” that conduct for a short time before the expiry of their contract, rather than make a complaint and cut the associateship short, knowing that if they leave their position with a judicial officer before the standard 12 or 18 months questions may be asked by future employers as to the reasons for the early termination of that role. </w:t>
      </w:r>
      <w:r w:rsidR="00D956CA" w:rsidRPr="005D72C8">
        <w:t xml:space="preserve"> They will also forfeit the many benefits</w:t>
      </w:r>
      <w:r w:rsidR="00103FA3" w:rsidRPr="005D72C8">
        <w:t>,</w:t>
      </w:r>
      <w:r w:rsidR="00D956CA" w:rsidRPr="005D72C8">
        <w:t xml:space="preserve"> uniquely valuable to those </w:t>
      </w:r>
      <w:r w:rsidR="003A09D4" w:rsidRPr="005D72C8">
        <w:t>commencing a legal career, of the judge’s association and patronage.</w:t>
      </w:r>
    </w:p>
    <w:p w14:paraId="3B64FD9C" w14:textId="59409169" w:rsidR="00F479F7" w:rsidRPr="005D72C8" w:rsidRDefault="00A931C7" w:rsidP="0004466F">
      <w:pPr>
        <w:pStyle w:val="ListParagraph"/>
      </w:pPr>
      <w:r w:rsidRPr="005D72C8">
        <w:t xml:space="preserve">As stated above, we conclude that </w:t>
      </w:r>
      <w:r w:rsidR="0072062D" w:rsidRPr="005D72C8">
        <w:t xml:space="preserve">it would be desirable and </w:t>
      </w:r>
      <w:r w:rsidR="00D257D2" w:rsidRPr="005D72C8">
        <w:t xml:space="preserve">feasible to encourage recruitment </w:t>
      </w:r>
      <w:r w:rsidR="00F479F7" w:rsidRPr="005D72C8">
        <w:t xml:space="preserve">over time, </w:t>
      </w:r>
      <w:r w:rsidR="00D257D2" w:rsidRPr="005D72C8">
        <w:t xml:space="preserve">of at least </w:t>
      </w:r>
      <w:r w:rsidR="007A2F4B" w:rsidRPr="005D72C8">
        <w:t xml:space="preserve">some </w:t>
      </w:r>
      <w:r w:rsidR="00F479F7" w:rsidRPr="005D72C8">
        <w:t xml:space="preserve">associates who are employed on a longer-term basis, and who need not be young, high-achieving graduates (they may be, for example, experienced lawyers looking for a different role or change of pace). </w:t>
      </w:r>
    </w:p>
    <w:p w14:paraId="2C621EA4" w14:textId="4896181E" w:rsidR="00F479F7" w:rsidRPr="002A2077" w:rsidRDefault="00F479F7" w:rsidP="00B7605E">
      <w:pPr>
        <w:pStyle w:val="Heading2"/>
      </w:pPr>
      <w:bookmarkStart w:id="98" w:name="_Toc112606926"/>
      <w:r w:rsidRPr="002A2077">
        <w:t xml:space="preserve">Assignment of </w:t>
      </w:r>
      <w:r>
        <w:t>S</w:t>
      </w:r>
      <w:r w:rsidRPr="002A2077">
        <w:t xml:space="preserve">taff to </w:t>
      </w:r>
      <w:r>
        <w:t>J</w:t>
      </w:r>
      <w:r w:rsidRPr="002A2077">
        <w:t xml:space="preserve">udicial </w:t>
      </w:r>
      <w:r>
        <w:t>O</w:t>
      </w:r>
      <w:r w:rsidRPr="002A2077">
        <w:t>fficers</w:t>
      </w:r>
      <w:bookmarkEnd w:id="98"/>
    </w:p>
    <w:p w14:paraId="4B3E52AB" w14:textId="42F8B934" w:rsidR="00F479F7" w:rsidRDefault="00F479F7" w:rsidP="0004466F">
      <w:pPr>
        <w:pStyle w:val="ListParagraph"/>
      </w:pPr>
      <w:r>
        <w:t xml:space="preserve">As discussed above in this report, it is generally inaccurate to speak of staff who work in a primary relationship with judicial officers in the Supreme and County Courts being “assigned” to those judicial officers.  Rather, judicial officers select the staff who will work with them.  </w:t>
      </w:r>
      <w:r w:rsidR="00103FA3">
        <w:t xml:space="preserve">We </w:t>
      </w:r>
      <w:r w:rsidR="007A2F4B">
        <w:t xml:space="preserve">have been informed that </w:t>
      </w:r>
      <w:r>
        <w:t>the judicial officer interviews candidates (often together with a Judicial Services Co-Ordinator) and has the final say as to who is recruited</w:t>
      </w:r>
      <w:r w:rsidR="00233930">
        <w:t xml:space="preserve"> (</w:t>
      </w:r>
      <w:proofErr w:type="gramStart"/>
      <w:r w:rsidR="00233930">
        <w:t>provided that</w:t>
      </w:r>
      <w:proofErr w:type="gramEnd"/>
      <w:r w:rsidR="00233930">
        <w:t xml:space="preserve"> person has gone through the competitive recruitment process)</w:t>
      </w:r>
      <w:r>
        <w:t xml:space="preserve">.  </w:t>
      </w:r>
      <w:r w:rsidR="00A931C7">
        <w:t xml:space="preserve">While some judicial officers regret the relatively recent protocol requiring the presence of a Human Resources officer at interviews, some of the disclosures, discussed above, indicate that this is a reasonable and desirable convention, which accords with modern workplace practice and underlines the staff member’s real employment status.  </w:t>
      </w:r>
    </w:p>
    <w:p w14:paraId="30F642D6" w14:textId="5EFEA1FF" w:rsidR="00F479F7" w:rsidRDefault="00F479F7" w:rsidP="0004466F">
      <w:pPr>
        <w:pStyle w:val="ListParagraph"/>
      </w:pPr>
      <w:r>
        <w:t xml:space="preserve">In the other courts and tribunals, there are “assignment” processes.  The precise arrangements differ across courts.  Relevant considerations in assigning staff to </w:t>
      </w:r>
      <w:proofErr w:type="gramStart"/>
      <w:r>
        <w:t>particular judicial</w:t>
      </w:r>
      <w:proofErr w:type="gramEnd"/>
      <w:r>
        <w:t xml:space="preserve"> officers, </w:t>
      </w:r>
      <w:r>
        <w:lastRenderedPageBreak/>
        <w:t xml:space="preserve">or particular lists or groups of judicial officers, often include (particularly in the assignment of trainee court registrars) the stage of training of the CSV staff member concerned.  In some courts, CSV managers also </w:t>
      </w:r>
      <w:proofErr w:type="gramStart"/>
      <w:r>
        <w:t>take into account</w:t>
      </w:r>
      <w:proofErr w:type="gramEnd"/>
      <w:r>
        <w:t xml:space="preserve"> other matters, including whether the staff member concerned is likely to get along with a particular judicial officer, bearing in mind whether that staff member is introverted or extroverted, and that staff member’s </w:t>
      </w:r>
      <w:r w:rsidR="00DA4CC9">
        <w:t xml:space="preserve">interests, </w:t>
      </w:r>
      <w:r>
        <w:t xml:space="preserve">strengths and weaknesses.  </w:t>
      </w:r>
    </w:p>
    <w:p w14:paraId="5CD0304B" w14:textId="04D1AFD8" w:rsidR="00F2427C" w:rsidRDefault="00103FA3" w:rsidP="0004466F">
      <w:pPr>
        <w:pStyle w:val="ListParagraph"/>
      </w:pPr>
      <w:r>
        <w:t xml:space="preserve">A </w:t>
      </w:r>
      <w:r w:rsidR="00F2427C">
        <w:t xml:space="preserve">close working relationship </w:t>
      </w:r>
      <w:r w:rsidR="00E97727">
        <w:t xml:space="preserve">with a judge </w:t>
      </w:r>
      <w:r w:rsidR="00F2427C">
        <w:t xml:space="preserve">(on </w:t>
      </w:r>
      <w:r w:rsidR="00E97727">
        <w:t xml:space="preserve">which </w:t>
      </w:r>
      <w:r w:rsidR="00F2427C">
        <w:t>Recommendation 4 focuses) may heighten the risk of sexual harassment</w:t>
      </w:r>
      <w:r w:rsidR="003F439E">
        <w:t>.  However,</w:t>
      </w:r>
      <w:r w:rsidR="00F2427C">
        <w:t xml:space="preserve"> the power and status of judicial office pose inherent risks </w:t>
      </w:r>
      <w:r w:rsidR="00F2427C">
        <w:rPr>
          <w:i/>
          <w:iCs/>
        </w:rPr>
        <w:t xml:space="preserve">vis a vis </w:t>
      </w:r>
      <w:r w:rsidR="00F2427C">
        <w:t xml:space="preserve">junior people working in, or associated with, the legal profession.  Judicial office provides many opportunities </w:t>
      </w:r>
      <w:r w:rsidR="00760096">
        <w:t xml:space="preserve">for the incumbent </w:t>
      </w:r>
      <w:r w:rsidR="00F2427C">
        <w:t xml:space="preserve">to connect with young </w:t>
      </w:r>
      <w:r w:rsidR="005A03A4">
        <w:t>over</w:t>
      </w:r>
      <w:r w:rsidR="005A03A4">
        <w:noBreakHyphen/>
        <w:t xml:space="preserve">awed </w:t>
      </w:r>
      <w:r w:rsidR="00F2427C">
        <w:t xml:space="preserve">persons </w:t>
      </w:r>
      <w:r w:rsidR="00760096">
        <w:t xml:space="preserve">studying or </w:t>
      </w:r>
      <w:r w:rsidR="00F2427C">
        <w:t xml:space="preserve">working in the law.  </w:t>
      </w:r>
      <w:r w:rsidR="00610031">
        <w:t xml:space="preserve">Effective </w:t>
      </w:r>
      <w:r w:rsidR="00F2427C">
        <w:t xml:space="preserve">education </w:t>
      </w:r>
      <w:r w:rsidR="00610031">
        <w:t xml:space="preserve">for judges on the impact of their power and its potential abuse is thus </w:t>
      </w:r>
      <w:r w:rsidR="00F2427C">
        <w:t>of primary importance</w:t>
      </w:r>
      <w:r w:rsidR="00610031">
        <w:t>.</w:t>
      </w:r>
      <w:r w:rsidR="00F2427C">
        <w:t xml:space="preserve"> </w:t>
      </w:r>
      <w:r w:rsidR="00E507E7">
        <w:t xml:space="preserve"> This will provide </w:t>
      </w:r>
      <w:r w:rsidR="00F2427C">
        <w:t xml:space="preserve">guidance on appropriate </w:t>
      </w:r>
      <w:r w:rsidR="00523DF3">
        <w:t xml:space="preserve">judicial </w:t>
      </w:r>
      <w:r w:rsidR="00F2427C">
        <w:t>conduct whether in or outside the employment context.</w:t>
      </w:r>
    </w:p>
    <w:p w14:paraId="726EE7FA" w14:textId="1AFBACC1" w:rsidR="00F479F7" w:rsidRDefault="00F479F7" w:rsidP="0004466F">
      <w:pPr>
        <w:pStyle w:val="ListParagraph"/>
      </w:pPr>
      <w:r>
        <w:t>A related issue — which affects all courts and VCAT — concerns the arrangements which can be made by CSV managers in response to a deterioration in the working relationship between a CSV staff member and a judicial officer, whatever the cause of that deterioration. In matters involving sexual harassment or other inappropriate conduct</w:t>
      </w:r>
      <w:proofErr w:type="gramStart"/>
      <w:r>
        <w:t>, in particular, there</w:t>
      </w:r>
      <w:proofErr w:type="gramEnd"/>
      <w:r>
        <w:t xml:space="preserve"> ought to be effective mechanisms whereby CSV staff can be transferred to an appropriate position at the court or tribunal which involves no diminution of their status or pay level.  If</w:t>
      </w:r>
      <w:r w:rsidR="0050590A">
        <w:t> </w:t>
      </w:r>
      <w:r>
        <w:t xml:space="preserve">those mechanisms are not in place, then staff subjected to inappropriate conduct by a judicial officer may perceive that there is no practical remedy available to them if they make a complaint, and that they must simply “put up with” what is occurring.  </w:t>
      </w:r>
      <w:r w:rsidR="0043710C">
        <w:t xml:space="preserve">We have observed </w:t>
      </w:r>
      <w:r>
        <w:t xml:space="preserve">that each court and tribunal </w:t>
      </w:r>
      <w:proofErr w:type="gramStart"/>
      <w:r>
        <w:t>has</w:t>
      </w:r>
      <w:proofErr w:type="gramEnd"/>
      <w:r>
        <w:t xml:space="preserve"> in the past been able to reassign CSV staff members to other suitable positions where there has been a breakdown in their relationship with a particular judicial officer. Sometimes, that has</w:t>
      </w:r>
      <w:r w:rsidR="008A41A8">
        <w:t xml:space="preserve"> been</w:t>
      </w:r>
      <w:r>
        <w:t xml:space="preserve"> because other positions have fortuitously become available, for example because of new judicial appointments.  </w:t>
      </w:r>
      <w:r w:rsidR="0043710C">
        <w:t xml:space="preserve">From the perspective of a complainant, however, the availability and conditions of such a reassignment are not clear or obvious.  </w:t>
      </w:r>
    </w:p>
    <w:p w14:paraId="23C652AA" w14:textId="01A4F0AA" w:rsidR="00F479F7" w:rsidRPr="00B65BBD" w:rsidRDefault="00F479F7" w:rsidP="00B7605E">
      <w:pPr>
        <w:pStyle w:val="Heading2"/>
      </w:pPr>
      <w:bookmarkStart w:id="99" w:name="_Toc112606927"/>
      <w:r w:rsidRPr="00B65BBD">
        <w:t xml:space="preserve">Appropriate training on </w:t>
      </w:r>
      <w:r>
        <w:t>R</w:t>
      </w:r>
      <w:r w:rsidRPr="00B65BBD">
        <w:t xml:space="preserve">espective </w:t>
      </w:r>
      <w:r>
        <w:t>R</w:t>
      </w:r>
      <w:r w:rsidRPr="00B65BBD">
        <w:t xml:space="preserve">esponsibilities for </w:t>
      </w:r>
      <w:r>
        <w:t>S</w:t>
      </w:r>
      <w:r w:rsidRPr="00B65BBD">
        <w:t xml:space="preserve">upervision of </w:t>
      </w:r>
      <w:r>
        <w:t>S</w:t>
      </w:r>
      <w:r w:rsidRPr="00B65BBD">
        <w:t>taff</w:t>
      </w:r>
      <w:bookmarkEnd w:id="99"/>
    </w:p>
    <w:p w14:paraId="0A5E0C84" w14:textId="193592FB" w:rsidR="00F479F7" w:rsidRDefault="00F479F7" w:rsidP="0004466F">
      <w:pPr>
        <w:pStyle w:val="ListParagraph"/>
      </w:pPr>
      <w:r>
        <w:t xml:space="preserve">As we described above in this report, paragraph (b) under the heading of </w:t>
      </w:r>
      <w:r w:rsidR="0066218C">
        <w:t>Recommendation </w:t>
      </w:r>
      <w:r>
        <w:t xml:space="preserve">4 appears to be narrowly confined.  Our inquiries indicate that judicial officers </w:t>
      </w:r>
      <w:r w:rsidR="0043710C">
        <w:t xml:space="preserve">have </w:t>
      </w:r>
      <w:r>
        <w:t>not receive</w:t>
      </w:r>
      <w:r w:rsidR="0043710C">
        <w:t>d</w:t>
      </w:r>
      <w:r>
        <w:t xml:space="preserve"> training </w:t>
      </w:r>
      <w:r w:rsidR="008C1ADF">
        <w:t xml:space="preserve">about </w:t>
      </w:r>
      <w:r>
        <w:t xml:space="preserve">their responsibilities for the supervision of staff </w:t>
      </w:r>
      <w:r w:rsidR="008C1ADF">
        <w:t xml:space="preserve">(although </w:t>
      </w:r>
      <w:r>
        <w:t>CSV managers</w:t>
      </w:r>
      <w:r w:rsidR="004A5BBE">
        <w:t xml:space="preserve"> do)</w:t>
      </w:r>
      <w:r>
        <w:t>.  Nor (at least as a generally applicable proposition across jurisdictions</w:t>
      </w:r>
      <w:r w:rsidR="00486192">
        <w:t xml:space="preserve">, with </w:t>
      </w:r>
      <w:r w:rsidR="00486192">
        <w:lastRenderedPageBreak/>
        <w:t>some exceptions</w:t>
      </w:r>
      <w:r>
        <w:t xml:space="preserve">) are judicial officers told anything about the limits of the appropriate role of CSV-employees assigned to work with them, or the limits to the types of work which might be expected of those employees.  </w:t>
      </w:r>
      <w:r w:rsidR="00827A4A">
        <w:t xml:space="preserve">Courts that employ associates may be reluctant </w:t>
      </w:r>
      <w:r w:rsidR="004A5BBE">
        <w:t xml:space="preserve">to be prescriptive about such matters, as there are </w:t>
      </w:r>
      <w:r w:rsidR="00827A4A">
        <w:t xml:space="preserve">great </w:t>
      </w:r>
      <w:r w:rsidR="004A5BBE">
        <w:t xml:space="preserve">benefits in maintaining </w:t>
      </w:r>
      <w:r w:rsidR="00C6553B">
        <w:t xml:space="preserve">flexibility.  However, encroaching workplace demands that blur the dividing line between the personal and professional are </w:t>
      </w:r>
      <w:r w:rsidR="00036013">
        <w:t>a risk factor for</w:t>
      </w:r>
      <w:r w:rsidR="00DD735A">
        <w:t>,</w:t>
      </w:r>
      <w:r w:rsidR="00036013">
        <w:t xml:space="preserve"> and may characteristically </w:t>
      </w:r>
      <w:r w:rsidR="00367B04">
        <w:t xml:space="preserve">precede or </w:t>
      </w:r>
      <w:r w:rsidR="00036013">
        <w:t>accompany</w:t>
      </w:r>
      <w:r w:rsidR="00DD735A">
        <w:t>,</w:t>
      </w:r>
      <w:r w:rsidR="00036013">
        <w:t xml:space="preserve"> sexual harassment.  </w:t>
      </w:r>
    </w:p>
    <w:p w14:paraId="70AFAB67" w14:textId="77777777" w:rsidR="0091064B" w:rsidRDefault="00F479F7" w:rsidP="0004466F">
      <w:pPr>
        <w:pStyle w:val="ListParagraph"/>
      </w:pPr>
      <w:r>
        <w:t xml:space="preserve">In the higher courts, it appears to be understood that the role of an associate is to assist a particular judge in the performance of that judge’s judicial functions.  The judge has the practical day-to-day supervision of the associate, but not the administrative responsibility of supervising that associate, which rests with CSV as employer.  We </w:t>
      </w:r>
      <w:r w:rsidR="0043710C">
        <w:t xml:space="preserve">did </w:t>
      </w:r>
      <w:r>
        <w:t xml:space="preserve">not </w:t>
      </w:r>
      <w:r w:rsidR="0043710C">
        <w:t xml:space="preserve">see </w:t>
      </w:r>
      <w:r>
        <w:t>any indication that that distinction is poorly understood</w:t>
      </w:r>
      <w:r w:rsidR="00243815">
        <w:t xml:space="preserve"> by CSV managers</w:t>
      </w:r>
      <w:r>
        <w:t xml:space="preserve">.  During our consultations, CSV managers were aware of the responsibilities CSV had towards its employees who work in a primary relationship with judicial officers, particularly those arising under occupational health and safety legislation.  </w:t>
      </w:r>
    </w:p>
    <w:p w14:paraId="5512E5BD" w14:textId="7C381612" w:rsidR="00F479F7" w:rsidRDefault="00D766B0" w:rsidP="0004466F">
      <w:pPr>
        <w:pStyle w:val="ListParagraph"/>
      </w:pPr>
      <w:r>
        <w:t xml:space="preserve">We observed that CSV managers were generally aware that CSV’s responsibilities required monitoring the relationship between staff and judicial officers for any warning signs, </w:t>
      </w:r>
      <w:proofErr w:type="gramStart"/>
      <w:r>
        <w:t>and also</w:t>
      </w:r>
      <w:proofErr w:type="gramEnd"/>
      <w:r>
        <w:t xml:space="preserve"> that an employee be transferred away from a particular judicial officer if there were risks to the employee’s health or wellbeing (whether because of bullying, sexual harassment, or other misconduct).  Indeed, we heard of instances where such steps had been taken. </w:t>
      </w:r>
      <w:r w:rsidR="0050590A">
        <w:t xml:space="preserve"> </w:t>
      </w:r>
      <w:r>
        <w:t>However, we also heard from staff of instances where such steps perhaps should have been, but had not been, taken, where it was an “open secret” at least among staff that a judicial officer had been engaging in inappropriate conduct.</w:t>
      </w:r>
      <w:r w:rsidR="0050590A">
        <w:t xml:space="preserve"> </w:t>
      </w:r>
      <w:r>
        <w:t xml:space="preserve"> It was not always clear to us, however, what level of actual knowledge CSV managers in fact had, if any, of the inappropriate conduct in those cases. </w:t>
      </w:r>
    </w:p>
    <w:p w14:paraId="51046FEE" w14:textId="1578DE1C" w:rsidR="00F479F7" w:rsidRPr="008B5290" w:rsidRDefault="00F479F7" w:rsidP="00B7605E">
      <w:pPr>
        <w:pStyle w:val="Heading2"/>
      </w:pPr>
      <w:bookmarkStart w:id="100" w:name="_Toc112606928"/>
      <w:r w:rsidRPr="00EF0526">
        <w:t>Induction</w:t>
      </w:r>
      <w:r w:rsidRPr="008B5290">
        <w:t xml:space="preserve"> Processes for Judicial Officers and Judicial Staff</w:t>
      </w:r>
      <w:r>
        <w:t xml:space="preserve"> concerning Sexual Harassment</w:t>
      </w:r>
      <w:bookmarkEnd w:id="100"/>
    </w:p>
    <w:p w14:paraId="3246E95C" w14:textId="607525E4" w:rsidR="00F479F7" w:rsidRDefault="002F760F" w:rsidP="0004466F">
      <w:pPr>
        <w:pStyle w:val="ListParagraph"/>
      </w:pPr>
      <w:r>
        <w:t xml:space="preserve">Our consultations revealed that, until very recently, to the extent that formal existing induction processes for new CSV employees address the topic of sexual harassment, they did so by providing a general introduction to, and summary of, CSV policies, particularly the “Respect in the Workplace Policy”.  New starters were also required to complete an “eLearn”, which, as noted above, did not address sexual harassment by judicial officers.  </w:t>
      </w:r>
    </w:p>
    <w:p w14:paraId="5A7524E6" w14:textId="098D2125" w:rsidR="00601F4A" w:rsidRDefault="00F479F7" w:rsidP="0004466F">
      <w:pPr>
        <w:pStyle w:val="ListParagraph"/>
      </w:pPr>
      <w:r>
        <w:t>The</w:t>
      </w:r>
      <w:r w:rsidR="009C010D">
        <w:t xml:space="preserve"> “</w:t>
      </w:r>
      <w:r>
        <w:t>Respect in the Workplace Policy</w:t>
      </w:r>
      <w:r w:rsidR="009C010D">
        <w:t xml:space="preserve">” </w:t>
      </w:r>
      <w:r w:rsidR="0043710C">
        <w:t xml:space="preserve">was in the process of being replaced </w:t>
      </w:r>
      <w:r>
        <w:t xml:space="preserve">by the policies developed by CSV in line with </w:t>
      </w:r>
      <w:r w:rsidR="00D54536">
        <w:t xml:space="preserve">Recommendation </w:t>
      </w:r>
      <w:r>
        <w:t>2 of the Szoke Report</w:t>
      </w:r>
      <w:r w:rsidR="0043710C">
        <w:t xml:space="preserve"> during the writing </w:t>
      </w:r>
      <w:r w:rsidR="0043710C">
        <w:lastRenderedPageBreak/>
        <w:t>of this report</w:t>
      </w:r>
      <w:r>
        <w:t xml:space="preserve">.  </w:t>
      </w:r>
      <w:r w:rsidR="00601F4A">
        <w:t>We have summarised above the replacement policies recently introduced in 2022.</w:t>
      </w:r>
    </w:p>
    <w:p w14:paraId="6573377A" w14:textId="74BC9244" w:rsidR="00F479F7" w:rsidRDefault="0043710C" w:rsidP="0004466F">
      <w:pPr>
        <w:pStyle w:val="ListParagraph"/>
      </w:pPr>
      <w:r>
        <w:t xml:space="preserve">We interviewed a recently recruited associate in the County Court who recounted the induction which appeared to reflect </w:t>
      </w:r>
      <w:r w:rsidR="00F479F7">
        <w:t xml:space="preserve">changes instituted following the implementation of the revised policies concerning sexual harassment.  </w:t>
      </w:r>
      <w:r w:rsidR="00EB1CB7">
        <w:t xml:space="preserve">The Magistrates’ Court has introduced a specific induction program for the new position of court officers (analogous to associates in the higher courts) which specifically focusses on matters raised in the Szoke Review, the definition of sexual harassment, and common concerns staff may have around </w:t>
      </w:r>
      <w:proofErr w:type="gramStart"/>
      <w:r w:rsidR="00EB1CB7">
        <w:t>making</w:t>
      </w:r>
      <w:proofErr w:type="gramEnd"/>
      <w:r w:rsidR="00EB1CB7">
        <w:t xml:space="preserve"> a complaint.  In other courts, the transition to new induction processes relating to sexual harassment is ongoing.</w:t>
      </w:r>
    </w:p>
    <w:p w14:paraId="2B83DC6B" w14:textId="26995E7B" w:rsidR="00AE4702" w:rsidRPr="00EF001F" w:rsidRDefault="00AE4702" w:rsidP="00AE4702">
      <w:pPr>
        <w:pStyle w:val="ListParagraph"/>
      </w:pPr>
      <w:proofErr w:type="gramStart"/>
      <w:r>
        <w:t>Newly-appointed</w:t>
      </w:r>
      <w:proofErr w:type="gramEnd"/>
      <w:r>
        <w:t xml:space="preserve"> judicial officers are (with some exceptions, particularly in the recent past involving sessions with the County Court staff judge) not given any formal training or induction that is specific to sexual harassment.  We also observed that judicial officers — many of whom are appointed directly from the Bar and may have no experience at all in managing staff — are for the most part not given any formal guidance as to how to work with CSV staff, or the limits of the role of CSV staff.  In our view, </w:t>
      </w:r>
      <w:proofErr w:type="gramStart"/>
      <w:r>
        <w:t>newly-appointed</w:t>
      </w:r>
      <w:proofErr w:type="gramEnd"/>
      <w:r>
        <w:t xml:space="preserve"> judicial officers would benefit from training as to the role of CSV staff and the limits of that role, and how to work with CSV staff, as well as training on sexual harassment and the power diffe</w:t>
      </w:r>
      <w:r w:rsidR="00B52C4B">
        <w:t>re</w:t>
      </w:r>
      <w:r>
        <w:t xml:space="preserve">ntial that exists between judicial officers and CSV staff. We address this topic in our recommendations below. </w:t>
      </w:r>
    </w:p>
    <w:p w14:paraId="551218F8" w14:textId="4F0490A4" w:rsidR="00F479F7" w:rsidRPr="00F97BE6" w:rsidRDefault="00F479F7" w:rsidP="00B7605E">
      <w:pPr>
        <w:pStyle w:val="Heading2"/>
      </w:pPr>
      <w:bookmarkStart w:id="101" w:name="_Toc112606929"/>
      <w:r w:rsidRPr="00F97BE6">
        <w:t xml:space="preserve">Reporting </w:t>
      </w:r>
      <w:r>
        <w:t>l</w:t>
      </w:r>
      <w:r w:rsidRPr="00F97BE6">
        <w:t>ines</w:t>
      </w:r>
      <w:bookmarkEnd w:id="101"/>
    </w:p>
    <w:p w14:paraId="3254CF7D" w14:textId="77E56462" w:rsidR="00F479F7" w:rsidRDefault="005A5D4E" w:rsidP="0004466F">
      <w:pPr>
        <w:pStyle w:val="ListParagraph"/>
      </w:pPr>
      <w:r>
        <w:t xml:space="preserve">A focus of </w:t>
      </w:r>
      <w:r w:rsidR="00D54536">
        <w:t xml:space="preserve">Recommendation </w:t>
      </w:r>
      <w:r>
        <w:t>4 (paragraph (d)) is “reporting lines” and the “options for different systems of reporting that could mitigate sexual harassment risk factors”.  Senior</w:t>
      </w:r>
      <w:r w:rsidR="0050590A">
        <w:t> </w:t>
      </w:r>
      <w:r>
        <w:t xml:space="preserve">CSV managers in each court appeared to us to have a strong understanding of the administrative reporting lines applicable within each court. </w:t>
      </w:r>
      <w:r w:rsidR="00B52C4B">
        <w:t xml:space="preserve"> </w:t>
      </w:r>
      <w:r>
        <w:t xml:space="preserve">Further, reporting lines appeared to be clearly defined (for example VPS2 trainee court registrars reporting to a VPS3 registrar, or an associate reporting administratively to a Judicial Services Co-ordinator), at least in a formal sense. </w:t>
      </w:r>
    </w:p>
    <w:p w14:paraId="7AA8CFBD" w14:textId="09528032" w:rsidR="00F479F7" w:rsidRDefault="00B9512C" w:rsidP="0004466F">
      <w:pPr>
        <w:pStyle w:val="ListParagraph"/>
      </w:pPr>
      <w:r>
        <w:t xml:space="preserve">Our consultations indicated, however, that more junior CSV-employed staff (including chambers staff) who work in a primary relationship with judges either did not always have an accurate understanding of their reporting lines, or perceived that their reporting line, at least in practice if not theory, is to a judicial officer.  Reporting lines must not only be well defined on the organisational chart, but also clearly communicated to those working in a primary relationship with judicial officers.  They must also be compatible with the realities </w:t>
      </w:r>
      <w:r>
        <w:lastRenderedPageBreak/>
        <w:t>of their daily working conditions.  It is notable that the induction program for newly</w:t>
      </w:r>
      <w:r w:rsidR="00945365">
        <w:noBreakHyphen/>
      </w:r>
      <w:r>
        <w:t xml:space="preserve">appointed court officers in the Magistrates Court was specifically designed to reinforce to new staff that they report to the Magistrates’ Court Legal Policy Unit, and not to a magistrate to whom they are assigned (and the induction program appears to have been effective in doing so). </w:t>
      </w:r>
    </w:p>
    <w:p w14:paraId="393683FD" w14:textId="528B9E40" w:rsidR="00F479F7" w:rsidRDefault="00F479F7" w:rsidP="0004466F">
      <w:pPr>
        <w:pStyle w:val="ListParagraph"/>
      </w:pPr>
      <w:r>
        <w:t>CSV managers are conscious of the need to ensure that the person to whom an associate (or</w:t>
      </w:r>
      <w:r w:rsidR="0050590A">
        <w:t> </w:t>
      </w:r>
      <w:r>
        <w:t xml:space="preserve">other junior staff member in a primary relationship with a judge) reports </w:t>
      </w:r>
      <w:proofErr w:type="gramStart"/>
      <w:r>
        <w:t>is able to</w:t>
      </w:r>
      <w:proofErr w:type="gramEnd"/>
      <w:r>
        <w:t xml:space="preserve"> observe </w:t>
      </w:r>
      <w:r w:rsidR="00404A3F">
        <w:t xml:space="preserve">or monitor </w:t>
      </w:r>
      <w:r>
        <w:t xml:space="preserve">the working relationship between associate and judicial officer.  For example, </w:t>
      </w:r>
      <w:r w:rsidR="00793556">
        <w:t xml:space="preserve">managers and HR personnel informed us </w:t>
      </w:r>
      <w:r>
        <w:t>that Judicial Services Co</w:t>
      </w:r>
      <w:r w:rsidR="0066218C">
        <w:noBreakHyphen/>
      </w:r>
      <w:r>
        <w:t xml:space="preserve">ordinators and Judicial Staff Co-ordinators work closely with associates and </w:t>
      </w:r>
      <w:r w:rsidR="00AE3677">
        <w:t xml:space="preserve">can observe the </w:t>
      </w:r>
      <w:r>
        <w:t>associates’ relationship with judicial officers</w:t>
      </w:r>
      <w:r w:rsidR="00AE3677">
        <w:t xml:space="preserve">.  </w:t>
      </w:r>
      <w:r w:rsidR="00793556">
        <w:t xml:space="preserve">That oversight </w:t>
      </w:r>
      <w:r w:rsidR="00AE3677">
        <w:t>permit</w:t>
      </w:r>
      <w:r w:rsidR="00793556">
        <w:t>ted</w:t>
      </w:r>
      <w:r>
        <w:t xml:space="preserve"> any problems in that relationship </w:t>
      </w:r>
      <w:r w:rsidR="00AE3677">
        <w:t xml:space="preserve">to </w:t>
      </w:r>
      <w:r>
        <w:t xml:space="preserve">be picked up and resolved before the relationship deteriorates further.  </w:t>
      </w:r>
      <w:r w:rsidR="00C03796">
        <w:t xml:space="preserve">However, our </w:t>
      </w:r>
      <w:r w:rsidR="00BF786F">
        <w:t xml:space="preserve">consultations </w:t>
      </w:r>
      <w:r w:rsidR="00C03796">
        <w:t xml:space="preserve">with </w:t>
      </w:r>
      <w:r>
        <w:t xml:space="preserve">CSV staff </w:t>
      </w:r>
      <w:r w:rsidR="00BF786F">
        <w:t xml:space="preserve">(chambers staff) </w:t>
      </w:r>
      <w:r w:rsidR="00C03796">
        <w:t xml:space="preserve">indicated that they </w:t>
      </w:r>
      <w:r w:rsidR="00BF786F">
        <w:t xml:space="preserve">do not consider that the CSV managers to </w:t>
      </w:r>
      <w:r>
        <w:t xml:space="preserve">whom </w:t>
      </w:r>
      <w:r w:rsidR="00BF786F">
        <w:t xml:space="preserve">they nominally report, </w:t>
      </w:r>
      <w:r>
        <w:t xml:space="preserve">are in a position adequately to monitor that working relationship and </w:t>
      </w:r>
      <w:r w:rsidR="00BF786F">
        <w:t xml:space="preserve">lack authority </w:t>
      </w:r>
      <w:r>
        <w:t xml:space="preserve">to intervene </w:t>
      </w:r>
      <w:r w:rsidR="00BF786F">
        <w:t>effectively.</w:t>
      </w:r>
    </w:p>
    <w:p w14:paraId="7B726456" w14:textId="4525442A" w:rsidR="00F479F7" w:rsidRPr="00DA21BF" w:rsidRDefault="00F479F7" w:rsidP="00B7605E">
      <w:pPr>
        <w:pStyle w:val="Heading2"/>
      </w:pPr>
      <w:bookmarkStart w:id="102" w:name="_Toc112606930"/>
      <w:r w:rsidRPr="00D525A0">
        <w:t>Peer Support and Mentoring</w:t>
      </w:r>
      <w:r>
        <w:t>/Feedback Mechanisms</w:t>
      </w:r>
      <w:bookmarkEnd w:id="102"/>
    </w:p>
    <w:p w14:paraId="6E8038DE" w14:textId="6C6F1691" w:rsidR="00F479F7" w:rsidRDefault="0069303F" w:rsidP="0004466F">
      <w:pPr>
        <w:pStyle w:val="ListParagraph"/>
      </w:pPr>
      <w:r>
        <w:t xml:space="preserve">At the time we published our Progress Report, there were few </w:t>
      </w:r>
      <w:r w:rsidRPr="00347B7C">
        <w:t>formal</w:t>
      </w:r>
      <w:r>
        <w:t xml:space="preserve"> peer support arrangements in place within courts and VCAT. </w:t>
      </w:r>
      <w:r w:rsidR="0075033F">
        <w:t xml:space="preserve"> </w:t>
      </w:r>
      <w:r>
        <w:t>In our Progress Report, we summarised some existing peer support programs, and noted that a peer support program was then in development by CSV: at [301]</w:t>
      </w:r>
      <w:proofErr w:type="gramStart"/>
      <w:r>
        <w:t>–[</w:t>
      </w:r>
      <w:proofErr w:type="gramEnd"/>
      <w:r>
        <w:t>302].</w:t>
      </w:r>
    </w:p>
    <w:p w14:paraId="3A98E5B5" w14:textId="2CBC06BF" w:rsidR="0069303F" w:rsidRDefault="00A83486" w:rsidP="0004466F">
      <w:pPr>
        <w:pStyle w:val="ListParagraph"/>
      </w:pPr>
      <w:bookmarkStart w:id="103" w:name="_Ref110931695"/>
      <w:r>
        <w:t>The</w:t>
      </w:r>
      <w:r w:rsidR="00672BFB">
        <w:t xml:space="preserve"> peer support program developed by CSV is now in place. </w:t>
      </w:r>
      <w:r w:rsidR="0075033F">
        <w:t xml:space="preserve"> </w:t>
      </w:r>
      <w:r w:rsidR="00672BFB">
        <w:t>That program is not specific to sexual harassment or other inappropriate conduct by judicial officers.</w:t>
      </w:r>
      <w:r w:rsidR="0075033F">
        <w:t xml:space="preserve"> </w:t>
      </w:r>
      <w:r w:rsidR="00672BFB">
        <w:t xml:space="preserve"> Peer supporters are selected from among CSV</w:t>
      </w:r>
      <w:r w:rsidR="00945365">
        <w:t> </w:t>
      </w:r>
      <w:r w:rsidR="00672BFB">
        <w:t xml:space="preserve">staff (following expression of interest) and receive training. Peer supporters volunteer their time to the role as peer supporter in addition to performing their substantive role. </w:t>
      </w:r>
      <w:r w:rsidR="0075033F">
        <w:t xml:space="preserve"> </w:t>
      </w:r>
      <w:r w:rsidR="00672BFB">
        <w:t xml:space="preserve">They provide an avenue of support to staff that co-exists with other preventative and early intervention programs in place. </w:t>
      </w:r>
      <w:r w:rsidR="0075033F">
        <w:t xml:space="preserve"> </w:t>
      </w:r>
      <w:r w:rsidR="00672BFB">
        <w:t xml:space="preserve">It is a secondary support service by which peer supporters </w:t>
      </w:r>
      <w:proofErr w:type="gramStart"/>
      <w:r w:rsidR="00672BFB">
        <w:t>are able to</w:t>
      </w:r>
      <w:proofErr w:type="gramEnd"/>
      <w:r w:rsidR="00672BFB">
        <w:t xml:space="preserve"> suggest referrals to primary providers of mental health assistance or support.  The</w:t>
      </w:r>
      <w:r w:rsidR="00945365">
        <w:t> </w:t>
      </w:r>
      <w:r w:rsidR="00672BFB">
        <w:t>details of peer supporters are on the CSV intranet, and staff are informed that they can contact the peer supporters directly for support, irrespective of which jurisdiction they work in.</w:t>
      </w:r>
      <w:bookmarkEnd w:id="103"/>
    </w:p>
    <w:p w14:paraId="4D95A0CB" w14:textId="0998546C" w:rsidR="00B50787" w:rsidRDefault="00F479F7" w:rsidP="00903DCD">
      <w:pPr>
        <w:pStyle w:val="ListParagraph"/>
      </w:pPr>
      <w:r>
        <w:t xml:space="preserve">While we </w:t>
      </w:r>
      <w:r w:rsidR="00816E15">
        <w:t xml:space="preserve">have been told </w:t>
      </w:r>
      <w:r>
        <w:t xml:space="preserve">that new judges in some courts are assigned a mentor on induction, </w:t>
      </w:r>
      <w:r w:rsidR="00254885">
        <w:t xml:space="preserve">our understanding is that </w:t>
      </w:r>
      <w:r>
        <w:t xml:space="preserve">there is in general little organised mentoring for new judges, at least in terms of assisting new judges to understand the role of CSV employees, and the limits of that role.  </w:t>
      </w:r>
      <w:r w:rsidR="00BF786F">
        <w:t xml:space="preserve">Some judges expressed a preference for having a judge </w:t>
      </w:r>
      <w:r w:rsidR="00CD675B">
        <w:t xml:space="preserve">to whom they could resort </w:t>
      </w:r>
      <w:r w:rsidR="00CD675B">
        <w:lastRenderedPageBreak/>
        <w:t xml:space="preserve">for mentoring and advice.  </w:t>
      </w:r>
      <w:r w:rsidR="00254885">
        <w:t xml:space="preserve">Many </w:t>
      </w:r>
      <w:r w:rsidR="00E04C7C">
        <w:t xml:space="preserve">judges and staff </w:t>
      </w:r>
      <w:r>
        <w:t xml:space="preserve">we consulted </w:t>
      </w:r>
      <w:r w:rsidR="006E6B6D">
        <w:t xml:space="preserve">with </w:t>
      </w:r>
      <w:r w:rsidR="00DB383C">
        <w:t>assume</w:t>
      </w:r>
      <w:r w:rsidR="006E6B6D">
        <w:t>d</w:t>
      </w:r>
      <w:r w:rsidR="00DB383C">
        <w:t xml:space="preserve"> </w:t>
      </w:r>
      <w:r>
        <w:t xml:space="preserve">that the Judicial College </w:t>
      </w:r>
      <w:r w:rsidR="00DB383C">
        <w:t>provide</w:t>
      </w:r>
      <w:r w:rsidR="006E6B6D">
        <w:t>d</w:t>
      </w:r>
      <w:r w:rsidR="00DB383C">
        <w:t xml:space="preserve"> substant</w:t>
      </w:r>
      <w:r w:rsidR="009A2C67">
        <w:t xml:space="preserve">ive education for judges on </w:t>
      </w:r>
      <w:r w:rsidR="00C90402">
        <w:t xml:space="preserve">the limits of appropriate </w:t>
      </w:r>
      <w:r w:rsidR="00A77C9E">
        <w:t>conduct</w:t>
      </w:r>
      <w:r>
        <w:t xml:space="preserve"> </w:t>
      </w:r>
      <w:r w:rsidR="00971E4B">
        <w:t xml:space="preserve">towards </w:t>
      </w:r>
      <w:r>
        <w:t>CS</w:t>
      </w:r>
      <w:r w:rsidR="00893A5A">
        <w:t>V staf</w:t>
      </w:r>
      <w:r w:rsidR="001B65DF">
        <w:t>f</w:t>
      </w:r>
      <w:r w:rsidR="00893A5A">
        <w:t>.</w:t>
      </w:r>
      <w:r w:rsidR="002E0173">
        <w:t xml:space="preserve">  </w:t>
      </w:r>
      <w:r w:rsidR="006E6B6D">
        <w:t xml:space="preserve">The Judicial College had </w:t>
      </w:r>
      <w:r w:rsidR="00F74F18">
        <w:t xml:space="preserve">not traditionally provided such training specific to addressing sexual harassment risks in response to </w:t>
      </w:r>
      <w:r w:rsidR="00D54536">
        <w:t>Recommendation </w:t>
      </w:r>
      <w:r w:rsidR="00F74F18">
        <w:t xml:space="preserve">13 of the Szoke Report (see also </w:t>
      </w:r>
      <w:r w:rsidR="00B82B0B">
        <w:fldChar w:fldCharType="begin"/>
      </w:r>
      <w:r w:rsidR="00B82B0B">
        <w:instrText xml:space="preserve"> REF _Ref109024911 \r \h </w:instrText>
      </w:r>
      <w:r w:rsidR="00B82B0B">
        <w:fldChar w:fldCharType="separate"/>
      </w:r>
      <w:r w:rsidR="00CF093C">
        <w:t>14</w:t>
      </w:r>
      <w:r w:rsidR="00B82B0B">
        <w:fldChar w:fldCharType="end"/>
      </w:r>
      <w:r w:rsidR="00B82B0B">
        <w:t xml:space="preserve"> above). </w:t>
      </w:r>
      <w:r w:rsidR="00B50787">
        <w:br w:type="page"/>
      </w:r>
    </w:p>
    <w:p w14:paraId="0CF7BE67" w14:textId="40708F97" w:rsidR="005B038A" w:rsidRPr="008760C1" w:rsidRDefault="005B038A" w:rsidP="00177AD9">
      <w:pPr>
        <w:pStyle w:val="Title"/>
        <w:pBdr>
          <w:bottom w:val="single" w:sz="4" w:space="1" w:color="4A66AC" w:themeColor="accent1"/>
        </w:pBdr>
        <w:rPr>
          <w:sz w:val="40"/>
          <w:szCs w:val="40"/>
        </w:rPr>
      </w:pPr>
      <w:bookmarkStart w:id="104" w:name="_Toc112606931"/>
      <w:r w:rsidRPr="008760C1">
        <w:rPr>
          <w:sz w:val="40"/>
          <w:szCs w:val="40"/>
        </w:rPr>
        <w:lastRenderedPageBreak/>
        <w:t>RECOMMENDATIONS</w:t>
      </w:r>
      <w:bookmarkEnd w:id="104"/>
    </w:p>
    <w:p w14:paraId="17503077" w14:textId="59201B05" w:rsidR="005B038A" w:rsidRPr="00BE70B0" w:rsidRDefault="005B038A" w:rsidP="00120D8A">
      <w:pPr>
        <w:pStyle w:val="ListParagraph"/>
        <w:numPr>
          <w:ilvl w:val="0"/>
          <w:numId w:val="0"/>
        </w:numPr>
        <w:rPr>
          <w:szCs w:val="23"/>
        </w:rPr>
      </w:pPr>
      <w:r w:rsidRPr="00BE70B0">
        <w:rPr>
          <w:szCs w:val="23"/>
        </w:rPr>
        <w:t>This section of our Report sets out our recommendations</w:t>
      </w:r>
      <w:r w:rsidR="00070B3B" w:rsidRPr="00BE70B0">
        <w:rPr>
          <w:szCs w:val="23"/>
        </w:rPr>
        <w:t xml:space="preserve"> for measures to mitigate the risks for the occurrence and escalation of sexual harassment </w:t>
      </w:r>
      <w:r w:rsidR="000B6930" w:rsidRPr="00BE70B0">
        <w:rPr>
          <w:szCs w:val="23"/>
        </w:rPr>
        <w:t>associated with the recruitment and working conditions of staff who work in primary relationships with</w:t>
      </w:r>
      <w:r w:rsidR="000D725B">
        <w:rPr>
          <w:szCs w:val="23"/>
        </w:rPr>
        <w:t xml:space="preserve"> judicial officers</w:t>
      </w:r>
      <w:r w:rsidR="000B6930" w:rsidRPr="00BE70B0">
        <w:rPr>
          <w:szCs w:val="23"/>
        </w:rPr>
        <w:t xml:space="preserve"> </w:t>
      </w:r>
      <w:r w:rsidR="00070B3B" w:rsidRPr="00BE70B0">
        <w:rPr>
          <w:szCs w:val="23"/>
        </w:rPr>
        <w:t>in Victorian courts and VCAT</w:t>
      </w:r>
      <w:r w:rsidR="000B6930" w:rsidRPr="00BE70B0">
        <w:rPr>
          <w:szCs w:val="23"/>
        </w:rPr>
        <w:t>,</w:t>
      </w:r>
      <w:r w:rsidR="00070B3B" w:rsidRPr="00BE70B0">
        <w:rPr>
          <w:szCs w:val="23"/>
        </w:rPr>
        <w:t xml:space="preserve"> and to improve responses </w:t>
      </w:r>
      <w:r w:rsidR="008878A7" w:rsidRPr="00BE70B0">
        <w:rPr>
          <w:szCs w:val="23"/>
        </w:rPr>
        <w:t xml:space="preserve">to </w:t>
      </w:r>
      <w:r w:rsidR="000B6930" w:rsidRPr="00BE70B0">
        <w:rPr>
          <w:szCs w:val="23"/>
        </w:rPr>
        <w:t>such conduct</w:t>
      </w:r>
      <w:r w:rsidR="008878A7" w:rsidRPr="00BE70B0">
        <w:rPr>
          <w:szCs w:val="23"/>
        </w:rPr>
        <w:t xml:space="preserve">.  Some </w:t>
      </w:r>
      <w:r w:rsidR="000B6930" w:rsidRPr="00BE70B0">
        <w:rPr>
          <w:szCs w:val="23"/>
        </w:rPr>
        <w:t xml:space="preserve">recommended </w:t>
      </w:r>
      <w:r w:rsidR="008878A7" w:rsidRPr="00BE70B0">
        <w:rPr>
          <w:szCs w:val="23"/>
        </w:rPr>
        <w:t xml:space="preserve">measures are independent while </w:t>
      </w:r>
      <w:r w:rsidR="00B368B2" w:rsidRPr="00BE70B0">
        <w:rPr>
          <w:szCs w:val="23"/>
        </w:rPr>
        <w:t>some assume a mutual operation with other recommendations.</w:t>
      </w:r>
    </w:p>
    <w:p w14:paraId="6E3C7FF8" w14:textId="5A0EA0A5" w:rsidR="00F85DAA" w:rsidRDefault="00F85DAA" w:rsidP="00120D8A">
      <w:pPr>
        <w:pStyle w:val="ListParagraph"/>
        <w:numPr>
          <w:ilvl w:val="0"/>
          <w:numId w:val="0"/>
        </w:numPr>
        <w:rPr>
          <w:szCs w:val="23"/>
        </w:rPr>
      </w:pPr>
      <w:r>
        <w:rPr>
          <w:szCs w:val="23"/>
        </w:rPr>
        <w:t xml:space="preserve">It is difficult to formulate concrete recommendations to address risk factors exposed by the substantiated incidents and feedback outlined above, that arise in the unique, hitherto virtually unregulated relationship between judges and their chambers staff.  That relationship has worked well for many people over time, </w:t>
      </w:r>
      <w:r w:rsidR="00B25E9D">
        <w:rPr>
          <w:szCs w:val="23"/>
        </w:rPr>
        <w:t xml:space="preserve">often </w:t>
      </w:r>
      <w:r>
        <w:rPr>
          <w:szCs w:val="23"/>
        </w:rPr>
        <w:t xml:space="preserve">providing </w:t>
      </w:r>
      <w:r w:rsidR="00DA73DD">
        <w:rPr>
          <w:szCs w:val="23"/>
        </w:rPr>
        <w:t>career highlights for associates, mutual satisfaction and lasting bonds for judges and staff and efficiency in serving the administration of justice in a frequently demanding context.</w:t>
      </w:r>
    </w:p>
    <w:p w14:paraId="7E35C995" w14:textId="66439ACE" w:rsidR="001F4BE8" w:rsidRDefault="004656AE" w:rsidP="00120D8A">
      <w:pPr>
        <w:pStyle w:val="ListParagraph"/>
        <w:numPr>
          <w:ilvl w:val="0"/>
          <w:numId w:val="0"/>
        </w:numPr>
        <w:rPr>
          <w:szCs w:val="23"/>
        </w:rPr>
      </w:pPr>
      <w:r>
        <w:rPr>
          <w:szCs w:val="23"/>
        </w:rPr>
        <w:t>Recommendation 1 applies only to some</w:t>
      </w:r>
      <w:r w:rsidR="00EC4020">
        <w:rPr>
          <w:szCs w:val="23"/>
        </w:rPr>
        <w:t xml:space="preserve"> courts.  The implementation </w:t>
      </w:r>
      <w:r w:rsidR="00821592">
        <w:rPr>
          <w:szCs w:val="23"/>
        </w:rPr>
        <w:t xml:space="preserve">of </w:t>
      </w:r>
      <w:r>
        <w:rPr>
          <w:szCs w:val="23"/>
        </w:rPr>
        <w:t xml:space="preserve">some </w:t>
      </w:r>
      <w:r w:rsidR="00821592">
        <w:rPr>
          <w:szCs w:val="23"/>
        </w:rPr>
        <w:t xml:space="preserve">other recommendations may require adjustment to take account </w:t>
      </w:r>
      <w:r w:rsidR="00DD2416">
        <w:rPr>
          <w:szCs w:val="23"/>
        </w:rPr>
        <w:t xml:space="preserve">of </w:t>
      </w:r>
      <w:r w:rsidR="00821592">
        <w:rPr>
          <w:szCs w:val="23"/>
        </w:rPr>
        <w:t xml:space="preserve">the great diversity in the size, </w:t>
      </w:r>
      <w:proofErr w:type="gramStart"/>
      <w:r w:rsidR="00821592">
        <w:rPr>
          <w:szCs w:val="23"/>
        </w:rPr>
        <w:t>structure</w:t>
      </w:r>
      <w:proofErr w:type="gramEnd"/>
      <w:r w:rsidR="00821592">
        <w:rPr>
          <w:szCs w:val="23"/>
        </w:rPr>
        <w:t xml:space="preserve"> and organisation of the five Victoria</w:t>
      </w:r>
      <w:r w:rsidR="00DD7162">
        <w:rPr>
          <w:szCs w:val="23"/>
        </w:rPr>
        <w:t>n courts and VCAT.</w:t>
      </w:r>
      <w:bookmarkStart w:id="105" w:name="_Ref112583396"/>
      <w:r w:rsidR="00DD7162">
        <w:rPr>
          <w:rStyle w:val="FootnoteReference"/>
          <w:szCs w:val="23"/>
        </w:rPr>
        <w:footnoteReference w:id="88"/>
      </w:r>
      <w:bookmarkEnd w:id="105"/>
    </w:p>
    <w:p w14:paraId="3788EDC4" w14:textId="2C9C20C3" w:rsidR="00DA73DD" w:rsidRDefault="00DA73DD" w:rsidP="00120D8A">
      <w:pPr>
        <w:pStyle w:val="ListParagraph"/>
        <w:numPr>
          <w:ilvl w:val="0"/>
          <w:numId w:val="0"/>
        </w:numPr>
        <w:rPr>
          <w:szCs w:val="23"/>
        </w:rPr>
      </w:pPr>
      <w:r>
        <w:rPr>
          <w:szCs w:val="23"/>
        </w:rPr>
        <w:t xml:space="preserve">The recommendations we propose frequently emphasise education, counselling, </w:t>
      </w:r>
      <w:proofErr w:type="gramStart"/>
      <w:r>
        <w:rPr>
          <w:szCs w:val="23"/>
        </w:rPr>
        <w:t>instruction</w:t>
      </w:r>
      <w:proofErr w:type="gramEnd"/>
      <w:r>
        <w:rPr>
          <w:szCs w:val="23"/>
        </w:rPr>
        <w:t xml:space="preserve"> and training for the parties involved.  It would be, as one of our interviewees noted, a tragedy if heavy handed attempts to regulate or micro</w:t>
      </w:r>
      <w:r>
        <w:rPr>
          <w:szCs w:val="23"/>
        </w:rPr>
        <w:noBreakHyphen/>
        <w:t>manage</w:t>
      </w:r>
      <w:r w:rsidR="003C516A">
        <w:rPr>
          <w:szCs w:val="23"/>
        </w:rPr>
        <w:t xml:space="preserve"> the personal and professional interactions of judges and their staff effectively destroyed a unique, sometimes idiosyncratic relationship which has long served many participants so well.</w:t>
      </w:r>
      <w:r w:rsidR="004C56AC" w:rsidRPr="004C56AC">
        <w:rPr>
          <w:szCs w:val="23"/>
        </w:rPr>
        <w:t xml:space="preserve"> </w:t>
      </w:r>
      <w:r w:rsidR="004C56AC">
        <w:rPr>
          <w:szCs w:val="23"/>
        </w:rPr>
        <w:t xml:space="preserve"> While, as noted, reliable data are </w:t>
      </w:r>
      <w:proofErr w:type="gramStart"/>
      <w:r w:rsidR="004C56AC">
        <w:rPr>
          <w:szCs w:val="23"/>
        </w:rPr>
        <w:t>as yet</w:t>
      </w:r>
      <w:proofErr w:type="gramEnd"/>
      <w:r w:rsidR="004C56AC">
        <w:rPr>
          <w:szCs w:val="23"/>
        </w:rPr>
        <w:t xml:space="preserve"> unavailable, our enquiries do not suggest that sexual harassment of chambers or other staff by Victorian judicial officers is widespread.  Rather, there are risk factors and some reported instances and observations which cannot be ignored and must be addressed.</w:t>
      </w:r>
    </w:p>
    <w:p w14:paraId="7A5FFDCC" w14:textId="7A42C2EA" w:rsidR="005B038A" w:rsidRPr="00177E84" w:rsidRDefault="00213A21" w:rsidP="00945365">
      <w:pPr>
        <w:pStyle w:val="ListParagraph"/>
        <w:numPr>
          <w:ilvl w:val="0"/>
          <w:numId w:val="0"/>
        </w:numPr>
        <w:rPr>
          <w:szCs w:val="23"/>
        </w:rPr>
      </w:pPr>
      <w:r w:rsidRPr="00177E84">
        <w:rPr>
          <w:szCs w:val="23"/>
        </w:rPr>
        <w:t xml:space="preserve">After each recommendation, </w:t>
      </w:r>
      <w:r w:rsidR="00B368B2">
        <w:rPr>
          <w:szCs w:val="23"/>
        </w:rPr>
        <w:t xml:space="preserve">in some cases </w:t>
      </w:r>
      <w:r w:rsidRPr="00177E84">
        <w:rPr>
          <w:szCs w:val="23"/>
        </w:rPr>
        <w:t xml:space="preserve">for convenience, we </w:t>
      </w:r>
      <w:r w:rsidR="00765EDB" w:rsidRPr="00177E84">
        <w:rPr>
          <w:szCs w:val="23"/>
        </w:rPr>
        <w:t xml:space="preserve">repeat the principal </w:t>
      </w:r>
      <w:r w:rsidR="00DF6ED8">
        <w:rPr>
          <w:szCs w:val="23"/>
        </w:rPr>
        <w:t xml:space="preserve">reasons for the recommendation, which are </w:t>
      </w:r>
      <w:r w:rsidR="00EE7EC5">
        <w:rPr>
          <w:szCs w:val="23"/>
        </w:rPr>
        <w:t xml:space="preserve">set </w:t>
      </w:r>
      <w:r w:rsidR="005B038A" w:rsidRPr="00177E84">
        <w:rPr>
          <w:szCs w:val="23"/>
        </w:rPr>
        <w:t xml:space="preserve">out </w:t>
      </w:r>
      <w:r w:rsidR="00BD6562" w:rsidRPr="00177E84">
        <w:rPr>
          <w:szCs w:val="23"/>
        </w:rPr>
        <w:t xml:space="preserve">in </w:t>
      </w:r>
      <w:r w:rsidR="00B368B2">
        <w:rPr>
          <w:szCs w:val="23"/>
        </w:rPr>
        <w:t xml:space="preserve">greater </w:t>
      </w:r>
      <w:r w:rsidR="00BD6562" w:rsidRPr="00177E84">
        <w:rPr>
          <w:szCs w:val="23"/>
        </w:rPr>
        <w:t xml:space="preserve">detail </w:t>
      </w:r>
      <w:r w:rsidR="00EE7EC5">
        <w:rPr>
          <w:szCs w:val="23"/>
        </w:rPr>
        <w:t>above.</w:t>
      </w:r>
      <w:r w:rsidR="005B038A" w:rsidRPr="00177E84">
        <w:rPr>
          <w:szCs w:val="23"/>
        </w:rPr>
        <w:t xml:space="preserve"> </w:t>
      </w:r>
    </w:p>
    <w:p w14:paraId="78C77922" w14:textId="54CD7BDC" w:rsidR="00C1408A" w:rsidRPr="00945365" w:rsidRDefault="00CD4E81" w:rsidP="00B94030">
      <w:pPr>
        <w:pStyle w:val="Heading5"/>
        <w:keepNext/>
        <w:numPr>
          <w:ilvl w:val="0"/>
          <w:numId w:val="31"/>
        </w:numPr>
        <w:rPr>
          <w:color w:val="000000" w:themeColor="text1"/>
        </w:rPr>
      </w:pPr>
      <w:r w:rsidRPr="00BF7A4E">
        <w:t>The Supreme Court and County Court should implement measures to diversify the demographic composition of, and include some longer</w:t>
      </w:r>
      <w:r w:rsidRPr="00BF7A4E">
        <w:noBreakHyphen/>
        <w:t xml:space="preserve">term appointees in, the associates’ workforce.  </w:t>
      </w:r>
      <w:r w:rsidR="007E1024" w:rsidRPr="00BF7A4E">
        <w:t xml:space="preserve">It </w:t>
      </w:r>
      <w:r w:rsidRPr="00BF7A4E">
        <w:t>should</w:t>
      </w:r>
      <w:r w:rsidR="002F4C51">
        <w:t>, to the extent feasible,</w:t>
      </w:r>
      <w:r w:rsidRPr="00BF7A4E">
        <w:t xml:space="preserve"> encourage the recruitment of some more professionally experienced associates, including from a variety of cultural and social </w:t>
      </w:r>
      <w:r w:rsidRPr="00BF7A4E">
        <w:lastRenderedPageBreak/>
        <w:t xml:space="preserve">backgrounds.  </w:t>
      </w:r>
      <w:r w:rsidR="000D725B" w:rsidRPr="00BF7A4E">
        <w:t>It</w:t>
      </w:r>
      <w:r w:rsidR="000D725B">
        <w:t> </w:t>
      </w:r>
      <w:r w:rsidRPr="00BF7A4E">
        <w:t>should also attempt to retain a modest proportion of associates in continuing positions or on long-term contracts.</w:t>
      </w:r>
    </w:p>
    <w:p w14:paraId="264B1406" w14:textId="6414C70F" w:rsidR="00331D6A" w:rsidRDefault="00331D6A" w:rsidP="00945365">
      <w:pPr>
        <w:pStyle w:val="ListNumber2"/>
      </w:pPr>
      <w:r>
        <w:t>The</w:t>
      </w:r>
      <w:r w:rsidR="00C53C95">
        <w:t xml:space="preserve"> above</w:t>
      </w:r>
      <w:r>
        <w:t xml:space="preserve"> measures are mutually supportive as long-term contracts may be more attractive to experienced applicants who do not see</w:t>
      </w:r>
      <w:r w:rsidR="0035535F">
        <w:t>k</w:t>
      </w:r>
      <w:r>
        <w:t xml:space="preserve"> an associateship </w:t>
      </w:r>
      <w:r w:rsidR="0035535F">
        <w:t xml:space="preserve">primarily </w:t>
      </w:r>
      <w:r>
        <w:t>as a “</w:t>
      </w:r>
      <w:proofErr w:type="gramStart"/>
      <w:r>
        <w:t>stepping stone</w:t>
      </w:r>
      <w:proofErr w:type="gramEnd"/>
      <w:r>
        <w:t xml:space="preserve">” to </w:t>
      </w:r>
      <w:r w:rsidR="0035535F">
        <w:t xml:space="preserve">advancement </w:t>
      </w:r>
      <w:r>
        <w:t xml:space="preserve">in the </w:t>
      </w:r>
      <w:r w:rsidR="0035535F">
        <w:t xml:space="preserve">legal </w:t>
      </w:r>
      <w:r>
        <w:t xml:space="preserve">profession.  </w:t>
      </w:r>
    </w:p>
    <w:p w14:paraId="61006616" w14:textId="50618E2C" w:rsidR="00D37D41" w:rsidRDefault="00755C4B" w:rsidP="00945365">
      <w:pPr>
        <w:pStyle w:val="ListNumber2"/>
      </w:pPr>
      <w:r>
        <w:t>This recommendation aims to mitigate a structural risk factor</w:t>
      </w:r>
      <w:r w:rsidR="003B3A83">
        <w:t xml:space="preserve"> inherent in the great power disparity between judges and associates</w:t>
      </w:r>
      <w:r>
        <w:t xml:space="preserve">.  </w:t>
      </w:r>
      <w:r w:rsidR="00FC2A82">
        <w:t xml:space="preserve">Absence of workforce diversity is an independent risk factor.  Such </w:t>
      </w:r>
      <w:r w:rsidR="00206FD1">
        <w:t>risk</w:t>
      </w:r>
      <w:r w:rsidR="00FC2A82">
        <w:t>s</w:t>
      </w:r>
      <w:r w:rsidR="00206FD1">
        <w:t xml:space="preserve"> </w:t>
      </w:r>
      <w:r w:rsidR="00FC2A82">
        <w:t xml:space="preserve">are </w:t>
      </w:r>
      <w:r w:rsidR="00206FD1">
        <w:t xml:space="preserve">magnified by the features of </w:t>
      </w:r>
      <w:r w:rsidR="0011291F">
        <w:t xml:space="preserve">the </w:t>
      </w:r>
      <w:r w:rsidR="0070398C">
        <w:t xml:space="preserve">model of </w:t>
      </w:r>
      <w:r w:rsidR="00206FD1">
        <w:t xml:space="preserve">clerkship </w:t>
      </w:r>
      <w:r w:rsidR="0070398C">
        <w:t xml:space="preserve">which </w:t>
      </w:r>
      <w:r w:rsidR="0011291F">
        <w:t xml:space="preserve">has developed in the United States federal courts, to which </w:t>
      </w:r>
      <w:r w:rsidR="0070398C">
        <w:t xml:space="preserve">Victorian associateships increasingly conform.  </w:t>
      </w:r>
      <w:r>
        <w:t xml:space="preserve">While the </w:t>
      </w:r>
      <w:r w:rsidR="0070398C">
        <w:t xml:space="preserve">power </w:t>
      </w:r>
      <w:r>
        <w:t xml:space="preserve">disparity is </w:t>
      </w:r>
      <w:r w:rsidR="00787234">
        <w:t xml:space="preserve">necessarily </w:t>
      </w:r>
      <w:r w:rsidR="00C22756" w:rsidRPr="00EC052C">
        <w:t>immutable,</w:t>
      </w:r>
      <w:r w:rsidR="00C22756">
        <w:t xml:space="preserve"> there is some scope to mitigate the </w:t>
      </w:r>
      <w:r w:rsidR="00392EA7">
        <w:t xml:space="preserve">unique </w:t>
      </w:r>
      <w:r w:rsidR="00C22756">
        <w:t xml:space="preserve">vulnerability based on the associate’s </w:t>
      </w:r>
      <w:r w:rsidR="00E50743">
        <w:t>inexperience, early</w:t>
      </w:r>
      <w:r w:rsidR="00E63BB9">
        <w:t xml:space="preserve"> career</w:t>
      </w:r>
      <w:r w:rsidR="009D4A52">
        <w:t xml:space="preserve"> stage, </w:t>
      </w:r>
      <w:r w:rsidR="00E63BB9">
        <w:t xml:space="preserve">professional </w:t>
      </w:r>
      <w:proofErr w:type="gramStart"/>
      <w:r w:rsidR="00E63BB9">
        <w:t>aspirations</w:t>
      </w:r>
      <w:proofErr w:type="gramEnd"/>
      <w:r w:rsidR="009D4A52">
        <w:t xml:space="preserve"> </w:t>
      </w:r>
      <w:r w:rsidR="002060DD">
        <w:t>and insecure</w:t>
      </w:r>
      <w:r w:rsidR="009D4A52">
        <w:t>,</w:t>
      </w:r>
      <w:r w:rsidR="002060DD">
        <w:t xml:space="preserve"> </w:t>
      </w:r>
      <w:r w:rsidR="004D7A26">
        <w:t>short-term</w:t>
      </w:r>
      <w:r w:rsidR="002060DD">
        <w:t xml:space="preserve"> tenure.  </w:t>
      </w:r>
    </w:p>
    <w:p w14:paraId="288B94B4" w14:textId="07090699" w:rsidR="005B038A" w:rsidRDefault="005B038A" w:rsidP="00945365">
      <w:pPr>
        <w:pStyle w:val="ListNumber2"/>
      </w:pPr>
      <w:r>
        <w:t xml:space="preserve">As discussed </w:t>
      </w:r>
      <w:r w:rsidR="00A454D7">
        <w:t xml:space="preserve">in detail </w:t>
      </w:r>
      <w:r>
        <w:t>above</w:t>
      </w:r>
      <w:r w:rsidR="00A454D7">
        <w:t>,</w:t>
      </w:r>
      <w:r w:rsidR="00A66B2D">
        <w:rPr>
          <w:rStyle w:val="FootnoteReference"/>
        </w:rPr>
        <w:footnoteReference w:id="89"/>
      </w:r>
      <w:r>
        <w:t xml:space="preserve"> </w:t>
      </w:r>
      <w:r w:rsidR="009322E4">
        <w:t>associates</w:t>
      </w:r>
      <w:r w:rsidR="002E2C97">
        <w:t xml:space="preserve"> </w:t>
      </w:r>
      <w:r w:rsidR="007C0B0D">
        <w:rPr>
          <w:lang w:val="en-US"/>
        </w:rPr>
        <w:t>in the Supreme Court and Count</w:t>
      </w:r>
      <w:r w:rsidR="00F419FA">
        <w:rPr>
          <w:lang w:val="en-US"/>
        </w:rPr>
        <w:t>y</w:t>
      </w:r>
      <w:r w:rsidR="007C0B0D">
        <w:rPr>
          <w:lang w:val="en-US"/>
        </w:rPr>
        <w:t xml:space="preserve"> Court</w:t>
      </w:r>
      <w:r w:rsidR="007C0B0D">
        <w:t xml:space="preserve"> </w:t>
      </w:r>
      <w:r w:rsidR="00A454D7">
        <w:t xml:space="preserve">typically </w:t>
      </w:r>
      <w:r>
        <w:t>comprise a young demographic.</w:t>
      </w:r>
      <w:r w:rsidR="00D37A6E">
        <w:rPr>
          <w:rStyle w:val="FootnoteReference"/>
        </w:rPr>
        <w:footnoteReference w:id="90"/>
      </w:r>
      <w:r>
        <w:t xml:space="preserve">  In the Supreme Court (and to a significant extent, the County Court) associates are now overwhelmingly recruited from the ranks of high achieving graduates of top law schools.  </w:t>
      </w:r>
      <w:r w:rsidR="00A454D7">
        <w:t>A</w:t>
      </w:r>
      <w:r w:rsidR="00322F9C">
        <w:t> </w:t>
      </w:r>
      <w:r w:rsidR="00A454D7">
        <w:t>small number of long</w:t>
      </w:r>
      <w:r w:rsidR="00A454D7">
        <w:noBreakHyphen/>
        <w:t xml:space="preserve">serving associates remain </w:t>
      </w:r>
      <w:r w:rsidR="005D5F4B">
        <w:t xml:space="preserve">in both courts, including in learning and development roles.  Associates </w:t>
      </w:r>
      <w:r>
        <w:t>tend to be in their early to mid-twenties</w:t>
      </w:r>
      <w:r w:rsidR="005D5F4B">
        <w:t xml:space="preserve"> and </w:t>
      </w:r>
      <w:r w:rsidR="001A5792">
        <w:t xml:space="preserve">frequently </w:t>
      </w:r>
      <w:r w:rsidR="005D5F4B">
        <w:t xml:space="preserve">lack </w:t>
      </w:r>
      <w:r>
        <w:t>prior work experience</w:t>
      </w:r>
      <w:r w:rsidR="001A5792">
        <w:t xml:space="preserve">, </w:t>
      </w:r>
      <w:r w:rsidR="005D5F4B">
        <w:t xml:space="preserve">whether </w:t>
      </w:r>
      <w:r>
        <w:t>in the law</w:t>
      </w:r>
      <w:r w:rsidR="001A5792">
        <w:t xml:space="preserve"> or other</w:t>
      </w:r>
      <w:r w:rsidR="009E1B97">
        <w:t>wise.</w:t>
      </w:r>
      <w:r>
        <w:t xml:space="preserve">  </w:t>
      </w:r>
      <w:r w:rsidR="009E1B97">
        <w:t xml:space="preserve">Some may </w:t>
      </w:r>
      <w:r>
        <w:t xml:space="preserve">have completed a single year of practical legal training at a law firm.  </w:t>
      </w:r>
      <w:r w:rsidR="009E1B97">
        <w:t xml:space="preserve">For </w:t>
      </w:r>
      <w:r w:rsidR="004A14BC">
        <w:t xml:space="preserve">such </w:t>
      </w:r>
      <w:r>
        <w:t>associates</w:t>
      </w:r>
      <w:r w:rsidR="004A14BC">
        <w:t>,</w:t>
      </w:r>
      <w:r>
        <w:t xml:space="preserve"> the position </w:t>
      </w:r>
      <w:r w:rsidR="00514D9F">
        <w:t xml:space="preserve">presents </w:t>
      </w:r>
      <w:r>
        <w:t>an opportunity to gain valuable experience with a judicial officer</w:t>
      </w:r>
      <w:r w:rsidR="00466D40">
        <w:t xml:space="preserve"> and</w:t>
      </w:r>
      <w:r w:rsidR="00514D9F">
        <w:t xml:space="preserve"> privileged insight into the opaque workings of the court and the judiciary</w:t>
      </w:r>
      <w:r w:rsidR="00B9237A">
        <w:t>.</w:t>
      </w:r>
      <w:r w:rsidR="00514D9F">
        <w:t xml:space="preserve"> </w:t>
      </w:r>
      <w:r w:rsidR="00B9237A">
        <w:t xml:space="preserve"> It is also </w:t>
      </w:r>
      <w:r>
        <w:t>a “</w:t>
      </w:r>
      <w:proofErr w:type="gramStart"/>
      <w:r>
        <w:t>stepping stone</w:t>
      </w:r>
      <w:proofErr w:type="gramEnd"/>
      <w:r>
        <w:t xml:space="preserve">” to other positions in the profession, whether in employment at a law firm or at the Bar.  </w:t>
      </w:r>
      <w:r w:rsidR="004A14BC">
        <w:t>Consequently</w:t>
      </w:r>
      <w:r w:rsidR="00E25E17">
        <w:t>,</w:t>
      </w:r>
      <w:r w:rsidR="004A14BC">
        <w:t xml:space="preserve"> </w:t>
      </w:r>
      <w:r>
        <w:t xml:space="preserve">associates in the higher courts are </w:t>
      </w:r>
      <w:r w:rsidR="004A14BC">
        <w:t xml:space="preserve">now </w:t>
      </w:r>
      <w:r>
        <w:t>a relatively homogenous group</w:t>
      </w:r>
      <w:r w:rsidR="004A14BC">
        <w:t xml:space="preserve">.  They </w:t>
      </w:r>
      <w:r>
        <w:t xml:space="preserve">are at a similar stage in their careers, </w:t>
      </w:r>
      <w:r w:rsidR="00495FE6">
        <w:t xml:space="preserve">tend to be </w:t>
      </w:r>
      <w:r>
        <w:t>of a similar age</w:t>
      </w:r>
      <w:r w:rsidR="007922F7">
        <w:t xml:space="preserve"> and background</w:t>
      </w:r>
      <w:r w:rsidR="008350A3">
        <w:t xml:space="preserve"> and have similar professional aspirations</w:t>
      </w:r>
      <w:r>
        <w:t>.</w:t>
      </w:r>
    </w:p>
    <w:p w14:paraId="64A2869D" w14:textId="07BADE6A" w:rsidR="005B038A" w:rsidRDefault="005B038A" w:rsidP="00945365">
      <w:pPr>
        <w:pStyle w:val="ListNumber2"/>
      </w:pPr>
      <w:r>
        <w:t xml:space="preserve">Further, </w:t>
      </w:r>
      <w:r w:rsidR="004779D7">
        <w:t xml:space="preserve">associates in Victorian courts </w:t>
      </w:r>
      <w:r w:rsidR="00824A2A">
        <w:t xml:space="preserve">are </w:t>
      </w:r>
      <w:r w:rsidR="004779D7">
        <w:t>n</w:t>
      </w:r>
      <w:r w:rsidR="00331149">
        <w:t>o</w:t>
      </w:r>
      <w:r w:rsidR="004779D7">
        <w:t xml:space="preserve">w </w:t>
      </w:r>
      <w:r w:rsidR="00824A2A">
        <w:t xml:space="preserve">recruited on </w:t>
      </w:r>
      <w:r>
        <w:t xml:space="preserve">short-term contracts </w:t>
      </w:r>
      <w:r w:rsidR="00331149">
        <w:t>(</w:t>
      </w:r>
      <w:r>
        <w:t xml:space="preserve">generally for a period of between </w:t>
      </w:r>
      <w:r w:rsidR="00812DCB">
        <w:t>12</w:t>
      </w:r>
      <w:r>
        <w:t xml:space="preserve"> months and two years</w:t>
      </w:r>
      <w:r w:rsidR="00331149">
        <w:t>)</w:t>
      </w:r>
      <w:r>
        <w:t xml:space="preserve">.  </w:t>
      </w:r>
      <w:r w:rsidR="004D7A26">
        <w:t>Short-term</w:t>
      </w:r>
      <w:r w:rsidR="00B22C59">
        <w:t xml:space="preserve"> contracts are a </w:t>
      </w:r>
      <w:r w:rsidR="00466D40">
        <w:t xml:space="preserve">significant and </w:t>
      </w:r>
      <w:r w:rsidR="00B22C59">
        <w:t xml:space="preserve">recognised risk factor for the occurrence of sexual harassment.  </w:t>
      </w:r>
      <w:r w:rsidR="00331149">
        <w:lastRenderedPageBreak/>
        <w:t xml:space="preserve">There </w:t>
      </w:r>
      <w:r>
        <w:t>is scope to extend the term (particularly in the County Court), usually for 12</w:t>
      </w:r>
      <w:r w:rsidR="00F45F0F">
        <w:t> </w:t>
      </w:r>
      <w:r>
        <w:t>further months</w:t>
      </w:r>
      <w:r w:rsidR="00A244AE">
        <w:t xml:space="preserve">.  However, not all seek an extension, </w:t>
      </w:r>
      <w:r>
        <w:t xml:space="preserve">and some judges </w:t>
      </w:r>
      <w:r w:rsidR="00A244AE">
        <w:t xml:space="preserve">prefer </w:t>
      </w:r>
      <w:r>
        <w:t>an 18</w:t>
      </w:r>
      <w:r w:rsidR="00466D40">
        <w:noBreakHyphen/>
      </w:r>
      <w:r>
        <w:t xml:space="preserve">month or 2 year </w:t>
      </w:r>
      <w:r w:rsidR="00C376BE">
        <w:t>“</w:t>
      </w:r>
      <w:r>
        <w:t>rotation</w:t>
      </w:r>
      <w:r w:rsidR="00C376BE">
        <w:t>”</w:t>
      </w:r>
      <w:r>
        <w:t xml:space="preserve"> </w:t>
      </w:r>
      <w:r w:rsidR="00C376BE">
        <w:t xml:space="preserve">to provide </w:t>
      </w:r>
      <w:r>
        <w:t xml:space="preserve">education and mentoring </w:t>
      </w:r>
      <w:r w:rsidR="00C376BE">
        <w:t xml:space="preserve">to more </w:t>
      </w:r>
      <w:r>
        <w:t xml:space="preserve">young lawyers.  </w:t>
      </w:r>
      <w:r w:rsidR="00C376BE">
        <w:t>Consequently, the associates tend to constitute a shifting workforce with insecure tenure and limited opportunity to become familiar with workplace norms</w:t>
      </w:r>
      <w:r w:rsidR="00466D40">
        <w:t>,</w:t>
      </w:r>
      <w:r w:rsidR="00C376BE">
        <w:t xml:space="preserve"> or many </w:t>
      </w:r>
      <w:r w:rsidR="004E504F">
        <w:t>fellow workers at different levels.</w:t>
      </w:r>
    </w:p>
    <w:p w14:paraId="4C56666F" w14:textId="1C1665C6" w:rsidR="005969BD" w:rsidRDefault="005B038A" w:rsidP="00945365">
      <w:pPr>
        <w:pStyle w:val="ListNumber2"/>
      </w:pPr>
      <w:r>
        <w:t>As a younger</w:t>
      </w:r>
      <w:r w:rsidR="00710068">
        <w:t>, inexperienced</w:t>
      </w:r>
      <w:r>
        <w:t xml:space="preserve"> demographic employed on a </w:t>
      </w:r>
      <w:r w:rsidR="006A1A10">
        <w:t>precarious</w:t>
      </w:r>
      <w:r w:rsidR="00955C70">
        <w:t>,</w:t>
      </w:r>
      <w:r w:rsidR="006A1A10">
        <w:t xml:space="preserve"> </w:t>
      </w:r>
      <w:r>
        <w:t>short</w:t>
      </w:r>
      <w:r w:rsidR="00322F9C">
        <w:noBreakHyphen/>
      </w:r>
      <w:r>
        <w:t>term basis</w:t>
      </w:r>
      <w:r w:rsidR="006A1A10">
        <w:t xml:space="preserve"> and beholden to </w:t>
      </w:r>
      <w:r w:rsidR="004E504F">
        <w:t xml:space="preserve">a particular </w:t>
      </w:r>
      <w:r w:rsidR="006A1A10">
        <w:t>judge for professional advancement</w:t>
      </w:r>
      <w:r>
        <w:t xml:space="preserve">, associates are </w:t>
      </w:r>
      <w:r w:rsidR="006A1A10">
        <w:t xml:space="preserve">a uniquely </w:t>
      </w:r>
      <w:r>
        <w:t xml:space="preserve">“at-risk” group for sexual harassment.  The </w:t>
      </w:r>
      <w:r w:rsidR="004E504F">
        <w:t xml:space="preserve">extreme </w:t>
      </w:r>
      <w:r>
        <w:t xml:space="preserve">power imbalance </w:t>
      </w:r>
      <w:r w:rsidR="004E504F">
        <w:t>and the unique vulnerabilities of the typical associate render the latter pecu</w:t>
      </w:r>
      <w:r w:rsidR="00883DC6">
        <w:t xml:space="preserve">liarly </w:t>
      </w:r>
      <w:r w:rsidR="00955C70">
        <w:t xml:space="preserve">susceptible </w:t>
      </w:r>
      <w:r w:rsidR="00883DC6">
        <w:t xml:space="preserve">to sexual harassment, but also very </w:t>
      </w:r>
      <w:r w:rsidR="006F1324">
        <w:t xml:space="preserve">unlikely to report </w:t>
      </w:r>
      <w:r>
        <w:t xml:space="preserve">misconduct by a judicial officer.  We heard </w:t>
      </w:r>
      <w:r w:rsidR="0034297D">
        <w:t xml:space="preserve">a commonly </w:t>
      </w:r>
      <w:r w:rsidR="0081231B">
        <w:t xml:space="preserve">repeated </w:t>
      </w:r>
      <w:r w:rsidR="0034297D">
        <w:t xml:space="preserve">view that </w:t>
      </w:r>
      <w:r w:rsidR="008D216A">
        <w:t xml:space="preserve">complaining about a judge </w:t>
      </w:r>
      <w:r w:rsidR="0034297D">
        <w:t xml:space="preserve">was </w:t>
      </w:r>
      <w:r w:rsidR="0081231B">
        <w:t>“</w:t>
      </w:r>
      <w:r w:rsidR="008D216A">
        <w:t>career suicide</w:t>
      </w:r>
      <w:r w:rsidR="0081231B">
        <w:t>”</w:t>
      </w:r>
      <w:r w:rsidR="008D216A">
        <w:t xml:space="preserve">.  </w:t>
      </w:r>
      <w:r w:rsidR="0034297D">
        <w:t>Due to what is at stake, and the short</w:t>
      </w:r>
      <w:r w:rsidR="00C276CE">
        <w:noBreakHyphen/>
      </w:r>
      <w:r w:rsidR="0034297D">
        <w:t xml:space="preserve">term employment, associates </w:t>
      </w:r>
      <w:r w:rsidR="0081231B">
        <w:t xml:space="preserve">are likely </w:t>
      </w:r>
      <w:r>
        <w:t xml:space="preserve">to </w:t>
      </w:r>
      <w:r w:rsidR="003E4CFA">
        <w:t>endure the misconduct</w:t>
      </w:r>
      <w:r>
        <w:t xml:space="preserve"> </w:t>
      </w:r>
      <w:r w:rsidR="00EE5FB9">
        <w:t xml:space="preserve">and </w:t>
      </w:r>
      <w:r>
        <w:t>to see out the end of the</w:t>
      </w:r>
      <w:r w:rsidR="00D567FE">
        <w:t>ir</w:t>
      </w:r>
      <w:r>
        <w:t xml:space="preserve"> contract</w:t>
      </w:r>
      <w:r w:rsidR="00D567FE">
        <w:t xml:space="preserve">.  They </w:t>
      </w:r>
      <w:r w:rsidR="00335297">
        <w:t xml:space="preserve">perceive </w:t>
      </w:r>
      <w:r>
        <w:t xml:space="preserve">that </w:t>
      </w:r>
      <w:r w:rsidR="00335297">
        <w:t xml:space="preserve">otherwise, </w:t>
      </w:r>
      <w:r w:rsidR="002553CA">
        <w:t xml:space="preserve">unique benefits may be lost and </w:t>
      </w:r>
      <w:r w:rsidR="00FE72C8">
        <w:t xml:space="preserve">if they leave, </w:t>
      </w:r>
      <w:r w:rsidR="002553CA">
        <w:t xml:space="preserve">the premature termination of their position may raise questions with future employers.  </w:t>
      </w:r>
    </w:p>
    <w:p w14:paraId="4A131B2A" w14:textId="287B3A2E" w:rsidR="005B038A" w:rsidRDefault="0081231B" w:rsidP="00945365">
      <w:pPr>
        <w:pStyle w:val="ListNumber2"/>
      </w:pPr>
      <w:r>
        <w:t xml:space="preserve">The </w:t>
      </w:r>
      <w:r w:rsidR="00232EB5">
        <w:t xml:space="preserve">staff </w:t>
      </w:r>
      <w:r w:rsidR="005B038A">
        <w:t xml:space="preserve">we spoke with during our consultations emphasised the importance of obtaining a </w:t>
      </w:r>
      <w:r w:rsidR="008205CD">
        <w:t xml:space="preserve">substantial and </w:t>
      </w:r>
      <w:r w:rsidR="005B038A">
        <w:t>positive reference</w:t>
      </w:r>
      <w:r w:rsidR="00232EB5">
        <w:t xml:space="preserve"> from their judges</w:t>
      </w:r>
      <w:r w:rsidR="005B038A">
        <w:t xml:space="preserve">.  Such a reference, or the lack of one, can “make or break” an incipient legal career.  </w:t>
      </w:r>
      <w:r w:rsidR="00232EB5">
        <w:t xml:space="preserve">It is </w:t>
      </w:r>
      <w:r w:rsidR="00D52105">
        <w:t>an extremely pressing factor for associates when deciding whether to report misconduct.  Equally</w:t>
      </w:r>
      <w:r w:rsidR="00CE6F03">
        <w:t xml:space="preserve">, a judge’s introductions and </w:t>
      </w:r>
      <w:r w:rsidR="008205CD">
        <w:t xml:space="preserve">subsequent </w:t>
      </w:r>
      <w:r w:rsidR="00EE5FB9">
        <w:t xml:space="preserve">efforts </w:t>
      </w:r>
      <w:r w:rsidR="00CE6F03">
        <w:t xml:space="preserve">to assist the associate’s professional advancement are important.  </w:t>
      </w:r>
      <w:r w:rsidR="005B038A">
        <w:t>Longer</w:t>
      </w:r>
      <w:r w:rsidR="00F818BC">
        <w:noBreakHyphen/>
      </w:r>
      <w:r w:rsidR="005B038A">
        <w:t>serving associates</w:t>
      </w:r>
      <w:r w:rsidR="00E3458E">
        <w:t xml:space="preserve"> </w:t>
      </w:r>
      <w:r w:rsidR="00F818BC">
        <w:t xml:space="preserve">with a strong record of legal experience, who </w:t>
      </w:r>
      <w:r w:rsidR="005B038A">
        <w:t xml:space="preserve">have worked with more than one </w:t>
      </w:r>
      <w:r w:rsidR="00F818BC">
        <w:t xml:space="preserve">judge, </w:t>
      </w:r>
      <w:r w:rsidR="009D06C9">
        <w:t>are thus</w:t>
      </w:r>
      <w:r w:rsidR="005B038A">
        <w:t xml:space="preserve"> less reliant upon a positive reference </w:t>
      </w:r>
      <w:r w:rsidR="00F818BC">
        <w:t xml:space="preserve">or support </w:t>
      </w:r>
      <w:r w:rsidR="005B038A">
        <w:t xml:space="preserve">from any one judicial officer.  </w:t>
      </w:r>
    </w:p>
    <w:p w14:paraId="5A05E3D6" w14:textId="39E1B7F6" w:rsidR="005B038A" w:rsidRDefault="00BE6661" w:rsidP="00945365">
      <w:pPr>
        <w:pStyle w:val="ListNumber2"/>
      </w:pPr>
      <w:r>
        <w:t>More experienced longer</w:t>
      </w:r>
      <w:r>
        <w:noBreakHyphen/>
        <w:t xml:space="preserve">term associates are not </w:t>
      </w:r>
      <w:r w:rsidR="00B67C90">
        <w:t xml:space="preserve">only </w:t>
      </w:r>
      <w:r>
        <w:t>less vulnerable themselves</w:t>
      </w:r>
      <w:r w:rsidR="005152E0">
        <w:t>,</w:t>
      </w:r>
      <w:r>
        <w:t xml:space="preserve"> </w:t>
      </w:r>
      <w:proofErr w:type="gramStart"/>
      <w:r w:rsidR="005152E0">
        <w:t xml:space="preserve">their </w:t>
      </w:r>
      <w:r>
        <w:t>presence may</w:t>
      </w:r>
      <w:proofErr w:type="gramEnd"/>
      <w:r>
        <w:t xml:space="preserve"> assist and reduce the vulnerability of recent</w:t>
      </w:r>
      <w:r w:rsidR="005D2786">
        <w:t>ly</w:t>
      </w:r>
      <w:r>
        <w:t xml:space="preserve"> graduate</w:t>
      </w:r>
      <w:r w:rsidR="005D2786">
        <w:t>d</w:t>
      </w:r>
      <w:r>
        <w:t xml:space="preserve"> associates.</w:t>
      </w:r>
      <w:r w:rsidR="00F25690">
        <w:t xml:space="preserve">  Younger </w:t>
      </w:r>
      <w:r w:rsidR="005B038A">
        <w:t xml:space="preserve">associates </w:t>
      </w:r>
      <w:r w:rsidR="00F25690">
        <w:t xml:space="preserve">informed us that they </w:t>
      </w:r>
      <w:r w:rsidR="005B038A">
        <w:t xml:space="preserve">appreciated the </w:t>
      </w:r>
      <w:r w:rsidR="00F25690">
        <w:t xml:space="preserve">contribution of </w:t>
      </w:r>
      <w:r w:rsidR="005152E0">
        <w:t xml:space="preserve">the remaining </w:t>
      </w:r>
      <w:r w:rsidR="005B038A">
        <w:t>longer</w:t>
      </w:r>
      <w:r w:rsidR="00F25690">
        <w:noBreakHyphen/>
      </w:r>
      <w:r w:rsidR="005B038A">
        <w:t xml:space="preserve">serving associates </w:t>
      </w:r>
      <w:r w:rsidR="00A06760">
        <w:t xml:space="preserve">including by training </w:t>
      </w:r>
      <w:r w:rsidR="0011702D">
        <w:t>(</w:t>
      </w:r>
      <w:r w:rsidR="00A06760">
        <w:t xml:space="preserve">both formally as </w:t>
      </w:r>
      <w:r w:rsidR="005B038A">
        <w:t xml:space="preserve">a learning and development associate, or </w:t>
      </w:r>
      <w:r w:rsidR="00DE27D9">
        <w:t xml:space="preserve">by an </w:t>
      </w:r>
      <w:r w:rsidR="00593BE1">
        <w:t xml:space="preserve">informal </w:t>
      </w:r>
      <w:r w:rsidR="005B038A">
        <w:t>approach</w:t>
      </w:r>
      <w:r w:rsidR="00DE27D9">
        <w:t>)</w:t>
      </w:r>
      <w:r w:rsidR="00593BE1">
        <w:t>.</w:t>
      </w:r>
      <w:r w:rsidR="005B038A">
        <w:t xml:space="preserve">  Longer-term associates may also provide</w:t>
      </w:r>
      <w:r w:rsidR="00875126">
        <w:t xml:space="preserve"> an approachable </w:t>
      </w:r>
      <w:r w:rsidR="005B038A">
        <w:t>point of contact for new associates</w:t>
      </w:r>
      <w:r w:rsidR="00AE77AC">
        <w:t xml:space="preserve">, (whether </w:t>
      </w:r>
      <w:r w:rsidR="004B4E78">
        <w:t>as formal buddies</w:t>
      </w:r>
      <w:r w:rsidR="004B4E78">
        <w:rPr>
          <w:rStyle w:val="FootnoteReference"/>
        </w:rPr>
        <w:footnoteReference w:id="91"/>
      </w:r>
      <w:r w:rsidR="004B4E78">
        <w:t xml:space="preserve"> or informally)</w:t>
      </w:r>
      <w:r w:rsidR="005B038A">
        <w:t xml:space="preserve"> to </w:t>
      </w:r>
      <w:r w:rsidR="005D2786">
        <w:t xml:space="preserve">discuss </w:t>
      </w:r>
      <w:r w:rsidR="00FE1C74">
        <w:t xml:space="preserve">uncertainty as to norms, particularly when </w:t>
      </w:r>
      <w:r w:rsidR="005B038A">
        <w:t xml:space="preserve">interpersonal issues arise with </w:t>
      </w:r>
      <w:r w:rsidR="005D2786">
        <w:t>judges</w:t>
      </w:r>
      <w:r w:rsidR="005B038A">
        <w:t xml:space="preserve"> or other court staff.  </w:t>
      </w:r>
    </w:p>
    <w:p w14:paraId="2F0270D2" w14:textId="6A158BEC" w:rsidR="005B038A" w:rsidRDefault="00FE1C74" w:rsidP="00945365">
      <w:pPr>
        <w:pStyle w:val="ListNumber2"/>
      </w:pPr>
      <w:r>
        <w:lastRenderedPageBreak/>
        <w:t>Therefore</w:t>
      </w:r>
      <w:r w:rsidR="005B038A">
        <w:t xml:space="preserve">, we consider that </w:t>
      </w:r>
      <w:r>
        <w:t xml:space="preserve">(if feasible given court resources and administrative requirements) </w:t>
      </w:r>
      <w:r w:rsidR="005B038A">
        <w:t xml:space="preserve">there </w:t>
      </w:r>
      <w:r w:rsidR="00EC116C">
        <w:t xml:space="preserve">would be </w:t>
      </w:r>
      <w:r w:rsidR="005B038A">
        <w:t xml:space="preserve">benefits to </w:t>
      </w:r>
      <w:r w:rsidR="00EC116C">
        <w:t xml:space="preserve">achieving a more diverse cohort </w:t>
      </w:r>
      <w:r w:rsidR="005B038A">
        <w:t>of associates in the County and Supreme Courts</w:t>
      </w:r>
      <w:r w:rsidR="001261B9">
        <w:t xml:space="preserve"> by including</w:t>
      </w:r>
      <w:r w:rsidR="00715414">
        <w:t xml:space="preserve"> </w:t>
      </w:r>
      <w:r w:rsidR="000674C1">
        <w:t xml:space="preserve">a </w:t>
      </w:r>
      <w:r w:rsidR="00765470">
        <w:t xml:space="preserve">greater number of </w:t>
      </w:r>
      <w:r w:rsidR="001261B9">
        <w:t xml:space="preserve">more </w:t>
      </w:r>
      <w:r w:rsidR="004E7BFD">
        <w:t xml:space="preserve">professionally experienced </w:t>
      </w:r>
      <w:r w:rsidR="001261B9">
        <w:t xml:space="preserve">and/or </w:t>
      </w:r>
      <w:r w:rsidR="005D2786">
        <w:t xml:space="preserve">continuing or </w:t>
      </w:r>
      <w:r w:rsidR="00765470">
        <w:t>longer-</w:t>
      </w:r>
      <w:r w:rsidR="005D2786">
        <w:t>term</w:t>
      </w:r>
      <w:r w:rsidR="00765470">
        <w:t xml:space="preserve"> associates</w:t>
      </w:r>
      <w:r w:rsidR="005D2786">
        <w:t>.</w:t>
      </w:r>
      <w:r w:rsidR="00515478">
        <w:t xml:space="preserve"> </w:t>
      </w:r>
    </w:p>
    <w:p w14:paraId="0BAEE73B" w14:textId="6648EB96" w:rsidR="005B038A" w:rsidRDefault="00252EDC" w:rsidP="00945365">
      <w:pPr>
        <w:pStyle w:val="ListNumber2"/>
      </w:pPr>
      <w:r>
        <w:t>We suggest that at least a small number of longer</w:t>
      </w:r>
      <w:r>
        <w:noBreakHyphen/>
      </w:r>
      <w:r w:rsidR="00EB68B4">
        <w:t xml:space="preserve">term </w:t>
      </w:r>
      <w:r w:rsidR="00394DC8">
        <w:rPr>
          <w:lang w:val="en-US"/>
        </w:rPr>
        <w:t>positions as associate</w:t>
      </w:r>
      <w:r w:rsidR="00394DC8">
        <w:t xml:space="preserve"> </w:t>
      </w:r>
      <w:r>
        <w:t xml:space="preserve">be made available </w:t>
      </w:r>
      <w:r w:rsidR="005B038A">
        <w:t xml:space="preserve">to candidates at all stages of their careers, including those who already have significant experience in the law and may be looking for a “change of pace”.  </w:t>
      </w:r>
      <w:r w:rsidR="00683534">
        <w:t xml:space="preserve">To summarise, the </w:t>
      </w:r>
      <w:r w:rsidR="005B038A">
        <w:t xml:space="preserve">benefits of </w:t>
      </w:r>
      <w:r w:rsidR="00EB68B4">
        <w:t xml:space="preserve">a more </w:t>
      </w:r>
      <w:r w:rsidR="00824A2A">
        <w:t xml:space="preserve">diverse </w:t>
      </w:r>
      <w:r w:rsidR="00EB68B4">
        <w:t>associates</w:t>
      </w:r>
      <w:r w:rsidR="00D467CB">
        <w:t>’</w:t>
      </w:r>
      <w:r w:rsidR="00EB68B4">
        <w:t xml:space="preserve"> workforce may </w:t>
      </w:r>
      <w:r w:rsidR="0018624F">
        <w:t xml:space="preserve">mitigate </w:t>
      </w:r>
      <w:r w:rsidR="005B038A">
        <w:t xml:space="preserve">the risks of sexual harassment </w:t>
      </w:r>
      <w:r w:rsidR="0018624F">
        <w:t>because</w:t>
      </w:r>
      <w:r w:rsidR="005B038A">
        <w:t>:</w:t>
      </w:r>
    </w:p>
    <w:p w14:paraId="4FE98C16" w14:textId="10DD4F3B" w:rsidR="005B038A" w:rsidRDefault="005B038A" w:rsidP="00945365">
      <w:pPr>
        <w:pStyle w:val="ListNumber3"/>
      </w:pPr>
      <w:r>
        <w:t>longer-serving associates are themselves less vulnerable to sexual harassment, because they</w:t>
      </w:r>
      <w:r w:rsidR="00581127">
        <w:t xml:space="preserve"> </w:t>
      </w:r>
      <w:r w:rsidR="00D467CB">
        <w:t xml:space="preserve">have more established qualifications, more experience, different career trajectories and </w:t>
      </w:r>
      <w:r w:rsidR="0091298E">
        <w:t xml:space="preserve">more secure </w:t>
      </w:r>
      <w:proofErr w:type="gramStart"/>
      <w:r w:rsidR="0091298E">
        <w:t>employment</w:t>
      </w:r>
      <w:r w:rsidR="00BA104E">
        <w:t>;</w:t>
      </w:r>
      <w:proofErr w:type="gramEnd"/>
      <w:r>
        <w:t xml:space="preserve"> </w:t>
      </w:r>
    </w:p>
    <w:p w14:paraId="4DB01709" w14:textId="0260086E" w:rsidR="005B038A" w:rsidRDefault="005B038A" w:rsidP="00945365">
      <w:pPr>
        <w:pStyle w:val="ListNumber3"/>
      </w:pPr>
      <w:r>
        <w:t xml:space="preserve">longer-serving associates are likely to have more standing and experience within the Court and knowledge of its </w:t>
      </w:r>
      <w:r w:rsidR="00EE5FB9">
        <w:t xml:space="preserve">norms and </w:t>
      </w:r>
      <w:r>
        <w:t>operations</w:t>
      </w:r>
      <w:r w:rsidR="0091298E">
        <w:t xml:space="preserve">.  They will have more confidence in identifying what conduct </w:t>
      </w:r>
      <w:r w:rsidR="00135C70">
        <w:t xml:space="preserve">is or is not acceptable and may be more willing </w:t>
      </w:r>
      <w:r>
        <w:t xml:space="preserve">to report misconduct, whether experienced or </w:t>
      </w:r>
      <w:proofErr w:type="gramStart"/>
      <w:r>
        <w:t>witnessed;</w:t>
      </w:r>
      <w:proofErr w:type="gramEnd"/>
    </w:p>
    <w:p w14:paraId="77709573" w14:textId="77777777" w:rsidR="005B038A" w:rsidRDefault="005B038A" w:rsidP="00945365">
      <w:pPr>
        <w:pStyle w:val="ListNumber3"/>
      </w:pPr>
      <w:r>
        <w:t xml:space="preserve">longer-serving associates are able to assist in training new associates, including as to policies concerning sexual </w:t>
      </w:r>
      <w:proofErr w:type="gramStart"/>
      <w:r>
        <w:t>harassment;</w:t>
      </w:r>
      <w:proofErr w:type="gramEnd"/>
      <w:r>
        <w:t xml:space="preserve"> </w:t>
      </w:r>
    </w:p>
    <w:p w14:paraId="35224D2C" w14:textId="506752B7" w:rsidR="005B038A" w:rsidRDefault="005B038A" w:rsidP="00945365">
      <w:pPr>
        <w:pStyle w:val="ListNumber3"/>
      </w:pPr>
      <w:r>
        <w:t>longer-serving associates</w:t>
      </w:r>
      <w:r w:rsidR="00BA104E">
        <w:t>, as professional peers performing the same job,</w:t>
      </w:r>
      <w:r>
        <w:t xml:space="preserve"> may </w:t>
      </w:r>
      <w:r w:rsidR="007B65CE">
        <w:t xml:space="preserve">be </w:t>
      </w:r>
      <w:r w:rsidR="00EE5FB9">
        <w:t xml:space="preserve">effective </w:t>
      </w:r>
      <w:r>
        <w:t>buddies or mentors to new associates</w:t>
      </w:r>
      <w:r w:rsidR="00135C70">
        <w:t>,</w:t>
      </w:r>
      <w:r>
        <w:t xml:space="preserve"> </w:t>
      </w:r>
      <w:r w:rsidR="00135C70">
        <w:t xml:space="preserve">help </w:t>
      </w:r>
      <w:r w:rsidR="007B65CE">
        <w:t xml:space="preserve">them </w:t>
      </w:r>
      <w:r>
        <w:t xml:space="preserve">to feel comfortable in the Court environment, and act as an </w:t>
      </w:r>
      <w:proofErr w:type="gramStart"/>
      <w:r>
        <w:t>informal provider</w:t>
      </w:r>
      <w:r w:rsidR="00135C70">
        <w:t>s</w:t>
      </w:r>
      <w:r>
        <w:t xml:space="preserve"> of pastoral care</w:t>
      </w:r>
      <w:proofErr w:type="gramEnd"/>
      <w:r>
        <w:t>.</w:t>
      </w:r>
    </w:p>
    <w:p w14:paraId="7FF75624" w14:textId="502F08CD" w:rsidR="005B038A" w:rsidRDefault="00F717CA" w:rsidP="00945365">
      <w:pPr>
        <w:pStyle w:val="ListNumber2"/>
      </w:pPr>
      <w:r>
        <w:t xml:space="preserve">Despite </w:t>
      </w:r>
      <w:r w:rsidR="005B038A">
        <w:t xml:space="preserve">general support for </w:t>
      </w:r>
      <w:r>
        <w:t xml:space="preserve">diversifying the </w:t>
      </w:r>
      <w:r w:rsidR="005B038A">
        <w:t>associates</w:t>
      </w:r>
      <w:r>
        <w:t>’</w:t>
      </w:r>
      <w:r w:rsidR="005B038A">
        <w:t xml:space="preserve"> </w:t>
      </w:r>
      <w:r>
        <w:t xml:space="preserve">workforce, </w:t>
      </w:r>
      <w:r w:rsidR="005B038A">
        <w:t xml:space="preserve">two objections </w:t>
      </w:r>
      <w:r>
        <w:t xml:space="preserve">were </w:t>
      </w:r>
      <w:r w:rsidR="005B038A">
        <w:t>raised</w:t>
      </w:r>
      <w:r>
        <w:t>:</w:t>
      </w:r>
    </w:p>
    <w:p w14:paraId="4EB09604" w14:textId="7D0F9E51" w:rsidR="005B038A" w:rsidRDefault="0095404D" w:rsidP="00945365">
      <w:pPr>
        <w:pStyle w:val="ListNumber3"/>
      </w:pPr>
      <w:r>
        <w:t xml:space="preserve">many </w:t>
      </w:r>
      <w:r w:rsidR="005B038A">
        <w:t xml:space="preserve">judges </w:t>
      </w:r>
      <w:r w:rsidR="003E14F7">
        <w:t xml:space="preserve">may not choose </w:t>
      </w:r>
      <w:r w:rsidR="003637AD">
        <w:t xml:space="preserve">more </w:t>
      </w:r>
      <w:r w:rsidR="004E7BFD">
        <w:t xml:space="preserve">experienced </w:t>
      </w:r>
      <w:r w:rsidR="003E14F7">
        <w:t xml:space="preserve">candidates, because they </w:t>
      </w:r>
      <w:r>
        <w:t>prioritise the mentoring and education of talented recent graduates at the outset of their legal careers</w:t>
      </w:r>
      <w:r w:rsidR="008E6065">
        <w:t>; and</w:t>
      </w:r>
      <w:r w:rsidR="005B038A">
        <w:t xml:space="preserve"> </w:t>
      </w:r>
    </w:p>
    <w:p w14:paraId="677809DE" w14:textId="5A62F050" w:rsidR="005B038A" w:rsidRDefault="008E6065" w:rsidP="00945365">
      <w:pPr>
        <w:pStyle w:val="ListNumber3"/>
      </w:pPr>
      <w:r>
        <w:t xml:space="preserve">payment </w:t>
      </w:r>
      <w:r w:rsidR="005B038A">
        <w:t xml:space="preserve">at a VPS3 level is unlikely to be attractive </w:t>
      </w:r>
      <w:r w:rsidR="00EE5FB9">
        <w:t xml:space="preserve">to </w:t>
      </w:r>
      <w:r w:rsidR="005B038A">
        <w:t xml:space="preserve">a </w:t>
      </w:r>
      <w:r>
        <w:t xml:space="preserve">more advanced </w:t>
      </w:r>
      <w:r w:rsidR="005B038A">
        <w:t>legal professional</w:t>
      </w:r>
      <w:r w:rsidR="008D00F1">
        <w:t>.</w:t>
      </w:r>
      <w:r w:rsidR="005B038A">
        <w:t xml:space="preserve">  </w:t>
      </w:r>
    </w:p>
    <w:p w14:paraId="031F7181" w14:textId="260C66D8" w:rsidR="005B038A" w:rsidRDefault="008D00F1" w:rsidP="00945365">
      <w:pPr>
        <w:pStyle w:val="ListNumber2"/>
      </w:pPr>
      <w:r>
        <w:t xml:space="preserve">We recognise that recent </w:t>
      </w:r>
      <w:r w:rsidR="005B038A">
        <w:t xml:space="preserve">graduates should </w:t>
      </w:r>
      <w:r>
        <w:t xml:space="preserve">and will </w:t>
      </w:r>
      <w:r w:rsidR="005B038A">
        <w:t xml:space="preserve">continue to comprise </w:t>
      </w:r>
      <w:proofErr w:type="gramStart"/>
      <w:r w:rsidR="005B038A">
        <w:t>the majority of</w:t>
      </w:r>
      <w:proofErr w:type="gramEnd"/>
      <w:r w:rsidR="005B038A">
        <w:t xml:space="preserve"> associates.  </w:t>
      </w:r>
      <w:r>
        <w:t xml:space="preserve">However, the above difficulties should not deter an attempt to </w:t>
      </w:r>
      <w:r w:rsidR="00A937B7">
        <w:t xml:space="preserve">achieve greater </w:t>
      </w:r>
      <w:r>
        <w:t>diversity</w:t>
      </w:r>
      <w:r w:rsidR="00A937B7">
        <w:t>,</w:t>
      </w:r>
      <w:r>
        <w:t xml:space="preserve"> which in fact applied up until the ma</w:t>
      </w:r>
      <w:r w:rsidR="00232417">
        <w:t xml:space="preserve">jor change of </w:t>
      </w:r>
      <w:r w:rsidR="00847627">
        <w:rPr>
          <w:lang w:val="en-US"/>
        </w:rPr>
        <w:lastRenderedPageBreak/>
        <w:t>policy and practice in the relatively recent past</w:t>
      </w:r>
      <w:r w:rsidR="00232417">
        <w:t xml:space="preserve">.  </w:t>
      </w:r>
      <w:r w:rsidR="005B038A">
        <w:t>An associateship is a</w:t>
      </w:r>
      <w:r w:rsidR="00921EC5">
        <w:t>n</w:t>
      </w:r>
      <w:r w:rsidR="005B038A">
        <w:t xml:space="preserve"> extremely valuable </w:t>
      </w:r>
      <w:r w:rsidR="00854EB4">
        <w:t xml:space="preserve">career </w:t>
      </w:r>
      <w:r w:rsidR="005B038A">
        <w:t>experience</w:t>
      </w:r>
      <w:r w:rsidR="00232417">
        <w:t xml:space="preserve"> at various ages and stages of </w:t>
      </w:r>
      <w:r w:rsidR="00D43D49">
        <w:t xml:space="preserve">a legal professional’s </w:t>
      </w:r>
      <w:r w:rsidR="00232417">
        <w:t>working life</w:t>
      </w:r>
      <w:r w:rsidR="00275BC1">
        <w:t>.</w:t>
      </w:r>
      <w:r w:rsidR="005B038A">
        <w:t xml:space="preserve">  </w:t>
      </w:r>
      <w:r w:rsidR="00275BC1">
        <w:t xml:space="preserve">Some judges </w:t>
      </w:r>
      <w:r w:rsidR="00E469D2">
        <w:t xml:space="preserve">in the past preferred and in future will prefer </w:t>
      </w:r>
      <w:r w:rsidR="005B038A">
        <w:t>a longer-serving associate</w:t>
      </w:r>
      <w:r w:rsidR="00D43D49">
        <w:t>,</w:t>
      </w:r>
      <w:r w:rsidR="00206EAD">
        <w:t xml:space="preserve"> </w:t>
      </w:r>
      <w:r w:rsidR="003637AD">
        <w:t xml:space="preserve">whose presence is </w:t>
      </w:r>
      <w:r w:rsidR="00206EAD">
        <w:t>stable</w:t>
      </w:r>
      <w:r w:rsidR="003637AD">
        <w:t>,</w:t>
      </w:r>
      <w:r w:rsidR="00206EAD">
        <w:t xml:space="preserve"> </w:t>
      </w:r>
      <w:r w:rsidR="003637AD">
        <w:t xml:space="preserve">who </w:t>
      </w:r>
      <w:r w:rsidR="005B038A">
        <w:t>understand</w:t>
      </w:r>
      <w:r w:rsidR="00CA60EF">
        <w:t>s</w:t>
      </w:r>
      <w:r w:rsidR="005B038A">
        <w:t xml:space="preserve"> </w:t>
      </w:r>
      <w:r w:rsidR="00024D95">
        <w:t xml:space="preserve">court </w:t>
      </w:r>
      <w:r w:rsidR="005B038A">
        <w:t xml:space="preserve">practice, and </w:t>
      </w:r>
      <w:r w:rsidR="003637AD">
        <w:t xml:space="preserve">who </w:t>
      </w:r>
      <w:r w:rsidR="00CA60EF">
        <w:t xml:space="preserve">is </w:t>
      </w:r>
      <w:r w:rsidR="00024D95">
        <w:t xml:space="preserve">familiar with the judge’s routines and needs. </w:t>
      </w:r>
      <w:r w:rsidR="00206EAD">
        <w:t xml:space="preserve"> </w:t>
      </w:r>
      <w:r w:rsidR="003637AD">
        <w:t xml:space="preserve">Especially </w:t>
      </w:r>
      <w:r w:rsidR="00206EAD">
        <w:t>where a judge has two associates</w:t>
      </w:r>
      <w:r w:rsidR="003637AD">
        <w:t>, at least one longer</w:t>
      </w:r>
      <w:r w:rsidR="003637AD">
        <w:noBreakHyphen/>
        <w:t>term associate may be preferred</w:t>
      </w:r>
      <w:r w:rsidR="00206EAD">
        <w:t>.</w:t>
      </w:r>
    </w:p>
    <w:p w14:paraId="2E9F4C93" w14:textId="79E18B1C" w:rsidR="005B038A" w:rsidRDefault="005B038A" w:rsidP="00945365">
      <w:pPr>
        <w:pStyle w:val="ListNumber2"/>
      </w:pPr>
      <w:r>
        <w:t xml:space="preserve">CSV </w:t>
      </w:r>
      <w:r w:rsidR="006D4BE8">
        <w:t xml:space="preserve">should consider the feasibility and details of </w:t>
      </w:r>
      <w:r w:rsidR="003637AD">
        <w:t xml:space="preserve">relevant </w:t>
      </w:r>
      <w:r w:rsidR="006D4BE8">
        <w:t>measures</w:t>
      </w:r>
      <w:r w:rsidR="00772D71">
        <w:t xml:space="preserve"> </w:t>
      </w:r>
      <w:r>
        <w:t xml:space="preserve">in consultation with the </w:t>
      </w:r>
      <w:r w:rsidR="004F1D34">
        <w:rPr>
          <w:lang w:val="en-US"/>
        </w:rPr>
        <w:t>Chief Justice and Chief Judge</w:t>
      </w:r>
      <w:r w:rsidR="00C04F75">
        <w:rPr>
          <w:lang w:val="en-US"/>
        </w:rPr>
        <w:t>.</w:t>
      </w:r>
      <w:r>
        <w:t xml:space="preserve">  </w:t>
      </w:r>
      <w:r w:rsidR="00772D71">
        <w:t>We suggest consideration of the following:</w:t>
      </w:r>
    </w:p>
    <w:p w14:paraId="304981F7" w14:textId="19766F4C" w:rsidR="005B038A" w:rsidRDefault="00772D71" w:rsidP="00945365">
      <w:pPr>
        <w:pStyle w:val="ListNumber3"/>
      </w:pPr>
      <w:r>
        <w:t xml:space="preserve">whether </w:t>
      </w:r>
      <w:r w:rsidR="00206EAD">
        <w:t xml:space="preserve">to aim for </w:t>
      </w:r>
      <w:r w:rsidR="005B038A">
        <w:t xml:space="preserve">a </w:t>
      </w:r>
      <w:r w:rsidR="00CA60EF">
        <w:t xml:space="preserve">small </w:t>
      </w:r>
      <w:r w:rsidR="005B038A">
        <w:t xml:space="preserve">percentage of associate positions (10-15%) </w:t>
      </w:r>
      <w:r w:rsidR="00206EAD">
        <w:t xml:space="preserve">that are </w:t>
      </w:r>
      <w:r w:rsidR="005B038A">
        <w:t>long-term (that is, either ongoing or for a fixed period of greater than two years</w:t>
      </w:r>
      <w:proofErr w:type="gramStart"/>
      <w:r w:rsidR="005B038A">
        <w:t>);</w:t>
      </w:r>
      <w:proofErr w:type="gramEnd"/>
      <w:r w:rsidR="005B038A">
        <w:t xml:space="preserve"> </w:t>
      </w:r>
    </w:p>
    <w:p w14:paraId="0F0B9D0D" w14:textId="6EC75357" w:rsidR="005B038A" w:rsidRDefault="005B038A" w:rsidP="00945365">
      <w:pPr>
        <w:pStyle w:val="ListNumber3"/>
      </w:pPr>
      <w:r>
        <w:t>advertisements for associate</w:t>
      </w:r>
      <w:r w:rsidR="00EE5FB9">
        <w:t>s should state</w:t>
      </w:r>
      <w:r>
        <w:t xml:space="preserve"> that the Court welcomes applications </w:t>
      </w:r>
      <w:r w:rsidRPr="004C7705">
        <w:t>both</w:t>
      </w:r>
      <w:r>
        <w:t xml:space="preserve"> from recent graduates at an early stage of their legal career, and experienced legal professionals who are interested in working at the Court, including those with an interest in working at the Court on a </w:t>
      </w:r>
      <w:r w:rsidR="004A0433">
        <w:t xml:space="preserve">continuing or </w:t>
      </w:r>
      <w:r>
        <w:t>long-term basis;</w:t>
      </w:r>
      <w:r w:rsidR="00885153">
        <w:t xml:space="preserve"> and</w:t>
      </w:r>
    </w:p>
    <w:p w14:paraId="4B94B7AA" w14:textId="304ECFA1" w:rsidR="005B038A" w:rsidRDefault="005B038A" w:rsidP="00945365">
      <w:pPr>
        <w:pStyle w:val="ListNumber3"/>
      </w:pPr>
      <w:r>
        <w:t xml:space="preserve">all job advertisements for associate positions </w:t>
      </w:r>
      <w:r w:rsidR="00885153">
        <w:t xml:space="preserve">should state </w:t>
      </w:r>
      <w:r>
        <w:t xml:space="preserve">that </w:t>
      </w:r>
      <w:r w:rsidR="000F07D2">
        <w:t xml:space="preserve">relevant </w:t>
      </w:r>
      <w:r>
        <w:t xml:space="preserve">professional experience in the profession is </w:t>
      </w:r>
      <w:r w:rsidR="00EE5FB9">
        <w:t>well</w:t>
      </w:r>
      <w:r w:rsidR="00EE5FB9">
        <w:noBreakHyphen/>
      </w:r>
      <w:r>
        <w:t xml:space="preserve">regarded.  </w:t>
      </w:r>
    </w:p>
    <w:p w14:paraId="1CA0C98F" w14:textId="778D2256" w:rsidR="00C8790D" w:rsidRPr="00377871" w:rsidRDefault="009F6BEA" w:rsidP="00945365">
      <w:pPr>
        <w:pStyle w:val="ListNumber2"/>
        <w:spacing w:before="240"/>
      </w:pPr>
      <w:r w:rsidRPr="00377871">
        <w:rPr>
          <w:lang w:val="en-US"/>
        </w:rPr>
        <w:t>This recommendation does not apply to the Magistrates’ Court, Coroners Court, Children’s Court or VCAT where, as discussed above, it is exceptional for judicial officers to be assigned short-term associates or equivalent support staff.  Where analogues of those positions exist (for example, Court Officers in the Magistrates’ Court, or solicitors in the Coroners Court), we consider (for the reasons discussed above in this Report) that those staff are less at-risk populations than associates in the higher courts, whether because of clearer reporting lines and support structures for those staff and/or longer tenure in their roles.</w:t>
      </w:r>
    </w:p>
    <w:p w14:paraId="7605699F" w14:textId="16F561FF" w:rsidR="00EC29FC" w:rsidRDefault="00BF7A4E" w:rsidP="00CD5056">
      <w:pPr>
        <w:pStyle w:val="Heading5"/>
        <w:keepNext/>
      </w:pPr>
      <w:r>
        <w:t xml:space="preserve">We recommend that the induction of associates and court staff who work in a primary relationship with </w:t>
      </w:r>
      <w:r w:rsidR="002D78C1">
        <w:t>judicial officers</w:t>
      </w:r>
      <w:r>
        <w:t xml:space="preserve"> include instruction and training (preferably from a reputable external provider).</w:t>
      </w:r>
      <w:r w:rsidR="00F96B7B">
        <w:rPr>
          <w:rStyle w:val="FootnoteReference"/>
        </w:rPr>
        <w:footnoteReference w:id="92"/>
      </w:r>
      <w:r>
        <w:t xml:space="preserve">  The instruction and training should:</w:t>
      </w:r>
    </w:p>
    <w:p w14:paraId="5F143796" w14:textId="501BE286" w:rsidR="00DF52F1" w:rsidRDefault="00E71A82" w:rsidP="00945365">
      <w:pPr>
        <w:pStyle w:val="ListNumber2"/>
      </w:pPr>
      <w:r>
        <w:rPr>
          <w:lang w:val="en-US"/>
        </w:rPr>
        <w:t xml:space="preserve">acknowledge that there have been incidents of sexual harassment or inappropriate </w:t>
      </w:r>
      <w:proofErr w:type="spellStart"/>
      <w:r>
        <w:rPr>
          <w:lang w:val="en-US"/>
        </w:rPr>
        <w:t>sexualised</w:t>
      </w:r>
      <w:proofErr w:type="spellEnd"/>
      <w:r>
        <w:rPr>
          <w:lang w:val="en-US"/>
        </w:rPr>
        <w:t xml:space="preserve"> conduct by judicial officers towards court staff and other junior legal </w:t>
      </w:r>
      <w:r>
        <w:rPr>
          <w:lang w:val="en-US"/>
        </w:rPr>
        <w:lastRenderedPageBreak/>
        <w:t>staff and explain the risk factors (including the particular vulnerabilities of chambers staff</w:t>
      </w:r>
      <w:proofErr w:type="gramStart"/>
      <w:r w:rsidR="00D515D8">
        <w:rPr>
          <w:lang w:val="en-US"/>
        </w:rPr>
        <w:t>)</w:t>
      </w:r>
      <w:r>
        <w:rPr>
          <w:lang w:val="en-US"/>
        </w:rPr>
        <w:t>;</w:t>
      </w:r>
      <w:proofErr w:type="gramEnd"/>
    </w:p>
    <w:p w14:paraId="382AA58D" w14:textId="5565CC4E" w:rsidR="00843D2E" w:rsidRDefault="00843D2E" w:rsidP="00945365">
      <w:pPr>
        <w:pStyle w:val="ListNumber2"/>
      </w:pPr>
      <w:r>
        <w:t>include instruction and guidance on the behaviours that constitute sexual harassment or inappropriate sexualised conduct and acknowledge grey areas</w:t>
      </w:r>
      <w:r w:rsidR="002338BE">
        <w:t>,</w:t>
      </w:r>
      <w:r>
        <w:t xml:space="preserve"> including overlaps with </w:t>
      </w:r>
      <w:proofErr w:type="gramStart"/>
      <w:r>
        <w:t>bullying</w:t>
      </w:r>
      <w:r w:rsidR="009E2F67">
        <w:t>;</w:t>
      </w:r>
      <w:proofErr w:type="gramEnd"/>
    </w:p>
    <w:p w14:paraId="6DA5B4FA" w14:textId="5F5B3C0B" w:rsidR="009E2F67" w:rsidRDefault="009E2F67" w:rsidP="00945365">
      <w:pPr>
        <w:pStyle w:val="ListNumber2"/>
      </w:pPr>
      <w:r>
        <w:t>outline legislation</w:t>
      </w:r>
      <w:r w:rsidR="002338BE">
        <w:t>,</w:t>
      </w:r>
      <w:r>
        <w:t xml:space="preserve"> court policies and codes of conduct that mandate a safe and </w:t>
      </w:r>
      <w:r w:rsidR="00C56A9B">
        <w:t xml:space="preserve">respectful workplace and prohibit sexual harassment and other misconduct, including </w:t>
      </w:r>
      <w:r w:rsidR="0088580F">
        <w:t xml:space="preserve">by </w:t>
      </w:r>
      <w:r w:rsidR="002D78C1">
        <w:t xml:space="preserve">judicial </w:t>
      </w:r>
      <w:proofErr w:type="gramStart"/>
      <w:r w:rsidR="002D78C1">
        <w:t>officers;</w:t>
      </w:r>
      <w:proofErr w:type="gramEnd"/>
    </w:p>
    <w:p w14:paraId="5064D898" w14:textId="0F35D7DE" w:rsidR="0088580F" w:rsidRDefault="0088580F" w:rsidP="00945365">
      <w:pPr>
        <w:pStyle w:val="ListNumber2"/>
      </w:pPr>
      <w:r>
        <w:t>include realistic hypotheticals and scenarios specifically tailored to the court workplace and the employees</w:t>
      </w:r>
      <w:r w:rsidR="00D05D03">
        <w:t>’</w:t>
      </w:r>
      <w:r>
        <w:t xml:space="preserve"> interactions with </w:t>
      </w:r>
      <w:r w:rsidR="002D78C1">
        <w:t xml:space="preserve">judicial officers </w:t>
      </w:r>
      <w:r>
        <w:t xml:space="preserve">and </w:t>
      </w:r>
      <w:proofErr w:type="gramStart"/>
      <w:r>
        <w:t>others</w:t>
      </w:r>
      <w:r w:rsidR="002B471B">
        <w:t>;</w:t>
      </w:r>
      <w:proofErr w:type="gramEnd"/>
    </w:p>
    <w:p w14:paraId="5E73AF68" w14:textId="4EF84605" w:rsidR="00A004C4" w:rsidRDefault="00A004C4" w:rsidP="00945365">
      <w:pPr>
        <w:pStyle w:val="ListNumber2"/>
      </w:pPr>
      <w:r>
        <w:t>include specific reference to any applicable policies, guidelines</w:t>
      </w:r>
      <w:r w:rsidR="003E5EC6">
        <w:t xml:space="preserve"> for attending circuit and hypotheticals based on working on circuit </w:t>
      </w:r>
      <w:r w:rsidR="00522A0F">
        <w:t>(</w:t>
      </w:r>
      <w:r w:rsidR="003E5EC6">
        <w:t xml:space="preserve">or otherwise </w:t>
      </w:r>
      <w:r w:rsidR="00522A0F">
        <w:t>a</w:t>
      </w:r>
      <w:r w:rsidR="003E5EC6">
        <w:t>way from the court</w:t>
      </w:r>
      <w:proofErr w:type="gramStart"/>
      <w:r w:rsidR="00522A0F">
        <w:t>)</w:t>
      </w:r>
      <w:r w:rsidR="003E5EC6">
        <w:t>;</w:t>
      </w:r>
      <w:proofErr w:type="gramEnd"/>
    </w:p>
    <w:p w14:paraId="672E7B75" w14:textId="2441E0CF" w:rsidR="003E5EC6" w:rsidRDefault="003E5EC6" w:rsidP="00945365">
      <w:pPr>
        <w:pStyle w:val="ListNumber2"/>
      </w:pPr>
      <w:r>
        <w:t>outline the policies</w:t>
      </w:r>
      <w:r w:rsidR="00522A0F">
        <w:t>,</w:t>
      </w:r>
      <w:r>
        <w:t xml:space="preserve"> and provide written materials</w:t>
      </w:r>
      <w:r w:rsidR="00522A0F">
        <w:t>,</w:t>
      </w:r>
      <w:r>
        <w:t xml:space="preserve"> on </w:t>
      </w:r>
      <w:r w:rsidR="00522A0F">
        <w:t xml:space="preserve">the </w:t>
      </w:r>
      <w:r>
        <w:t xml:space="preserve">reporting options available to employees </w:t>
      </w:r>
      <w:r w:rsidR="0065552E">
        <w:t>(including anonymous</w:t>
      </w:r>
      <w:r w:rsidR="00522A0F">
        <w:t>,</w:t>
      </w:r>
      <w:r w:rsidR="0065552E">
        <w:t xml:space="preserve"> </w:t>
      </w:r>
      <w:r w:rsidR="002A5B67">
        <w:t>informal communication</w:t>
      </w:r>
      <w:r w:rsidR="00522A0F">
        <w:t>s</w:t>
      </w:r>
      <w:r w:rsidR="002A5B67">
        <w:t xml:space="preserve">) </w:t>
      </w:r>
      <w:r>
        <w:t xml:space="preserve">who consider that they </w:t>
      </w:r>
      <w:r w:rsidR="00522A0F">
        <w:t>(</w:t>
      </w:r>
      <w:r>
        <w:t>or others</w:t>
      </w:r>
      <w:r w:rsidR="00522A0F">
        <w:t>)</w:t>
      </w:r>
      <w:r w:rsidR="0065552E">
        <w:t xml:space="preserve"> have been subjected to inappropriate sexualised </w:t>
      </w:r>
      <w:r w:rsidR="0070315A">
        <w:t xml:space="preserve">or </w:t>
      </w:r>
      <w:r w:rsidR="002A5B67">
        <w:t xml:space="preserve">improper conduct in the workplace, including by a </w:t>
      </w:r>
      <w:r w:rsidR="002D78C1">
        <w:t xml:space="preserve">judicial </w:t>
      </w:r>
      <w:proofErr w:type="gramStart"/>
      <w:r w:rsidR="002D78C1">
        <w:t>officer</w:t>
      </w:r>
      <w:r w:rsidR="003B27A1">
        <w:t>;</w:t>
      </w:r>
      <w:proofErr w:type="gramEnd"/>
    </w:p>
    <w:p w14:paraId="3D0AF074" w14:textId="43CB3CC3" w:rsidR="003B27A1" w:rsidRDefault="003B27A1" w:rsidP="00945365">
      <w:pPr>
        <w:pStyle w:val="ListNumber2"/>
      </w:pPr>
      <w:r>
        <w:t xml:space="preserve">acknowledge that </w:t>
      </w:r>
      <w:r w:rsidR="002D78C1">
        <w:t>judicial officers</w:t>
      </w:r>
      <w:r>
        <w:t xml:space="preserve"> and other senior court officers also receive</w:t>
      </w:r>
      <w:r w:rsidR="00CA36C6">
        <w:t xml:space="preserve"> similar</w:t>
      </w:r>
      <w:r>
        <w:t xml:space="preserve"> instructions and training on sexual harassment and other inappropriate conduct in the court as a workplace;</w:t>
      </w:r>
      <w:r w:rsidR="00704B18">
        <w:rPr>
          <w:rFonts w:ascii="ZWAdobeF" w:hAnsi="ZWAdobeF" w:cs="ZWAdobeF"/>
          <w:sz w:val="2"/>
          <w:szCs w:val="2"/>
        </w:rPr>
        <w:t>119F</w:t>
      </w:r>
      <w:r w:rsidR="0070315A">
        <w:rPr>
          <w:rStyle w:val="FootnoteReference"/>
        </w:rPr>
        <w:footnoteReference w:id="93"/>
      </w:r>
    </w:p>
    <w:p w14:paraId="0BFCCDC6" w14:textId="66B3BE1A" w:rsidR="003B27A1" w:rsidRDefault="003B27A1" w:rsidP="00945365">
      <w:pPr>
        <w:pStyle w:val="ListNumber2"/>
      </w:pPr>
      <w:r>
        <w:t xml:space="preserve">refer to the possible processes and potential outcomes of the different reporting or informal communication options, for </w:t>
      </w:r>
      <w:r w:rsidR="00EE1844">
        <w:t xml:space="preserve">both </w:t>
      </w:r>
      <w:r>
        <w:t>the employee</w:t>
      </w:r>
      <w:r w:rsidR="000C2A0F">
        <w:t xml:space="preserve"> and </w:t>
      </w:r>
      <w:r w:rsidR="00460035">
        <w:t xml:space="preserve">a </w:t>
      </w:r>
      <w:r w:rsidR="002D78C1">
        <w:t xml:space="preserve">judicial officer </w:t>
      </w:r>
      <w:r w:rsidR="00460035">
        <w:t>the subject of a complaint.</w:t>
      </w:r>
      <w:r w:rsidR="00460035" w:rsidDel="00EE1844">
        <w:t xml:space="preserve"> </w:t>
      </w:r>
      <w:r w:rsidR="000C2A0F">
        <w:t xml:space="preserve"> The </w:t>
      </w:r>
      <w:r w:rsidR="00393E00">
        <w:t xml:space="preserve">information </w:t>
      </w:r>
      <w:r w:rsidR="000C2A0F">
        <w:t xml:space="preserve">should </w:t>
      </w:r>
      <w:r w:rsidR="00393E00">
        <w:t xml:space="preserve">refer to </w:t>
      </w:r>
      <w:r w:rsidR="000C2A0F">
        <w:t xml:space="preserve">possible reassignment to a different </w:t>
      </w:r>
      <w:r w:rsidR="000C0E64">
        <w:t>judicial officer</w:t>
      </w:r>
      <w:r w:rsidR="000C2A0F">
        <w:t xml:space="preserve"> and options for </w:t>
      </w:r>
      <w:r w:rsidR="00393E00">
        <w:t xml:space="preserve">obtaining </w:t>
      </w:r>
      <w:r w:rsidR="000C2A0F">
        <w:t>references.</w:t>
      </w:r>
      <w:r w:rsidR="00ED2A02">
        <w:t xml:space="preserve">  </w:t>
      </w:r>
      <w:r w:rsidR="00ED2A02">
        <w:rPr>
          <w:lang w:val="en-US"/>
        </w:rPr>
        <w:t xml:space="preserve">The information should also refer to the relevant policy on reassignment (if </w:t>
      </w:r>
      <w:r w:rsidR="00995387" w:rsidRPr="00995387">
        <w:rPr>
          <w:b/>
          <w:bCs/>
          <w:lang w:val="en-US"/>
        </w:rPr>
        <w:t xml:space="preserve">Recommendation </w:t>
      </w:r>
      <w:r w:rsidR="00ED2A02" w:rsidRPr="00995387">
        <w:rPr>
          <w:b/>
          <w:bCs/>
          <w:lang w:val="en-US"/>
        </w:rPr>
        <w:fldChar w:fldCharType="begin"/>
      </w:r>
      <w:r w:rsidR="00ED2A02" w:rsidRPr="00995387">
        <w:rPr>
          <w:b/>
          <w:bCs/>
          <w:lang w:val="en-US"/>
        </w:rPr>
        <w:instrText xml:space="preserve"> REF _Ref108727445 \r \h  \* MERGEFORMAT </w:instrText>
      </w:r>
      <w:r w:rsidR="00ED2A02" w:rsidRPr="00995387">
        <w:rPr>
          <w:b/>
          <w:bCs/>
          <w:lang w:val="en-US"/>
        </w:rPr>
      </w:r>
      <w:r w:rsidR="00ED2A02" w:rsidRPr="00995387">
        <w:rPr>
          <w:b/>
          <w:bCs/>
          <w:lang w:val="en-US"/>
        </w:rPr>
        <w:fldChar w:fldCharType="separate"/>
      </w:r>
      <w:r w:rsidR="00CF093C">
        <w:rPr>
          <w:b/>
          <w:bCs/>
          <w:lang w:val="en-US"/>
        </w:rPr>
        <w:t>15</w:t>
      </w:r>
      <w:r w:rsidR="00ED2A02" w:rsidRPr="00995387">
        <w:rPr>
          <w:b/>
          <w:bCs/>
          <w:lang w:val="en-US"/>
        </w:rPr>
        <w:fldChar w:fldCharType="end"/>
      </w:r>
      <w:r w:rsidR="00ED2A02">
        <w:rPr>
          <w:lang w:val="en-US"/>
        </w:rPr>
        <w:t xml:space="preserve"> is adopted</w:t>
      </w:r>
      <w:r w:rsidR="00BD2A4D">
        <w:rPr>
          <w:lang w:val="en-US"/>
        </w:rPr>
        <w:t>);</w:t>
      </w:r>
      <w:r w:rsidR="00B94030">
        <w:rPr>
          <w:lang w:val="en-US"/>
        </w:rPr>
        <w:t xml:space="preserve"> and</w:t>
      </w:r>
    </w:p>
    <w:p w14:paraId="1B6B3807" w14:textId="55848564" w:rsidR="002B471B" w:rsidRDefault="002B471B" w:rsidP="00945365">
      <w:pPr>
        <w:pStyle w:val="ListNumber2"/>
      </w:pPr>
      <w:r>
        <w:t>include guidance on how to navigate the power disparity to decline</w:t>
      </w:r>
      <w:r w:rsidR="00347341">
        <w:t xml:space="preserve"> any</w:t>
      </w:r>
      <w:r>
        <w:t xml:space="preserve"> inappropriate or sexualised requests and unwanted social or personal invitations</w:t>
      </w:r>
      <w:r w:rsidR="00347341">
        <w:t xml:space="preserve"> from a </w:t>
      </w:r>
      <w:r w:rsidR="000C0E64">
        <w:t>judicial officer</w:t>
      </w:r>
      <w:r w:rsidR="00B94030">
        <w:t>.</w:t>
      </w:r>
    </w:p>
    <w:p w14:paraId="14C82C41" w14:textId="3D17E08B" w:rsidR="00DE5632" w:rsidRDefault="00BF7A4E" w:rsidP="00945365">
      <w:pPr>
        <w:pStyle w:val="Heading5"/>
        <w:keepNext/>
      </w:pPr>
      <w:bookmarkStart w:id="106" w:name="_Ref108723917"/>
      <w:r>
        <w:lastRenderedPageBreak/>
        <w:t xml:space="preserve">We recommend that the induction of </w:t>
      </w:r>
      <w:r w:rsidR="000C0E64">
        <w:t>judicial officers</w:t>
      </w:r>
      <w:r w:rsidR="00EE244C">
        <w:rPr>
          <w:rStyle w:val="FootnoteReference"/>
        </w:rPr>
        <w:footnoteReference w:id="94"/>
      </w:r>
      <w:r w:rsidR="000C0E64">
        <w:t xml:space="preserve"> </w:t>
      </w:r>
      <w:r>
        <w:t>include instruction and training (preferably by a reputable external provider)</w:t>
      </w:r>
      <w:r w:rsidR="0017091B">
        <w:rPr>
          <w:rStyle w:val="FootnoteReference"/>
        </w:rPr>
        <w:footnoteReference w:id="95"/>
      </w:r>
      <w:r>
        <w:t xml:space="preserve"> that should:</w:t>
      </w:r>
      <w:bookmarkEnd w:id="106"/>
    </w:p>
    <w:p w14:paraId="1D105D62" w14:textId="3C2DDAD4" w:rsidR="00DE5632" w:rsidRPr="00EB3ACD" w:rsidRDefault="00E71A82" w:rsidP="00945365">
      <w:pPr>
        <w:pStyle w:val="ListNumber2"/>
      </w:pPr>
      <w:r>
        <w:rPr>
          <w:lang w:val="en-US"/>
        </w:rPr>
        <w:t xml:space="preserve">acknowledge that there have been incidents of sexual harassment or inappropriate </w:t>
      </w:r>
      <w:proofErr w:type="spellStart"/>
      <w:r>
        <w:rPr>
          <w:lang w:val="en-US"/>
        </w:rPr>
        <w:t>sexualised</w:t>
      </w:r>
      <w:proofErr w:type="spellEnd"/>
      <w:r>
        <w:rPr>
          <w:lang w:val="en-US"/>
        </w:rPr>
        <w:t xml:space="preserve"> conduct by judicial officers towards court staff and other junior legal staff and explain the risk factors (including the particular vulnerabilities of chambers staff</w:t>
      </w:r>
      <w:proofErr w:type="gramStart"/>
      <w:r w:rsidR="00733526">
        <w:rPr>
          <w:lang w:val="en-US"/>
        </w:rPr>
        <w:t>)</w:t>
      </w:r>
      <w:r>
        <w:rPr>
          <w:lang w:val="en-US"/>
        </w:rPr>
        <w:t>;</w:t>
      </w:r>
      <w:proofErr w:type="gramEnd"/>
    </w:p>
    <w:p w14:paraId="17DB28C9" w14:textId="437E6F39" w:rsidR="00DE5632" w:rsidRPr="00EB3ACD" w:rsidRDefault="00DE5632" w:rsidP="00945365">
      <w:pPr>
        <w:pStyle w:val="ListNumber2"/>
      </w:pPr>
      <w:r w:rsidRPr="00EB3ACD">
        <w:t>include instruction and guidance on the behaviours that constitute sexual harassment or inappropriate sexualised conduct and acknowledge grey areas</w:t>
      </w:r>
      <w:r w:rsidR="00DB3EA5" w:rsidRPr="00EB3ACD">
        <w:t>,</w:t>
      </w:r>
      <w:r w:rsidRPr="00EB3ACD">
        <w:t xml:space="preserve"> including overlaps with </w:t>
      </w:r>
      <w:proofErr w:type="gramStart"/>
      <w:r w:rsidRPr="00EB3ACD">
        <w:t>bullying;</w:t>
      </w:r>
      <w:proofErr w:type="gramEnd"/>
    </w:p>
    <w:p w14:paraId="4DB852A1" w14:textId="48FC6589" w:rsidR="00DE5632" w:rsidRPr="00EB3ACD" w:rsidRDefault="00DE5632" w:rsidP="00945365">
      <w:pPr>
        <w:pStyle w:val="ListNumber2"/>
      </w:pPr>
      <w:r w:rsidRPr="00EB3ACD">
        <w:t>outline legislation</w:t>
      </w:r>
      <w:r w:rsidR="00DB3EA5" w:rsidRPr="00EB3ACD">
        <w:t>,</w:t>
      </w:r>
      <w:r w:rsidRPr="00EB3ACD">
        <w:t xml:space="preserve"> court policies and codes of conduct that mandate a safe and respectful workplace and prohibit sexual harassment and other misconduct, including by </w:t>
      </w:r>
      <w:r w:rsidR="00B23780">
        <w:t xml:space="preserve">judicial </w:t>
      </w:r>
      <w:proofErr w:type="gramStart"/>
      <w:r w:rsidR="00B23780">
        <w:t>officers</w:t>
      </w:r>
      <w:r w:rsidRPr="00EB3ACD">
        <w:t>;</w:t>
      </w:r>
      <w:proofErr w:type="gramEnd"/>
    </w:p>
    <w:p w14:paraId="0A329558" w14:textId="5FE73123" w:rsidR="00BA7845" w:rsidRDefault="00DE5632" w:rsidP="00945365">
      <w:pPr>
        <w:pStyle w:val="ListNumber2"/>
      </w:pPr>
      <w:r w:rsidRPr="00EB3ACD">
        <w:t xml:space="preserve">include realistic hypotheticals and scenarios specifically tailored to the court workplace and the employees’ interactions with </w:t>
      </w:r>
      <w:r w:rsidR="00B23780">
        <w:t>judicial officers</w:t>
      </w:r>
      <w:r w:rsidR="00B23780" w:rsidRPr="00EB3ACD">
        <w:t xml:space="preserve"> </w:t>
      </w:r>
      <w:r w:rsidRPr="00EB3ACD">
        <w:t xml:space="preserve">and </w:t>
      </w:r>
      <w:proofErr w:type="gramStart"/>
      <w:r w:rsidRPr="00EB3ACD">
        <w:t>others</w:t>
      </w:r>
      <w:r w:rsidR="00B94030">
        <w:t>;</w:t>
      </w:r>
      <w:proofErr w:type="gramEnd"/>
      <w:r w:rsidR="00501E86" w:rsidRPr="00EB3ACD">
        <w:t xml:space="preserve">  </w:t>
      </w:r>
    </w:p>
    <w:p w14:paraId="3346B964" w14:textId="4354FA75" w:rsidR="00DE5632" w:rsidRPr="00EB3ACD" w:rsidRDefault="00B94030" w:rsidP="00945365">
      <w:pPr>
        <w:pStyle w:val="ListNumber2"/>
      </w:pPr>
      <w:r>
        <w:t>p</w:t>
      </w:r>
      <w:r w:rsidR="00501E86" w:rsidRPr="00EB3ACD">
        <w:t>rovide guidance on navigating the power disparity with chambers staff, including on how to avoid</w:t>
      </w:r>
      <w:r w:rsidR="00DE5632" w:rsidRPr="00EB3ACD">
        <w:t xml:space="preserve"> inappropriate sexualised or personal requests</w:t>
      </w:r>
      <w:r w:rsidR="002F2B8F" w:rsidRPr="00EB3ACD">
        <w:t xml:space="preserve">, how to provide </w:t>
      </w:r>
      <w:r w:rsidR="00347341">
        <w:t xml:space="preserve">staff with </w:t>
      </w:r>
      <w:r w:rsidR="002F2B8F" w:rsidRPr="00EB3ACD">
        <w:t xml:space="preserve">an opportunity to decline </w:t>
      </w:r>
      <w:r w:rsidR="00DE5632" w:rsidRPr="00EB3ACD">
        <w:t xml:space="preserve">unwanted social or personal invitations </w:t>
      </w:r>
      <w:r w:rsidR="002F2B8F" w:rsidRPr="00EB3ACD">
        <w:t xml:space="preserve">and how to address </w:t>
      </w:r>
      <w:r w:rsidR="00F63100">
        <w:rPr>
          <w:lang w:val="en-US"/>
        </w:rPr>
        <w:t>the tendency of junior staff</w:t>
      </w:r>
      <w:r w:rsidR="00F63100" w:rsidRPr="00EB3ACD">
        <w:t xml:space="preserve"> </w:t>
      </w:r>
      <w:r w:rsidR="00755F77" w:rsidRPr="00EB3ACD">
        <w:t xml:space="preserve">to interpret </w:t>
      </w:r>
      <w:r w:rsidR="00AB5624">
        <w:rPr>
          <w:lang w:val="en-US"/>
        </w:rPr>
        <w:t>the requests of judicial officers</w:t>
      </w:r>
      <w:r w:rsidR="00AB5624" w:rsidRPr="00EB3ACD" w:rsidDel="00B23780">
        <w:t xml:space="preserve"> </w:t>
      </w:r>
      <w:r w:rsidR="00EB3ACD" w:rsidRPr="00EB3ACD">
        <w:t xml:space="preserve">as </w:t>
      </w:r>
      <w:proofErr w:type="gramStart"/>
      <w:r w:rsidR="00EB3ACD" w:rsidRPr="00EB3ACD">
        <w:t>commands;</w:t>
      </w:r>
      <w:proofErr w:type="gramEnd"/>
    </w:p>
    <w:p w14:paraId="3B42EF12" w14:textId="056CE43D" w:rsidR="00DE5632" w:rsidRPr="00EB3ACD" w:rsidRDefault="00DE5632" w:rsidP="00945365">
      <w:pPr>
        <w:pStyle w:val="ListNumber2"/>
      </w:pPr>
      <w:r w:rsidRPr="00EB3ACD">
        <w:t xml:space="preserve">include specific reference to any applicable policies, guidelines for attending circuit and hypotheticals based on working on circuit </w:t>
      </w:r>
      <w:r w:rsidR="00D153FE">
        <w:t>(</w:t>
      </w:r>
      <w:r w:rsidRPr="00EB3ACD">
        <w:t xml:space="preserve">or otherwise </w:t>
      </w:r>
      <w:r w:rsidR="00D153FE">
        <w:t>a</w:t>
      </w:r>
      <w:r w:rsidRPr="00EB3ACD">
        <w:t>way from the court</w:t>
      </w:r>
      <w:proofErr w:type="gramStart"/>
      <w:r w:rsidR="00D153FE">
        <w:t>)</w:t>
      </w:r>
      <w:r w:rsidRPr="00EB3ACD">
        <w:t>;</w:t>
      </w:r>
      <w:proofErr w:type="gramEnd"/>
    </w:p>
    <w:p w14:paraId="11DA52CB" w14:textId="583BA271" w:rsidR="00DE5632" w:rsidRPr="00EB3ACD" w:rsidRDefault="00DE5632" w:rsidP="00945365">
      <w:pPr>
        <w:pStyle w:val="ListNumber2"/>
      </w:pPr>
      <w:r w:rsidRPr="00EB3ACD">
        <w:t>refer to the policies</w:t>
      </w:r>
      <w:r w:rsidR="00D153FE">
        <w:t>,</w:t>
      </w:r>
      <w:r w:rsidRPr="00EB3ACD">
        <w:t xml:space="preserve"> and provide written materials on</w:t>
      </w:r>
      <w:r w:rsidR="00D153FE">
        <w:t>,</w:t>
      </w:r>
      <w:r w:rsidRPr="00EB3ACD">
        <w:t xml:space="preserve"> reporting options available to employees (including anonymous informal communication</w:t>
      </w:r>
      <w:r w:rsidR="00D153FE">
        <w:t>s</w:t>
      </w:r>
      <w:r w:rsidRPr="00EB3ACD">
        <w:t xml:space="preserve">) who consider that they </w:t>
      </w:r>
      <w:r w:rsidR="00D153FE">
        <w:t>(</w:t>
      </w:r>
      <w:r w:rsidRPr="00EB3ACD">
        <w:t>or others</w:t>
      </w:r>
      <w:r w:rsidR="00D153FE">
        <w:t>)</w:t>
      </w:r>
      <w:r w:rsidRPr="00EB3ACD">
        <w:t xml:space="preserve"> have been subjected to inappropriate sexualised or improper conduct, in the workplace, including by a </w:t>
      </w:r>
      <w:r w:rsidR="00B23780">
        <w:t xml:space="preserve">judicial </w:t>
      </w:r>
      <w:proofErr w:type="gramStart"/>
      <w:r w:rsidR="00B23780">
        <w:t>officer</w:t>
      </w:r>
      <w:r w:rsidRPr="00EB3ACD">
        <w:t>;</w:t>
      </w:r>
      <w:proofErr w:type="gramEnd"/>
    </w:p>
    <w:p w14:paraId="63744B3A" w14:textId="7658B88D" w:rsidR="00DE5632" w:rsidRDefault="00DE5632" w:rsidP="00945365">
      <w:pPr>
        <w:pStyle w:val="ListNumber2"/>
      </w:pPr>
      <w:r w:rsidRPr="00EB3ACD">
        <w:t xml:space="preserve">refer to the possible processes and potential outcomes of the different reporting or informal communication options, for </w:t>
      </w:r>
      <w:r w:rsidR="0017707A">
        <w:t xml:space="preserve">both </w:t>
      </w:r>
      <w:r w:rsidRPr="00EB3ACD">
        <w:t xml:space="preserve">the employee and </w:t>
      </w:r>
      <w:r w:rsidR="0017707A">
        <w:t xml:space="preserve">a </w:t>
      </w:r>
      <w:r w:rsidR="00B23780">
        <w:t xml:space="preserve">judicial officer </w:t>
      </w:r>
      <w:r w:rsidR="0017707A">
        <w:t>the subject of a complaint</w:t>
      </w:r>
      <w:r w:rsidR="00332335">
        <w:t>; and</w:t>
      </w:r>
    </w:p>
    <w:p w14:paraId="15B2E46E" w14:textId="702E58CE" w:rsidR="00944FC5" w:rsidRPr="00EB3ACD" w:rsidRDefault="00944FC5" w:rsidP="00945365">
      <w:pPr>
        <w:pStyle w:val="ListNumber2"/>
      </w:pPr>
      <w:r>
        <w:lastRenderedPageBreak/>
        <w:t xml:space="preserve">include basic instruction </w:t>
      </w:r>
      <w:r w:rsidR="007A3968">
        <w:t xml:space="preserve">on legislative requirements for a safe workplace, </w:t>
      </w:r>
      <w:r w:rsidR="00B23780">
        <w:t>judicial officer</w:t>
      </w:r>
      <w:r w:rsidR="00D62FB2">
        <w:t>s’</w:t>
      </w:r>
      <w:r w:rsidR="007A3968">
        <w:t xml:space="preserve"> legal responsibilities to staff</w:t>
      </w:r>
      <w:r w:rsidR="00B24319">
        <w:t>, practices regarding hours, chambers workloads</w:t>
      </w:r>
      <w:r w:rsidR="00903FAE">
        <w:t xml:space="preserve">, professional </w:t>
      </w:r>
      <w:proofErr w:type="gramStart"/>
      <w:r w:rsidR="00903FAE">
        <w:t>boundaries</w:t>
      </w:r>
      <w:proofErr w:type="gramEnd"/>
      <w:r w:rsidR="007A3968">
        <w:t xml:space="preserve"> and standard practice for managing and supervising their chambers staff</w:t>
      </w:r>
      <w:r w:rsidR="00332335">
        <w:t>.</w:t>
      </w:r>
    </w:p>
    <w:p w14:paraId="01341498" w14:textId="4663D13E" w:rsidR="00191520" w:rsidRDefault="00191520" w:rsidP="00945365">
      <w:pPr>
        <w:pStyle w:val="Heading5"/>
        <w:numPr>
          <w:ilvl w:val="0"/>
          <w:numId w:val="0"/>
        </w:numPr>
        <w:ind w:left="709"/>
      </w:pPr>
      <w:r w:rsidRPr="00EB3ACD">
        <w:t xml:space="preserve">We recommend that the </w:t>
      </w:r>
      <w:r w:rsidR="004F1891">
        <w:t xml:space="preserve">above </w:t>
      </w:r>
      <w:r w:rsidRPr="00EB3ACD">
        <w:t xml:space="preserve">education and training </w:t>
      </w:r>
      <w:r w:rsidR="004F1891">
        <w:t xml:space="preserve">should not be </w:t>
      </w:r>
      <w:r w:rsidRPr="00EB3ACD">
        <w:t xml:space="preserve">provided </w:t>
      </w:r>
      <w:r w:rsidR="004F1891">
        <w:t xml:space="preserve">only </w:t>
      </w:r>
      <w:r w:rsidRPr="00EB3ACD">
        <w:t xml:space="preserve">to </w:t>
      </w:r>
      <w:r w:rsidR="00B23780">
        <w:t>judicial officers</w:t>
      </w:r>
      <w:r w:rsidR="00B23780" w:rsidRPr="00EB3ACD">
        <w:t xml:space="preserve"> </w:t>
      </w:r>
      <w:r w:rsidRPr="00EB3ACD">
        <w:t>on their induction</w:t>
      </w:r>
      <w:r w:rsidR="004F1891">
        <w:t>.  It should</w:t>
      </w:r>
      <w:r w:rsidRPr="00EB3ACD">
        <w:t xml:space="preserve"> be available to all </w:t>
      </w:r>
      <w:r w:rsidR="00B23780">
        <w:t>judicial officers</w:t>
      </w:r>
      <w:r w:rsidRPr="00EB3ACD">
        <w:t>, including long</w:t>
      </w:r>
      <w:r w:rsidRPr="00EB3ACD">
        <w:noBreakHyphen/>
        <w:t xml:space="preserve">serving </w:t>
      </w:r>
      <w:r w:rsidR="00B23780">
        <w:t>judicial officers</w:t>
      </w:r>
      <w:r w:rsidR="00B23780" w:rsidRPr="00EB3ACD">
        <w:t xml:space="preserve"> </w:t>
      </w:r>
      <w:r w:rsidRPr="00EB3ACD">
        <w:t>as part of or in addition to their continuing professional development program</w:t>
      </w:r>
      <w:r w:rsidR="00332335">
        <w:t>.</w:t>
      </w:r>
    </w:p>
    <w:p w14:paraId="7C209C76" w14:textId="42601D62" w:rsidR="00B91E59" w:rsidRPr="00DB280C" w:rsidRDefault="00DB280C" w:rsidP="00945365">
      <w:pPr>
        <w:pStyle w:val="Heading5"/>
        <w:numPr>
          <w:ilvl w:val="0"/>
          <w:numId w:val="0"/>
        </w:numPr>
        <w:ind w:left="709"/>
      </w:pPr>
      <w:r w:rsidRPr="00DB280C">
        <w:t xml:space="preserve">We heard during our consultations that many new appointments to the Courts and VCAT (but particularly the higher courts) have no or no recent prior experience in supervising and managing staff.  Magistrates (and many </w:t>
      </w:r>
      <w:proofErr w:type="gramStart"/>
      <w:r w:rsidRPr="00DB280C">
        <w:t>County</w:t>
      </w:r>
      <w:proofErr w:type="gramEnd"/>
      <w:r w:rsidRPr="00DB280C">
        <w:t xml:space="preserve"> Court judges) may have recently worked in organisations where they acquired some familiarity with staff management, such as the Office of Public Prosecutions, Victoria Legal Aid, or law firms.  Those appointed from the Bar (</w:t>
      </w:r>
      <w:proofErr w:type="gramStart"/>
      <w:r w:rsidRPr="00DB280C">
        <w:t>a majority of</w:t>
      </w:r>
      <w:proofErr w:type="gramEnd"/>
      <w:r w:rsidRPr="00DB280C">
        <w:t xml:space="preserve"> Supreme Court judges) may never have had permanent full</w:t>
      </w:r>
      <w:r w:rsidR="00B94030">
        <w:noBreakHyphen/>
      </w:r>
      <w:r w:rsidRPr="00DB280C">
        <w:t>time staff or a managerial role.  In that case, the need for some basic training as to workplace practices and the role of CSV-employed staff (and the limits of that role) is more acute.  Many associates and other court staff told us that they felt that some of their difficult interactions with their judge and</w:t>
      </w:r>
      <w:r w:rsidR="009B55D2">
        <w:t xml:space="preserve"> the</w:t>
      </w:r>
      <w:r w:rsidRPr="00DB280C">
        <w:t xml:space="preserve"> great disparity in working conditions between chambers, reflected the absence of appropriate training.</w:t>
      </w:r>
    </w:p>
    <w:p w14:paraId="2B2F8681" w14:textId="6BBC78E6" w:rsidR="00994104" w:rsidRPr="00994104" w:rsidRDefault="007F61FC" w:rsidP="00B94030">
      <w:pPr>
        <w:pStyle w:val="Heading5"/>
      </w:pPr>
      <w:bookmarkStart w:id="107" w:name="_Ref108729528"/>
      <w:bookmarkStart w:id="108" w:name="_Ref108977353"/>
      <w:r>
        <w:t>We recommend that the Courts</w:t>
      </w:r>
      <w:r w:rsidR="00A31951">
        <w:rPr>
          <w:rStyle w:val="FootnoteReference"/>
        </w:rPr>
        <w:footnoteReference w:id="96"/>
      </w:r>
      <w:r>
        <w:t xml:space="preserve"> and VCAT appoint several “staff judges”</w:t>
      </w:r>
      <w:r w:rsidR="00B80DCB" w:rsidRPr="00B80DCB">
        <w:rPr>
          <w:rStyle w:val="FootnoteReference"/>
        </w:rPr>
        <w:t xml:space="preserve"> </w:t>
      </w:r>
      <w:r w:rsidR="00B80DCB">
        <w:rPr>
          <w:rStyle w:val="FootnoteReference"/>
        </w:rPr>
        <w:footnoteReference w:id="97"/>
      </w:r>
      <w:r w:rsidR="00B80DCB">
        <w:t xml:space="preserve"> </w:t>
      </w:r>
      <w:r>
        <w:t xml:space="preserve">to welcome and speak, on induction, with new </w:t>
      </w:r>
      <w:r w:rsidR="006A105E">
        <w:rPr>
          <w:lang w:val="en-US"/>
        </w:rPr>
        <w:t>judicial officers</w:t>
      </w:r>
      <w:r w:rsidR="005C06F7">
        <w:rPr>
          <w:lang w:val="en-US"/>
        </w:rPr>
        <w:t>,</w:t>
      </w:r>
      <w:r>
        <w:t xml:space="preserve"> new </w:t>
      </w:r>
      <w:proofErr w:type="gramStart"/>
      <w:r>
        <w:t>associates</w:t>
      </w:r>
      <w:proofErr w:type="gramEnd"/>
      <w:r w:rsidR="005C06F7">
        <w:t xml:space="preserve"> and other CSV employees</w:t>
      </w:r>
      <w:r w:rsidR="0026486A">
        <w:rPr>
          <w:rStyle w:val="FootnoteReference"/>
        </w:rPr>
        <w:footnoteReference w:id="98"/>
      </w:r>
      <w:r w:rsidR="005C06F7">
        <w:t xml:space="preserve"> who will work closely with judicial officers</w:t>
      </w:r>
      <w:r w:rsidR="00704B18">
        <w:rPr>
          <w:rFonts w:ascii="ZWAdobeF" w:hAnsi="ZWAdobeF" w:cs="ZWAdobeF"/>
          <w:sz w:val="2"/>
          <w:szCs w:val="2"/>
        </w:rPr>
        <w:t>120F</w:t>
      </w:r>
      <w:r>
        <w:t xml:space="preserve"> about judicial conduct, to check on wellbeing at intervals and to be available to advise.</w:t>
      </w:r>
      <w:bookmarkEnd w:id="107"/>
      <w:bookmarkEnd w:id="108"/>
    </w:p>
    <w:p w14:paraId="35E8EBCE" w14:textId="05FB870A" w:rsidR="00D93E58" w:rsidRPr="00180FBB" w:rsidRDefault="00041C4A" w:rsidP="00B94030">
      <w:pPr>
        <w:pStyle w:val="ListNumber2"/>
        <w:spacing w:before="240"/>
      </w:pPr>
      <w:r>
        <w:t xml:space="preserve">A </w:t>
      </w:r>
      <w:r w:rsidR="0098202D" w:rsidRPr="00180FBB">
        <w:t>staff judge should</w:t>
      </w:r>
      <w:r w:rsidR="00770D53" w:rsidRPr="00180FBB">
        <w:t xml:space="preserve"> </w:t>
      </w:r>
      <w:r w:rsidR="00A76EFC" w:rsidRPr="00180FBB">
        <w:t>welcom</w:t>
      </w:r>
      <w:r w:rsidR="00192FF8" w:rsidRPr="00180FBB">
        <w:t>e</w:t>
      </w:r>
      <w:r w:rsidR="00A76EFC" w:rsidRPr="00180FBB">
        <w:t xml:space="preserve"> </w:t>
      </w:r>
      <w:r w:rsidR="00D93E58" w:rsidRPr="00180FBB">
        <w:t xml:space="preserve">each </w:t>
      </w:r>
      <w:proofErr w:type="gramStart"/>
      <w:r w:rsidR="00D93E58" w:rsidRPr="00180FBB">
        <w:t>newly-appointed</w:t>
      </w:r>
      <w:proofErr w:type="gramEnd"/>
      <w:r w:rsidR="00D93E58" w:rsidRPr="00180FBB">
        <w:t xml:space="preserve"> judicial officer</w:t>
      </w:r>
      <w:r w:rsidR="00B25E9D">
        <w:t>.</w:t>
      </w:r>
      <w:r w:rsidR="007741E0" w:rsidRPr="00180FBB">
        <w:t xml:space="preserve"> </w:t>
      </w:r>
      <w:r w:rsidR="00B25E9D">
        <w:t xml:space="preserve"> </w:t>
      </w:r>
      <w:r w:rsidR="00527F30">
        <w:t xml:space="preserve">The welcome and orientation should include a brief discussion of </w:t>
      </w:r>
      <w:r w:rsidR="00D93E58" w:rsidRPr="00180FBB">
        <w:t xml:space="preserve">the </w:t>
      </w:r>
      <w:r w:rsidR="00A76EFC" w:rsidRPr="00180FBB">
        <w:t xml:space="preserve">status and entitlements </w:t>
      </w:r>
      <w:r w:rsidR="00D93E58" w:rsidRPr="00180FBB">
        <w:t>of CSV-employed staff</w:t>
      </w:r>
      <w:r w:rsidR="00A76EFC" w:rsidRPr="00180FBB">
        <w:t xml:space="preserve">, </w:t>
      </w:r>
      <w:r w:rsidR="00337E75" w:rsidRPr="00180FBB">
        <w:t>appropriate limits on expectations of their performance and role</w:t>
      </w:r>
      <w:r w:rsidR="00EA674E">
        <w:t xml:space="preserve"> and</w:t>
      </w:r>
      <w:r w:rsidR="00FA7741" w:rsidRPr="00180FBB">
        <w:t xml:space="preserve"> briefly discuss </w:t>
      </w:r>
      <w:r w:rsidR="00D93E58" w:rsidRPr="00180FBB">
        <w:t xml:space="preserve">the policies </w:t>
      </w:r>
      <w:r w:rsidR="00EA674E">
        <w:t xml:space="preserve">on judicial </w:t>
      </w:r>
      <w:r w:rsidR="00D93E58" w:rsidRPr="00180FBB">
        <w:t>conduct</w:t>
      </w:r>
      <w:r w:rsidR="0095754A">
        <w:t>.</w:t>
      </w:r>
      <w:r w:rsidR="00704B18">
        <w:rPr>
          <w:rFonts w:ascii="ZWAdobeF" w:hAnsi="ZWAdobeF" w:cs="ZWAdobeF"/>
          <w:sz w:val="2"/>
          <w:szCs w:val="2"/>
        </w:rPr>
        <w:t>121F</w:t>
      </w:r>
      <w:r w:rsidR="00EA674E">
        <w:rPr>
          <w:rStyle w:val="FootnoteReference"/>
        </w:rPr>
        <w:footnoteReference w:id="99"/>
      </w:r>
      <w:r w:rsidR="00EA674E">
        <w:t xml:space="preserve"> </w:t>
      </w:r>
      <w:r w:rsidR="001E0256">
        <w:t xml:space="preserve"> (This </w:t>
      </w:r>
      <w:r w:rsidR="0095754A">
        <w:t>will</w:t>
      </w:r>
      <w:r w:rsidR="001E0256">
        <w:t xml:space="preserve"> reinforce </w:t>
      </w:r>
      <w:r w:rsidR="004769A8">
        <w:lastRenderedPageBreak/>
        <w:t xml:space="preserve">through personal communication the education and training dealt with under </w:t>
      </w:r>
      <w:r w:rsidR="004769A8" w:rsidRPr="00995387">
        <w:rPr>
          <w:b/>
          <w:bCs/>
        </w:rPr>
        <w:t xml:space="preserve">Recommendation </w:t>
      </w:r>
      <w:r w:rsidR="00E25BC4" w:rsidRPr="00995387">
        <w:rPr>
          <w:b/>
          <w:bCs/>
        </w:rPr>
        <w:fldChar w:fldCharType="begin"/>
      </w:r>
      <w:r w:rsidR="00E25BC4" w:rsidRPr="00995387">
        <w:rPr>
          <w:b/>
          <w:bCs/>
        </w:rPr>
        <w:instrText xml:space="preserve"> REF _Ref108723917 \r \h  \* MERGEFORMAT </w:instrText>
      </w:r>
      <w:r w:rsidR="00E25BC4" w:rsidRPr="00995387">
        <w:rPr>
          <w:b/>
          <w:bCs/>
        </w:rPr>
      </w:r>
      <w:r w:rsidR="00E25BC4" w:rsidRPr="00995387">
        <w:rPr>
          <w:b/>
          <w:bCs/>
        </w:rPr>
        <w:fldChar w:fldCharType="separate"/>
      </w:r>
      <w:r w:rsidR="00CF093C">
        <w:rPr>
          <w:b/>
          <w:bCs/>
        </w:rPr>
        <w:t>3</w:t>
      </w:r>
      <w:r w:rsidR="00E25BC4" w:rsidRPr="00995387">
        <w:rPr>
          <w:b/>
          <w:bCs/>
        </w:rPr>
        <w:fldChar w:fldCharType="end"/>
      </w:r>
      <w:r w:rsidR="004769A8">
        <w:t>)</w:t>
      </w:r>
      <w:r w:rsidR="00EB4579">
        <w:t>.</w:t>
      </w:r>
    </w:p>
    <w:p w14:paraId="19C37BE4" w14:textId="05A36B6F" w:rsidR="00F6439E" w:rsidRDefault="00041C4A" w:rsidP="00B94030">
      <w:pPr>
        <w:pStyle w:val="ListNumber2"/>
      </w:pPr>
      <w:r>
        <w:t xml:space="preserve">A </w:t>
      </w:r>
      <w:r w:rsidR="00770D53">
        <w:t>staff judge should</w:t>
      </w:r>
      <w:r w:rsidR="00F6439E">
        <w:t xml:space="preserve"> </w:t>
      </w:r>
      <w:r w:rsidR="0095754A">
        <w:t xml:space="preserve">advise that he or she will </w:t>
      </w:r>
      <w:r w:rsidR="00F6439E">
        <w:t xml:space="preserve">be available to </w:t>
      </w:r>
      <w:r w:rsidR="0095754A">
        <w:t xml:space="preserve">the </w:t>
      </w:r>
      <w:r w:rsidR="006A105E">
        <w:rPr>
          <w:lang w:val="en-US"/>
        </w:rPr>
        <w:t>judicial officer</w:t>
      </w:r>
      <w:r w:rsidR="006A105E">
        <w:t xml:space="preserve"> </w:t>
      </w:r>
      <w:r w:rsidR="00307088">
        <w:t>whether as a first contact or otherwise as appropriate to advise</w:t>
      </w:r>
      <w:r w:rsidR="00DD1C03">
        <w:t xml:space="preserve">, </w:t>
      </w:r>
      <w:r w:rsidR="00020A98">
        <w:t xml:space="preserve">and </w:t>
      </w:r>
      <w:r w:rsidR="00F6439E">
        <w:t>to help with managing staff, the limits of the role of CSV-employed staff, or interpersonal conflict with staff</w:t>
      </w:r>
      <w:r w:rsidR="00F00E34">
        <w:t>.</w:t>
      </w:r>
    </w:p>
    <w:p w14:paraId="43AB0A56" w14:textId="28529116" w:rsidR="00D93E58" w:rsidRDefault="00041C4A" w:rsidP="00B94030">
      <w:pPr>
        <w:pStyle w:val="ListNumber2"/>
      </w:pPr>
      <w:r>
        <w:t xml:space="preserve">A </w:t>
      </w:r>
      <w:r w:rsidR="00333FC1">
        <w:t>staff judge should, if necessary,</w:t>
      </w:r>
      <w:r w:rsidR="00704B18">
        <w:rPr>
          <w:rFonts w:ascii="ZWAdobeF" w:hAnsi="ZWAdobeF" w:cs="ZWAdobeF"/>
          <w:sz w:val="2"/>
          <w:szCs w:val="2"/>
        </w:rPr>
        <w:t>122F</w:t>
      </w:r>
      <w:r w:rsidR="00333FC1">
        <w:t xml:space="preserve"> </w:t>
      </w:r>
      <w:r w:rsidR="00FA7741">
        <w:t xml:space="preserve">refer to or help to </w:t>
      </w:r>
      <w:r w:rsidR="00D93E58">
        <w:t>organise</w:t>
      </w:r>
      <w:r w:rsidR="00994104">
        <w:t xml:space="preserve"> </w:t>
      </w:r>
      <w:r w:rsidR="00D93E58">
        <w:t xml:space="preserve">training sessions for </w:t>
      </w:r>
      <w:r w:rsidR="0095754A">
        <w:t xml:space="preserve">the </w:t>
      </w:r>
      <w:r w:rsidR="00AE71D8">
        <w:rPr>
          <w:lang w:val="en-US"/>
        </w:rPr>
        <w:t>judicial officer</w:t>
      </w:r>
      <w:r w:rsidR="00AE71D8">
        <w:t xml:space="preserve"> </w:t>
      </w:r>
      <w:r w:rsidR="00D93E58">
        <w:t>on appropriate workplace conduct</w:t>
      </w:r>
      <w:r w:rsidR="00A41A69">
        <w:t xml:space="preserve"> and basic staff management</w:t>
      </w:r>
      <w:r w:rsidR="00F00E34">
        <w:t>.</w:t>
      </w:r>
      <w:r w:rsidR="00020A98">
        <w:t xml:space="preserve">  (</w:t>
      </w:r>
      <w:r w:rsidR="00AF09B3">
        <w:t xml:space="preserve">Equally this could be handled administratively and </w:t>
      </w:r>
      <w:r w:rsidR="00020A98">
        <w:t xml:space="preserve">would operate in conjunction with </w:t>
      </w:r>
      <w:r w:rsidR="00995387" w:rsidRPr="00995387">
        <w:rPr>
          <w:b/>
          <w:bCs/>
        </w:rPr>
        <w:t xml:space="preserve">Recommendation </w:t>
      </w:r>
      <w:r w:rsidR="002850E7" w:rsidRPr="00995387">
        <w:rPr>
          <w:b/>
          <w:bCs/>
        </w:rPr>
        <w:fldChar w:fldCharType="begin"/>
      </w:r>
      <w:r w:rsidR="002850E7" w:rsidRPr="00995387">
        <w:rPr>
          <w:b/>
          <w:bCs/>
        </w:rPr>
        <w:instrText xml:space="preserve"> REF _Ref108723917 \r \h  \* MERGEFORMAT </w:instrText>
      </w:r>
      <w:r w:rsidR="002850E7" w:rsidRPr="00995387">
        <w:rPr>
          <w:b/>
          <w:bCs/>
        </w:rPr>
      </w:r>
      <w:r w:rsidR="002850E7" w:rsidRPr="00995387">
        <w:rPr>
          <w:b/>
          <w:bCs/>
        </w:rPr>
        <w:fldChar w:fldCharType="separate"/>
      </w:r>
      <w:r w:rsidR="00CF093C">
        <w:rPr>
          <w:b/>
          <w:bCs/>
        </w:rPr>
        <w:t>3</w:t>
      </w:r>
      <w:r w:rsidR="002850E7" w:rsidRPr="00995387">
        <w:rPr>
          <w:b/>
          <w:bCs/>
        </w:rPr>
        <w:fldChar w:fldCharType="end"/>
      </w:r>
      <w:r w:rsidR="00020A98">
        <w:t>)</w:t>
      </w:r>
      <w:r w:rsidR="00364F65">
        <w:t>.</w:t>
      </w:r>
    </w:p>
    <w:p w14:paraId="13B8708B" w14:textId="6CCC49B1" w:rsidR="00D93E58" w:rsidRDefault="00041C4A" w:rsidP="00B94030">
      <w:pPr>
        <w:pStyle w:val="ListNumber2"/>
      </w:pPr>
      <w:r>
        <w:t xml:space="preserve">A </w:t>
      </w:r>
      <w:r w:rsidR="00C536D8">
        <w:t xml:space="preserve">staff judge should </w:t>
      </w:r>
      <w:r w:rsidR="002B628F">
        <w:t xml:space="preserve">(with or without the head of jurisdiction) </w:t>
      </w:r>
      <w:r w:rsidR="00D93E58">
        <w:t xml:space="preserve">meet with each incoming associate </w:t>
      </w:r>
      <w:r w:rsidR="00020A98">
        <w:t>(</w:t>
      </w:r>
      <w:r w:rsidR="00D93E58">
        <w:t xml:space="preserve">or other CSV-employee </w:t>
      </w:r>
      <w:r w:rsidR="00994104">
        <w:t xml:space="preserve">who will work closely with </w:t>
      </w:r>
      <w:r w:rsidR="00755D64">
        <w:rPr>
          <w:lang w:val="en-US"/>
        </w:rPr>
        <w:t>judicial officers</w:t>
      </w:r>
      <w:r w:rsidR="00020A98">
        <w:t>)</w:t>
      </w:r>
      <w:r w:rsidR="00994104">
        <w:t xml:space="preserve"> </w:t>
      </w:r>
      <w:r w:rsidR="002B628F">
        <w:t xml:space="preserve">either individually or in </w:t>
      </w:r>
      <w:r w:rsidR="006D7383">
        <w:t>small groups</w:t>
      </w:r>
      <w:r w:rsidR="00020A98">
        <w:t>,</w:t>
      </w:r>
      <w:r w:rsidR="006D7383">
        <w:t xml:space="preserve"> soon after their commencement.</w:t>
      </w:r>
    </w:p>
    <w:p w14:paraId="4BACECB4" w14:textId="01E1A0D2" w:rsidR="00102B3B" w:rsidRPr="00994104" w:rsidRDefault="00041C4A" w:rsidP="00B94030">
      <w:pPr>
        <w:pStyle w:val="ListNumber3"/>
      </w:pPr>
      <w:r>
        <w:t xml:space="preserve">A </w:t>
      </w:r>
      <w:r w:rsidR="006D7383">
        <w:t xml:space="preserve">staff judge should </w:t>
      </w:r>
      <w:r w:rsidR="00102B3B" w:rsidRPr="00994104">
        <w:t xml:space="preserve">acknowledge that </w:t>
      </w:r>
      <w:r w:rsidR="006D7383">
        <w:t xml:space="preserve">the court staff </w:t>
      </w:r>
      <w:r w:rsidR="00102B3B" w:rsidRPr="00994104">
        <w:t>are employees in a workplace that prioritises their safety and wellbeing and recognises their entitlements and appropriate expectations of their role</w:t>
      </w:r>
      <w:r w:rsidR="00F00E34">
        <w:t>.</w:t>
      </w:r>
    </w:p>
    <w:p w14:paraId="25C23C2B" w14:textId="20AD62BD" w:rsidR="00D93E58" w:rsidRPr="00994104" w:rsidRDefault="00041C4A" w:rsidP="00B94030">
      <w:pPr>
        <w:pStyle w:val="ListNumber3"/>
      </w:pPr>
      <w:r>
        <w:t xml:space="preserve">A </w:t>
      </w:r>
      <w:r w:rsidR="006D7383">
        <w:t xml:space="preserve">staff judge should explicitly </w:t>
      </w:r>
      <w:r w:rsidR="00D93E58" w:rsidRPr="00994104">
        <w:t xml:space="preserve">acknowledge that there have been </w:t>
      </w:r>
      <w:r w:rsidR="00994104">
        <w:t xml:space="preserve">a small number of substantiated </w:t>
      </w:r>
      <w:r w:rsidR="00D93E58" w:rsidRPr="00994104">
        <w:t xml:space="preserve">incidents of sexual harassment of associates by judges in </w:t>
      </w:r>
      <w:r w:rsidR="00C81CC7">
        <w:t>Australian courts.</w:t>
      </w:r>
    </w:p>
    <w:p w14:paraId="278B15E3" w14:textId="586F3460" w:rsidR="00D93E58" w:rsidRPr="00994104" w:rsidRDefault="00041C4A" w:rsidP="00B94030">
      <w:pPr>
        <w:pStyle w:val="ListNumber3"/>
      </w:pPr>
      <w:bookmarkStart w:id="109" w:name="_Ref108729555"/>
      <w:r>
        <w:t xml:space="preserve">A </w:t>
      </w:r>
      <w:r w:rsidR="00F00E34">
        <w:t xml:space="preserve">staff judge should </w:t>
      </w:r>
      <w:r w:rsidR="00D93E58" w:rsidRPr="00994104">
        <w:t xml:space="preserve">discuss the Judicial Commission’s </w:t>
      </w:r>
      <w:r w:rsidR="00D93E58" w:rsidRPr="00994104">
        <w:rPr>
          <w:i/>
          <w:iCs/>
        </w:rPr>
        <w:t xml:space="preserve">Judicial Conduct Guideline: Sexual Harassment </w:t>
      </w:r>
      <w:r w:rsidR="00D93E58" w:rsidRPr="00994104">
        <w:t>(as well as any statement on the topic by the relevant head of jurisdiction)</w:t>
      </w:r>
      <w:r w:rsidR="00F00E34">
        <w:t>.</w:t>
      </w:r>
      <w:bookmarkEnd w:id="109"/>
    </w:p>
    <w:p w14:paraId="1DD37E42" w14:textId="10475F93" w:rsidR="00D93E58" w:rsidRPr="00994104" w:rsidRDefault="00041C4A" w:rsidP="00B94030">
      <w:pPr>
        <w:pStyle w:val="ListNumber3"/>
      </w:pPr>
      <w:r>
        <w:t xml:space="preserve">A </w:t>
      </w:r>
      <w:r w:rsidR="00F00E34">
        <w:t xml:space="preserve">staff judge should </w:t>
      </w:r>
      <w:r w:rsidR="00D93E58" w:rsidRPr="00994104">
        <w:t>explain the Court/Tribunal’s commitment to eliminating sexual harassment and other misconduct, including bullying of staff</w:t>
      </w:r>
      <w:r w:rsidR="00F91FB5">
        <w:t xml:space="preserve"> by judges and others</w:t>
      </w:r>
      <w:r w:rsidR="00D93E58" w:rsidRPr="00994104">
        <w:t>.</w:t>
      </w:r>
    </w:p>
    <w:p w14:paraId="5F384CA5" w14:textId="0F573592" w:rsidR="00D93E58" w:rsidRDefault="00041C4A" w:rsidP="00B94030">
      <w:pPr>
        <w:pStyle w:val="ListNumber2"/>
      </w:pPr>
      <w:r>
        <w:rPr>
          <w:szCs w:val="23"/>
        </w:rPr>
        <w:t>A</w:t>
      </w:r>
      <w:r>
        <w:t xml:space="preserve"> </w:t>
      </w:r>
      <w:r w:rsidR="00C94C6F">
        <w:rPr>
          <w:szCs w:val="23"/>
        </w:rPr>
        <w:t xml:space="preserve">staff judge should be available </w:t>
      </w:r>
      <w:r w:rsidR="00C24C5B">
        <w:t>(among other options)</w:t>
      </w:r>
      <w:r w:rsidR="00994104">
        <w:t xml:space="preserve">, at least as a first contact, </w:t>
      </w:r>
      <w:r w:rsidR="00C81CC7">
        <w:t xml:space="preserve">to </w:t>
      </w:r>
      <w:r w:rsidR="00D93E58">
        <w:t xml:space="preserve">CSV-employed staff </w:t>
      </w:r>
      <w:r w:rsidR="00C81CC7">
        <w:t xml:space="preserve">who </w:t>
      </w:r>
      <w:r w:rsidR="00BA3347">
        <w:t xml:space="preserve">wish </w:t>
      </w:r>
      <w:r w:rsidR="00D65BE5">
        <w:t xml:space="preserve">to raise difficulties </w:t>
      </w:r>
      <w:r w:rsidR="007B59C9">
        <w:t xml:space="preserve">they are experiencing </w:t>
      </w:r>
      <w:r w:rsidR="00D65BE5">
        <w:t xml:space="preserve">with </w:t>
      </w:r>
      <w:r w:rsidR="00D93E58">
        <w:t xml:space="preserve">a </w:t>
      </w:r>
      <w:r w:rsidR="00FC5D05">
        <w:rPr>
          <w:lang w:val="en-US"/>
        </w:rPr>
        <w:t>judicial officer</w:t>
      </w:r>
      <w:r w:rsidR="00FC5D05">
        <w:t xml:space="preserve"> </w:t>
      </w:r>
      <w:r w:rsidR="007B59C9">
        <w:t xml:space="preserve">and </w:t>
      </w:r>
      <w:r w:rsidR="00BA3347">
        <w:t>should</w:t>
      </w:r>
      <w:r w:rsidR="007B59C9">
        <w:t xml:space="preserve">, if </w:t>
      </w:r>
      <w:r w:rsidR="00BA3347">
        <w:t xml:space="preserve">necessary, </w:t>
      </w:r>
      <w:r w:rsidR="00C92937">
        <w:t xml:space="preserve">also </w:t>
      </w:r>
      <w:r w:rsidR="00BA3347">
        <w:t xml:space="preserve">receive </w:t>
      </w:r>
      <w:r w:rsidR="00D93E58">
        <w:t xml:space="preserve">complaints about a </w:t>
      </w:r>
      <w:r w:rsidR="00FC5D05">
        <w:rPr>
          <w:lang w:val="en-US"/>
        </w:rPr>
        <w:t>judicial officer’s</w:t>
      </w:r>
      <w:r w:rsidR="00C92937">
        <w:t xml:space="preserve"> </w:t>
      </w:r>
      <w:r w:rsidR="00D93E58">
        <w:t>conduct</w:t>
      </w:r>
      <w:r w:rsidR="000579B7">
        <w:t>.</w:t>
      </w:r>
    </w:p>
    <w:p w14:paraId="0DE1454A" w14:textId="0D70455B" w:rsidR="00D93E58" w:rsidRDefault="00041C4A" w:rsidP="00B94030">
      <w:pPr>
        <w:pStyle w:val="ListNumber2"/>
      </w:pPr>
      <w:r>
        <w:t>A</w:t>
      </w:r>
      <w:r>
        <w:rPr>
          <w:szCs w:val="23"/>
        </w:rPr>
        <w:t xml:space="preserve"> </w:t>
      </w:r>
      <w:r w:rsidR="00BA3347">
        <w:t xml:space="preserve">staff judge should </w:t>
      </w:r>
      <w:r w:rsidR="00C92937">
        <w:t xml:space="preserve">liaise with or </w:t>
      </w:r>
      <w:r w:rsidR="00633BEE">
        <w:t xml:space="preserve">be </w:t>
      </w:r>
      <w:r w:rsidR="00C24C5B">
        <w:t xml:space="preserve">available to </w:t>
      </w:r>
      <w:proofErr w:type="gramStart"/>
      <w:r w:rsidR="00D93E58">
        <w:t xml:space="preserve">speak </w:t>
      </w:r>
      <w:r w:rsidR="00C24C5B">
        <w:t>formally or informally,</w:t>
      </w:r>
      <w:proofErr w:type="gramEnd"/>
      <w:r w:rsidR="00C24C5B">
        <w:t xml:space="preserve"> </w:t>
      </w:r>
      <w:r w:rsidR="00A30A08">
        <w:t xml:space="preserve">to </w:t>
      </w:r>
      <w:r w:rsidR="00D93E58">
        <w:t xml:space="preserve">any judicial officer (with or without the head of jurisdiction) </w:t>
      </w:r>
      <w:r w:rsidR="007B59C9">
        <w:t xml:space="preserve">who has been the subject of </w:t>
      </w:r>
      <w:r w:rsidR="00D93E58">
        <w:t xml:space="preserve">a complaint </w:t>
      </w:r>
      <w:r w:rsidR="007B59C9">
        <w:t xml:space="preserve">or query </w:t>
      </w:r>
      <w:r w:rsidR="00D93E58">
        <w:t xml:space="preserve">to </w:t>
      </w:r>
      <w:r w:rsidR="007B59C9">
        <w:t xml:space="preserve">advise or counsel </w:t>
      </w:r>
      <w:r w:rsidR="00633BEE">
        <w:t xml:space="preserve">the judge </w:t>
      </w:r>
      <w:r w:rsidR="007B59C9">
        <w:t xml:space="preserve">in accordance with </w:t>
      </w:r>
      <w:r w:rsidR="00D93E58">
        <w:t xml:space="preserve">in the </w:t>
      </w:r>
      <w:r w:rsidR="00D93E58">
        <w:rPr>
          <w:i/>
          <w:iCs/>
        </w:rPr>
        <w:t>Judicial Conduct Guideline: Sexual Harassment</w:t>
      </w:r>
      <w:r w:rsidR="000579B7">
        <w:t>.</w:t>
      </w:r>
    </w:p>
    <w:p w14:paraId="162BD837" w14:textId="00384577" w:rsidR="00D93E58" w:rsidRDefault="00041C4A" w:rsidP="00B94030">
      <w:pPr>
        <w:pStyle w:val="ListNumber2"/>
      </w:pPr>
      <w:bookmarkStart w:id="110" w:name="_Ref108732591"/>
      <w:r>
        <w:rPr>
          <w:szCs w:val="23"/>
        </w:rPr>
        <w:lastRenderedPageBreak/>
        <w:t>A</w:t>
      </w:r>
      <w:r>
        <w:t xml:space="preserve"> </w:t>
      </w:r>
      <w:r w:rsidR="000579B7">
        <w:rPr>
          <w:szCs w:val="23"/>
        </w:rPr>
        <w:t xml:space="preserve">staff judge should </w:t>
      </w:r>
      <w:r w:rsidR="00C04677">
        <w:rPr>
          <w:szCs w:val="23"/>
        </w:rPr>
        <w:t xml:space="preserve">liaise with or </w:t>
      </w:r>
      <w:r w:rsidR="00D93E58">
        <w:t>meet on a regular basis the head of jurisdiction</w:t>
      </w:r>
      <w:r w:rsidR="00D811F1">
        <w:t>,</w:t>
      </w:r>
      <w:r w:rsidR="00704B18">
        <w:rPr>
          <w:rFonts w:ascii="ZWAdobeF" w:hAnsi="ZWAdobeF" w:cs="ZWAdobeF"/>
          <w:sz w:val="2"/>
          <w:szCs w:val="2"/>
        </w:rPr>
        <w:t>123F</w:t>
      </w:r>
      <w:r w:rsidR="00D811F1">
        <w:rPr>
          <w:rStyle w:val="FootnoteReference"/>
        </w:rPr>
        <w:footnoteReference w:id="100"/>
      </w:r>
      <w:r w:rsidR="00D93E58">
        <w:t xml:space="preserve"> </w:t>
      </w:r>
      <w:r w:rsidR="004E10AF">
        <w:t>and the CEO (or other appropriate person</w:t>
      </w:r>
      <w:r w:rsidR="00605A5C">
        <w:t xml:space="preserve"> in the administration of the Court or Tribunal</w:t>
      </w:r>
      <w:r w:rsidR="004E10AF">
        <w:t>) to:</w:t>
      </w:r>
      <w:bookmarkEnd w:id="110"/>
    </w:p>
    <w:p w14:paraId="2B126F87" w14:textId="3BCBAD21" w:rsidR="00D93E58" w:rsidRPr="00994104" w:rsidRDefault="00BD6416" w:rsidP="00B94030">
      <w:pPr>
        <w:pStyle w:val="ListNumber3"/>
      </w:pPr>
      <w:r>
        <w:t xml:space="preserve">bring </w:t>
      </w:r>
      <w:r w:rsidR="00D93E58" w:rsidRPr="00994104">
        <w:t>any matters relevant to CSV’s responsibilities under occupational health and safety legislation to CSV’s attention</w:t>
      </w:r>
      <w:r w:rsidR="009453E7">
        <w:t>;</w:t>
      </w:r>
      <w:r w:rsidR="00704B18">
        <w:rPr>
          <w:rFonts w:ascii="ZWAdobeF" w:hAnsi="ZWAdobeF" w:cs="ZWAdobeF"/>
          <w:sz w:val="2"/>
          <w:szCs w:val="2"/>
        </w:rPr>
        <w:t>124F</w:t>
      </w:r>
      <w:r w:rsidR="009453E7">
        <w:rPr>
          <w:rStyle w:val="FootnoteReference"/>
          <w:szCs w:val="23"/>
        </w:rPr>
        <w:footnoteReference w:id="101"/>
      </w:r>
      <w:r w:rsidR="00D93E58" w:rsidRPr="00994104">
        <w:t xml:space="preserve"> </w:t>
      </w:r>
    </w:p>
    <w:p w14:paraId="7D4D54B2" w14:textId="226EC6CB" w:rsidR="00D93E58" w:rsidRPr="00DD10D6" w:rsidRDefault="00D651EB" w:rsidP="00B94030">
      <w:pPr>
        <w:pStyle w:val="ListNumber3"/>
      </w:pPr>
      <w:r>
        <w:t xml:space="preserve">provide </w:t>
      </w:r>
      <w:r w:rsidR="00D93E58" w:rsidRPr="00994104">
        <w:t xml:space="preserve">CSV </w:t>
      </w:r>
      <w:r>
        <w:t xml:space="preserve">with a brief </w:t>
      </w:r>
      <w:r w:rsidR="00D93E58" w:rsidRPr="00994104">
        <w:t xml:space="preserve">record of </w:t>
      </w:r>
      <w:r>
        <w:t xml:space="preserve">any </w:t>
      </w:r>
      <w:r w:rsidR="00B966C1">
        <w:t xml:space="preserve">relevant communication or </w:t>
      </w:r>
      <w:r w:rsidR="00D93E58" w:rsidRPr="00994104">
        <w:t>complaint (</w:t>
      </w:r>
      <w:r w:rsidR="00D93E58" w:rsidRPr="00DD10D6">
        <w:t xml:space="preserve">see </w:t>
      </w:r>
      <w:r w:rsidR="00995387" w:rsidRPr="00995387">
        <w:rPr>
          <w:b/>
          <w:bCs/>
        </w:rPr>
        <w:t xml:space="preserve">Recommendation </w:t>
      </w:r>
      <w:r w:rsidR="006F192D" w:rsidRPr="00995387">
        <w:rPr>
          <w:b/>
          <w:bCs/>
        </w:rPr>
        <w:fldChar w:fldCharType="begin"/>
      </w:r>
      <w:r w:rsidR="006F192D" w:rsidRPr="00995387">
        <w:rPr>
          <w:b/>
          <w:bCs/>
        </w:rPr>
        <w:instrText xml:space="preserve"> REF _Ref108727935 \r \h </w:instrText>
      </w:r>
      <w:r w:rsidR="00B94030" w:rsidRPr="00995387">
        <w:rPr>
          <w:b/>
          <w:bCs/>
        </w:rPr>
        <w:instrText xml:space="preserve"> \* MERGEFORMAT </w:instrText>
      </w:r>
      <w:r w:rsidR="006F192D" w:rsidRPr="00995387">
        <w:rPr>
          <w:b/>
          <w:bCs/>
        </w:rPr>
      </w:r>
      <w:r w:rsidR="006F192D" w:rsidRPr="00995387">
        <w:rPr>
          <w:b/>
          <w:bCs/>
        </w:rPr>
        <w:fldChar w:fldCharType="separate"/>
      </w:r>
      <w:r w:rsidR="00CF093C">
        <w:rPr>
          <w:b/>
          <w:bCs/>
        </w:rPr>
        <w:t>9</w:t>
      </w:r>
      <w:r w:rsidR="006F192D" w:rsidRPr="00995387">
        <w:rPr>
          <w:b/>
          <w:bCs/>
        </w:rPr>
        <w:fldChar w:fldCharType="end"/>
      </w:r>
      <w:r w:rsidR="00D93E58" w:rsidRPr="00DA404D">
        <w:t>);</w:t>
      </w:r>
      <w:r w:rsidR="00D93E58" w:rsidRPr="00DD10D6">
        <w:t xml:space="preserve"> and</w:t>
      </w:r>
    </w:p>
    <w:p w14:paraId="1AB73BE2" w14:textId="6FF3792B" w:rsidR="00D93E58" w:rsidRPr="00DD10D6" w:rsidRDefault="00D93E58" w:rsidP="00B94030">
      <w:pPr>
        <w:pStyle w:val="ListNumber3"/>
      </w:pPr>
      <w:r w:rsidRPr="00DD10D6">
        <w:t xml:space="preserve">where necessary </w:t>
      </w:r>
      <w:proofErr w:type="gramStart"/>
      <w:r w:rsidR="00660C79" w:rsidRPr="00DD10D6">
        <w:t>advise</w:t>
      </w:r>
      <w:proofErr w:type="gramEnd"/>
      <w:r w:rsidR="00660C79" w:rsidRPr="00DD10D6">
        <w:t xml:space="preserve"> </w:t>
      </w:r>
      <w:r w:rsidRPr="00DD10D6">
        <w:t xml:space="preserve">CSV </w:t>
      </w:r>
      <w:r w:rsidR="00660C79" w:rsidRPr="00DD10D6">
        <w:t>(</w:t>
      </w:r>
      <w:r w:rsidRPr="00DD10D6">
        <w:t>with the consent of the staff member concerned</w:t>
      </w:r>
      <w:r w:rsidR="00660C79" w:rsidRPr="00DD10D6">
        <w:t>)</w:t>
      </w:r>
      <w:r w:rsidRPr="00DD10D6">
        <w:t xml:space="preserve"> that the staff member should be re-assigned to a different judicial officer or </w:t>
      </w:r>
      <w:r w:rsidR="00660C79" w:rsidRPr="00DD10D6">
        <w:t xml:space="preserve">an equivalent </w:t>
      </w:r>
      <w:r w:rsidRPr="00DD10D6">
        <w:t xml:space="preserve">position in the Court or Tribunal (see also </w:t>
      </w:r>
      <w:r w:rsidRPr="00995387">
        <w:rPr>
          <w:b/>
          <w:bCs/>
        </w:rPr>
        <w:t xml:space="preserve">Recommendation </w:t>
      </w:r>
      <w:r w:rsidR="00AD13D8" w:rsidRPr="00995387">
        <w:rPr>
          <w:b/>
          <w:bCs/>
        </w:rPr>
        <w:fldChar w:fldCharType="begin"/>
      </w:r>
      <w:r w:rsidR="00AD13D8" w:rsidRPr="00995387">
        <w:rPr>
          <w:b/>
          <w:bCs/>
        </w:rPr>
        <w:instrText xml:space="preserve"> REF _Ref108727445 \r \h </w:instrText>
      </w:r>
      <w:r w:rsidR="00B94030" w:rsidRPr="00995387">
        <w:rPr>
          <w:b/>
          <w:bCs/>
        </w:rPr>
        <w:instrText xml:space="preserve"> \* MERGEFORMAT </w:instrText>
      </w:r>
      <w:r w:rsidR="00AD13D8" w:rsidRPr="00995387">
        <w:rPr>
          <w:b/>
          <w:bCs/>
        </w:rPr>
      </w:r>
      <w:r w:rsidR="00AD13D8" w:rsidRPr="00995387">
        <w:rPr>
          <w:b/>
          <w:bCs/>
        </w:rPr>
        <w:fldChar w:fldCharType="separate"/>
      </w:r>
      <w:r w:rsidR="00CF093C">
        <w:rPr>
          <w:b/>
          <w:bCs/>
        </w:rPr>
        <w:t>15</w:t>
      </w:r>
      <w:r w:rsidR="00AD13D8" w:rsidRPr="00995387">
        <w:rPr>
          <w:b/>
          <w:bCs/>
        </w:rPr>
        <w:fldChar w:fldCharType="end"/>
      </w:r>
      <w:r w:rsidRPr="00DA404D">
        <w:t>).</w:t>
      </w:r>
      <w:r w:rsidRPr="00DD10D6">
        <w:t xml:space="preserve"> </w:t>
      </w:r>
    </w:p>
    <w:p w14:paraId="4D26A681" w14:textId="0C83CE35" w:rsidR="00910BE9" w:rsidRDefault="00C15BC2" w:rsidP="00DA404D">
      <w:pPr>
        <w:pStyle w:val="Heading5"/>
      </w:pPr>
      <w:bookmarkStart w:id="111" w:name="_Ref108733185"/>
      <w:r>
        <w:t xml:space="preserve">We recommend that where staff judges are appointed, the courts </w:t>
      </w:r>
      <w:r w:rsidR="00727C6E">
        <w:rPr>
          <w:lang w:val="en-US"/>
        </w:rPr>
        <w:t>and VCAT</w:t>
      </w:r>
      <w:r w:rsidR="00727C6E">
        <w:t xml:space="preserve"> </w:t>
      </w:r>
      <w:r>
        <w:t xml:space="preserve">should </w:t>
      </w:r>
      <w:r w:rsidR="0095619D">
        <w:t xml:space="preserve">appropriately </w:t>
      </w:r>
      <w:r>
        <w:t>recognise their additional responsibilities and role</w:t>
      </w:r>
      <w:bookmarkEnd w:id="111"/>
      <w:r w:rsidR="00340789">
        <w:t>.</w:t>
      </w:r>
    </w:p>
    <w:p w14:paraId="5ECE8D43" w14:textId="6B8A57A1" w:rsidR="00910BE9" w:rsidRDefault="009B126B" w:rsidP="00DA404D">
      <w:pPr>
        <w:pStyle w:val="ListNumber2"/>
        <w:spacing w:before="240"/>
      </w:pPr>
      <w:r>
        <w:t>Depending on the size of the court</w:t>
      </w:r>
      <w:r w:rsidR="00CB3A33">
        <w:t xml:space="preserve"> or tribunal</w:t>
      </w:r>
      <w:r>
        <w:t xml:space="preserve">, </w:t>
      </w:r>
      <w:r w:rsidR="00910BE9">
        <w:t>the role</w:t>
      </w:r>
      <w:r w:rsidR="00B80DCB">
        <w:t xml:space="preserve"> </w:t>
      </w:r>
      <w:r w:rsidR="00910BE9">
        <w:t xml:space="preserve">of a “staff judge” </w:t>
      </w:r>
      <w:r>
        <w:t xml:space="preserve">may </w:t>
      </w:r>
      <w:r w:rsidR="003E346F">
        <w:t>require a significant commitment</w:t>
      </w:r>
      <w:r w:rsidR="006752D4">
        <w:t xml:space="preserve"> of time and effort</w:t>
      </w:r>
      <w:r w:rsidR="003E346F">
        <w:t>.</w:t>
      </w:r>
      <w:r w:rsidR="00704B18">
        <w:rPr>
          <w:rFonts w:ascii="ZWAdobeF" w:hAnsi="ZWAdobeF" w:cs="ZWAdobeF"/>
          <w:sz w:val="2"/>
          <w:szCs w:val="2"/>
        </w:rPr>
        <w:t>125</w:t>
      </w:r>
      <w:proofErr w:type="gramStart"/>
      <w:r w:rsidR="00704B18">
        <w:rPr>
          <w:rFonts w:ascii="ZWAdobeF" w:hAnsi="ZWAdobeF" w:cs="ZWAdobeF"/>
          <w:sz w:val="2"/>
          <w:szCs w:val="2"/>
        </w:rPr>
        <w:t>F</w:t>
      </w:r>
      <w:r w:rsidR="002F2A9E" w:rsidRPr="00994104">
        <w:t xml:space="preserve"> </w:t>
      </w:r>
      <w:r w:rsidR="003E346F">
        <w:t xml:space="preserve"> </w:t>
      </w:r>
      <w:r w:rsidR="00910BE9">
        <w:t>It</w:t>
      </w:r>
      <w:proofErr w:type="gramEnd"/>
      <w:r w:rsidR="00910BE9">
        <w:t xml:space="preserve"> </w:t>
      </w:r>
      <w:r w:rsidR="0095619D">
        <w:t>c</w:t>
      </w:r>
      <w:r w:rsidR="00910BE9">
        <w:t xml:space="preserve">ould be necessary to adjust the regular </w:t>
      </w:r>
      <w:r w:rsidR="003E346F">
        <w:t xml:space="preserve">duties and </w:t>
      </w:r>
      <w:r w:rsidR="00910BE9">
        <w:t xml:space="preserve">case load of the relevant </w:t>
      </w:r>
      <w:r w:rsidR="007212EC">
        <w:rPr>
          <w:lang w:val="en-US"/>
        </w:rPr>
        <w:t>judicial officers</w:t>
      </w:r>
      <w:r w:rsidR="00910BE9">
        <w:t xml:space="preserve"> to take account of the time and responsibilities involved.  The </w:t>
      </w:r>
      <w:r w:rsidR="00C338E4">
        <w:t xml:space="preserve">responsibilities and requirements of the role will not suit all </w:t>
      </w:r>
      <w:r w:rsidR="007212EC">
        <w:rPr>
          <w:lang w:val="en-US"/>
        </w:rPr>
        <w:t>judicial officers.</w:t>
      </w:r>
      <w:r w:rsidR="00C338E4">
        <w:t xml:space="preserve">  </w:t>
      </w:r>
      <w:r w:rsidR="00144E1E">
        <w:t xml:space="preserve">The role </w:t>
      </w:r>
      <w:r w:rsidR="00C338E4">
        <w:t>call</w:t>
      </w:r>
      <w:r w:rsidR="00144E1E">
        <w:t>s</w:t>
      </w:r>
      <w:r w:rsidR="00C338E4">
        <w:t xml:space="preserve"> for an approachable person with communication skills, </w:t>
      </w:r>
      <w:proofErr w:type="gramStart"/>
      <w:r w:rsidR="00C338E4">
        <w:t>discretion</w:t>
      </w:r>
      <w:proofErr w:type="gramEnd"/>
      <w:r w:rsidR="00C338E4">
        <w:t xml:space="preserve"> and requisite </w:t>
      </w:r>
      <w:r w:rsidR="001A1D3C">
        <w:t>seniority</w:t>
      </w:r>
      <w:r w:rsidR="0087222E">
        <w:t xml:space="preserve">.  </w:t>
      </w:r>
      <w:r w:rsidR="00F62045">
        <w:t xml:space="preserve">At </w:t>
      </w:r>
      <w:r w:rsidR="00910BE9">
        <w:t>least some targeted training</w:t>
      </w:r>
      <w:r w:rsidR="00F62045">
        <w:t xml:space="preserve"> may be required</w:t>
      </w:r>
      <w:r w:rsidR="00910BE9">
        <w:t xml:space="preserve">.  </w:t>
      </w:r>
      <w:r w:rsidR="00F62045">
        <w:t xml:space="preserve">Not every </w:t>
      </w:r>
      <w:r w:rsidR="007212EC">
        <w:rPr>
          <w:lang w:val="en-US"/>
        </w:rPr>
        <w:t>judicial officer</w:t>
      </w:r>
      <w:r w:rsidR="007212EC">
        <w:t xml:space="preserve"> </w:t>
      </w:r>
      <w:r w:rsidR="00F62045">
        <w:t>would be willing to assume the role, and t</w:t>
      </w:r>
      <w:r w:rsidR="009937DA">
        <w:t xml:space="preserve">he recommendation assumes that suitable </w:t>
      </w:r>
      <w:r w:rsidR="007212EC">
        <w:rPr>
          <w:lang w:val="en-US"/>
        </w:rPr>
        <w:t>judicial officers</w:t>
      </w:r>
      <w:r w:rsidR="009937DA">
        <w:t xml:space="preserve"> will be willing</w:t>
      </w:r>
      <w:r w:rsidR="00144E1E">
        <w:t xml:space="preserve"> to serve</w:t>
      </w:r>
      <w:r w:rsidR="009937DA">
        <w:t xml:space="preserve">.  </w:t>
      </w:r>
      <w:r w:rsidR="00910BE9">
        <w:t>It will ultimately be a matter for the head of jurisdiction to decide on the appropriate number</w:t>
      </w:r>
      <w:r w:rsidR="007C30E2">
        <w:t xml:space="preserve"> of </w:t>
      </w:r>
      <w:r w:rsidR="00D85DE2">
        <w:t xml:space="preserve">staff </w:t>
      </w:r>
      <w:r w:rsidR="007C30E2">
        <w:t xml:space="preserve">judges, select and approach suitable candidates and decide on </w:t>
      </w:r>
      <w:r w:rsidR="0095619D">
        <w:t xml:space="preserve">any </w:t>
      </w:r>
      <w:r w:rsidR="007C30E2">
        <w:t>necessary adjustment to their duties</w:t>
      </w:r>
      <w:r w:rsidR="00910BE9">
        <w:t xml:space="preserve">. </w:t>
      </w:r>
    </w:p>
    <w:p w14:paraId="7A15232B" w14:textId="474FC507" w:rsidR="007B59C9" w:rsidRDefault="00792AE3" w:rsidP="00DA404D">
      <w:pPr>
        <w:pStyle w:val="Heading5"/>
      </w:pPr>
      <w:r>
        <w:t>We recommend</w:t>
      </w:r>
      <w:r w:rsidR="0095619D">
        <w:t>, consistently with recommendation 1 of the Szoke Report,</w:t>
      </w:r>
      <w:r>
        <w:t xml:space="preserve"> that the </w:t>
      </w:r>
      <w:r w:rsidRPr="00BD409B">
        <w:t>head</w:t>
      </w:r>
      <w:r>
        <w:t>s</w:t>
      </w:r>
      <w:r w:rsidRPr="00BD409B">
        <w:t xml:space="preserve"> of jurisdiction </w:t>
      </w:r>
      <w:r w:rsidR="00412038">
        <w:t xml:space="preserve">and other leaders </w:t>
      </w:r>
      <w:r>
        <w:t xml:space="preserve">in Victorian courts and VCAT publicly communicate </w:t>
      </w:r>
      <w:r w:rsidR="00F61E65" w:rsidRPr="00BD409B">
        <w:t xml:space="preserve">at </w:t>
      </w:r>
      <w:r w:rsidR="00F61E65">
        <w:t xml:space="preserve">regular intervals </w:t>
      </w:r>
      <w:r>
        <w:t xml:space="preserve">a </w:t>
      </w:r>
      <w:r w:rsidRPr="00BD409B">
        <w:t xml:space="preserve">clear message to </w:t>
      </w:r>
      <w:r w:rsidR="00897138">
        <w:rPr>
          <w:lang w:val="en-US"/>
        </w:rPr>
        <w:t>judicial officers</w:t>
      </w:r>
      <w:r>
        <w:t xml:space="preserve"> and court </w:t>
      </w:r>
      <w:r w:rsidRPr="00BD409B">
        <w:t xml:space="preserve">staff that </w:t>
      </w:r>
      <w:r>
        <w:t xml:space="preserve">the court prioritises a safe </w:t>
      </w:r>
      <w:proofErr w:type="gramStart"/>
      <w:r>
        <w:t>workplace, and</w:t>
      </w:r>
      <w:proofErr w:type="gramEnd"/>
      <w:r>
        <w:t xml:space="preserve"> will not tolerate </w:t>
      </w:r>
      <w:r w:rsidRPr="00BD409B">
        <w:t xml:space="preserve">sexual harassment </w:t>
      </w:r>
      <w:r>
        <w:t xml:space="preserve">or </w:t>
      </w:r>
      <w:r w:rsidRPr="00BD409B">
        <w:t>bullying</w:t>
      </w:r>
      <w:r>
        <w:t>.</w:t>
      </w:r>
    </w:p>
    <w:p w14:paraId="0E801A2C" w14:textId="3261022E" w:rsidR="009810BB" w:rsidRDefault="005B038A" w:rsidP="00DA404D">
      <w:pPr>
        <w:pStyle w:val="ListNumber2"/>
      </w:pPr>
      <w:r w:rsidRPr="00C54E7E">
        <w:t xml:space="preserve">The head of jurisdiction has an important role in </w:t>
      </w:r>
      <w:r w:rsidR="00C36C77" w:rsidRPr="00C54E7E">
        <w:t xml:space="preserve">establishing </w:t>
      </w:r>
      <w:r w:rsidRPr="00C54E7E">
        <w:t xml:space="preserve">the culture of each Court and tribunal, </w:t>
      </w:r>
      <w:r w:rsidR="006D4B5B">
        <w:t xml:space="preserve">in messaging a commitment to eliminate judicial misconduct, </w:t>
      </w:r>
      <w:r w:rsidR="006D4B5B">
        <w:lastRenderedPageBreak/>
        <w:t xml:space="preserve">including sexual harassment, </w:t>
      </w:r>
      <w:r w:rsidRPr="00C54E7E">
        <w:t xml:space="preserve">and </w:t>
      </w:r>
      <w:r w:rsidR="004A52C5">
        <w:t xml:space="preserve">in </w:t>
      </w:r>
      <w:r w:rsidR="00C36C77" w:rsidRPr="00C54E7E">
        <w:t xml:space="preserve">defining </w:t>
      </w:r>
      <w:r w:rsidRPr="00C54E7E">
        <w:t xml:space="preserve">the limits of acceptable behaviour by </w:t>
      </w:r>
      <w:r w:rsidR="00897138">
        <w:rPr>
          <w:lang w:val="en-US"/>
        </w:rPr>
        <w:t>judicial officers.</w:t>
      </w:r>
      <w:r w:rsidRPr="00C54E7E">
        <w:t xml:space="preserve">  </w:t>
      </w:r>
    </w:p>
    <w:p w14:paraId="0B7EB590" w14:textId="7C44AF23" w:rsidR="009111D2" w:rsidRDefault="005B038A" w:rsidP="00DA404D">
      <w:pPr>
        <w:pStyle w:val="ListNumber2"/>
      </w:pPr>
      <w:r w:rsidRPr="00C54E7E">
        <w:t xml:space="preserve">In Victoria, </w:t>
      </w:r>
      <w:r w:rsidR="004A52C5">
        <w:t xml:space="preserve">the heads of jurisdiction have already </w:t>
      </w:r>
      <w:r w:rsidR="00083772">
        <w:t>made significant advances in this respect.</w:t>
      </w:r>
      <w:r w:rsidR="009A6021">
        <w:t xml:space="preserve">  </w:t>
      </w:r>
      <w:r w:rsidR="009A6021" w:rsidRPr="00C54E7E">
        <w:t xml:space="preserve">The </w:t>
      </w:r>
      <w:r w:rsidR="007A3AB1" w:rsidRPr="00C54E7E">
        <w:t>Chief Justice</w:t>
      </w:r>
      <w:r w:rsidR="009A6021">
        <w:t xml:space="preserve"> of the Supreme Court of Victoria published strong</w:t>
      </w:r>
      <w:r w:rsidR="007A3AB1" w:rsidRPr="00C54E7E">
        <w:t xml:space="preserve"> </w:t>
      </w:r>
      <w:r w:rsidRPr="00C54E7E">
        <w:t>statements on the Court’s website following the publication of the Szoke Report and the revelation of allegations against former Justice Vickery.</w:t>
      </w:r>
      <w:r w:rsidR="00813C2A" w:rsidRPr="00C54E7E">
        <w:rPr>
          <w:rFonts w:ascii="ZWAdobeF" w:hAnsi="ZWAdobeF" w:cs="ZWAdobeF"/>
          <w:sz w:val="2"/>
          <w:szCs w:val="2"/>
        </w:rPr>
        <w:t>97F</w:t>
      </w:r>
      <w:r w:rsidR="00704B18">
        <w:rPr>
          <w:rFonts w:ascii="ZWAdobeF" w:hAnsi="ZWAdobeF" w:cs="ZWAdobeF"/>
          <w:sz w:val="2"/>
          <w:szCs w:val="2"/>
        </w:rPr>
        <w:t>126F</w:t>
      </w:r>
      <w:r w:rsidRPr="00C54E7E">
        <w:rPr>
          <w:rStyle w:val="FootnoteReference"/>
        </w:rPr>
        <w:footnoteReference w:id="102"/>
      </w:r>
      <w:r w:rsidRPr="00C54E7E">
        <w:t xml:space="preserve"> </w:t>
      </w:r>
      <w:r w:rsidR="007A3AB1" w:rsidRPr="00C54E7E">
        <w:t xml:space="preserve"> Our</w:t>
      </w:r>
      <w:r w:rsidR="005C681C">
        <w:t> </w:t>
      </w:r>
      <w:r w:rsidR="007A3AB1" w:rsidRPr="00C54E7E">
        <w:t xml:space="preserve">consultations indicate that the statements made a </w:t>
      </w:r>
      <w:r w:rsidR="00B53D6D">
        <w:t xml:space="preserve">significant </w:t>
      </w:r>
      <w:r w:rsidR="00083772">
        <w:t xml:space="preserve">and favourable </w:t>
      </w:r>
      <w:r w:rsidR="00B53D6D">
        <w:t xml:space="preserve">impression </w:t>
      </w:r>
      <w:r w:rsidR="007A3AB1" w:rsidRPr="00C54E7E">
        <w:t xml:space="preserve">on associates.  </w:t>
      </w:r>
      <w:r w:rsidRPr="00C54E7E">
        <w:t xml:space="preserve">In the County Court, the head of jurisdiction has </w:t>
      </w:r>
      <w:r w:rsidR="007A3AB1" w:rsidRPr="00C54E7E">
        <w:t xml:space="preserve">proactively </w:t>
      </w:r>
      <w:r w:rsidRPr="00C54E7E">
        <w:t xml:space="preserve">emphasised required standards of conduct in memoranda on the Court’s intranet.  </w:t>
      </w:r>
      <w:r w:rsidR="00F76AF3">
        <w:rPr>
          <w:lang w:val="en-US"/>
        </w:rPr>
        <w:t>In the Coroners Court, the State Coroner meets new staff on their induction.</w:t>
      </w:r>
      <w:r w:rsidR="00F76AF3" w:rsidRPr="00C54E7E">
        <w:t xml:space="preserve"> </w:t>
      </w:r>
      <w:r w:rsidR="00F76AF3">
        <w:t xml:space="preserve"> </w:t>
      </w:r>
      <w:r w:rsidRPr="00C54E7E">
        <w:t xml:space="preserve">In the Magistrates’ Court and VCAT, the message has been conveyed through </w:t>
      </w:r>
      <w:r w:rsidR="009810BB">
        <w:t>“</w:t>
      </w:r>
      <w:r w:rsidRPr="00C54E7E">
        <w:t>Town Hall</w:t>
      </w:r>
      <w:r w:rsidR="009810BB">
        <w:t>”</w:t>
      </w:r>
      <w:r w:rsidRPr="00C54E7E">
        <w:t xml:space="preserve"> meetings conducted virtually by Zoom or Teams.  During those </w:t>
      </w:r>
      <w:r w:rsidR="009810BB">
        <w:t>“</w:t>
      </w:r>
      <w:r w:rsidRPr="00C54E7E">
        <w:t>Town Hall</w:t>
      </w:r>
      <w:r w:rsidR="009810BB">
        <w:t>”</w:t>
      </w:r>
      <w:r w:rsidRPr="00C54E7E">
        <w:t xml:space="preserve"> meetings, the Chief Magistrate and VCAT President, and the CEO</w:t>
      </w:r>
      <w:r w:rsidR="00F24D04">
        <w:t>s</w:t>
      </w:r>
      <w:r w:rsidRPr="00C54E7E">
        <w:t xml:space="preserve"> of the Court and Tribunal, </w:t>
      </w:r>
      <w:r w:rsidR="00C36C77" w:rsidRPr="00C54E7E">
        <w:t xml:space="preserve">have spoken </w:t>
      </w:r>
      <w:r w:rsidRPr="00C54E7E">
        <w:t>to many Court or Tribunal staff about sexual harassment risks</w:t>
      </w:r>
      <w:r w:rsidR="00C36C77" w:rsidRPr="00C54E7E">
        <w:t>.  They have</w:t>
      </w:r>
      <w:r w:rsidRPr="00C54E7E">
        <w:t xml:space="preserve"> reaffirm</w:t>
      </w:r>
      <w:r w:rsidR="00C36C77" w:rsidRPr="00C54E7E">
        <w:t>ed</w:t>
      </w:r>
      <w:r w:rsidRPr="00C54E7E">
        <w:t xml:space="preserve"> their commitment to eliminating the risk and </w:t>
      </w:r>
      <w:r w:rsidR="009111D2">
        <w:t xml:space="preserve">their </w:t>
      </w:r>
      <w:r w:rsidRPr="00C54E7E">
        <w:t xml:space="preserve">“zero tolerance” approach to sexual harassment.  </w:t>
      </w:r>
      <w:r w:rsidR="006D2D8F" w:rsidRPr="00C54E7E">
        <w:t xml:space="preserve">Magistrates’ Court </w:t>
      </w:r>
      <w:proofErr w:type="spellStart"/>
      <w:r w:rsidR="00CC6DA4">
        <w:t>Court</w:t>
      </w:r>
      <w:proofErr w:type="spellEnd"/>
      <w:r w:rsidR="00CC6DA4">
        <w:t xml:space="preserve"> Officer</w:t>
      </w:r>
      <w:r w:rsidR="004A2B63">
        <w:t>s</w:t>
      </w:r>
      <w:r w:rsidR="00CC6DA4">
        <w:t xml:space="preserve"> </w:t>
      </w:r>
      <w:r w:rsidR="006D2D8F" w:rsidRPr="00C54E7E">
        <w:t xml:space="preserve">told us that the Chief Magistrate visited their induction session and stated unequivocally that she would not tolerate such misconduct and that her door was always open should they have concerns.  The new </w:t>
      </w:r>
      <w:r w:rsidR="00157457">
        <w:t xml:space="preserve">Court Officers </w:t>
      </w:r>
      <w:r w:rsidR="006D2D8F" w:rsidRPr="00C54E7E">
        <w:t xml:space="preserve">reported that they gained great reassurance from the Chief Magistrate’s personal presence and direct message.  </w:t>
      </w:r>
    </w:p>
    <w:p w14:paraId="5C13ED08" w14:textId="7961B7C2" w:rsidR="005B038A" w:rsidRPr="008A397F" w:rsidRDefault="006D2D8F" w:rsidP="00DA404D">
      <w:pPr>
        <w:pStyle w:val="ListNumber2"/>
      </w:pPr>
      <w:r w:rsidRPr="00C54E7E">
        <w:t xml:space="preserve">Statements </w:t>
      </w:r>
      <w:r w:rsidR="00BD409B" w:rsidRPr="00C54E7E">
        <w:t>and messages from the relevant heads of jurisdiction have been greatly appreciated by court staff, who have referred to the positive impact of hearing a strong message directly from the highest authority in their workplace.</w:t>
      </w:r>
      <w:r w:rsidR="00C033DA">
        <w:t xml:space="preserve">  </w:t>
      </w:r>
      <w:r w:rsidR="00C36C77" w:rsidRPr="008A397F">
        <w:t xml:space="preserve">Such </w:t>
      </w:r>
      <w:r w:rsidR="005B038A" w:rsidRPr="008A397F">
        <w:t xml:space="preserve">statements </w:t>
      </w:r>
      <w:r w:rsidR="00C35903" w:rsidRPr="008A397F">
        <w:t xml:space="preserve">from the supreme authority in a court </w:t>
      </w:r>
      <w:r w:rsidR="007C55B9">
        <w:rPr>
          <w:lang w:val="en-US"/>
        </w:rPr>
        <w:t>or tribunal</w:t>
      </w:r>
      <w:r w:rsidR="007C55B9" w:rsidRPr="008A397F">
        <w:t xml:space="preserve"> </w:t>
      </w:r>
      <w:r w:rsidR="001414ED" w:rsidRPr="008A397F">
        <w:t xml:space="preserve">communicate the Chief’s commitment to preventing sexual harassment and </w:t>
      </w:r>
      <w:r w:rsidR="005B038A" w:rsidRPr="008A397F">
        <w:t xml:space="preserve">are essential </w:t>
      </w:r>
      <w:r w:rsidR="00C36C77" w:rsidRPr="008A397F">
        <w:t xml:space="preserve">to </w:t>
      </w:r>
      <w:r w:rsidR="005B038A" w:rsidRPr="008A397F">
        <w:t xml:space="preserve">a positive </w:t>
      </w:r>
      <w:r w:rsidR="00C36C77" w:rsidRPr="008A397F">
        <w:t xml:space="preserve">court </w:t>
      </w:r>
      <w:r w:rsidR="005B038A" w:rsidRPr="008A397F">
        <w:t>culture</w:t>
      </w:r>
      <w:r w:rsidR="001414ED" w:rsidRPr="008A397F">
        <w:t xml:space="preserve">. </w:t>
      </w:r>
      <w:r w:rsidR="00C36C77" w:rsidRPr="008A397F">
        <w:t xml:space="preserve"> </w:t>
      </w:r>
      <w:r w:rsidR="00110405" w:rsidRPr="008A397F">
        <w:t xml:space="preserve">Although many junior staff members </w:t>
      </w:r>
      <w:r w:rsidR="00412038">
        <w:t xml:space="preserve">may in practice prefer to use other avenues and would be </w:t>
      </w:r>
      <w:r w:rsidR="00110405" w:rsidRPr="008A397F">
        <w:t>hesitant to approach a head of jurisdiction, we were struck by the reassuring impact of a direct invitation to do so.  We</w:t>
      </w:r>
      <w:r w:rsidR="008A397F">
        <w:t> </w:t>
      </w:r>
      <w:r w:rsidR="00110405" w:rsidRPr="008A397F">
        <w:t xml:space="preserve">suggest that heads of jurisdiction </w:t>
      </w:r>
      <w:r w:rsidR="00157099">
        <w:t xml:space="preserve">consider </w:t>
      </w:r>
      <w:r w:rsidR="00110405" w:rsidRPr="008A397F">
        <w:t>includ</w:t>
      </w:r>
      <w:r w:rsidR="00157099">
        <w:t>ing</w:t>
      </w:r>
      <w:r w:rsidR="00110405" w:rsidRPr="008A397F">
        <w:t xml:space="preserve"> such an invitation in their public statements.  </w:t>
      </w:r>
    </w:p>
    <w:p w14:paraId="6EFC7257" w14:textId="4C262E69" w:rsidR="00AF2A4F" w:rsidRDefault="00870D91" w:rsidP="005C681C">
      <w:pPr>
        <w:pStyle w:val="Heading5"/>
        <w:keepNext/>
      </w:pPr>
      <w:r>
        <w:lastRenderedPageBreak/>
        <w:t>We recommend that heads of jurisdiction (and/or senior judges) should</w:t>
      </w:r>
      <w:r w:rsidR="00003B42">
        <w:t>,</w:t>
      </w:r>
      <w:r>
        <w:t xml:space="preserve"> </w:t>
      </w:r>
      <w:r w:rsidR="00003B42">
        <w:t xml:space="preserve">on the induction of new </w:t>
      </w:r>
      <w:r w:rsidR="00533E34">
        <w:rPr>
          <w:lang w:val="en-US"/>
        </w:rPr>
        <w:t>judicial officers,</w:t>
      </w:r>
      <w:r w:rsidR="00003B42">
        <w:t xml:space="preserve"> </w:t>
      </w:r>
      <w:r>
        <w:t xml:space="preserve">explicitly and clearly message </w:t>
      </w:r>
      <w:r w:rsidR="00003B42">
        <w:t>that sexual harassment and bullying will not be tolerated</w:t>
      </w:r>
      <w:r w:rsidR="00F70847">
        <w:t>.</w:t>
      </w:r>
    </w:p>
    <w:p w14:paraId="037923A7" w14:textId="5B68ED99" w:rsidR="005B038A" w:rsidRDefault="00896921" w:rsidP="005C681C">
      <w:pPr>
        <w:pStyle w:val="ListNumber2"/>
      </w:pPr>
      <w:r>
        <w:t xml:space="preserve">Our </w:t>
      </w:r>
      <w:r w:rsidR="005B038A">
        <w:t xml:space="preserve">discussions with heads of jurisdiction </w:t>
      </w:r>
      <w:r w:rsidR="001E6F91">
        <w:t xml:space="preserve">indicated some variation in their practice of meeting </w:t>
      </w:r>
      <w:r w:rsidR="00AF2A4F">
        <w:t xml:space="preserve">new </w:t>
      </w:r>
      <w:r w:rsidR="005B038A">
        <w:t>judges/tribunal members</w:t>
      </w:r>
      <w:r w:rsidR="00AF2A4F">
        <w:t>, and the content of their discussions</w:t>
      </w:r>
      <w:r w:rsidR="005B038A">
        <w:t xml:space="preserve">.  </w:t>
      </w:r>
      <w:r w:rsidR="00036C43">
        <w:t>It is not a uniform practice to engage squarely with a newly appointed judge on the topic of sexual harassment</w:t>
      </w:r>
      <w:r w:rsidR="00C648FD">
        <w:t>.</w:t>
      </w:r>
      <w:r w:rsidR="00036C43">
        <w:t xml:space="preserve"> </w:t>
      </w:r>
      <w:r w:rsidR="005D2F83">
        <w:t xml:space="preserve"> </w:t>
      </w:r>
      <w:r w:rsidR="001E6F91">
        <w:t>Some</w:t>
      </w:r>
      <w:r w:rsidR="005B038A">
        <w:t xml:space="preserve"> head</w:t>
      </w:r>
      <w:r w:rsidR="005D2F83">
        <w:t>s</w:t>
      </w:r>
      <w:r w:rsidR="005B038A">
        <w:t xml:space="preserve"> of jurisdiction speak </w:t>
      </w:r>
      <w:r w:rsidR="00AF2A4F">
        <w:t xml:space="preserve">informally </w:t>
      </w:r>
      <w:r w:rsidR="005B038A">
        <w:t xml:space="preserve">with the incoming judge/member, about the </w:t>
      </w:r>
      <w:r w:rsidR="00AF2A4F">
        <w:t xml:space="preserve">expected </w:t>
      </w:r>
      <w:r w:rsidR="005B038A">
        <w:t>standards of conduct</w:t>
      </w:r>
      <w:r w:rsidR="00AF2A4F">
        <w:t>.</w:t>
      </w:r>
      <w:r w:rsidR="005B038A">
        <w:t xml:space="preserve">  </w:t>
      </w:r>
      <w:r w:rsidR="001E6F91">
        <w:t xml:space="preserve">At </w:t>
      </w:r>
      <w:r w:rsidR="005B038A">
        <w:t xml:space="preserve">least one head of jurisdiction emphasises the power </w:t>
      </w:r>
      <w:r w:rsidR="00A12AFF">
        <w:t xml:space="preserve">disparity </w:t>
      </w:r>
      <w:r w:rsidR="005B038A">
        <w:t xml:space="preserve">between judges and staff, and </w:t>
      </w:r>
      <w:r w:rsidR="00AF2A4F">
        <w:t xml:space="preserve">the </w:t>
      </w:r>
      <w:r w:rsidR="001E6F91">
        <w:t xml:space="preserve">new judge’s </w:t>
      </w:r>
      <w:r w:rsidR="00AF2A4F">
        <w:t xml:space="preserve">need to </w:t>
      </w:r>
      <w:r w:rsidR="005B038A">
        <w:t xml:space="preserve">be conscious of </w:t>
      </w:r>
      <w:r w:rsidR="001E6F91">
        <w:t xml:space="preserve">this </w:t>
      </w:r>
      <w:r w:rsidR="005B038A">
        <w:t>in their interactions with staff.  We</w:t>
      </w:r>
      <w:r w:rsidR="005C681C">
        <w:t> </w:t>
      </w:r>
      <w:r w:rsidR="005B038A">
        <w:t xml:space="preserve">heard that </w:t>
      </w:r>
      <w:r w:rsidR="00AF2A4F">
        <w:t xml:space="preserve">some </w:t>
      </w:r>
      <w:r w:rsidR="005B038A">
        <w:t xml:space="preserve">new judges </w:t>
      </w:r>
      <w:r w:rsidR="00AF2A4F">
        <w:t xml:space="preserve">may </w:t>
      </w:r>
      <w:r w:rsidR="005B038A">
        <w:t xml:space="preserve">not have a strong understanding of that power differential.  </w:t>
      </w:r>
      <w:r w:rsidR="00AF2A4F">
        <w:t xml:space="preserve">Some </w:t>
      </w:r>
      <w:r w:rsidR="005B038A">
        <w:t xml:space="preserve">heads of jurisdiction </w:t>
      </w:r>
      <w:r w:rsidR="00BC2D64">
        <w:t xml:space="preserve">expressly </w:t>
      </w:r>
      <w:r w:rsidR="006C528D">
        <w:t xml:space="preserve">raise </w:t>
      </w:r>
      <w:r w:rsidR="005B038A">
        <w:t xml:space="preserve">sexual harassment in </w:t>
      </w:r>
      <w:r w:rsidR="00AF2A4F">
        <w:t xml:space="preserve">the </w:t>
      </w:r>
      <w:r w:rsidR="005B038A">
        <w:t>first meeting with incoming judicial officers</w:t>
      </w:r>
      <w:r w:rsidR="005D2F83">
        <w:t>.</w:t>
      </w:r>
      <w:r w:rsidR="005B038A">
        <w:t xml:space="preserve">  At least one head of jurisdiction </w:t>
      </w:r>
      <w:r w:rsidR="005C3BDB">
        <w:t xml:space="preserve">raises </w:t>
      </w:r>
      <w:r w:rsidR="005B038A">
        <w:t xml:space="preserve">the topic of sexual harassment, the Szoke </w:t>
      </w:r>
      <w:proofErr w:type="gramStart"/>
      <w:r w:rsidR="005B038A">
        <w:t>Report</w:t>
      </w:r>
      <w:proofErr w:type="gramEnd"/>
      <w:r w:rsidR="005B038A">
        <w:t xml:space="preserve"> and the investigation into the conduct of Justice </w:t>
      </w:r>
      <w:proofErr w:type="spellStart"/>
      <w:r w:rsidR="005B038A">
        <w:t>Heydon</w:t>
      </w:r>
      <w:proofErr w:type="spellEnd"/>
      <w:r w:rsidR="005B038A">
        <w:t xml:space="preserve"> of the High Court.  </w:t>
      </w:r>
      <w:r w:rsidR="00AF2A4F">
        <w:t xml:space="preserve">Other </w:t>
      </w:r>
      <w:r w:rsidR="005B038A">
        <w:t xml:space="preserve">heads of jurisdiction </w:t>
      </w:r>
      <w:r w:rsidR="005D2F83">
        <w:t xml:space="preserve">do not raise sexual harassment </w:t>
      </w:r>
      <w:proofErr w:type="gramStart"/>
      <w:r w:rsidR="005D2F83">
        <w:t>explicitly</w:t>
      </w:r>
      <w:proofErr w:type="gramEnd"/>
      <w:r w:rsidR="005D2F83">
        <w:t xml:space="preserve"> but some </w:t>
      </w:r>
      <w:r w:rsidR="00AF2A4F">
        <w:t xml:space="preserve">indicated that they would </w:t>
      </w:r>
      <w:r w:rsidR="00F234F8">
        <w:t xml:space="preserve">do so in future, together with </w:t>
      </w:r>
      <w:r w:rsidR="001D67CE">
        <w:t xml:space="preserve">the Szoke Report, the power </w:t>
      </w:r>
      <w:r w:rsidR="00BC2D64">
        <w:t xml:space="preserve">disparity </w:t>
      </w:r>
      <w:r w:rsidR="001D67CE">
        <w:t>and appropriate judicial conduct</w:t>
      </w:r>
      <w:r w:rsidR="00F234F8">
        <w:t>.</w:t>
      </w:r>
      <w:r w:rsidR="005B038A">
        <w:t xml:space="preserve"> </w:t>
      </w:r>
    </w:p>
    <w:p w14:paraId="2AF9E3F6" w14:textId="376D68C3" w:rsidR="009168CD" w:rsidRDefault="000170F5" w:rsidP="005C681C">
      <w:pPr>
        <w:pStyle w:val="ListNumber2"/>
      </w:pPr>
      <w:r>
        <w:rPr>
          <w:lang w:val="en-US"/>
        </w:rPr>
        <w:t xml:space="preserve">Each head of jurisdiction may choose to model their discussions with new judicial officers on the message from the Chief Justice set out on the first page of the Judicial Commission’s </w:t>
      </w:r>
      <w:r>
        <w:rPr>
          <w:i/>
          <w:iCs/>
          <w:lang w:val="en-US"/>
        </w:rPr>
        <w:t>Judicial Conduct Guideline: Sexual Harassment</w:t>
      </w:r>
      <w:r>
        <w:rPr>
          <w:lang w:val="en-US"/>
        </w:rPr>
        <w:t>.</w:t>
      </w:r>
    </w:p>
    <w:p w14:paraId="02743949" w14:textId="3EB4C711" w:rsidR="001D67CE" w:rsidRDefault="002068BC" w:rsidP="005C681C">
      <w:pPr>
        <w:pStyle w:val="Heading5"/>
      </w:pPr>
      <w:r>
        <w:t xml:space="preserve">We recommend that the </w:t>
      </w:r>
      <w:r w:rsidR="00C44BC1">
        <w:t xml:space="preserve">courts and </w:t>
      </w:r>
      <w:r>
        <w:t>VCAT</w:t>
      </w:r>
      <w:r w:rsidR="00C44BC1">
        <w:t xml:space="preserve">, on induction and regularly thereafter, encourage </w:t>
      </w:r>
      <w:r w:rsidR="00CB0086">
        <w:t>(</w:t>
      </w:r>
      <w:r w:rsidR="00C44BC1">
        <w:t>through educ</w:t>
      </w:r>
      <w:r w:rsidR="00CB0086">
        <w:t>a</w:t>
      </w:r>
      <w:r w:rsidR="00C44BC1">
        <w:t xml:space="preserve">tion, </w:t>
      </w:r>
      <w:proofErr w:type="gramStart"/>
      <w:r w:rsidR="00C44BC1">
        <w:t>training</w:t>
      </w:r>
      <w:proofErr w:type="gramEnd"/>
      <w:r w:rsidR="00C44BC1">
        <w:t xml:space="preserve"> and reinforcement by the heads of jurisdiction and senior judges</w:t>
      </w:r>
      <w:r w:rsidR="00CB0086">
        <w:t>)</w:t>
      </w:r>
      <w:r w:rsidR="00C44BC1">
        <w:t xml:space="preserve"> greater involvement and commitment </w:t>
      </w:r>
      <w:r w:rsidR="00CB0086">
        <w:t>by the entire body of judges</w:t>
      </w:r>
      <w:r w:rsidR="008937FB">
        <w:t xml:space="preserve"> </w:t>
      </w:r>
      <w:r w:rsidR="00C44BC1">
        <w:t xml:space="preserve">to eliminating sexual harassment as consistently sought by </w:t>
      </w:r>
      <w:r w:rsidR="008937FB">
        <w:t xml:space="preserve">CSV </w:t>
      </w:r>
      <w:r w:rsidR="00C44BC1">
        <w:t>staff</w:t>
      </w:r>
      <w:r w:rsidR="00F70847">
        <w:t>.</w:t>
      </w:r>
      <w:r w:rsidR="00C4626E">
        <w:t xml:space="preserve">  This, in concert with the implementation of other recommendations, will facilitate lasting cultural change.</w:t>
      </w:r>
    </w:p>
    <w:p w14:paraId="7A346A4C" w14:textId="28246666" w:rsidR="005B038A" w:rsidRDefault="006953CE" w:rsidP="005C681C">
      <w:pPr>
        <w:pStyle w:val="ListNumber2"/>
        <w:spacing w:before="240"/>
      </w:pPr>
      <w:r>
        <w:t xml:space="preserve">In our consultations, CSV-employed staff </w:t>
      </w:r>
      <w:r w:rsidR="008937FB">
        <w:t>repeated</w:t>
      </w:r>
      <w:r w:rsidR="008A0380">
        <w:t>ly</w:t>
      </w:r>
      <w:r w:rsidR="008937FB">
        <w:t xml:space="preserve"> sought that all judges be proactively involved</w:t>
      </w:r>
      <w:r w:rsidR="00C70839">
        <w:t xml:space="preserve"> </w:t>
      </w:r>
      <w:r w:rsidR="00BE5423">
        <w:t xml:space="preserve">in </w:t>
      </w:r>
      <w:r w:rsidR="00ED08A0">
        <w:t>preventing and addressing instances of judicial misconduct</w:t>
      </w:r>
      <w:r w:rsidR="00C033DA">
        <w:t>,</w:t>
      </w:r>
      <w:r w:rsidR="00ED08A0">
        <w:t xml:space="preserve"> including sexual harassment</w:t>
      </w:r>
      <w:r w:rsidR="00D21DDF">
        <w:t xml:space="preserve">.  </w:t>
      </w:r>
    </w:p>
    <w:p w14:paraId="47DED973" w14:textId="2106EB27" w:rsidR="005B038A" w:rsidRDefault="00663039" w:rsidP="005C681C">
      <w:pPr>
        <w:pStyle w:val="ListNumber2"/>
      </w:pPr>
      <w:r>
        <w:t xml:space="preserve">CSV staff </w:t>
      </w:r>
      <w:r w:rsidR="00C70839">
        <w:t xml:space="preserve">recognised </w:t>
      </w:r>
      <w:r w:rsidR="005B038A">
        <w:t>that given the inherent and unavoidable sense of hierarchy at a court</w:t>
      </w:r>
      <w:r w:rsidR="00817163">
        <w:t xml:space="preserve">, and the </w:t>
      </w:r>
      <w:r w:rsidR="00C70839">
        <w:t xml:space="preserve">disparity of power </w:t>
      </w:r>
      <w:r w:rsidR="005B038A">
        <w:t xml:space="preserve">between </w:t>
      </w:r>
      <w:r w:rsidR="00343AF4">
        <w:t xml:space="preserve">judges </w:t>
      </w:r>
      <w:r w:rsidR="005B038A">
        <w:t>and administrative staff</w:t>
      </w:r>
      <w:r w:rsidR="00A4159C">
        <w:t>,</w:t>
      </w:r>
      <w:r w:rsidR="005B038A">
        <w:t xml:space="preserve"> only a </w:t>
      </w:r>
      <w:r w:rsidR="0054710A">
        <w:t xml:space="preserve">judge </w:t>
      </w:r>
      <w:r w:rsidR="005B038A">
        <w:t xml:space="preserve">had sufficient “status” </w:t>
      </w:r>
      <w:r w:rsidR="00224212">
        <w:t xml:space="preserve">and authority to </w:t>
      </w:r>
      <w:r w:rsidR="003A1BAD">
        <w:t xml:space="preserve">curb, </w:t>
      </w:r>
      <w:proofErr w:type="gramStart"/>
      <w:r w:rsidR="003A1BAD">
        <w:t>question</w:t>
      </w:r>
      <w:proofErr w:type="gramEnd"/>
      <w:r w:rsidR="003A1BAD">
        <w:t xml:space="preserve"> or deal with </w:t>
      </w:r>
      <w:r w:rsidR="005B038A">
        <w:t>a</w:t>
      </w:r>
      <w:r w:rsidR="0054710A">
        <w:t>nother</w:t>
      </w:r>
      <w:r w:rsidR="005B038A">
        <w:t xml:space="preserve"> </w:t>
      </w:r>
      <w:r w:rsidR="003A1BAD">
        <w:t xml:space="preserve">judge’s problematic </w:t>
      </w:r>
      <w:r w:rsidR="005B038A">
        <w:t>conduct</w:t>
      </w:r>
      <w:r w:rsidR="0054710A">
        <w:t xml:space="preserve">.  </w:t>
      </w:r>
      <w:r w:rsidR="000015FA">
        <w:t xml:space="preserve">The perception was that senior </w:t>
      </w:r>
      <w:r w:rsidR="005B038A">
        <w:t xml:space="preserve">court staff were (understandably) unwilling </w:t>
      </w:r>
      <w:r w:rsidR="0054710A">
        <w:t xml:space="preserve">seriously </w:t>
      </w:r>
      <w:r w:rsidR="005B038A">
        <w:t xml:space="preserve">to </w:t>
      </w:r>
      <w:r w:rsidR="003A1BAD">
        <w:t xml:space="preserve">confront or </w:t>
      </w:r>
      <w:r w:rsidR="005B038A">
        <w:t xml:space="preserve">challenge a </w:t>
      </w:r>
      <w:r w:rsidR="003A1BAD">
        <w:t>judge</w:t>
      </w:r>
      <w:r w:rsidR="00F30B8A">
        <w:t>.</w:t>
      </w:r>
    </w:p>
    <w:p w14:paraId="6911ACB8" w14:textId="60AC22AF" w:rsidR="00643091" w:rsidRDefault="005B038A" w:rsidP="005C681C">
      <w:pPr>
        <w:pStyle w:val="ListNumber2"/>
      </w:pPr>
      <w:proofErr w:type="gramStart"/>
      <w:r>
        <w:lastRenderedPageBreak/>
        <w:t>A number of</w:t>
      </w:r>
      <w:proofErr w:type="gramEnd"/>
      <w:r>
        <w:t xml:space="preserve"> CSV-employed staff we spoke with </w:t>
      </w:r>
      <w:r w:rsidR="00F30B8A">
        <w:t xml:space="preserve">expressed disappointment that judges who did not themselves </w:t>
      </w:r>
      <w:r w:rsidR="00721603">
        <w:t xml:space="preserve">engage </w:t>
      </w:r>
      <w:r w:rsidR="00F30B8A">
        <w:t xml:space="preserve">in </w:t>
      </w:r>
      <w:r w:rsidR="00996B99">
        <w:t xml:space="preserve">inappropriate conduct or discourse were passive in the face of offensive banter or minor improprieties by another judge.  This signalled to staff that even </w:t>
      </w:r>
      <w:r w:rsidR="00FE0890">
        <w:t xml:space="preserve">conscientious judges tolerated such conduct and viewed it as inevitable or normal.  </w:t>
      </w:r>
    </w:p>
    <w:p w14:paraId="0B8E00B0" w14:textId="559CB4F4" w:rsidR="00793936" w:rsidRDefault="00355FFB" w:rsidP="005C681C">
      <w:pPr>
        <w:pStyle w:val="ListNumber2"/>
      </w:pPr>
      <w:r>
        <w:t xml:space="preserve">All </w:t>
      </w:r>
      <w:r w:rsidRPr="008A397F">
        <w:t>judicial officers could play a more active role in reassuring staff and reducing sexual harassment risk factors</w:t>
      </w:r>
      <w:r>
        <w:t xml:space="preserve">.  The judges’ collective </w:t>
      </w:r>
      <w:r w:rsidRPr="008A397F">
        <w:t xml:space="preserve">approach to misconduct does much to set the standards of conduct at the court.  If </w:t>
      </w:r>
      <w:r>
        <w:t xml:space="preserve">they </w:t>
      </w:r>
      <w:r w:rsidRPr="008A397F">
        <w:t xml:space="preserve">turn a blind eye to misconduct, such conduct may be normalised.  Further, while </w:t>
      </w:r>
      <w:r>
        <w:t xml:space="preserve">individual </w:t>
      </w:r>
      <w:r w:rsidRPr="008A397F">
        <w:t xml:space="preserve">judges </w:t>
      </w:r>
      <w:r>
        <w:t xml:space="preserve">have no authority over </w:t>
      </w:r>
      <w:r w:rsidRPr="008A397F">
        <w:t>other judges</w:t>
      </w:r>
      <w:r>
        <w:t>,</w:t>
      </w:r>
      <w:r w:rsidRPr="008A397F">
        <w:rPr>
          <w:rFonts w:ascii="ZWAdobeF" w:hAnsi="ZWAdobeF" w:cs="ZWAdobeF"/>
          <w:sz w:val="2"/>
          <w:szCs w:val="2"/>
        </w:rPr>
        <w:t>98F</w:t>
      </w:r>
      <w:r w:rsidR="00704B18">
        <w:rPr>
          <w:rFonts w:ascii="ZWAdobeF" w:hAnsi="ZWAdobeF" w:cs="ZWAdobeF"/>
          <w:sz w:val="2"/>
          <w:szCs w:val="2"/>
        </w:rPr>
        <w:t>127F</w:t>
      </w:r>
      <w:r w:rsidRPr="008A397F">
        <w:rPr>
          <w:rStyle w:val="FootnoteReference"/>
        </w:rPr>
        <w:footnoteReference w:id="103"/>
      </w:r>
      <w:r w:rsidRPr="008A397F">
        <w:t xml:space="preserve"> </w:t>
      </w:r>
      <w:proofErr w:type="gramStart"/>
      <w:r w:rsidRPr="008A397F">
        <w:t>the majority of</w:t>
      </w:r>
      <w:proofErr w:type="gramEnd"/>
      <w:r w:rsidRPr="008A397F">
        <w:t xml:space="preserve"> judges are highly sensitive to the opinion or disapproval of their peers</w:t>
      </w:r>
      <w:r>
        <w:t>.</w:t>
      </w:r>
      <w:r w:rsidRPr="008A397F">
        <w:t xml:space="preserve"> </w:t>
      </w:r>
    </w:p>
    <w:p w14:paraId="093D00C1" w14:textId="720F89E1" w:rsidR="00793C93" w:rsidRDefault="00793936" w:rsidP="005C681C">
      <w:pPr>
        <w:pStyle w:val="ListNumber2"/>
        <w:spacing w:before="240"/>
      </w:pPr>
      <w:r>
        <w:t xml:space="preserve">Staff </w:t>
      </w:r>
      <w:r w:rsidR="005B038A">
        <w:t xml:space="preserve">emphasised that cultural change </w:t>
      </w:r>
      <w:r w:rsidR="0058203A">
        <w:t xml:space="preserve">must </w:t>
      </w:r>
      <w:r w:rsidR="005B038A">
        <w:t xml:space="preserve">be </w:t>
      </w:r>
      <w:proofErr w:type="gramStart"/>
      <w:r w:rsidR="005B038A">
        <w:t>effected</w:t>
      </w:r>
      <w:proofErr w:type="gramEnd"/>
      <w:r w:rsidR="005B038A">
        <w:t xml:space="preserve"> from within the judiciary</w:t>
      </w:r>
      <w:r w:rsidR="0058203A">
        <w:t>.</w:t>
      </w:r>
      <w:r w:rsidR="005B038A">
        <w:t xml:space="preserve"> </w:t>
      </w:r>
      <w:r w:rsidR="0058203A">
        <w:t xml:space="preserve"> </w:t>
      </w:r>
      <w:r>
        <w:t>It</w:t>
      </w:r>
      <w:r w:rsidR="001531CB">
        <w:t> </w:t>
      </w:r>
      <w:r>
        <w:t>is difficult to achieve this other than through education</w:t>
      </w:r>
      <w:r w:rsidR="00C2686D">
        <w:t xml:space="preserve">, </w:t>
      </w:r>
      <w:r w:rsidR="00721603">
        <w:t xml:space="preserve">incrementally </w:t>
      </w:r>
      <w:r w:rsidR="00C2686D">
        <w:t xml:space="preserve">heightened </w:t>
      </w:r>
      <w:proofErr w:type="gramStart"/>
      <w:r w:rsidR="00C2686D">
        <w:t>awareness</w:t>
      </w:r>
      <w:proofErr w:type="gramEnd"/>
      <w:r w:rsidR="00C2686D">
        <w:t xml:space="preserve"> and appropriate training, such as bystander training.  </w:t>
      </w:r>
      <w:r w:rsidR="00B67768">
        <w:t>As stated, there is a very strong appetite amongst CSV staff for heads of jurisdiction and indeed for all judges to play a proactive and leadership role in managing sexual harassment risk factors.</w:t>
      </w:r>
    </w:p>
    <w:p w14:paraId="0434F50A" w14:textId="1EE5E365" w:rsidR="001D67CE" w:rsidRDefault="00F94127" w:rsidP="00447731">
      <w:pPr>
        <w:pStyle w:val="Heading5"/>
      </w:pPr>
      <w:bookmarkStart w:id="112" w:name="_Ref108727935"/>
      <w:r>
        <w:t>We recommend that appropriate lines of communication be established between staff judge</w:t>
      </w:r>
      <w:r w:rsidR="00636367">
        <w:t>s</w:t>
      </w:r>
      <w:r>
        <w:t xml:space="preserve"> and </w:t>
      </w:r>
      <w:r w:rsidR="00472FF9">
        <w:t>CSV</w:t>
      </w:r>
      <w:bookmarkEnd w:id="112"/>
      <w:r w:rsidR="00636367">
        <w:t>:</w:t>
      </w:r>
    </w:p>
    <w:p w14:paraId="7E3405BD" w14:textId="7F44FE1E" w:rsidR="005B038A" w:rsidRDefault="00B15E88" w:rsidP="005C681C">
      <w:pPr>
        <w:pStyle w:val="ListNumber2"/>
        <w:spacing w:before="240"/>
      </w:pPr>
      <w:r>
        <w:t xml:space="preserve">if </w:t>
      </w:r>
      <w:r w:rsidR="00CB3A2C">
        <w:t>staff judge</w:t>
      </w:r>
      <w:r w:rsidR="003533CF">
        <w:t>s</w:t>
      </w:r>
      <w:r w:rsidR="00CB3A2C">
        <w:t xml:space="preserve"> </w:t>
      </w:r>
      <w:r w:rsidR="00E64D6D">
        <w:t xml:space="preserve">are </w:t>
      </w:r>
      <w:r w:rsidR="00CB3A2C">
        <w:t>appointed</w:t>
      </w:r>
      <w:r w:rsidR="00292783">
        <w:t xml:space="preserve"> to fulfil the proposed roles</w:t>
      </w:r>
      <w:r w:rsidR="00CB3A2C">
        <w:t xml:space="preserve">, appropriate </w:t>
      </w:r>
      <w:r w:rsidR="005B038A">
        <w:t>lines of communication between “staff judge</w:t>
      </w:r>
      <w:r w:rsidR="003533CF">
        <w:t>s</w:t>
      </w:r>
      <w:r w:rsidR="005B038A">
        <w:t xml:space="preserve">” and </w:t>
      </w:r>
      <w:r w:rsidR="006542E8">
        <w:t xml:space="preserve">a selected </w:t>
      </w:r>
      <w:r w:rsidR="005B038A">
        <w:t xml:space="preserve">senior CSV-employee </w:t>
      </w:r>
      <w:r w:rsidR="00907C7D">
        <w:t>should be established</w:t>
      </w:r>
      <w:r w:rsidR="00292783">
        <w:t xml:space="preserve">.  Uncertainty </w:t>
      </w:r>
      <w:r w:rsidR="006542E8">
        <w:t xml:space="preserve">may arise if </w:t>
      </w:r>
      <w:r w:rsidR="005B038A">
        <w:t xml:space="preserve">a staff member raises </w:t>
      </w:r>
      <w:r w:rsidR="00A92F65">
        <w:t>problematic judicial conduct</w:t>
      </w:r>
      <w:r w:rsidR="005B038A">
        <w:t xml:space="preserve"> with “staff judge</w:t>
      </w:r>
      <w:r w:rsidR="006E45B9">
        <w:t>s</w:t>
      </w:r>
      <w:r w:rsidR="005B038A">
        <w:t xml:space="preserve">”, but </w:t>
      </w:r>
      <w:r w:rsidR="00702079">
        <w:t xml:space="preserve">just </w:t>
      </w:r>
      <w:r w:rsidR="005B038A">
        <w:t xml:space="preserve">wishes </w:t>
      </w:r>
      <w:r w:rsidR="00702079">
        <w:t xml:space="preserve">him or her to speak to the problem judge and </w:t>
      </w:r>
      <w:r w:rsidR="00907C7D">
        <w:t>go no further</w:t>
      </w:r>
      <w:r w:rsidR="00702079">
        <w:t>.</w:t>
      </w:r>
      <w:r w:rsidR="00907C7D">
        <w:t xml:space="preserve"> </w:t>
      </w:r>
      <w:r w:rsidR="005C242F">
        <w:t xml:space="preserve"> </w:t>
      </w:r>
      <w:r w:rsidR="005B038A">
        <w:t xml:space="preserve">It is difficult to </w:t>
      </w:r>
      <w:r w:rsidR="006542E8">
        <w:t xml:space="preserve">devise </w:t>
      </w:r>
      <w:r w:rsidR="005B038A">
        <w:t>any prescriptive rules</w:t>
      </w:r>
      <w:r w:rsidR="005C242F">
        <w:t xml:space="preserve"> for that situation</w:t>
      </w:r>
      <w:r w:rsidR="00722019">
        <w:t>.</w:t>
      </w:r>
      <w:r w:rsidR="005B038A">
        <w:t xml:space="preserve"> </w:t>
      </w:r>
      <w:r w:rsidR="00722019">
        <w:t xml:space="preserve"> Case</w:t>
      </w:r>
      <w:r w:rsidR="005B038A">
        <w:t xml:space="preserve">-by-case discretion in </w:t>
      </w:r>
      <w:r w:rsidR="006542E8">
        <w:t xml:space="preserve">balancing </w:t>
      </w:r>
      <w:r w:rsidR="005B038A">
        <w:t xml:space="preserve">a complainant’s desire for confidentiality </w:t>
      </w:r>
      <w:r w:rsidR="00635284">
        <w:t xml:space="preserve">against </w:t>
      </w:r>
      <w:r w:rsidR="005B038A">
        <w:t xml:space="preserve">CSV’s occupational health and safety </w:t>
      </w:r>
      <w:r w:rsidR="00796200">
        <w:t xml:space="preserve">and protection </w:t>
      </w:r>
      <w:r w:rsidR="005B038A">
        <w:t>obligations</w:t>
      </w:r>
      <w:r w:rsidR="00796200">
        <w:t xml:space="preserve">, </w:t>
      </w:r>
      <w:r w:rsidR="00A5658C">
        <w:t>is required.</w:t>
      </w:r>
      <w:r w:rsidR="005B038A">
        <w:t xml:space="preserve">  </w:t>
      </w:r>
      <w:r w:rsidR="00635284">
        <w:t xml:space="preserve">We </w:t>
      </w:r>
      <w:r w:rsidR="005B038A">
        <w:t xml:space="preserve">envisage that </w:t>
      </w:r>
      <w:r w:rsidR="00635284">
        <w:t>often</w:t>
      </w:r>
      <w:r w:rsidR="00A5658C">
        <w:t>,</w:t>
      </w:r>
      <w:r w:rsidR="00635284">
        <w:t xml:space="preserve"> </w:t>
      </w:r>
      <w:r w:rsidR="005B038A">
        <w:t xml:space="preserve">confidentiality </w:t>
      </w:r>
      <w:r w:rsidR="00A5658C">
        <w:t xml:space="preserve">could be maintained, </w:t>
      </w:r>
      <w:r w:rsidR="005B038A">
        <w:t xml:space="preserve">at least within a narrow circle of persons (i.e., the “staff judge”, </w:t>
      </w:r>
      <w:r w:rsidR="00635284">
        <w:t xml:space="preserve">the </w:t>
      </w:r>
      <w:r w:rsidR="005B038A">
        <w:t>CEO and, at least in some cases, the head of jurisdiction)</w:t>
      </w:r>
      <w:r w:rsidR="00FD398E">
        <w:t>.  This is</w:t>
      </w:r>
      <w:r w:rsidR="005B038A">
        <w:t xml:space="preserve"> particularly </w:t>
      </w:r>
      <w:r w:rsidR="00FD398E">
        <w:t xml:space="preserve">likely </w:t>
      </w:r>
      <w:r w:rsidR="005B038A">
        <w:t xml:space="preserve">in cases </w:t>
      </w:r>
      <w:r w:rsidR="00FD398E">
        <w:t xml:space="preserve">that the staff judge can handle </w:t>
      </w:r>
      <w:r w:rsidR="00F24B3F">
        <w:t xml:space="preserve">the matter </w:t>
      </w:r>
      <w:r w:rsidR="005B038A">
        <w:t xml:space="preserve">informally by “counselling” </w:t>
      </w:r>
      <w:r w:rsidR="0060396A">
        <w:t xml:space="preserve">or “tapping on the </w:t>
      </w:r>
      <w:r w:rsidR="0060396A">
        <w:lastRenderedPageBreak/>
        <w:t xml:space="preserve">shoulder” of </w:t>
      </w:r>
      <w:r w:rsidR="005B038A">
        <w:t xml:space="preserve">the offending judge and, if necessary, </w:t>
      </w:r>
      <w:r w:rsidR="00722019">
        <w:t xml:space="preserve">facilitating </w:t>
      </w:r>
      <w:r w:rsidR="00ED4B06">
        <w:t>transfer</w:t>
      </w:r>
      <w:r w:rsidR="00722019">
        <w:t xml:space="preserve"> </w:t>
      </w:r>
      <w:r w:rsidR="00355BC8">
        <w:t xml:space="preserve">by CSV </w:t>
      </w:r>
      <w:r w:rsidR="00722019">
        <w:t>of</w:t>
      </w:r>
      <w:r w:rsidR="00ED4B06">
        <w:t xml:space="preserve"> </w:t>
      </w:r>
      <w:r w:rsidR="005B038A">
        <w:t xml:space="preserve">the affected staff member to a different </w:t>
      </w:r>
      <w:r w:rsidR="00ED4B06">
        <w:t xml:space="preserve">but equivalent </w:t>
      </w:r>
      <w:r w:rsidR="00EA4E9B">
        <w:t>position.</w:t>
      </w:r>
    </w:p>
    <w:p w14:paraId="06C0D6F6" w14:textId="7132BFCF" w:rsidR="004A255F" w:rsidRPr="004A255F" w:rsidRDefault="00640F93" w:rsidP="005C681C">
      <w:pPr>
        <w:pStyle w:val="Heading5"/>
        <w:keepNext/>
      </w:pPr>
      <w:bookmarkStart w:id="113" w:name="_Ref108732829"/>
      <w:r>
        <w:t>We recommend</w:t>
      </w:r>
      <w:r w:rsidR="009A79BA">
        <w:t xml:space="preserve"> that in appropriate cases</w:t>
      </w:r>
      <w:r>
        <w:t xml:space="preserve"> the heads of jurisdiction should</w:t>
      </w:r>
      <w:r w:rsidR="009A79BA">
        <w:t xml:space="preserve"> consider whether to exercise their discretion</w:t>
      </w:r>
      <w:r w:rsidR="00C13B46">
        <w:t xml:space="preserve"> to</w:t>
      </w:r>
      <w:r>
        <w:t>:</w:t>
      </w:r>
      <w:bookmarkEnd w:id="113"/>
    </w:p>
    <w:p w14:paraId="2EAC77A0" w14:textId="1FF418C1" w:rsidR="009B4605" w:rsidRPr="007A34BD" w:rsidRDefault="00640F93" w:rsidP="003D76DF">
      <w:pPr>
        <w:pStyle w:val="Quote"/>
        <w:numPr>
          <w:ilvl w:val="0"/>
          <w:numId w:val="33"/>
        </w:numPr>
        <w:spacing w:line="360" w:lineRule="auto"/>
        <w:rPr>
          <w:i/>
          <w:iCs/>
        </w:rPr>
      </w:pPr>
      <w:r w:rsidRPr="007A34BD">
        <w:rPr>
          <w:i/>
          <w:iCs/>
        </w:rPr>
        <w:t xml:space="preserve">proactively direct or require a </w:t>
      </w:r>
      <w:r w:rsidR="00CE3F76" w:rsidRPr="007A34BD">
        <w:rPr>
          <w:i/>
          <w:iCs/>
        </w:rPr>
        <w:t>judicial officer</w:t>
      </w:r>
      <w:r w:rsidRPr="007A34BD">
        <w:rPr>
          <w:i/>
          <w:iCs/>
        </w:rPr>
        <w:t xml:space="preserve"> to engage in further training or </w:t>
      </w:r>
      <w:proofErr w:type="gramStart"/>
      <w:r w:rsidRPr="007A34BD">
        <w:rPr>
          <w:i/>
          <w:iCs/>
        </w:rPr>
        <w:t>education</w:t>
      </w:r>
      <w:r w:rsidR="009319CB" w:rsidRPr="007A34BD">
        <w:rPr>
          <w:i/>
          <w:iCs/>
        </w:rPr>
        <w:t>;</w:t>
      </w:r>
      <w:proofErr w:type="gramEnd"/>
    </w:p>
    <w:p w14:paraId="3BF13F15" w14:textId="7254CD6C" w:rsidR="00DB5F65" w:rsidRPr="007A34BD" w:rsidRDefault="004E4E76" w:rsidP="003D76DF">
      <w:pPr>
        <w:pStyle w:val="Quote"/>
        <w:numPr>
          <w:ilvl w:val="0"/>
          <w:numId w:val="33"/>
        </w:numPr>
        <w:spacing w:line="360" w:lineRule="auto"/>
        <w:rPr>
          <w:i/>
          <w:iCs/>
        </w:rPr>
      </w:pPr>
      <w:r w:rsidRPr="007A34BD">
        <w:rPr>
          <w:i/>
          <w:iCs/>
          <w:lang w:val="en-US"/>
        </w:rPr>
        <w:t>work with CSV to ensure that chambers staff are not assigned to a judge, or are assigned only on specified conditions;</w:t>
      </w:r>
      <w:r w:rsidR="005E213A" w:rsidRPr="007A34BD">
        <w:rPr>
          <w:i/>
          <w:iCs/>
          <w:lang w:val="en-US"/>
        </w:rPr>
        <w:t xml:space="preserve"> and</w:t>
      </w:r>
    </w:p>
    <w:p w14:paraId="08A7EF37" w14:textId="40FC6FC8" w:rsidR="001F07B2" w:rsidRPr="007A34BD" w:rsidRDefault="001F07B2" w:rsidP="003D76DF">
      <w:pPr>
        <w:pStyle w:val="Quote"/>
        <w:numPr>
          <w:ilvl w:val="0"/>
          <w:numId w:val="33"/>
        </w:numPr>
        <w:spacing w:line="360" w:lineRule="auto"/>
        <w:rPr>
          <w:i/>
          <w:iCs/>
        </w:rPr>
      </w:pPr>
      <w:r w:rsidRPr="007A34BD">
        <w:rPr>
          <w:i/>
          <w:iCs/>
        </w:rPr>
        <w:t>give</w:t>
      </w:r>
      <w:r w:rsidR="00611DDD">
        <w:rPr>
          <w:i/>
          <w:iCs/>
        </w:rPr>
        <w:t xml:space="preserve">, to the extent </w:t>
      </w:r>
      <w:r w:rsidR="00E852E2">
        <w:rPr>
          <w:i/>
          <w:iCs/>
        </w:rPr>
        <w:t>consistent with any applicable limitations,</w:t>
      </w:r>
      <w:r w:rsidRPr="007A34BD">
        <w:rPr>
          <w:i/>
          <w:iCs/>
        </w:rPr>
        <w:t xml:space="preserve"> directions in relation to the </w:t>
      </w:r>
      <w:r w:rsidR="00414407" w:rsidRPr="007A34BD">
        <w:rPr>
          <w:i/>
          <w:iCs/>
        </w:rPr>
        <w:t xml:space="preserve">judicial officer’s </w:t>
      </w:r>
      <w:r w:rsidRPr="007A34BD">
        <w:rPr>
          <w:i/>
          <w:iCs/>
        </w:rPr>
        <w:t>sitting</w:t>
      </w:r>
      <w:r w:rsidR="008B0B0A" w:rsidRPr="007A34BD">
        <w:rPr>
          <w:i/>
          <w:iCs/>
        </w:rPr>
        <w:t>s</w:t>
      </w:r>
      <w:r w:rsidRPr="007A34BD">
        <w:rPr>
          <w:i/>
          <w:iCs/>
        </w:rPr>
        <w:t xml:space="preserve"> or case allocation</w:t>
      </w:r>
      <w:r w:rsidR="008B0B0A" w:rsidRPr="007A34BD">
        <w:rPr>
          <w:i/>
          <w:iCs/>
        </w:rPr>
        <w:t>s</w:t>
      </w:r>
      <w:r w:rsidR="005E213A" w:rsidRPr="007A34BD">
        <w:rPr>
          <w:i/>
          <w:iCs/>
        </w:rPr>
        <w:t>.</w:t>
      </w:r>
    </w:p>
    <w:p w14:paraId="46DA306E" w14:textId="21C1B97A" w:rsidR="00E35A23" w:rsidRDefault="00EF1D11" w:rsidP="00317F2B">
      <w:pPr>
        <w:pStyle w:val="ListNumber2"/>
        <w:spacing w:before="240"/>
      </w:pPr>
      <w:r>
        <w:t xml:space="preserve">Heads of jurisdiction </w:t>
      </w:r>
      <w:r w:rsidR="00C20142">
        <w:t>should</w:t>
      </w:r>
      <w:r>
        <w:t xml:space="preserve">, in </w:t>
      </w:r>
      <w:r w:rsidR="002444D0">
        <w:t xml:space="preserve">a suitable </w:t>
      </w:r>
      <w:r>
        <w:t>case</w:t>
      </w:r>
      <w:r w:rsidR="00661ACB">
        <w:t>,</w:t>
      </w:r>
      <w:r>
        <w:t xml:space="preserve"> direct judicial officers to participate in specified training activities on appropriate behaviour to</w:t>
      </w:r>
      <w:r w:rsidR="00E862AB">
        <w:t>wards</w:t>
      </w:r>
      <w:r>
        <w:t xml:space="preserve"> judicial staff.  </w:t>
      </w:r>
      <w:r w:rsidR="0019206F">
        <w:t>The</w:t>
      </w:r>
      <w:r w:rsidR="00317F2B">
        <w:t> </w:t>
      </w:r>
      <w:r w:rsidR="0019206F">
        <w:t xml:space="preserve">existing statutory power </w:t>
      </w:r>
      <w:r w:rsidR="00305722">
        <w:t xml:space="preserve">of a head of jurisdiction </w:t>
      </w:r>
      <w:r w:rsidR="0019206F">
        <w:t>to direct a judicial officer to “participate in a specified professional development or continuing education and training activity”</w:t>
      </w:r>
      <w:r w:rsidR="0019206F">
        <w:rPr>
          <w:rFonts w:ascii="ZWAdobeF" w:hAnsi="ZWAdobeF" w:cs="ZWAdobeF"/>
          <w:sz w:val="2"/>
          <w:szCs w:val="2"/>
        </w:rPr>
        <w:t>10F</w:t>
      </w:r>
      <w:r w:rsidR="00704B18">
        <w:rPr>
          <w:rFonts w:ascii="ZWAdobeF" w:hAnsi="ZWAdobeF" w:cs="ZWAdobeF"/>
          <w:sz w:val="2"/>
          <w:szCs w:val="2"/>
        </w:rPr>
        <w:t>132F</w:t>
      </w:r>
      <w:r w:rsidR="0019206F">
        <w:rPr>
          <w:rStyle w:val="FootnoteReference"/>
        </w:rPr>
        <w:footnoteReference w:id="104"/>
      </w:r>
      <w:r w:rsidR="0019206F">
        <w:t xml:space="preserve"> would support such a request or direction. </w:t>
      </w:r>
      <w:r w:rsidR="00C20142">
        <w:t xml:space="preserve"> </w:t>
      </w:r>
      <w:r>
        <w:t>Th</w:t>
      </w:r>
      <w:r w:rsidR="00C20142">
        <w:t>e</w:t>
      </w:r>
      <w:r>
        <w:t xml:space="preserve"> power </w:t>
      </w:r>
      <w:r w:rsidR="00C20142">
        <w:t>could</w:t>
      </w:r>
      <w:r w:rsidR="00B12416">
        <w:t xml:space="preserve"> and may already</w:t>
      </w:r>
      <w:r w:rsidR="00C20142">
        <w:t xml:space="preserve"> </w:t>
      </w:r>
      <w:r>
        <w:t xml:space="preserve">be exercised </w:t>
      </w:r>
      <w:r w:rsidR="00C20142">
        <w:t>in relation to routine participation in professional development activities</w:t>
      </w:r>
      <w:r w:rsidR="00B12416">
        <w:t xml:space="preserve">.  </w:t>
      </w:r>
      <w:r w:rsidR="00305722">
        <w:t xml:space="preserve">A targeted exercise of the power </w:t>
      </w:r>
      <w:r w:rsidR="00B12416">
        <w:t xml:space="preserve">may also be </w:t>
      </w:r>
      <w:r w:rsidR="002444D0">
        <w:t xml:space="preserve">effective </w:t>
      </w:r>
      <w:r w:rsidR="003F37B9">
        <w:t xml:space="preserve">if </w:t>
      </w:r>
      <w:r>
        <w:t xml:space="preserve">the head of jurisdiction becomes aware </w:t>
      </w:r>
      <w:r w:rsidR="003F37B9">
        <w:t xml:space="preserve">of problematic conduct by a particular </w:t>
      </w:r>
      <w:r>
        <w:t>judicial officer</w:t>
      </w:r>
      <w:r w:rsidR="003F37B9">
        <w:t>.  This may</w:t>
      </w:r>
      <w:r w:rsidR="002444D0">
        <w:t xml:space="preserve"> be</w:t>
      </w:r>
      <w:r w:rsidR="003F37B9">
        <w:t xml:space="preserve">, for </w:t>
      </w:r>
      <w:r>
        <w:t xml:space="preserve">example, where it is an “open secret” that </w:t>
      </w:r>
      <w:r w:rsidR="004F3B0B">
        <w:t xml:space="preserve">a particular </w:t>
      </w:r>
      <w:r>
        <w:t xml:space="preserve">judicial officer </w:t>
      </w:r>
      <w:r w:rsidR="00305722">
        <w:t xml:space="preserve">tends to behave </w:t>
      </w:r>
      <w:r w:rsidR="00526690">
        <w:t xml:space="preserve">inappropriately towards staff, thus jeopardising their </w:t>
      </w:r>
      <w:r>
        <w:t xml:space="preserve">occupational health and safety and the reputation and integrity of the Court.  </w:t>
      </w:r>
    </w:p>
    <w:p w14:paraId="3083BD62" w14:textId="3550A25E" w:rsidR="005B038A" w:rsidRDefault="003F37B9" w:rsidP="00317F2B">
      <w:pPr>
        <w:pStyle w:val="ListNumber2"/>
      </w:pPr>
      <w:r>
        <w:t xml:space="preserve">A judge’s </w:t>
      </w:r>
      <w:proofErr w:type="gramStart"/>
      <w:r>
        <w:t>constitutionally</w:t>
      </w:r>
      <w:r w:rsidR="005B038A">
        <w:t>-protected</w:t>
      </w:r>
      <w:proofErr w:type="gramEnd"/>
      <w:r w:rsidR="005B038A">
        <w:t xml:space="preserve"> </w:t>
      </w:r>
      <w:r w:rsidR="00BF42A8">
        <w:t xml:space="preserve">status </w:t>
      </w:r>
      <w:r w:rsidR="005B038A">
        <w:t>limits what can be done to counsel</w:t>
      </w:r>
      <w:r w:rsidR="00977106">
        <w:t>,</w:t>
      </w:r>
      <w:r w:rsidR="005B038A">
        <w:t xml:space="preserve"> censure </w:t>
      </w:r>
      <w:r w:rsidR="00977106">
        <w:t xml:space="preserve">or discipline </w:t>
      </w:r>
      <w:r w:rsidR="005B038A">
        <w:t xml:space="preserve">a judicial officer who </w:t>
      </w:r>
      <w:r w:rsidR="00BF42A8">
        <w:t xml:space="preserve">has engaged or </w:t>
      </w:r>
      <w:r w:rsidR="005B038A">
        <w:t>engages in misconduct against judicial staff</w:t>
      </w:r>
      <w:r w:rsidR="00B92788">
        <w:t>.</w:t>
      </w:r>
      <w:r w:rsidR="005B038A">
        <w:t xml:space="preserve"> </w:t>
      </w:r>
      <w:r w:rsidR="00B92788">
        <w:t xml:space="preserve"> A </w:t>
      </w:r>
      <w:r w:rsidR="005B038A">
        <w:t xml:space="preserve">referral to the Judicial Commission, investigation by that body, or </w:t>
      </w:r>
      <w:r w:rsidR="00B92788">
        <w:t xml:space="preserve">steps towards </w:t>
      </w:r>
      <w:r w:rsidR="005B038A">
        <w:t xml:space="preserve">removal from office </w:t>
      </w:r>
      <w:proofErr w:type="gramStart"/>
      <w:r w:rsidR="005B038A">
        <w:t>on the basis of</w:t>
      </w:r>
      <w:proofErr w:type="gramEnd"/>
      <w:r w:rsidR="005B038A">
        <w:t xml:space="preserve"> proved misbehaviour</w:t>
      </w:r>
      <w:r w:rsidR="00B92788">
        <w:t>, are extreme sanctions</w:t>
      </w:r>
      <w:r w:rsidR="005B038A">
        <w:t xml:space="preserve">.  </w:t>
      </w:r>
      <w:r w:rsidR="005C647D">
        <w:t xml:space="preserve">It is likely that such </w:t>
      </w:r>
      <w:r w:rsidR="008D2002">
        <w:t xml:space="preserve">steps would be appropriate only in cases where significant misconduct was suspected or substantiated.  However, relevant studies suggest </w:t>
      </w:r>
      <w:r w:rsidR="00654CA8">
        <w:t xml:space="preserve">that </w:t>
      </w:r>
      <w:r w:rsidR="008D2002">
        <w:t xml:space="preserve">harassment and related </w:t>
      </w:r>
      <w:r w:rsidR="004E5709">
        <w:t xml:space="preserve">misconduct often begin as small incivilities or </w:t>
      </w:r>
      <w:r w:rsidR="00931952">
        <w:t xml:space="preserve">a relatively </w:t>
      </w:r>
      <w:r w:rsidR="004E5709">
        <w:t xml:space="preserve">mild testing of boundaries, that if unchecked, gradually escalate into more serious incidents.  </w:t>
      </w:r>
      <w:r w:rsidR="00435271">
        <w:t xml:space="preserve">Timely intervention may prevent more </w:t>
      </w:r>
      <w:r w:rsidR="00435271">
        <w:lastRenderedPageBreak/>
        <w:t xml:space="preserve">damaging outcomes.  For inappropriate conduct </w:t>
      </w:r>
      <w:r w:rsidR="00E1448C">
        <w:t xml:space="preserve">falling short of misbehaviour, a referral for </w:t>
      </w:r>
      <w:r w:rsidR="00EF46F1">
        <w:t xml:space="preserve">instruction, counselling or </w:t>
      </w:r>
      <w:r w:rsidR="00E1448C">
        <w:t>training may be effective.  It is likely that most judges would co</w:t>
      </w:r>
      <w:r w:rsidR="00E1448C">
        <w:noBreakHyphen/>
        <w:t xml:space="preserve">operate </w:t>
      </w:r>
      <w:r w:rsidR="001901BE">
        <w:t xml:space="preserve">with the request </w:t>
      </w:r>
      <w:r w:rsidR="00E852E2">
        <w:t xml:space="preserve">of the head of jurisdiction </w:t>
      </w:r>
      <w:r w:rsidR="001901BE">
        <w:t xml:space="preserve">without resort to a direction.  </w:t>
      </w:r>
      <w:r w:rsidR="00BF42A8">
        <w:t>Most judges are highly sensitive to the</w:t>
      </w:r>
      <w:r w:rsidR="005B038A">
        <w:t xml:space="preserve"> </w:t>
      </w:r>
      <w:r w:rsidR="00925F14">
        <w:t xml:space="preserve">requests of the head of jurisdiction and the </w:t>
      </w:r>
      <w:r w:rsidR="004F3B0B">
        <w:t xml:space="preserve">potential </w:t>
      </w:r>
      <w:r w:rsidR="005B038A">
        <w:t xml:space="preserve">disapproval and censure of </w:t>
      </w:r>
      <w:r w:rsidR="00BF42A8">
        <w:t xml:space="preserve">their </w:t>
      </w:r>
      <w:r w:rsidR="007E0D2D">
        <w:t>fellow judges</w:t>
      </w:r>
      <w:r w:rsidR="007D385E">
        <w:t>.</w:t>
      </w:r>
      <w:r w:rsidR="007E0D2D">
        <w:t xml:space="preserve"> </w:t>
      </w:r>
      <w:r w:rsidR="007D385E">
        <w:t xml:space="preserve"> </w:t>
      </w:r>
      <w:r w:rsidR="00FC66AE">
        <w:t xml:space="preserve">Other </w:t>
      </w:r>
      <w:r w:rsidR="007E0D2D">
        <w:t>judges</w:t>
      </w:r>
      <w:r w:rsidR="00FC66AE">
        <w:t>’</w:t>
      </w:r>
      <w:r w:rsidR="007E0D2D">
        <w:t xml:space="preserve"> disapprov</w:t>
      </w:r>
      <w:r w:rsidR="00FC66AE">
        <w:t xml:space="preserve">al of </w:t>
      </w:r>
      <w:r w:rsidR="00BD1DB4">
        <w:t>problematic behaviour</w:t>
      </w:r>
      <w:r w:rsidR="008D2002">
        <w:t xml:space="preserve"> </w:t>
      </w:r>
      <w:r w:rsidR="00435875">
        <w:t xml:space="preserve">may </w:t>
      </w:r>
      <w:r w:rsidR="008D2002">
        <w:t>suffice to put a stop to it</w:t>
      </w:r>
      <w:r w:rsidR="00BD1DB4">
        <w:t xml:space="preserve">. </w:t>
      </w:r>
    </w:p>
    <w:p w14:paraId="35DF1D52" w14:textId="6E4C1A79" w:rsidR="00FB5A28" w:rsidRDefault="007D385E" w:rsidP="00317F2B">
      <w:pPr>
        <w:pStyle w:val="ListNumber2"/>
      </w:pPr>
      <w:r>
        <w:t xml:space="preserve">If, in a rare case, </w:t>
      </w:r>
      <w:r w:rsidR="00FB5A28">
        <w:t xml:space="preserve">a judge declines counselling </w:t>
      </w:r>
      <w:r w:rsidR="005E1A92">
        <w:t>or training to improve his or her conduct towards court staff, the head of jurisdiction may</w:t>
      </w:r>
      <w:r w:rsidR="005B2F09">
        <w:t xml:space="preserve"> consider</w:t>
      </w:r>
      <w:r w:rsidR="005E1A92">
        <w:t>,</w:t>
      </w:r>
      <w:r w:rsidR="00DF2439">
        <w:t xml:space="preserve"> in consultation with CSV</w:t>
      </w:r>
      <w:r w:rsidR="005966B7">
        <w:t>,</w:t>
      </w:r>
      <w:r w:rsidR="005E1A92">
        <w:t xml:space="preserve"> </w:t>
      </w:r>
      <w:r w:rsidR="005B2F09">
        <w:t>discretionary measures</w:t>
      </w:r>
      <w:r w:rsidR="005E1A92">
        <w:t xml:space="preserve"> to ensure the safety and wellbeing of staff</w:t>
      </w:r>
      <w:r w:rsidR="005B2F09">
        <w:t>, including</w:t>
      </w:r>
      <w:r w:rsidR="00553D70">
        <w:t>:</w:t>
      </w:r>
    </w:p>
    <w:p w14:paraId="5CB7ECEA" w14:textId="77777777" w:rsidR="001B77DC" w:rsidRPr="00DF2FF7" w:rsidRDefault="001B77DC" w:rsidP="001B77DC">
      <w:pPr>
        <w:pStyle w:val="ListNumber3"/>
      </w:pPr>
      <w:r>
        <w:t xml:space="preserve">appropriate </w:t>
      </w:r>
      <w:r w:rsidRPr="00DF2FF7">
        <w:t xml:space="preserve">supervision of the judicial officer’s interaction with </w:t>
      </w:r>
      <w:proofErr w:type="gramStart"/>
      <w:r w:rsidRPr="00DF2FF7">
        <w:t>staff;</w:t>
      </w:r>
      <w:proofErr w:type="gramEnd"/>
    </w:p>
    <w:p w14:paraId="1708A6ED" w14:textId="77777777" w:rsidR="001B77DC" w:rsidRPr="00DF2FF7" w:rsidRDefault="001B77DC" w:rsidP="001B77DC">
      <w:pPr>
        <w:pStyle w:val="ListNumber3"/>
      </w:pPr>
      <w:r w:rsidRPr="00DF2FF7">
        <w:t>assign</w:t>
      </w:r>
      <w:r>
        <w:t>ing</w:t>
      </w:r>
      <w:r w:rsidRPr="00DF2FF7">
        <w:t xml:space="preserve"> staff who do not have relevant vulnerabilities or risk factors to that judicial </w:t>
      </w:r>
      <w:proofErr w:type="gramStart"/>
      <w:r w:rsidRPr="00DF2FF7">
        <w:t>officer;</w:t>
      </w:r>
      <w:proofErr w:type="gramEnd"/>
      <w:r w:rsidRPr="00DF2FF7">
        <w:t xml:space="preserve"> </w:t>
      </w:r>
    </w:p>
    <w:p w14:paraId="41F88460" w14:textId="78A08878" w:rsidR="001B77DC" w:rsidRDefault="001B77DC" w:rsidP="001B77DC">
      <w:pPr>
        <w:pStyle w:val="ListNumber3"/>
        <w:rPr>
          <w:lang w:val="en-US"/>
        </w:rPr>
      </w:pPr>
      <w:r>
        <w:rPr>
          <w:lang w:val="en-US"/>
        </w:rPr>
        <w:t xml:space="preserve">limiting the </w:t>
      </w:r>
      <w:proofErr w:type="gramStart"/>
      <w:r>
        <w:rPr>
          <w:lang w:val="en-US"/>
        </w:rPr>
        <w:t>manner in which</w:t>
      </w:r>
      <w:proofErr w:type="gramEnd"/>
      <w:r>
        <w:rPr>
          <w:lang w:val="en-US"/>
        </w:rPr>
        <w:t xml:space="preserve"> a judicial officer may interact with staff (for example, remote interactions only); or</w:t>
      </w:r>
    </w:p>
    <w:p w14:paraId="75FB2C24" w14:textId="42DC2CD0" w:rsidR="001B77DC" w:rsidRPr="00503914" w:rsidRDefault="001B77DC" w:rsidP="001B77DC">
      <w:pPr>
        <w:pStyle w:val="ListNumber3"/>
      </w:pPr>
      <w:r>
        <w:rPr>
          <w:lang w:val="en-US"/>
        </w:rPr>
        <w:t>request</w:t>
      </w:r>
      <w:r w:rsidR="002A5BAE">
        <w:rPr>
          <w:lang w:val="en-US"/>
        </w:rPr>
        <w:t>ing</w:t>
      </w:r>
      <w:r>
        <w:rPr>
          <w:lang w:val="en-US"/>
        </w:rPr>
        <w:t xml:space="preserve">, to the extent consistent with any applicable limitations, the judge not to sit for a specified time or not to sit on </w:t>
      </w:r>
      <w:proofErr w:type="gramStart"/>
      <w:r>
        <w:rPr>
          <w:lang w:val="en-US"/>
        </w:rPr>
        <w:t>particular categories</w:t>
      </w:r>
      <w:proofErr w:type="gramEnd"/>
      <w:r>
        <w:rPr>
          <w:lang w:val="en-US"/>
        </w:rPr>
        <w:t xml:space="preserve"> of cases.</w:t>
      </w:r>
    </w:p>
    <w:p w14:paraId="499EAEEC" w14:textId="5212CFC2" w:rsidR="001B77DC" w:rsidRDefault="009019FF" w:rsidP="00317F2B">
      <w:pPr>
        <w:pStyle w:val="ListNumber2"/>
      </w:pPr>
      <w:r>
        <w:t>Where there is no formal complaint, investigation or adverse finding against the judicial officer, considerations of procedural fairness and judicial independence are relevant to the exercise of such discretion, which may nevertheless provide flexibility to address staff safety in an unusual case.</w:t>
      </w:r>
    </w:p>
    <w:p w14:paraId="6E73CA5A" w14:textId="71D699EE" w:rsidR="009B4605" w:rsidRDefault="0060347C" w:rsidP="005D7096">
      <w:pPr>
        <w:pStyle w:val="Heading5"/>
        <w:keepNext/>
      </w:pPr>
      <w:bookmarkStart w:id="114" w:name="_Ref108730495"/>
      <w:r>
        <w:t>We recommend that the courts should, to the extent possible, introduce flexible short-term staff exchanges or rotations, to ensure that chambers staff are known to several judges</w:t>
      </w:r>
      <w:bookmarkEnd w:id="114"/>
      <w:r w:rsidR="005D7096">
        <w:t>.</w:t>
      </w:r>
    </w:p>
    <w:p w14:paraId="70C998B5" w14:textId="3B6D15BF" w:rsidR="00957BC7" w:rsidRDefault="00957BC7" w:rsidP="005D7096">
      <w:pPr>
        <w:pStyle w:val="ListNumber2"/>
        <w:spacing w:before="240"/>
      </w:pPr>
      <w:r>
        <w:t xml:space="preserve">The Supreme and County Courts should introduce </w:t>
      </w:r>
      <w:r w:rsidR="00552A00">
        <w:t xml:space="preserve">measures to combat segregation, </w:t>
      </w:r>
      <w:proofErr w:type="gramStart"/>
      <w:r w:rsidR="00552A00">
        <w:t>isolation</w:t>
      </w:r>
      <w:proofErr w:type="gramEnd"/>
      <w:r w:rsidR="00552A00">
        <w:t xml:space="preserve"> and </w:t>
      </w:r>
      <w:r w:rsidR="002D4EB5">
        <w:t xml:space="preserve">the </w:t>
      </w:r>
      <w:r w:rsidR="00552A00">
        <w:t xml:space="preserve">total dependence of </w:t>
      </w:r>
      <w:r w:rsidR="002210BC">
        <w:t xml:space="preserve">associates (or similar </w:t>
      </w:r>
      <w:r w:rsidR="00552A00">
        <w:t>chambers staff</w:t>
      </w:r>
      <w:r w:rsidR="002210BC">
        <w:t>)</w:t>
      </w:r>
      <w:r w:rsidR="00552A00">
        <w:t xml:space="preserve"> upon a single judge.  </w:t>
      </w:r>
      <w:r w:rsidR="008A15C2">
        <w:t xml:space="preserve">It would be beneficial if </w:t>
      </w:r>
      <w:r w:rsidR="002210BC">
        <w:t xml:space="preserve">associates </w:t>
      </w:r>
      <w:r w:rsidR="00552A00">
        <w:t xml:space="preserve">are known to several other judges.  Suggested steps </w:t>
      </w:r>
      <w:r w:rsidR="008A15C2">
        <w:t xml:space="preserve">to achieve this </w:t>
      </w:r>
      <w:r w:rsidR="00552A00">
        <w:t>include pooling arrangements for associates</w:t>
      </w:r>
      <w:r w:rsidR="002D4EB5">
        <w:t>,</w:t>
      </w:r>
      <w:r w:rsidR="00552A00">
        <w:t xml:space="preserve"> </w:t>
      </w:r>
      <w:r w:rsidR="002210BC">
        <w:t xml:space="preserve">encouraging </w:t>
      </w:r>
      <w:r w:rsidR="00552A00">
        <w:t xml:space="preserve">routine </w:t>
      </w:r>
      <w:r w:rsidR="004D7A26">
        <w:t>short-term</w:t>
      </w:r>
      <w:r w:rsidR="00552A00">
        <w:t xml:space="preserve"> staff exchanges</w:t>
      </w:r>
      <w:r w:rsidR="002210BC">
        <w:t xml:space="preserve">, facilitating associates’ social </w:t>
      </w:r>
      <w:proofErr w:type="gramStart"/>
      <w:r w:rsidR="002210BC">
        <w:t>interaction</w:t>
      </w:r>
      <w:proofErr w:type="gramEnd"/>
      <w:r w:rsidR="002210BC">
        <w:t xml:space="preserve"> and arranging</w:t>
      </w:r>
      <w:r w:rsidR="002D4EB5">
        <w:t xml:space="preserve"> some collegiate events open to all court personnel.  </w:t>
      </w:r>
    </w:p>
    <w:p w14:paraId="53E82B55" w14:textId="44AD2541" w:rsidR="00783A2C" w:rsidRPr="00507D7D" w:rsidRDefault="00C3219F" w:rsidP="005D7096">
      <w:pPr>
        <w:pStyle w:val="ListNumber2"/>
        <w:spacing w:before="240"/>
      </w:pPr>
      <w:r w:rsidRPr="00507D7D">
        <w:t>Several interviewees suggested</w:t>
      </w:r>
      <w:r w:rsidR="00D76C94" w:rsidRPr="00507D7D">
        <w:t xml:space="preserve">, </w:t>
      </w:r>
      <w:r w:rsidR="00DC1172" w:rsidRPr="00507D7D">
        <w:t xml:space="preserve">to avert problems arising from </w:t>
      </w:r>
      <w:r w:rsidR="00783A2C" w:rsidRPr="00507D7D">
        <w:t xml:space="preserve">associates working </w:t>
      </w:r>
      <w:r w:rsidR="009841E3" w:rsidRPr="00507D7D">
        <w:t xml:space="preserve">exclusively with a </w:t>
      </w:r>
      <w:r w:rsidR="00D76C94" w:rsidRPr="00507D7D">
        <w:t xml:space="preserve">single </w:t>
      </w:r>
      <w:r w:rsidR="009841E3" w:rsidRPr="00507D7D">
        <w:t>judge one</w:t>
      </w:r>
      <w:r w:rsidR="004A4EA0">
        <w:noBreakHyphen/>
      </w:r>
      <w:r w:rsidR="009841E3" w:rsidRPr="00507D7D">
        <w:t>on</w:t>
      </w:r>
      <w:r w:rsidR="004A4EA0">
        <w:noBreakHyphen/>
      </w:r>
      <w:r w:rsidR="009841E3" w:rsidRPr="00507D7D">
        <w:t xml:space="preserve">one, </w:t>
      </w:r>
      <w:r w:rsidR="00D76C94" w:rsidRPr="00507D7D">
        <w:t xml:space="preserve">that </w:t>
      </w:r>
      <w:r w:rsidR="009841E3" w:rsidRPr="00507D7D">
        <w:t xml:space="preserve">they be allocated to small </w:t>
      </w:r>
      <w:r w:rsidR="00783A2C" w:rsidRPr="00507D7D">
        <w:t xml:space="preserve">pools of </w:t>
      </w:r>
      <w:r w:rsidR="00783A2C" w:rsidRPr="00507D7D">
        <w:lastRenderedPageBreak/>
        <w:t xml:space="preserve">associates (perhaps 2 or 3) who assist a correspondingly small pool of judicial officers.  </w:t>
      </w:r>
    </w:p>
    <w:p w14:paraId="0CD35138" w14:textId="48B5B703" w:rsidR="00783A2C" w:rsidRPr="00507D7D" w:rsidRDefault="009B4AC8" w:rsidP="005D7096">
      <w:pPr>
        <w:pStyle w:val="ListNumber2"/>
        <w:spacing w:before="240"/>
      </w:pPr>
      <w:r w:rsidRPr="00507D7D">
        <w:t xml:space="preserve">This arrangement </w:t>
      </w:r>
      <w:r w:rsidR="00783A2C" w:rsidRPr="00507D7D">
        <w:t>would diminish the one-on-one intensity of the associate/</w:t>
      </w:r>
      <w:r w:rsidR="00D76C94" w:rsidRPr="00507D7D">
        <w:t xml:space="preserve">judge </w:t>
      </w:r>
      <w:r w:rsidR="00783A2C" w:rsidRPr="00507D7D">
        <w:t>relationship</w:t>
      </w:r>
      <w:r w:rsidR="004C191A" w:rsidRPr="00507D7D">
        <w:t xml:space="preserve">, </w:t>
      </w:r>
      <w:r w:rsidR="00DC1172" w:rsidRPr="00507D7D">
        <w:t xml:space="preserve">which </w:t>
      </w:r>
      <w:r w:rsidR="004C191A" w:rsidRPr="00507D7D">
        <w:t xml:space="preserve">some associates </w:t>
      </w:r>
      <w:r w:rsidR="00DC1172" w:rsidRPr="00507D7D">
        <w:t xml:space="preserve">(particularly when the relationship is problematic) </w:t>
      </w:r>
      <w:r w:rsidR="004C191A" w:rsidRPr="00507D7D">
        <w:t>find difficult</w:t>
      </w:r>
      <w:r w:rsidRPr="00507D7D">
        <w:t xml:space="preserve">.  </w:t>
      </w:r>
      <w:r w:rsidR="00DC1172" w:rsidRPr="00507D7D">
        <w:t xml:space="preserve">Pooling would diminish the </w:t>
      </w:r>
      <w:r w:rsidR="00783A2C" w:rsidRPr="00507D7D">
        <w:t xml:space="preserve">opportunity for unwitnessed misconduct by a </w:t>
      </w:r>
      <w:r w:rsidRPr="00507D7D">
        <w:t>judge</w:t>
      </w:r>
      <w:r w:rsidR="00DC1172" w:rsidRPr="00507D7D">
        <w:t>.</w:t>
      </w:r>
      <w:r w:rsidR="001C4920" w:rsidRPr="00507D7D">
        <w:t xml:space="preserve">  </w:t>
      </w:r>
      <w:r w:rsidR="00DC1172" w:rsidRPr="00507D7D">
        <w:t xml:space="preserve">Associates </w:t>
      </w:r>
      <w:r w:rsidR="00783A2C" w:rsidRPr="00507D7D">
        <w:t xml:space="preserve">in such an arrangement would work closely with other associates, with ready access to peer support.  </w:t>
      </w:r>
      <w:r w:rsidR="00F07B54" w:rsidRPr="00507D7D">
        <w:t xml:space="preserve">If the relationship with a particular judge broke down, or misconduct took place, the targeted associate would not be inhibited from resisting or complaining by total dependence on the erring judge.  Other judges would have sufficient familiarity with the associate to provide a </w:t>
      </w:r>
      <w:r w:rsidR="000C5324" w:rsidRPr="00507D7D">
        <w:t xml:space="preserve">continuing relationship, </w:t>
      </w:r>
      <w:r w:rsidR="001A5176">
        <w:t xml:space="preserve">a </w:t>
      </w:r>
      <w:r w:rsidR="00F07B54" w:rsidRPr="00507D7D">
        <w:t>meaningful reference</w:t>
      </w:r>
      <w:r w:rsidR="002D4EB5" w:rsidRPr="00507D7D">
        <w:t>,</w:t>
      </w:r>
      <w:r w:rsidR="00F07B54" w:rsidRPr="00507D7D">
        <w:t xml:space="preserve"> mentoring and future professional </w:t>
      </w:r>
      <w:r w:rsidR="00D47F3F" w:rsidRPr="00507D7D">
        <w:t>support.</w:t>
      </w:r>
    </w:p>
    <w:p w14:paraId="55C79D4E" w14:textId="4C146906" w:rsidR="00A40FD4" w:rsidRDefault="00A40FD4" w:rsidP="005D7096">
      <w:pPr>
        <w:pStyle w:val="ListNumber2"/>
        <w:spacing w:before="240"/>
      </w:pPr>
      <w:r>
        <w:t xml:space="preserve">While the pooling of associates has the above obvious benefits, we are doubtful if it would be extensively adopted.  The arrangement would not work if imposed on unwilling judges.  Judges require immediate, </w:t>
      </w:r>
      <w:proofErr w:type="gramStart"/>
      <w:r>
        <w:t>consistent</w:t>
      </w:r>
      <w:proofErr w:type="gramEnd"/>
      <w:r>
        <w:t xml:space="preserve"> and dedicated assistance to fulfil their duties.  They should not be placed in a position of having to compete with other judicial officers, who may be more assertive, </w:t>
      </w:r>
      <w:proofErr w:type="gramStart"/>
      <w:r>
        <w:t>demanding</w:t>
      </w:r>
      <w:proofErr w:type="gramEnd"/>
      <w:r>
        <w:t xml:space="preserve"> or senior, for essential services and support.  Two retired judges thought the </w:t>
      </w:r>
      <w:r w:rsidR="00A1787C">
        <w:t xml:space="preserve">proposed </w:t>
      </w:r>
      <w:r>
        <w:t>arrangement would be “a disaster” for less assertive or female judges.  However, where a group of judges have a mutually harmonious relationship and work practices, the option may present benefits.</w:t>
      </w:r>
    </w:p>
    <w:p w14:paraId="56F98271" w14:textId="73D59DBF" w:rsidR="006F14E8" w:rsidRDefault="00E74F72" w:rsidP="005D7096">
      <w:pPr>
        <w:pStyle w:val="ListNumber2"/>
        <w:spacing w:before="240"/>
      </w:pPr>
      <w:r>
        <w:t xml:space="preserve">Another potentially beneficial measure (which may be well-received by both associates and judges) is </w:t>
      </w:r>
      <w:r w:rsidR="006F14E8">
        <w:t xml:space="preserve">facilitating a system of associate “exchanges”, whereby judicial officers swap associates for </w:t>
      </w:r>
      <w:r w:rsidR="00B33E86">
        <w:t xml:space="preserve">a </w:t>
      </w:r>
      <w:r w:rsidR="006F14E8">
        <w:t>month</w:t>
      </w:r>
      <w:r w:rsidR="00B33E86">
        <w:t xml:space="preserve"> or so</w:t>
      </w:r>
      <w:r w:rsidR="006F14E8">
        <w:t xml:space="preserve">.  </w:t>
      </w:r>
    </w:p>
    <w:p w14:paraId="4F7B5649" w14:textId="524F4854" w:rsidR="006F14E8" w:rsidRDefault="00B33E86" w:rsidP="005D7096">
      <w:pPr>
        <w:pStyle w:val="ListNumber2"/>
        <w:spacing w:before="240"/>
      </w:pPr>
      <w:r>
        <w:t xml:space="preserve">In practice, associates </w:t>
      </w:r>
      <w:r w:rsidR="00B032B7">
        <w:t xml:space="preserve">are </w:t>
      </w:r>
      <w:r>
        <w:t>already assigned to other judges when their own judge is on leave</w:t>
      </w:r>
      <w:r w:rsidR="00A0639F">
        <w:t xml:space="preserve">, workloads </w:t>
      </w:r>
      <w:proofErr w:type="gramStart"/>
      <w:r w:rsidR="00A0639F">
        <w:t>fluctuate</w:t>
      </w:r>
      <w:proofErr w:type="gramEnd"/>
      <w:r>
        <w:t xml:space="preserve"> or emergencies arise.  We propose that the practice be extended and </w:t>
      </w:r>
      <w:r w:rsidR="00A0639F">
        <w:t xml:space="preserve">standardised </w:t>
      </w:r>
      <w:r>
        <w:t xml:space="preserve">to the extent possible.  Appropriate </w:t>
      </w:r>
      <w:r w:rsidR="0087659E">
        <w:t>consultation</w:t>
      </w:r>
      <w:r>
        <w:t xml:space="preserve"> with both the relevant judges</w:t>
      </w:r>
      <w:r w:rsidR="0087659E">
        <w:t xml:space="preserve"> and associates would precede the finalisation of the arrangements.  </w:t>
      </w:r>
      <w:r w:rsidR="0003184C">
        <w:t xml:space="preserve">We recognise that a degree of disruption may be </w:t>
      </w:r>
      <w:proofErr w:type="gramStart"/>
      <w:r w:rsidR="0003184C">
        <w:t>entailed, but</w:t>
      </w:r>
      <w:proofErr w:type="gramEnd"/>
      <w:r w:rsidR="0003184C">
        <w:t xml:space="preserve"> will likely be outweighed by the benefits.  </w:t>
      </w:r>
      <w:r w:rsidR="00A0639F">
        <w:t xml:space="preserve">More associates </w:t>
      </w:r>
      <w:r w:rsidR="0087659E">
        <w:t xml:space="preserve">would gain </w:t>
      </w:r>
      <w:r w:rsidR="006F14E8">
        <w:t>a real opportunity to work with at least one other judicial officer</w:t>
      </w:r>
      <w:r w:rsidR="00161381">
        <w:t xml:space="preserve"> pursuant to a </w:t>
      </w:r>
      <w:r w:rsidR="00A0639F">
        <w:t xml:space="preserve">standard </w:t>
      </w:r>
      <w:r w:rsidR="00161381">
        <w:t xml:space="preserve">practice.  </w:t>
      </w:r>
      <w:r w:rsidR="00502DCD">
        <w:t>The</w:t>
      </w:r>
      <w:r w:rsidR="00ED1AA0">
        <w:t> </w:t>
      </w:r>
      <w:r w:rsidR="00502DCD">
        <w:t>potentially disastrous effects of falling out with a</w:t>
      </w:r>
      <w:r w:rsidR="00960A02">
        <w:t xml:space="preserve">n individual </w:t>
      </w:r>
      <w:r w:rsidR="00502DCD">
        <w:t>judge would be diminished</w:t>
      </w:r>
      <w:r w:rsidR="00960A02">
        <w:t>,</w:t>
      </w:r>
      <w:r w:rsidR="00502DCD">
        <w:t xml:space="preserve"> if not entirely averted.  </w:t>
      </w:r>
      <w:r w:rsidR="00BA0BD4">
        <w:t xml:space="preserve">The associate may be able to continue to work </w:t>
      </w:r>
      <w:r w:rsidR="00BA0BD4">
        <w:lastRenderedPageBreak/>
        <w:t xml:space="preserve">for a familiar judge.  </w:t>
      </w:r>
      <w:r w:rsidR="00161381">
        <w:t xml:space="preserve">The options for securing a meaningful reference and relevant </w:t>
      </w:r>
      <w:r w:rsidR="00A0639F">
        <w:t xml:space="preserve">professional </w:t>
      </w:r>
      <w:r w:rsidR="00161381">
        <w:t>support from another judge would be increased.</w:t>
      </w:r>
      <w:r w:rsidR="00A0639F">
        <w:t xml:space="preserve">  That would reduce the reluctance to raise concerns about the conduct of </w:t>
      </w:r>
      <w:r w:rsidR="00960A02">
        <w:t xml:space="preserve">the </w:t>
      </w:r>
      <w:r w:rsidR="00A0639F">
        <w:t xml:space="preserve">staff member’s primary judge and would eliminate </w:t>
      </w:r>
      <w:r w:rsidR="00A07B09">
        <w:t xml:space="preserve">embarrassment if a </w:t>
      </w:r>
      <w:r w:rsidR="00960A02">
        <w:t xml:space="preserve">more permanent </w:t>
      </w:r>
      <w:r w:rsidR="00A07B09">
        <w:t>reassignment took place.</w:t>
      </w:r>
    </w:p>
    <w:p w14:paraId="73604B6D" w14:textId="7171B2C2" w:rsidR="00F033EB" w:rsidRDefault="0003019F" w:rsidP="00ED1AA0">
      <w:pPr>
        <w:pStyle w:val="Heading5"/>
      </w:pPr>
      <w:bookmarkStart w:id="115" w:name="_Ref108976717"/>
      <w:r>
        <w:rPr>
          <w:lang w:val="en-US"/>
        </w:rPr>
        <w:t>We recommend that e</w:t>
      </w:r>
      <w:r w:rsidR="00CB4619">
        <w:rPr>
          <w:lang w:val="en-US"/>
        </w:rPr>
        <w:t>ach court and tribunal seek to reduce segregation and foster a sense of collegiality among judicial staff, particularly associates and short</w:t>
      </w:r>
      <w:r w:rsidR="00BB5D36">
        <w:rPr>
          <w:lang w:val="en-US"/>
        </w:rPr>
        <w:noBreakHyphen/>
      </w:r>
      <w:r w:rsidR="00CB4619">
        <w:rPr>
          <w:lang w:val="en-US"/>
        </w:rPr>
        <w:t xml:space="preserve">term chambers staff. </w:t>
      </w:r>
      <w:r w:rsidR="00ED1AA0">
        <w:rPr>
          <w:lang w:val="en-US"/>
        </w:rPr>
        <w:t xml:space="preserve"> </w:t>
      </w:r>
      <w:r w:rsidR="00CB4619">
        <w:rPr>
          <w:lang w:val="en-US"/>
        </w:rPr>
        <w:t>We suggest that this may be done by:</w:t>
      </w:r>
      <w:bookmarkEnd w:id="115"/>
    </w:p>
    <w:p w14:paraId="593DDF0A" w14:textId="6B3F279F" w:rsidR="00CB4619" w:rsidRPr="00ED1AA0" w:rsidRDefault="00016C28" w:rsidP="00ED1AA0">
      <w:pPr>
        <w:pStyle w:val="Quote"/>
        <w:numPr>
          <w:ilvl w:val="0"/>
          <w:numId w:val="33"/>
        </w:numPr>
        <w:spacing w:line="360" w:lineRule="auto"/>
        <w:rPr>
          <w:i/>
          <w:iCs/>
        </w:rPr>
      </w:pPr>
      <w:r w:rsidRPr="00ED1AA0">
        <w:rPr>
          <w:i/>
          <w:iCs/>
        </w:rPr>
        <w:t xml:space="preserve">providing a room or space for the use of judicial staff to meet during breaks throughout the workday, stocked with tea and coffee </w:t>
      </w:r>
      <w:proofErr w:type="gramStart"/>
      <w:r w:rsidRPr="00ED1AA0">
        <w:rPr>
          <w:i/>
          <w:iCs/>
        </w:rPr>
        <w:t>facilities;</w:t>
      </w:r>
      <w:proofErr w:type="gramEnd"/>
    </w:p>
    <w:p w14:paraId="5F36C586" w14:textId="17652F3B" w:rsidR="00016C28" w:rsidRPr="00ED1AA0" w:rsidRDefault="00E86DFB" w:rsidP="00ED1AA0">
      <w:pPr>
        <w:pStyle w:val="Quote"/>
        <w:numPr>
          <w:ilvl w:val="0"/>
          <w:numId w:val="33"/>
        </w:numPr>
        <w:spacing w:line="360" w:lineRule="auto"/>
        <w:rPr>
          <w:i/>
          <w:iCs/>
        </w:rPr>
      </w:pPr>
      <w:r w:rsidRPr="00ED1AA0">
        <w:rPr>
          <w:i/>
          <w:iCs/>
        </w:rPr>
        <w:t>arranging optional events for judicial staff to create opportunities for staff to meet one another and socialise; and</w:t>
      </w:r>
    </w:p>
    <w:p w14:paraId="008ED2A7" w14:textId="52157EAD" w:rsidR="00E86DFB" w:rsidRPr="00ED1AA0" w:rsidRDefault="00981381" w:rsidP="00ED1AA0">
      <w:pPr>
        <w:pStyle w:val="Quote"/>
        <w:numPr>
          <w:ilvl w:val="0"/>
          <w:numId w:val="33"/>
        </w:numPr>
        <w:spacing w:line="360" w:lineRule="auto"/>
        <w:rPr>
          <w:i/>
          <w:iCs/>
        </w:rPr>
      </w:pPr>
      <w:r w:rsidRPr="00ED1AA0">
        <w:rPr>
          <w:i/>
          <w:iCs/>
        </w:rPr>
        <w:t>arrang</w:t>
      </w:r>
      <w:r w:rsidR="0044576B">
        <w:rPr>
          <w:i/>
          <w:iCs/>
        </w:rPr>
        <w:t>ing</w:t>
      </w:r>
      <w:r w:rsidRPr="00ED1AA0">
        <w:rPr>
          <w:i/>
          <w:iCs/>
        </w:rPr>
        <w:t xml:space="preserve"> events, </w:t>
      </w:r>
      <w:proofErr w:type="gramStart"/>
      <w:r w:rsidRPr="00ED1AA0">
        <w:rPr>
          <w:i/>
          <w:iCs/>
        </w:rPr>
        <w:t>lectures</w:t>
      </w:r>
      <w:proofErr w:type="gramEnd"/>
      <w:r w:rsidRPr="00ED1AA0">
        <w:rPr>
          <w:i/>
          <w:iCs/>
        </w:rPr>
        <w:t xml:space="preserve"> or classes (open to all working in the court) to provide opportunities for staff and judges at all levels to become mutually acquainted (for example, lunch time addresses on topics of interest, musical events, or well-being classes).</w:t>
      </w:r>
    </w:p>
    <w:p w14:paraId="29009D4E" w14:textId="57199224" w:rsidR="0093312E" w:rsidRDefault="001554ED" w:rsidP="001548AB">
      <w:pPr>
        <w:pStyle w:val="Heading5"/>
      </w:pPr>
      <w:bookmarkStart w:id="116" w:name="_Toc108304393"/>
      <w:bookmarkEnd w:id="116"/>
      <w:r>
        <w:t xml:space="preserve">We recommend that a </w:t>
      </w:r>
      <w:r w:rsidR="00052B84">
        <w:t>CSV representative, as standard practice, attend recruitment interviews of associates and other chambers staff</w:t>
      </w:r>
      <w:r w:rsidR="00D57D56">
        <w:t>.</w:t>
      </w:r>
    </w:p>
    <w:p w14:paraId="1B4268DE" w14:textId="359CB74B" w:rsidR="005B038A" w:rsidRDefault="00586A0A" w:rsidP="00647F6A">
      <w:pPr>
        <w:pStyle w:val="ListNumber2"/>
        <w:spacing w:before="240"/>
      </w:pPr>
      <w:r>
        <w:t xml:space="preserve">It is now common practice </w:t>
      </w:r>
      <w:r w:rsidR="00A405C2">
        <w:t xml:space="preserve">in </w:t>
      </w:r>
      <w:r w:rsidR="00952EA7">
        <w:t>the Supreme Court and the County Court</w:t>
      </w:r>
      <w:r>
        <w:t xml:space="preserve"> </w:t>
      </w:r>
      <w:r w:rsidR="00F652D5">
        <w:t xml:space="preserve">for </w:t>
      </w:r>
      <w:r w:rsidR="00952EA7">
        <w:t xml:space="preserve">a judicial services co-ordinator (or other CSV employee) </w:t>
      </w:r>
      <w:r w:rsidR="00F652D5">
        <w:t xml:space="preserve">to </w:t>
      </w:r>
      <w:r>
        <w:t>participate</w:t>
      </w:r>
      <w:r w:rsidR="008815DD">
        <w:t xml:space="preserve"> in interviews of candidates for associate positions</w:t>
      </w:r>
      <w:r>
        <w:t>.</w:t>
      </w:r>
      <w:r w:rsidR="00BC42AD">
        <w:t xml:space="preserve"> </w:t>
      </w:r>
      <w:r w:rsidR="00952EA7">
        <w:t xml:space="preserve"> </w:t>
      </w:r>
      <w:r w:rsidR="00DC62E7">
        <w:t xml:space="preserve">If and to the extent such participation is not routine, we recommend </w:t>
      </w:r>
      <w:r w:rsidR="0023260C">
        <w:t xml:space="preserve">that it </w:t>
      </w:r>
      <w:r w:rsidR="002F44A5">
        <w:t>become</w:t>
      </w:r>
      <w:r w:rsidR="0023260C">
        <w:t xml:space="preserve"> </w:t>
      </w:r>
      <w:r w:rsidR="002F44A5">
        <w:t>standard practice.</w:t>
      </w:r>
    </w:p>
    <w:p w14:paraId="5DBDBD6D" w14:textId="6AEBF787" w:rsidR="005B038A" w:rsidRDefault="002F44A5" w:rsidP="00647F6A">
      <w:pPr>
        <w:pStyle w:val="ListNumber2"/>
        <w:spacing w:before="240"/>
      </w:pPr>
      <w:r>
        <w:t xml:space="preserve">The </w:t>
      </w:r>
      <w:r w:rsidR="00D47463">
        <w:t>judge</w:t>
      </w:r>
      <w:r>
        <w:t xml:space="preserve"> </w:t>
      </w:r>
      <w:r w:rsidR="001554ED">
        <w:t>(</w:t>
      </w:r>
      <w:r>
        <w:t>although</w:t>
      </w:r>
      <w:r w:rsidR="00D47463">
        <w:t xml:space="preserve"> </w:t>
      </w:r>
      <w:r w:rsidR="005B038A">
        <w:t>not the associate</w:t>
      </w:r>
      <w:r w:rsidR="00F57732">
        <w:t>’s employer</w:t>
      </w:r>
      <w:r w:rsidR="001554ED">
        <w:t>)</w:t>
      </w:r>
      <w:r w:rsidR="005B038A">
        <w:t xml:space="preserve"> </w:t>
      </w:r>
      <w:r w:rsidR="00F57732">
        <w:t>must necessarily interview short listed applica</w:t>
      </w:r>
      <w:r>
        <w:t>n</w:t>
      </w:r>
      <w:r w:rsidR="00F57732">
        <w:t>t</w:t>
      </w:r>
      <w:r>
        <w:t>s</w:t>
      </w:r>
      <w:r w:rsidR="00F57732">
        <w:t xml:space="preserve"> </w:t>
      </w:r>
      <w:proofErr w:type="gramStart"/>
      <w:r w:rsidR="00F57732">
        <w:t xml:space="preserve">in order </w:t>
      </w:r>
      <w:r w:rsidR="005B038A">
        <w:t>to</w:t>
      </w:r>
      <w:proofErr w:type="gramEnd"/>
      <w:r w:rsidR="005B038A">
        <w:t xml:space="preserve"> assess </w:t>
      </w:r>
      <w:r>
        <w:t xml:space="preserve">their </w:t>
      </w:r>
      <w:r w:rsidR="005B038A">
        <w:t xml:space="preserve">ability </w:t>
      </w:r>
      <w:r w:rsidR="002F11AE">
        <w:t xml:space="preserve">and capacity to work </w:t>
      </w:r>
      <w:r w:rsidR="001554ED">
        <w:t xml:space="preserve">together </w:t>
      </w:r>
      <w:r w:rsidR="00FF46CB">
        <w:t xml:space="preserve">harmoniously </w:t>
      </w:r>
      <w:r w:rsidR="002F11AE">
        <w:t>and closely</w:t>
      </w:r>
      <w:r w:rsidR="001554ED">
        <w:t>.</w:t>
      </w:r>
      <w:r w:rsidR="005B038A">
        <w:t xml:space="preserve">  </w:t>
      </w:r>
      <w:r w:rsidR="00F001AE">
        <w:t xml:space="preserve">The judicial officer makes the final decision on selection of the successful candidate.  </w:t>
      </w:r>
      <w:r w:rsidR="005B038A">
        <w:t>CSV make</w:t>
      </w:r>
      <w:r w:rsidR="009D272E">
        <w:t>s</w:t>
      </w:r>
      <w:r w:rsidR="005B038A">
        <w:t xml:space="preserve"> an offer of an employment to </w:t>
      </w:r>
      <w:r>
        <w:t xml:space="preserve">the </w:t>
      </w:r>
      <w:r w:rsidR="005B038A">
        <w:t xml:space="preserve">person who has passed </w:t>
      </w:r>
      <w:r w:rsidR="009D272E">
        <w:t xml:space="preserve">its </w:t>
      </w:r>
      <w:r w:rsidR="005B038A">
        <w:t>initial merit-based screening, but who has been selected by a judicial officer</w:t>
      </w:r>
      <w:r w:rsidR="009D272E">
        <w:t xml:space="preserve">, rather than </w:t>
      </w:r>
      <w:r w:rsidR="005B038A">
        <w:t xml:space="preserve">CSV.  </w:t>
      </w:r>
    </w:p>
    <w:p w14:paraId="79660F1E" w14:textId="49337031" w:rsidR="00173A20" w:rsidRDefault="00567DD5" w:rsidP="00647F6A">
      <w:pPr>
        <w:pStyle w:val="ListNumber2"/>
        <w:spacing w:before="240"/>
      </w:pPr>
      <w:r>
        <w:t xml:space="preserve">At least one Supreme Court judge </w:t>
      </w:r>
      <w:r w:rsidR="00BA5391">
        <w:t xml:space="preserve">queried the attendance of </w:t>
      </w:r>
      <w:r w:rsidR="00423170">
        <w:t xml:space="preserve">CSV </w:t>
      </w:r>
      <w:r>
        <w:t xml:space="preserve">human resources personnel </w:t>
      </w:r>
      <w:r w:rsidR="00BA5391">
        <w:t xml:space="preserve">at recruitment interviews, regretting </w:t>
      </w:r>
      <w:r w:rsidR="00E8521F">
        <w:t xml:space="preserve">the apparent lack of confidence </w:t>
      </w:r>
      <w:r w:rsidR="0058323A">
        <w:t xml:space="preserve">in judges that </w:t>
      </w:r>
      <w:r w:rsidR="00E8521F">
        <w:t xml:space="preserve">the practice appeared to suggest.  Nevertheless, the presence of a trained Human Resources officer </w:t>
      </w:r>
      <w:r w:rsidR="004575C8">
        <w:t xml:space="preserve">in recruitment interviews </w:t>
      </w:r>
      <w:r w:rsidR="00E8521F">
        <w:t xml:space="preserve">is a routine practice in many </w:t>
      </w:r>
      <w:r w:rsidR="00E8521F">
        <w:lastRenderedPageBreak/>
        <w:t xml:space="preserve">workplaces.  </w:t>
      </w:r>
      <w:r w:rsidR="001D075D">
        <w:t xml:space="preserve">Further, </w:t>
      </w:r>
      <w:r w:rsidR="005B038A">
        <w:t xml:space="preserve">during our consultations </w:t>
      </w:r>
      <w:r w:rsidR="004575C8">
        <w:t xml:space="preserve">we heard that one judge asked at an </w:t>
      </w:r>
      <w:proofErr w:type="gramStart"/>
      <w:r w:rsidR="004575C8">
        <w:t xml:space="preserve">interview </w:t>
      </w:r>
      <w:r w:rsidR="005B038A">
        <w:t xml:space="preserve">inappropriate </w:t>
      </w:r>
      <w:r w:rsidR="00843902">
        <w:t xml:space="preserve">suggestive </w:t>
      </w:r>
      <w:r w:rsidR="00AC3316">
        <w:t xml:space="preserve">questions </w:t>
      </w:r>
      <w:r w:rsidR="00843902">
        <w:t xml:space="preserve">of </w:t>
      </w:r>
      <w:r w:rsidR="00513393">
        <w:t>an associate</w:t>
      </w:r>
      <w:proofErr w:type="gramEnd"/>
      <w:r w:rsidR="00843902">
        <w:t xml:space="preserve">, where no </w:t>
      </w:r>
      <w:r w:rsidR="00CF3112">
        <w:t xml:space="preserve">representative of </w:t>
      </w:r>
      <w:r w:rsidR="005B038A">
        <w:t xml:space="preserve">the Court’s administration </w:t>
      </w:r>
      <w:r w:rsidR="00843902">
        <w:t xml:space="preserve">was </w:t>
      </w:r>
      <w:r w:rsidR="005B038A">
        <w:t xml:space="preserve">present.  </w:t>
      </w:r>
      <w:r w:rsidR="00513393">
        <w:t xml:space="preserve">While </w:t>
      </w:r>
      <w:r w:rsidR="00843902">
        <w:t xml:space="preserve">this </w:t>
      </w:r>
      <w:r w:rsidR="00513393">
        <w:t xml:space="preserve">was </w:t>
      </w:r>
      <w:r w:rsidR="00843902">
        <w:t xml:space="preserve">the </w:t>
      </w:r>
      <w:r w:rsidR="00513393">
        <w:t xml:space="preserve">only report </w:t>
      </w:r>
      <w:r w:rsidR="00656B65">
        <w:t xml:space="preserve">of impropriety during </w:t>
      </w:r>
      <w:r w:rsidR="00513393">
        <w:t xml:space="preserve">a </w:t>
      </w:r>
      <w:r w:rsidR="00656B65">
        <w:t>recruitment interview</w:t>
      </w:r>
      <w:r w:rsidR="00EC58EC">
        <w:t>,</w:t>
      </w:r>
      <w:r w:rsidR="002F44A5">
        <w:t xml:space="preserve"> at least one other interviewee expressed an apprehension that some judges had discriminatory hiring practices. </w:t>
      </w:r>
      <w:r w:rsidR="00656B65">
        <w:t xml:space="preserve"> </w:t>
      </w:r>
      <w:r w:rsidR="002F44A5">
        <w:t xml:space="preserve">The </w:t>
      </w:r>
      <w:r w:rsidR="00C450C0">
        <w:t xml:space="preserve">routine </w:t>
      </w:r>
      <w:r w:rsidR="005B038A">
        <w:t>presence of a judicial services co</w:t>
      </w:r>
      <w:r w:rsidR="00EC58EC">
        <w:noBreakHyphen/>
      </w:r>
      <w:r w:rsidR="005B038A">
        <w:t xml:space="preserve">ordinator </w:t>
      </w:r>
      <w:r w:rsidR="00EF52D9">
        <w:t xml:space="preserve">would ensure that questions and discourse were </w:t>
      </w:r>
      <w:r w:rsidR="002F44A5">
        <w:t xml:space="preserve">proper, </w:t>
      </w:r>
      <w:proofErr w:type="gramStart"/>
      <w:r w:rsidR="00EF52D9">
        <w:t>professional</w:t>
      </w:r>
      <w:proofErr w:type="gramEnd"/>
      <w:r w:rsidR="00EF52D9">
        <w:t xml:space="preserve"> and </w:t>
      </w:r>
      <w:r w:rsidR="002F44A5">
        <w:t>non</w:t>
      </w:r>
      <w:r w:rsidR="002F44A5">
        <w:noBreakHyphen/>
        <w:t xml:space="preserve">discriminatory, thus protecting </w:t>
      </w:r>
      <w:r w:rsidR="00EF52D9">
        <w:t xml:space="preserve">the interests of all parties.  More importantly, </w:t>
      </w:r>
      <w:r w:rsidR="002F44A5">
        <w:t xml:space="preserve">the presence of the CSV representative </w:t>
      </w:r>
      <w:r w:rsidR="00EF52D9">
        <w:t xml:space="preserve">would </w:t>
      </w:r>
      <w:r w:rsidR="005B038A">
        <w:t xml:space="preserve">reinforce that while associates work </w:t>
      </w:r>
      <w:r w:rsidR="001576C1">
        <w:t xml:space="preserve">at </w:t>
      </w:r>
      <w:r w:rsidR="00F719EB">
        <w:t xml:space="preserve">the direction of </w:t>
      </w:r>
      <w:r w:rsidR="005B038A">
        <w:t>a judicial officer, they are employed by CSV and report in the first instance to their judicial services co</w:t>
      </w:r>
      <w:r w:rsidR="000F0394">
        <w:noBreakHyphen/>
      </w:r>
      <w:r w:rsidR="005B038A">
        <w:t xml:space="preserve">ordinator.  </w:t>
      </w:r>
      <w:r w:rsidR="00423170">
        <w:t xml:space="preserve">The </w:t>
      </w:r>
      <w:r w:rsidR="0025787F">
        <w:t xml:space="preserve">associates we interviewed strongly supported this measure.  </w:t>
      </w:r>
      <w:r w:rsidR="005B038A">
        <w:t xml:space="preserve">In our view, the presence of a CSV employee during an interview for an associateship is more than just symbolic.  </w:t>
      </w:r>
      <w:r w:rsidR="00C450C0">
        <w:t xml:space="preserve">Although </w:t>
      </w:r>
      <w:r w:rsidR="005B038A">
        <w:t xml:space="preserve">associates </w:t>
      </w:r>
      <w:r w:rsidR="00C450C0">
        <w:t xml:space="preserve">usually </w:t>
      </w:r>
      <w:r w:rsidR="00D97EA9">
        <w:t xml:space="preserve">understand </w:t>
      </w:r>
      <w:r w:rsidR="005B038A">
        <w:t xml:space="preserve">that </w:t>
      </w:r>
      <w:r w:rsidR="00C450C0">
        <w:t xml:space="preserve">CSV is their employer </w:t>
      </w:r>
      <w:r w:rsidR="005B038A">
        <w:t xml:space="preserve">and that their reporting line </w:t>
      </w:r>
      <w:r w:rsidR="00C450C0">
        <w:t xml:space="preserve">is </w:t>
      </w:r>
      <w:r w:rsidR="005B038A">
        <w:t xml:space="preserve">through the relevant judicial services co-ordinator, </w:t>
      </w:r>
      <w:r w:rsidR="00D97EA9">
        <w:t xml:space="preserve">many perceived the </w:t>
      </w:r>
      <w:r w:rsidR="00C450C0">
        <w:t xml:space="preserve">employment by CSV and </w:t>
      </w:r>
      <w:r w:rsidR="004056AA">
        <w:t xml:space="preserve">the </w:t>
      </w:r>
      <w:r w:rsidR="005B038A">
        <w:t xml:space="preserve">reporting line </w:t>
      </w:r>
      <w:r w:rsidR="00D97EA9">
        <w:t xml:space="preserve">as </w:t>
      </w:r>
      <w:r w:rsidR="004056AA">
        <w:t xml:space="preserve">merely </w:t>
      </w:r>
      <w:r w:rsidR="005B038A">
        <w:t>notional</w:t>
      </w:r>
      <w:r w:rsidR="00D97EA9">
        <w:t xml:space="preserve">.  It had </w:t>
      </w:r>
      <w:r w:rsidR="005B038A">
        <w:t xml:space="preserve">little practical importance given that associates spend their time </w:t>
      </w:r>
      <w:r w:rsidR="00173A20">
        <w:t xml:space="preserve">almost exclusively </w:t>
      </w:r>
      <w:r w:rsidR="005B038A">
        <w:t>one-on-one with</w:t>
      </w:r>
      <w:r w:rsidR="004056AA">
        <w:t>,</w:t>
      </w:r>
      <w:r w:rsidR="005B038A">
        <w:t xml:space="preserve"> </w:t>
      </w:r>
      <w:r w:rsidR="004056AA">
        <w:t>and solely at the direction of</w:t>
      </w:r>
      <w:r w:rsidR="0025787F">
        <w:t>,</w:t>
      </w:r>
      <w:r w:rsidR="004056AA">
        <w:t xml:space="preserve"> </w:t>
      </w:r>
      <w:r w:rsidR="005B038A">
        <w:t xml:space="preserve">their judge.  </w:t>
      </w:r>
    </w:p>
    <w:p w14:paraId="784177CE" w14:textId="04C09172" w:rsidR="00B771B9" w:rsidRDefault="00B771B9" w:rsidP="00647F6A">
      <w:pPr>
        <w:pStyle w:val="Heading5"/>
      </w:pPr>
      <w:r>
        <w:t>We recommend that judges retain the final decision on appointment of associates and similar chambers staff</w:t>
      </w:r>
      <w:r w:rsidR="0025787F">
        <w:t>.</w:t>
      </w:r>
    </w:p>
    <w:p w14:paraId="029E013E" w14:textId="5EA8A9E0" w:rsidR="00B771B9" w:rsidRPr="00B771B9" w:rsidRDefault="00B771B9" w:rsidP="00647F6A">
      <w:pPr>
        <w:pStyle w:val="ListNumber2"/>
        <w:spacing w:before="240"/>
      </w:pPr>
      <w:r w:rsidRPr="00B771B9">
        <w:t xml:space="preserve">Throughout our consultations, the traditional practice of working as an associate (or in a similar role) exclusively for a single judge, who selected the candidate was well accepted by all parties.  (Although suggested by some interviewees, there was no broad support for working in a “pool” of associates for a particular group of judicial officers).  There are obvious benefits to the existing practice.  A judicial officer can select an associate with expertise in areas relevant to their own work, and with whom the judge feels he or she will be able to work effectively, </w:t>
      </w:r>
      <w:proofErr w:type="gramStart"/>
      <w:r w:rsidRPr="00B771B9">
        <w:t>closely</w:t>
      </w:r>
      <w:proofErr w:type="gramEnd"/>
      <w:r w:rsidRPr="00B771B9">
        <w:t xml:space="preserve"> and harmoniously.  Associates can apply to serve a judicial officer who generally works in an area of law in which they are interested, and from whom a valuable reference is likely, consonant with their career aspirations.  Both parties will know at the outset whether they are likely to feel comfortable with each other.  Further, over the period of the associateship both judge and associate come to know how the other works and to develop an effective working relationship.  </w:t>
      </w:r>
      <w:r w:rsidR="00A35157">
        <w:t xml:space="preserve">When it works well, as it generally does, the relationship can be a high point of an associate’s professional life.  Many interviewees expressed the great value they attached to it.  Many associates would be disappointed if they had no opportunity to develop a close </w:t>
      </w:r>
      <w:r w:rsidR="00A35157">
        <w:lastRenderedPageBreak/>
        <w:t xml:space="preserve">relationship with their judge.  </w:t>
      </w:r>
      <w:r w:rsidRPr="00B771B9">
        <w:t xml:space="preserve">For the reasons outlined in detail in this report, </w:t>
      </w:r>
      <w:r w:rsidR="00A35157">
        <w:t xml:space="preserve">it is important that </w:t>
      </w:r>
      <w:r w:rsidRPr="00B771B9">
        <w:t>judges retain the maximum opportunity to select a candidate who can meet their needs and with whom they can work harmoniously</w:t>
      </w:r>
      <w:r w:rsidR="00A35157">
        <w:t>.</w:t>
      </w:r>
      <w:r w:rsidRPr="00B771B9">
        <w:t xml:space="preserve"> </w:t>
      </w:r>
      <w:r w:rsidR="00A35157">
        <w:t xml:space="preserve"> They </w:t>
      </w:r>
      <w:r w:rsidRPr="00B771B9">
        <w:t>should always retain the final decision on the appointment.</w:t>
      </w:r>
    </w:p>
    <w:p w14:paraId="5148F244" w14:textId="386E445D" w:rsidR="0093312E" w:rsidRDefault="002665DB" w:rsidP="00647F6A">
      <w:pPr>
        <w:pStyle w:val="Heading5"/>
      </w:pPr>
      <w:bookmarkStart w:id="117" w:name="_Ref108727445"/>
      <w:r>
        <w:t>We</w:t>
      </w:r>
      <w:r w:rsidR="00A109FE">
        <w:t xml:space="preserve"> recommend </w:t>
      </w:r>
      <w:r>
        <w:t>that the courts publish a clear policy outlining how</w:t>
      </w:r>
      <w:r w:rsidR="007E73AC">
        <w:t>,</w:t>
      </w:r>
      <w:r>
        <w:t xml:space="preserve"> and in what </w:t>
      </w:r>
      <w:r w:rsidR="00A109FE">
        <w:t>circumstances</w:t>
      </w:r>
      <w:r>
        <w:t>, chambers staff may be reassigned to work with another judge in the event of relationship difficulties</w:t>
      </w:r>
      <w:bookmarkEnd w:id="117"/>
      <w:r w:rsidR="00635E1D">
        <w:t>.</w:t>
      </w:r>
    </w:p>
    <w:p w14:paraId="2422096B" w14:textId="413B3252" w:rsidR="00463DED" w:rsidRDefault="008E7227" w:rsidP="00647F6A">
      <w:pPr>
        <w:pStyle w:val="ListNumber2"/>
        <w:spacing w:before="240"/>
      </w:pPr>
      <w:r>
        <w:t>CSV</w:t>
      </w:r>
      <w:r w:rsidR="00322762">
        <w:t xml:space="preserve"> </w:t>
      </w:r>
      <w:r w:rsidR="00C61767">
        <w:t>should</w:t>
      </w:r>
      <w:r w:rsidR="00095ECD">
        <w:t>,</w:t>
      </w:r>
      <w:r w:rsidR="00C61767">
        <w:t xml:space="preserve"> </w:t>
      </w:r>
      <w:r w:rsidR="00095ECD">
        <w:t xml:space="preserve">in consultation with each court and tribunal, </w:t>
      </w:r>
      <w:r w:rsidR="00322762">
        <w:t>develop and publish</w:t>
      </w:r>
      <w:r w:rsidR="00173A20">
        <w:t xml:space="preserve"> a </w:t>
      </w:r>
      <w:r w:rsidR="00C61767">
        <w:t>readily accessible</w:t>
      </w:r>
      <w:r w:rsidR="00D85C6B">
        <w:t xml:space="preserve"> </w:t>
      </w:r>
      <w:r w:rsidR="00322762">
        <w:t xml:space="preserve">policy </w:t>
      </w:r>
      <w:r w:rsidR="00983BE8">
        <w:t xml:space="preserve">setting </w:t>
      </w:r>
      <w:r w:rsidR="00322762">
        <w:t xml:space="preserve">out the </w:t>
      </w:r>
      <w:r w:rsidR="00DC36D5">
        <w:t xml:space="preserve">options for reassigning staff members whose </w:t>
      </w:r>
      <w:r w:rsidR="00983BE8">
        <w:t xml:space="preserve">relationship </w:t>
      </w:r>
      <w:r w:rsidR="00DC36D5">
        <w:t>with their primary judge has broken down.</w:t>
      </w:r>
      <w:r w:rsidR="00983BE8">
        <w:t xml:space="preserve"> </w:t>
      </w:r>
    </w:p>
    <w:p w14:paraId="25ECBF8A" w14:textId="4FE57E8B" w:rsidR="005B038A" w:rsidRDefault="00422C3E" w:rsidP="00647F6A">
      <w:pPr>
        <w:pStyle w:val="ListNumber2"/>
        <w:spacing w:before="240"/>
      </w:pPr>
      <w:r>
        <w:t xml:space="preserve">It </w:t>
      </w:r>
      <w:r w:rsidR="003C72DD">
        <w:t xml:space="preserve">will be necessary to determine </w:t>
      </w:r>
      <w:r w:rsidR="005B038A">
        <w:t>how CSV</w:t>
      </w:r>
      <w:r w:rsidR="00BC79BE">
        <w:t xml:space="preserve"> </w:t>
      </w:r>
      <w:r w:rsidR="005B038A">
        <w:t xml:space="preserve">staff may be re-assigned </w:t>
      </w:r>
      <w:r w:rsidR="005E7C30">
        <w:t xml:space="preserve">if their </w:t>
      </w:r>
      <w:r w:rsidR="005B038A">
        <w:t xml:space="preserve">relationship </w:t>
      </w:r>
      <w:r w:rsidR="005E7C30">
        <w:t>with a judge deteriorates</w:t>
      </w:r>
      <w:r w:rsidR="00914CAA">
        <w:t>,</w:t>
      </w:r>
      <w:r w:rsidR="005E7C30">
        <w:t xml:space="preserve"> </w:t>
      </w:r>
      <w:r w:rsidR="005B038A">
        <w:t xml:space="preserve">particularly where the cause is alleged misconduct by the judicial officer (as opposed to, for example, reasonable performance management action).  </w:t>
      </w:r>
      <w:r w:rsidR="00914CAA">
        <w:t xml:space="preserve">This </w:t>
      </w:r>
      <w:r w:rsidR="005B038A">
        <w:t xml:space="preserve">important question calls for clear policies and procedures which are effectively communicated to CSV staff.  It is important because if judicial staff do not see a workable remedy which managers at the court or tribunal can implement, and which is likely to put a stop to the misconduct sooner rather than later, </w:t>
      </w:r>
      <w:r w:rsidR="00D85C6B">
        <w:t xml:space="preserve">they are </w:t>
      </w:r>
      <w:r w:rsidR="005B038A">
        <w:t xml:space="preserve">far less likely </w:t>
      </w:r>
      <w:r w:rsidR="00D85C6B">
        <w:t xml:space="preserve">to </w:t>
      </w:r>
      <w:r w:rsidR="005B038A">
        <w:t>report</w:t>
      </w:r>
      <w:r w:rsidR="00914CAA">
        <w:t xml:space="preserve"> misconduct at all</w:t>
      </w:r>
      <w:r w:rsidR="00D85C6B">
        <w:t>,</w:t>
      </w:r>
      <w:r w:rsidR="00914CAA">
        <w:t xml:space="preserve"> or at a stage before it has escalated</w:t>
      </w:r>
      <w:r w:rsidR="005B038A">
        <w:t>.</w:t>
      </w:r>
    </w:p>
    <w:p w14:paraId="067CEA00" w14:textId="242E7896" w:rsidR="005B038A" w:rsidRDefault="00D16A22" w:rsidP="00647F6A">
      <w:pPr>
        <w:pStyle w:val="ListNumber2"/>
        <w:spacing w:before="240"/>
      </w:pPr>
      <w:r>
        <w:t>Re</w:t>
      </w:r>
      <w:r w:rsidR="005B038A">
        <w:t xml:space="preserve">-assigning a staff member to a different </w:t>
      </w:r>
      <w:r w:rsidR="00FE1543">
        <w:t>judicial officer</w:t>
      </w:r>
      <w:r w:rsidR="005B038A">
        <w:t xml:space="preserve"> (or list) </w:t>
      </w:r>
      <w:r>
        <w:t xml:space="preserve">is not a perfect solution to </w:t>
      </w:r>
      <w:r w:rsidR="00D85C6B">
        <w:t xml:space="preserve">alleged or established </w:t>
      </w:r>
      <w:r>
        <w:t>judicial misconduct</w:t>
      </w:r>
      <w:r w:rsidR="00D85C6B">
        <w:t>.</w:t>
      </w:r>
      <w:r>
        <w:t xml:space="preserve"> </w:t>
      </w:r>
      <w:r w:rsidR="00D85C6B">
        <w:t xml:space="preserve"> </w:t>
      </w:r>
      <w:r w:rsidR="00021EAB">
        <w:t xml:space="preserve">However, it </w:t>
      </w:r>
      <w:r w:rsidR="00D85C6B">
        <w:t xml:space="preserve">at least </w:t>
      </w:r>
      <w:r w:rsidR="005B038A">
        <w:t>remove</w:t>
      </w:r>
      <w:r w:rsidR="004C7BA1">
        <w:t>s</w:t>
      </w:r>
      <w:r w:rsidR="005B038A">
        <w:t xml:space="preserve"> the staff member from the </w:t>
      </w:r>
      <w:r w:rsidR="004C7BA1">
        <w:t xml:space="preserve">influence of the </w:t>
      </w:r>
      <w:r w:rsidR="005B038A">
        <w:t xml:space="preserve">alleged </w:t>
      </w:r>
      <w:r w:rsidR="00D85C6B">
        <w:t>“</w:t>
      </w:r>
      <w:r w:rsidR="005B038A">
        <w:t>perpetrator</w:t>
      </w:r>
      <w:r w:rsidR="00D85C6B">
        <w:t>”</w:t>
      </w:r>
      <w:r w:rsidR="005B038A">
        <w:t xml:space="preserve">.  </w:t>
      </w:r>
      <w:r>
        <w:t>It</w:t>
      </w:r>
      <w:r w:rsidR="007816EB">
        <w:t xml:space="preserve"> provides </w:t>
      </w:r>
      <w:r w:rsidR="00D85C6B">
        <w:t xml:space="preserve">an employee who has or may have experienced inappropriate behaviour with </w:t>
      </w:r>
      <w:r w:rsidR="007816EB">
        <w:t xml:space="preserve">another opportunity to obtain the </w:t>
      </w:r>
      <w:r w:rsidR="00EF575B">
        <w:t xml:space="preserve">originally anticipated </w:t>
      </w:r>
      <w:r w:rsidR="007816EB">
        <w:t xml:space="preserve">experience and professional benefits </w:t>
      </w:r>
      <w:r w:rsidR="00EF575B">
        <w:t xml:space="preserve">available </w:t>
      </w:r>
      <w:r w:rsidR="007816EB">
        <w:t xml:space="preserve">from working with </w:t>
      </w:r>
      <w:r w:rsidR="00E401B9">
        <w:t>a</w:t>
      </w:r>
      <w:r w:rsidR="0022579B">
        <w:t xml:space="preserve"> judicial officer.</w:t>
      </w:r>
      <w:r w:rsidR="007816EB">
        <w:t xml:space="preserve">  </w:t>
      </w:r>
      <w:r w:rsidR="00EF575B">
        <w:t>Re</w:t>
      </w:r>
      <w:r w:rsidR="00EF575B">
        <w:noBreakHyphen/>
        <w:t xml:space="preserve">assigned </w:t>
      </w:r>
      <w:r w:rsidR="00E401B9">
        <w:t xml:space="preserve">employees may </w:t>
      </w:r>
      <w:r w:rsidR="00DF656D">
        <w:t xml:space="preserve">obtain a positive reference and related support should their work warrant it.  </w:t>
      </w:r>
      <w:r w:rsidR="00E401B9">
        <w:t>Re</w:t>
      </w:r>
      <w:r w:rsidR="00EC58DC">
        <w:noBreakHyphen/>
      </w:r>
      <w:r w:rsidR="00E401B9">
        <w:t xml:space="preserve">assignment </w:t>
      </w:r>
      <w:r w:rsidR="005B038A">
        <w:t xml:space="preserve">should be an option for staff who are experiencing harassment </w:t>
      </w:r>
      <w:r w:rsidR="0023300E">
        <w:t>by a judicial officer.</w:t>
      </w:r>
      <w:r w:rsidR="004C7BA1">
        <w:t xml:space="preserve">  </w:t>
      </w:r>
      <w:r w:rsidR="00EF575B">
        <w:t xml:space="preserve">It </w:t>
      </w:r>
      <w:r w:rsidR="00B40D29">
        <w:t xml:space="preserve">should occur while </w:t>
      </w:r>
      <w:r w:rsidR="005B038A">
        <w:t xml:space="preserve">maintaining </w:t>
      </w:r>
      <w:r w:rsidR="00B40D29">
        <w:t xml:space="preserve">the maximum </w:t>
      </w:r>
      <w:r w:rsidR="005B038A">
        <w:t xml:space="preserve">confidentiality possible </w:t>
      </w:r>
      <w:r w:rsidR="0055788B">
        <w:t>(</w:t>
      </w:r>
      <w:r w:rsidR="005B038A">
        <w:t xml:space="preserve">if </w:t>
      </w:r>
      <w:r w:rsidR="0055788B">
        <w:t xml:space="preserve">desired by </w:t>
      </w:r>
      <w:r w:rsidR="005B038A">
        <w:t>the affected staff member</w:t>
      </w:r>
      <w:r w:rsidR="0055788B">
        <w:t>)</w:t>
      </w:r>
      <w:r w:rsidR="00E63865">
        <w:t xml:space="preserve">. </w:t>
      </w:r>
      <w:r w:rsidR="005B038A">
        <w:t xml:space="preserve"> </w:t>
      </w:r>
      <w:r w:rsidR="00E63865">
        <w:t xml:space="preserve">The </w:t>
      </w:r>
      <w:r w:rsidR="005B038A">
        <w:t xml:space="preserve">judicial officer complained </w:t>
      </w:r>
      <w:r w:rsidR="007816EB">
        <w:t xml:space="preserve">about </w:t>
      </w:r>
      <w:r w:rsidR="00FB2484">
        <w:t xml:space="preserve">will </w:t>
      </w:r>
      <w:r w:rsidR="00E63865">
        <w:t xml:space="preserve">likely </w:t>
      </w:r>
      <w:r w:rsidR="005B038A">
        <w:t>infer from the fact of the transfer</w:t>
      </w:r>
      <w:r w:rsidR="00DF656D">
        <w:t xml:space="preserve"> that dissatisfaction has been expressed</w:t>
      </w:r>
      <w:r w:rsidR="005F7393">
        <w:t>,</w:t>
      </w:r>
      <w:r w:rsidR="005B038A">
        <w:t xml:space="preserve"> </w:t>
      </w:r>
      <w:r w:rsidR="00FB2484">
        <w:t xml:space="preserve">but that is unavoidable.  </w:t>
      </w:r>
      <w:r w:rsidR="0088704E">
        <w:t xml:space="preserve">There should be no </w:t>
      </w:r>
      <w:r w:rsidR="005B038A">
        <w:t xml:space="preserve">reduction in the staff member’s </w:t>
      </w:r>
      <w:r w:rsidR="0088704E">
        <w:t xml:space="preserve">status, </w:t>
      </w:r>
      <w:proofErr w:type="gramStart"/>
      <w:r w:rsidR="005B038A">
        <w:t>role</w:t>
      </w:r>
      <w:proofErr w:type="gramEnd"/>
      <w:r w:rsidR="005B038A">
        <w:t xml:space="preserve"> or VPS level.</w:t>
      </w:r>
    </w:p>
    <w:p w14:paraId="0129C5D0" w14:textId="6F7F03F8" w:rsidR="005B038A" w:rsidRDefault="005B038A" w:rsidP="00647F6A">
      <w:pPr>
        <w:pStyle w:val="ListNumber2"/>
        <w:spacing w:before="240"/>
      </w:pPr>
      <w:r>
        <w:lastRenderedPageBreak/>
        <w:t xml:space="preserve">We heard during our consultations that processes </w:t>
      </w:r>
      <w:r w:rsidR="0088704E">
        <w:t xml:space="preserve">for reassigning staff </w:t>
      </w:r>
      <w:r>
        <w:t>differ between the courts and tribunals</w:t>
      </w:r>
      <w:r w:rsidR="00A07E88">
        <w:t>.</w:t>
      </w:r>
      <w:r>
        <w:t xml:space="preserve">  In some courts, re-assignment is a relatively simple process, but it is more complex in others.</w:t>
      </w:r>
    </w:p>
    <w:p w14:paraId="3A967ECD" w14:textId="79AC274E" w:rsidR="005B038A" w:rsidRDefault="005B038A" w:rsidP="00647F6A">
      <w:pPr>
        <w:pStyle w:val="ListNumber2"/>
        <w:spacing w:before="240"/>
      </w:pPr>
      <w:r>
        <w:t xml:space="preserve">In the Supreme Court, for example, the process is complicated </w:t>
      </w:r>
      <w:r w:rsidR="00C86529">
        <w:t xml:space="preserve">because </w:t>
      </w:r>
      <w:r>
        <w:t>other judges will already have associates assigned to them and have generally recruited their incoming associates in advance of their commencement</w:t>
      </w:r>
      <w:r w:rsidR="00A07E88">
        <w:t>.</w:t>
      </w:r>
      <w:r>
        <w:t xml:space="preserve"> </w:t>
      </w:r>
      <w:r w:rsidR="00A07E88">
        <w:t xml:space="preserve"> Often, </w:t>
      </w:r>
      <w:r>
        <w:t xml:space="preserve">there will </w:t>
      </w:r>
      <w:r w:rsidR="00A07E88">
        <w:t xml:space="preserve">be no </w:t>
      </w:r>
      <w:r w:rsidR="005F7393">
        <w:t xml:space="preserve">readily available </w:t>
      </w:r>
      <w:r>
        <w:t xml:space="preserve">vacancy </w:t>
      </w:r>
      <w:r w:rsidR="00A0668D">
        <w:t xml:space="preserve">for </w:t>
      </w:r>
      <w:r w:rsidR="00C86529">
        <w:t xml:space="preserve">an aggrieved </w:t>
      </w:r>
      <w:r>
        <w:t xml:space="preserve">associate.  However, it has been possible to find associates positions with other judges on the rare </w:t>
      </w:r>
      <w:r w:rsidR="00500AF5">
        <w:t xml:space="preserve">necessary </w:t>
      </w:r>
      <w:r>
        <w:t xml:space="preserve">occasions (for example, because a new judge requires an associate).  In the County Court, where </w:t>
      </w:r>
      <w:r w:rsidR="00A0668D">
        <w:t xml:space="preserve">a problem </w:t>
      </w:r>
      <w:r>
        <w:t>arises in the relationship between judge and associate, the associate can be transferred to the “pool” of reserve associates.  In the Magistrates’ Court, a Court Officer may be transferred to a different magistrate, or a trainee court registrar may be rotated to a different group of magistrates.  There is also capacity to re-assign trainee court registrars to different magistrates in the Children’s Court</w:t>
      </w:r>
      <w:r w:rsidR="007627F4">
        <w:t xml:space="preserve"> </w:t>
      </w:r>
      <w:r w:rsidR="007627F4">
        <w:rPr>
          <w:lang w:val="en-US"/>
        </w:rPr>
        <w:t>and to reassign staff to a different Coroner in the Coroners Court</w:t>
      </w:r>
      <w:r>
        <w:t>.</w:t>
      </w:r>
    </w:p>
    <w:p w14:paraId="0C4F6EA7" w14:textId="77777777" w:rsidR="005B038A" w:rsidRDefault="005B038A" w:rsidP="00205F2A">
      <w:pPr>
        <w:pStyle w:val="ListNumber2"/>
        <w:keepNext/>
        <w:spacing w:before="240"/>
      </w:pPr>
      <w:r>
        <w:t>The policy should:</w:t>
      </w:r>
    </w:p>
    <w:p w14:paraId="5E54BFF4" w14:textId="75D16677" w:rsidR="005B038A" w:rsidRDefault="005B038A" w:rsidP="00647F6A">
      <w:pPr>
        <w:pStyle w:val="ListNumber3"/>
      </w:pPr>
      <w:r>
        <w:t xml:space="preserve">apply where there the working relationship between the staff member and judicial officer </w:t>
      </w:r>
      <w:r w:rsidR="006D042C">
        <w:t xml:space="preserve">breaks down, and should not </w:t>
      </w:r>
      <w:r>
        <w:t>continue</w:t>
      </w:r>
      <w:r w:rsidR="00A84C69">
        <w:t>,</w:t>
      </w:r>
      <w:r>
        <w:t xml:space="preserve"> because a risk to the staff member’s health or safety</w:t>
      </w:r>
      <w:r w:rsidR="006D042C">
        <w:t xml:space="preserve"> </w:t>
      </w:r>
      <w:r w:rsidR="00A0668D">
        <w:t xml:space="preserve">is </w:t>
      </w:r>
      <w:proofErr w:type="gramStart"/>
      <w:r w:rsidR="006D042C">
        <w:t>apprehended</w:t>
      </w:r>
      <w:r>
        <w:t>;</w:t>
      </w:r>
      <w:proofErr w:type="gramEnd"/>
      <w:r>
        <w:t xml:space="preserve"> </w:t>
      </w:r>
    </w:p>
    <w:p w14:paraId="7454D1D3" w14:textId="1AF957D7" w:rsidR="005B038A" w:rsidRDefault="005B038A" w:rsidP="00647F6A">
      <w:pPr>
        <w:pStyle w:val="ListNumber3"/>
      </w:pPr>
      <w:r>
        <w:t xml:space="preserve">state that </w:t>
      </w:r>
      <w:r w:rsidR="00A0668D">
        <w:t xml:space="preserve">there need not </w:t>
      </w:r>
      <w:r>
        <w:t>be any formal finding of harassment or misconduct against a judicial officer before the Court</w:t>
      </w:r>
      <w:r w:rsidR="00A84C69">
        <w:t xml:space="preserve"> </w:t>
      </w:r>
      <w:r w:rsidR="00996CAC">
        <w:t xml:space="preserve">or </w:t>
      </w:r>
      <w:r>
        <w:t xml:space="preserve">Tribunal may re-assign a staff member under the </w:t>
      </w:r>
      <w:proofErr w:type="gramStart"/>
      <w:r>
        <w:t>policy;</w:t>
      </w:r>
      <w:proofErr w:type="gramEnd"/>
    </w:p>
    <w:p w14:paraId="750271DA" w14:textId="34356297" w:rsidR="005B038A" w:rsidRDefault="005B038A" w:rsidP="00647F6A">
      <w:pPr>
        <w:pStyle w:val="ListNumber3"/>
      </w:pPr>
      <w:r>
        <w:t>confirm the Court</w:t>
      </w:r>
      <w:r w:rsidR="00996CAC">
        <w:t xml:space="preserve"> or </w:t>
      </w:r>
      <w:r>
        <w:t>Tribunal’s commitment to re</w:t>
      </w:r>
      <w:r w:rsidR="00996CAC">
        <w:noBreakHyphen/>
      </w:r>
      <w:r>
        <w:t xml:space="preserve">assigning the </w:t>
      </w:r>
      <w:r w:rsidR="003C6A64">
        <w:t xml:space="preserve">relevant </w:t>
      </w:r>
      <w:r>
        <w:t xml:space="preserve">staff member to a different judicial officer or </w:t>
      </w:r>
      <w:r w:rsidR="003C6A64">
        <w:t xml:space="preserve">equivalent </w:t>
      </w:r>
      <w:r>
        <w:t xml:space="preserve">position </w:t>
      </w:r>
      <w:r w:rsidR="00996CAC">
        <w:t>that (</w:t>
      </w:r>
      <w:r>
        <w:t>so far as possible</w:t>
      </w:r>
      <w:r w:rsidR="00996CAC">
        <w:t>)</w:t>
      </w:r>
      <w:r>
        <w:t xml:space="preserve"> </w:t>
      </w:r>
      <w:r w:rsidR="003C6A64">
        <w:t xml:space="preserve">reflects </w:t>
      </w:r>
      <w:r>
        <w:t xml:space="preserve">the staff member’s former role, provides the opportunity to work with a different </w:t>
      </w:r>
      <w:r w:rsidR="00E566FB">
        <w:t xml:space="preserve">judge and carries no reduction in </w:t>
      </w:r>
      <w:proofErr w:type="gramStart"/>
      <w:r w:rsidR="00E566FB">
        <w:t>salary;</w:t>
      </w:r>
      <w:proofErr w:type="gramEnd"/>
    </w:p>
    <w:p w14:paraId="79D6AF1A" w14:textId="40B6EEE9" w:rsidR="005B038A" w:rsidRDefault="005B038A" w:rsidP="00647F6A">
      <w:pPr>
        <w:pStyle w:val="ListNumber3"/>
      </w:pPr>
      <w:r>
        <w:t xml:space="preserve">articulate in broad terms how this may be done (for example, by transfer to a different Judge, or transfer to the </w:t>
      </w:r>
      <w:r w:rsidR="00E566FB">
        <w:t xml:space="preserve">pool </w:t>
      </w:r>
      <w:r>
        <w:t>of reserve associates</w:t>
      </w:r>
      <w:proofErr w:type="gramStart"/>
      <w:r>
        <w:t>);</w:t>
      </w:r>
      <w:proofErr w:type="gramEnd"/>
    </w:p>
    <w:p w14:paraId="3C0882D7" w14:textId="2B05AB05" w:rsidR="005B038A" w:rsidRDefault="005B038A" w:rsidP="00647F6A">
      <w:pPr>
        <w:pStyle w:val="ListNumber3"/>
      </w:pPr>
      <w:r>
        <w:t>identify the process by which staff may trigger the application of the policy (for example, by contacting a judicial services co-ordinator, CEO, or staff judge);</w:t>
      </w:r>
      <w:r w:rsidR="00DC7196">
        <w:t xml:space="preserve"> and</w:t>
      </w:r>
    </w:p>
    <w:p w14:paraId="2D903877" w14:textId="4C80EF20" w:rsidR="005B038A" w:rsidRDefault="005B038A" w:rsidP="00647F6A">
      <w:pPr>
        <w:pStyle w:val="ListNumber3"/>
      </w:pPr>
      <w:r>
        <w:t xml:space="preserve">state that, so far as possible, </w:t>
      </w:r>
      <w:r w:rsidR="00500AF5">
        <w:t xml:space="preserve">requested </w:t>
      </w:r>
      <w:r>
        <w:t>confidentiality will be maintained</w:t>
      </w:r>
      <w:r w:rsidR="00FF36E3">
        <w:t>;</w:t>
      </w:r>
      <w:r>
        <w:t xml:space="preserve"> set out the personnel at the Court who will be informed of the matter </w:t>
      </w:r>
      <w:r w:rsidR="00E566FB">
        <w:lastRenderedPageBreak/>
        <w:t>(</w:t>
      </w:r>
      <w:r>
        <w:t>for</w:t>
      </w:r>
      <w:r w:rsidR="00DC7196">
        <w:t> </w:t>
      </w:r>
      <w:r>
        <w:t>example, the CEO/staff judge/head of jurisdiction</w:t>
      </w:r>
      <w:r w:rsidR="00E566FB">
        <w:t>)</w:t>
      </w:r>
      <w:r>
        <w:t xml:space="preserve"> </w:t>
      </w:r>
      <w:r w:rsidR="00FF36E3">
        <w:t>state</w:t>
      </w:r>
      <w:r w:rsidR="00500AF5">
        <w:t xml:space="preserve"> that</w:t>
      </w:r>
      <w:r w:rsidR="00FF36E3">
        <w:t xml:space="preserve"> </w:t>
      </w:r>
      <w:r w:rsidR="00E566FB">
        <w:t xml:space="preserve">some disclosure may be necessary if </w:t>
      </w:r>
      <w:r>
        <w:t>the matter involve</w:t>
      </w:r>
      <w:r w:rsidR="005E544A">
        <w:t>s</w:t>
      </w:r>
      <w:r>
        <w:t xml:space="preserve"> a risk of harm to other employees which must </w:t>
      </w:r>
      <w:r w:rsidR="00FF36E3">
        <w:t xml:space="preserve">be </w:t>
      </w:r>
      <w:r>
        <w:t>address</w:t>
      </w:r>
      <w:r w:rsidR="00FF36E3">
        <w:t>ed</w:t>
      </w:r>
      <w:r>
        <w:t xml:space="preserve"> under occupational health and safety legislation.</w:t>
      </w:r>
    </w:p>
    <w:p w14:paraId="10D2F637" w14:textId="4004C8A6" w:rsidR="005B038A" w:rsidRPr="007E677C" w:rsidRDefault="000A130F" w:rsidP="00647F6A">
      <w:pPr>
        <w:pStyle w:val="Heading5"/>
      </w:pPr>
      <w:bookmarkStart w:id="118" w:name="_Ref108730944"/>
      <w:r>
        <w:rPr>
          <w:lang w:val="en-US"/>
        </w:rPr>
        <w:t xml:space="preserve">We recommend that in the Supreme Court and County Court, CSV should clearly articulate and explain to new associates and similar chambers staff, on induction, the applicable reporting </w:t>
      </w:r>
      <w:proofErr w:type="gramStart"/>
      <w:r>
        <w:rPr>
          <w:lang w:val="en-US"/>
        </w:rPr>
        <w:t>lines</w:t>
      </w:r>
      <w:proofErr w:type="gramEnd"/>
      <w:r>
        <w:rPr>
          <w:lang w:val="en-US"/>
        </w:rPr>
        <w:t xml:space="preserve"> and the limits of their role.</w:t>
      </w:r>
      <w:bookmarkEnd w:id="118"/>
    </w:p>
    <w:p w14:paraId="59F8DA46" w14:textId="6C348170" w:rsidR="00A500EA" w:rsidRDefault="00A500EA" w:rsidP="00647F6A">
      <w:pPr>
        <w:pStyle w:val="ListNumber2"/>
        <w:spacing w:before="240"/>
      </w:pPr>
      <w:r>
        <w:t xml:space="preserve">The Supreme Court and County Court </w:t>
      </w:r>
      <w:r w:rsidR="00AE651E">
        <w:t xml:space="preserve">should </w:t>
      </w:r>
      <w:r>
        <w:t>adopt a practice whereby</w:t>
      </w:r>
      <w:r w:rsidR="00973378">
        <w:t xml:space="preserve"> a </w:t>
      </w:r>
      <w:r w:rsidR="00AE651E">
        <w:t xml:space="preserve">judicial services co-ordinator or manager, at the induction of </w:t>
      </w:r>
      <w:r>
        <w:t xml:space="preserve">incoming associates and researchers (and other staff who </w:t>
      </w:r>
      <w:r w:rsidR="00604E3E">
        <w:t xml:space="preserve">will </w:t>
      </w:r>
      <w:r>
        <w:t>have significant direct contact with judicial officers)</w:t>
      </w:r>
      <w:r w:rsidR="00973378">
        <w:t>:</w:t>
      </w:r>
      <w:r w:rsidR="007B388D" w:rsidDel="007B388D">
        <w:t xml:space="preserve"> </w:t>
      </w:r>
    </w:p>
    <w:p w14:paraId="3ADA8FB7" w14:textId="043C308D" w:rsidR="00A500EA" w:rsidRDefault="00A500EA" w:rsidP="00647F6A">
      <w:pPr>
        <w:pStyle w:val="ListNumber3"/>
      </w:pPr>
      <w:r>
        <w:t>explain</w:t>
      </w:r>
      <w:r w:rsidR="00E34BB1">
        <w:t>s</w:t>
      </w:r>
      <w:r>
        <w:t xml:space="preserve"> to the staff member the reporting lines within the Court’s </w:t>
      </w:r>
      <w:proofErr w:type="gramStart"/>
      <w:r>
        <w:t>administration;</w:t>
      </w:r>
      <w:proofErr w:type="gramEnd"/>
    </w:p>
    <w:p w14:paraId="5D594272" w14:textId="15E3E443" w:rsidR="00D7210A" w:rsidRDefault="00A500EA" w:rsidP="00647F6A">
      <w:pPr>
        <w:pStyle w:val="ListNumber3"/>
      </w:pPr>
      <w:r>
        <w:t>explain</w:t>
      </w:r>
      <w:r w:rsidR="00E34BB1">
        <w:t>s</w:t>
      </w:r>
      <w:r>
        <w:t xml:space="preserve"> </w:t>
      </w:r>
      <w:r w:rsidR="0094520B">
        <w:t xml:space="preserve">the </w:t>
      </w:r>
      <w:r>
        <w:t>associate</w:t>
      </w:r>
      <w:r w:rsidR="0094520B">
        <w:t xml:space="preserve">’s (or other staff </w:t>
      </w:r>
      <w:proofErr w:type="spellStart"/>
      <w:r w:rsidR="0094520B">
        <w:t>member</w:t>
      </w:r>
      <w:r w:rsidR="00077398">
        <w:t>’</w:t>
      </w:r>
      <w:r w:rsidR="0094520B">
        <w:t>s</w:t>
      </w:r>
      <w:proofErr w:type="spellEnd"/>
      <w:r w:rsidR="0094520B">
        <w:t xml:space="preserve">) </w:t>
      </w:r>
      <w:r w:rsidR="00FA12F0">
        <w:t xml:space="preserve">role, including its </w:t>
      </w:r>
      <w:proofErr w:type="gramStart"/>
      <w:r>
        <w:t>limits</w:t>
      </w:r>
      <w:r w:rsidR="00FA12F0">
        <w:t>;</w:t>
      </w:r>
      <w:proofErr w:type="gramEnd"/>
      <w:r w:rsidR="00FA12F0">
        <w:t xml:space="preserve"> </w:t>
      </w:r>
    </w:p>
    <w:p w14:paraId="6DC8229D" w14:textId="4456EA61" w:rsidR="00A500EA" w:rsidRDefault="00A500EA" w:rsidP="00647F6A">
      <w:pPr>
        <w:pStyle w:val="ListNumber3"/>
      </w:pPr>
      <w:r>
        <w:t>note</w:t>
      </w:r>
      <w:r w:rsidR="00D7210A">
        <w:t>s</w:t>
      </w:r>
      <w:r>
        <w:t xml:space="preserve"> that if an associate </w:t>
      </w:r>
      <w:r w:rsidR="00FA12F0">
        <w:t xml:space="preserve">becomes </w:t>
      </w:r>
      <w:r>
        <w:t xml:space="preserve">concerned that they are being asked to carry out tasks </w:t>
      </w:r>
      <w:r w:rsidR="00FA12F0">
        <w:t xml:space="preserve">which exceed </w:t>
      </w:r>
      <w:r>
        <w:t>the proper limits</w:t>
      </w:r>
      <w:r w:rsidR="00FA12F0">
        <w:t>,</w:t>
      </w:r>
      <w:r>
        <w:t xml:space="preserve"> they should speak with a judicial services co-ordinator or the staff </w:t>
      </w:r>
      <w:proofErr w:type="gramStart"/>
      <w:r>
        <w:t>judge;</w:t>
      </w:r>
      <w:proofErr w:type="gramEnd"/>
    </w:p>
    <w:p w14:paraId="31E4D7A6" w14:textId="38953185" w:rsidR="00A500EA" w:rsidRDefault="00A500EA" w:rsidP="00647F6A">
      <w:pPr>
        <w:pStyle w:val="ListNumber3"/>
      </w:pPr>
      <w:r>
        <w:t>note</w:t>
      </w:r>
      <w:r w:rsidR="00EC16E3">
        <w:t>s</w:t>
      </w:r>
      <w:r>
        <w:t xml:space="preserve"> that CSV takes seriously its duty to provide a safe workplace, and identify the relevant policies concerning sexual harassment and misconduct and how to report such </w:t>
      </w:r>
      <w:proofErr w:type="gramStart"/>
      <w:r>
        <w:t>conduct;</w:t>
      </w:r>
      <w:proofErr w:type="gramEnd"/>
      <w:r>
        <w:t xml:space="preserve"> </w:t>
      </w:r>
    </w:p>
    <w:p w14:paraId="3331C376" w14:textId="3CFB1271" w:rsidR="00A500EA" w:rsidRPr="00647F6A" w:rsidRDefault="00A500EA" w:rsidP="00647F6A">
      <w:pPr>
        <w:pStyle w:val="ListNumber3"/>
      </w:pPr>
      <w:r>
        <w:t>inform</w:t>
      </w:r>
      <w:r w:rsidR="00EC16E3">
        <w:t>s</w:t>
      </w:r>
      <w:r>
        <w:t xml:space="preserve"> associates that </w:t>
      </w:r>
      <w:r w:rsidR="00974AF6">
        <w:t xml:space="preserve">it is </w:t>
      </w:r>
      <w:r>
        <w:t>the Court</w:t>
      </w:r>
      <w:r w:rsidR="00974AF6">
        <w:t>’s</w:t>
      </w:r>
      <w:r w:rsidR="00050725">
        <w:t xml:space="preserve"> standard practice </w:t>
      </w:r>
      <w:r>
        <w:t xml:space="preserve">to provide the associate with the opportunity to work for a </w:t>
      </w:r>
      <w:r w:rsidR="00DC18E7">
        <w:t xml:space="preserve">brief </w:t>
      </w:r>
      <w:r>
        <w:t xml:space="preserve">period with a different </w:t>
      </w:r>
      <w:r w:rsidR="002C477F">
        <w:t>judge</w:t>
      </w:r>
      <w:r w:rsidR="00A41E34">
        <w:t xml:space="preserve"> where possible</w:t>
      </w:r>
      <w:r w:rsidR="0044218D">
        <w:t xml:space="preserve">: see </w:t>
      </w:r>
      <w:r w:rsidR="0044218D" w:rsidRPr="00995387">
        <w:rPr>
          <w:b/>
          <w:bCs/>
        </w:rPr>
        <w:t xml:space="preserve">Recommendation </w:t>
      </w:r>
      <w:r w:rsidR="0044218D" w:rsidRPr="00995387">
        <w:rPr>
          <w:b/>
          <w:bCs/>
        </w:rPr>
        <w:fldChar w:fldCharType="begin"/>
      </w:r>
      <w:r w:rsidR="0044218D" w:rsidRPr="00995387">
        <w:rPr>
          <w:b/>
          <w:bCs/>
        </w:rPr>
        <w:instrText xml:space="preserve"> REF _Ref108730495 \r \h  \* MERGEFORMAT </w:instrText>
      </w:r>
      <w:r w:rsidR="0044218D" w:rsidRPr="00995387">
        <w:rPr>
          <w:b/>
          <w:bCs/>
        </w:rPr>
      </w:r>
      <w:r w:rsidR="0044218D" w:rsidRPr="00995387">
        <w:rPr>
          <w:b/>
          <w:bCs/>
        </w:rPr>
        <w:fldChar w:fldCharType="separate"/>
      </w:r>
      <w:r w:rsidR="00CF093C">
        <w:rPr>
          <w:b/>
          <w:bCs/>
        </w:rPr>
        <w:t>11</w:t>
      </w:r>
      <w:r w:rsidR="0044218D" w:rsidRPr="00995387">
        <w:rPr>
          <w:b/>
          <w:bCs/>
        </w:rPr>
        <w:fldChar w:fldCharType="end"/>
      </w:r>
      <w:r w:rsidRPr="00647F6A">
        <w:t>; and</w:t>
      </w:r>
    </w:p>
    <w:p w14:paraId="17245CA3" w14:textId="0DB6D402" w:rsidR="00A500EA" w:rsidRDefault="00A500EA" w:rsidP="00647F6A">
      <w:pPr>
        <w:pStyle w:val="ListNumber3"/>
      </w:pPr>
      <w:r w:rsidRPr="00647F6A">
        <w:t>note</w:t>
      </w:r>
      <w:r w:rsidR="00EC16E3" w:rsidRPr="00647F6A">
        <w:t>s</w:t>
      </w:r>
      <w:r w:rsidRPr="00647F6A">
        <w:t xml:space="preserve"> that (subject to acceptance and implementation of </w:t>
      </w:r>
      <w:r w:rsidRPr="00995387">
        <w:rPr>
          <w:b/>
          <w:bCs/>
        </w:rPr>
        <w:t>Recommendation</w:t>
      </w:r>
      <w:r w:rsidR="00DD55B0" w:rsidRPr="00995387">
        <w:rPr>
          <w:b/>
          <w:bCs/>
        </w:rPr>
        <w:t> </w:t>
      </w:r>
      <w:r w:rsidR="0044218D" w:rsidRPr="00995387">
        <w:rPr>
          <w:b/>
          <w:bCs/>
        </w:rPr>
        <w:fldChar w:fldCharType="begin"/>
      </w:r>
      <w:r w:rsidR="0044218D" w:rsidRPr="00995387">
        <w:rPr>
          <w:b/>
          <w:bCs/>
        </w:rPr>
        <w:instrText xml:space="preserve"> REF _Ref108729528 \r \h </w:instrText>
      </w:r>
      <w:r w:rsidR="00647F6A" w:rsidRPr="00995387">
        <w:rPr>
          <w:b/>
          <w:bCs/>
        </w:rPr>
        <w:instrText xml:space="preserve"> \* MERGEFORMAT </w:instrText>
      </w:r>
      <w:r w:rsidR="0044218D" w:rsidRPr="00995387">
        <w:rPr>
          <w:b/>
          <w:bCs/>
        </w:rPr>
      </w:r>
      <w:r w:rsidR="0044218D" w:rsidRPr="00995387">
        <w:rPr>
          <w:b/>
          <w:bCs/>
        </w:rPr>
        <w:fldChar w:fldCharType="separate"/>
      </w:r>
      <w:r w:rsidR="00CF093C">
        <w:rPr>
          <w:b/>
          <w:bCs/>
        </w:rPr>
        <w:t>4</w:t>
      </w:r>
      <w:r w:rsidR="0044218D" w:rsidRPr="00995387">
        <w:rPr>
          <w:b/>
          <w:bCs/>
        </w:rPr>
        <w:fldChar w:fldCharType="end"/>
      </w:r>
      <w:r w:rsidRPr="00647F6A">
        <w:t xml:space="preserve"> above) the Court has appointed</w:t>
      </w:r>
      <w:r>
        <w:t xml:space="preserve"> “staff judges” and explain the role of those judges.</w:t>
      </w:r>
    </w:p>
    <w:p w14:paraId="1C30E724" w14:textId="64009B36" w:rsidR="009A5B09" w:rsidRDefault="00340BA1" w:rsidP="00647F6A">
      <w:pPr>
        <w:pStyle w:val="ListNumber2"/>
      </w:pPr>
      <w:r w:rsidRPr="00340BA1">
        <w:t>In recommending that judicial services co-ordinators speak with incoming associates about the limits of that role, we</w:t>
      </w:r>
      <w:r>
        <w:t xml:space="preserve"> acknowledge </w:t>
      </w:r>
      <w:r w:rsidRPr="00340BA1">
        <w:t xml:space="preserve">that the role of a Supreme Court or County Court associate is </w:t>
      </w:r>
      <w:r w:rsidR="00877C55">
        <w:t xml:space="preserve">difficult to define in detail. </w:t>
      </w:r>
      <w:r w:rsidRPr="00340BA1">
        <w:t xml:space="preserve"> </w:t>
      </w:r>
      <w:r w:rsidR="00877C55" w:rsidRPr="00340BA1">
        <w:t>A</w:t>
      </w:r>
      <w:r w:rsidR="00EB4371">
        <w:t> </w:t>
      </w:r>
      <w:r w:rsidRPr="00340BA1">
        <w:t xml:space="preserve">judicial services co-ordinator </w:t>
      </w:r>
      <w:r w:rsidR="00877C55">
        <w:t xml:space="preserve">should </w:t>
      </w:r>
      <w:r w:rsidRPr="00340BA1">
        <w:t>explain the ordinary working hours of the Court</w:t>
      </w:r>
      <w:r w:rsidR="00877C55">
        <w:t xml:space="preserve"> but acknowledge that, </w:t>
      </w:r>
      <w:r w:rsidRPr="00340BA1">
        <w:t xml:space="preserve">particularly in the Supreme Court, </w:t>
      </w:r>
      <w:r w:rsidR="00877C55">
        <w:t xml:space="preserve">it </w:t>
      </w:r>
      <w:r w:rsidRPr="00340BA1">
        <w:t xml:space="preserve">will sometimes be necessary and proper for an associate to assist a judicial officer with judicial business outside of those hours.  In practice, the core role of an associate is to assist the judge to </w:t>
      </w:r>
      <w:r w:rsidRPr="00340BA1">
        <w:lastRenderedPageBreak/>
        <w:t>carry out their judicial function, and to do so by performing tasks as reasonably directed by the judicial officer (while, of course, in the employ of Courts Services Victoria).  However, the role is not that of a butler</w:t>
      </w:r>
      <w:r w:rsidR="0042432E">
        <w:t xml:space="preserve">, </w:t>
      </w:r>
      <w:proofErr w:type="gramStart"/>
      <w:r w:rsidR="0042432E">
        <w:t>housekeeper</w:t>
      </w:r>
      <w:proofErr w:type="gramEnd"/>
      <w:r w:rsidRPr="00340BA1">
        <w:t xml:space="preserve"> or a personal assistant with responsibility for the judge’s social calendar.  </w:t>
      </w:r>
      <w:r w:rsidR="006E713D">
        <w:t>As most associates accept</w:t>
      </w:r>
      <w:r w:rsidR="00A540D0">
        <w:t>,</w:t>
      </w:r>
      <w:r w:rsidR="006E713D">
        <w:t xml:space="preserve"> it may sometimes </w:t>
      </w:r>
      <w:r w:rsidR="0042432E">
        <w:t xml:space="preserve">be necessary to perform non-legal tasks </w:t>
      </w:r>
      <w:proofErr w:type="gramStart"/>
      <w:r w:rsidR="0042432E">
        <w:t>in order to</w:t>
      </w:r>
      <w:proofErr w:type="gramEnd"/>
      <w:r w:rsidR="0042432E">
        <w:t xml:space="preserve"> ensure that chambers function smoothly.  </w:t>
      </w:r>
      <w:r w:rsidR="006E713D">
        <w:t xml:space="preserve">Whether this becomes a problem or involves sex discrimination, </w:t>
      </w:r>
      <w:r w:rsidR="0042432E">
        <w:t xml:space="preserve">may be a question of </w:t>
      </w:r>
      <w:r w:rsidR="009A5B09">
        <w:t xml:space="preserve">fact and </w:t>
      </w:r>
      <w:r w:rsidR="0042432E">
        <w:t xml:space="preserve">degree.  </w:t>
      </w:r>
      <w:r w:rsidRPr="00340BA1">
        <w:t>Associates should be encouraged to speak with their judicial services co</w:t>
      </w:r>
      <w:r w:rsidR="009A5B09">
        <w:noBreakHyphen/>
      </w:r>
      <w:r w:rsidRPr="00340BA1">
        <w:t xml:space="preserve">ordinator, or </w:t>
      </w:r>
      <w:r w:rsidR="00EB4371">
        <w:t xml:space="preserve">a </w:t>
      </w:r>
      <w:r w:rsidRPr="00340BA1">
        <w:t>staff judge, if they</w:t>
      </w:r>
      <w:r w:rsidR="00022BE8">
        <w:t xml:space="preserve"> are</w:t>
      </w:r>
      <w:r w:rsidR="009A5B09">
        <w:t>:</w:t>
      </w:r>
    </w:p>
    <w:p w14:paraId="54B50530" w14:textId="49C98277" w:rsidR="009A5B09" w:rsidRDefault="0042432E" w:rsidP="00647F6A">
      <w:pPr>
        <w:pStyle w:val="ListNumber3"/>
      </w:pPr>
      <w:r>
        <w:t xml:space="preserve">allocated </w:t>
      </w:r>
      <w:r w:rsidR="00D03951">
        <w:t>a concerning volume of non</w:t>
      </w:r>
      <w:r w:rsidR="00D03951">
        <w:noBreakHyphen/>
        <w:t>legal or personal tasks which appear beyond their proper role</w:t>
      </w:r>
      <w:r w:rsidR="009A5B09">
        <w:t>; or</w:t>
      </w:r>
    </w:p>
    <w:p w14:paraId="70753C46" w14:textId="6EC15241" w:rsidR="00A7629A" w:rsidRDefault="00D93DEE" w:rsidP="00647F6A">
      <w:pPr>
        <w:pStyle w:val="ListNumber3"/>
      </w:pPr>
      <w:r>
        <w:t xml:space="preserve">requested to perform domestic or </w:t>
      </w:r>
      <w:r w:rsidR="00A540D0">
        <w:t>“</w:t>
      </w:r>
      <w:r>
        <w:t>menial</w:t>
      </w:r>
      <w:r w:rsidR="00A540D0">
        <w:t>”</w:t>
      </w:r>
      <w:r>
        <w:t xml:space="preserve"> tasks </w:t>
      </w:r>
      <w:r w:rsidR="00A540D0">
        <w:t xml:space="preserve">apparently </w:t>
      </w:r>
      <w:r>
        <w:t>based on their gender</w:t>
      </w:r>
      <w:r w:rsidR="00022BE8">
        <w:t>.</w:t>
      </w:r>
    </w:p>
    <w:p w14:paraId="5D0F2A46" w14:textId="079C73CF" w:rsidR="00022BE8" w:rsidRDefault="00022BE8" w:rsidP="00647F6A">
      <w:pPr>
        <w:pStyle w:val="ListNumber2"/>
        <w:spacing w:before="240"/>
      </w:pPr>
      <w:r>
        <w:t>In the Supreme Court and County Court, associates nominally report administratively to a judicial services co-ordinator.  The co-ordinator is the first point of contact for associates about administrative matters concerning their employment.  In both the Supreme Court and County Court, judicial services co-ordinators are trained about how to talk with persons who have experienced sexual harassment, and about the options for reporting sexual harassment within CSV.  There is no reason to doubt the adequacy of the judicial services co-ordinators’ training.  Associates recounted that judicial services co</w:t>
      </w:r>
      <w:r w:rsidR="009E02BE">
        <w:noBreakHyphen/>
      </w:r>
      <w:r>
        <w:t>ordinators spoke to newly</w:t>
      </w:r>
      <w:r w:rsidR="00C31DEE">
        <w:noBreakHyphen/>
      </w:r>
      <w:r>
        <w:t>inducted associates about working hours, leave and the expectations of associates.  Associates also mentioned occasions where a judicial services co</w:t>
      </w:r>
      <w:r w:rsidR="00C31DEE">
        <w:noBreakHyphen/>
      </w:r>
      <w:r>
        <w:t xml:space="preserve">ordinator emphasised their pastoral care role and invited associates to “tell them about anything”.  </w:t>
      </w:r>
    </w:p>
    <w:p w14:paraId="29D5B4D8" w14:textId="1E468D80" w:rsidR="00022BE8" w:rsidRDefault="00022BE8" w:rsidP="00647F6A">
      <w:pPr>
        <w:pStyle w:val="ListNumber2"/>
        <w:spacing w:before="240"/>
      </w:pPr>
      <w:r>
        <w:t>However, our understanding is that judicial staff do not in practice complain</w:t>
      </w:r>
      <w:r w:rsidR="00D24451">
        <w:t xml:space="preserve"> of misconduct or sexual harassment by judges </w:t>
      </w:r>
      <w:r>
        <w:t xml:space="preserve">to judicial services co-ordinators </w:t>
      </w:r>
      <w:r w:rsidR="002B6950">
        <w:t xml:space="preserve">(despite </w:t>
      </w:r>
      <w:r>
        <w:t>their level of training, awareness of the problem and conscientious approach</w:t>
      </w:r>
      <w:r w:rsidR="002B6950">
        <w:t>)</w:t>
      </w:r>
      <w:r w:rsidR="006A50F6">
        <w:t>.</w:t>
      </w:r>
      <w:r>
        <w:t xml:space="preserve"> </w:t>
      </w:r>
      <w:r w:rsidR="006A50F6">
        <w:t xml:space="preserve"> Judicial </w:t>
      </w:r>
      <w:r>
        <w:t xml:space="preserve">staff, particularly associates, perceive </w:t>
      </w:r>
      <w:r w:rsidR="00441F83">
        <w:t xml:space="preserve">that </w:t>
      </w:r>
      <w:r>
        <w:t>judicial services co</w:t>
      </w:r>
      <w:r w:rsidR="00647F6A">
        <w:noBreakHyphen/>
      </w:r>
      <w:r>
        <w:t xml:space="preserve">ordinators and human resources personnel </w:t>
      </w:r>
      <w:r w:rsidR="00441F83">
        <w:t xml:space="preserve">are </w:t>
      </w:r>
      <w:r>
        <w:t xml:space="preserve">powerless, lack the authority to stand up to a judge and </w:t>
      </w:r>
      <w:r w:rsidR="00176543">
        <w:t xml:space="preserve">are </w:t>
      </w:r>
      <w:r>
        <w:t xml:space="preserve">dependent on the judge’s goodwill.  </w:t>
      </w:r>
      <w:r w:rsidR="00441F83">
        <w:t xml:space="preserve">Staff are not confident that judicial </w:t>
      </w:r>
      <w:r>
        <w:t>services co</w:t>
      </w:r>
      <w:r w:rsidR="00C8447A">
        <w:noBreakHyphen/>
      </w:r>
      <w:r>
        <w:t xml:space="preserve">ordinators </w:t>
      </w:r>
      <w:r w:rsidR="00441F83">
        <w:t xml:space="preserve">have sufficient </w:t>
      </w:r>
      <w:r w:rsidR="007F55D9">
        <w:t>independence.</w:t>
      </w:r>
      <w:r>
        <w:t xml:space="preserve"> </w:t>
      </w:r>
    </w:p>
    <w:p w14:paraId="06878E26" w14:textId="3EF922D0" w:rsidR="00022BE8" w:rsidRDefault="00022BE8" w:rsidP="00647F6A">
      <w:pPr>
        <w:pStyle w:val="ListNumber2"/>
        <w:spacing w:before="240"/>
      </w:pPr>
      <w:r>
        <w:lastRenderedPageBreak/>
        <w:t xml:space="preserve">Further, we heard that while associates in the Supreme Court and County Court were aware that they administratively reported to judicial services co-ordinators, in practice they saw their reporting line as directly to their judge.  It was the judge who directed them in their day-to-day tasks, and </w:t>
      </w:r>
      <w:r w:rsidR="00A0373E">
        <w:t xml:space="preserve">they had </w:t>
      </w:r>
      <w:r>
        <w:t xml:space="preserve">little interaction with their CSV supervisors.  Indeed, </w:t>
      </w:r>
      <w:r w:rsidR="00A0373E">
        <w:t>the associates</w:t>
      </w:r>
      <w:r w:rsidR="009046C6">
        <w:t>’</w:t>
      </w:r>
      <w:r w:rsidR="00A0373E">
        <w:t xml:space="preserve"> </w:t>
      </w:r>
      <w:r>
        <w:t xml:space="preserve">overwhelming impression </w:t>
      </w:r>
      <w:r w:rsidR="00AB4C5E">
        <w:t xml:space="preserve">was of being </w:t>
      </w:r>
      <w:r>
        <w:t xml:space="preserve">inducted into </w:t>
      </w:r>
      <w:r w:rsidR="00AB4C5E">
        <w:t>“</w:t>
      </w:r>
      <w:r>
        <w:t>a chambers</w:t>
      </w:r>
      <w:r w:rsidR="00AB4C5E">
        <w:t>”</w:t>
      </w:r>
      <w:r>
        <w:t xml:space="preserve"> to work for a judge</w:t>
      </w:r>
      <w:r w:rsidR="00AB4C5E">
        <w:t>.</w:t>
      </w:r>
      <w:r>
        <w:t xml:space="preserve"> </w:t>
      </w:r>
      <w:r w:rsidR="00F53159">
        <w:t xml:space="preserve"> There was </w:t>
      </w:r>
      <w:r>
        <w:t xml:space="preserve">little sense of being inducted </w:t>
      </w:r>
      <w:r w:rsidR="00E34BB1">
        <w:t xml:space="preserve">into a modern workplace </w:t>
      </w:r>
      <w:r>
        <w:t xml:space="preserve">as a CSV-employee.  </w:t>
      </w:r>
      <w:r w:rsidR="00E34BB1">
        <w:t xml:space="preserve">(This perception was not necessarily a problem for associates.  Many enjoyed the flexible, </w:t>
      </w:r>
      <w:proofErr w:type="gramStart"/>
      <w:r w:rsidR="00E34BB1">
        <w:t>historic</w:t>
      </w:r>
      <w:proofErr w:type="gramEnd"/>
      <w:r w:rsidR="00E34BB1">
        <w:t xml:space="preserve"> and idi</w:t>
      </w:r>
      <w:r w:rsidR="00247359">
        <w:t xml:space="preserve">osyncratic working environment).  </w:t>
      </w:r>
      <w:r>
        <w:t xml:space="preserve">The widely held view was that </w:t>
      </w:r>
      <w:r w:rsidR="00247359">
        <w:t xml:space="preserve">the </w:t>
      </w:r>
      <w:r>
        <w:t xml:space="preserve">judicial services co-ordinator did not have sufficient visibility, insight into or awareness of what </w:t>
      </w:r>
      <w:proofErr w:type="gramStart"/>
      <w:r>
        <w:t>actually occurred</w:t>
      </w:r>
      <w:proofErr w:type="gramEnd"/>
      <w:r>
        <w:t xml:space="preserve"> in the judge/associate relationship, and thus could not identify any “red flags” that arise.  Nor could they intervene before any escalation in problematic behaviour by a judicial officer. (The scepticism of the chambers staff </w:t>
      </w:r>
      <w:r w:rsidR="00F53159">
        <w:t xml:space="preserve">on this issue </w:t>
      </w:r>
      <w:r>
        <w:t>was at odds with the views of court administrators with whom we had spoken before preparing our Progress Report).</w:t>
      </w:r>
    </w:p>
    <w:p w14:paraId="19650CD1" w14:textId="40E9BFF4" w:rsidR="00022BE8" w:rsidRDefault="00022BE8" w:rsidP="00647F6A">
      <w:pPr>
        <w:pStyle w:val="ListNumber2"/>
        <w:spacing w:before="240"/>
      </w:pPr>
      <w:r>
        <w:t>Th</w:t>
      </w:r>
      <w:r w:rsidR="00F53159">
        <w:t>e</w:t>
      </w:r>
      <w:r>
        <w:t xml:space="preserve"> position </w:t>
      </w:r>
      <w:r w:rsidR="00F53159">
        <w:t xml:space="preserve">of </w:t>
      </w:r>
      <w:r>
        <w:t>Court Officers in the Magistrates’ Court is different.  In</w:t>
      </w:r>
      <w:r w:rsidR="002101EE">
        <w:t> </w:t>
      </w:r>
      <w:r>
        <w:t>designing the Court Officer position, the Legal Policy Unit had the benefit of the findings of the Szoke Report.  Court Officers report to managers in the Legal Policy Unit.  They</w:t>
      </w:r>
      <w:r w:rsidR="00C31DEE">
        <w:t> </w:t>
      </w:r>
      <w:r>
        <w:t>undergo an induction program with other Court Officers</w:t>
      </w:r>
      <w:r w:rsidR="00FC2CB5">
        <w:t xml:space="preserve"> </w:t>
      </w:r>
      <w:r>
        <w:t xml:space="preserve">who are based together in the William Cooper Justice Centre </w:t>
      </w:r>
      <w:r w:rsidR="00FC2CB5">
        <w:t>(</w:t>
      </w:r>
      <w:r>
        <w:t>with other parts of the Court administration</w:t>
      </w:r>
      <w:r w:rsidR="00FC2CB5">
        <w:t>)</w:t>
      </w:r>
      <w:r>
        <w:t xml:space="preserve">.  This fosters a sense of being a part of CSV and an awareness of the CSV reporting line structures.  </w:t>
      </w:r>
      <w:r w:rsidR="00FC2CB5">
        <w:t xml:space="preserve">The </w:t>
      </w:r>
      <w:r>
        <w:t xml:space="preserve">Court Officers whom </w:t>
      </w:r>
      <w:r w:rsidR="009315B3">
        <w:t xml:space="preserve">we </w:t>
      </w:r>
      <w:r w:rsidR="00FC2CB5">
        <w:t xml:space="preserve">interviewed indicated </w:t>
      </w:r>
      <w:r>
        <w:t xml:space="preserve">that they would feel comfortable </w:t>
      </w:r>
      <w:r w:rsidR="00FC2CB5">
        <w:t xml:space="preserve">to </w:t>
      </w:r>
      <w:r>
        <w:t>rais</w:t>
      </w:r>
      <w:r w:rsidR="00FC2CB5">
        <w:t>e</w:t>
      </w:r>
      <w:r>
        <w:t xml:space="preserve"> problems with their managers, </w:t>
      </w:r>
      <w:r w:rsidR="009315B3">
        <w:t xml:space="preserve">who </w:t>
      </w:r>
      <w:r w:rsidR="004C3589">
        <w:t>(</w:t>
      </w:r>
      <w:r w:rsidR="009315B3">
        <w:t>rather than magistrates</w:t>
      </w:r>
      <w:r w:rsidR="004C3589">
        <w:t>)</w:t>
      </w:r>
      <w:r w:rsidR="009315B3">
        <w:t xml:space="preserve"> </w:t>
      </w:r>
      <w:r w:rsidR="004C3589">
        <w:t xml:space="preserve">were </w:t>
      </w:r>
      <w:r>
        <w:t>their “bosses”</w:t>
      </w:r>
      <w:r w:rsidR="004C3589">
        <w:t xml:space="preserve">. </w:t>
      </w:r>
      <w:r>
        <w:t xml:space="preserve"> There was also a consensus that Court Officers worked closely with their managers.  </w:t>
      </w:r>
    </w:p>
    <w:p w14:paraId="54A96C91" w14:textId="63B3D18B" w:rsidR="00022BE8" w:rsidRPr="002101EE" w:rsidRDefault="00022BE8" w:rsidP="00647F6A">
      <w:pPr>
        <w:pStyle w:val="ListNumber2"/>
        <w:spacing w:before="240"/>
      </w:pPr>
      <w:r w:rsidRPr="002101EE">
        <w:t>In the Coroner’s Court too, the reporting lines appear to be clear and well</w:t>
      </w:r>
      <w:r w:rsidRPr="002101EE">
        <w:noBreakHyphen/>
        <w:t xml:space="preserve">understood.  Solicitors report to a Senior Solicitor, and to the Director of Legal Services.  A similar structure exists for registry staff.  </w:t>
      </w:r>
      <w:r w:rsidR="008A588F" w:rsidRPr="002101EE">
        <w:t xml:space="preserve">Staff assigned to a particular coroner </w:t>
      </w:r>
      <w:r w:rsidRPr="002101EE">
        <w:t xml:space="preserve">sit in open workspaces separate from that coroner.  There is a supervision framework under which a supervisor regularly “catches up” with staff to ask how </w:t>
      </w:r>
      <w:r w:rsidR="008A588F" w:rsidRPr="002101EE">
        <w:t xml:space="preserve">they are </w:t>
      </w:r>
      <w:r w:rsidRPr="002101EE">
        <w:t xml:space="preserve">progressing, and whether there are any issues.  There is a template to guide the conversation, which covers both performance matters and the staff member’s wellbeing.  In the Children’s Court, there is also a clearly defined reporting line whereby trainee court registrars report to VPS3 Registrars, who in turn report to VPS4 Registry Managers (who then report to the Operations Manager, who reports </w:t>
      </w:r>
      <w:r w:rsidRPr="002101EE">
        <w:lastRenderedPageBreak/>
        <w:t xml:space="preserve">to the Senior Registrar).  We heard that there are clear expectations that supervisors hold regular “catch ups” with staff under their supervision.  In VCAT, Member Support Officers report to a Team Leader within registry, who is located on their floor and with whom they work closely.  One purpose of that reporting line is to ensure </w:t>
      </w:r>
      <w:r w:rsidR="0092638E" w:rsidRPr="002101EE">
        <w:t xml:space="preserve">that </w:t>
      </w:r>
      <w:r w:rsidRPr="002101EE">
        <w:t xml:space="preserve">senior registry staff can see whether members are subjecting the Member Support Officers to any unreasonable expectations.  </w:t>
      </w:r>
    </w:p>
    <w:p w14:paraId="02B6CAD3" w14:textId="194787A7" w:rsidR="00022BE8" w:rsidRDefault="00022BE8" w:rsidP="00647F6A">
      <w:pPr>
        <w:pStyle w:val="ListNumber2"/>
        <w:spacing w:before="240"/>
      </w:pPr>
      <w:r>
        <w:t xml:space="preserve">Overall, we did not observe any systemic problems associated with the reporting lines in the Magistrates’ Court, Children’s Court, Coroners Court or VCAT which contribute to the risk factors for sexual harassment.  In each of those jurisdictions, there are clear reporting lines.  There is no evidence that staff perceive that their reporting line as solely to a judicial </w:t>
      </w:r>
      <w:proofErr w:type="gramStart"/>
      <w:r>
        <w:t>officer, or</w:t>
      </w:r>
      <w:proofErr w:type="gramEnd"/>
      <w:r>
        <w:t xml:space="preserve"> see no purpose in informing CSV managers of misconduct.  However, in the superior courts, the </w:t>
      </w:r>
      <w:proofErr w:type="gramStart"/>
      <w:r>
        <w:t>widely-held</w:t>
      </w:r>
      <w:proofErr w:type="gramEnd"/>
      <w:r>
        <w:t xml:space="preserve"> perception among associates that judicial services co-ordinators are not in a position to detect “red flags” for harassment or other misconduct impedes the management of sexual harassment risk factors.  Particularly in the isolated environment of Supreme Court chambers, the opportunity to pick up on any “red flags”</w:t>
      </w:r>
      <w:r w:rsidR="0092638E">
        <w:t xml:space="preserve"> may be </w:t>
      </w:r>
      <w:r>
        <w:t xml:space="preserve">lost if (as associates </w:t>
      </w:r>
      <w:r w:rsidR="0092638E">
        <w:t>apprehend</w:t>
      </w:r>
      <w:r>
        <w:t xml:space="preserve">) no-one to whom they report has sufficient awareness of what occurs in chambers, or the necessary </w:t>
      </w:r>
      <w:r w:rsidR="0092638E">
        <w:t xml:space="preserve">authority </w:t>
      </w:r>
      <w:r>
        <w:t xml:space="preserve">to take steps to put a stop to misconduct.  </w:t>
      </w:r>
    </w:p>
    <w:p w14:paraId="398FB374" w14:textId="7C2C851A" w:rsidR="00022BE8" w:rsidRDefault="00022BE8" w:rsidP="00647F6A">
      <w:pPr>
        <w:pStyle w:val="ListNumber2"/>
        <w:spacing w:before="240"/>
      </w:pPr>
      <w:r>
        <w:t xml:space="preserve">The judicial services co-ordinators in the superior courts, given associates report directly to them, </w:t>
      </w:r>
      <w:r w:rsidR="00247359">
        <w:t xml:space="preserve">do </w:t>
      </w:r>
      <w:r>
        <w:t>play a useful role in controlling sexual harassment risk factors</w:t>
      </w:r>
      <w:r w:rsidR="00247359">
        <w:t xml:space="preserve"> which could become more effective</w:t>
      </w:r>
      <w:r>
        <w:t xml:space="preserve">.  </w:t>
      </w:r>
      <w:r w:rsidR="00F20506">
        <w:t>As noted above, s</w:t>
      </w:r>
      <w:r w:rsidR="006C56A3">
        <w:t xml:space="preserve">taff </w:t>
      </w:r>
      <w:r>
        <w:t xml:space="preserve">may be reluctant to complain to them of misconduct (given their </w:t>
      </w:r>
      <w:r w:rsidR="006C56A3">
        <w:t>status and role vis a vis judges</w:t>
      </w:r>
      <w:r>
        <w:t xml:space="preserve">).  However, </w:t>
      </w:r>
      <w:r w:rsidR="0072274D">
        <w:t>the deterrent perception that judicial services co</w:t>
      </w:r>
      <w:r w:rsidR="0072274D">
        <w:noBreakHyphen/>
        <w:t>ordinators are powerless effectively to intervene, may be count</w:t>
      </w:r>
      <w:r w:rsidR="00655F72">
        <w:t xml:space="preserve">ered by the combined effect of various recommendations reflecting the judges’ commitment to eliminate judicial misconduct.  Regular </w:t>
      </w:r>
      <w:r>
        <w:t xml:space="preserve">meetings </w:t>
      </w:r>
      <w:r w:rsidR="006C56A3">
        <w:t xml:space="preserve">and communication </w:t>
      </w:r>
      <w:r>
        <w:t>with judicial services co</w:t>
      </w:r>
      <w:r w:rsidR="002A1C76">
        <w:noBreakHyphen/>
      </w:r>
      <w:r>
        <w:t xml:space="preserve">ordinators may </w:t>
      </w:r>
      <w:r w:rsidR="00655F72">
        <w:t xml:space="preserve">further </w:t>
      </w:r>
      <w:r>
        <w:t xml:space="preserve">reduce the associate’s </w:t>
      </w:r>
      <w:r w:rsidR="00655F72">
        <w:t xml:space="preserve">hesitancy </w:t>
      </w:r>
      <w:r w:rsidR="006C56A3">
        <w:t xml:space="preserve">and </w:t>
      </w:r>
      <w:r>
        <w:t>potential isolation</w:t>
      </w:r>
      <w:r w:rsidR="006C56A3">
        <w:t>.</w:t>
      </w:r>
      <w:r w:rsidR="00832300">
        <w:t xml:space="preserve">  The latter, </w:t>
      </w:r>
      <w:r>
        <w:t xml:space="preserve">as noted, is itself a risk factor for sexual harassment.  Judicial services co-ordinators can (and we understand, often do) play an important role in informing associates of relevant CSV policies on sexual harassment and misconduct generally.  </w:t>
      </w:r>
    </w:p>
    <w:p w14:paraId="2E2D3936" w14:textId="51FCBB5F" w:rsidR="0093312E" w:rsidRDefault="00307949" w:rsidP="00647F6A">
      <w:pPr>
        <w:pStyle w:val="Heading5"/>
      </w:pPr>
      <w:r>
        <w:rPr>
          <w:lang w:val="en-US"/>
        </w:rPr>
        <w:t xml:space="preserve">We recommend that CSV should arrange for regular meetings between judicial services </w:t>
      </w:r>
      <w:proofErr w:type="spellStart"/>
      <w:r>
        <w:rPr>
          <w:lang w:val="en-US"/>
        </w:rPr>
        <w:t>co</w:t>
      </w:r>
      <w:r>
        <w:rPr>
          <w:lang w:val="en-US"/>
        </w:rPr>
        <w:noBreakHyphen/>
        <w:t>ordinators</w:t>
      </w:r>
      <w:proofErr w:type="spellEnd"/>
      <w:r>
        <w:rPr>
          <w:lang w:val="en-US"/>
        </w:rPr>
        <w:t xml:space="preserve"> and associates to check on the wellbeing of associates.</w:t>
      </w:r>
    </w:p>
    <w:p w14:paraId="690299BA" w14:textId="0B46C63A" w:rsidR="00A500EA" w:rsidRDefault="0082758C" w:rsidP="00647F6A">
      <w:pPr>
        <w:pStyle w:val="ListNumber2"/>
        <w:spacing w:before="240"/>
      </w:pPr>
      <w:r>
        <w:lastRenderedPageBreak/>
        <w:t xml:space="preserve">Judicial </w:t>
      </w:r>
      <w:r w:rsidR="00A500EA">
        <w:t xml:space="preserve">services co-ordinators </w:t>
      </w:r>
      <w:r>
        <w:t xml:space="preserve">should </w:t>
      </w:r>
      <w:r w:rsidR="00A500EA">
        <w:t>meet with associates on a regular basis (at</w:t>
      </w:r>
      <w:r w:rsidR="002A1C76">
        <w:t> </w:t>
      </w:r>
      <w:r w:rsidR="00A500EA">
        <w:t>most three-month intervals) outside judicial chambers to:</w:t>
      </w:r>
    </w:p>
    <w:p w14:paraId="23D05D79" w14:textId="755C74A3" w:rsidR="00A500EA" w:rsidRDefault="00A500EA" w:rsidP="00647F6A">
      <w:pPr>
        <w:pStyle w:val="ListNumber3"/>
      </w:pPr>
      <w:r>
        <w:t xml:space="preserve">invite the associate to raise any issues or concerns </w:t>
      </w:r>
      <w:r w:rsidR="00DA255E">
        <w:t xml:space="preserve">about </w:t>
      </w:r>
      <w:r>
        <w:t xml:space="preserve">their wellbeing or </w:t>
      </w:r>
      <w:proofErr w:type="gramStart"/>
      <w:r>
        <w:t>workload;</w:t>
      </w:r>
      <w:proofErr w:type="gramEnd"/>
      <w:r>
        <w:t xml:space="preserve"> </w:t>
      </w:r>
    </w:p>
    <w:p w14:paraId="0B9EA9D3" w14:textId="04D2898B" w:rsidR="00A500EA" w:rsidRDefault="00A500EA" w:rsidP="00647F6A">
      <w:pPr>
        <w:pStyle w:val="ListNumber3"/>
      </w:pPr>
      <w:r>
        <w:t xml:space="preserve">explain the avenues available </w:t>
      </w:r>
      <w:r w:rsidR="00DA255E">
        <w:t xml:space="preserve">for </w:t>
      </w:r>
      <w:r>
        <w:t>staff to report misconduct</w:t>
      </w:r>
      <w:r w:rsidR="00DA255E">
        <w:t>,</w:t>
      </w:r>
      <w:r>
        <w:t xml:space="preserve"> and the </w:t>
      </w:r>
      <w:r w:rsidR="00DA255E">
        <w:t xml:space="preserve">related </w:t>
      </w:r>
      <w:r>
        <w:t>supports provided by CSV; and</w:t>
      </w:r>
    </w:p>
    <w:p w14:paraId="60E5C656" w14:textId="4B78C70C" w:rsidR="00A500EA" w:rsidRPr="00647F6A" w:rsidRDefault="00A500EA" w:rsidP="00647F6A">
      <w:pPr>
        <w:pStyle w:val="ListNumber3"/>
      </w:pPr>
      <w:r>
        <w:t xml:space="preserve">ask the associate whether they wish to further their professional development by working for a time with another judicial officer, </w:t>
      </w:r>
      <w:r w:rsidR="007810CA">
        <w:t xml:space="preserve">which </w:t>
      </w:r>
      <w:r>
        <w:t>(a)</w:t>
      </w:r>
      <w:r w:rsidR="002A1C76">
        <w:t> </w:t>
      </w:r>
      <w:r>
        <w:t>the Court sees as a standard component of an associateship; and (b) the Court will take steps to facilitate</w:t>
      </w:r>
      <w:r w:rsidR="004E76E0">
        <w:t xml:space="preserve"> to the extent possible</w:t>
      </w:r>
      <w:r w:rsidR="008F46D3">
        <w:t>:</w:t>
      </w:r>
      <w:r w:rsidR="008F46D3" w:rsidRPr="008F46D3">
        <w:rPr>
          <w:lang w:val="en-US"/>
        </w:rPr>
        <w:t xml:space="preserve"> </w:t>
      </w:r>
      <w:r w:rsidR="008F46D3">
        <w:rPr>
          <w:lang w:val="en-US"/>
        </w:rPr>
        <w:t xml:space="preserve">see </w:t>
      </w:r>
      <w:r w:rsidR="008F46D3" w:rsidRPr="00D277FD">
        <w:rPr>
          <w:b/>
          <w:bCs/>
          <w:lang w:val="en-US"/>
        </w:rPr>
        <w:t xml:space="preserve">Recommendation </w:t>
      </w:r>
      <w:r w:rsidR="008F46D3" w:rsidRPr="00D277FD">
        <w:rPr>
          <w:b/>
          <w:bCs/>
          <w:lang w:val="en-US"/>
        </w:rPr>
        <w:fldChar w:fldCharType="begin"/>
      </w:r>
      <w:r w:rsidR="008F46D3" w:rsidRPr="00D277FD">
        <w:rPr>
          <w:b/>
          <w:bCs/>
          <w:lang w:val="en-US"/>
        </w:rPr>
        <w:instrText xml:space="preserve"> REF _Ref108730495 \r \h  \* MERGEFORMAT </w:instrText>
      </w:r>
      <w:r w:rsidR="008F46D3" w:rsidRPr="00D277FD">
        <w:rPr>
          <w:b/>
          <w:bCs/>
          <w:lang w:val="en-US"/>
        </w:rPr>
      </w:r>
      <w:r w:rsidR="008F46D3" w:rsidRPr="00D277FD">
        <w:rPr>
          <w:b/>
          <w:bCs/>
          <w:lang w:val="en-US"/>
        </w:rPr>
        <w:fldChar w:fldCharType="separate"/>
      </w:r>
      <w:r w:rsidR="00CF093C">
        <w:rPr>
          <w:b/>
          <w:bCs/>
          <w:lang w:val="en-US"/>
        </w:rPr>
        <w:t>11</w:t>
      </w:r>
      <w:r w:rsidR="008F46D3" w:rsidRPr="00D277FD">
        <w:rPr>
          <w:b/>
          <w:bCs/>
          <w:lang w:val="en-US"/>
        </w:rPr>
        <w:fldChar w:fldCharType="end"/>
      </w:r>
      <w:r w:rsidR="007810CA" w:rsidRPr="00647F6A">
        <w:t>.</w:t>
      </w:r>
      <w:r w:rsidRPr="00647F6A">
        <w:t xml:space="preserve"> </w:t>
      </w:r>
    </w:p>
    <w:p w14:paraId="4689B6FE" w14:textId="04B281B5" w:rsidR="008349CE" w:rsidRPr="00647F6A" w:rsidRDefault="00CD176F" w:rsidP="00647F6A">
      <w:pPr>
        <w:pStyle w:val="ListNumber2"/>
      </w:pPr>
      <w:r w:rsidRPr="00647F6A">
        <w:rPr>
          <w:lang w:val="en-US"/>
        </w:rPr>
        <w:t xml:space="preserve">This recommendation is intended to assist judicial services </w:t>
      </w:r>
      <w:proofErr w:type="spellStart"/>
      <w:r w:rsidRPr="00647F6A">
        <w:rPr>
          <w:lang w:val="en-US"/>
        </w:rPr>
        <w:t>co-ordinators</w:t>
      </w:r>
      <w:proofErr w:type="spellEnd"/>
      <w:r w:rsidRPr="00647F6A">
        <w:rPr>
          <w:lang w:val="en-US"/>
        </w:rPr>
        <w:t xml:space="preserve"> to play a more effective role in controlling sexual harassment risk factors, as discussed in more detail under </w:t>
      </w:r>
      <w:r w:rsidRPr="00D277FD">
        <w:rPr>
          <w:b/>
          <w:bCs/>
          <w:lang w:val="en-US"/>
        </w:rPr>
        <w:t xml:space="preserve">Recommendation </w:t>
      </w:r>
      <w:r w:rsidRPr="00D277FD">
        <w:rPr>
          <w:b/>
          <w:bCs/>
          <w:lang w:val="en-US"/>
        </w:rPr>
        <w:fldChar w:fldCharType="begin"/>
      </w:r>
      <w:r w:rsidRPr="00D277FD">
        <w:rPr>
          <w:b/>
          <w:bCs/>
          <w:lang w:val="en-US"/>
        </w:rPr>
        <w:instrText xml:space="preserve"> REF _Ref108730944 \r \h  \* MERGEFORMAT </w:instrText>
      </w:r>
      <w:r w:rsidRPr="00D277FD">
        <w:rPr>
          <w:b/>
          <w:bCs/>
          <w:lang w:val="en-US"/>
        </w:rPr>
      </w:r>
      <w:r w:rsidRPr="00D277FD">
        <w:rPr>
          <w:b/>
          <w:bCs/>
          <w:lang w:val="en-US"/>
        </w:rPr>
        <w:fldChar w:fldCharType="separate"/>
      </w:r>
      <w:r w:rsidR="00CF093C">
        <w:rPr>
          <w:b/>
          <w:bCs/>
          <w:lang w:val="en-US"/>
        </w:rPr>
        <w:t>16</w:t>
      </w:r>
      <w:r w:rsidRPr="00D277FD">
        <w:rPr>
          <w:b/>
          <w:bCs/>
          <w:lang w:val="en-US"/>
        </w:rPr>
        <w:fldChar w:fldCharType="end"/>
      </w:r>
      <w:r w:rsidRPr="00647F6A">
        <w:rPr>
          <w:lang w:val="en-US"/>
        </w:rPr>
        <w:t xml:space="preserve">.  </w:t>
      </w:r>
    </w:p>
    <w:p w14:paraId="4804EFDB" w14:textId="2CCAD28B" w:rsidR="005B038A" w:rsidRPr="00647F6A" w:rsidRDefault="00B34C21" w:rsidP="00647F6A">
      <w:pPr>
        <w:pStyle w:val="Heading5"/>
      </w:pPr>
      <w:r w:rsidRPr="00647F6A">
        <w:t xml:space="preserve">We recommend that during </w:t>
      </w:r>
      <w:r w:rsidR="00F25453" w:rsidRPr="00647F6A">
        <w:t>induction, an appropriate CSV staff member meet with incoming staff members</w:t>
      </w:r>
      <w:r w:rsidR="00704B18" w:rsidRPr="00647F6A">
        <w:rPr>
          <w:rFonts w:ascii="ZWAdobeF" w:hAnsi="ZWAdobeF" w:cs="ZWAdobeF"/>
          <w:sz w:val="2"/>
          <w:szCs w:val="2"/>
        </w:rPr>
        <w:t>133F</w:t>
      </w:r>
      <w:r w:rsidR="00F25453" w:rsidRPr="00647F6A">
        <w:rPr>
          <w:vertAlign w:val="superscript"/>
        </w:rPr>
        <w:footnoteReference w:id="105"/>
      </w:r>
      <w:r w:rsidR="00874BCD" w:rsidRPr="00647F6A">
        <w:rPr>
          <w:caps/>
        </w:rPr>
        <w:t xml:space="preserve"> </w:t>
      </w:r>
      <w:r w:rsidR="00874BCD" w:rsidRPr="00647F6A">
        <w:t>to describe the relevant CSV policies on sexual harassment and avenues of reporting</w:t>
      </w:r>
      <w:r w:rsidRPr="00647F6A">
        <w:t>:</w:t>
      </w:r>
    </w:p>
    <w:p w14:paraId="3E2B5A95" w14:textId="1B3ACDFC" w:rsidR="006C2CD3" w:rsidRPr="00647F6A" w:rsidRDefault="00FA549B" w:rsidP="00647F6A">
      <w:pPr>
        <w:pStyle w:val="ListNumber2"/>
        <w:spacing w:before="240"/>
      </w:pPr>
      <w:r w:rsidRPr="00647F6A">
        <w:rPr>
          <w:lang w:val="en-US"/>
        </w:rPr>
        <w:t xml:space="preserve">This recommendation overlaps with </w:t>
      </w:r>
      <w:r w:rsidR="00995387" w:rsidRPr="00995387">
        <w:rPr>
          <w:b/>
          <w:bCs/>
          <w:lang w:val="en-US"/>
        </w:rPr>
        <w:t xml:space="preserve">Recommendation </w:t>
      </w:r>
      <w:r w:rsidRPr="00995387">
        <w:rPr>
          <w:b/>
          <w:bCs/>
          <w:lang w:val="en-US"/>
        </w:rPr>
        <w:fldChar w:fldCharType="begin"/>
      </w:r>
      <w:r w:rsidRPr="00995387">
        <w:rPr>
          <w:b/>
          <w:bCs/>
          <w:lang w:val="en-US"/>
        </w:rPr>
        <w:instrText xml:space="preserve"> REF _Ref108730944 \r \h  \* MERGEFORMAT </w:instrText>
      </w:r>
      <w:r w:rsidRPr="00995387">
        <w:rPr>
          <w:b/>
          <w:bCs/>
          <w:lang w:val="en-US"/>
        </w:rPr>
      </w:r>
      <w:r w:rsidRPr="00995387">
        <w:rPr>
          <w:b/>
          <w:bCs/>
          <w:lang w:val="en-US"/>
        </w:rPr>
        <w:fldChar w:fldCharType="separate"/>
      </w:r>
      <w:r w:rsidR="00CF093C">
        <w:rPr>
          <w:b/>
          <w:bCs/>
          <w:lang w:val="en-US"/>
        </w:rPr>
        <w:t>16</w:t>
      </w:r>
      <w:r w:rsidRPr="00995387">
        <w:rPr>
          <w:b/>
          <w:bCs/>
          <w:lang w:val="en-US"/>
        </w:rPr>
        <w:fldChar w:fldCharType="end"/>
      </w:r>
      <w:r w:rsidRPr="00647F6A">
        <w:rPr>
          <w:lang w:val="en-US"/>
        </w:rPr>
        <w:t>, but applies to all courts and VCAT.</w:t>
      </w:r>
    </w:p>
    <w:p w14:paraId="00726EE4" w14:textId="42DBC8DF" w:rsidR="005B038A" w:rsidRPr="00647F6A" w:rsidRDefault="005B038A" w:rsidP="00647F6A">
      <w:pPr>
        <w:pStyle w:val="ListNumber2"/>
        <w:spacing w:before="240"/>
      </w:pPr>
      <w:r w:rsidRPr="00647F6A">
        <w:t>During our consultations</w:t>
      </w:r>
      <w:r w:rsidR="007916E6" w:rsidRPr="00647F6A">
        <w:t>,</w:t>
      </w:r>
      <w:r w:rsidRPr="00647F6A">
        <w:t xml:space="preserve"> staff</w:t>
      </w:r>
      <w:r w:rsidR="007916E6" w:rsidRPr="00647F6A">
        <w:t xml:space="preserve"> recounted </w:t>
      </w:r>
      <w:r w:rsidRPr="00647F6A">
        <w:t xml:space="preserve">a range of experiences </w:t>
      </w:r>
      <w:r w:rsidR="007916E6" w:rsidRPr="00647F6A">
        <w:t xml:space="preserve">on whether, and if so to what extent, </w:t>
      </w:r>
      <w:r w:rsidRPr="00647F6A">
        <w:t xml:space="preserve">sexual harassment was discussed on induction, or noted in induction materials.  </w:t>
      </w:r>
      <w:proofErr w:type="gramStart"/>
      <w:r w:rsidRPr="00647F6A">
        <w:t>On the whole</w:t>
      </w:r>
      <w:proofErr w:type="gramEnd"/>
      <w:r w:rsidRPr="00647F6A">
        <w:t xml:space="preserve">, few associates recalled the topic of sexual harassment being addressed.  Where the topic was addressed, the treatment given to the subject was cursory, and tailored to peer-to-peer sexual harassment and misconduct as opposed to sexual harassment or other misconduct by judicial officers.  The material did not recognise that the workplace was a Court or Tribunal, </w:t>
      </w:r>
      <w:r w:rsidR="004D0E94" w:rsidRPr="00647F6A">
        <w:t xml:space="preserve">with several </w:t>
      </w:r>
      <w:r w:rsidR="00C558BE" w:rsidRPr="00647F6A">
        <w:t xml:space="preserve">unusual </w:t>
      </w:r>
      <w:r w:rsidRPr="00647F6A">
        <w:t>risk factors for sexual harassment</w:t>
      </w:r>
      <w:r w:rsidR="00C558BE" w:rsidRPr="00647F6A">
        <w:t xml:space="preserve">.  </w:t>
      </w:r>
      <w:r w:rsidRPr="00647F6A">
        <w:t xml:space="preserve">Some associates reported being told </w:t>
      </w:r>
      <w:r w:rsidR="006974BF" w:rsidRPr="00647F6A">
        <w:t xml:space="preserve">that </w:t>
      </w:r>
      <w:r w:rsidRPr="00647F6A">
        <w:t xml:space="preserve">if staff were subject to sexual harassment, </w:t>
      </w:r>
      <w:r w:rsidR="006974BF" w:rsidRPr="00647F6A">
        <w:t xml:space="preserve">resources were available.  They </w:t>
      </w:r>
      <w:r w:rsidRPr="00647F6A">
        <w:t xml:space="preserve">noted that there was no developed discussion on the topic.  </w:t>
      </w:r>
    </w:p>
    <w:p w14:paraId="4114DB7F" w14:textId="2560EEB8" w:rsidR="005B038A" w:rsidRPr="00647F6A" w:rsidRDefault="005B038A" w:rsidP="00647F6A">
      <w:pPr>
        <w:pStyle w:val="ListNumber2"/>
        <w:spacing w:before="240"/>
      </w:pPr>
      <w:r w:rsidRPr="00647F6A">
        <w:lastRenderedPageBreak/>
        <w:t xml:space="preserve">We emphasise, however, that a significant majority of staff members with whom we spoke </w:t>
      </w:r>
      <w:r w:rsidR="00C558BE" w:rsidRPr="00647F6A">
        <w:t xml:space="preserve">were </w:t>
      </w:r>
      <w:r w:rsidRPr="00647F6A">
        <w:t xml:space="preserve">inducted before the implementation of new CSV policies in early 2022.  Staff members in the Magistrates’ Court and County Court who had been inducted in 2022 following the implementation of those policies </w:t>
      </w:r>
      <w:r w:rsidR="00287004" w:rsidRPr="00647F6A">
        <w:t xml:space="preserve">(after </w:t>
      </w:r>
      <w:r w:rsidRPr="00647F6A">
        <w:t xml:space="preserve">a greater awareness of the problem of sexual harassment </w:t>
      </w:r>
      <w:r w:rsidR="00C558BE" w:rsidRPr="00647F6A">
        <w:t xml:space="preserve">exposed </w:t>
      </w:r>
      <w:r w:rsidR="007C2CA5" w:rsidRPr="00647F6A">
        <w:t xml:space="preserve">in </w:t>
      </w:r>
      <w:r w:rsidRPr="00647F6A">
        <w:t>the Szoke Report</w:t>
      </w:r>
      <w:r w:rsidR="00287004" w:rsidRPr="00647F6A">
        <w:t>)</w:t>
      </w:r>
      <w:r w:rsidRPr="00647F6A">
        <w:t xml:space="preserve"> </w:t>
      </w:r>
      <w:r w:rsidR="00DE33F0" w:rsidRPr="00647F6A">
        <w:t xml:space="preserve">reported </w:t>
      </w:r>
      <w:r w:rsidRPr="00647F6A">
        <w:t xml:space="preserve">more positively on </w:t>
      </w:r>
      <w:r w:rsidR="001242B6" w:rsidRPr="00647F6A">
        <w:t xml:space="preserve">the treatment of sexual harassment and inappropriate conduct by judges during their induction. </w:t>
      </w:r>
      <w:r w:rsidRPr="00647F6A">
        <w:t xml:space="preserve">In the Supreme Court, no associate with whom we spoke had been inducted in 2022.  However, one associate who had been inducted in late 2021 </w:t>
      </w:r>
      <w:r w:rsidR="00C84E51" w:rsidRPr="00647F6A">
        <w:t xml:space="preserve">was </w:t>
      </w:r>
      <w:r w:rsidRPr="00647F6A">
        <w:t xml:space="preserve">advised of the resources available </w:t>
      </w:r>
      <w:r w:rsidR="007C2CA5" w:rsidRPr="00647F6A">
        <w:t xml:space="preserve">should </w:t>
      </w:r>
      <w:r w:rsidRPr="00647F6A">
        <w:t>associates experience inappropriate conduct</w:t>
      </w:r>
      <w:r w:rsidR="00C84E51" w:rsidRPr="00647F6A">
        <w:t>.</w:t>
      </w:r>
      <w:r w:rsidRPr="00647F6A">
        <w:t xml:space="preserve"> </w:t>
      </w:r>
      <w:r w:rsidR="00C84E51" w:rsidRPr="00647F6A">
        <w:t xml:space="preserve"> That associate </w:t>
      </w:r>
      <w:r w:rsidR="007C2CA5" w:rsidRPr="00647F6A">
        <w:t xml:space="preserve">considered </w:t>
      </w:r>
      <w:r w:rsidRPr="00647F6A">
        <w:t xml:space="preserve">that sexual harassment should have been confronted more squarely and that it should have been acknowledged that sexual harassment </w:t>
      </w:r>
      <w:r w:rsidR="007C2CA5" w:rsidRPr="00647F6A">
        <w:t xml:space="preserve">by a judge </w:t>
      </w:r>
      <w:r w:rsidRPr="00647F6A">
        <w:t>has happened at the Court.</w:t>
      </w:r>
      <w:r w:rsidR="007C762A" w:rsidRPr="00647F6A">
        <w:rPr>
          <w:rStyle w:val="FootnoteReference"/>
        </w:rPr>
        <w:footnoteReference w:id="106"/>
      </w:r>
      <w:r w:rsidRPr="00647F6A">
        <w:t xml:space="preserve">  </w:t>
      </w:r>
    </w:p>
    <w:p w14:paraId="12B2C1DE" w14:textId="6C7651C6" w:rsidR="00F224A5" w:rsidRPr="00647F6A" w:rsidRDefault="00F224A5" w:rsidP="00647F6A">
      <w:pPr>
        <w:pStyle w:val="ListNumber2"/>
        <w:spacing w:before="240"/>
      </w:pPr>
      <w:r w:rsidRPr="00647F6A">
        <w:rPr>
          <w:lang w:val="en-US"/>
        </w:rPr>
        <w:t>The discussion of CSV policies under this recommendation should focus upon the “Resolution procedure — Inappropriate workplace behaviours” policy published by CSV, which sets out the various options for judicial staff in the event they are subjected to inappropriate conduct, including by a judicial officer.</w:t>
      </w:r>
    </w:p>
    <w:p w14:paraId="58357998" w14:textId="3BE0B631" w:rsidR="005B038A" w:rsidRPr="00647F6A" w:rsidRDefault="005B038A" w:rsidP="00647F6A">
      <w:pPr>
        <w:pStyle w:val="ListNumber2"/>
        <w:spacing w:before="240"/>
      </w:pPr>
      <w:bookmarkStart w:id="119" w:name="_Ref106963844"/>
      <w:r w:rsidRPr="00647F6A">
        <w:t xml:space="preserve">In the Magistrates’ Court, during their induction Court Officers participate in a dedicated session </w:t>
      </w:r>
      <w:r w:rsidR="00EB418E" w:rsidRPr="00647F6A">
        <w:t xml:space="preserve">on </w:t>
      </w:r>
      <w:r w:rsidRPr="00647F6A">
        <w:t xml:space="preserve">sexual harassment.  </w:t>
      </w:r>
      <w:r w:rsidR="00263520" w:rsidRPr="00647F6A">
        <w:rPr>
          <w:lang w:val="en-US"/>
        </w:rPr>
        <w:t xml:space="preserve">The content of those sessions is </w:t>
      </w:r>
      <w:proofErr w:type="spellStart"/>
      <w:r w:rsidR="00263520" w:rsidRPr="00647F6A">
        <w:rPr>
          <w:lang w:val="en-US"/>
        </w:rPr>
        <w:t>summarised</w:t>
      </w:r>
      <w:proofErr w:type="spellEnd"/>
      <w:r w:rsidR="00263520" w:rsidRPr="00647F6A">
        <w:rPr>
          <w:lang w:val="en-US"/>
        </w:rPr>
        <w:t xml:space="preserve"> at [</w:t>
      </w:r>
      <w:r w:rsidR="009677AA" w:rsidRPr="00647F6A">
        <w:rPr>
          <w:lang w:val="en-US"/>
        </w:rPr>
        <w:fldChar w:fldCharType="begin"/>
      </w:r>
      <w:r w:rsidR="009677AA" w:rsidRPr="00647F6A">
        <w:rPr>
          <w:lang w:val="en-US"/>
        </w:rPr>
        <w:instrText xml:space="preserve"> REF _Ref108731182 \r \h  \* MERGEFORMAT </w:instrText>
      </w:r>
      <w:r w:rsidR="009677AA" w:rsidRPr="00647F6A">
        <w:rPr>
          <w:lang w:val="en-US"/>
        </w:rPr>
      </w:r>
      <w:r w:rsidR="009677AA" w:rsidRPr="00647F6A">
        <w:rPr>
          <w:lang w:val="en-US"/>
        </w:rPr>
        <w:fldChar w:fldCharType="separate"/>
      </w:r>
      <w:r w:rsidR="00CF093C">
        <w:rPr>
          <w:lang w:val="en-US"/>
        </w:rPr>
        <w:t>315</w:t>
      </w:r>
      <w:r w:rsidR="009677AA" w:rsidRPr="00647F6A">
        <w:rPr>
          <w:lang w:val="en-US"/>
        </w:rPr>
        <w:fldChar w:fldCharType="end"/>
      </w:r>
      <w:r w:rsidR="00263520" w:rsidRPr="00647F6A">
        <w:rPr>
          <w:lang w:val="en-US"/>
        </w:rPr>
        <w:t>] above.</w:t>
      </w:r>
      <w:bookmarkEnd w:id="119"/>
    </w:p>
    <w:p w14:paraId="2E287F1C" w14:textId="5ED81FAF" w:rsidR="005B038A" w:rsidRPr="00647F6A" w:rsidRDefault="005B038A" w:rsidP="00647F6A">
      <w:pPr>
        <w:pStyle w:val="ListNumber2"/>
        <w:spacing w:before="240"/>
      </w:pPr>
      <w:r w:rsidRPr="00647F6A">
        <w:t xml:space="preserve"> In our view, the Magistrates’ Court </w:t>
      </w:r>
      <w:r w:rsidR="002169B2" w:rsidRPr="00647F6A">
        <w:t xml:space="preserve">approach </w:t>
      </w:r>
      <w:r w:rsidRPr="00647F6A">
        <w:t>in the induction of Court Officers is an effective means of raising the topic of sexual harassment and the risk factors particular to a Court/Tribunal environment</w:t>
      </w:r>
      <w:r w:rsidR="002169B2" w:rsidRPr="00647F6A">
        <w:t>.</w:t>
      </w:r>
      <w:r w:rsidRPr="00647F6A">
        <w:t xml:space="preserve"> </w:t>
      </w:r>
      <w:r w:rsidR="002169B2" w:rsidRPr="00647F6A">
        <w:t xml:space="preserve"> It ensures </w:t>
      </w:r>
      <w:r w:rsidRPr="00647F6A">
        <w:t>that staff are told of relevant CSV policies and reporting options.</w:t>
      </w:r>
      <w:r w:rsidR="003E2238" w:rsidRPr="00647F6A">
        <w:rPr>
          <w:rStyle w:val="FootnoteReference"/>
        </w:rPr>
        <w:footnoteReference w:id="107"/>
      </w:r>
      <w:r w:rsidRPr="00647F6A">
        <w:t xml:space="preserve">  In our consultation with Court Officers, </w:t>
      </w:r>
      <w:r w:rsidR="002169B2" w:rsidRPr="00647F6A">
        <w:t xml:space="preserve">those </w:t>
      </w:r>
      <w:r w:rsidRPr="00647F6A">
        <w:t>who had attended the training session led by the Divisional Lawyers had positive impressions of that training and found it useful.</w:t>
      </w:r>
    </w:p>
    <w:p w14:paraId="66CB207C" w14:textId="77777777" w:rsidR="005B038A" w:rsidRPr="00647F6A" w:rsidRDefault="005B038A" w:rsidP="00647F6A">
      <w:pPr>
        <w:pStyle w:val="ListNumber2"/>
        <w:spacing w:before="240"/>
      </w:pPr>
      <w:r w:rsidRPr="00647F6A">
        <w:t xml:space="preserve">The staff member conducting this session should ideally be a person in a senior role within the jurisdiction, or a legally qualified person within the jurisdiction in a position broadly analogous to the Divisional Lawyers in the Magistrates’ Court who </w:t>
      </w:r>
      <w:r w:rsidRPr="00647F6A">
        <w:lastRenderedPageBreak/>
        <w:t xml:space="preserve">conduct the training of Court Officers on this topic.  In our view, the sessions would best be conducted with small groups of incoming staff members soon after their commencement.  </w:t>
      </w:r>
    </w:p>
    <w:p w14:paraId="19AA1FD3" w14:textId="36513C3D" w:rsidR="005B038A" w:rsidRPr="00647F6A" w:rsidRDefault="00CF7810" w:rsidP="00647F6A">
      <w:pPr>
        <w:pStyle w:val="ListNumber2"/>
        <w:spacing w:before="240"/>
      </w:pPr>
      <w:r w:rsidRPr="00647F6A">
        <w:rPr>
          <w:lang w:val="en-US"/>
        </w:rPr>
        <w:t xml:space="preserve">The discussion should address the topics currently addressed in the training of Magistrates’ Court Officers </w:t>
      </w:r>
      <w:proofErr w:type="spellStart"/>
      <w:r w:rsidRPr="00647F6A">
        <w:rPr>
          <w:lang w:val="en-US"/>
        </w:rPr>
        <w:t>summarised</w:t>
      </w:r>
      <w:proofErr w:type="spellEnd"/>
      <w:r w:rsidRPr="00647F6A">
        <w:rPr>
          <w:lang w:val="en-US"/>
        </w:rPr>
        <w:t xml:space="preserve"> at [</w:t>
      </w:r>
      <w:r w:rsidRPr="00647F6A">
        <w:rPr>
          <w:lang w:val="en-US"/>
        </w:rPr>
        <w:fldChar w:fldCharType="begin"/>
      </w:r>
      <w:r w:rsidRPr="00647F6A">
        <w:rPr>
          <w:lang w:val="en-US"/>
        </w:rPr>
        <w:instrText xml:space="preserve"> REF _Ref108731182 \r \h  \* MERGEFORMAT </w:instrText>
      </w:r>
      <w:r w:rsidRPr="00647F6A">
        <w:rPr>
          <w:lang w:val="en-US"/>
        </w:rPr>
      </w:r>
      <w:r w:rsidRPr="00647F6A">
        <w:rPr>
          <w:lang w:val="en-US"/>
        </w:rPr>
        <w:fldChar w:fldCharType="separate"/>
      </w:r>
      <w:r w:rsidR="00CF093C">
        <w:rPr>
          <w:lang w:val="en-US"/>
        </w:rPr>
        <w:t>315</w:t>
      </w:r>
      <w:r w:rsidRPr="00647F6A">
        <w:rPr>
          <w:lang w:val="en-US"/>
        </w:rPr>
        <w:fldChar w:fldCharType="end"/>
      </w:r>
      <w:r w:rsidRPr="00647F6A">
        <w:rPr>
          <w:lang w:val="en-US"/>
        </w:rPr>
        <w:t>] above, and be accompanied by a document addressing those matters, a summary of CSV policies, and instructions on how to access those policies</w:t>
      </w:r>
      <w:r w:rsidR="00C34AF9" w:rsidRPr="00647F6A">
        <w:rPr>
          <w:lang w:val="en-US"/>
        </w:rPr>
        <w:t xml:space="preserve">.  </w:t>
      </w:r>
      <w:r w:rsidR="005B038A" w:rsidRPr="00647F6A">
        <w:t xml:space="preserve">In addition, the discussion should: </w:t>
      </w:r>
    </w:p>
    <w:p w14:paraId="2E938EE9" w14:textId="77777777" w:rsidR="005B038A" w:rsidRPr="00647F6A" w:rsidRDefault="005B038A" w:rsidP="00647F6A">
      <w:pPr>
        <w:pStyle w:val="ListNumber3"/>
      </w:pPr>
      <w:r w:rsidRPr="00647F6A">
        <w:t xml:space="preserve">note that CSV as employer has a responsibility to a safe working </w:t>
      </w:r>
      <w:proofErr w:type="gramStart"/>
      <w:r w:rsidRPr="00647F6A">
        <w:t>environment;</w:t>
      </w:r>
      <w:proofErr w:type="gramEnd"/>
      <w:r w:rsidRPr="00647F6A">
        <w:t xml:space="preserve"> </w:t>
      </w:r>
    </w:p>
    <w:p w14:paraId="6DDE4F64" w14:textId="77777777" w:rsidR="005B038A" w:rsidRPr="00647F6A" w:rsidRDefault="005B038A" w:rsidP="00647F6A">
      <w:pPr>
        <w:pStyle w:val="ListNumber3"/>
      </w:pPr>
      <w:r w:rsidRPr="00647F6A">
        <w:t xml:space="preserve">refer to any statements made by the relevant head of jurisdiction concerning the determination of the jurisdiction to eliminate sexual </w:t>
      </w:r>
      <w:proofErr w:type="gramStart"/>
      <w:r w:rsidRPr="00647F6A">
        <w:t>harassment;</w:t>
      </w:r>
      <w:proofErr w:type="gramEnd"/>
    </w:p>
    <w:p w14:paraId="0498ABDD" w14:textId="16FDA8C1" w:rsidR="005B038A" w:rsidRPr="00647F6A" w:rsidRDefault="00B51349" w:rsidP="00647F6A">
      <w:pPr>
        <w:pStyle w:val="ListNumber3"/>
      </w:pPr>
      <w:r w:rsidRPr="00647F6A">
        <w:rPr>
          <w:lang w:val="en-US"/>
        </w:rPr>
        <w:t xml:space="preserve">refer to the availability of the staff judge (or judges) as a point of contact (if </w:t>
      </w:r>
      <w:r w:rsidRPr="00995387">
        <w:rPr>
          <w:b/>
          <w:bCs/>
          <w:lang w:val="en-US"/>
        </w:rPr>
        <w:t xml:space="preserve">Recommendation </w:t>
      </w:r>
      <w:r w:rsidRPr="00995387">
        <w:rPr>
          <w:b/>
          <w:bCs/>
          <w:lang w:val="en-US"/>
        </w:rPr>
        <w:fldChar w:fldCharType="begin"/>
      </w:r>
      <w:r w:rsidRPr="00995387">
        <w:rPr>
          <w:b/>
          <w:bCs/>
          <w:lang w:val="en-US"/>
        </w:rPr>
        <w:instrText xml:space="preserve"> REF _Ref108729528 \r \h  \* MERGEFORMAT </w:instrText>
      </w:r>
      <w:r w:rsidRPr="00995387">
        <w:rPr>
          <w:b/>
          <w:bCs/>
          <w:lang w:val="en-US"/>
        </w:rPr>
      </w:r>
      <w:r w:rsidRPr="00995387">
        <w:rPr>
          <w:b/>
          <w:bCs/>
          <w:lang w:val="en-US"/>
        </w:rPr>
        <w:fldChar w:fldCharType="separate"/>
      </w:r>
      <w:r w:rsidR="00CF093C">
        <w:rPr>
          <w:b/>
          <w:bCs/>
          <w:lang w:val="en-US"/>
        </w:rPr>
        <w:t>4</w:t>
      </w:r>
      <w:r w:rsidRPr="00995387">
        <w:rPr>
          <w:b/>
          <w:bCs/>
          <w:lang w:val="en-US"/>
        </w:rPr>
        <w:fldChar w:fldCharType="end"/>
      </w:r>
      <w:r w:rsidRPr="00647F6A">
        <w:rPr>
          <w:lang w:val="en-US"/>
        </w:rPr>
        <w:t xml:space="preserve"> is adopted);</w:t>
      </w:r>
      <w:r w:rsidR="005B038A" w:rsidRPr="00647F6A">
        <w:t xml:space="preserve"> and</w:t>
      </w:r>
    </w:p>
    <w:p w14:paraId="7005EC90" w14:textId="53EA1C8C" w:rsidR="005B038A" w:rsidRPr="00647F6A" w:rsidRDefault="005B038A" w:rsidP="00647F6A">
      <w:pPr>
        <w:pStyle w:val="ListNumber3"/>
      </w:pPr>
      <w:r w:rsidRPr="00647F6A">
        <w:t xml:space="preserve">note and explain the policy of the relevant jurisdiction on the transfer of staff where there is a breakdown in the relationship between judicial staff and a judicial officer (see </w:t>
      </w:r>
      <w:r w:rsidRPr="00647F6A">
        <w:rPr>
          <w:b/>
          <w:bCs/>
        </w:rPr>
        <w:t>Recommendation</w:t>
      </w:r>
      <w:r w:rsidR="00647F6A">
        <w:rPr>
          <w:b/>
          <w:bCs/>
        </w:rPr>
        <w:t xml:space="preserve"> </w:t>
      </w:r>
      <w:r w:rsidR="004E1B8B" w:rsidRPr="00647F6A">
        <w:rPr>
          <w:b/>
          <w:bCs/>
        </w:rPr>
        <w:fldChar w:fldCharType="begin"/>
      </w:r>
      <w:r w:rsidR="004E1B8B" w:rsidRPr="00647F6A">
        <w:rPr>
          <w:b/>
          <w:bCs/>
        </w:rPr>
        <w:instrText xml:space="preserve"> REF _Ref108727445 \r \h </w:instrText>
      </w:r>
      <w:r w:rsidR="00647F6A" w:rsidRPr="00647F6A">
        <w:rPr>
          <w:b/>
          <w:bCs/>
        </w:rPr>
        <w:instrText xml:space="preserve"> \* MERGEFORMAT </w:instrText>
      </w:r>
      <w:r w:rsidR="004E1B8B" w:rsidRPr="00647F6A">
        <w:rPr>
          <w:b/>
          <w:bCs/>
        </w:rPr>
      </w:r>
      <w:r w:rsidR="004E1B8B" w:rsidRPr="00647F6A">
        <w:rPr>
          <w:b/>
          <w:bCs/>
        </w:rPr>
        <w:fldChar w:fldCharType="separate"/>
      </w:r>
      <w:r w:rsidR="00CF093C">
        <w:rPr>
          <w:b/>
          <w:bCs/>
        </w:rPr>
        <w:t>15</w:t>
      </w:r>
      <w:r w:rsidR="004E1B8B" w:rsidRPr="00647F6A">
        <w:rPr>
          <w:b/>
          <w:bCs/>
        </w:rPr>
        <w:fldChar w:fldCharType="end"/>
      </w:r>
      <w:r w:rsidRPr="00647F6A">
        <w:t>).</w:t>
      </w:r>
    </w:p>
    <w:p w14:paraId="1980DC8E" w14:textId="485A13A2" w:rsidR="006D3050" w:rsidRDefault="007273E2" w:rsidP="00D277FD">
      <w:pPr>
        <w:pStyle w:val="Heading5"/>
        <w:keepNext/>
      </w:pPr>
      <w:bookmarkStart w:id="120" w:name="_Ref110931494"/>
      <w:r>
        <w:t xml:space="preserve">We recommend that </w:t>
      </w:r>
      <w:r w:rsidRPr="00E64D0C">
        <w:t>peer support mechanisms</w:t>
      </w:r>
      <w:r>
        <w:t xml:space="preserve"> / buddy system</w:t>
      </w:r>
      <w:r w:rsidR="00431D37">
        <w:t>s</w:t>
      </w:r>
      <w:r>
        <w:t xml:space="preserve"> should be introduced where not yet in place, and social interactions for chambers staff, particularly associates, facilitated</w:t>
      </w:r>
      <w:r w:rsidR="00647F6A">
        <w:t>.</w:t>
      </w:r>
      <w:r w:rsidR="00DE4503">
        <w:rPr>
          <w:rStyle w:val="FootnoteReference"/>
        </w:rPr>
        <w:footnoteReference w:id="108"/>
      </w:r>
      <w:bookmarkEnd w:id="120"/>
    </w:p>
    <w:p w14:paraId="15A74809" w14:textId="79EE09F5" w:rsidR="00D72018" w:rsidRPr="007273E2" w:rsidRDefault="00514EB1" w:rsidP="00647F6A">
      <w:pPr>
        <w:pStyle w:val="ListNumber2"/>
        <w:spacing w:before="240"/>
      </w:pPr>
      <w:r w:rsidRPr="007273E2">
        <w:t xml:space="preserve">We recommend that the courts and VCAT design and implement a practice of putting newly recruited </w:t>
      </w:r>
      <w:r w:rsidR="00707B92" w:rsidRPr="007273E2">
        <w:t xml:space="preserve">associates </w:t>
      </w:r>
      <w:r w:rsidRPr="007273E2">
        <w:t>(</w:t>
      </w:r>
      <w:r w:rsidR="00707B92" w:rsidRPr="007273E2">
        <w:t xml:space="preserve">and judicial staff who work </w:t>
      </w:r>
      <w:r w:rsidRPr="007273E2">
        <w:t xml:space="preserve">closely </w:t>
      </w:r>
      <w:r w:rsidR="00707B92" w:rsidRPr="007273E2">
        <w:t xml:space="preserve">with </w:t>
      </w:r>
      <w:r w:rsidRPr="007273E2">
        <w:t>judges)</w:t>
      </w:r>
      <w:r w:rsidR="00513F49" w:rsidRPr="007273E2">
        <w:t xml:space="preserve"> in touch with a more experienced employee working in an analogous position.  Further, opportunities for social interaction amongst chambers staff should be provided.</w:t>
      </w:r>
      <w:r w:rsidRPr="007273E2">
        <w:t xml:space="preserve"> </w:t>
      </w:r>
    </w:p>
    <w:p w14:paraId="244A0A2B" w14:textId="0CEC7044" w:rsidR="005B038A" w:rsidRPr="007810CA" w:rsidRDefault="005B038A" w:rsidP="00647F6A">
      <w:pPr>
        <w:pStyle w:val="ListNumber2"/>
        <w:spacing w:before="240"/>
      </w:pPr>
      <w:r w:rsidRPr="007810CA">
        <w:t xml:space="preserve">CSV has </w:t>
      </w:r>
      <w:r w:rsidR="008E0C6A" w:rsidRPr="007810CA">
        <w:t xml:space="preserve">recently </w:t>
      </w:r>
      <w:r w:rsidRPr="007810CA">
        <w:t xml:space="preserve">implemented both a system of “contact officers” (who are CSV staff in each court and tribunal </w:t>
      </w:r>
      <w:r w:rsidR="002637D6" w:rsidRPr="007810CA">
        <w:t xml:space="preserve">trained </w:t>
      </w:r>
      <w:r w:rsidRPr="007810CA">
        <w:t xml:space="preserve">to advise CSV employees on matters concerning sexual harassment and misconduct and reporting options) and “peer supporters” (who are trained CSV employees in each jurisdiction </w:t>
      </w:r>
      <w:r w:rsidR="002637D6" w:rsidRPr="007810CA">
        <w:t xml:space="preserve">whom </w:t>
      </w:r>
      <w:r w:rsidRPr="007810CA">
        <w:t xml:space="preserve">employees </w:t>
      </w:r>
      <w:r w:rsidR="002637D6" w:rsidRPr="007810CA">
        <w:t xml:space="preserve">can contact for </w:t>
      </w:r>
      <w:r w:rsidRPr="007810CA">
        <w:t xml:space="preserve">social and emotional </w:t>
      </w:r>
      <w:proofErr w:type="gramStart"/>
      <w:r w:rsidRPr="007810CA">
        <w:t>assistance</w:t>
      </w:r>
      <w:r w:rsidR="00F52F3E">
        <w:t>, and</w:t>
      </w:r>
      <w:proofErr w:type="gramEnd"/>
      <w:r w:rsidR="00F52F3E">
        <w:t xml:space="preserve"> </w:t>
      </w:r>
      <w:r w:rsidR="002637D6" w:rsidRPr="007810CA">
        <w:t xml:space="preserve">can </w:t>
      </w:r>
      <w:r w:rsidRPr="007810CA">
        <w:t xml:space="preserve">direct staff to the right resources to assist them).  </w:t>
      </w:r>
    </w:p>
    <w:p w14:paraId="1A3D8D69" w14:textId="3268D634" w:rsidR="00403F39" w:rsidRDefault="002104EC" w:rsidP="00647F6A">
      <w:pPr>
        <w:pStyle w:val="ListNumber2"/>
        <w:spacing w:before="240"/>
      </w:pPr>
      <w:r w:rsidRPr="007810CA">
        <w:lastRenderedPageBreak/>
        <w:t xml:space="preserve">Some courts already have a formal buddy system.  </w:t>
      </w:r>
      <w:r w:rsidR="0010553B" w:rsidRPr="007810CA">
        <w:t xml:space="preserve">We </w:t>
      </w:r>
      <w:r w:rsidR="006630A7" w:rsidRPr="007810CA">
        <w:t xml:space="preserve">heard that Court Officers in the Magistrates’ Court are assigned mentors at the VPS3 level (that is, one level higher than the VPS2 Court Officers).  Court Officers are encouraged to build a relationship with their mentor.  In the Children’s Court, staff are encouraged to build relationships with more senior staff in the Registry, and there are monthly </w:t>
      </w:r>
      <w:proofErr w:type="gramStart"/>
      <w:r w:rsidR="006630A7" w:rsidRPr="007810CA">
        <w:t>externally-facilitated</w:t>
      </w:r>
      <w:proofErr w:type="gramEnd"/>
      <w:r w:rsidR="006630A7" w:rsidRPr="007810CA">
        <w:t xml:space="preserve"> sessions in which staff are able to talk about the sometimes challenging nature of their work.</w:t>
      </w:r>
    </w:p>
    <w:p w14:paraId="280A5EF2" w14:textId="6BB1ACC2" w:rsidR="002104EC" w:rsidRPr="007810CA" w:rsidRDefault="006630A7" w:rsidP="00647F6A">
      <w:pPr>
        <w:pStyle w:val="ListNumber2"/>
        <w:spacing w:before="240"/>
      </w:pPr>
      <w:r w:rsidRPr="007810CA">
        <w:t xml:space="preserve">In the Supreme Court, we heard that incoming associates are assigned a mentor who is a more senior associate.  However, the associates reported that the existing arrangements were not sufficiently structured. </w:t>
      </w:r>
      <w:r w:rsidR="00364B05" w:rsidRPr="007810CA">
        <w:t xml:space="preserve"> </w:t>
      </w:r>
      <w:r w:rsidRPr="007810CA">
        <w:t xml:space="preserve">The associates emphasised that strong relationships </w:t>
      </w:r>
      <w:r w:rsidR="008E0C6A" w:rsidRPr="007810CA">
        <w:t xml:space="preserve">usually </w:t>
      </w:r>
      <w:r w:rsidRPr="007810CA">
        <w:t>develop within the Court “organically” (that is, otherwise than through existing mentoring process).</w:t>
      </w:r>
    </w:p>
    <w:p w14:paraId="4774CAEB" w14:textId="1CD25D42" w:rsidR="005B038A" w:rsidRPr="005902FD" w:rsidRDefault="008E0C6A" w:rsidP="00647F6A">
      <w:pPr>
        <w:pStyle w:val="ListNumber2"/>
        <w:spacing w:before="240"/>
      </w:pPr>
      <w:r w:rsidRPr="005902FD">
        <w:t xml:space="preserve">Therefore, as well as a formal buddy system, </w:t>
      </w:r>
      <w:r w:rsidR="009B4B1A" w:rsidRPr="005902FD">
        <w:t xml:space="preserve">the courts should encourage </w:t>
      </w:r>
      <w:r w:rsidR="005B038A" w:rsidRPr="005902FD">
        <w:t xml:space="preserve">associates and </w:t>
      </w:r>
      <w:r w:rsidRPr="005902FD">
        <w:t xml:space="preserve">similar judicial </w:t>
      </w:r>
      <w:r w:rsidR="005B038A" w:rsidRPr="005902FD">
        <w:t xml:space="preserve">staff </w:t>
      </w:r>
      <w:r w:rsidR="00287175" w:rsidRPr="005902FD">
        <w:t xml:space="preserve">to </w:t>
      </w:r>
      <w:r w:rsidR="005B038A" w:rsidRPr="005902FD">
        <w:t xml:space="preserve">form </w:t>
      </w:r>
      <w:r w:rsidR="000609B0" w:rsidRPr="005902FD">
        <w:t xml:space="preserve">peer </w:t>
      </w:r>
      <w:r w:rsidR="005B038A" w:rsidRPr="005902FD">
        <w:t xml:space="preserve">relationships </w:t>
      </w:r>
      <w:r w:rsidR="000609B0" w:rsidRPr="005902FD">
        <w:t xml:space="preserve">with their colleagues.  This will </w:t>
      </w:r>
      <w:r w:rsidR="005B038A" w:rsidRPr="005902FD">
        <w:t xml:space="preserve">reduce the feelings of isolation which can develop among </w:t>
      </w:r>
      <w:r w:rsidR="000609B0" w:rsidRPr="005902FD">
        <w:t xml:space="preserve">such </w:t>
      </w:r>
      <w:r w:rsidR="005B038A" w:rsidRPr="005902FD">
        <w:t xml:space="preserve">staff </w:t>
      </w:r>
      <w:r w:rsidR="00CA59D3" w:rsidRPr="005902FD">
        <w:t xml:space="preserve">(particularly </w:t>
      </w:r>
      <w:r w:rsidR="005B038A" w:rsidRPr="005902FD">
        <w:t>within the “siloed” geographical environment of Supreme Court chambers</w:t>
      </w:r>
      <w:r w:rsidR="000609B0" w:rsidRPr="005902FD">
        <w:t>)</w:t>
      </w:r>
      <w:r w:rsidR="005B038A" w:rsidRPr="005902FD">
        <w:t xml:space="preserve"> which </w:t>
      </w:r>
      <w:r w:rsidR="00CA59D3" w:rsidRPr="005902FD">
        <w:t xml:space="preserve">constitutes a risk factor for </w:t>
      </w:r>
      <w:r w:rsidR="005B038A" w:rsidRPr="005902FD">
        <w:t>sexual harassment</w:t>
      </w:r>
      <w:r w:rsidR="00CA59D3" w:rsidRPr="005902FD">
        <w:t>.</w:t>
      </w:r>
      <w:r w:rsidR="005B038A" w:rsidRPr="005902FD">
        <w:t xml:space="preserve">  </w:t>
      </w:r>
      <w:r w:rsidR="00C768DC" w:rsidRPr="005902FD">
        <w:t xml:space="preserve">Two </w:t>
      </w:r>
      <w:r w:rsidR="005B038A" w:rsidRPr="005902FD">
        <w:t xml:space="preserve">judicial staff members </w:t>
      </w:r>
      <w:r w:rsidR="00C768DC" w:rsidRPr="005902FD">
        <w:t xml:space="preserve">told us that they discussed </w:t>
      </w:r>
      <w:r w:rsidR="005B038A" w:rsidRPr="005902FD">
        <w:t xml:space="preserve">reporting </w:t>
      </w:r>
      <w:r w:rsidR="00C768DC" w:rsidRPr="005902FD">
        <w:t xml:space="preserve">the </w:t>
      </w:r>
      <w:r w:rsidR="005B038A" w:rsidRPr="005902FD">
        <w:t>options available to them, weigh</w:t>
      </w:r>
      <w:r w:rsidR="00C768DC" w:rsidRPr="005902FD">
        <w:t>ing</w:t>
      </w:r>
      <w:r w:rsidR="005B038A" w:rsidRPr="005902FD">
        <w:t xml:space="preserve"> up the benefits and disadvantages</w:t>
      </w:r>
      <w:r w:rsidR="00C768DC" w:rsidRPr="005902FD">
        <w:t xml:space="preserve"> on </w:t>
      </w:r>
      <w:r w:rsidR="005B038A" w:rsidRPr="005902FD">
        <w:t xml:space="preserve">whether to report inappropriate conduct by a judicial officer.  </w:t>
      </w:r>
      <w:r w:rsidR="00DC0557" w:rsidRPr="005902FD">
        <w:t xml:space="preserve">This illustrated the significant mutual support drawn from trusted colleagues.  </w:t>
      </w:r>
      <w:r w:rsidR="007E21EF" w:rsidRPr="005902FD">
        <w:t>See</w:t>
      </w:r>
      <w:r w:rsidR="00995387">
        <w:t> </w:t>
      </w:r>
      <w:r w:rsidR="00995387" w:rsidRPr="00995387">
        <w:rPr>
          <w:b/>
          <w:bCs/>
        </w:rPr>
        <w:t xml:space="preserve">Recommendation </w:t>
      </w:r>
      <w:r w:rsidR="007E21EF" w:rsidRPr="00995387">
        <w:rPr>
          <w:b/>
          <w:bCs/>
        </w:rPr>
        <w:fldChar w:fldCharType="begin"/>
      </w:r>
      <w:r w:rsidR="007E21EF" w:rsidRPr="00995387">
        <w:rPr>
          <w:b/>
          <w:bCs/>
        </w:rPr>
        <w:instrText xml:space="preserve"> REF _Ref108976717 \r \h </w:instrText>
      </w:r>
      <w:r w:rsidR="005902FD" w:rsidRPr="00995387">
        <w:rPr>
          <w:b/>
          <w:bCs/>
        </w:rPr>
        <w:instrText xml:space="preserve"> \* MERGEFORMAT </w:instrText>
      </w:r>
      <w:r w:rsidR="007E21EF" w:rsidRPr="00995387">
        <w:rPr>
          <w:b/>
          <w:bCs/>
        </w:rPr>
      </w:r>
      <w:r w:rsidR="007E21EF" w:rsidRPr="00995387">
        <w:rPr>
          <w:b/>
          <w:bCs/>
        </w:rPr>
        <w:fldChar w:fldCharType="separate"/>
      </w:r>
      <w:r w:rsidR="00CF093C">
        <w:rPr>
          <w:b/>
          <w:bCs/>
        </w:rPr>
        <w:t>12</w:t>
      </w:r>
      <w:r w:rsidR="007E21EF" w:rsidRPr="00995387">
        <w:rPr>
          <w:b/>
          <w:bCs/>
        </w:rPr>
        <w:fldChar w:fldCharType="end"/>
      </w:r>
      <w:r w:rsidR="007E21EF" w:rsidRPr="005902FD">
        <w:t xml:space="preserve"> above.</w:t>
      </w:r>
    </w:p>
    <w:p w14:paraId="66997528" w14:textId="018C234E" w:rsidR="005B038A" w:rsidRDefault="005B038A" w:rsidP="00647F6A">
      <w:pPr>
        <w:pStyle w:val="ListNumber2"/>
        <w:spacing w:before="240"/>
      </w:pPr>
      <w:r>
        <w:t xml:space="preserve">During our consultations, </w:t>
      </w:r>
      <w:r w:rsidR="00DC0557">
        <w:t>we heard</w:t>
      </w:r>
      <w:r w:rsidR="005B18E0">
        <w:t xml:space="preserve"> that judicial staff</w:t>
      </w:r>
      <w:r w:rsidR="00DC0557">
        <w:t xml:space="preserve"> </w:t>
      </w:r>
      <w:r>
        <w:t>(particularly associates and Court Officers) were</w:t>
      </w:r>
      <w:r w:rsidR="00CA59D3">
        <w:t>,</w:t>
      </w:r>
      <w:r>
        <w:t xml:space="preserve"> </w:t>
      </w:r>
      <w:proofErr w:type="gramStart"/>
      <w:r>
        <w:t>on the whole</w:t>
      </w:r>
      <w:proofErr w:type="gramEnd"/>
      <w:r w:rsidR="00CA59D3">
        <w:t>, already</w:t>
      </w:r>
      <w:r>
        <w:t xml:space="preserve"> a collegiate group, and that that collegiality best develops organically</w:t>
      </w:r>
      <w:r w:rsidR="003B58AD">
        <w:t xml:space="preserve">. </w:t>
      </w:r>
      <w:r>
        <w:t xml:space="preserve"> </w:t>
      </w:r>
      <w:r w:rsidR="00DC0557">
        <w:t>However</w:t>
      </w:r>
      <w:r>
        <w:t xml:space="preserve">, there is still merit to </w:t>
      </w:r>
      <w:r w:rsidR="003B58AD">
        <w:t xml:space="preserve">formal buddy or mentoring </w:t>
      </w:r>
      <w:r>
        <w:t xml:space="preserve">programs.  The </w:t>
      </w:r>
      <w:r w:rsidR="006A0592">
        <w:t xml:space="preserve">spontaneous </w:t>
      </w:r>
      <w:r>
        <w:t>development of collegiality depends in large part upon the initiative of judicial staff themselves</w:t>
      </w:r>
      <w:r w:rsidR="003B58AD">
        <w:t>.</w:t>
      </w:r>
      <w:r>
        <w:t xml:space="preserve"> </w:t>
      </w:r>
      <w:r w:rsidR="003B58AD">
        <w:t xml:space="preserve"> Less </w:t>
      </w:r>
      <w:r w:rsidR="00ED4A11">
        <w:t xml:space="preserve">gregarious </w:t>
      </w:r>
      <w:r>
        <w:t xml:space="preserve">judicial staff, particularly associates </w:t>
      </w:r>
      <w:r w:rsidR="001C5168">
        <w:t xml:space="preserve">working </w:t>
      </w:r>
      <w:r>
        <w:t xml:space="preserve">in chambers, experience feelings of isolation.  </w:t>
      </w:r>
      <w:r w:rsidR="00384755">
        <w:t xml:space="preserve">The difficulty of making friends organically has increased </w:t>
      </w:r>
      <w:r w:rsidR="001C5168">
        <w:t xml:space="preserve">recently </w:t>
      </w:r>
      <w:r w:rsidR="00384755">
        <w:t xml:space="preserve">due to the pandemic restrictions and the move towards virtual hearings and attendance.  A recently appointed County Court associate </w:t>
      </w:r>
      <w:r w:rsidR="001C5168">
        <w:t xml:space="preserve">reported that he </w:t>
      </w:r>
      <w:r w:rsidR="00384755">
        <w:t xml:space="preserve">found </w:t>
      </w:r>
      <w:r w:rsidR="001C5168">
        <w:t xml:space="preserve">his </w:t>
      </w:r>
      <w:r w:rsidR="00384755">
        <w:t xml:space="preserve">assigned buddy very helpful.  </w:t>
      </w:r>
      <w:r w:rsidR="00134D44">
        <w:t xml:space="preserve">Case studies </w:t>
      </w:r>
      <w:r w:rsidR="00384755" w:rsidRPr="00647F6A">
        <w:t>illustrate</w:t>
      </w:r>
      <w:r w:rsidR="00384755">
        <w:t xml:space="preserve"> that an associate who is the victim of inappropriate conduct may be isolated from other associates by </w:t>
      </w:r>
      <w:r w:rsidR="001A2271">
        <w:t xml:space="preserve">the reason of that </w:t>
      </w:r>
      <w:r w:rsidR="0042478D">
        <w:t xml:space="preserve">very </w:t>
      </w:r>
      <w:r w:rsidR="001A2271">
        <w:t xml:space="preserve">misconduct.  </w:t>
      </w:r>
      <w:r w:rsidR="0042478D">
        <w:t xml:space="preserve">Perpetrators of misconduct may be controlling and deliberately </w:t>
      </w:r>
      <w:r w:rsidR="0042478D">
        <w:lastRenderedPageBreak/>
        <w:t>forbid targeted staff to associate with others.  We</w:t>
      </w:r>
      <w:r w:rsidR="00D277FD">
        <w:t> </w:t>
      </w:r>
      <w:r w:rsidR="0042478D">
        <w:t xml:space="preserve">refer to two instances of such behaviour above.  </w:t>
      </w:r>
      <w:r w:rsidR="001A2271">
        <w:t>In</w:t>
      </w:r>
      <w:r w:rsidR="007D12EB">
        <w:t> </w:t>
      </w:r>
      <w:r w:rsidR="001A2271">
        <w:t>such situations, an assigned buddy could play a positive role.</w:t>
      </w:r>
    </w:p>
    <w:p w14:paraId="5F0BF760" w14:textId="03558A40" w:rsidR="005B038A" w:rsidRDefault="00C345B3" w:rsidP="00647F6A">
      <w:pPr>
        <w:pStyle w:val="ListNumber2"/>
        <w:spacing w:before="240"/>
      </w:pPr>
      <w:r>
        <w:t>The buddy system</w:t>
      </w:r>
      <w:r w:rsidR="0086408C">
        <w:t xml:space="preserve"> </w:t>
      </w:r>
      <w:r w:rsidR="005B038A">
        <w:t xml:space="preserve">should be tailored to each jurisdiction and </w:t>
      </w:r>
      <w:r>
        <w:t xml:space="preserve">should </w:t>
      </w:r>
      <w:r w:rsidR="005B038A">
        <w:t>be developed by Courts Services Victoria in consultation with senior administrators in each jurisdiction</w:t>
      </w:r>
      <w:r w:rsidR="00AB6163">
        <w:t>.</w:t>
      </w:r>
      <w:r w:rsidR="005B038A">
        <w:t xml:space="preserve"> </w:t>
      </w:r>
      <w:r w:rsidR="00430124">
        <w:t xml:space="preserve"> In </w:t>
      </w:r>
      <w:r w:rsidR="005B038A">
        <w:t>our view</w:t>
      </w:r>
      <w:r w:rsidR="00430124">
        <w:t>, however,</w:t>
      </w:r>
      <w:r w:rsidR="005B038A">
        <w:t xml:space="preserve"> the following features</w:t>
      </w:r>
      <w:r w:rsidR="00430124">
        <w:t xml:space="preserve"> should be considered</w:t>
      </w:r>
      <w:r w:rsidR="005B038A">
        <w:t>:</w:t>
      </w:r>
    </w:p>
    <w:p w14:paraId="691E1190" w14:textId="6B6D54B6" w:rsidR="005B038A" w:rsidRPr="008E15FC" w:rsidRDefault="005B038A" w:rsidP="00647F6A">
      <w:pPr>
        <w:pStyle w:val="ListNumber3"/>
      </w:pPr>
      <w:r w:rsidRPr="008E15FC">
        <w:t xml:space="preserve">Court </w:t>
      </w:r>
      <w:r w:rsidR="00430124" w:rsidRPr="008E15FC">
        <w:t>personnel</w:t>
      </w:r>
      <w:r w:rsidR="00704B18">
        <w:rPr>
          <w:rFonts w:ascii="ZWAdobeF" w:hAnsi="ZWAdobeF" w:cs="ZWAdobeF"/>
          <w:sz w:val="2"/>
          <w:szCs w:val="2"/>
        </w:rPr>
        <w:t>134F</w:t>
      </w:r>
      <w:r w:rsidR="00D63AC3" w:rsidRPr="008E15FC">
        <w:rPr>
          <w:rStyle w:val="FootnoteReference"/>
          <w:b/>
          <w:bCs/>
        </w:rPr>
        <w:footnoteReference w:id="109"/>
      </w:r>
      <w:r w:rsidR="00D63AC3" w:rsidRPr="008E15FC">
        <w:t xml:space="preserve"> </w:t>
      </w:r>
      <w:r w:rsidR="00327C7D" w:rsidRPr="008E15FC">
        <w:t xml:space="preserve">should </w:t>
      </w:r>
      <w:r w:rsidRPr="008E15FC">
        <w:t xml:space="preserve">identify </w:t>
      </w:r>
      <w:r w:rsidR="00327C7D" w:rsidRPr="008E15FC">
        <w:t xml:space="preserve">a more </w:t>
      </w:r>
      <w:r w:rsidRPr="008E15FC">
        <w:t xml:space="preserve">experienced mentor for each incoming associate/judicial staff member who is to work in a primary relationship with a judicial </w:t>
      </w:r>
      <w:proofErr w:type="gramStart"/>
      <w:r w:rsidRPr="008E15FC">
        <w:t>officer;</w:t>
      </w:r>
      <w:proofErr w:type="gramEnd"/>
    </w:p>
    <w:p w14:paraId="4194AC89" w14:textId="7E991299" w:rsidR="005B038A" w:rsidRPr="008E15FC" w:rsidRDefault="005B038A" w:rsidP="00647F6A">
      <w:pPr>
        <w:pStyle w:val="ListNumber3"/>
      </w:pPr>
      <w:r w:rsidRPr="008E15FC">
        <w:t xml:space="preserve">the identified </w:t>
      </w:r>
      <w:r w:rsidR="00C345B3">
        <w:t>buddy</w:t>
      </w:r>
      <w:r w:rsidR="00C345B3" w:rsidRPr="008E15FC">
        <w:t xml:space="preserve"> </w:t>
      </w:r>
      <w:r w:rsidR="00327C7D" w:rsidRPr="008E15FC">
        <w:t xml:space="preserve">should ideally </w:t>
      </w:r>
      <w:r w:rsidRPr="008E15FC">
        <w:t xml:space="preserve">be a more experienced person in the same role as the </w:t>
      </w:r>
      <w:r w:rsidR="00C345B3">
        <w:t xml:space="preserve">recruit </w:t>
      </w:r>
      <w:r w:rsidRPr="008E15FC">
        <w:t>(for example, a senior associate)</w:t>
      </w:r>
      <w:r w:rsidR="00327C7D" w:rsidRPr="008E15FC">
        <w:t xml:space="preserve">.  In some cases, an </w:t>
      </w:r>
      <w:r w:rsidRPr="008E15FC">
        <w:t>experienced person in a different role, but who nevertheless works closely with judicial officers</w:t>
      </w:r>
      <w:r w:rsidR="00B0242A" w:rsidRPr="008E15FC">
        <w:t xml:space="preserve">, may be </w:t>
      </w:r>
      <w:proofErr w:type="gramStart"/>
      <w:r w:rsidR="00B0242A" w:rsidRPr="008E15FC">
        <w:t>appropriate</w:t>
      </w:r>
      <w:r w:rsidRPr="008E15FC">
        <w:t>;</w:t>
      </w:r>
      <w:proofErr w:type="gramEnd"/>
    </w:p>
    <w:p w14:paraId="7FABDAD5" w14:textId="0A34E493" w:rsidR="005B038A" w:rsidRPr="008E15FC" w:rsidRDefault="005B038A" w:rsidP="00647F6A">
      <w:pPr>
        <w:pStyle w:val="ListNumber3"/>
      </w:pPr>
      <w:r w:rsidRPr="008E15FC">
        <w:t xml:space="preserve">the incoming associate/judicial staff member should be </w:t>
      </w:r>
      <w:r w:rsidR="00B0242A" w:rsidRPr="008E15FC">
        <w:t xml:space="preserve">given the contact details </w:t>
      </w:r>
      <w:r w:rsidRPr="008E15FC">
        <w:t xml:space="preserve">of the selected </w:t>
      </w:r>
      <w:r w:rsidR="00C345B3">
        <w:t>buddy</w:t>
      </w:r>
      <w:r w:rsidRPr="008E15FC">
        <w:t>, and informed that they can contact that person with any queries about their work</w:t>
      </w:r>
      <w:r w:rsidR="003C048B">
        <w:t>,</w:t>
      </w:r>
      <w:r w:rsidR="00B0242A" w:rsidRPr="008E15FC">
        <w:t xml:space="preserve"> how </w:t>
      </w:r>
      <w:r w:rsidRPr="008E15FC">
        <w:t>the court or tribunal operates</w:t>
      </w:r>
      <w:r w:rsidR="00017A92">
        <w:t xml:space="preserve"> and social </w:t>
      </w:r>
      <w:proofErr w:type="gramStart"/>
      <w:r w:rsidR="00017A92">
        <w:t>contact</w:t>
      </w:r>
      <w:r w:rsidRPr="008E15FC">
        <w:t>;</w:t>
      </w:r>
      <w:proofErr w:type="gramEnd"/>
      <w:r w:rsidRPr="008E15FC">
        <w:t xml:space="preserve"> </w:t>
      </w:r>
    </w:p>
    <w:p w14:paraId="7EF72020" w14:textId="21865D6A" w:rsidR="005B038A" w:rsidRPr="005902FD" w:rsidRDefault="00017A92" w:rsidP="00647F6A">
      <w:pPr>
        <w:pStyle w:val="ListNumber3"/>
      </w:pPr>
      <w:r w:rsidRPr="005902FD">
        <w:t xml:space="preserve">the more experienced buddy </w:t>
      </w:r>
      <w:r w:rsidR="005B038A" w:rsidRPr="005902FD">
        <w:t xml:space="preserve">should be encouraged to contact their assigned </w:t>
      </w:r>
      <w:r w:rsidRPr="005902FD">
        <w:t xml:space="preserve">recruit </w:t>
      </w:r>
      <w:r w:rsidR="005B038A" w:rsidRPr="005902FD">
        <w:t xml:space="preserve">with an offer to set up short </w:t>
      </w:r>
      <w:r w:rsidRPr="005902FD">
        <w:t xml:space="preserve">catch ups </w:t>
      </w:r>
      <w:r w:rsidR="005B038A" w:rsidRPr="005902FD">
        <w:t xml:space="preserve">(whether in person or virtually), </w:t>
      </w:r>
      <w:r w:rsidRPr="005902FD">
        <w:t xml:space="preserve">commencing </w:t>
      </w:r>
      <w:r w:rsidR="005B038A" w:rsidRPr="005902FD">
        <w:t xml:space="preserve">within the first two weeks of the </w:t>
      </w:r>
      <w:r w:rsidR="001A0473" w:rsidRPr="005902FD">
        <w:t xml:space="preserve">recruit commencing </w:t>
      </w:r>
      <w:r w:rsidR="005B038A" w:rsidRPr="005902FD">
        <w:t xml:space="preserve">their </w:t>
      </w:r>
      <w:proofErr w:type="gramStart"/>
      <w:r w:rsidR="001A0473" w:rsidRPr="005902FD">
        <w:t>job</w:t>
      </w:r>
      <w:r w:rsidR="005B038A" w:rsidRPr="005902FD">
        <w:t>;</w:t>
      </w:r>
      <w:proofErr w:type="gramEnd"/>
    </w:p>
    <w:p w14:paraId="69986A7A" w14:textId="5109C8A3" w:rsidR="005B038A" w:rsidRDefault="001A0473" w:rsidP="00647F6A">
      <w:pPr>
        <w:pStyle w:val="ListNumber3"/>
      </w:pPr>
      <w:r>
        <w:t xml:space="preserve">the </w:t>
      </w:r>
      <w:r w:rsidR="00B6467D">
        <w:t xml:space="preserve">more experienced buddies </w:t>
      </w:r>
      <w:r w:rsidR="005B038A">
        <w:t xml:space="preserve">should be advised that their role is to </w:t>
      </w:r>
      <w:r w:rsidR="00B6467D">
        <w:t xml:space="preserve">keep in </w:t>
      </w:r>
      <w:r w:rsidR="005B038A">
        <w:t xml:space="preserve">contact </w:t>
      </w:r>
      <w:r w:rsidR="00B6467D">
        <w:t xml:space="preserve">with </w:t>
      </w:r>
      <w:r w:rsidR="005B038A">
        <w:t xml:space="preserve">their </w:t>
      </w:r>
      <w:r w:rsidR="00B6467D">
        <w:t xml:space="preserve">assigned recruit to discuss </w:t>
      </w:r>
      <w:r w:rsidR="005B038A">
        <w:t>what it is like to work at the relevant court or tribunal</w:t>
      </w:r>
      <w:r w:rsidR="00DE223D">
        <w:t xml:space="preserve"> where appropriate </w:t>
      </w:r>
      <w:r w:rsidR="005B038A">
        <w:t xml:space="preserve">about their own experiences at the </w:t>
      </w:r>
      <w:proofErr w:type="gramStart"/>
      <w:r w:rsidR="005B038A">
        <w:t>court</w:t>
      </w:r>
      <w:r w:rsidR="00DE223D">
        <w:t>;</w:t>
      </w:r>
      <w:proofErr w:type="gramEnd"/>
    </w:p>
    <w:p w14:paraId="1739B818" w14:textId="6031AC1A" w:rsidR="005B038A" w:rsidRDefault="00DE223D" w:rsidP="00647F6A">
      <w:pPr>
        <w:pStyle w:val="ListNumber3"/>
      </w:pPr>
      <w:r>
        <w:t xml:space="preserve">the experienced buddy </w:t>
      </w:r>
      <w:r w:rsidR="005B038A">
        <w:t>should be advised that their role does not include acting as a contact officer or to receive complaints about inappropriate conduct, but include</w:t>
      </w:r>
      <w:r>
        <w:t>s</w:t>
      </w:r>
      <w:r w:rsidR="005B038A">
        <w:t xml:space="preserve"> pointing the </w:t>
      </w:r>
      <w:r>
        <w:t xml:space="preserve">recruit </w:t>
      </w:r>
      <w:r w:rsidR="005B038A">
        <w:t xml:space="preserve">to relevant </w:t>
      </w:r>
      <w:r w:rsidR="00C15E16">
        <w:t>CSV</w:t>
      </w:r>
      <w:r w:rsidR="005B038A">
        <w:t xml:space="preserve"> policies on appropriate workplace conduct and reporting mechanisms if the topic of inappropriate behaviour by judicial officers or judicial staff </w:t>
      </w:r>
      <w:proofErr w:type="gramStart"/>
      <w:r w:rsidR="005B038A">
        <w:t>arises</w:t>
      </w:r>
      <w:r>
        <w:t>;</w:t>
      </w:r>
      <w:proofErr w:type="gramEnd"/>
    </w:p>
    <w:p w14:paraId="1C58282B" w14:textId="3768EA5A" w:rsidR="005B038A" w:rsidRDefault="005B038A" w:rsidP="00647F6A">
      <w:pPr>
        <w:pStyle w:val="ListNumber3"/>
      </w:pPr>
      <w:r>
        <w:lastRenderedPageBreak/>
        <w:t xml:space="preserve">judicial services co-ordinators should “check in” with both </w:t>
      </w:r>
      <w:r w:rsidR="00DE223D">
        <w:t xml:space="preserve">buddies </w:t>
      </w:r>
      <w:r>
        <w:t xml:space="preserve">to enquire whether the relationship is progressing well, and whether </w:t>
      </w:r>
      <w:proofErr w:type="gramStart"/>
      <w:r w:rsidR="00DE223D">
        <w:t xml:space="preserve">either </w:t>
      </w:r>
      <w:r>
        <w:t>require</w:t>
      </w:r>
      <w:r w:rsidR="00DE223D">
        <w:t>s</w:t>
      </w:r>
      <w:proofErr w:type="gramEnd"/>
      <w:r>
        <w:t xml:space="preserve"> the assistance of the judicial services co-ordinator.</w:t>
      </w:r>
    </w:p>
    <w:p w14:paraId="7D09BCFA" w14:textId="1FB479F1" w:rsidR="005B038A" w:rsidRDefault="005B038A" w:rsidP="00647F6A">
      <w:pPr>
        <w:pStyle w:val="ListNumber2"/>
        <w:spacing w:before="240"/>
      </w:pPr>
      <w:r w:rsidRPr="004F415E">
        <w:t>At</w:t>
      </w:r>
      <w:r>
        <w:t xml:space="preserve"> least a number of these steps are, we understand, already in place within some courts and tribunals.  We also recognise that </w:t>
      </w:r>
      <w:r w:rsidR="001917A1">
        <w:t>acting as a</w:t>
      </w:r>
      <w:r w:rsidR="00351BDF">
        <w:t xml:space="preserve">n experienced buddy </w:t>
      </w:r>
      <w:r w:rsidR="001917A1">
        <w:t xml:space="preserve">may be </w:t>
      </w:r>
      <w:r w:rsidR="00351BDF">
        <w:t xml:space="preserve">sometimes </w:t>
      </w:r>
      <w:r w:rsidR="001917A1">
        <w:t xml:space="preserve">burdensome.  The role may </w:t>
      </w:r>
      <w:r w:rsidR="00AC62E8">
        <w:t xml:space="preserve">not </w:t>
      </w:r>
      <w:r w:rsidR="001917A1">
        <w:t>suit some staff</w:t>
      </w:r>
      <w:r w:rsidR="00AC62E8">
        <w:t xml:space="preserve">.  Accordingly, </w:t>
      </w:r>
      <w:r w:rsidR="00351BDF">
        <w:t xml:space="preserve">participation </w:t>
      </w:r>
      <w:r w:rsidR="00AC62E8">
        <w:t xml:space="preserve">should be entirely voluntary.  Despite </w:t>
      </w:r>
      <w:r>
        <w:t xml:space="preserve">all best efforts in </w:t>
      </w:r>
      <w:r w:rsidR="00AC62E8">
        <w:t xml:space="preserve">matching </w:t>
      </w:r>
      <w:r w:rsidR="00351BDF">
        <w:t>buddies</w:t>
      </w:r>
      <w:r w:rsidR="00AC62E8">
        <w:t>,</w:t>
      </w:r>
      <w:r>
        <w:t xml:space="preserve"> and </w:t>
      </w:r>
      <w:r w:rsidR="004F144B">
        <w:t xml:space="preserve">a mutually </w:t>
      </w:r>
      <w:r>
        <w:t xml:space="preserve">positive approach, the arrangement may not prove beneficial in all cases.  </w:t>
      </w:r>
      <w:r w:rsidR="004F144B">
        <w:t xml:space="preserve">Although </w:t>
      </w:r>
      <w:r w:rsidR="00351BDF">
        <w:t xml:space="preserve">buddy </w:t>
      </w:r>
      <w:r w:rsidR="004F144B">
        <w:t xml:space="preserve">contact </w:t>
      </w:r>
      <w:r>
        <w:t>should be encouraged</w:t>
      </w:r>
      <w:r w:rsidR="004F144B">
        <w:t xml:space="preserve">, it </w:t>
      </w:r>
      <w:r w:rsidR="00351BDF">
        <w:t xml:space="preserve">too should </w:t>
      </w:r>
      <w:r w:rsidR="004F144B">
        <w:t>remain voluntary.</w:t>
      </w:r>
      <w:r>
        <w:t xml:space="preserve"> </w:t>
      </w:r>
    </w:p>
    <w:p w14:paraId="54D8214B" w14:textId="07213B45" w:rsidR="00F42452" w:rsidRDefault="00B34C21" w:rsidP="00647F6A">
      <w:pPr>
        <w:pStyle w:val="Heading5"/>
      </w:pPr>
      <w:r>
        <w:t xml:space="preserve">We recommend that all courts consider the feasibility of introducing very brief, but regular “town hall meetings” to be held electronically, attended by the head of jurisdiction, the </w:t>
      </w:r>
      <w:proofErr w:type="gramStart"/>
      <w:r>
        <w:t>CEO</w:t>
      </w:r>
      <w:proofErr w:type="gramEnd"/>
      <w:r>
        <w:t xml:space="preserve"> and some senior judges, at which news and announcements can be made and questions raised (anonymously if preferred) </w:t>
      </w:r>
      <w:r w:rsidR="007336DF">
        <w:t xml:space="preserve">and to which </w:t>
      </w:r>
      <w:r>
        <w:t>all court workers, including judges</w:t>
      </w:r>
      <w:r w:rsidR="007336DF">
        <w:t>, are invited</w:t>
      </w:r>
      <w:r>
        <w:t>.</w:t>
      </w:r>
    </w:p>
    <w:p w14:paraId="5DA62766" w14:textId="20EB80AA" w:rsidR="00F35869" w:rsidRDefault="00F35869" w:rsidP="00647F6A">
      <w:pPr>
        <w:pStyle w:val="ListNumber2"/>
        <w:spacing w:before="240"/>
      </w:pPr>
      <w:r>
        <w:t xml:space="preserve">Town hall meetings are currently being held by </w:t>
      </w:r>
      <w:r w:rsidR="003F63EF">
        <w:t xml:space="preserve">the Magistrates’ Court </w:t>
      </w:r>
      <w:r>
        <w:t>and VCAT.  The</w:t>
      </w:r>
      <w:r w:rsidR="003F63EF">
        <w:t> </w:t>
      </w:r>
      <w:r>
        <w:t>feedback is that they are a successful means of reducing isolation</w:t>
      </w:r>
      <w:r w:rsidR="00D66B29">
        <w:t>.</w:t>
      </w:r>
      <w:r>
        <w:t xml:space="preserve"> </w:t>
      </w:r>
      <w:r w:rsidR="00D66B29">
        <w:t xml:space="preserve"> They</w:t>
      </w:r>
      <w:r w:rsidR="003F63EF">
        <w:t> </w:t>
      </w:r>
      <w:r>
        <w:t>ameliorat</w:t>
      </w:r>
      <w:r w:rsidR="00D66B29">
        <w:t>e</w:t>
      </w:r>
      <w:r>
        <w:t xml:space="preserve"> the segregation of and non</w:t>
      </w:r>
      <w:r>
        <w:noBreakHyphen/>
        <w:t>communication between different levels and categories of people in the workplace (including judicial officers) and constitute an effective forum</w:t>
      </w:r>
      <w:r w:rsidR="007F7AD5">
        <w:t xml:space="preserve"> for clarification and discussion of concerns and queries.  Such meetings permit staff at all levels to recognise and become more familiar </w:t>
      </w:r>
      <w:r w:rsidR="00777AC9">
        <w:rPr>
          <w:lang w:val="en-US"/>
        </w:rPr>
        <w:t>with the leaders of the court or tribunal</w:t>
      </w:r>
      <w:r w:rsidR="00777AC9" w:rsidDel="00777AC9">
        <w:t xml:space="preserve"> </w:t>
      </w:r>
      <w:r w:rsidR="007F7AD5">
        <w:t xml:space="preserve">and may reduce any perception that they are remote </w:t>
      </w:r>
      <w:r w:rsidR="003C048B">
        <w:t xml:space="preserve">or </w:t>
      </w:r>
      <w:r w:rsidR="007F7AD5">
        <w:t xml:space="preserve">inaccessible figures.  </w:t>
      </w:r>
    </w:p>
    <w:p w14:paraId="45A3CF8A" w14:textId="5E1C5244" w:rsidR="005914BC" w:rsidRDefault="005914BC" w:rsidP="00647F6A">
      <w:pPr>
        <w:pStyle w:val="ListNumber2"/>
        <w:spacing w:before="240"/>
      </w:pPr>
      <w:r>
        <w:t xml:space="preserve">We recognise that town hall meetings may not be readily compatible with the size, routines and work demands of the </w:t>
      </w:r>
      <w:r w:rsidR="006E7C13">
        <w:t>Supreme and County C</w:t>
      </w:r>
      <w:r>
        <w:t>ourts.</w:t>
      </w:r>
    </w:p>
    <w:p w14:paraId="10F5D64F" w14:textId="41CAABFE" w:rsidR="00E5516D" w:rsidRDefault="00B4727B" w:rsidP="00647F6A">
      <w:pPr>
        <w:pStyle w:val="Heading5"/>
      </w:pPr>
      <w:r>
        <w:t>We recommend</w:t>
      </w:r>
      <w:r w:rsidR="004C581F">
        <w:t>, consistently with recommendation 9</w:t>
      </w:r>
      <w:r>
        <w:t xml:space="preserve"> </w:t>
      </w:r>
      <w:r w:rsidR="004C581F">
        <w:t xml:space="preserve">of the Szoke Report, </w:t>
      </w:r>
      <w:r>
        <w:t>that CSV, the courts and VCAT provide multiple and varied means for making a complaint or raising a concern about inappropriate judicial conduct, including sexual harassment.</w:t>
      </w:r>
    </w:p>
    <w:p w14:paraId="1379E3C7" w14:textId="0EFDC530" w:rsidR="00E5516D" w:rsidRPr="00647F6A" w:rsidRDefault="00946BDB" w:rsidP="00647F6A">
      <w:pPr>
        <w:pStyle w:val="ListNumber2"/>
        <w:spacing w:before="240"/>
      </w:pPr>
      <w:r>
        <w:rPr>
          <w:lang w:val="en-US"/>
        </w:rPr>
        <w:t xml:space="preserve">The recently published CSV Policy “Resolution procedure — Inappropriate workplace behaviours”, </w:t>
      </w:r>
      <w:proofErr w:type="spellStart"/>
      <w:r>
        <w:rPr>
          <w:lang w:val="en-US"/>
        </w:rPr>
        <w:t>summarised</w:t>
      </w:r>
      <w:proofErr w:type="spellEnd"/>
      <w:r>
        <w:rPr>
          <w:lang w:val="en-US"/>
        </w:rPr>
        <w:t xml:space="preserve"> above at [</w:t>
      </w:r>
      <w:r w:rsidR="00C56407" w:rsidRPr="00647F6A">
        <w:rPr>
          <w:lang w:val="en-US"/>
        </w:rPr>
        <w:fldChar w:fldCharType="begin"/>
      </w:r>
      <w:r w:rsidR="00C56407" w:rsidRPr="00647F6A">
        <w:rPr>
          <w:lang w:val="en-US"/>
        </w:rPr>
        <w:instrText xml:space="preserve"> REF _Ref108637855 \r \h  \* MERGEFORMAT </w:instrText>
      </w:r>
      <w:r w:rsidR="00C56407" w:rsidRPr="00647F6A">
        <w:rPr>
          <w:lang w:val="en-US"/>
        </w:rPr>
      </w:r>
      <w:r w:rsidR="00C56407" w:rsidRPr="00647F6A">
        <w:rPr>
          <w:lang w:val="en-US"/>
        </w:rPr>
        <w:fldChar w:fldCharType="separate"/>
      </w:r>
      <w:r w:rsidR="00CF093C">
        <w:rPr>
          <w:lang w:val="en-US"/>
        </w:rPr>
        <w:t>360</w:t>
      </w:r>
      <w:r w:rsidR="00C56407" w:rsidRPr="00647F6A">
        <w:rPr>
          <w:lang w:val="en-US"/>
        </w:rPr>
        <w:fldChar w:fldCharType="end"/>
      </w:r>
      <w:r w:rsidRPr="00647F6A">
        <w:rPr>
          <w:lang w:val="en-US"/>
        </w:rPr>
        <w:t xml:space="preserve">] and following, sets out a range of varied reporting options, including externally to “Your Safe Space”. In our view, </w:t>
      </w:r>
      <w:r w:rsidRPr="00647F6A">
        <w:rPr>
          <w:lang w:val="en-US"/>
        </w:rPr>
        <w:lastRenderedPageBreak/>
        <w:t xml:space="preserve">those options should be supplemented by the option of speaking to a “staff judge”, at least as a first contact, as outlined under </w:t>
      </w:r>
      <w:r w:rsidRPr="00995387">
        <w:rPr>
          <w:b/>
          <w:bCs/>
          <w:lang w:val="en-US"/>
        </w:rPr>
        <w:t>Recommendation</w:t>
      </w:r>
      <w:r w:rsidR="005902FD" w:rsidRPr="00995387">
        <w:rPr>
          <w:b/>
          <w:bCs/>
          <w:lang w:val="en-US"/>
        </w:rPr>
        <w:t> </w:t>
      </w:r>
      <w:r w:rsidR="00456A26" w:rsidRPr="00995387">
        <w:rPr>
          <w:b/>
          <w:bCs/>
          <w:lang w:val="en-US"/>
        </w:rPr>
        <w:fldChar w:fldCharType="begin"/>
      </w:r>
      <w:r w:rsidR="00456A26" w:rsidRPr="00995387">
        <w:rPr>
          <w:b/>
          <w:bCs/>
          <w:lang w:val="en-US"/>
        </w:rPr>
        <w:instrText xml:space="preserve"> REF _Ref108729528 \r \h  \* MERGEFORMAT </w:instrText>
      </w:r>
      <w:r w:rsidR="00456A26" w:rsidRPr="00995387">
        <w:rPr>
          <w:b/>
          <w:bCs/>
          <w:lang w:val="en-US"/>
        </w:rPr>
      </w:r>
      <w:r w:rsidR="00456A26" w:rsidRPr="00995387">
        <w:rPr>
          <w:b/>
          <w:bCs/>
          <w:lang w:val="en-US"/>
        </w:rPr>
        <w:fldChar w:fldCharType="separate"/>
      </w:r>
      <w:r w:rsidR="00CF093C">
        <w:rPr>
          <w:b/>
          <w:bCs/>
          <w:lang w:val="en-US"/>
        </w:rPr>
        <w:t>4</w:t>
      </w:r>
      <w:r w:rsidR="00456A26" w:rsidRPr="00995387">
        <w:rPr>
          <w:b/>
          <w:bCs/>
          <w:lang w:val="en-US"/>
        </w:rPr>
        <w:fldChar w:fldCharType="end"/>
      </w:r>
      <w:r w:rsidRPr="00647F6A">
        <w:rPr>
          <w:lang w:val="en-US"/>
        </w:rPr>
        <w:t>.</w:t>
      </w:r>
    </w:p>
    <w:p w14:paraId="5B9411AE" w14:textId="77777777" w:rsidR="005C7F7F" w:rsidRDefault="00940D3B" w:rsidP="00647F6A">
      <w:pPr>
        <w:pStyle w:val="Heading5"/>
      </w:pPr>
      <w:bookmarkStart w:id="121" w:name="_Ref108974752"/>
      <w:r w:rsidRPr="00E336BF">
        <w:t>We recommend that</w:t>
      </w:r>
      <w:r w:rsidR="005C7F7F">
        <w:t>:</w:t>
      </w:r>
    </w:p>
    <w:p w14:paraId="07E48A90" w14:textId="77777777" w:rsidR="00A16D86" w:rsidRDefault="00A16D86" w:rsidP="007110AB">
      <w:pPr>
        <w:pStyle w:val="Heading5"/>
        <w:numPr>
          <w:ilvl w:val="0"/>
          <w:numId w:val="0"/>
        </w:numPr>
        <w:ind w:left="2149" w:hanging="731"/>
      </w:pPr>
      <w:r>
        <w:t>(a)</w:t>
      </w:r>
      <w:r>
        <w:tab/>
      </w:r>
      <w:r w:rsidR="00A21E3D">
        <w:t xml:space="preserve">surveys of </w:t>
      </w:r>
      <w:r w:rsidR="00594A0D">
        <w:t>judicial staff be conducted</w:t>
      </w:r>
      <w:r>
        <w:t>;</w:t>
      </w:r>
      <w:r w:rsidR="00594A0D">
        <w:t xml:space="preserve"> </w:t>
      </w:r>
      <w:r w:rsidR="00E327E5">
        <w:t xml:space="preserve">and </w:t>
      </w:r>
    </w:p>
    <w:p w14:paraId="6CF184E2" w14:textId="4CEE658B" w:rsidR="004F415E" w:rsidRPr="004F415E" w:rsidRDefault="00A16D86" w:rsidP="005B4E81">
      <w:pPr>
        <w:pStyle w:val="Heading5"/>
        <w:numPr>
          <w:ilvl w:val="0"/>
          <w:numId w:val="0"/>
        </w:numPr>
        <w:ind w:left="2149" w:hanging="731"/>
      </w:pPr>
      <w:r>
        <w:t>(b)</w:t>
      </w:r>
      <w:r>
        <w:tab/>
      </w:r>
      <w:r w:rsidR="003C048B">
        <w:t>CSV</w:t>
      </w:r>
      <w:r w:rsidR="005B4E81">
        <w:t>, together with the heads of jurisdiction, consider the feasibility of implementing a system whereby CSV</w:t>
      </w:r>
      <w:r w:rsidR="003C048B">
        <w:t xml:space="preserve"> keep</w:t>
      </w:r>
      <w:r w:rsidR="005B4E81">
        <w:t>s</w:t>
      </w:r>
      <w:r w:rsidR="003C048B">
        <w:t xml:space="preserve"> </w:t>
      </w:r>
      <w:r w:rsidR="00E336BF">
        <w:t xml:space="preserve">records of </w:t>
      </w:r>
      <w:r w:rsidR="003C048B">
        <w:t xml:space="preserve">staff complaints and </w:t>
      </w:r>
      <w:r w:rsidR="00E336BF">
        <w:t>exp</w:t>
      </w:r>
      <w:r w:rsidR="009D5597">
        <w:t>r</w:t>
      </w:r>
      <w:r w:rsidR="00E336BF">
        <w:t xml:space="preserve">essions of concern </w:t>
      </w:r>
      <w:r w:rsidR="003C048B">
        <w:t>(</w:t>
      </w:r>
      <w:r w:rsidR="00E336BF">
        <w:t>falling short of complaint</w:t>
      </w:r>
      <w:r w:rsidR="003C048B">
        <w:t>)</w:t>
      </w:r>
      <w:r w:rsidR="00E336BF">
        <w:t xml:space="preserve"> </w:t>
      </w:r>
      <w:r w:rsidR="003C048B">
        <w:t>about inappropriate judicial conduct.</w:t>
      </w:r>
      <w:bookmarkEnd w:id="121"/>
    </w:p>
    <w:p w14:paraId="374EA75D" w14:textId="00627EA4" w:rsidR="007D1E6F" w:rsidRDefault="00A74F09" w:rsidP="00647F6A">
      <w:pPr>
        <w:pStyle w:val="ListNumber2"/>
        <w:spacing w:before="240"/>
        <w:rPr>
          <w:lang w:val="en-US"/>
        </w:rPr>
      </w:pPr>
      <w:r>
        <w:rPr>
          <w:lang w:val="en-US"/>
        </w:rPr>
        <w:t>We note that Recommendation 18 of the Szoke Report concerned the conduct of an annual anonymous survey which would “reach all CSV staff”.  We support the recommendation that there be such an annual survey of CSV staff.</w:t>
      </w:r>
      <w:r w:rsidR="00985CFF">
        <w:rPr>
          <w:rStyle w:val="FootnoteReference"/>
          <w:lang w:val="en-US"/>
        </w:rPr>
        <w:footnoteReference w:id="110"/>
      </w:r>
      <w:r>
        <w:rPr>
          <w:lang w:val="en-US"/>
        </w:rPr>
        <w:t xml:space="preserve">  The People Matter Survey (referred to above </w:t>
      </w:r>
      <w:r w:rsidRPr="00647F6A">
        <w:rPr>
          <w:lang w:val="en-US"/>
        </w:rPr>
        <w:t>at [</w:t>
      </w:r>
      <w:r w:rsidR="00611561" w:rsidRPr="00647F6A">
        <w:rPr>
          <w:lang w:val="en-US"/>
        </w:rPr>
        <w:fldChar w:fldCharType="begin"/>
      </w:r>
      <w:r w:rsidR="00611561" w:rsidRPr="00647F6A">
        <w:rPr>
          <w:lang w:val="en-US"/>
        </w:rPr>
        <w:instrText xml:space="preserve"> REF _Ref108732410 \r \h  \* MERGEFORMAT </w:instrText>
      </w:r>
      <w:r w:rsidR="00611561" w:rsidRPr="00647F6A">
        <w:rPr>
          <w:lang w:val="en-US"/>
        </w:rPr>
      </w:r>
      <w:r w:rsidR="00611561" w:rsidRPr="00647F6A">
        <w:rPr>
          <w:lang w:val="en-US"/>
        </w:rPr>
        <w:fldChar w:fldCharType="separate"/>
      </w:r>
      <w:r w:rsidR="00CF093C">
        <w:rPr>
          <w:lang w:val="en-US"/>
        </w:rPr>
        <w:t>193</w:t>
      </w:r>
      <w:r w:rsidR="00611561" w:rsidRPr="00647F6A">
        <w:rPr>
          <w:lang w:val="en-US"/>
        </w:rPr>
        <w:fldChar w:fldCharType="end"/>
      </w:r>
      <w:r w:rsidRPr="00647F6A">
        <w:rPr>
          <w:lang w:val="en-US"/>
        </w:rPr>
        <w:t>] alone</w:t>
      </w:r>
      <w:r>
        <w:rPr>
          <w:lang w:val="en-US"/>
        </w:rPr>
        <w:t xml:space="preserve"> is a flawed means of assessing the prevalence of sexual harassment of judicial staff. We heard from CSV staff that the People Matter Survey questions were not sufficiently targeted to the problem, and the broad terms of the questions made it impossible to determine what proportion of reported incidents involved sexual harassment by judicial officers, rather than by CSV employees or court users.</w:t>
      </w:r>
    </w:p>
    <w:p w14:paraId="3D05C8DB" w14:textId="4CB8F38A" w:rsidR="00452988" w:rsidRPr="00E7418A" w:rsidRDefault="00074E47" w:rsidP="00647F6A">
      <w:pPr>
        <w:pStyle w:val="ListNumber2"/>
        <w:spacing w:before="240"/>
        <w:rPr>
          <w:lang w:val="en-US"/>
        </w:rPr>
      </w:pPr>
      <w:r>
        <w:t>We describe below a proposed system of record keeping, by CSV, of records of staff complaints and expressions of concern about inappropriate judicial conduct which appears consonant with emerging best practice</w:t>
      </w:r>
      <w:r w:rsidR="00AC6B7D">
        <w:t xml:space="preserve"> in this area</w:t>
      </w:r>
      <w:r>
        <w:t xml:space="preserve">. </w:t>
      </w:r>
      <w:r w:rsidR="00AC6B7D">
        <w:t xml:space="preserve"> The </w:t>
      </w:r>
      <w:r>
        <w:t xml:space="preserve">model of record keeping </w:t>
      </w:r>
      <w:r w:rsidR="00AC6B7D">
        <w:t xml:space="preserve">could significantly facilitate ensuring </w:t>
      </w:r>
      <w:r>
        <w:t>the safety of judicial staff</w:t>
      </w:r>
      <w:r w:rsidR="00AC6B7D">
        <w:t>.  It</w:t>
      </w:r>
      <w:r w:rsidR="00E248CB">
        <w:t> </w:t>
      </w:r>
      <w:r w:rsidR="00AC6B7D">
        <w:t xml:space="preserve">would enable </w:t>
      </w:r>
      <w:r>
        <w:t xml:space="preserve">CSV to identify sexual harassment risks and </w:t>
      </w:r>
      <w:r w:rsidR="00AC6B7D">
        <w:t xml:space="preserve">evaluate </w:t>
      </w:r>
      <w:r>
        <w:t xml:space="preserve">the scope of the problem. </w:t>
      </w:r>
      <w:r w:rsidR="00AC6B7D">
        <w:t xml:space="preserve"> R</w:t>
      </w:r>
      <w:r>
        <w:t xml:space="preserve">ecommendation 22 is </w:t>
      </w:r>
      <w:r w:rsidR="00AC6B7D">
        <w:t xml:space="preserve">limited to </w:t>
      </w:r>
      <w:r>
        <w:t>direct</w:t>
      </w:r>
      <w:r w:rsidR="00AC6B7D">
        <w:t>ing</w:t>
      </w:r>
      <w:r>
        <w:t xml:space="preserve"> consideration by CSV (together with the heads of jurisdiction) of the feasibility of implementing the model we describe below. The form of the recommendation recognises:</w:t>
      </w:r>
    </w:p>
    <w:p w14:paraId="25E02BC9" w14:textId="6E63E513" w:rsidR="00E7418A" w:rsidRPr="0064086C" w:rsidRDefault="00480C94" w:rsidP="00E7418A">
      <w:pPr>
        <w:pStyle w:val="ListNumber3"/>
        <w:rPr>
          <w:lang w:val="en-US"/>
        </w:rPr>
      </w:pPr>
      <w:r>
        <w:t xml:space="preserve">the tension between, on the one hand, recording records of expressions of concern which have not been the subject of formal investigation and, on the other hand, a judicial officer’s interest in knowing that adverse statements have been made against them.  As noted below, that tension should in our </w:t>
      </w:r>
      <w:r>
        <w:lastRenderedPageBreak/>
        <w:t xml:space="preserve">view in principle be resolved in favour of staff safety where an improved system of record keeping would </w:t>
      </w:r>
      <w:r w:rsidR="0064086C">
        <w:t>promote it</w:t>
      </w:r>
      <w:r>
        <w:t>;</w:t>
      </w:r>
      <w:r w:rsidR="00C76BBC">
        <w:t xml:space="preserve"> and</w:t>
      </w:r>
    </w:p>
    <w:p w14:paraId="001406FB" w14:textId="52ED1AA3" w:rsidR="003F1326" w:rsidRPr="00C76BBC" w:rsidRDefault="004912B9" w:rsidP="00C76BBC">
      <w:pPr>
        <w:pStyle w:val="ListNumber3"/>
        <w:rPr>
          <w:lang w:val="en-US"/>
        </w:rPr>
      </w:pPr>
      <w:r>
        <w:t xml:space="preserve">the need for legal advice on the scope of CSV’s </w:t>
      </w:r>
      <w:r w:rsidR="004F7FD8">
        <w:t>obligations and potential liabilit</w:t>
      </w:r>
      <w:r w:rsidR="00683C9C">
        <w:t>ies</w:t>
      </w:r>
      <w:r w:rsidR="004F7FD8">
        <w:t xml:space="preserve"> under relevant </w:t>
      </w:r>
      <w:r>
        <w:t>occupational health and safety</w:t>
      </w:r>
      <w:r w:rsidR="00E71FE2">
        <w:t>,</w:t>
      </w:r>
      <w:r>
        <w:t xml:space="preserve"> </w:t>
      </w:r>
      <w:r w:rsidR="00E71FE2">
        <w:t>privacy</w:t>
      </w:r>
      <w:r w:rsidR="00484F09">
        <w:t>,</w:t>
      </w:r>
      <w:r w:rsidR="00E71FE2">
        <w:t xml:space="preserve"> freedom of information and related legislation with respect to keeping records of informal expressions of concern</w:t>
      </w:r>
      <w:r w:rsidR="00A0139C">
        <w:t>.</w:t>
      </w:r>
    </w:p>
    <w:p w14:paraId="6D923FB3" w14:textId="0E99CACD" w:rsidR="00224645" w:rsidRPr="00537040" w:rsidRDefault="007C26AC" w:rsidP="00647F6A">
      <w:pPr>
        <w:pStyle w:val="ListNumber2"/>
        <w:spacing w:before="240"/>
        <w:rPr>
          <w:lang w:val="en-US"/>
        </w:rPr>
      </w:pPr>
      <w:r>
        <w:rPr>
          <w:lang w:val="en-US"/>
        </w:rPr>
        <w:t xml:space="preserve">CSV </w:t>
      </w:r>
      <w:r w:rsidR="002A178F">
        <w:rPr>
          <w:lang w:val="en-US"/>
        </w:rPr>
        <w:t xml:space="preserve">should </w:t>
      </w:r>
      <w:r>
        <w:rPr>
          <w:lang w:val="en-US"/>
        </w:rPr>
        <w:t>maintain a register of records of formal complaints and informal reports, communications or signals of concern relating to misconduct (including sexual harassment) by judicial officers.  Such a record should identify the judicial officer.  It should contain a narrative of the complaint or report and any action taken by CSV.  It should be kept securely and accessible only by senior CSV staff centrally and in each jurisdiction.  A complainant or reporter should have the option to remain anonymous.</w:t>
      </w:r>
      <w:r w:rsidR="008F5327">
        <w:rPr>
          <w:rStyle w:val="FootnoteReference"/>
          <w:lang w:val="en-US"/>
        </w:rPr>
        <w:footnoteReference w:id="111"/>
      </w:r>
      <w:r>
        <w:rPr>
          <w:lang w:val="en-US"/>
        </w:rPr>
        <w:t xml:space="preserve">  The register should be used by CSV to identify potential risks to staff posed by </w:t>
      </w:r>
      <w:proofErr w:type="gramStart"/>
      <w:r>
        <w:rPr>
          <w:lang w:val="en-US"/>
        </w:rPr>
        <w:t>particular judicial</w:t>
      </w:r>
      <w:proofErr w:type="gramEnd"/>
      <w:r>
        <w:rPr>
          <w:lang w:val="en-US"/>
        </w:rPr>
        <w:t xml:space="preserve"> officers</w:t>
      </w:r>
      <w:r w:rsidR="009D5597">
        <w:rPr>
          <w:lang w:val="en-US"/>
        </w:rPr>
        <w:t>.</w:t>
      </w:r>
      <w:r>
        <w:rPr>
          <w:lang w:val="en-US"/>
        </w:rPr>
        <w:t xml:space="preserve"> </w:t>
      </w:r>
      <w:r w:rsidR="00281583">
        <w:rPr>
          <w:lang w:val="en-US"/>
        </w:rPr>
        <w:t xml:space="preserve"> </w:t>
      </w:r>
      <w:r w:rsidR="009D5597">
        <w:rPr>
          <w:lang w:val="en-US"/>
        </w:rPr>
        <w:t xml:space="preserve">Where </w:t>
      </w:r>
      <w:r>
        <w:rPr>
          <w:lang w:val="en-US"/>
        </w:rPr>
        <w:t xml:space="preserve">appropriate, further investigations may be </w:t>
      </w:r>
      <w:proofErr w:type="gramStart"/>
      <w:r>
        <w:rPr>
          <w:lang w:val="en-US"/>
        </w:rPr>
        <w:t>undertaken</w:t>
      </w:r>
      <w:proofErr w:type="gramEnd"/>
      <w:r>
        <w:rPr>
          <w:lang w:val="en-US"/>
        </w:rPr>
        <w:t xml:space="preserve"> and steps taken to reduce any risk found to be posed by a judicial officer.  </w:t>
      </w:r>
    </w:p>
    <w:p w14:paraId="23FC039D" w14:textId="32B06A08" w:rsidR="005B038A" w:rsidRPr="00E6449E" w:rsidRDefault="005B038A" w:rsidP="00647F6A">
      <w:pPr>
        <w:pStyle w:val="ListNumber2"/>
        <w:spacing w:before="240"/>
        <w:rPr>
          <w:lang w:val="en-US"/>
        </w:rPr>
      </w:pPr>
      <w:r>
        <w:t>Throughout our consultations, we heard from those in human resources and court administration that there was no organised system of record keeping of reports of misconduct</w:t>
      </w:r>
      <w:r w:rsidR="001A3171">
        <w:t>,</w:t>
      </w:r>
      <w:r>
        <w:t xml:space="preserve"> or complaints </w:t>
      </w:r>
      <w:r w:rsidR="00D935DE">
        <w:t xml:space="preserve">or communications of concern </w:t>
      </w:r>
      <w:r>
        <w:t xml:space="preserve">made by judicial staff against judicial officers.  Indeed, there was uncertainty among court administrators as to what would constitute a “complaint” that could, should, or needed to be kept in the records of the court.  </w:t>
      </w:r>
    </w:p>
    <w:p w14:paraId="66118834" w14:textId="75FA4810" w:rsidR="005B038A" w:rsidRPr="00BE709C" w:rsidRDefault="00AE6F4A" w:rsidP="00647F6A">
      <w:pPr>
        <w:pStyle w:val="ListNumber2"/>
        <w:spacing w:before="240"/>
        <w:rPr>
          <w:lang w:val="en-US"/>
        </w:rPr>
      </w:pPr>
      <w:r w:rsidRPr="00BE709C">
        <w:rPr>
          <w:lang w:val="en-US"/>
        </w:rPr>
        <w:t xml:space="preserve">It is well established that records of formal complaints, </w:t>
      </w:r>
      <w:r w:rsidR="00B907B6" w:rsidRPr="00BE709C">
        <w:rPr>
          <w:lang w:val="en-US"/>
        </w:rPr>
        <w:t xml:space="preserve">although necessary, </w:t>
      </w:r>
      <w:r w:rsidR="009D0A6D" w:rsidRPr="00BE709C">
        <w:rPr>
          <w:lang w:val="en-US"/>
        </w:rPr>
        <w:t xml:space="preserve">do not provide an accurate or comprehensive picture of the prevalence or nature of sexual harassment in a particular workplace.  Informal </w:t>
      </w:r>
      <w:r w:rsidR="00F80261" w:rsidRPr="00BE709C">
        <w:rPr>
          <w:lang w:val="en-US"/>
        </w:rPr>
        <w:t>expressions of concern by persons who are reluctant to lodge a formal complaint would provide a more reliable, if still imperfect picture.</w:t>
      </w:r>
    </w:p>
    <w:p w14:paraId="49A33364" w14:textId="319F1C8C" w:rsidR="005B038A" w:rsidRDefault="005B038A" w:rsidP="00647F6A">
      <w:pPr>
        <w:pStyle w:val="ListNumber2"/>
        <w:spacing w:before="240"/>
        <w:rPr>
          <w:lang w:val="en-US"/>
        </w:rPr>
      </w:pPr>
      <w:r>
        <w:rPr>
          <w:lang w:val="en-US"/>
        </w:rPr>
        <w:t xml:space="preserve">The keeping of records of </w:t>
      </w:r>
      <w:r>
        <w:rPr>
          <w:i/>
          <w:iCs/>
          <w:lang w:val="en-US"/>
        </w:rPr>
        <w:t xml:space="preserve">informal </w:t>
      </w:r>
      <w:r>
        <w:rPr>
          <w:lang w:val="en-US"/>
        </w:rPr>
        <w:t>reports or signals of significant concern about a judicial officer is</w:t>
      </w:r>
      <w:r w:rsidR="00AE6F4A">
        <w:rPr>
          <w:lang w:val="en-US"/>
        </w:rPr>
        <w:t>, however,</w:t>
      </w:r>
      <w:r>
        <w:rPr>
          <w:lang w:val="en-US"/>
        </w:rPr>
        <w:t xml:space="preserve"> a vexed question.  </w:t>
      </w:r>
    </w:p>
    <w:p w14:paraId="14F770E0" w14:textId="1DAB8B9F" w:rsidR="005B038A" w:rsidRDefault="005B038A" w:rsidP="00647F6A">
      <w:pPr>
        <w:pStyle w:val="ListNumber2"/>
        <w:spacing w:before="240"/>
        <w:rPr>
          <w:lang w:val="en-US"/>
        </w:rPr>
      </w:pPr>
      <w:r>
        <w:rPr>
          <w:lang w:val="en-US"/>
        </w:rPr>
        <w:lastRenderedPageBreak/>
        <w:t xml:space="preserve">On the one hand, complainants </w:t>
      </w:r>
      <w:r w:rsidR="00437B71">
        <w:rPr>
          <w:lang w:val="en-US"/>
        </w:rPr>
        <w:t xml:space="preserve">desiring </w:t>
      </w:r>
      <w:r w:rsidR="00B62E6D">
        <w:rPr>
          <w:lang w:val="en-US"/>
        </w:rPr>
        <w:t xml:space="preserve">an informal resolution of their problem </w:t>
      </w:r>
      <w:r>
        <w:rPr>
          <w:lang w:val="en-US"/>
        </w:rPr>
        <w:t xml:space="preserve">(for example, by </w:t>
      </w:r>
      <w:r w:rsidR="006814E0">
        <w:rPr>
          <w:lang w:val="en-US"/>
        </w:rPr>
        <w:t xml:space="preserve">a </w:t>
      </w:r>
      <w:r>
        <w:rPr>
          <w:lang w:val="en-US"/>
        </w:rPr>
        <w:t>staff judge speaking with the offending judicial officer) may not wish any record of the incident to be committed to writing</w:t>
      </w:r>
      <w:r w:rsidR="00B62E6D">
        <w:rPr>
          <w:lang w:val="en-US"/>
        </w:rPr>
        <w:t xml:space="preserve">.  Judicial </w:t>
      </w:r>
      <w:r>
        <w:rPr>
          <w:lang w:val="en-US"/>
        </w:rPr>
        <w:t xml:space="preserve">officers about whom no positive finding of wrongdoing has been made would likely object </w:t>
      </w:r>
      <w:r w:rsidR="00C318BC">
        <w:rPr>
          <w:lang w:val="en-US"/>
        </w:rPr>
        <w:t xml:space="preserve">if they knew they were </w:t>
      </w:r>
      <w:r w:rsidR="00B62E6D">
        <w:rPr>
          <w:lang w:val="en-US"/>
        </w:rPr>
        <w:t xml:space="preserve">named in the record </w:t>
      </w:r>
      <w:r>
        <w:rPr>
          <w:lang w:val="en-US"/>
        </w:rPr>
        <w:t>of an informal report.  The knowledge that such a written record exists would, itself, be a source of concern for a judicial officer, as would be the risk that such a record might be exposed if the records were not securely kept.</w:t>
      </w:r>
      <w:r w:rsidR="00813C2A">
        <w:rPr>
          <w:rFonts w:ascii="ZWAdobeF" w:hAnsi="ZWAdobeF" w:cs="ZWAdobeF"/>
          <w:sz w:val="2"/>
          <w:szCs w:val="2"/>
          <w:lang w:val="en-US"/>
        </w:rPr>
        <w:t>101F</w:t>
      </w:r>
      <w:r w:rsidR="00704B18">
        <w:rPr>
          <w:rFonts w:ascii="ZWAdobeF" w:hAnsi="ZWAdobeF" w:cs="ZWAdobeF"/>
          <w:sz w:val="2"/>
          <w:szCs w:val="2"/>
          <w:lang w:val="en-US"/>
        </w:rPr>
        <w:t>135F</w:t>
      </w:r>
      <w:r>
        <w:rPr>
          <w:rStyle w:val="FootnoteReference"/>
          <w:lang w:val="en-US"/>
        </w:rPr>
        <w:footnoteReference w:id="112"/>
      </w:r>
    </w:p>
    <w:p w14:paraId="73B20A47" w14:textId="13407543" w:rsidR="005B038A" w:rsidRDefault="005B038A" w:rsidP="00647F6A">
      <w:pPr>
        <w:pStyle w:val="ListNumber2"/>
        <w:spacing w:before="240"/>
        <w:rPr>
          <w:lang w:val="en-US"/>
        </w:rPr>
      </w:pPr>
      <w:r>
        <w:rPr>
          <w:lang w:val="en-US"/>
        </w:rPr>
        <w:t xml:space="preserve">On the other hand, recording of </w:t>
      </w:r>
      <w:r w:rsidR="003637F7">
        <w:rPr>
          <w:lang w:val="en-US"/>
        </w:rPr>
        <w:t xml:space="preserve">such </w:t>
      </w:r>
      <w:r>
        <w:rPr>
          <w:lang w:val="en-US"/>
        </w:rPr>
        <w:t xml:space="preserve">informal reports </w:t>
      </w:r>
      <w:r w:rsidR="00B907B6">
        <w:rPr>
          <w:lang w:val="en-US"/>
        </w:rPr>
        <w:t xml:space="preserve">seems essential </w:t>
      </w:r>
      <w:r w:rsidR="003637F7">
        <w:rPr>
          <w:lang w:val="en-US"/>
        </w:rPr>
        <w:t xml:space="preserve">to </w:t>
      </w:r>
      <w:r>
        <w:rPr>
          <w:lang w:val="en-US"/>
        </w:rPr>
        <w:t>identify the potential scope of the problem of sexual harassment</w:t>
      </w:r>
      <w:r w:rsidR="003637F7">
        <w:rPr>
          <w:lang w:val="en-US"/>
        </w:rPr>
        <w:t xml:space="preserve">.  It would </w:t>
      </w:r>
      <w:r>
        <w:rPr>
          <w:lang w:val="en-US"/>
        </w:rPr>
        <w:t xml:space="preserve">assist each court and tribunal </w:t>
      </w:r>
      <w:r w:rsidR="003637F7">
        <w:rPr>
          <w:lang w:val="en-US"/>
        </w:rPr>
        <w:t xml:space="preserve">to </w:t>
      </w:r>
      <w:r>
        <w:rPr>
          <w:lang w:val="en-US"/>
        </w:rPr>
        <w:t>identify risk</w:t>
      </w:r>
      <w:r w:rsidR="00DE3046">
        <w:rPr>
          <w:lang w:val="en-US"/>
        </w:rPr>
        <w:t>s</w:t>
      </w:r>
      <w:r>
        <w:rPr>
          <w:lang w:val="en-US"/>
        </w:rPr>
        <w:t xml:space="preserve"> to the health and safety of staff posed by individual judicial officers.  </w:t>
      </w:r>
      <w:r w:rsidR="00E706A5">
        <w:rPr>
          <w:lang w:val="en-US"/>
        </w:rPr>
        <w:t xml:space="preserve">The identification of such risks would improve the ability of </w:t>
      </w:r>
      <w:r w:rsidR="00C15E16">
        <w:rPr>
          <w:lang w:val="en-US"/>
        </w:rPr>
        <w:t>CSV</w:t>
      </w:r>
      <w:r>
        <w:rPr>
          <w:lang w:val="en-US"/>
        </w:rPr>
        <w:t xml:space="preserve"> to take steps to ensure the health and safety of its employees.</w:t>
      </w:r>
    </w:p>
    <w:p w14:paraId="10413BE2" w14:textId="568346D7" w:rsidR="005B038A" w:rsidRDefault="00522429" w:rsidP="00647F6A">
      <w:pPr>
        <w:pStyle w:val="ListNumber2"/>
        <w:spacing w:before="240"/>
        <w:rPr>
          <w:lang w:val="en-US"/>
        </w:rPr>
      </w:pPr>
      <w:r>
        <w:rPr>
          <w:lang w:val="en-US"/>
        </w:rPr>
        <w:t xml:space="preserve">If </w:t>
      </w:r>
      <w:r w:rsidR="005B038A">
        <w:rPr>
          <w:lang w:val="en-US"/>
        </w:rPr>
        <w:t>records of informal reports against a judicial officer</w:t>
      </w:r>
      <w:r w:rsidR="00E706A5">
        <w:rPr>
          <w:lang w:val="en-US"/>
        </w:rPr>
        <w:t xml:space="preserve"> </w:t>
      </w:r>
      <w:r>
        <w:rPr>
          <w:lang w:val="en-US"/>
        </w:rPr>
        <w:t xml:space="preserve">were kept, it </w:t>
      </w:r>
      <w:r w:rsidR="00E706A5">
        <w:rPr>
          <w:lang w:val="en-US"/>
        </w:rPr>
        <w:t xml:space="preserve">would </w:t>
      </w:r>
      <w:r>
        <w:rPr>
          <w:lang w:val="en-US"/>
        </w:rPr>
        <w:t xml:space="preserve">permit the detection of </w:t>
      </w:r>
      <w:r w:rsidR="005B038A">
        <w:rPr>
          <w:lang w:val="en-US"/>
        </w:rPr>
        <w:t xml:space="preserve">multiple informal </w:t>
      </w:r>
      <w:r>
        <w:rPr>
          <w:lang w:val="en-US"/>
        </w:rPr>
        <w:t xml:space="preserve">complaints </w:t>
      </w:r>
      <w:r w:rsidR="005B038A">
        <w:rPr>
          <w:lang w:val="en-US"/>
        </w:rPr>
        <w:t xml:space="preserve">made against </w:t>
      </w:r>
      <w:r w:rsidR="00423065">
        <w:rPr>
          <w:lang w:val="en-US"/>
        </w:rPr>
        <w:t xml:space="preserve">the same </w:t>
      </w:r>
      <w:r w:rsidR="005B038A">
        <w:rPr>
          <w:lang w:val="en-US"/>
        </w:rPr>
        <w:t>judicial officer</w:t>
      </w:r>
      <w:r w:rsidR="00423065">
        <w:rPr>
          <w:lang w:val="en-US"/>
        </w:rPr>
        <w:t>.</w:t>
      </w:r>
      <w:r w:rsidR="005B038A">
        <w:rPr>
          <w:lang w:val="en-US"/>
        </w:rPr>
        <w:t xml:space="preserve">  In such a case, </w:t>
      </w:r>
      <w:r w:rsidR="00D172B9">
        <w:rPr>
          <w:lang w:val="en-US"/>
        </w:rPr>
        <w:t xml:space="preserve">when a new complaint is made, the </w:t>
      </w:r>
      <w:r w:rsidR="005B038A">
        <w:rPr>
          <w:lang w:val="en-US"/>
        </w:rPr>
        <w:t>previous reporters may be contacted</w:t>
      </w:r>
      <w:r w:rsidR="00952B17">
        <w:rPr>
          <w:lang w:val="en-US"/>
        </w:rPr>
        <w:t>.</w:t>
      </w:r>
      <w:r w:rsidR="005B038A">
        <w:rPr>
          <w:lang w:val="en-US"/>
        </w:rPr>
        <w:t xml:space="preserve"> </w:t>
      </w:r>
      <w:r w:rsidR="00952B17">
        <w:rPr>
          <w:lang w:val="en-US"/>
        </w:rPr>
        <w:t xml:space="preserve"> Because complainants </w:t>
      </w:r>
      <w:r w:rsidR="00565605">
        <w:rPr>
          <w:lang w:val="en-US"/>
        </w:rPr>
        <w:t xml:space="preserve">find </w:t>
      </w:r>
      <w:r w:rsidR="005B038A">
        <w:rPr>
          <w:lang w:val="en-US"/>
        </w:rPr>
        <w:t xml:space="preserve">strength in numbers, </w:t>
      </w:r>
      <w:r w:rsidR="00565605">
        <w:rPr>
          <w:lang w:val="en-US"/>
        </w:rPr>
        <w:t xml:space="preserve">they could </w:t>
      </w:r>
      <w:r>
        <w:rPr>
          <w:lang w:val="en-US"/>
        </w:rPr>
        <w:t xml:space="preserve">then </w:t>
      </w:r>
      <w:r w:rsidR="005B038A">
        <w:rPr>
          <w:lang w:val="en-US"/>
        </w:rPr>
        <w:t>resolve to bring a formal complaint against that judicial officer.  If no records are kept, only institutional memory will reveal whether an informal report comes “out of the blue” or is one in a series of informal matters or signals of concern relating to the same judicial officer.</w:t>
      </w:r>
    </w:p>
    <w:p w14:paraId="31A30AC5" w14:textId="1DB0CEC9" w:rsidR="005B038A" w:rsidRDefault="005C3251" w:rsidP="00647F6A">
      <w:pPr>
        <w:pStyle w:val="ListNumber2"/>
        <w:spacing w:before="240"/>
        <w:rPr>
          <w:lang w:val="en-US"/>
        </w:rPr>
      </w:pPr>
      <w:r>
        <w:rPr>
          <w:lang w:val="en-US"/>
        </w:rPr>
        <w:t xml:space="preserve">We see </w:t>
      </w:r>
      <w:r w:rsidR="005B038A">
        <w:rPr>
          <w:lang w:val="en-US"/>
        </w:rPr>
        <w:t xml:space="preserve">no </w:t>
      </w:r>
      <w:r>
        <w:rPr>
          <w:lang w:val="en-US"/>
        </w:rPr>
        <w:t xml:space="preserve">insuperable </w:t>
      </w:r>
      <w:r w:rsidR="005B038A">
        <w:rPr>
          <w:lang w:val="en-US"/>
        </w:rPr>
        <w:t xml:space="preserve">impediment to CSV recording the details of </w:t>
      </w:r>
      <w:r>
        <w:rPr>
          <w:lang w:val="en-US"/>
        </w:rPr>
        <w:t xml:space="preserve">any </w:t>
      </w:r>
      <w:r w:rsidR="005B038A">
        <w:rPr>
          <w:lang w:val="en-US"/>
        </w:rPr>
        <w:t xml:space="preserve">informal reports against </w:t>
      </w:r>
      <w:r w:rsidR="003F6669">
        <w:rPr>
          <w:lang w:val="en-US"/>
        </w:rPr>
        <w:t xml:space="preserve">judges </w:t>
      </w:r>
      <w:r>
        <w:rPr>
          <w:lang w:val="en-US"/>
        </w:rPr>
        <w:t xml:space="preserve">that </w:t>
      </w:r>
      <w:r w:rsidR="005B038A">
        <w:rPr>
          <w:lang w:val="en-US"/>
        </w:rPr>
        <w:t xml:space="preserve">come to its attention, including a description of the misconduct </w:t>
      </w:r>
      <w:r>
        <w:rPr>
          <w:lang w:val="en-US"/>
        </w:rPr>
        <w:t xml:space="preserve">alleged </w:t>
      </w:r>
      <w:r w:rsidR="005B038A">
        <w:rPr>
          <w:lang w:val="en-US"/>
        </w:rPr>
        <w:t xml:space="preserve">and the </w:t>
      </w:r>
      <w:r w:rsidR="003F6669">
        <w:rPr>
          <w:lang w:val="en-US"/>
        </w:rPr>
        <w:t xml:space="preserve">judicial officer’s </w:t>
      </w:r>
      <w:r w:rsidR="005B038A">
        <w:rPr>
          <w:lang w:val="en-US"/>
        </w:rPr>
        <w:t xml:space="preserve">name.  </w:t>
      </w:r>
      <w:r w:rsidR="001E3ECA">
        <w:rPr>
          <w:lang w:val="en-US"/>
        </w:rPr>
        <w:t xml:space="preserve">(We have not </w:t>
      </w:r>
      <w:proofErr w:type="spellStart"/>
      <w:r w:rsidR="001E3ECA">
        <w:rPr>
          <w:lang w:val="en-US"/>
        </w:rPr>
        <w:t>analysed</w:t>
      </w:r>
      <w:proofErr w:type="spellEnd"/>
      <w:r w:rsidR="001E3ECA">
        <w:rPr>
          <w:lang w:val="en-US"/>
        </w:rPr>
        <w:t xml:space="preserve"> the question in </w:t>
      </w:r>
      <w:proofErr w:type="gramStart"/>
      <w:r w:rsidR="001E3ECA">
        <w:rPr>
          <w:lang w:val="en-US"/>
        </w:rPr>
        <w:t>depth</w:t>
      </w:r>
      <w:proofErr w:type="gramEnd"/>
      <w:r w:rsidR="001E3ECA">
        <w:rPr>
          <w:lang w:val="en-US"/>
        </w:rPr>
        <w:t xml:space="preserve"> and it may be prudent to obtain an opinion on that issue).  </w:t>
      </w:r>
      <w:r w:rsidR="005B038A">
        <w:rPr>
          <w:lang w:val="en-US"/>
        </w:rPr>
        <w:t>Where</w:t>
      </w:r>
      <w:r w:rsidR="00647F6A">
        <w:rPr>
          <w:lang w:val="en-US"/>
        </w:rPr>
        <w:t> </w:t>
      </w:r>
      <w:r w:rsidR="005B038A">
        <w:rPr>
          <w:lang w:val="en-US"/>
        </w:rPr>
        <w:t>such records are made, complainants should:</w:t>
      </w:r>
    </w:p>
    <w:p w14:paraId="56E0EDD9" w14:textId="77777777" w:rsidR="005B038A" w:rsidRDefault="005B038A" w:rsidP="00647F6A">
      <w:pPr>
        <w:pStyle w:val="ListNumber3"/>
        <w:rPr>
          <w:lang w:val="en-US"/>
        </w:rPr>
      </w:pPr>
      <w:r>
        <w:rPr>
          <w:lang w:val="en-US"/>
        </w:rPr>
        <w:t xml:space="preserve">be given the option whether they wish to be named in the </w:t>
      </w:r>
      <w:proofErr w:type="gramStart"/>
      <w:r>
        <w:rPr>
          <w:lang w:val="en-US"/>
        </w:rPr>
        <w:t>report;</w:t>
      </w:r>
      <w:proofErr w:type="gramEnd"/>
      <w:r>
        <w:rPr>
          <w:lang w:val="en-US"/>
        </w:rPr>
        <w:t xml:space="preserve"> </w:t>
      </w:r>
    </w:p>
    <w:p w14:paraId="0E118636" w14:textId="1E856878" w:rsidR="005B038A" w:rsidRDefault="005B038A" w:rsidP="00647F6A">
      <w:pPr>
        <w:pStyle w:val="ListNumber3"/>
        <w:rPr>
          <w:lang w:val="en-US"/>
        </w:rPr>
      </w:pPr>
      <w:r>
        <w:rPr>
          <w:lang w:val="en-US"/>
        </w:rPr>
        <w:lastRenderedPageBreak/>
        <w:t xml:space="preserve">be told that the report will be kept confidentially and securely on a register of occupational health and safety matters relating to reports of inappropriate conduct (and not on that employee’s personnel file) unless the </w:t>
      </w:r>
      <w:r w:rsidR="005C3251">
        <w:rPr>
          <w:lang w:val="en-US"/>
        </w:rPr>
        <w:t xml:space="preserve">conduct reported poses </w:t>
      </w:r>
      <w:r w:rsidR="005524A7">
        <w:rPr>
          <w:lang w:val="en-US"/>
        </w:rPr>
        <w:t>a serious health and safety risk to staff</w:t>
      </w:r>
      <w:r w:rsidR="00D667FC">
        <w:rPr>
          <w:lang w:val="en-US"/>
        </w:rPr>
        <w:t>, such that</w:t>
      </w:r>
      <w:r w:rsidR="005524A7">
        <w:rPr>
          <w:lang w:val="en-US"/>
        </w:rPr>
        <w:t xml:space="preserve"> </w:t>
      </w:r>
      <w:r w:rsidR="00C15E16">
        <w:rPr>
          <w:lang w:val="en-US"/>
        </w:rPr>
        <w:t>CSV</w:t>
      </w:r>
      <w:r>
        <w:rPr>
          <w:lang w:val="en-US"/>
        </w:rPr>
        <w:t xml:space="preserve"> </w:t>
      </w:r>
      <w:r w:rsidR="00D667FC">
        <w:rPr>
          <w:lang w:val="en-US"/>
        </w:rPr>
        <w:t xml:space="preserve">must </w:t>
      </w:r>
      <w:proofErr w:type="gramStart"/>
      <w:r>
        <w:rPr>
          <w:lang w:val="en-US"/>
        </w:rPr>
        <w:t>take action</w:t>
      </w:r>
      <w:proofErr w:type="gramEnd"/>
      <w:r>
        <w:rPr>
          <w:lang w:val="en-US"/>
        </w:rPr>
        <w:t xml:space="preserve"> and anonymity</w:t>
      </w:r>
      <w:r w:rsidR="00D667FC">
        <w:rPr>
          <w:lang w:val="en-US"/>
        </w:rPr>
        <w:t xml:space="preserve"> cannot be maintained</w:t>
      </w:r>
      <w:r>
        <w:rPr>
          <w:lang w:val="en-US"/>
        </w:rPr>
        <w:t>; and</w:t>
      </w:r>
    </w:p>
    <w:p w14:paraId="51567A11" w14:textId="77777777" w:rsidR="005B038A" w:rsidRPr="009926A3" w:rsidRDefault="005B038A" w:rsidP="00647F6A">
      <w:pPr>
        <w:pStyle w:val="ListNumber3"/>
        <w:rPr>
          <w:lang w:val="en-US"/>
        </w:rPr>
      </w:pPr>
      <w:r>
        <w:rPr>
          <w:lang w:val="en-US"/>
        </w:rPr>
        <w:t xml:space="preserve">be asked whether they are willing to be contacted by CSV if further reports are made against the judicial officer in question.  </w:t>
      </w:r>
    </w:p>
    <w:p w14:paraId="7D95BDB5" w14:textId="05569115" w:rsidR="005B038A" w:rsidRDefault="005B038A" w:rsidP="00647F6A">
      <w:pPr>
        <w:pStyle w:val="ListNumber2"/>
        <w:spacing w:before="240"/>
        <w:rPr>
          <w:lang w:val="en-US"/>
        </w:rPr>
      </w:pPr>
      <w:r>
        <w:rPr>
          <w:lang w:val="en-US"/>
        </w:rPr>
        <w:t xml:space="preserve">Above, we recommended </w:t>
      </w:r>
      <w:r w:rsidR="00D6207B">
        <w:rPr>
          <w:lang w:val="en-US"/>
        </w:rPr>
        <w:t xml:space="preserve">at </w:t>
      </w:r>
      <w:r w:rsidR="00586E33" w:rsidRPr="00586E33">
        <w:rPr>
          <w:b/>
          <w:bCs/>
          <w:lang w:val="en-US"/>
        </w:rPr>
        <w:t xml:space="preserve">Recommendation </w:t>
      </w:r>
      <w:r w:rsidR="00B05E53" w:rsidRPr="00586E33">
        <w:rPr>
          <w:b/>
          <w:bCs/>
          <w:lang w:val="en-US"/>
        </w:rPr>
        <w:fldChar w:fldCharType="begin"/>
      </w:r>
      <w:r w:rsidR="00B05E53" w:rsidRPr="00586E33">
        <w:rPr>
          <w:b/>
          <w:bCs/>
          <w:lang w:val="en-US"/>
        </w:rPr>
        <w:instrText xml:space="preserve"> REF _Ref108732591 \r \h  \* MERGEFORMAT </w:instrText>
      </w:r>
      <w:r w:rsidR="00B05E53" w:rsidRPr="00586E33">
        <w:rPr>
          <w:b/>
          <w:bCs/>
          <w:lang w:val="en-US"/>
        </w:rPr>
      </w:r>
      <w:r w:rsidR="00B05E53" w:rsidRPr="00586E33">
        <w:rPr>
          <w:b/>
          <w:bCs/>
          <w:lang w:val="en-US"/>
        </w:rPr>
        <w:fldChar w:fldCharType="separate"/>
      </w:r>
      <w:r w:rsidR="00CF093C">
        <w:rPr>
          <w:b/>
          <w:bCs/>
          <w:lang w:val="en-US"/>
        </w:rPr>
        <w:t>4.7</w:t>
      </w:r>
      <w:r w:rsidR="00B05E53" w:rsidRPr="00586E33">
        <w:rPr>
          <w:b/>
          <w:bCs/>
          <w:lang w:val="en-US"/>
        </w:rPr>
        <w:fldChar w:fldCharType="end"/>
      </w:r>
      <w:r w:rsidR="00B05E53" w:rsidRPr="00647F6A">
        <w:rPr>
          <w:lang w:val="en-US"/>
        </w:rPr>
        <w:t xml:space="preserve"> </w:t>
      </w:r>
      <w:r w:rsidRPr="00647F6A">
        <w:rPr>
          <w:lang w:val="en-US"/>
        </w:rPr>
        <w:t>that</w:t>
      </w:r>
      <w:r>
        <w:rPr>
          <w:lang w:val="en-US"/>
        </w:rPr>
        <w:t xml:space="preserve"> staff judges meet regularly with senior officers in court administration</w:t>
      </w:r>
      <w:r w:rsidR="00281583">
        <w:rPr>
          <w:lang w:val="en-US"/>
        </w:rPr>
        <w:t>.</w:t>
      </w:r>
      <w:r w:rsidR="00EB3973">
        <w:rPr>
          <w:lang w:val="en-US"/>
        </w:rPr>
        <w:t xml:space="preserve">  A focus of that meeting should be to facilitate the keeping of records by CSV, including of expressions of concern made by staff to a staff judge.</w:t>
      </w:r>
      <w:r>
        <w:rPr>
          <w:lang w:val="en-US"/>
        </w:rPr>
        <w:t xml:space="preserve">  The exact process by which that will be done will likely be worked out over time.  The process in each case will depend upon whether the complainant wishes to be anonymous and whether it is possible to maintain anonymity in the circumstances.  It is possible that some complainants may make an informal complaint to the staff judge but not wish anyone within the administration of the court or tribunal to be informed.  In such cases, where there is no real risk to occupational health and safety, the staff judge </w:t>
      </w:r>
      <w:r w:rsidR="00D667FC">
        <w:rPr>
          <w:lang w:val="en-US"/>
        </w:rPr>
        <w:t xml:space="preserve">should seek </w:t>
      </w:r>
      <w:r>
        <w:rPr>
          <w:lang w:val="en-US"/>
        </w:rPr>
        <w:t>the complainant</w:t>
      </w:r>
      <w:r w:rsidR="00D667FC">
        <w:rPr>
          <w:lang w:val="en-US"/>
        </w:rPr>
        <w:t>’s agreement to provide</w:t>
      </w:r>
      <w:r>
        <w:rPr>
          <w:lang w:val="en-US"/>
        </w:rPr>
        <w:t xml:space="preserve"> some de-identified information about the complaint to be kept in the CSV records.</w:t>
      </w:r>
      <w:r w:rsidR="002D635C">
        <w:rPr>
          <w:rStyle w:val="FootnoteReference"/>
          <w:lang w:val="en-US"/>
        </w:rPr>
        <w:footnoteReference w:id="113"/>
      </w:r>
      <w:r>
        <w:rPr>
          <w:lang w:val="en-US"/>
        </w:rPr>
        <w:t xml:space="preserve">  </w:t>
      </w:r>
    </w:p>
    <w:p w14:paraId="2A877B85" w14:textId="0D3ADE97" w:rsidR="00DC4202" w:rsidRDefault="00F00AA0" w:rsidP="00647F6A">
      <w:pPr>
        <w:pStyle w:val="ListNumber2"/>
        <w:spacing w:before="240"/>
        <w:rPr>
          <w:lang w:val="en-US"/>
        </w:rPr>
      </w:pPr>
      <w:r>
        <w:rPr>
          <w:lang w:val="en-US"/>
        </w:rPr>
        <w:t xml:space="preserve">Where </w:t>
      </w:r>
      <w:r w:rsidR="005B038A">
        <w:rPr>
          <w:lang w:val="en-US"/>
        </w:rPr>
        <w:t xml:space="preserve">an informal report </w:t>
      </w:r>
      <w:r>
        <w:rPr>
          <w:lang w:val="en-US"/>
        </w:rPr>
        <w:t xml:space="preserve">has been made, there will be </w:t>
      </w:r>
      <w:r w:rsidR="005B038A">
        <w:rPr>
          <w:lang w:val="en-US"/>
        </w:rPr>
        <w:t xml:space="preserve">no finding that a judicial officer has engaged in any misconduct.  </w:t>
      </w:r>
      <w:r w:rsidR="007C3940">
        <w:rPr>
          <w:lang w:val="en-US"/>
        </w:rPr>
        <w:t xml:space="preserve">However, </w:t>
      </w:r>
      <w:r w:rsidR="00590E8B">
        <w:rPr>
          <w:lang w:val="en-US"/>
        </w:rPr>
        <w:t>judge</w:t>
      </w:r>
      <w:r w:rsidR="007C3940">
        <w:rPr>
          <w:lang w:val="en-US"/>
        </w:rPr>
        <w:t>s</w:t>
      </w:r>
      <w:r w:rsidR="00590E8B">
        <w:rPr>
          <w:lang w:val="en-US"/>
        </w:rPr>
        <w:t xml:space="preserve"> could well be concerned </w:t>
      </w:r>
      <w:r w:rsidR="007C3940">
        <w:rPr>
          <w:lang w:val="en-US"/>
        </w:rPr>
        <w:t xml:space="preserve">if </w:t>
      </w:r>
      <w:r w:rsidR="00D667FC">
        <w:rPr>
          <w:lang w:val="en-US"/>
        </w:rPr>
        <w:t xml:space="preserve">they were </w:t>
      </w:r>
      <w:r w:rsidR="007C3940">
        <w:rPr>
          <w:lang w:val="en-US"/>
        </w:rPr>
        <w:t xml:space="preserve">aware that they have </w:t>
      </w:r>
      <w:r w:rsidR="00590E8B">
        <w:rPr>
          <w:lang w:val="en-US"/>
        </w:rPr>
        <w:t xml:space="preserve">been named in any record </w:t>
      </w:r>
      <w:r w:rsidR="001B6351">
        <w:rPr>
          <w:lang w:val="en-US"/>
        </w:rPr>
        <w:t xml:space="preserve">as the subject of an untested </w:t>
      </w:r>
      <w:r w:rsidR="002D4CB6">
        <w:rPr>
          <w:lang w:val="en-US"/>
        </w:rPr>
        <w:t xml:space="preserve">allegation of inappropriate conduct.  </w:t>
      </w:r>
      <w:r w:rsidR="000315DA">
        <w:rPr>
          <w:lang w:val="en-US"/>
        </w:rPr>
        <w:t xml:space="preserve">In many cases, the relevant judge will not be aware of this.  </w:t>
      </w:r>
      <w:r w:rsidR="002D4CB6">
        <w:rPr>
          <w:lang w:val="en-US"/>
        </w:rPr>
        <w:t xml:space="preserve">It may be argued that a judge </w:t>
      </w:r>
      <w:r w:rsidR="000315DA">
        <w:rPr>
          <w:lang w:val="en-US"/>
        </w:rPr>
        <w:t xml:space="preserve">is entitled </w:t>
      </w:r>
      <w:r w:rsidR="002F369C">
        <w:rPr>
          <w:lang w:val="en-US"/>
        </w:rPr>
        <w:t>to be informed that such a record exists.  If</w:t>
      </w:r>
      <w:r w:rsidR="002347A5">
        <w:rPr>
          <w:lang w:val="en-US"/>
        </w:rPr>
        <w:t>,</w:t>
      </w:r>
      <w:r w:rsidR="002F369C">
        <w:rPr>
          <w:lang w:val="en-US"/>
        </w:rPr>
        <w:t xml:space="preserve"> however, the protocol requires the “accused” judge to be </w:t>
      </w:r>
      <w:r w:rsidR="00726BD3">
        <w:rPr>
          <w:lang w:val="en-US"/>
        </w:rPr>
        <w:t xml:space="preserve">informed, it is likely that troubled staff will not make </w:t>
      </w:r>
      <w:r w:rsidR="00464A2B">
        <w:rPr>
          <w:lang w:val="en-US"/>
        </w:rPr>
        <w:t xml:space="preserve">even </w:t>
      </w:r>
      <w:r w:rsidR="00726BD3">
        <w:rPr>
          <w:lang w:val="en-US"/>
        </w:rPr>
        <w:t>informal confidences about their problems.  The</w:t>
      </w:r>
      <w:r w:rsidR="006416BA">
        <w:rPr>
          <w:lang w:val="en-US"/>
        </w:rPr>
        <w:t> </w:t>
      </w:r>
      <w:r w:rsidR="00726BD3">
        <w:rPr>
          <w:lang w:val="en-US"/>
        </w:rPr>
        <w:t xml:space="preserve">principal reason for this is that </w:t>
      </w:r>
      <w:r w:rsidR="005A16FB">
        <w:rPr>
          <w:lang w:val="en-US"/>
        </w:rPr>
        <w:t>judicial and court staff are very fearful of a judge learning that they have complained about</w:t>
      </w:r>
      <w:r w:rsidR="00464A2B">
        <w:rPr>
          <w:lang w:val="en-US"/>
        </w:rPr>
        <w:t>,</w:t>
      </w:r>
      <w:r w:rsidR="005A16FB">
        <w:rPr>
          <w:lang w:val="en-US"/>
        </w:rPr>
        <w:t xml:space="preserve"> or </w:t>
      </w:r>
      <w:proofErr w:type="spellStart"/>
      <w:r w:rsidR="005A16FB">
        <w:rPr>
          <w:lang w:val="en-US"/>
        </w:rPr>
        <w:t>criticised</w:t>
      </w:r>
      <w:proofErr w:type="spellEnd"/>
      <w:r w:rsidR="00464A2B">
        <w:rPr>
          <w:lang w:val="en-US"/>
        </w:rPr>
        <w:t>,</w:t>
      </w:r>
      <w:r w:rsidR="005A16FB">
        <w:rPr>
          <w:lang w:val="en-US"/>
        </w:rPr>
        <w:t xml:space="preserve"> him</w:t>
      </w:r>
      <w:r w:rsidR="00464A2B">
        <w:rPr>
          <w:lang w:val="en-US"/>
        </w:rPr>
        <w:t xml:space="preserve"> or her</w:t>
      </w:r>
      <w:r w:rsidR="005A16FB">
        <w:rPr>
          <w:lang w:val="en-US"/>
        </w:rPr>
        <w:t>.  Staff fear retribution and ill will, as well as the loss of the judge</w:t>
      </w:r>
      <w:r w:rsidR="00AC3195">
        <w:rPr>
          <w:lang w:val="en-US"/>
        </w:rPr>
        <w:t xml:space="preserve">’s professional support.  </w:t>
      </w:r>
      <w:r w:rsidR="000E501A">
        <w:rPr>
          <w:lang w:val="en-US"/>
        </w:rPr>
        <w:t xml:space="preserve">There is thus a real tension between, on the one hand, </w:t>
      </w:r>
      <w:r w:rsidR="00464A2B">
        <w:rPr>
          <w:lang w:val="en-US"/>
        </w:rPr>
        <w:t xml:space="preserve">the beneficial </w:t>
      </w:r>
      <w:r w:rsidR="007C3940">
        <w:rPr>
          <w:lang w:val="en-US"/>
        </w:rPr>
        <w:t xml:space="preserve">recording </w:t>
      </w:r>
      <w:r w:rsidR="00464A2B">
        <w:rPr>
          <w:lang w:val="en-US"/>
        </w:rPr>
        <w:t xml:space="preserve">of </w:t>
      </w:r>
      <w:r w:rsidR="000E501A">
        <w:rPr>
          <w:lang w:val="en-US"/>
        </w:rPr>
        <w:t xml:space="preserve">informal communications or complaints and, on the other </w:t>
      </w:r>
      <w:r w:rsidR="000E501A">
        <w:rPr>
          <w:lang w:val="en-US"/>
        </w:rPr>
        <w:lastRenderedPageBreak/>
        <w:t xml:space="preserve">hand, </w:t>
      </w:r>
      <w:r w:rsidR="00DC4202">
        <w:rPr>
          <w:lang w:val="en-US"/>
        </w:rPr>
        <w:t xml:space="preserve">the desirability of advising the judge that he or she is mentioned </w:t>
      </w:r>
      <w:r w:rsidR="00464A2B">
        <w:rPr>
          <w:lang w:val="en-US"/>
        </w:rPr>
        <w:t xml:space="preserve">in a report </w:t>
      </w:r>
      <w:r w:rsidR="00DC4202">
        <w:rPr>
          <w:lang w:val="en-US"/>
        </w:rPr>
        <w:t>as the object of adverse comment</w:t>
      </w:r>
      <w:r w:rsidR="00464A2B">
        <w:rPr>
          <w:lang w:val="en-US"/>
        </w:rPr>
        <w:t>.</w:t>
      </w:r>
    </w:p>
    <w:p w14:paraId="133D8B38" w14:textId="5FA91C14" w:rsidR="00C1427F" w:rsidRDefault="00DC4202" w:rsidP="00647F6A">
      <w:pPr>
        <w:pStyle w:val="ListNumber2"/>
        <w:spacing w:before="240"/>
        <w:rPr>
          <w:lang w:val="en-US"/>
        </w:rPr>
      </w:pPr>
      <w:r>
        <w:rPr>
          <w:lang w:val="en-US"/>
        </w:rPr>
        <w:t>It may not be possible to resolve that tension</w:t>
      </w:r>
      <w:r w:rsidR="007C3940">
        <w:rPr>
          <w:lang w:val="en-US"/>
        </w:rPr>
        <w:t xml:space="preserve"> entirely</w:t>
      </w:r>
      <w:r>
        <w:rPr>
          <w:lang w:val="en-US"/>
        </w:rPr>
        <w:t>.  If keeping such records</w:t>
      </w:r>
      <w:r w:rsidR="00EE5D3D">
        <w:rPr>
          <w:lang w:val="en-US"/>
        </w:rPr>
        <w:t xml:space="preserve"> is important to staff safety, </w:t>
      </w:r>
      <w:r w:rsidR="0052629D">
        <w:rPr>
          <w:lang w:val="en-US"/>
        </w:rPr>
        <w:t xml:space="preserve">this </w:t>
      </w:r>
      <w:r w:rsidR="00EE5D3D">
        <w:rPr>
          <w:lang w:val="en-US"/>
        </w:rPr>
        <w:t>may be seen to outweigh the named person</w:t>
      </w:r>
      <w:r w:rsidR="0052629D">
        <w:rPr>
          <w:lang w:val="en-US"/>
        </w:rPr>
        <w:t>’</w:t>
      </w:r>
      <w:r w:rsidR="00EE5D3D">
        <w:rPr>
          <w:lang w:val="en-US"/>
        </w:rPr>
        <w:t xml:space="preserve">s interest in knowing </w:t>
      </w:r>
      <w:r w:rsidR="005D2C88">
        <w:rPr>
          <w:lang w:val="en-US"/>
        </w:rPr>
        <w:t xml:space="preserve">of the report.  Certainly, if the latter is </w:t>
      </w:r>
      <w:proofErr w:type="spellStart"/>
      <w:r w:rsidR="005D2C88">
        <w:rPr>
          <w:lang w:val="en-US"/>
        </w:rPr>
        <w:t>prioritised</w:t>
      </w:r>
      <w:proofErr w:type="spellEnd"/>
      <w:r w:rsidR="005D2C88">
        <w:rPr>
          <w:lang w:val="en-US"/>
        </w:rPr>
        <w:t xml:space="preserve">, staff would not </w:t>
      </w:r>
      <w:r w:rsidR="0052629D">
        <w:rPr>
          <w:lang w:val="en-US"/>
        </w:rPr>
        <w:t xml:space="preserve">wish their complaint to be recorded, </w:t>
      </w:r>
      <w:r w:rsidR="00C1427F">
        <w:rPr>
          <w:lang w:val="en-US"/>
        </w:rPr>
        <w:t xml:space="preserve">as the judge could guess their identity.  </w:t>
      </w:r>
    </w:p>
    <w:p w14:paraId="749BB94B" w14:textId="3782B498" w:rsidR="005B038A" w:rsidRDefault="00E90C9F" w:rsidP="00647F6A">
      <w:pPr>
        <w:pStyle w:val="ListNumber2"/>
        <w:spacing w:before="240"/>
        <w:rPr>
          <w:lang w:val="en-US"/>
        </w:rPr>
      </w:pPr>
      <w:r>
        <w:rPr>
          <w:lang w:val="en-US"/>
        </w:rPr>
        <w:t>It is not clear that any</w:t>
      </w:r>
      <w:r w:rsidR="002B4E49">
        <w:rPr>
          <w:lang w:val="en-US"/>
        </w:rPr>
        <w:t xml:space="preserve"> compelling consideration </w:t>
      </w:r>
      <w:r w:rsidR="00C1427F">
        <w:rPr>
          <w:lang w:val="en-US"/>
        </w:rPr>
        <w:t>require</w:t>
      </w:r>
      <w:r w:rsidR="002B18D3">
        <w:rPr>
          <w:lang w:val="en-US"/>
        </w:rPr>
        <w:t>s</w:t>
      </w:r>
      <w:r w:rsidR="00C1427F">
        <w:rPr>
          <w:lang w:val="en-US"/>
        </w:rPr>
        <w:t xml:space="preserve"> a judge to be informed that he or she has been </w:t>
      </w:r>
      <w:proofErr w:type="spellStart"/>
      <w:r w:rsidR="00C1427F">
        <w:rPr>
          <w:lang w:val="en-US"/>
        </w:rPr>
        <w:t>criticised</w:t>
      </w:r>
      <w:proofErr w:type="spellEnd"/>
      <w:r w:rsidR="00C1427F">
        <w:rPr>
          <w:lang w:val="en-US"/>
        </w:rPr>
        <w:t xml:space="preserve"> in </w:t>
      </w:r>
      <w:r w:rsidR="00944F63">
        <w:rPr>
          <w:lang w:val="en-US"/>
        </w:rPr>
        <w:t xml:space="preserve">the </w:t>
      </w:r>
      <w:r w:rsidR="0052629D">
        <w:rPr>
          <w:lang w:val="en-US"/>
        </w:rPr>
        <w:t xml:space="preserve">mere </w:t>
      </w:r>
      <w:r w:rsidR="00944F63">
        <w:rPr>
          <w:lang w:val="en-US"/>
        </w:rPr>
        <w:t xml:space="preserve">record of an anonymous informal report made in confidence.  </w:t>
      </w:r>
      <w:r w:rsidR="0052629D">
        <w:rPr>
          <w:lang w:val="en-US"/>
        </w:rPr>
        <w:t xml:space="preserve">There appears to be </w:t>
      </w:r>
      <w:r w:rsidR="00944F63">
        <w:rPr>
          <w:lang w:val="en-US"/>
        </w:rPr>
        <w:t xml:space="preserve">no requirement </w:t>
      </w:r>
      <w:r w:rsidR="00245B07">
        <w:rPr>
          <w:lang w:val="en-US"/>
        </w:rPr>
        <w:t xml:space="preserve">to inform employees generally that they have </w:t>
      </w:r>
      <w:r w:rsidR="00944F63">
        <w:rPr>
          <w:lang w:val="en-US"/>
        </w:rPr>
        <w:t xml:space="preserve">been </w:t>
      </w:r>
      <w:proofErr w:type="spellStart"/>
      <w:r w:rsidR="00944F63">
        <w:rPr>
          <w:lang w:val="en-US"/>
        </w:rPr>
        <w:t>criticised</w:t>
      </w:r>
      <w:proofErr w:type="spellEnd"/>
      <w:r w:rsidR="00944F63">
        <w:rPr>
          <w:lang w:val="en-US"/>
        </w:rPr>
        <w:t xml:space="preserve"> in </w:t>
      </w:r>
      <w:r w:rsidR="009B3C7E">
        <w:rPr>
          <w:lang w:val="en-US"/>
        </w:rPr>
        <w:t>an informal</w:t>
      </w:r>
      <w:r w:rsidR="0052629D">
        <w:rPr>
          <w:lang w:val="en-US"/>
        </w:rPr>
        <w:t>,</w:t>
      </w:r>
      <w:r w:rsidR="009B3C7E">
        <w:rPr>
          <w:lang w:val="en-US"/>
        </w:rPr>
        <w:t xml:space="preserve"> confidential oral report</w:t>
      </w:r>
      <w:r w:rsidR="00D33F5A">
        <w:rPr>
          <w:lang w:val="en-US"/>
        </w:rPr>
        <w:t>.</w:t>
      </w:r>
      <w:r w:rsidR="008B4F2E">
        <w:rPr>
          <w:lang w:val="en-US"/>
        </w:rPr>
        <w:t xml:space="preserve"> </w:t>
      </w:r>
      <w:r w:rsidR="00D33F5A">
        <w:rPr>
          <w:lang w:val="en-US"/>
        </w:rPr>
        <w:t xml:space="preserve"> Including </w:t>
      </w:r>
      <w:r w:rsidR="0052629D">
        <w:rPr>
          <w:lang w:val="en-US"/>
        </w:rPr>
        <w:t>such a</w:t>
      </w:r>
      <w:r w:rsidR="00D33F5A">
        <w:rPr>
          <w:lang w:val="en-US"/>
        </w:rPr>
        <w:t>n oral</w:t>
      </w:r>
      <w:r w:rsidR="0052629D">
        <w:rPr>
          <w:lang w:val="en-US"/>
        </w:rPr>
        <w:t xml:space="preserve"> report </w:t>
      </w:r>
      <w:r w:rsidR="009B3C7E">
        <w:rPr>
          <w:lang w:val="en-US"/>
        </w:rPr>
        <w:t xml:space="preserve">in a securely kept written record would not appear to make a material difference.  </w:t>
      </w:r>
      <w:r w:rsidR="005C0B65">
        <w:rPr>
          <w:lang w:val="en-US"/>
        </w:rPr>
        <w:t xml:space="preserve">From CSV’s </w:t>
      </w:r>
      <w:r w:rsidR="00AB35BA">
        <w:rPr>
          <w:lang w:val="en-US"/>
        </w:rPr>
        <w:t>perspective</w:t>
      </w:r>
      <w:r w:rsidR="005B038A">
        <w:rPr>
          <w:lang w:val="en-US"/>
        </w:rPr>
        <w:t xml:space="preserve">, the record </w:t>
      </w:r>
      <w:r w:rsidR="00AB35BA">
        <w:rPr>
          <w:lang w:val="en-US"/>
        </w:rPr>
        <w:t xml:space="preserve">would narrate </w:t>
      </w:r>
      <w:r w:rsidR="005B038A">
        <w:rPr>
          <w:lang w:val="en-US"/>
        </w:rPr>
        <w:t>the historical fact that one of its employees, during their employment, made a</w:t>
      </w:r>
      <w:r w:rsidR="00A9102F">
        <w:rPr>
          <w:lang w:val="en-US"/>
        </w:rPr>
        <w:t xml:space="preserve">n allegation or criticism </w:t>
      </w:r>
      <w:r w:rsidR="005B038A">
        <w:rPr>
          <w:lang w:val="en-US"/>
        </w:rPr>
        <w:t xml:space="preserve">about the conduct of a judicial officer.  The record may also state what was done in response to the informal report.  </w:t>
      </w:r>
    </w:p>
    <w:p w14:paraId="15206BDC" w14:textId="15830F29" w:rsidR="005B038A" w:rsidRPr="00983DD3" w:rsidRDefault="005B038A" w:rsidP="00647F6A">
      <w:pPr>
        <w:pStyle w:val="ListNumber2"/>
        <w:spacing w:before="240"/>
        <w:rPr>
          <w:lang w:val="en-US"/>
        </w:rPr>
      </w:pPr>
      <w:r w:rsidRPr="00983DD3">
        <w:rPr>
          <w:lang w:val="en-US"/>
        </w:rPr>
        <w:t xml:space="preserve">We </w:t>
      </w:r>
      <w:r w:rsidR="001D673E" w:rsidRPr="00983DD3">
        <w:rPr>
          <w:lang w:val="en-US"/>
        </w:rPr>
        <w:t xml:space="preserve">refer to </w:t>
      </w:r>
      <w:r w:rsidRPr="00983DD3">
        <w:rPr>
          <w:lang w:val="en-US"/>
        </w:rPr>
        <w:t xml:space="preserve">the terms of s 22(2)(a) of the OHS Act, quoted above.  </w:t>
      </w:r>
      <w:r w:rsidR="008F6E2A" w:rsidRPr="00983DD3">
        <w:rPr>
          <w:lang w:val="en-US"/>
        </w:rPr>
        <w:t xml:space="preserve">A </w:t>
      </w:r>
      <w:r w:rsidRPr="00983DD3">
        <w:rPr>
          <w:lang w:val="en-US"/>
        </w:rPr>
        <w:t xml:space="preserve">record of an informal report against a judicial officer for sexual harassment (or other serious misconduct) </w:t>
      </w:r>
      <w:r w:rsidR="008F6E2A" w:rsidRPr="00983DD3">
        <w:rPr>
          <w:lang w:val="en-US"/>
        </w:rPr>
        <w:t xml:space="preserve">could constitute </w:t>
      </w:r>
      <w:r w:rsidRPr="00983DD3">
        <w:rPr>
          <w:lang w:val="en-US"/>
        </w:rPr>
        <w:t xml:space="preserve">a record “relating to the health and safety of employees [of CSV]”.  </w:t>
      </w:r>
      <w:r w:rsidR="008F6E2A" w:rsidRPr="00983DD3">
        <w:rPr>
          <w:lang w:val="en-US"/>
        </w:rPr>
        <w:t xml:space="preserve">In some </w:t>
      </w:r>
      <w:r w:rsidRPr="00983DD3">
        <w:rPr>
          <w:lang w:val="en-US"/>
        </w:rPr>
        <w:t>cases</w:t>
      </w:r>
      <w:r w:rsidR="008F6E2A" w:rsidRPr="00983DD3">
        <w:rPr>
          <w:lang w:val="en-US"/>
        </w:rPr>
        <w:t xml:space="preserve">, it may </w:t>
      </w:r>
      <w:r w:rsidRPr="00983DD3">
        <w:rPr>
          <w:lang w:val="en-US"/>
        </w:rPr>
        <w:t xml:space="preserve">not be “reasonably practicable” to keep such records within the meaning of that phrase in s 22(2) of the OHS Act.  However, keeping of records of informal reports — acknowledging the fact that they constitute a record of an </w:t>
      </w:r>
      <w:r w:rsidRPr="00983DD3">
        <w:rPr>
          <w:i/>
          <w:iCs/>
          <w:lang w:val="en-US"/>
        </w:rPr>
        <w:t>unproven allegation</w:t>
      </w:r>
      <w:r w:rsidRPr="00983DD3">
        <w:rPr>
          <w:lang w:val="en-US"/>
        </w:rPr>
        <w:t xml:space="preserve"> against a judicial officer — </w:t>
      </w:r>
      <w:r w:rsidR="002227AD" w:rsidRPr="00983DD3">
        <w:rPr>
          <w:lang w:val="en-US"/>
        </w:rPr>
        <w:t>may support</w:t>
      </w:r>
      <w:r w:rsidRPr="00983DD3">
        <w:rPr>
          <w:lang w:val="en-US"/>
        </w:rPr>
        <w:t xml:space="preserve"> CSV’s compliance with occupational health and safety requirements, and significantly strengthen its ability to identify sexual harassment risk</w:t>
      </w:r>
      <w:r w:rsidR="002227AD" w:rsidRPr="00983DD3">
        <w:rPr>
          <w:lang w:val="en-US"/>
        </w:rPr>
        <w:t>s</w:t>
      </w:r>
      <w:r w:rsidRPr="00983DD3">
        <w:rPr>
          <w:lang w:val="en-US"/>
        </w:rPr>
        <w:t xml:space="preserve"> where </w:t>
      </w:r>
      <w:r w:rsidR="002668BC" w:rsidRPr="00983DD3">
        <w:rPr>
          <w:lang w:val="en-US"/>
        </w:rPr>
        <w:t xml:space="preserve">they </w:t>
      </w:r>
      <w:r w:rsidRPr="00983DD3">
        <w:rPr>
          <w:lang w:val="en-US"/>
        </w:rPr>
        <w:t xml:space="preserve">exist.  </w:t>
      </w:r>
      <w:r w:rsidR="00375F3A">
        <w:rPr>
          <w:lang w:val="en-US"/>
        </w:rPr>
        <w:t xml:space="preserve">We also note the expanded reporting obligations contained in the proposed Occupational Health and Safety Amendment (Psychological Health) Regulations, </w:t>
      </w:r>
      <w:proofErr w:type="spellStart"/>
      <w:r w:rsidR="00375F3A">
        <w:rPr>
          <w:lang w:val="en-US"/>
        </w:rPr>
        <w:t>summarised</w:t>
      </w:r>
      <w:proofErr w:type="spellEnd"/>
      <w:r w:rsidR="00375F3A">
        <w:rPr>
          <w:lang w:val="en-US"/>
        </w:rPr>
        <w:t xml:space="preserve"> at </w:t>
      </w:r>
      <w:r w:rsidR="00375F3A" w:rsidRPr="00647F6A">
        <w:rPr>
          <w:lang w:val="en-US"/>
        </w:rPr>
        <w:t>[</w:t>
      </w:r>
      <w:r w:rsidR="002D06AF" w:rsidRPr="00647F6A">
        <w:rPr>
          <w:lang w:val="en-US"/>
        </w:rPr>
        <w:fldChar w:fldCharType="begin"/>
      </w:r>
      <w:r w:rsidR="002D06AF" w:rsidRPr="00647F6A">
        <w:rPr>
          <w:lang w:val="en-US"/>
        </w:rPr>
        <w:instrText xml:space="preserve"> REF _Ref108732799 \r \h  \* MERGEFORMAT </w:instrText>
      </w:r>
      <w:r w:rsidR="002D06AF" w:rsidRPr="00647F6A">
        <w:rPr>
          <w:lang w:val="en-US"/>
        </w:rPr>
      </w:r>
      <w:r w:rsidR="002D06AF" w:rsidRPr="00647F6A">
        <w:rPr>
          <w:lang w:val="en-US"/>
        </w:rPr>
        <w:fldChar w:fldCharType="separate"/>
      </w:r>
      <w:r w:rsidR="00CF093C">
        <w:rPr>
          <w:lang w:val="en-US"/>
        </w:rPr>
        <w:t>63</w:t>
      </w:r>
      <w:r w:rsidR="002D06AF" w:rsidRPr="00647F6A">
        <w:rPr>
          <w:lang w:val="en-US"/>
        </w:rPr>
        <w:fldChar w:fldCharType="end"/>
      </w:r>
      <w:r w:rsidR="00375F3A" w:rsidRPr="00647F6A">
        <w:rPr>
          <w:lang w:val="en-US"/>
        </w:rPr>
        <w:t>]</w:t>
      </w:r>
      <w:r w:rsidR="00375F3A">
        <w:rPr>
          <w:lang w:val="en-US"/>
        </w:rPr>
        <w:t xml:space="preserve"> above</w:t>
      </w:r>
      <w:r w:rsidR="00C57D96">
        <w:rPr>
          <w:lang w:val="en-US"/>
        </w:rPr>
        <w:t>.</w:t>
      </w:r>
    </w:p>
    <w:p w14:paraId="17D682E8" w14:textId="16A68E89" w:rsidR="005B038A" w:rsidRPr="0048423F" w:rsidRDefault="005B038A" w:rsidP="00647F6A">
      <w:pPr>
        <w:pStyle w:val="ListNumber2"/>
        <w:spacing w:before="240"/>
        <w:rPr>
          <w:lang w:val="en-US"/>
        </w:rPr>
      </w:pPr>
      <w:r>
        <w:rPr>
          <w:lang w:val="en-US"/>
        </w:rPr>
        <w:t>Where records reveal that a multitude of informal complaints have been made</w:t>
      </w:r>
      <w:r w:rsidR="00717E08">
        <w:rPr>
          <w:lang w:val="en-US"/>
        </w:rPr>
        <w:t xml:space="preserve"> against</w:t>
      </w:r>
      <w:r w:rsidR="002668BC">
        <w:rPr>
          <w:lang w:val="en-US"/>
        </w:rPr>
        <w:t>, or concerns expressed</w:t>
      </w:r>
      <w:r w:rsidR="00717E08">
        <w:rPr>
          <w:lang w:val="en-US"/>
        </w:rPr>
        <w:t xml:space="preserve"> about </w:t>
      </w:r>
      <w:r>
        <w:rPr>
          <w:lang w:val="en-US"/>
        </w:rPr>
        <w:t xml:space="preserve">a particular judicial officer, CSV </w:t>
      </w:r>
      <w:r w:rsidR="00717E08">
        <w:rPr>
          <w:lang w:val="en-US"/>
        </w:rPr>
        <w:t xml:space="preserve">and </w:t>
      </w:r>
      <w:r>
        <w:rPr>
          <w:lang w:val="en-US"/>
        </w:rPr>
        <w:t xml:space="preserve">the head of jurisdiction </w:t>
      </w:r>
      <w:r w:rsidR="00717E08">
        <w:rPr>
          <w:lang w:val="en-US"/>
        </w:rPr>
        <w:t xml:space="preserve">could confer on </w:t>
      </w:r>
      <w:r>
        <w:rPr>
          <w:lang w:val="en-US"/>
        </w:rPr>
        <w:t>steps to mitigate the risk posed to CSV-employees</w:t>
      </w:r>
      <w:r w:rsidR="00A2016E">
        <w:rPr>
          <w:lang w:val="en-US"/>
        </w:rPr>
        <w:t>.</w:t>
      </w:r>
      <w:r>
        <w:rPr>
          <w:lang w:val="en-US"/>
        </w:rPr>
        <w:t xml:space="preserve"> </w:t>
      </w:r>
      <w:r w:rsidR="00A2016E">
        <w:rPr>
          <w:lang w:val="en-US"/>
        </w:rPr>
        <w:t xml:space="preserve"> Such steps might include some </w:t>
      </w:r>
      <w:r>
        <w:rPr>
          <w:lang w:val="en-US"/>
        </w:rPr>
        <w:t xml:space="preserve">supervision of the judicial officer’s interaction with staff, conditions on the judicial officer’s interactions with staff, selection of </w:t>
      </w:r>
      <w:r>
        <w:rPr>
          <w:lang w:val="en-US"/>
        </w:rPr>
        <w:lastRenderedPageBreak/>
        <w:t xml:space="preserve">different staff to work with that judicial officer, </w:t>
      </w:r>
      <w:r w:rsidR="00E37C32">
        <w:rPr>
          <w:lang w:val="en-US"/>
        </w:rPr>
        <w:t xml:space="preserve">requiring training for the judicial officer (see </w:t>
      </w:r>
      <w:r w:rsidR="00E37C32" w:rsidRPr="00586E33">
        <w:rPr>
          <w:b/>
          <w:bCs/>
          <w:lang w:val="en-US"/>
        </w:rPr>
        <w:t xml:space="preserve">Recommendation </w:t>
      </w:r>
      <w:r w:rsidR="000B6BF6" w:rsidRPr="00586E33">
        <w:rPr>
          <w:b/>
          <w:bCs/>
          <w:lang w:val="en-US"/>
        </w:rPr>
        <w:fldChar w:fldCharType="begin"/>
      </w:r>
      <w:r w:rsidR="000B6BF6" w:rsidRPr="00586E33">
        <w:rPr>
          <w:b/>
          <w:bCs/>
          <w:lang w:val="en-US"/>
        </w:rPr>
        <w:instrText xml:space="preserve"> REF _Ref108732829 \r \h </w:instrText>
      </w:r>
      <w:r w:rsidR="00647F6A" w:rsidRPr="00586E33">
        <w:rPr>
          <w:b/>
          <w:bCs/>
          <w:lang w:val="en-US"/>
        </w:rPr>
        <w:instrText xml:space="preserve"> \* MERGEFORMAT </w:instrText>
      </w:r>
      <w:r w:rsidR="000B6BF6" w:rsidRPr="00586E33">
        <w:rPr>
          <w:b/>
          <w:bCs/>
          <w:lang w:val="en-US"/>
        </w:rPr>
      </w:r>
      <w:r w:rsidR="000B6BF6" w:rsidRPr="00586E33">
        <w:rPr>
          <w:b/>
          <w:bCs/>
          <w:lang w:val="en-US"/>
        </w:rPr>
        <w:fldChar w:fldCharType="separate"/>
      </w:r>
      <w:r w:rsidR="00CF093C">
        <w:rPr>
          <w:b/>
          <w:bCs/>
          <w:lang w:val="en-US"/>
        </w:rPr>
        <w:t>10</w:t>
      </w:r>
      <w:r w:rsidR="000B6BF6" w:rsidRPr="00586E33">
        <w:rPr>
          <w:b/>
          <w:bCs/>
          <w:lang w:val="en-US"/>
        </w:rPr>
        <w:fldChar w:fldCharType="end"/>
      </w:r>
      <w:r w:rsidR="00E37C32">
        <w:rPr>
          <w:lang w:val="en-US"/>
        </w:rPr>
        <w:t>)</w:t>
      </w:r>
      <w:r w:rsidR="00261CAF">
        <w:rPr>
          <w:lang w:val="en-US"/>
        </w:rPr>
        <w:t xml:space="preserve"> </w:t>
      </w:r>
      <w:r>
        <w:rPr>
          <w:lang w:val="en-US"/>
        </w:rPr>
        <w:t xml:space="preserve">or other </w:t>
      </w:r>
      <w:r w:rsidR="00A2016E">
        <w:rPr>
          <w:lang w:val="en-US"/>
        </w:rPr>
        <w:t xml:space="preserve">appropriate </w:t>
      </w:r>
      <w:r w:rsidR="00056302">
        <w:rPr>
          <w:lang w:val="en-US"/>
        </w:rPr>
        <w:t>action</w:t>
      </w:r>
      <w:r w:rsidR="0085108F">
        <w:rPr>
          <w:lang w:val="en-US"/>
        </w:rPr>
        <w:t>.</w:t>
      </w:r>
    </w:p>
    <w:p w14:paraId="1B68C9A9" w14:textId="5414832C" w:rsidR="005B038A" w:rsidRDefault="005B038A" w:rsidP="00647F6A">
      <w:pPr>
        <w:pStyle w:val="ListNumber2"/>
        <w:spacing w:before="240"/>
        <w:rPr>
          <w:lang w:val="en-US"/>
        </w:rPr>
      </w:pPr>
      <w:r>
        <w:rPr>
          <w:lang w:val="en-US"/>
        </w:rPr>
        <w:t>CSV</w:t>
      </w:r>
      <w:r w:rsidR="002610CF">
        <w:rPr>
          <w:lang w:val="en-US"/>
        </w:rPr>
        <w:t>’s recently published</w:t>
      </w:r>
      <w:r>
        <w:rPr>
          <w:lang w:val="en-US"/>
        </w:rPr>
        <w:t xml:space="preserve"> Policy titled “Resolution procedure — Inappropriate workplace behaviours” details the role of “Your Safe Space” as an external body which can be a first point of contact for staff who experience inappropriate conduct, including where that conduct is perpetrated by a judicial officer.  The Policy also notes that CSV has a mandatory obligation to act where there is a risk to employees that cannot be mitigated without further action.  In our view, </w:t>
      </w:r>
      <w:r w:rsidR="00CD53F5">
        <w:rPr>
          <w:lang w:val="en-US"/>
        </w:rPr>
        <w:t xml:space="preserve">there should </w:t>
      </w:r>
      <w:r>
        <w:rPr>
          <w:lang w:val="en-US"/>
        </w:rPr>
        <w:t xml:space="preserve">be </w:t>
      </w:r>
      <w:r w:rsidR="006F50C3">
        <w:rPr>
          <w:lang w:val="en-US"/>
        </w:rPr>
        <w:t xml:space="preserve">an </w:t>
      </w:r>
      <w:r w:rsidR="00EF2ACC">
        <w:rPr>
          <w:lang w:val="en-US"/>
        </w:rPr>
        <w:t xml:space="preserve">arrangement requiring </w:t>
      </w:r>
      <w:r w:rsidR="000C3F40">
        <w:rPr>
          <w:lang w:val="en-US"/>
        </w:rPr>
        <w:t xml:space="preserve">Your Safe Space </w:t>
      </w:r>
      <w:r w:rsidR="000E02FC">
        <w:rPr>
          <w:lang w:val="en-US"/>
        </w:rPr>
        <w:t xml:space="preserve">to </w:t>
      </w:r>
      <w:r>
        <w:rPr>
          <w:lang w:val="en-US"/>
        </w:rPr>
        <w:t xml:space="preserve">inform </w:t>
      </w:r>
      <w:r w:rsidR="000E02FC">
        <w:rPr>
          <w:lang w:val="en-US"/>
        </w:rPr>
        <w:t xml:space="preserve">CSV </w:t>
      </w:r>
      <w:r>
        <w:rPr>
          <w:lang w:val="en-US"/>
        </w:rPr>
        <w:t xml:space="preserve">of risks to staff </w:t>
      </w:r>
      <w:r w:rsidR="005A0264">
        <w:rPr>
          <w:lang w:val="en-US"/>
        </w:rPr>
        <w:t xml:space="preserve">apparent </w:t>
      </w:r>
      <w:r>
        <w:rPr>
          <w:lang w:val="en-US"/>
        </w:rPr>
        <w:t>from a report made only to Your Safe Space</w:t>
      </w:r>
      <w:r w:rsidR="005A0264">
        <w:rPr>
          <w:lang w:val="en-US"/>
        </w:rPr>
        <w:t xml:space="preserve">.  The arrangement </w:t>
      </w:r>
      <w:r w:rsidR="00940F5D">
        <w:rPr>
          <w:lang w:val="en-US"/>
        </w:rPr>
        <w:t xml:space="preserve">should also provide for the maintenance </w:t>
      </w:r>
      <w:r w:rsidR="00AD7957">
        <w:rPr>
          <w:lang w:val="en-US"/>
        </w:rPr>
        <w:t xml:space="preserve">of </w:t>
      </w:r>
      <w:r>
        <w:rPr>
          <w:lang w:val="en-US"/>
        </w:rPr>
        <w:t xml:space="preserve">confidentiality of staff (where requested) as far as possible in </w:t>
      </w:r>
      <w:r w:rsidR="000406BF">
        <w:rPr>
          <w:lang w:val="en-US"/>
        </w:rPr>
        <w:t xml:space="preserve">the </w:t>
      </w:r>
      <w:r>
        <w:rPr>
          <w:lang w:val="en-US"/>
        </w:rPr>
        <w:t xml:space="preserve">circumstances.  </w:t>
      </w:r>
    </w:p>
    <w:p w14:paraId="2D87E003" w14:textId="09F471DA" w:rsidR="000406BF" w:rsidRPr="004A08FA" w:rsidRDefault="00B34C21" w:rsidP="00647F6A">
      <w:pPr>
        <w:pStyle w:val="Heading5"/>
        <w:rPr>
          <w:lang w:val="en-US"/>
        </w:rPr>
      </w:pPr>
      <w:r>
        <w:rPr>
          <w:lang w:val="en-US"/>
        </w:rPr>
        <w:t xml:space="preserve">We recommend that </w:t>
      </w:r>
      <w:r w:rsidR="00B337F6" w:rsidRPr="00B337F6">
        <w:t>the courts and the legal profession should</w:t>
      </w:r>
      <w:r w:rsidR="0072421F">
        <w:t>, consistently with legislative</w:t>
      </w:r>
      <w:r w:rsidR="006E2EFF">
        <w:t>,</w:t>
      </w:r>
      <w:r w:rsidR="0072421F">
        <w:t xml:space="preserve"> </w:t>
      </w:r>
      <w:r w:rsidR="00EA411E">
        <w:t>privacy or related limitations, and the needs and wishes of complainants,</w:t>
      </w:r>
      <w:r w:rsidR="00B337F6" w:rsidRPr="00B337F6">
        <w:t xml:space="preserve"> </w:t>
      </w:r>
      <w:proofErr w:type="gramStart"/>
      <w:r w:rsidR="00B337F6" w:rsidRPr="00B337F6">
        <w:t>promote</w:t>
      </w:r>
      <w:proofErr w:type="gramEnd"/>
      <w:r w:rsidR="00B337F6" w:rsidRPr="00B337F6">
        <w:t xml:space="preserve"> and facilitate publication of reports (redacted </w:t>
      </w:r>
      <w:r w:rsidR="00B472A2">
        <w:t xml:space="preserve">as </w:t>
      </w:r>
      <w:r w:rsidR="00B337F6" w:rsidRPr="00B337F6">
        <w:t xml:space="preserve">appropriate) of investigations of allegations of significant judicial misconduct in cases where those allegations have been found to be substantiated.  </w:t>
      </w:r>
      <w:r w:rsidR="00315148">
        <w:t>A</w:t>
      </w:r>
      <w:r w:rsidR="00315148" w:rsidRPr="00B337F6">
        <w:t xml:space="preserve">ppropriate measures to preserve the anonymity of </w:t>
      </w:r>
      <w:r w:rsidR="00673D7B">
        <w:t xml:space="preserve">complainants </w:t>
      </w:r>
      <w:r w:rsidR="00D416CB">
        <w:t xml:space="preserve">and other potentially affected persons </w:t>
      </w:r>
      <w:r w:rsidR="00315148" w:rsidRPr="00B337F6">
        <w:t>should be adopted.</w:t>
      </w:r>
      <w:r w:rsidR="00315148">
        <w:rPr>
          <w:caps/>
          <w:lang w:val="en-US"/>
        </w:rPr>
        <w:t xml:space="preserve">  </w:t>
      </w:r>
      <w:r w:rsidR="00D416CB">
        <w:t xml:space="preserve">We recognise that the competing </w:t>
      </w:r>
      <w:r w:rsidR="00BD5513">
        <w:t xml:space="preserve">interests must be balanced, which may require consultation and legislative amendment.  </w:t>
      </w:r>
      <w:r w:rsidR="00B337F6" w:rsidRPr="00B337F6">
        <w:t xml:space="preserve">The identity of the judge should be disclosed save </w:t>
      </w:r>
      <w:r w:rsidR="00B472A2">
        <w:t xml:space="preserve">where this would identify the complainant or </w:t>
      </w:r>
      <w:r w:rsidR="0036592F">
        <w:t>others</w:t>
      </w:r>
      <w:r w:rsidR="00BA0D01">
        <w:t xml:space="preserve">, or </w:t>
      </w:r>
      <w:r w:rsidR="00B337F6" w:rsidRPr="00B337F6">
        <w:t xml:space="preserve">in </w:t>
      </w:r>
      <w:r w:rsidR="00B472A2">
        <w:t xml:space="preserve">otherwise </w:t>
      </w:r>
      <w:r w:rsidR="00B337F6" w:rsidRPr="00B337F6">
        <w:t>exceptional circumstances</w:t>
      </w:r>
      <w:r w:rsidR="00EE613A">
        <w:t>.</w:t>
      </w:r>
      <w:r w:rsidR="00AC0727">
        <w:t xml:space="preserve">  </w:t>
      </w:r>
      <w:r>
        <w:rPr>
          <w:lang w:val="en-US"/>
        </w:rPr>
        <w:t xml:space="preserve">The reasons in support of </w:t>
      </w:r>
      <w:r w:rsidR="00AC5040">
        <w:rPr>
          <w:lang w:val="en-US"/>
        </w:rPr>
        <w:t xml:space="preserve">this </w:t>
      </w:r>
      <w:r>
        <w:rPr>
          <w:lang w:val="en-US"/>
        </w:rPr>
        <w:t xml:space="preserve">recommendation are set out at </w:t>
      </w:r>
      <w:r w:rsidRPr="004A08FA">
        <w:rPr>
          <w:lang w:val="en-US"/>
        </w:rPr>
        <w:t>para</w:t>
      </w:r>
      <w:r w:rsidR="007D1937" w:rsidRPr="004A08FA">
        <w:rPr>
          <w:lang w:val="en-US"/>
        </w:rPr>
        <w:t>graph</w:t>
      </w:r>
      <w:r w:rsidRPr="004A08FA">
        <w:rPr>
          <w:lang w:val="en-US"/>
        </w:rPr>
        <w:t xml:space="preserve">s </w:t>
      </w:r>
      <w:r w:rsidR="00734FE5" w:rsidRPr="004A08FA">
        <w:rPr>
          <w:lang w:val="en-US"/>
        </w:rPr>
        <w:t>[</w:t>
      </w:r>
      <w:r w:rsidR="0076069D" w:rsidRPr="004A08FA">
        <w:rPr>
          <w:lang w:val="en-US"/>
        </w:rPr>
        <w:fldChar w:fldCharType="begin"/>
      </w:r>
      <w:r w:rsidR="0076069D" w:rsidRPr="004A08FA">
        <w:rPr>
          <w:lang w:val="en-US"/>
        </w:rPr>
        <w:instrText xml:space="preserve"> REF _Ref108732924 \r \h </w:instrText>
      </w:r>
      <w:r w:rsidR="00734FE5" w:rsidRPr="004A08FA">
        <w:rPr>
          <w:lang w:val="en-US"/>
        </w:rPr>
        <w:instrText xml:space="preserve"> \* MERGEFORMAT </w:instrText>
      </w:r>
      <w:r w:rsidR="0076069D" w:rsidRPr="004A08FA">
        <w:rPr>
          <w:lang w:val="en-US"/>
        </w:rPr>
      </w:r>
      <w:r w:rsidR="0076069D" w:rsidRPr="004A08FA">
        <w:rPr>
          <w:lang w:val="en-US"/>
        </w:rPr>
        <w:fldChar w:fldCharType="separate"/>
      </w:r>
      <w:r w:rsidR="00CF093C">
        <w:rPr>
          <w:lang w:val="en-US"/>
        </w:rPr>
        <w:t>196</w:t>
      </w:r>
      <w:r w:rsidR="0076069D" w:rsidRPr="004A08FA">
        <w:rPr>
          <w:lang w:val="en-US"/>
        </w:rPr>
        <w:fldChar w:fldCharType="end"/>
      </w:r>
      <w:r w:rsidR="00734FE5" w:rsidRPr="004A08FA">
        <w:rPr>
          <w:lang w:val="en-US"/>
        </w:rPr>
        <w:t>]</w:t>
      </w:r>
      <w:r w:rsidR="00D277FD">
        <w:rPr>
          <w:lang w:val="en-US"/>
        </w:rPr>
        <w:noBreakHyphen/>
      </w:r>
      <w:r w:rsidR="00734FE5" w:rsidRPr="004A08FA">
        <w:rPr>
          <w:lang w:val="en-US"/>
        </w:rPr>
        <w:t>[</w:t>
      </w:r>
      <w:r w:rsidR="00734FE5" w:rsidRPr="004A08FA">
        <w:rPr>
          <w:lang w:val="en-US"/>
        </w:rPr>
        <w:fldChar w:fldCharType="begin"/>
      </w:r>
      <w:r w:rsidR="00734FE5" w:rsidRPr="004A08FA">
        <w:rPr>
          <w:lang w:val="en-US"/>
        </w:rPr>
        <w:instrText xml:space="preserve"> REF _Ref108732946 \r \h  \* MERGEFORMAT </w:instrText>
      </w:r>
      <w:r w:rsidR="00734FE5" w:rsidRPr="004A08FA">
        <w:rPr>
          <w:lang w:val="en-US"/>
        </w:rPr>
      </w:r>
      <w:r w:rsidR="00734FE5" w:rsidRPr="004A08FA">
        <w:rPr>
          <w:lang w:val="en-US"/>
        </w:rPr>
        <w:fldChar w:fldCharType="separate"/>
      </w:r>
      <w:r w:rsidR="00CF093C">
        <w:rPr>
          <w:lang w:val="en-US"/>
        </w:rPr>
        <w:t>209</w:t>
      </w:r>
      <w:r w:rsidR="00734FE5" w:rsidRPr="004A08FA">
        <w:rPr>
          <w:lang w:val="en-US"/>
        </w:rPr>
        <w:fldChar w:fldCharType="end"/>
      </w:r>
      <w:r w:rsidR="00734FE5" w:rsidRPr="004A08FA">
        <w:rPr>
          <w:lang w:val="en-US"/>
        </w:rPr>
        <w:t>].</w:t>
      </w:r>
    </w:p>
    <w:p w14:paraId="211B97C9" w14:textId="5BA25F26" w:rsidR="00D4430A" w:rsidRDefault="006F50C3" w:rsidP="004A08FA">
      <w:pPr>
        <w:pStyle w:val="Heading5"/>
        <w:rPr>
          <w:lang w:val="en-US"/>
        </w:rPr>
      </w:pPr>
      <w:r>
        <w:rPr>
          <w:lang w:val="en-US"/>
        </w:rPr>
        <w:t xml:space="preserve">We recommend that each </w:t>
      </w:r>
      <w:r w:rsidR="007B0FD7">
        <w:rPr>
          <w:lang w:val="en-US"/>
        </w:rPr>
        <w:t xml:space="preserve">jurisdiction adopt a practice of encouraging participation in an exit interview when court staff </w:t>
      </w:r>
      <w:r>
        <w:rPr>
          <w:lang w:val="en-US"/>
        </w:rPr>
        <w:t xml:space="preserve">leave their position </w:t>
      </w:r>
      <w:r w:rsidR="007B0FD7">
        <w:rPr>
          <w:lang w:val="en-US"/>
        </w:rPr>
        <w:t>with a judicial officer (including associates, researchers, trainee court registrars, lawyers and registrars in the Coroners Court, and member support officers).</w:t>
      </w:r>
      <w:r w:rsidR="00D33F5A">
        <w:rPr>
          <w:lang w:val="en-US"/>
        </w:rPr>
        <w:t xml:space="preserve">  The exit interview should </w:t>
      </w:r>
      <w:r w:rsidR="00FA04C3">
        <w:rPr>
          <w:lang w:val="en-US"/>
        </w:rPr>
        <w:t xml:space="preserve">provide an opportunity to express concerns </w:t>
      </w:r>
      <w:r w:rsidR="00D33F5A">
        <w:rPr>
          <w:lang w:val="en-US"/>
        </w:rPr>
        <w:t xml:space="preserve">about the </w:t>
      </w:r>
      <w:r w:rsidR="009A59D3">
        <w:rPr>
          <w:lang w:val="en-US"/>
        </w:rPr>
        <w:t>employee’s interactions with other persons in the workplace</w:t>
      </w:r>
      <w:r w:rsidR="00FA04C3">
        <w:rPr>
          <w:lang w:val="en-US"/>
        </w:rPr>
        <w:t>,</w:t>
      </w:r>
      <w:r w:rsidR="009A59D3">
        <w:rPr>
          <w:lang w:val="en-US"/>
        </w:rPr>
        <w:t xml:space="preserve"> including </w:t>
      </w:r>
      <w:r w:rsidR="00AC50EE">
        <w:rPr>
          <w:lang w:val="en-US"/>
        </w:rPr>
        <w:t>judicial officers</w:t>
      </w:r>
      <w:r w:rsidR="003A7B5B">
        <w:rPr>
          <w:lang w:val="en-US"/>
        </w:rPr>
        <w:t xml:space="preserve"> and about</w:t>
      </w:r>
      <w:r w:rsidR="00AC5040">
        <w:rPr>
          <w:lang w:val="en-US"/>
        </w:rPr>
        <w:t xml:space="preserve"> any</w:t>
      </w:r>
      <w:r w:rsidR="003A7B5B">
        <w:rPr>
          <w:lang w:val="en-US"/>
        </w:rPr>
        <w:t xml:space="preserve"> </w:t>
      </w:r>
      <w:r w:rsidR="009A59D3">
        <w:rPr>
          <w:lang w:val="en-US"/>
        </w:rPr>
        <w:t>sexual harassment, bull</w:t>
      </w:r>
      <w:r w:rsidR="003A7B5B">
        <w:rPr>
          <w:lang w:val="en-US"/>
        </w:rPr>
        <w:t>y</w:t>
      </w:r>
      <w:r w:rsidR="009A59D3">
        <w:rPr>
          <w:lang w:val="en-US"/>
        </w:rPr>
        <w:t>ing or other inappropriate conduct.</w:t>
      </w:r>
    </w:p>
    <w:p w14:paraId="79C04B50" w14:textId="0B4E7B4C" w:rsidR="005B038A" w:rsidRDefault="00581700" w:rsidP="004A08FA">
      <w:pPr>
        <w:pStyle w:val="ListNumber2"/>
        <w:spacing w:before="240"/>
        <w:rPr>
          <w:lang w:val="en-US"/>
        </w:rPr>
      </w:pPr>
      <w:r>
        <w:rPr>
          <w:lang w:val="en-US"/>
        </w:rPr>
        <w:t xml:space="preserve">Exit </w:t>
      </w:r>
      <w:r w:rsidR="005B038A">
        <w:rPr>
          <w:lang w:val="en-US"/>
        </w:rPr>
        <w:t xml:space="preserve">interviews </w:t>
      </w:r>
      <w:r>
        <w:rPr>
          <w:lang w:val="en-US"/>
        </w:rPr>
        <w:t xml:space="preserve">will </w:t>
      </w:r>
      <w:r w:rsidR="005B038A">
        <w:rPr>
          <w:lang w:val="en-US"/>
        </w:rPr>
        <w:t xml:space="preserve">provide a further important source of information for CSV on possible risks to health and safety.  Departing staff are a useful source of </w:t>
      </w:r>
      <w:r w:rsidR="00E25514">
        <w:rPr>
          <w:lang w:val="en-US"/>
        </w:rPr>
        <w:t xml:space="preserve">potentially frank </w:t>
      </w:r>
      <w:r w:rsidR="005B038A">
        <w:rPr>
          <w:lang w:val="en-US"/>
        </w:rPr>
        <w:t>information</w:t>
      </w:r>
      <w:r w:rsidR="00E25514">
        <w:rPr>
          <w:lang w:val="en-US"/>
        </w:rPr>
        <w:t xml:space="preserve"> about </w:t>
      </w:r>
      <w:r>
        <w:rPr>
          <w:lang w:val="en-US"/>
        </w:rPr>
        <w:t xml:space="preserve">the incidence </w:t>
      </w:r>
      <w:r w:rsidR="005B038A">
        <w:rPr>
          <w:lang w:val="en-US"/>
        </w:rPr>
        <w:t xml:space="preserve">of inappropriate conduct, </w:t>
      </w:r>
      <w:r w:rsidR="00E25514">
        <w:rPr>
          <w:lang w:val="en-US"/>
        </w:rPr>
        <w:t xml:space="preserve">and </w:t>
      </w:r>
      <w:r>
        <w:rPr>
          <w:lang w:val="en-US"/>
        </w:rPr>
        <w:t xml:space="preserve">staff </w:t>
      </w:r>
      <w:r w:rsidR="005B038A">
        <w:rPr>
          <w:lang w:val="en-US"/>
        </w:rPr>
        <w:t xml:space="preserve">perceptions </w:t>
      </w:r>
      <w:r w:rsidR="00E25514">
        <w:rPr>
          <w:lang w:val="en-US"/>
        </w:rPr>
        <w:t xml:space="preserve">of </w:t>
      </w:r>
      <w:r>
        <w:rPr>
          <w:lang w:val="en-US"/>
        </w:rPr>
        <w:t xml:space="preserve">whether </w:t>
      </w:r>
      <w:r w:rsidR="00294339">
        <w:rPr>
          <w:lang w:val="en-US"/>
        </w:rPr>
        <w:t xml:space="preserve">the </w:t>
      </w:r>
      <w:r w:rsidR="005B038A">
        <w:rPr>
          <w:lang w:val="en-US"/>
        </w:rPr>
        <w:t xml:space="preserve">existing safeguards against sexual harassment </w:t>
      </w:r>
      <w:r w:rsidR="00294339">
        <w:rPr>
          <w:lang w:val="en-US"/>
        </w:rPr>
        <w:t xml:space="preserve">are adequate </w:t>
      </w:r>
      <w:r w:rsidR="005B038A">
        <w:rPr>
          <w:lang w:val="en-US"/>
        </w:rPr>
        <w:t>and the complaint processes</w:t>
      </w:r>
      <w:r w:rsidR="00294339">
        <w:rPr>
          <w:lang w:val="en-US"/>
        </w:rPr>
        <w:t xml:space="preserve"> useful</w:t>
      </w:r>
      <w:r w:rsidR="005B038A">
        <w:rPr>
          <w:lang w:val="en-US"/>
        </w:rPr>
        <w:t xml:space="preserve">.  We understand that </w:t>
      </w:r>
      <w:r w:rsidR="00294339">
        <w:rPr>
          <w:lang w:val="en-US"/>
        </w:rPr>
        <w:t xml:space="preserve">such </w:t>
      </w:r>
      <w:r w:rsidR="005B038A">
        <w:rPr>
          <w:lang w:val="en-US"/>
        </w:rPr>
        <w:t xml:space="preserve">exit </w:t>
      </w:r>
      <w:r w:rsidR="005B038A">
        <w:rPr>
          <w:lang w:val="en-US"/>
        </w:rPr>
        <w:lastRenderedPageBreak/>
        <w:t xml:space="preserve">interviews are </w:t>
      </w:r>
      <w:r w:rsidR="00294339">
        <w:rPr>
          <w:lang w:val="en-US"/>
        </w:rPr>
        <w:t xml:space="preserve">currently </w:t>
      </w:r>
      <w:r w:rsidR="005B038A">
        <w:rPr>
          <w:lang w:val="en-US"/>
        </w:rPr>
        <w:t xml:space="preserve">conducted, but the practice is not uniform across each jurisdiction.  </w:t>
      </w:r>
      <w:r w:rsidR="00294339">
        <w:rPr>
          <w:lang w:val="en-US"/>
        </w:rPr>
        <w:t xml:space="preserve">At </w:t>
      </w:r>
      <w:r w:rsidR="005B038A">
        <w:rPr>
          <w:lang w:val="en-US"/>
        </w:rPr>
        <w:t>least one former associate who experienced inappropriate conduct by judicial officer</w:t>
      </w:r>
      <w:r w:rsidR="00294339">
        <w:rPr>
          <w:lang w:val="en-US"/>
        </w:rPr>
        <w:t xml:space="preserve">s was </w:t>
      </w:r>
      <w:r w:rsidR="005B038A">
        <w:rPr>
          <w:lang w:val="en-US"/>
        </w:rPr>
        <w:t>not invited to participate in an exit interview.</w:t>
      </w:r>
    </w:p>
    <w:p w14:paraId="67366B11" w14:textId="44829CED" w:rsidR="005B038A" w:rsidRPr="00DF2FF7" w:rsidRDefault="003364CF" w:rsidP="004A08FA">
      <w:pPr>
        <w:pStyle w:val="Heading5"/>
      </w:pPr>
      <w:r>
        <w:t xml:space="preserve">Tackle </w:t>
      </w:r>
      <w:r w:rsidR="005B038A">
        <w:t>“Open Secret</w:t>
      </w:r>
      <w:r w:rsidR="00B34C21">
        <w:t>s</w:t>
      </w:r>
      <w:r w:rsidR="005B038A">
        <w:t>”</w:t>
      </w:r>
      <w:r w:rsidR="009A519D">
        <w:t>.</w:t>
      </w:r>
    </w:p>
    <w:p w14:paraId="3E2621C1" w14:textId="5CDCD49F" w:rsidR="00FA4DC7" w:rsidRDefault="004864F4" w:rsidP="004A08FA">
      <w:pPr>
        <w:pStyle w:val="ListNumber2"/>
        <w:spacing w:before="240"/>
        <w:rPr>
          <w:lang w:val="en-US"/>
        </w:rPr>
      </w:pPr>
      <w:r>
        <w:rPr>
          <w:lang w:val="en-US"/>
        </w:rPr>
        <w:t xml:space="preserve">We recommend that </w:t>
      </w:r>
      <w:r w:rsidR="00BD01D6">
        <w:rPr>
          <w:lang w:val="en-US"/>
        </w:rPr>
        <w:t xml:space="preserve">CSV take steps to ensure that: (a) it is </w:t>
      </w:r>
      <w:proofErr w:type="gramStart"/>
      <w:r w:rsidR="00BD01D6">
        <w:rPr>
          <w:lang w:val="en-US"/>
        </w:rPr>
        <w:t>in a position</w:t>
      </w:r>
      <w:proofErr w:type="gramEnd"/>
      <w:r w:rsidR="00BD01D6">
        <w:rPr>
          <w:lang w:val="en-US"/>
        </w:rPr>
        <w:t xml:space="preserve"> to identify those judicial officers who are known or suspected by staff to engage in misconduct; and (b) it is proactive in taking steps to protect the health and safety of its employees once it becomes aware of a potential risk to staff presented by alleged misconduct.  </w:t>
      </w:r>
    </w:p>
    <w:p w14:paraId="2DB6502E" w14:textId="1A8A3230" w:rsidR="005B038A" w:rsidRDefault="005B038A" w:rsidP="004A08FA">
      <w:pPr>
        <w:pStyle w:val="ListNumber2"/>
        <w:spacing w:before="240"/>
        <w:rPr>
          <w:lang w:val="en-US"/>
        </w:rPr>
      </w:pPr>
      <w:r>
        <w:rPr>
          <w:lang w:val="en-US"/>
        </w:rPr>
        <w:t xml:space="preserve">During our consultations, we heard from </w:t>
      </w:r>
      <w:r w:rsidR="009C1CC0">
        <w:rPr>
          <w:lang w:val="en-US"/>
        </w:rPr>
        <w:t xml:space="preserve">individuals </w:t>
      </w:r>
      <w:r w:rsidR="00FA4DC7">
        <w:rPr>
          <w:lang w:val="en-US"/>
        </w:rPr>
        <w:t xml:space="preserve">and </w:t>
      </w:r>
      <w:r>
        <w:rPr>
          <w:lang w:val="en-US"/>
        </w:rPr>
        <w:t xml:space="preserve">groups of </w:t>
      </w:r>
      <w:r w:rsidR="00FA4DC7">
        <w:rPr>
          <w:lang w:val="en-US"/>
        </w:rPr>
        <w:t xml:space="preserve">court </w:t>
      </w:r>
      <w:r>
        <w:rPr>
          <w:lang w:val="en-US"/>
        </w:rPr>
        <w:t xml:space="preserve">staff that it was notorious or an “open secret” that </w:t>
      </w:r>
      <w:r w:rsidR="00FA4DC7">
        <w:rPr>
          <w:lang w:val="en-US"/>
        </w:rPr>
        <w:t xml:space="preserve">a small number of </w:t>
      </w:r>
      <w:r>
        <w:rPr>
          <w:lang w:val="en-US"/>
        </w:rPr>
        <w:t xml:space="preserve">judicial officers </w:t>
      </w:r>
      <w:r w:rsidR="00976F83">
        <w:rPr>
          <w:lang w:val="en-US"/>
        </w:rPr>
        <w:t xml:space="preserve">engaged in bullying of </w:t>
      </w:r>
      <w:r>
        <w:rPr>
          <w:lang w:val="en-US"/>
        </w:rPr>
        <w:t xml:space="preserve">judicial staff </w:t>
      </w:r>
      <w:r w:rsidR="00976F83">
        <w:rPr>
          <w:lang w:val="en-US"/>
        </w:rPr>
        <w:t>or sexually inappropriate conduct.</w:t>
      </w:r>
      <w:r>
        <w:rPr>
          <w:lang w:val="en-US"/>
        </w:rPr>
        <w:t xml:space="preserve">  We heard that in at least one such case there was a sense among court administrators </w:t>
      </w:r>
      <w:r w:rsidR="00947007">
        <w:rPr>
          <w:lang w:val="en-US"/>
        </w:rPr>
        <w:t xml:space="preserve">and staff </w:t>
      </w:r>
      <w:r>
        <w:rPr>
          <w:lang w:val="en-US"/>
        </w:rPr>
        <w:t xml:space="preserve">that little could be done given the judicial officer’s status and security of tenure, apart from re-assigning </w:t>
      </w:r>
      <w:r w:rsidR="004864F4">
        <w:rPr>
          <w:lang w:val="en-US"/>
        </w:rPr>
        <w:t xml:space="preserve">multiple </w:t>
      </w:r>
      <w:r>
        <w:rPr>
          <w:lang w:val="en-US"/>
        </w:rPr>
        <w:t>staff away from that judicial officer</w:t>
      </w:r>
      <w:r w:rsidR="004864F4">
        <w:rPr>
          <w:lang w:val="en-US"/>
        </w:rPr>
        <w:t>.</w:t>
      </w:r>
      <w:r>
        <w:rPr>
          <w:lang w:val="en-US"/>
        </w:rPr>
        <w:t xml:space="preserve">  We also heard of incidents where newly appointed associates would begin work with a judicial officer who was widely believed among staff to be a bully</w:t>
      </w:r>
      <w:r w:rsidR="004864F4">
        <w:rPr>
          <w:lang w:val="en-US"/>
        </w:rPr>
        <w:t>,</w:t>
      </w:r>
      <w:r>
        <w:rPr>
          <w:lang w:val="en-US"/>
        </w:rPr>
        <w:t xml:space="preserve"> with no warning, or only an informal warning from concerned staff members, of what they were likely to experience.  </w:t>
      </w:r>
    </w:p>
    <w:p w14:paraId="763C5B60" w14:textId="482BE92B" w:rsidR="00594B41" w:rsidRDefault="00594B41" w:rsidP="004A08FA">
      <w:pPr>
        <w:pStyle w:val="ListNumber2"/>
        <w:spacing w:before="240"/>
        <w:rPr>
          <w:lang w:val="en-US"/>
        </w:rPr>
      </w:pPr>
      <w:r>
        <w:rPr>
          <w:lang w:val="en-US"/>
        </w:rPr>
        <w:t xml:space="preserve">We repeatedly heard that a profound sense of betrayal is engendered in staff who believe that the court or CSV exposes them (or others) to possible ill treatment or risk at the hands of a judge whose </w:t>
      </w:r>
      <w:r w:rsidR="00DF5A09">
        <w:rPr>
          <w:lang w:val="en-US"/>
        </w:rPr>
        <w:t xml:space="preserve">reputation for inappropriate conduct </w:t>
      </w:r>
      <w:r>
        <w:rPr>
          <w:lang w:val="en-US"/>
        </w:rPr>
        <w:t>is well</w:t>
      </w:r>
      <w:r>
        <w:rPr>
          <w:lang w:val="en-US"/>
        </w:rPr>
        <w:noBreakHyphen/>
        <w:t>known.</w:t>
      </w:r>
    </w:p>
    <w:p w14:paraId="3A838B6A" w14:textId="0101D32B" w:rsidR="00DF5A09" w:rsidRPr="00684606" w:rsidRDefault="00DF5A09" w:rsidP="004A08FA">
      <w:pPr>
        <w:pStyle w:val="ListNumber2"/>
        <w:spacing w:before="240"/>
        <w:rPr>
          <w:lang w:val="en-US"/>
        </w:rPr>
      </w:pPr>
      <w:r>
        <w:rPr>
          <w:lang w:val="en-US"/>
        </w:rPr>
        <w:t>We acknowledge that although many staff members may be aware of such “open secrets”</w:t>
      </w:r>
      <w:r w:rsidR="000E452F">
        <w:rPr>
          <w:lang w:val="en-US"/>
        </w:rPr>
        <w:t xml:space="preserve">, other </w:t>
      </w:r>
      <w:r w:rsidR="00226879">
        <w:rPr>
          <w:lang w:val="en-US"/>
        </w:rPr>
        <w:t>judicial officers</w:t>
      </w:r>
      <w:r w:rsidR="000E452F">
        <w:rPr>
          <w:lang w:val="en-US"/>
        </w:rPr>
        <w:t xml:space="preserve"> may not share this knowledge.  The perpetrator may not act improperly before others, particularly his or her peers.  Staff may be reluctant to report criticisms of a </w:t>
      </w:r>
      <w:r w:rsidR="00A119C7">
        <w:rPr>
          <w:lang w:val="en-US"/>
        </w:rPr>
        <w:t xml:space="preserve">judicial officer </w:t>
      </w:r>
      <w:r w:rsidR="000E452F">
        <w:rPr>
          <w:lang w:val="en-US"/>
        </w:rPr>
        <w:t xml:space="preserve">to another </w:t>
      </w:r>
      <w:r w:rsidR="00A119C7">
        <w:rPr>
          <w:lang w:val="en-US"/>
        </w:rPr>
        <w:t>judicial officer.</w:t>
      </w:r>
    </w:p>
    <w:p w14:paraId="3F2B1487" w14:textId="4F84C4EC" w:rsidR="00967ADA" w:rsidRDefault="00D20FB5" w:rsidP="004A08FA">
      <w:pPr>
        <w:pStyle w:val="ListNumber2"/>
        <w:spacing w:before="240"/>
        <w:rPr>
          <w:lang w:val="en-US"/>
        </w:rPr>
      </w:pPr>
      <w:r>
        <w:rPr>
          <w:lang w:val="en-US"/>
        </w:rPr>
        <w:t xml:space="preserve">Nevertheless, the </w:t>
      </w:r>
      <w:r w:rsidR="009F2996">
        <w:rPr>
          <w:lang w:val="en-US"/>
        </w:rPr>
        <w:t xml:space="preserve">identification of judicial officers </w:t>
      </w:r>
      <w:r>
        <w:rPr>
          <w:lang w:val="en-US"/>
        </w:rPr>
        <w:t xml:space="preserve">who have a pattern of inappropriate conduct </w:t>
      </w:r>
      <w:r w:rsidR="009F2996">
        <w:rPr>
          <w:lang w:val="en-US"/>
        </w:rPr>
        <w:t xml:space="preserve">will be </w:t>
      </w:r>
      <w:r w:rsidR="00F318C7">
        <w:rPr>
          <w:lang w:val="en-US"/>
        </w:rPr>
        <w:t xml:space="preserve">facilitated by the appointment of a </w:t>
      </w:r>
      <w:r w:rsidR="005B038A">
        <w:rPr>
          <w:lang w:val="en-US"/>
        </w:rPr>
        <w:t xml:space="preserve">staff judge(s) as outlined under </w:t>
      </w:r>
      <w:r w:rsidR="005B038A" w:rsidRPr="00586E33">
        <w:rPr>
          <w:b/>
          <w:bCs/>
          <w:lang w:val="en-US"/>
        </w:rPr>
        <w:t xml:space="preserve">Recommendation </w:t>
      </w:r>
      <w:r w:rsidR="00C31387" w:rsidRPr="00586E33">
        <w:rPr>
          <w:b/>
          <w:bCs/>
          <w:lang w:val="en-US"/>
        </w:rPr>
        <w:fldChar w:fldCharType="begin"/>
      </w:r>
      <w:r w:rsidR="00C31387" w:rsidRPr="00586E33">
        <w:rPr>
          <w:b/>
          <w:bCs/>
          <w:lang w:val="en-US"/>
        </w:rPr>
        <w:instrText xml:space="preserve"> REF _Ref108977353 \r \h </w:instrText>
      </w:r>
      <w:r w:rsidR="004A08FA" w:rsidRPr="00586E33">
        <w:rPr>
          <w:b/>
          <w:bCs/>
          <w:lang w:val="en-US"/>
        </w:rPr>
        <w:instrText xml:space="preserve"> \* MERGEFORMAT </w:instrText>
      </w:r>
      <w:r w:rsidR="00C31387" w:rsidRPr="00586E33">
        <w:rPr>
          <w:b/>
          <w:bCs/>
          <w:lang w:val="en-US"/>
        </w:rPr>
      </w:r>
      <w:r w:rsidR="00C31387" w:rsidRPr="00586E33">
        <w:rPr>
          <w:b/>
          <w:bCs/>
          <w:lang w:val="en-US"/>
        </w:rPr>
        <w:fldChar w:fldCharType="separate"/>
      </w:r>
      <w:r w:rsidR="00CF093C">
        <w:rPr>
          <w:b/>
          <w:bCs/>
          <w:lang w:val="en-US"/>
        </w:rPr>
        <w:t>4</w:t>
      </w:r>
      <w:r w:rsidR="00C31387" w:rsidRPr="00586E33">
        <w:rPr>
          <w:b/>
          <w:bCs/>
          <w:lang w:val="en-US"/>
        </w:rPr>
        <w:fldChar w:fldCharType="end"/>
      </w:r>
      <w:r w:rsidR="005B038A" w:rsidRPr="004A08FA">
        <w:rPr>
          <w:lang w:val="en-US"/>
        </w:rPr>
        <w:t xml:space="preserve"> </w:t>
      </w:r>
      <w:r w:rsidR="00084987" w:rsidRPr="004A08FA">
        <w:rPr>
          <w:lang w:val="en-US"/>
        </w:rPr>
        <w:t>who may</w:t>
      </w:r>
      <w:r w:rsidR="00084987">
        <w:rPr>
          <w:b/>
          <w:bCs/>
          <w:lang w:val="en-US"/>
        </w:rPr>
        <w:t xml:space="preserve"> </w:t>
      </w:r>
      <w:r w:rsidR="00084987" w:rsidRPr="004A08FA">
        <w:rPr>
          <w:lang w:val="en-US"/>
        </w:rPr>
        <w:t xml:space="preserve">be </w:t>
      </w:r>
      <w:r w:rsidR="005B038A">
        <w:rPr>
          <w:lang w:val="en-US"/>
        </w:rPr>
        <w:t>a “conduit” for passing information between staff, the judiciary, and CSV</w:t>
      </w:r>
      <w:r w:rsidR="00EA7157">
        <w:rPr>
          <w:lang w:val="en-US"/>
        </w:rPr>
        <w:t xml:space="preserve">.  </w:t>
      </w:r>
      <w:r w:rsidR="0093733C">
        <w:rPr>
          <w:lang w:val="en-US"/>
        </w:rPr>
        <w:t xml:space="preserve">Similarly, the actions of judicial officers who are prepared to act as bystanders when they witness inappropriate conduct will assist in bringing cases of misconduct that would otherwise remain an </w:t>
      </w:r>
      <w:r w:rsidR="0093733C">
        <w:rPr>
          <w:lang w:val="en-US"/>
        </w:rPr>
        <w:lastRenderedPageBreak/>
        <w:t xml:space="preserve">“open secret” to light.  In that regard, we note that the </w:t>
      </w:r>
      <w:r w:rsidR="0093733C" w:rsidRPr="005A5684">
        <w:rPr>
          <w:i/>
          <w:iCs/>
          <w:lang w:val="en-US"/>
        </w:rPr>
        <w:t>Judicial Conduct Guide: Sexual Harassment</w:t>
      </w:r>
      <w:r w:rsidR="0093733C">
        <w:rPr>
          <w:lang w:val="en-US"/>
        </w:rPr>
        <w:t xml:space="preserve"> published by the Judicial Commission sets out an expectation that judicial officers will act where they witness, or are informed of, sexual harassment, having regard to the circumstances and the wishes of the victim.</w:t>
      </w:r>
    </w:p>
    <w:p w14:paraId="462EC8DB" w14:textId="52D9F98D" w:rsidR="005B038A" w:rsidRDefault="00EA7157" w:rsidP="004A08FA">
      <w:pPr>
        <w:pStyle w:val="ListNumber2"/>
        <w:spacing w:before="240"/>
        <w:rPr>
          <w:lang w:val="en-US"/>
        </w:rPr>
      </w:pPr>
      <w:r>
        <w:rPr>
          <w:lang w:val="en-US"/>
        </w:rPr>
        <w:t xml:space="preserve">The proactive steps that </w:t>
      </w:r>
      <w:r w:rsidR="005B038A">
        <w:rPr>
          <w:lang w:val="en-US"/>
        </w:rPr>
        <w:t>CSV can take</w:t>
      </w:r>
      <w:r w:rsidR="006013CB" w:rsidRPr="006013CB">
        <w:rPr>
          <w:lang w:val="en-US"/>
        </w:rPr>
        <w:t xml:space="preserve"> </w:t>
      </w:r>
      <w:r w:rsidR="006013CB">
        <w:rPr>
          <w:lang w:val="en-US"/>
        </w:rPr>
        <w:t>in consultation with the head of jurisdiction</w:t>
      </w:r>
      <w:r w:rsidR="005B038A">
        <w:rPr>
          <w:lang w:val="en-US"/>
        </w:rPr>
        <w:t xml:space="preserve"> to mitigate known risks posed by </w:t>
      </w:r>
      <w:proofErr w:type="gramStart"/>
      <w:r w:rsidR="005B038A">
        <w:rPr>
          <w:lang w:val="en-US"/>
        </w:rPr>
        <w:t>particular judicial</w:t>
      </w:r>
      <w:proofErr w:type="gramEnd"/>
      <w:r w:rsidR="005B038A">
        <w:rPr>
          <w:lang w:val="en-US"/>
        </w:rPr>
        <w:t xml:space="preserve"> officers </w:t>
      </w:r>
      <w:r w:rsidR="00D20FB5">
        <w:rPr>
          <w:lang w:val="en-US"/>
        </w:rPr>
        <w:t>are set out</w:t>
      </w:r>
      <w:r w:rsidR="00C31387">
        <w:rPr>
          <w:lang w:val="en-US"/>
        </w:rPr>
        <w:t xml:space="preserve"> in</w:t>
      </w:r>
      <w:r w:rsidR="00D20FB5">
        <w:rPr>
          <w:lang w:val="en-US"/>
        </w:rPr>
        <w:t xml:space="preserve"> </w:t>
      </w:r>
      <w:r w:rsidR="00D277FD" w:rsidRPr="00D277FD">
        <w:rPr>
          <w:b/>
          <w:bCs/>
          <w:lang w:val="en-US"/>
        </w:rPr>
        <w:t xml:space="preserve">Recommendation </w:t>
      </w:r>
      <w:r w:rsidR="00922CC2" w:rsidRPr="00D277FD">
        <w:rPr>
          <w:b/>
          <w:bCs/>
          <w:lang w:val="en-US"/>
        </w:rPr>
        <w:fldChar w:fldCharType="begin"/>
      </w:r>
      <w:r w:rsidR="00922CC2" w:rsidRPr="00D277FD">
        <w:rPr>
          <w:b/>
          <w:bCs/>
          <w:lang w:val="en-US"/>
        </w:rPr>
        <w:instrText xml:space="preserve"> REF _Ref108732829 \r \h </w:instrText>
      </w:r>
      <w:r w:rsidR="004A08FA" w:rsidRPr="00D277FD">
        <w:rPr>
          <w:b/>
          <w:bCs/>
          <w:lang w:val="en-US"/>
        </w:rPr>
        <w:instrText xml:space="preserve"> \* MERGEFORMAT </w:instrText>
      </w:r>
      <w:r w:rsidR="00922CC2" w:rsidRPr="00D277FD">
        <w:rPr>
          <w:b/>
          <w:bCs/>
          <w:lang w:val="en-US"/>
        </w:rPr>
      </w:r>
      <w:r w:rsidR="00922CC2" w:rsidRPr="00D277FD">
        <w:rPr>
          <w:b/>
          <w:bCs/>
          <w:lang w:val="en-US"/>
        </w:rPr>
        <w:fldChar w:fldCharType="separate"/>
      </w:r>
      <w:r w:rsidR="00CF093C">
        <w:rPr>
          <w:b/>
          <w:bCs/>
          <w:lang w:val="en-US"/>
        </w:rPr>
        <w:t>10</w:t>
      </w:r>
      <w:r w:rsidR="00922CC2" w:rsidRPr="00D277FD">
        <w:rPr>
          <w:b/>
          <w:bCs/>
          <w:lang w:val="en-US"/>
        </w:rPr>
        <w:fldChar w:fldCharType="end"/>
      </w:r>
      <w:r w:rsidR="00922CC2">
        <w:rPr>
          <w:lang w:val="en-US"/>
        </w:rPr>
        <w:t xml:space="preserve"> above. </w:t>
      </w:r>
    </w:p>
    <w:p w14:paraId="53A3F387" w14:textId="1C566F6E" w:rsidR="003D33A1" w:rsidRDefault="00ED05FB" w:rsidP="009A519D">
      <w:pPr>
        <w:pStyle w:val="Heading5"/>
        <w:keepNext/>
      </w:pPr>
      <w:r>
        <w:t xml:space="preserve">We recommend that the courts should devise and adopt appropriate arrangements for travel and accommodation on </w:t>
      </w:r>
      <w:proofErr w:type="gramStart"/>
      <w:r>
        <w:t>circuit, and</w:t>
      </w:r>
      <w:proofErr w:type="gramEnd"/>
      <w:r>
        <w:t xml:space="preserve"> should promulgate guidelines for circuit to ensure wellbeing of judges and staff</w:t>
      </w:r>
      <w:r w:rsidR="00110AEC">
        <w:t>.</w:t>
      </w:r>
    </w:p>
    <w:p w14:paraId="53C252E4" w14:textId="6CFA223B" w:rsidR="003D33A1" w:rsidRDefault="003D33A1" w:rsidP="004A08FA">
      <w:pPr>
        <w:pStyle w:val="ListNumber2"/>
        <w:spacing w:before="240"/>
        <w:rPr>
          <w:rFonts w:ascii="Times New Roman" w:hAnsi="Times New Roman" w:cs="Times New Roman"/>
          <w:szCs w:val="22"/>
        </w:rPr>
      </w:pPr>
      <w:r>
        <w:t xml:space="preserve">Throughout our consultations, both judicial staff and court administrators </w:t>
      </w:r>
      <w:r w:rsidR="00B45A32">
        <w:t xml:space="preserve">reported </w:t>
      </w:r>
      <w:r>
        <w:t xml:space="preserve">a </w:t>
      </w:r>
      <w:proofErr w:type="gramStart"/>
      <w:r>
        <w:t>widely-held</w:t>
      </w:r>
      <w:proofErr w:type="gramEnd"/>
      <w:r>
        <w:t xml:space="preserve"> perception that circuits posed particular risks for sexual harassment and other inappropriate conduct. Some judicial officers, too, expressed uncertainty and unease </w:t>
      </w:r>
      <w:r w:rsidR="00B45A32">
        <w:t xml:space="preserve">about awkward </w:t>
      </w:r>
      <w:r>
        <w:t xml:space="preserve">situations </w:t>
      </w:r>
      <w:r w:rsidR="00B45A32">
        <w:t xml:space="preserve">that </w:t>
      </w:r>
      <w:r>
        <w:t>can arise on circuit</w:t>
      </w:r>
      <w:r w:rsidR="00AF51AC">
        <w:t xml:space="preserve">.  For </w:t>
      </w:r>
      <w:r>
        <w:t xml:space="preserve">example, </w:t>
      </w:r>
      <w:r w:rsidR="00AF51AC">
        <w:t xml:space="preserve">in some cases the circumstances made it difficult to dine separately.  In other </w:t>
      </w:r>
      <w:r w:rsidR="001C7834">
        <w:t>cases</w:t>
      </w:r>
      <w:r w:rsidR="00AF51AC">
        <w:t xml:space="preserve">, the judge felt uneasy as to </w:t>
      </w:r>
      <w:r w:rsidR="0040747D">
        <w:t xml:space="preserve">how </w:t>
      </w:r>
      <w:r>
        <w:t xml:space="preserve">dining and/or drinking </w:t>
      </w:r>
      <w:r w:rsidR="0040747D">
        <w:t>one</w:t>
      </w:r>
      <w:r w:rsidR="004A4EA0">
        <w:noBreakHyphen/>
      </w:r>
      <w:r w:rsidR="0040747D">
        <w:t>on</w:t>
      </w:r>
      <w:r w:rsidR="004A4EA0">
        <w:noBreakHyphen/>
      </w:r>
      <w:r w:rsidR="0040747D">
        <w:t xml:space="preserve">one </w:t>
      </w:r>
      <w:r>
        <w:t xml:space="preserve">with a much younger associate might be perceived.  </w:t>
      </w:r>
    </w:p>
    <w:p w14:paraId="60F2CE4A" w14:textId="2693CDCC" w:rsidR="003D33A1" w:rsidRDefault="003D33A1" w:rsidP="004A08FA">
      <w:pPr>
        <w:pStyle w:val="ListNumber2"/>
        <w:spacing w:before="240"/>
      </w:pPr>
      <w:r>
        <w:t>One head of jurisdiction who was particularly conscious of these issues reported speaking often with judicial officers to emphasise that they need to be particularly conscious while on circuit as to how certain situations might be perceived</w:t>
      </w:r>
      <w:r w:rsidR="006E2729">
        <w:t>,</w:t>
      </w:r>
      <w:r>
        <w:t xml:space="preserve"> given the power imbalance between judicial officer and judicial staff. </w:t>
      </w:r>
    </w:p>
    <w:p w14:paraId="5DE0E870" w14:textId="153013E8" w:rsidR="003D33A1" w:rsidRDefault="003D33A1" w:rsidP="004A08FA">
      <w:pPr>
        <w:pStyle w:val="ListNumber2"/>
        <w:spacing w:before="240"/>
      </w:pPr>
      <w:r>
        <w:t xml:space="preserve">We heard that there are currently no specific formal policies within each jurisdiction </w:t>
      </w:r>
      <w:r w:rsidR="006E2729">
        <w:t xml:space="preserve">on </w:t>
      </w:r>
      <w:r>
        <w:t xml:space="preserve">arrangements for travel to circuit destinations, or procedures and standards of conduct while on circuit.  Rather, the expectation is that the general policies and standards concerning appropriate workplace </w:t>
      </w:r>
      <w:r w:rsidR="001C7834">
        <w:t xml:space="preserve">continue to apply to </w:t>
      </w:r>
      <w:r>
        <w:t xml:space="preserve">the judicial officer and </w:t>
      </w:r>
      <w:r w:rsidR="001C7834">
        <w:t xml:space="preserve">their </w:t>
      </w:r>
      <w:r>
        <w:t xml:space="preserve">staff </w:t>
      </w:r>
      <w:r w:rsidR="001C7834">
        <w:t xml:space="preserve">in </w:t>
      </w:r>
      <w:r>
        <w:t xml:space="preserve">the circuit destination. </w:t>
      </w:r>
      <w:r w:rsidR="00417540">
        <w:t xml:space="preserve"> </w:t>
      </w:r>
      <w:r>
        <w:t xml:space="preserve">Because </w:t>
      </w:r>
      <w:r w:rsidR="001C7834">
        <w:t xml:space="preserve">there is no </w:t>
      </w:r>
      <w:r>
        <w:t xml:space="preserve">formal guidance, travel and accommodation arrangements are the responsibility of each judicial officer and their staff to work out before the circuit. </w:t>
      </w:r>
      <w:r w:rsidR="0067744E">
        <w:t xml:space="preserve"> In practice, this probably means that the judge’s expressed preference will prevail.</w:t>
      </w:r>
    </w:p>
    <w:p w14:paraId="1841FEAF" w14:textId="2095D0C0" w:rsidR="003D33A1" w:rsidRDefault="003D33A1" w:rsidP="004A08FA">
      <w:pPr>
        <w:pStyle w:val="ListNumber2"/>
        <w:spacing w:before="240"/>
      </w:pPr>
      <w:r>
        <w:t xml:space="preserve">We also heard that, despite the lack of formal policies, there has been a significant degree of cultural change over the past decade. For example, while it was relatively common for judicial officers and staff to share accommodation a decade ago, </w:t>
      </w:r>
      <w:r>
        <w:lastRenderedPageBreak/>
        <w:t xml:space="preserve">judicial officers and staff now often stay at different accommodation where practicable. Further, while it was </w:t>
      </w:r>
      <w:r w:rsidR="0067744E">
        <w:t xml:space="preserve">once </w:t>
      </w:r>
      <w:r>
        <w:t xml:space="preserve">routine for the associate or tipstave to drive the </w:t>
      </w:r>
      <w:r w:rsidR="0067744E">
        <w:t xml:space="preserve">judge </w:t>
      </w:r>
      <w:r>
        <w:t xml:space="preserve">to the circuit destination, it is now more common for </w:t>
      </w:r>
      <w:r w:rsidR="00736388">
        <w:t xml:space="preserve">them </w:t>
      </w:r>
      <w:r>
        <w:t>to travel separately.</w:t>
      </w:r>
    </w:p>
    <w:p w14:paraId="36D44BED" w14:textId="5D0C38DE" w:rsidR="003D33A1" w:rsidRDefault="003D33A1" w:rsidP="004A08FA">
      <w:pPr>
        <w:pStyle w:val="ListNumber2"/>
        <w:spacing w:before="240"/>
      </w:pPr>
      <w:r>
        <w:t>Nevertheless, circuit travel</w:t>
      </w:r>
      <w:r w:rsidR="0074477D">
        <w:t xml:space="preserve">, accommodation and conditions involve </w:t>
      </w:r>
      <w:r>
        <w:t xml:space="preserve">significant risk factors for sexual harassment or other inappropriate conduct. </w:t>
      </w:r>
      <w:r w:rsidR="004A08FA">
        <w:t xml:space="preserve"> </w:t>
      </w:r>
      <w:r>
        <w:t xml:space="preserve">A judicial officer and judicial staff member are removed from the court environment and the protections offered by the routine of that environment and the presence of other judicial officers and staff. Contact between the two is not limited to regular work hours. There may be no </w:t>
      </w:r>
      <w:proofErr w:type="gramStart"/>
      <w:r>
        <w:t>third party</w:t>
      </w:r>
      <w:proofErr w:type="gramEnd"/>
      <w:r>
        <w:t xml:space="preserve"> present to observe their interactions.</w:t>
      </w:r>
      <w:r w:rsidR="00F60F45">
        <w:t xml:space="preserve">  Judges may feel obliged to dine frequently with their </w:t>
      </w:r>
      <w:proofErr w:type="gramStart"/>
      <w:r w:rsidR="00F60F45">
        <w:t>staff, when</w:t>
      </w:r>
      <w:proofErr w:type="gramEnd"/>
      <w:r w:rsidR="00F60F45">
        <w:t xml:space="preserve"> they would prefer free time. </w:t>
      </w:r>
      <w:r>
        <w:t xml:space="preserve"> </w:t>
      </w:r>
      <w:r w:rsidR="0074477D">
        <w:t xml:space="preserve">Associates may interpret unwanted dinner </w:t>
      </w:r>
      <w:r>
        <w:t xml:space="preserve">(or other social) invitations by </w:t>
      </w:r>
      <w:r w:rsidR="0074477D">
        <w:t xml:space="preserve">the judge </w:t>
      </w:r>
      <w:r>
        <w:t xml:space="preserve">while on circuit as </w:t>
      </w:r>
      <w:r w:rsidR="0040747D">
        <w:t>command</w:t>
      </w:r>
      <w:r w:rsidR="00736388">
        <w:t>s</w:t>
      </w:r>
      <w:r w:rsidR="0074477D">
        <w:t>.</w:t>
      </w:r>
      <w:r>
        <w:t xml:space="preserve"> </w:t>
      </w:r>
    </w:p>
    <w:p w14:paraId="0971A076" w14:textId="26B6FE75" w:rsidR="003D33A1" w:rsidRDefault="003D33A1" w:rsidP="004A08FA">
      <w:pPr>
        <w:pStyle w:val="ListNumber2"/>
        <w:spacing w:before="240"/>
      </w:pPr>
      <w:r>
        <w:t xml:space="preserve">In our view, there are </w:t>
      </w:r>
      <w:r w:rsidR="00F60F45">
        <w:t xml:space="preserve">some </w:t>
      </w:r>
      <w:r>
        <w:t xml:space="preserve">practical steps that can be taken, across each jurisdiction where </w:t>
      </w:r>
      <w:r w:rsidR="00736388">
        <w:t xml:space="preserve">judges and </w:t>
      </w:r>
      <w:r>
        <w:t xml:space="preserve">staff go on circuit </w:t>
      </w:r>
      <w:r w:rsidR="00736388">
        <w:t>together,</w:t>
      </w:r>
      <w:r>
        <w:t xml:space="preserve"> which can significantly ameliorate the </w:t>
      </w:r>
      <w:r w:rsidR="0074477D">
        <w:t xml:space="preserve">peculiar </w:t>
      </w:r>
      <w:r>
        <w:t>risk factors</w:t>
      </w:r>
      <w:r w:rsidR="0074477D">
        <w:t>.</w:t>
      </w:r>
      <w:r>
        <w:t xml:space="preserve"> </w:t>
      </w:r>
    </w:p>
    <w:p w14:paraId="1F2A3ED9" w14:textId="13B679C0" w:rsidR="005C619D" w:rsidRDefault="003D33A1" w:rsidP="004A08FA">
      <w:pPr>
        <w:pStyle w:val="ListNumber2"/>
        <w:keepNext/>
        <w:spacing w:before="240"/>
      </w:pPr>
      <w:r>
        <w:t>Each jurisdiction</w:t>
      </w:r>
      <w:r w:rsidR="00736388">
        <w:t xml:space="preserve"> should</w:t>
      </w:r>
      <w:r>
        <w:t xml:space="preserve"> adopt policies and procedures to ensure that</w:t>
      </w:r>
      <w:r w:rsidR="000C4D75">
        <w:t xml:space="preserve"> usually</w:t>
      </w:r>
      <w:r w:rsidR="005C619D">
        <w:t>:</w:t>
      </w:r>
    </w:p>
    <w:p w14:paraId="67258EC7" w14:textId="2085B8D5" w:rsidR="003D33A1" w:rsidRDefault="00C72065" w:rsidP="004A08FA">
      <w:pPr>
        <w:pStyle w:val="ListNumber3"/>
      </w:pPr>
      <w:r>
        <w:t>at least two staff members</w:t>
      </w:r>
      <w:r w:rsidR="0070278F">
        <w:t xml:space="preserve"> routinely</w:t>
      </w:r>
      <w:r>
        <w:t xml:space="preserve"> accompany a judge on </w:t>
      </w:r>
      <w:proofErr w:type="gramStart"/>
      <w:r>
        <w:t>circuit</w:t>
      </w:r>
      <w:r w:rsidR="005C619D">
        <w:t>;</w:t>
      </w:r>
      <w:proofErr w:type="gramEnd"/>
    </w:p>
    <w:p w14:paraId="081D402C" w14:textId="27E79623" w:rsidR="005C619D" w:rsidRDefault="005C619D" w:rsidP="004A08FA">
      <w:pPr>
        <w:pStyle w:val="ListNumber3"/>
      </w:pPr>
      <w:r>
        <w:t>appropriate travel arrangements which provide an option of travelling independent</w:t>
      </w:r>
      <w:r w:rsidR="000D3F2B">
        <w:t>ly</w:t>
      </w:r>
      <w:r w:rsidR="0070278F">
        <w:t xml:space="preserve"> are </w:t>
      </w:r>
      <w:proofErr w:type="gramStart"/>
      <w:r w:rsidR="0070278F">
        <w:t>available</w:t>
      </w:r>
      <w:r w:rsidR="000D3F2B">
        <w:t>;</w:t>
      </w:r>
      <w:proofErr w:type="gramEnd"/>
    </w:p>
    <w:p w14:paraId="275925ED" w14:textId="280189EF" w:rsidR="000D3F2B" w:rsidRDefault="000D3F2B" w:rsidP="004A08FA">
      <w:pPr>
        <w:pStyle w:val="ListNumber3"/>
      </w:pPr>
      <w:r>
        <w:t xml:space="preserve">appropriate accommodation is available, which provides the option of residing in different facilities or at least in accommodation that is not unduly intimate, such as </w:t>
      </w:r>
      <w:r w:rsidR="006A71F6">
        <w:t xml:space="preserve">a </w:t>
      </w:r>
      <w:r w:rsidR="00167FB1">
        <w:t xml:space="preserve">small, </w:t>
      </w:r>
      <w:r>
        <w:t>share</w:t>
      </w:r>
      <w:r w:rsidR="00BC0B71">
        <w:t>d private house; and</w:t>
      </w:r>
    </w:p>
    <w:p w14:paraId="5E87A97A" w14:textId="4BE228C8" w:rsidR="00BC0B71" w:rsidRDefault="00BC0B71" w:rsidP="004A08FA">
      <w:pPr>
        <w:pStyle w:val="ListNumber3"/>
      </w:pPr>
      <w:r>
        <w:t>there are options available for the parties to have their meals separately</w:t>
      </w:r>
      <w:r w:rsidR="00913E89">
        <w:t>.</w:t>
      </w:r>
    </w:p>
    <w:p w14:paraId="26E3662D" w14:textId="00F320D9" w:rsidR="003D33A1" w:rsidRDefault="00E61197" w:rsidP="004A08FA">
      <w:pPr>
        <w:pStyle w:val="ListNumber2"/>
      </w:pPr>
      <w:r>
        <w:rPr>
          <w:lang w:val="en-US"/>
        </w:rPr>
        <w:t>a staff judge</w:t>
      </w:r>
      <w:r w:rsidR="009873B9">
        <w:rPr>
          <w:lang w:val="en-US"/>
        </w:rPr>
        <w:t>’s</w:t>
      </w:r>
      <w:r>
        <w:rPr>
          <w:lang w:val="en-US"/>
        </w:rPr>
        <w:t xml:space="preserve"> discussion with judicial officers who are to travel on circuit </w:t>
      </w:r>
      <w:r w:rsidR="00F31FBF">
        <w:t xml:space="preserve">should include advice on the </w:t>
      </w:r>
      <w:proofErr w:type="gramStart"/>
      <w:r w:rsidR="00F31FBF">
        <w:t>particular risks</w:t>
      </w:r>
      <w:proofErr w:type="gramEnd"/>
      <w:r w:rsidR="00F31FBF">
        <w:t xml:space="preserve"> posed by circuit</w:t>
      </w:r>
      <w:r w:rsidR="00BD6709">
        <w:t>, including</w:t>
      </w:r>
      <w:r w:rsidR="00817A5C">
        <w:t>:</w:t>
      </w:r>
    </w:p>
    <w:p w14:paraId="59C188FA" w14:textId="44855D2C" w:rsidR="003D33A1" w:rsidRDefault="00167FB1" w:rsidP="004A08FA">
      <w:pPr>
        <w:pStyle w:val="ListNumber3"/>
      </w:pPr>
      <w:r>
        <w:t>that secluded</w:t>
      </w:r>
      <w:r w:rsidR="00736388">
        <w:t>,</w:t>
      </w:r>
      <w:r>
        <w:t xml:space="preserve"> one</w:t>
      </w:r>
      <w:r w:rsidR="00736388">
        <w:noBreakHyphen/>
      </w:r>
      <w:r>
        <w:t>on</w:t>
      </w:r>
      <w:r w:rsidR="00736388">
        <w:noBreakHyphen/>
      </w:r>
      <w:r>
        <w:t xml:space="preserve">one </w:t>
      </w:r>
      <w:r w:rsidR="003D33A1">
        <w:t xml:space="preserve">dining with a staff member </w:t>
      </w:r>
      <w:r w:rsidR="00E951F6">
        <w:t xml:space="preserve">can create the perception of an inappropriate relationship, and excessive </w:t>
      </w:r>
      <w:r w:rsidR="003D33A1">
        <w:t>drinking with judicial staff</w:t>
      </w:r>
      <w:r w:rsidR="00E951F6">
        <w:t xml:space="preserve"> can </w:t>
      </w:r>
      <w:r w:rsidR="00D3585C">
        <w:t>destroy</w:t>
      </w:r>
      <w:r w:rsidR="00E951F6">
        <w:t xml:space="preserve"> professional </w:t>
      </w:r>
      <w:proofErr w:type="gramStart"/>
      <w:r w:rsidR="00E951F6">
        <w:t>boundaries</w:t>
      </w:r>
      <w:r w:rsidR="003D33A1">
        <w:t>;</w:t>
      </w:r>
      <w:proofErr w:type="gramEnd"/>
    </w:p>
    <w:p w14:paraId="70B0C7F1" w14:textId="0AE3F33F" w:rsidR="003D33A1" w:rsidRDefault="003D33A1" w:rsidP="004A08FA">
      <w:pPr>
        <w:pStyle w:val="ListNumber3"/>
      </w:pPr>
      <w:r>
        <w:t xml:space="preserve">emphasise that the </w:t>
      </w:r>
      <w:r w:rsidR="00BD6709">
        <w:t xml:space="preserve">judge </w:t>
      </w:r>
      <w:r>
        <w:t xml:space="preserve">should </w:t>
      </w:r>
      <w:r w:rsidR="008D11B0">
        <w:t xml:space="preserve">generally </w:t>
      </w:r>
      <w:r>
        <w:t xml:space="preserve">travel </w:t>
      </w:r>
      <w:r w:rsidR="00BD6709">
        <w:t xml:space="preserve">to </w:t>
      </w:r>
      <w:r>
        <w:t xml:space="preserve">circuit with more than one judicial staff member, and should consult with an appropriate CSV staff </w:t>
      </w:r>
      <w:r>
        <w:lastRenderedPageBreak/>
        <w:t xml:space="preserve">member (for example, a judicial services manager) before travelling on circuit if </w:t>
      </w:r>
      <w:r w:rsidR="00BD6709">
        <w:t xml:space="preserve">suitable </w:t>
      </w:r>
      <w:r>
        <w:t xml:space="preserve">arrangements are not in </w:t>
      </w:r>
      <w:proofErr w:type="gramStart"/>
      <w:r>
        <w:t>place;</w:t>
      </w:r>
      <w:proofErr w:type="gramEnd"/>
      <w:r>
        <w:t xml:space="preserve"> </w:t>
      </w:r>
    </w:p>
    <w:p w14:paraId="48F362AF" w14:textId="4B5448D6" w:rsidR="003D33A1" w:rsidRDefault="003D33A1" w:rsidP="004A08FA">
      <w:pPr>
        <w:pStyle w:val="ListNumber3"/>
      </w:pPr>
      <w:r>
        <w:t xml:space="preserve">note that the power </w:t>
      </w:r>
      <w:r w:rsidR="00BD6709">
        <w:t xml:space="preserve">disparity </w:t>
      </w:r>
      <w:r>
        <w:t xml:space="preserve">between </w:t>
      </w:r>
      <w:r w:rsidR="00BD6709">
        <w:t xml:space="preserve">judges </w:t>
      </w:r>
      <w:r>
        <w:t xml:space="preserve">and judicial staff </w:t>
      </w:r>
      <w:r w:rsidR="00BD6709">
        <w:t>may inhibi</w:t>
      </w:r>
      <w:r w:rsidR="00377451">
        <w:t xml:space="preserve">t </w:t>
      </w:r>
      <w:r>
        <w:t xml:space="preserve">staff </w:t>
      </w:r>
      <w:r w:rsidR="00377451">
        <w:t xml:space="preserve">from declining </w:t>
      </w:r>
      <w:r>
        <w:t xml:space="preserve">an </w:t>
      </w:r>
      <w:proofErr w:type="gramStart"/>
      <w:r w:rsidR="008D11B0">
        <w:t xml:space="preserve">unwelcome </w:t>
      </w:r>
      <w:r>
        <w:t>invitation</w:t>
      </w:r>
      <w:r w:rsidR="006C6579">
        <w:t>s</w:t>
      </w:r>
      <w:proofErr w:type="gramEnd"/>
      <w:r>
        <w:t xml:space="preserve"> from the </w:t>
      </w:r>
      <w:r w:rsidR="00377451">
        <w:t>judge</w:t>
      </w:r>
      <w:r>
        <w:t xml:space="preserve"> </w:t>
      </w:r>
      <w:r w:rsidR="006C6579">
        <w:t>(</w:t>
      </w:r>
      <w:r>
        <w:t xml:space="preserve">such as an invitation to </w:t>
      </w:r>
      <w:r w:rsidR="008D11B0">
        <w:t xml:space="preserve">drinks or </w:t>
      </w:r>
      <w:r>
        <w:t>dinner</w:t>
      </w:r>
      <w:r w:rsidR="006C6579">
        <w:t>) even if the staff member would prefer to decline</w:t>
      </w:r>
      <w:r>
        <w:t>; and</w:t>
      </w:r>
    </w:p>
    <w:p w14:paraId="3C1DB069" w14:textId="0DEAECE2" w:rsidR="003D33A1" w:rsidRDefault="003D33A1" w:rsidP="004A08FA">
      <w:pPr>
        <w:pStyle w:val="ListNumber3"/>
      </w:pPr>
      <w:r>
        <w:t xml:space="preserve">emphasise </w:t>
      </w:r>
      <w:r w:rsidR="00377451">
        <w:t xml:space="preserve">that </w:t>
      </w:r>
      <w:r>
        <w:t xml:space="preserve">judicial officers </w:t>
      </w:r>
      <w:r w:rsidR="00377451">
        <w:t xml:space="preserve">should </w:t>
      </w:r>
      <w:r>
        <w:t>tak</w:t>
      </w:r>
      <w:r w:rsidR="00377451">
        <w:t>e</w:t>
      </w:r>
      <w:r>
        <w:t xml:space="preserve"> steps to ensure that judicial staff understand that they can make their own arrangements outside of court hours and that invitations may be declined</w:t>
      </w:r>
      <w:r w:rsidR="006C6579">
        <w:t xml:space="preserve"> without offence</w:t>
      </w:r>
      <w:r>
        <w:t>.</w:t>
      </w:r>
    </w:p>
    <w:p w14:paraId="5A058801" w14:textId="0282A2DB" w:rsidR="003D33A1" w:rsidRDefault="003D33A1" w:rsidP="004A08FA">
      <w:pPr>
        <w:pStyle w:val="ListNumber2"/>
      </w:pPr>
      <w:r>
        <w:t xml:space="preserve">the staff judge </w:t>
      </w:r>
      <w:r w:rsidRPr="0008135E">
        <w:t>(or a designated staff member in each jurisdiction</w:t>
      </w:r>
      <w:r w:rsidR="00D3585C" w:rsidRPr="0008135E">
        <w:t>,</w:t>
      </w:r>
      <w:r w:rsidRPr="0008135E">
        <w:t xml:space="preserve"> such as a judicial services manager or senior registrar</w:t>
      </w:r>
      <w:r>
        <w:t xml:space="preserve">) </w:t>
      </w:r>
      <w:r w:rsidR="000A13ED">
        <w:t xml:space="preserve">should </w:t>
      </w:r>
      <w:r w:rsidR="00E96578">
        <w:t>state</w:t>
      </w:r>
      <w:r w:rsidR="000A13ED">
        <w:t xml:space="preserve">, in discussions, </w:t>
      </w:r>
      <w:r>
        <w:t xml:space="preserve">with judicial staff </w:t>
      </w:r>
      <w:r w:rsidR="002F1771">
        <w:rPr>
          <w:lang w:val="en-US"/>
        </w:rPr>
        <w:t>who are to travel on circuit that during circuit:</w:t>
      </w:r>
      <w:r w:rsidR="000A13ED">
        <w:t xml:space="preserve"> </w:t>
      </w:r>
    </w:p>
    <w:p w14:paraId="213F82BB" w14:textId="4655879A" w:rsidR="003D33A1" w:rsidRDefault="003D33A1" w:rsidP="004A08FA">
      <w:pPr>
        <w:pStyle w:val="ListNumber3"/>
      </w:pPr>
      <w:r>
        <w:t>judicial staff are not required to spend time with the</w:t>
      </w:r>
      <w:r w:rsidR="00D3585C">
        <w:t xml:space="preserve"> judge</w:t>
      </w:r>
      <w:r>
        <w:t xml:space="preserve"> outside of court hours if they do not wish to, and that invitations from a </w:t>
      </w:r>
      <w:r w:rsidR="00D3585C">
        <w:t xml:space="preserve">judge </w:t>
      </w:r>
      <w:r>
        <w:t xml:space="preserve">to meals or events outside of court hours may be </w:t>
      </w:r>
      <w:proofErr w:type="gramStart"/>
      <w:r>
        <w:t>declined;</w:t>
      </w:r>
      <w:proofErr w:type="gramEnd"/>
    </w:p>
    <w:p w14:paraId="1C86F6C9" w14:textId="77777777" w:rsidR="003D33A1" w:rsidRDefault="003D33A1" w:rsidP="004A08FA">
      <w:pPr>
        <w:pStyle w:val="ListNumber3"/>
      </w:pPr>
      <w:r>
        <w:t xml:space="preserve">CSV policies concerning appropriate workplace conduct continue to apply while on </w:t>
      </w:r>
      <w:proofErr w:type="gramStart"/>
      <w:r>
        <w:t>circuit;</w:t>
      </w:r>
      <w:proofErr w:type="gramEnd"/>
    </w:p>
    <w:p w14:paraId="00B62F00" w14:textId="44B1CF12" w:rsidR="003D33A1" w:rsidRDefault="003D33A1" w:rsidP="004A08FA">
      <w:pPr>
        <w:pStyle w:val="ListNumber3"/>
      </w:pPr>
      <w:r>
        <w:t xml:space="preserve">that lines of contact with CSV and the staff judge remain open while the staff member is on </w:t>
      </w:r>
      <w:proofErr w:type="gramStart"/>
      <w:r>
        <w:t>circuit</w:t>
      </w:r>
      <w:r w:rsidR="00036B2F">
        <w:t>;</w:t>
      </w:r>
      <w:proofErr w:type="gramEnd"/>
    </w:p>
    <w:p w14:paraId="6835CC65" w14:textId="7FD82136" w:rsidR="003D33A1" w:rsidRDefault="003D33A1" w:rsidP="004A08FA">
      <w:pPr>
        <w:pStyle w:val="ListNumber3"/>
      </w:pPr>
      <w:r>
        <w:t>a judicial officer is accompanied on circuit by more than one judicial staff member</w:t>
      </w:r>
      <w:r w:rsidR="00036B2F">
        <w:t>.</w:t>
      </w:r>
    </w:p>
    <w:p w14:paraId="72EF1DC6" w14:textId="217F1040" w:rsidR="003D33A1" w:rsidRDefault="00A95409" w:rsidP="004A08FA">
      <w:pPr>
        <w:pStyle w:val="ListNumber2"/>
      </w:pPr>
      <w:r>
        <w:t xml:space="preserve">After </w:t>
      </w:r>
      <w:r w:rsidR="003D33A1">
        <w:t xml:space="preserve">the circuit, </w:t>
      </w:r>
      <w:r>
        <w:t xml:space="preserve">court administration should routinely check with the judge to confirm that </w:t>
      </w:r>
      <w:r w:rsidR="003D33A1">
        <w:t xml:space="preserve">the arrangements for the circuit were satisfactory and whether there were any </w:t>
      </w:r>
      <w:r>
        <w:t xml:space="preserve">problems or inadequacies that the judge wishes to </w:t>
      </w:r>
      <w:proofErr w:type="gramStart"/>
      <w:r>
        <w:t>raise</w:t>
      </w:r>
      <w:r w:rsidR="00FD16A8">
        <w:t>;</w:t>
      </w:r>
      <w:proofErr w:type="gramEnd"/>
    </w:p>
    <w:p w14:paraId="5A562D7D" w14:textId="6B28DE3A" w:rsidR="003D33A1" w:rsidRDefault="00D3585C" w:rsidP="004A08FA">
      <w:pPr>
        <w:pStyle w:val="ListNumber2"/>
      </w:pPr>
      <w:r>
        <w:t xml:space="preserve">Court </w:t>
      </w:r>
      <w:r w:rsidR="00FD16A8">
        <w:t xml:space="preserve">administration should </w:t>
      </w:r>
      <w:r w:rsidR="003D33A1">
        <w:t xml:space="preserve">speak with each judicial staff member to enquire whether the staff member has any feedback on </w:t>
      </w:r>
      <w:r w:rsidR="00FD16A8">
        <w:t xml:space="preserve">whether the arrangements for circuit were </w:t>
      </w:r>
      <w:r w:rsidR="00902AEE">
        <w:t xml:space="preserve">satisfactory </w:t>
      </w:r>
      <w:r w:rsidR="003D33A1">
        <w:t xml:space="preserve">and give the staff member an opportunity to raise any </w:t>
      </w:r>
      <w:r w:rsidR="00902AEE">
        <w:t xml:space="preserve">questions or </w:t>
      </w:r>
      <w:r w:rsidR="003D33A1">
        <w:t>issues</w:t>
      </w:r>
      <w:r w:rsidR="00902AEE">
        <w:t>.</w:t>
      </w:r>
      <w:r w:rsidR="003D33A1">
        <w:t xml:space="preserve"> </w:t>
      </w:r>
    </w:p>
    <w:p w14:paraId="19E24E82" w14:textId="5D1CD3CA" w:rsidR="00DE092E" w:rsidRDefault="00DE092E" w:rsidP="00245B90">
      <w:pPr>
        <w:pStyle w:val="ListNumber2"/>
        <w:numPr>
          <w:ilvl w:val="0"/>
          <w:numId w:val="0"/>
        </w:numPr>
        <w:ind w:left="720"/>
      </w:pPr>
      <w:r>
        <w:t>In making this recommendation, we do not suggest that judges and their staff should be inhibited from sharing meals or socialising while on circuit.  Rather, they should be aware of risk factors for inappropriate conduct and th</w:t>
      </w:r>
      <w:r w:rsidR="005B5D15">
        <w:t>at staff are entitled to exercise free choice in relation to personal and social activity.</w:t>
      </w:r>
    </w:p>
    <w:p w14:paraId="3AD745BD" w14:textId="6E03ECC1" w:rsidR="0072404A" w:rsidRPr="002E3795" w:rsidRDefault="0072404A" w:rsidP="009A519D">
      <w:pPr>
        <w:pStyle w:val="Heading5"/>
        <w:keepNext/>
      </w:pPr>
      <w:r>
        <w:lastRenderedPageBreak/>
        <w:t>Review Recommendations</w:t>
      </w:r>
    </w:p>
    <w:p w14:paraId="6F9B2D2A" w14:textId="54B0042F" w:rsidR="0072404A" w:rsidRDefault="0072404A" w:rsidP="009A519D">
      <w:pPr>
        <w:pStyle w:val="ListNumber2"/>
        <w:keepNext/>
        <w:spacing w:before="240"/>
        <w:rPr>
          <w:lang w:val="en-US"/>
        </w:rPr>
      </w:pPr>
      <w:r>
        <w:rPr>
          <w:lang w:val="en-US"/>
        </w:rPr>
        <w:t>We recommend that the operation of each of the recommendations in this Report adopted by CSV (whether across each jurisdiction or only in select jurisdictions) be reviewed by CSV within three years of the implementation of those recommendations.</w:t>
      </w:r>
    </w:p>
    <w:p w14:paraId="30A57A23" w14:textId="3B56B8D9" w:rsidR="007279EE" w:rsidRPr="007E252E" w:rsidRDefault="00850485" w:rsidP="00710068">
      <w:pPr>
        <w:spacing w:before="0" w:line="480" w:lineRule="auto"/>
        <w:jc w:val="right"/>
        <w:rPr>
          <w:b/>
          <w:sz w:val="23"/>
          <w:szCs w:val="23"/>
        </w:rPr>
      </w:pPr>
      <w:r>
        <w:rPr>
          <w:b/>
          <w:sz w:val="23"/>
          <w:szCs w:val="23"/>
        </w:rPr>
        <w:t xml:space="preserve">August </w:t>
      </w:r>
      <w:r w:rsidR="00007DFC" w:rsidRPr="007E252E">
        <w:rPr>
          <w:b/>
          <w:sz w:val="23"/>
          <w:szCs w:val="23"/>
        </w:rPr>
        <w:t>2022</w:t>
      </w:r>
    </w:p>
    <w:p w14:paraId="37E69F3B" w14:textId="682C48F6" w:rsidR="004655AF" w:rsidRDefault="00007DFC" w:rsidP="00710068">
      <w:pPr>
        <w:pStyle w:val="ListParagraph"/>
        <w:numPr>
          <w:ilvl w:val="0"/>
          <w:numId w:val="0"/>
        </w:numPr>
        <w:spacing w:before="0"/>
        <w:ind w:left="360"/>
        <w:jc w:val="right"/>
        <w:rPr>
          <w:b/>
        </w:rPr>
      </w:pPr>
      <w:r>
        <w:rPr>
          <w:b/>
        </w:rPr>
        <w:t xml:space="preserve">The Hon. Julie Dodds-Streeton </w:t>
      </w:r>
      <w:r w:rsidR="003553CD">
        <w:rPr>
          <w:b/>
        </w:rPr>
        <w:t>K</w:t>
      </w:r>
      <w:r>
        <w:rPr>
          <w:b/>
        </w:rPr>
        <w:t>C</w:t>
      </w:r>
    </w:p>
    <w:p w14:paraId="14278C70" w14:textId="03D9A481" w:rsidR="00A43175" w:rsidRDefault="00007DFC" w:rsidP="00983DD3">
      <w:pPr>
        <w:pStyle w:val="ListParagraph"/>
        <w:numPr>
          <w:ilvl w:val="0"/>
          <w:numId w:val="0"/>
        </w:numPr>
        <w:spacing w:before="0"/>
        <w:ind w:left="360"/>
        <w:jc w:val="right"/>
        <w:rPr>
          <w:b/>
        </w:rPr>
      </w:pPr>
      <w:r>
        <w:rPr>
          <w:b/>
        </w:rPr>
        <w:t>Jack O’Connor, Counsel</w:t>
      </w:r>
    </w:p>
    <w:sectPr w:rsidR="00A43175" w:rsidSect="009A519D">
      <w:headerReference w:type="even" r:id="rId20"/>
      <w:headerReference w:type="default" r:id="rId21"/>
      <w:headerReference w:type="first" r:id="rId22"/>
      <w:pgSz w:w="11906" w:h="16838"/>
      <w:pgMar w:top="1134"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98C1" w14:textId="77777777" w:rsidR="00B33B90" w:rsidRDefault="00B33B90" w:rsidP="00E47CC5">
      <w:pPr>
        <w:spacing w:before="0" w:after="0"/>
      </w:pPr>
      <w:r>
        <w:separator/>
      </w:r>
    </w:p>
    <w:p w14:paraId="77EE0358" w14:textId="77777777" w:rsidR="00B33B90" w:rsidRDefault="00B33B90"/>
    <w:p w14:paraId="01034201" w14:textId="77777777" w:rsidR="00B33B90" w:rsidRDefault="00B33B90"/>
  </w:endnote>
  <w:endnote w:type="continuationSeparator" w:id="0">
    <w:p w14:paraId="49D21FB5" w14:textId="77777777" w:rsidR="00B33B90" w:rsidRDefault="00B33B90" w:rsidP="00E47CC5">
      <w:pPr>
        <w:spacing w:before="0" w:after="0"/>
      </w:pPr>
      <w:r>
        <w:continuationSeparator/>
      </w:r>
    </w:p>
    <w:p w14:paraId="1D1740CB" w14:textId="77777777" w:rsidR="00B33B90" w:rsidRDefault="00B33B90"/>
    <w:p w14:paraId="201D5DA7" w14:textId="77777777" w:rsidR="00B33B90" w:rsidRDefault="00B33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C1A0" w14:textId="77777777" w:rsidR="0088791F" w:rsidRDefault="0088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1AF6" w14:textId="6CE1788F" w:rsidR="00B44447" w:rsidRPr="0056378C" w:rsidRDefault="00EA2A02" w:rsidP="00B44447">
    <w:pPr>
      <w:pStyle w:val="Footer"/>
      <w:jc w:val="center"/>
      <w:rPr>
        <w:noProof/>
        <w:sz w:val="24"/>
        <w:szCs w:val="24"/>
      </w:rPr>
    </w:pPr>
    <w:r w:rsidRPr="0056378C">
      <w:rPr>
        <w:rFonts w:ascii="Arial Narrow" w:hAnsi="Arial Narrow"/>
        <w:bCs/>
        <w:sz w:val="18"/>
        <w:szCs w:val="18"/>
      </w:rPr>
      <w:t xml:space="preserve">Report pursuant to </w:t>
    </w:r>
    <w:r w:rsidRPr="0056378C">
      <w:rPr>
        <w:rFonts w:ascii="Arial Narrow" w:hAnsi="Arial Narrow"/>
        <w:bCs/>
        <w:sz w:val="18"/>
        <w:szCs w:val="18"/>
        <w:lang w:val="en-US"/>
      </w:rPr>
      <w:t>Recommendation 4 of the Szoke Report on Sexual Harassment in Victorian Courts -</w:t>
    </w:r>
    <w:r w:rsidRPr="0056378C">
      <w:rPr>
        <w:rFonts w:ascii="Arial Narrow" w:hAnsi="Arial Narrow"/>
        <w:bCs/>
        <w:sz w:val="18"/>
        <w:szCs w:val="18"/>
      </w:rPr>
      <w:t xml:space="preserve"> </w:t>
    </w:r>
    <w:r w:rsidR="00850485">
      <w:rPr>
        <w:rFonts w:ascii="Arial Narrow" w:hAnsi="Arial Narrow"/>
        <w:bCs/>
        <w:sz w:val="18"/>
        <w:szCs w:val="18"/>
      </w:rPr>
      <w:t xml:space="preserve">August </w:t>
    </w:r>
    <w:r w:rsidRPr="0056378C">
      <w:rPr>
        <w:rFonts w:ascii="Arial Narrow" w:hAnsi="Arial Narrow"/>
        <w:bCs/>
        <w:sz w:val="18"/>
        <w:szCs w:val="18"/>
      </w:rPr>
      <w:t>2022</w:t>
    </w:r>
    <w:r w:rsidR="00B44447" w:rsidRPr="0056378C">
      <w:rPr>
        <w:rFonts w:ascii="Arial Narrow" w:hAnsi="Arial Narrow"/>
        <w:bCs/>
        <w:sz w:val="18"/>
        <w:szCs w:val="18"/>
      </w:rPr>
      <w:tab/>
    </w:r>
    <w:sdt>
      <w:sdtPr>
        <w:rPr>
          <w:sz w:val="24"/>
          <w:szCs w:val="24"/>
        </w:rPr>
        <w:id w:val="528535369"/>
        <w:docPartObj>
          <w:docPartGallery w:val="Page Numbers (Bottom of Page)"/>
          <w:docPartUnique/>
        </w:docPartObj>
      </w:sdtPr>
      <w:sdtEndPr>
        <w:rPr>
          <w:noProof/>
        </w:rPr>
      </w:sdtEndPr>
      <w:sdtContent>
        <w:r w:rsidR="00B44447" w:rsidRPr="0056378C">
          <w:rPr>
            <w:rFonts w:ascii="Arial Narrow" w:hAnsi="Arial Narrow"/>
          </w:rPr>
          <w:fldChar w:fldCharType="begin"/>
        </w:r>
        <w:r w:rsidR="00B44447" w:rsidRPr="0056378C">
          <w:rPr>
            <w:rFonts w:ascii="Arial Narrow" w:hAnsi="Arial Narrow"/>
          </w:rPr>
          <w:instrText xml:space="preserve"> PAGE   \* MERGEFORMAT </w:instrText>
        </w:r>
        <w:r w:rsidR="00B44447" w:rsidRPr="0056378C">
          <w:rPr>
            <w:rFonts w:ascii="Arial Narrow" w:hAnsi="Arial Narrow"/>
          </w:rPr>
          <w:fldChar w:fldCharType="separate"/>
        </w:r>
        <w:r w:rsidR="00B44447" w:rsidRPr="0056378C">
          <w:rPr>
            <w:rFonts w:ascii="Arial Narrow" w:hAnsi="Arial Narrow"/>
          </w:rPr>
          <w:t>5</w:t>
        </w:r>
        <w:r w:rsidR="00B44447" w:rsidRPr="0056378C">
          <w:rPr>
            <w:rFonts w:ascii="Arial Narrow" w:hAnsi="Arial Narrow"/>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1F5A" w14:textId="77777777" w:rsidR="0088791F" w:rsidRDefault="008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D1F8" w14:textId="77777777" w:rsidR="00B33B90" w:rsidRDefault="00B33B90" w:rsidP="00065B52">
      <w:pPr>
        <w:spacing w:before="0" w:after="0"/>
      </w:pPr>
      <w:r>
        <w:separator/>
      </w:r>
    </w:p>
  </w:footnote>
  <w:footnote w:type="continuationSeparator" w:id="0">
    <w:p w14:paraId="47E5C4EF" w14:textId="77777777" w:rsidR="00B33B90" w:rsidRDefault="00B33B90" w:rsidP="00E47CC5">
      <w:pPr>
        <w:spacing w:before="0" w:after="0"/>
      </w:pPr>
      <w:r>
        <w:continuationSeparator/>
      </w:r>
    </w:p>
    <w:p w14:paraId="54C0DA2B" w14:textId="77777777" w:rsidR="00B33B90" w:rsidRDefault="00B33B90"/>
    <w:p w14:paraId="057E7931" w14:textId="77777777" w:rsidR="00B33B90" w:rsidRDefault="00B33B90"/>
  </w:footnote>
  <w:footnote w:id="1">
    <w:p w14:paraId="4B8A7F67" w14:textId="639480AF" w:rsidR="00C8001E" w:rsidRPr="00C8001E" w:rsidRDefault="00C8001E" w:rsidP="000809F3">
      <w:pPr>
        <w:pStyle w:val="FootnoteText"/>
        <w:rPr>
          <w:lang w:val="en-US"/>
        </w:rPr>
      </w:pPr>
      <w:r>
        <w:rPr>
          <w:rStyle w:val="FootnoteReference"/>
        </w:rPr>
        <w:footnoteRef/>
      </w:r>
      <w:r>
        <w:t xml:space="preserve"> </w:t>
      </w:r>
      <w:r w:rsidR="00F269D2">
        <w:tab/>
      </w:r>
      <w:r>
        <w:rPr>
          <w:lang w:val="en-US"/>
        </w:rPr>
        <w:t xml:space="preserve">Dr Helen Szoke AO, </w:t>
      </w:r>
      <w:r>
        <w:rPr>
          <w:i/>
          <w:iCs/>
          <w:lang w:val="en-US"/>
        </w:rPr>
        <w:t>Preventing and Addressing Sexual Harassment in Victorian Courts and VCAT: Report and Recommendations</w:t>
      </w:r>
      <w:r>
        <w:rPr>
          <w:lang w:val="en-US"/>
        </w:rPr>
        <w:t xml:space="preserve">, March 2021. </w:t>
      </w:r>
    </w:p>
  </w:footnote>
  <w:footnote w:id="2">
    <w:p w14:paraId="3E8E079A" w14:textId="27047907" w:rsidR="00D73DB3" w:rsidRDefault="00D73DB3">
      <w:pPr>
        <w:pStyle w:val="FootnoteText"/>
      </w:pPr>
      <w:r>
        <w:rPr>
          <w:rStyle w:val="FootnoteReference"/>
        </w:rPr>
        <w:footnoteRef/>
      </w:r>
      <w:r>
        <w:t xml:space="preserve"> </w:t>
      </w:r>
      <w:r>
        <w:tab/>
        <w:t xml:space="preserve">Since the publication of the Szoke Report, two other Australian cases of allegations of sexually inappropriate conduct by judicial officers towards associates or juniors working in the legal profession have been investigated.  They are </w:t>
      </w:r>
      <w:r w:rsidR="005524F1">
        <w:t>discussed in detail below.</w:t>
      </w:r>
    </w:p>
  </w:footnote>
  <w:footnote w:id="3">
    <w:p w14:paraId="22A3C80C" w14:textId="4F602311" w:rsidR="000E6413" w:rsidRPr="000E6413" w:rsidRDefault="000E6413">
      <w:pPr>
        <w:pStyle w:val="FootnoteText"/>
        <w:rPr>
          <w:lang w:val="en-US"/>
        </w:rPr>
      </w:pPr>
      <w:r>
        <w:rPr>
          <w:rStyle w:val="FootnoteReference"/>
        </w:rPr>
        <w:footnoteRef/>
      </w:r>
      <w:r>
        <w:t xml:space="preserve"> </w:t>
      </w:r>
      <w:r>
        <w:rPr>
          <w:lang w:val="en-US"/>
        </w:rPr>
        <w:tab/>
        <w:t>Szoke Report, 23.</w:t>
      </w:r>
    </w:p>
  </w:footnote>
  <w:footnote w:id="4">
    <w:p w14:paraId="7F50EA90" w14:textId="7F25902B" w:rsidR="00C53412" w:rsidRPr="00280CBD" w:rsidRDefault="00C53412">
      <w:pPr>
        <w:pStyle w:val="FootnoteText"/>
        <w:rPr>
          <w:lang w:val="en-US"/>
        </w:rPr>
      </w:pPr>
      <w:r>
        <w:rPr>
          <w:rStyle w:val="FootnoteReference"/>
        </w:rPr>
        <w:footnoteRef/>
      </w:r>
      <w:r>
        <w:t xml:space="preserve"> </w:t>
      </w:r>
      <w:r>
        <w:tab/>
      </w:r>
      <w:r w:rsidR="00280CBD">
        <w:rPr>
          <w:i/>
          <w:iCs/>
        </w:rPr>
        <w:t>Court Services Victoria Act 2014</w:t>
      </w:r>
      <w:r w:rsidR="0048127C">
        <w:t>,</w:t>
      </w:r>
      <w:r w:rsidR="00280CBD">
        <w:t xml:space="preserve"> s 12(3). </w:t>
      </w:r>
    </w:p>
  </w:footnote>
  <w:footnote w:id="5">
    <w:p w14:paraId="55CBD548" w14:textId="72959F81" w:rsidR="007C65BE" w:rsidRPr="00EA07C4" w:rsidRDefault="007C65BE" w:rsidP="007C65BE">
      <w:pPr>
        <w:pStyle w:val="FootnoteText"/>
        <w:rPr>
          <w:lang w:val="en-US"/>
        </w:rPr>
      </w:pPr>
      <w:r>
        <w:rPr>
          <w:rStyle w:val="FootnoteReference"/>
        </w:rPr>
        <w:footnoteRef/>
      </w:r>
      <w:r>
        <w:t xml:space="preserve"> </w:t>
      </w:r>
      <w:r>
        <w:rPr>
          <w:lang w:val="en-US"/>
        </w:rPr>
        <w:tab/>
        <w:t>Szoke Report, 8.</w:t>
      </w:r>
    </w:p>
  </w:footnote>
  <w:footnote w:id="6">
    <w:p w14:paraId="30699B86" w14:textId="1DE7ED24" w:rsidR="001F6D89" w:rsidRPr="001F6D89" w:rsidRDefault="001F6D89">
      <w:pPr>
        <w:pStyle w:val="FootnoteText"/>
        <w:rPr>
          <w:lang w:val="en-US"/>
        </w:rPr>
      </w:pPr>
      <w:r>
        <w:rPr>
          <w:rStyle w:val="FootnoteReference"/>
        </w:rPr>
        <w:footnoteRef/>
      </w:r>
      <w:r>
        <w:t xml:space="preserve"> </w:t>
      </w:r>
      <w:r>
        <w:tab/>
      </w:r>
      <w:hyperlink r:id="rId1" w:history="1">
        <w:r w:rsidR="00F80AF6" w:rsidRPr="001C65CB">
          <w:rPr>
            <w:rStyle w:val="Hyperlink"/>
          </w:rPr>
          <w:t>https://lsbc.vic.gov.au/resources/report-sexual-harassment-study</w:t>
        </w:r>
      </w:hyperlink>
      <w:r w:rsidR="006E037B">
        <w:t xml:space="preserve">; Szoke Report, 38. </w:t>
      </w:r>
    </w:p>
  </w:footnote>
  <w:footnote w:id="7">
    <w:p w14:paraId="0BEC91BC" w14:textId="74A57E2F" w:rsidR="00111691" w:rsidRPr="00111691" w:rsidRDefault="00111691">
      <w:pPr>
        <w:pStyle w:val="FootnoteText"/>
        <w:rPr>
          <w:lang w:val="en-US"/>
        </w:rPr>
      </w:pPr>
      <w:r>
        <w:rPr>
          <w:rStyle w:val="FootnoteReference"/>
        </w:rPr>
        <w:footnoteRef/>
      </w:r>
      <w:r>
        <w:t xml:space="preserve"> </w:t>
      </w:r>
      <w:r>
        <w:rPr>
          <w:lang w:val="en-US"/>
        </w:rPr>
        <w:tab/>
        <w:t>Szoke Report, 38.</w:t>
      </w:r>
    </w:p>
  </w:footnote>
  <w:footnote w:id="8">
    <w:p w14:paraId="0B5B87FA" w14:textId="6BAF18BD" w:rsidR="009B3150" w:rsidRPr="00E324DD" w:rsidRDefault="009B3150" w:rsidP="009B3150">
      <w:pPr>
        <w:pStyle w:val="FootnoteText"/>
        <w:rPr>
          <w:lang w:val="en-US"/>
        </w:rPr>
      </w:pPr>
      <w:r>
        <w:rPr>
          <w:rStyle w:val="FootnoteReference"/>
        </w:rPr>
        <w:footnoteRef/>
      </w:r>
      <w:r>
        <w:t xml:space="preserve"> </w:t>
      </w:r>
      <w:r>
        <w:rPr>
          <w:lang w:val="en-US"/>
        </w:rPr>
        <w:tab/>
        <w:t xml:space="preserve">The </w:t>
      </w:r>
      <w:r w:rsidR="00420947">
        <w:rPr>
          <w:lang w:val="en-US"/>
        </w:rPr>
        <w:t xml:space="preserve">Victorian Equal Opportunity and Human Rights Commission, which </w:t>
      </w:r>
      <w:r>
        <w:rPr>
          <w:lang w:val="en-US"/>
        </w:rPr>
        <w:t>received reports of sexual harassment over a six-week period during which “36 people shared their experience via written submission or through a one-on-one interview”: Szoke Report, 23,</w:t>
      </w:r>
    </w:p>
  </w:footnote>
  <w:footnote w:id="9">
    <w:p w14:paraId="3FD03A0A" w14:textId="44C18F77" w:rsidR="009A0139" w:rsidRPr="009A0139" w:rsidRDefault="009A0139">
      <w:pPr>
        <w:pStyle w:val="FootnoteText"/>
        <w:rPr>
          <w:lang w:val="en-US"/>
        </w:rPr>
      </w:pPr>
      <w:r>
        <w:rPr>
          <w:rStyle w:val="FootnoteReference"/>
        </w:rPr>
        <w:footnoteRef/>
      </w:r>
      <w:r>
        <w:t xml:space="preserve"> </w:t>
      </w:r>
      <w:r>
        <w:rPr>
          <w:lang w:val="en-US"/>
        </w:rPr>
        <w:tab/>
        <w:t>Szoke Report, 23.</w:t>
      </w:r>
    </w:p>
  </w:footnote>
  <w:footnote w:id="10">
    <w:p w14:paraId="09FAD97C" w14:textId="531339FE" w:rsidR="00A10885" w:rsidRPr="00A10885" w:rsidRDefault="00A10885" w:rsidP="000809F3">
      <w:pPr>
        <w:pStyle w:val="FootnoteText"/>
        <w:rPr>
          <w:lang w:val="en-US"/>
        </w:rPr>
      </w:pPr>
      <w:r>
        <w:rPr>
          <w:rStyle w:val="FootnoteReference"/>
        </w:rPr>
        <w:footnoteRef/>
      </w:r>
      <w:r>
        <w:t xml:space="preserve"> </w:t>
      </w:r>
      <w:r>
        <w:rPr>
          <w:lang w:val="en-US"/>
        </w:rPr>
        <w:tab/>
        <w:t>Szoke Report, 39.</w:t>
      </w:r>
      <w:r w:rsidR="006F1633">
        <w:rPr>
          <w:lang w:val="en-US"/>
        </w:rPr>
        <w:t xml:space="preserve"> 50% of those 36 participants in the VEOHRC process indicated that they had experienced or witnessed sexual harassment by a judicial officer or VCAT member, and 38% of those incidents had occurred within the last five years: Szoke Report, 76.</w:t>
      </w:r>
    </w:p>
  </w:footnote>
  <w:footnote w:id="11">
    <w:p w14:paraId="62DF1CDB" w14:textId="526A73AD" w:rsidR="00D555D2" w:rsidRPr="00D555D2" w:rsidRDefault="00D555D2">
      <w:pPr>
        <w:pStyle w:val="FootnoteText"/>
        <w:rPr>
          <w:lang w:val="en-US"/>
        </w:rPr>
      </w:pPr>
      <w:r>
        <w:rPr>
          <w:rStyle w:val="FootnoteReference"/>
        </w:rPr>
        <w:footnoteRef/>
      </w:r>
      <w:r>
        <w:t xml:space="preserve"> </w:t>
      </w:r>
      <w:r>
        <w:rPr>
          <w:lang w:val="en-US"/>
        </w:rPr>
        <w:tab/>
        <w:t>Szoke Report, 39.</w:t>
      </w:r>
    </w:p>
  </w:footnote>
  <w:footnote w:id="12">
    <w:p w14:paraId="2F3A2FAD" w14:textId="0C779AF5" w:rsidR="00A8052F" w:rsidRDefault="00A8052F">
      <w:pPr>
        <w:pStyle w:val="FootnoteText"/>
      </w:pPr>
      <w:r>
        <w:rPr>
          <w:rStyle w:val="FootnoteReference"/>
        </w:rPr>
        <w:footnoteRef/>
      </w:r>
      <w:r>
        <w:t xml:space="preserve"> </w:t>
      </w:r>
      <w:r>
        <w:tab/>
      </w:r>
      <w:r w:rsidR="00960326">
        <w:t>As to the relatively new arrangements in the Magistrates’ Court concerning the assignment of “Court Officers”, see [</w:t>
      </w:r>
      <w:r w:rsidR="003C6913">
        <w:fldChar w:fldCharType="begin"/>
      </w:r>
      <w:r w:rsidR="003C6913">
        <w:instrText xml:space="preserve"> REF _Ref108877591 \r \h </w:instrText>
      </w:r>
      <w:r w:rsidR="003C6913">
        <w:fldChar w:fldCharType="separate"/>
      </w:r>
      <w:r w:rsidR="00CF093C">
        <w:t>314</w:t>
      </w:r>
      <w:r w:rsidR="003C6913">
        <w:fldChar w:fldCharType="end"/>
      </w:r>
      <w:r w:rsidR="003C6913">
        <w:t>]</w:t>
      </w:r>
      <w:proofErr w:type="gramStart"/>
      <w:r w:rsidR="003C6913">
        <w:t>-[</w:t>
      </w:r>
      <w:proofErr w:type="gramEnd"/>
      <w:r w:rsidR="00AC59B3">
        <w:fldChar w:fldCharType="begin"/>
      </w:r>
      <w:r w:rsidR="00AC59B3">
        <w:instrText xml:space="preserve"> REF _Ref110930873 \r \h </w:instrText>
      </w:r>
      <w:r w:rsidR="00AC59B3">
        <w:fldChar w:fldCharType="separate"/>
      </w:r>
      <w:r w:rsidR="00CF093C">
        <w:t>318</w:t>
      </w:r>
      <w:r w:rsidR="00AC59B3">
        <w:fldChar w:fldCharType="end"/>
      </w:r>
      <w:r w:rsidR="003C6913">
        <w:t>]</w:t>
      </w:r>
      <w:r w:rsidR="00960326">
        <w:t xml:space="preserve"> below.</w:t>
      </w:r>
    </w:p>
  </w:footnote>
  <w:footnote w:id="13">
    <w:p w14:paraId="5AC45C3B" w14:textId="572BA15C" w:rsidR="007F5282" w:rsidRDefault="007F5282" w:rsidP="00835001">
      <w:pPr>
        <w:pStyle w:val="FootnoteText"/>
      </w:pPr>
      <w:r>
        <w:rPr>
          <w:rStyle w:val="FootnoteReference"/>
        </w:rPr>
        <w:footnoteRef/>
      </w:r>
      <w:r>
        <w:t xml:space="preserve"> </w:t>
      </w:r>
      <w:r>
        <w:tab/>
      </w:r>
      <w:r w:rsidR="00C14159">
        <w:t xml:space="preserve">At the time of completion of </w:t>
      </w:r>
      <w:r w:rsidR="006952ED">
        <w:t xml:space="preserve">this </w:t>
      </w:r>
      <w:r w:rsidR="00C14159">
        <w:t>report, the CEO of the Judicial College of Victoria provided the following update:</w:t>
      </w:r>
      <w:r w:rsidR="002159BD">
        <w:t xml:space="preserve"> </w:t>
      </w:r>
      <w:r w:rsidR="005E1214">
        <w:t>“</w:t>
      </w:r>
      <w:r w:rsidR="00835001" w:rsidRPr="00835001">
        <w:t xml:space="preserve">During 2022, the Judicial College of Victoria has offered education sessions to judicial officers (commencing with judges of the Supreme Court of Victoria and the County Court of Victoria) on preventing and addressing sexual harassment. </w:t>
      </w:r>
      <w:r w:rsidR="005E1214">
        <w:t xml:space="preserve"> </w:t>
      </w:r>
      <w:r w:rsidR="00835001" w:rsidRPr="00835001">
        <w:t xml:space="preserve">This training starts with forums for facilitated discussion and awareness-raising, including ‘customised’ scenarios and hypotheticals with scope for feedback. </w:t>
      </w:r>
      <w:r w:rsidR="005E1214">
        <w:t xml:space="preserve"> </w:t>
      </w:r>
      <w:r w:rsidR="00835001" w:rsidRPr="00835001">
        <w:t xml:space="preserve">The sessions to follow range from bystander training; understanding the complaints and resolution process across the jurisdictions, </w:t>
      </w:r>
      <w:proofErr w:type="gramStart"/>
      <w:r w:rsidR="00835001" w:rsidRPr="00835001">
        <w:t>CSV</w:t>
      </w:r>
      <w:proofErr w:type="gramEnd"/>
      <w:r w:rsidR="00835001" w:rsidRPr="00835001">
        <w:t xml:space="preserve"> and the Judicial Commission; assistance with managing employees in the workplace and hearing about the experiences of close staff; to engagement with the roles of changemakers and male allies. </w:t>
      </w:r>
      <w:r w:rsidR="005E1214">
        <w:t xml:space="preserve"> </w:t>
      </w:r>
      <w:r w:rsidR="00835001" w:rsidRPr="00835001">
        <w:t>Developed with enduring cultural change in mind, this education aims to provide practical strategies for contemporary workplace leaders. Its leverages peer to peer learning</w:t>
      </w:r>
      <w:r w:rsidR="00835001" w:rsidRPr="00835001">
        <w:rPr>
          <w:b/>
          <w:bCs/>
        </w:rPr>
        <w:t xml:space="preserve"> </w:t>
      </w:r>
      <w:r w:rsidR="00835001" w:rsidRPr="00835001">
        <w:t>among judicial officers to build active engagement and investment in maintaining a safe workplace.</w:t>
      </w:r>
      <w:r w:rsidR="005E1214">
        <w:t>”</w:t>
      </w:r>
    </w:p>
  </w:footnote>
  <w:footnote w:id="14">
    <w:p w14:paraId="188D0BBD" w14:textId="3C87298C" w:rsidR="00A86451" w:rsidRDefault="00A86451">
      <w:pPr>
        <w:pStyle w:val="FootnoteText"/>
      </w:pPr>
      <w:r>
        <w:rPr>
          <w:rStyle w:val="FootnoteReference"/>
        </w:rPr>
        <w:footnoteRef/>
      </w:r>
      <w:r>
        <w:t xml:space="preserve"> </w:t>
      </w:r>
      <w:r>
        <w:tab/>
        <w:t>At the time of completion of this report, CSV provided the following update: “</w:t>
      </w:r>
      <w:proofErr w:type="gramStart"/>
      <w:r w:rsidR="007648A7" w:rsidRPr="007648A7">
        <w:t>All  managers</w:t>
      </w:r>
      <w:proofErr w:type="gramEnd"/>
      <w:r w:rsidR="007648A7" w:rsidRPr="007648A7">
        <w:t xml:space="preserve"> were required to complete two half day sexual harassment training sessions provided by an independent specialist training provider in the 2021/22 period. In 2022/23 all managers are required to complete refresher sexual harassment training. </w:t>
      </w:r>
      <w:r w:rsidR="00510D7E">
        <w:t xml:space="preserve"> </w:t>
      </w:r>
      <w:r w:rsidR="007648A7" w:rsidRPr="007648A7">
        <w:t>Contact officers have their initial training with VEOHRC and thereafter quarterly sexual harassment training with an independent specialist training provider, they also attend regular network meetings and in July 2022 received specific training in relation to bullying again by an independent specialist training provider.</w:t>
      </w:r>
      <w:r w:rsidR="007648A7">
        <w:t>”</w:t>
      </w:r>
    </w:p>
  </w:footnote>
  <w:footnote w:id="15">
    <w:p w14:paraId="1C2D0BD3" w14:textId="6E89EEEF" w:rsidR="005778B5" w:rsidRDefault="005778B5" w:rsidP="0081039F">
      <w:pPr>
        <w:pStyle w:val="FootnoteText"/>
      </w:pPr>
      <w:r>
        <w:rPr>
          <w:rStyle w:val="FootnoteReference"/>
        </w:rPr>
        <w:footnoteRef/>
      </w:r>
      <w:r>
        <w:t xml:space="preserve"> </w:t>
      </w:r>
      <w:r>
        <w:tab/>
      </w:r>
      <w:r w:rsidRPr="005778B5">
        <w:t xml:space="preserve">There are texts on </w:t>
      </w:r>
      <w:r w:rsidR="00FA18B3">
        <w:t xml:space="preserve">the topic of </w:t>
      </w:r>
      <w:r w:rsidRPr="005778B5">
        <w:t xml:space="preserve">Sex Discrimination more broadly which have chapters dealing with sexual harassment, </w:t>
      </w:r>
      <w:r w:rsidR="00FA18B3">
        <w:t xml:space="preserve">see, </w:t>
      </w:r>
      <w:proofErr w:type="gramStart"/>
      <w:r w:rsidRPr="005778B5">
        <w:t>e.g.</w:t>
      </w:r>
      <w:proofErr w:type="gramEnd"/>
      <w:r w:rsidRPr="005778B5">
        <w:t xml:space="preserve"> </w:t>
      </w:r>
      <w:r w:rsidRPr="005778B5">
        <w:rPr>
          <w:i/>
          <w:iCs/>
        </w:rPr>
        <w:t>Australian Anti-Discrimination and Equal Opportunity Law</w:t>
      </w:r>
      <w:r w:rsidR="005D0152">
        <w:rPr>
          <w:i/>
          <w:iCs/>
        </w:rPr>
        <w:t xml:space="preserve">, </w:t>
      </w:r>
      <w:r w:rsidR="005D0152">
        <w:t>Federation Press (2018) 3</w:t>
      </w:r>
      <w:r w:rsidR="005D0152" w:rsidRPr="005D0152">
        <w:rPr>
          <w:vertAlign w:val="superscript"/>
        </w:rPr>
        <w:t>rd</w:t>
      </w:r>
      <w:r w:rsidR="005D0152">
        <w:t xml:space="preserve"> ed.</w:t>
      </w:r>
      <w:hyperlink w:history="1"/>
    </w:p>
  </w:footnote>
  <w:footnote w:id="16">
    <w:p w14:paraId="64079B65" w14:textId="1ADA930C" w:rsidR="007D636A" w:rsidRPr="00E75F88" w:rsidRDefault="007D636A" w:rsidP="007D636A">
      <w:pPr>
        <w:pStyle w:val="FootnoteText"/>
        <w:rPr>
          <w:lang w:val="en-US"/>
        </w:rPr>
      </w:pPr>
      <w:r>
        <w:rPr>
          <w:rStyle w:val="FootnoteReference"/>
        </w:rPr>
        <w:footnoteRef/>
      </w:r>
      <w:r>
        <w:t xml:space="preserve"> </w:t>
      </w:r>
      <w:r w:rsidR="00D7208E">
        <w:tab/>
      </w:r>
      <w:r w:rsidRPr="008E273C">
        <w:rPr>
          <w:lang w:val="en-US"/>
        </w:rPr>
        <w:t>S</w:t>
      </w:r>
      <w:r w:rsidR="00C80570">
        <w:rPr>
          <w:lang w:val="en-US"/>
        </w:rPr>
        <w:t>z</w:t>
      </w:r>
      <w:r w:rsidRPr="008E273C">
        <w:rPr>
          <w:lang w:val="en-US"/>
        </w:rPr>
        <w:t>oke Report, Appendix 4, [</w:t>
      </w:r>
      <w:r>
        <w:rPr>
          <w:lang w:val="en-US"/>
        </w:rPr>
        <w:t>72</w:t>
      </w:r>
      <w:r w:rsidRPr="008E273C">
        <w:rPr>
          <w:lang w:val="en-US"/>
        </w:rPr>
        <w:t>].</w:t>
      </w:r>
    </w:p>
  </w:footnote>
  <w:footnote w:id="17">
    <w:p w14:paraId="43126407" w14:textId="77777777" w:rsidR="00A82F75" w:rsidRPr="002970CD" w:rsidRDefault="00A82F75" w:rsidP="00A82F75">
      <w:pPr>
        <w:pStyle w:val="FootnoteText"/>
        <w:rPr>
          <w:lang w:val="en-US"/>
        </w:rPr>
      </w:pPr>
      <w:r>
        <w:rPr>
          <w:rStyle w:val="FootnoteReference"/>
        </w:rPr>
        <w:footnoteRef/>
      </w:r>
      <w:r>
        <w:t xml:space="preserve"> </w:t>
      </w:r>
      <w:r>
        <w:tab/>
      </w:r>
      <w:r w:rsidRPr="008E273C">
        <w:rPr>
          <w:lang w:val="en-US"/>
        </w:rPr>
        <w:t>S</w:t>
      </w:r>
      <w:r>
        <w:rPr>
          <w:lang w:val="en-US"/>
        </w:rPr>
        <w:t>z</w:t>
      </w:r>
      <w:r w:rsidRPr="008E273C">
        <w:rPr>
          <w:lang w:val="en-US"/>
        </w:rPr>
        <w:t>oke Report, Appendix 4, [</w:t>
      </w:r>
      <w:r>
        <w:rPr>
          <w:lang w:val="en-US"/>
        </w:rPr>
        <w:t>74</w:t>
      </w:r>
      <w:r w:rsidRPr="008E273C">
        <w:rPr>
          <w:lang w:val="en-US"/>
        </w:rPr>
        <w:t>].</w:t>
      </w:r>
    </w:p>
  </w:footnote>
  <w:footnote w:id="18">
    <w:p w14:paraId="33943909" w14:textId="77777777" w:rsidR="00A82F75" w:rsidRPr="001809FC" w:rsidRDefault="00A82F75" w:rsidP="00A82F75">
      <w:pPr>
        <w:pStyle w:val="FootnoteText"/>
        <w:rPr>
          <w:lang w:val="en-US"/>
        </w:rPr>
      </w:pPr>
      <w:r>
        <w:rPr>
          <w:rStyle w:val="FootnoteReference"/>
        </w:rPr>
        <w:footnoteRef/>
      </w:r>
      <w:r>
        <w:t xml:space="preserve"> </w:t>
      </w:r>
      <w:r>
        <w:rPr>
          <w:lang w:val="en-US"/>
        </w:rPr>
        <w:tab/>
        <w:t xml:space="preserve">The definition of “psychosocial hazard” in the exposure draft published in February 2022 includes sexual harassment as an example of a psychosocial hazard. </w:t>
      </w:r>
    </w:p>
  </w:footnote>
  <w:footnote w:id="19">
    <w:p w14:paraId="12E16935" w14:textId="4E47F60C" w:rsidR="007D636A" w:rsidRPr="008E273C" w:rsidRDefault="007D636A" w:rsidP="007D636A">
      <w:pPr>
        <w:pStyle w:val="FootnoteText"/>
        <w:rPr>
          <w:lang w:val="en-US"/>
        </w:rPr>
      </w:pPr>
      <w:r w:rsidRPr="008E273C">
        <w:rPr>
          <w:rStyle w:val="FootnoteReference"/>
        </w:rPr>
        <w:footnoteRef/>
      </w:r>
      <w:r w:rsidRPr="008E273C">
        <w:t xml:space="preserve"> </w:t>
      </w:r>
      <w:r w:rsidR="00D7208E">
        <w:tab/>
      </w:r>
      <w:proofErr w:type="spellStart"/>
      <w:r w:rsidRPr="008E273C">
        <w:rPr>
          <w:lang w:val="en-US"/>
        </w:rPr>
        <w:t>Respect@Work</w:t>
      </w:r>
      <w:proofErr w:type="spellEnd"/>
      <w:r w:rsidRPr="008E273C">
        <w:rPr>
          <w:lang w:val="en-US"/>
        </w:rPr>
        <w:t xml:space="preserve"> Report, 474.</w:t>
      </w:r>
    </w:p>
  </w:footnote>
  <w:footnote w:id="20">
    <w:p w14:paraId="6C8DBEDD" w14:textId="39B6F729" w:rsidR="007D636A" w:rsidRPr="00270C15" w:rsidRDefault="007D636A" w:rsidP="007D636A">
      <w:pPr>
        <w:pStyle w:val="FootnoteText"/>
        <w:rPr>
          <w:lang w:val="en-US"/>
        </w:rPr>
      </w:pPr>
      <w:r>
        <w:rPr>
          <w:rStyle w:val="FootnoteReference"/>
        </w:rPr>
        <w:footnoteRef/>
      </w:r>
      <w:r>
        <w:t xml:space="preserve"> </w:t>
      </w:r>
      <w:r w:rsidR="00D7208E">
        <w:tab/>
      </w:r>
      <w:r w:rsidRPr="008E273C">
        <w:rPr>
          <w:lang w:val="en-US"/>
        </w:rPr>
        <w:t>Szoke Report, Appendix 4, [</w:t>
      </w:r>
      <w:r>
        <w:rPr>
          <w:lang w:val="en-US"/>
        </w:rPr>
        <w:t>33</w:t>
      </w:r>
      <w:r w:rsidRPr="008E273C">
        <w:rPr>
          <w:lang w:val="en-US"/>
        </w:rPr>
        <w:t>].</w:t>
      </w:r>
    </w:p>
  </w:footnote>
  <w:footnote w:id="21">
    <w:p w14:paraId="4599E23B" w14:textId="39E69A88" w:rsidR="00497F9B" w:rsidRDefault="00497F9B">
      <w:pPr>
        <w:pStyle w:val="FootnoteText"/>
      </w:pPr>
      <w:r>
        <w:rPr>
          <w:rStyle w:val="FootnoteReference"/>
        </w:rPr>
        <w:footnoteRef/>
      </w:r>
      <w:r>
        <w:t xml:space="preserve"> </w:t>
      </w:r>
      <w:r w:rsidR="00D7208E">
        <w:tab/>
      </w:r>
      <w:r w:rsidRPr="00D22E03">
        <w:t>in her advice annexed to the Szoke Report</w:t>
      </w:r>
      <w:r w:rsidR="000A7A5B">
        <w:t>.</w:t>
      </w:r>
    </w:p>
  </w:footnote>
  <w:footnote w:id="22">
    <w:p w14:paraId="14E00F5C" w14:textId="71D186F0" w:rsidR="007D636A" w:rsidRPr="008E273C" w:rsidRDefault="007D636A" w:rsidP="007D636A">
      <w:pPr>
        <w:pStyle w:val="FootnoteText"/>
        <w:rPr>
          <w:lang w:val="en-US"/>
        </w:rPr>
      </w:pPr>
      <w:r w:rsidRPr="008E273C">
        <w:rPr>
          <w:rStyle w:val="FootnoteReference"/>
        </w:rPr>
        <w:footnoteRef/>
      </w:r>
      <w:r w:rsidRPr="008E273C">
        <w:t xml:space="preserve"> </w:t>
      </w:r>
      <w:r w:rsidR="00D7208E">
        <w:tab/>
      </w:r>
      <w:r w:rsidRPr="008E273C">
        <w:rPr>
          <w:lang w:val="en-US"/>
        </w:rPr>
        <w:t>Szoke Report, Appendix 4, [46].</w:t>
      </w:r>
    </w:p>
  </w:footnote>
  <w:footnote w:id="23">
    <w:p w14:paraId="2EBCC9B8" w14:textId="23C9AFEA" w:rsidR="007D636A" w:rsidRPr="008E273C" w:rsidRDefault="007D636A" w:rsidP="007D636A">
      <w:pPr>
        <w:pStyle w:val="FootnoteText"/>
        <w:rPr>
          <w:lang w:val="en-US"/>
        </w:rPr>
      </w:pPr>
      <w:r w:rsidRPr="008E273C">
        <w:rPr>
          <w:rStyle w:val="FootnoteReference"/>
        </w:rPr>
        <w:footnoteRef/>
      </w:r>
      <w:r w:rsidRPr="008E273C">
        <w:t xml:space="preserve"> </w:t>
      </w:r>
      <w:r w:rsidR="00D7208E">
        <w:tab/>
      </w:r>
      <w:proofErr w:type="spellStart"/>
      <w:r w:rsidRPr="008E273C">
        <w:t>Respect@Work</w:t>
      </w:r>
      <w:proofErr w:type="spellEnd"/>
      <w:r w:rsidRPr="008E273C">
        <w:t xml:space="preserve"> Report, 458.</w:t>
      </w:r>
    </w:p>
  </w:footnote>
  <w:footnote w:id="24">
    <w:p w14:paraId="5C7D8D60" w14:textId="70978A07" w:rsidR="00C311F1" w:rsidRPr="00172964" w:rsidRDefault="00C311F1" w:rsidP="00C311F1">
      <w:pPr>
        <w:pStyle w:val="FootnoteText"/>
        <w:rPr>
          <w:lang w:val="en-US"/>
        </w:rPr>
      </w:pPr>
      <w:r>
        <w:rPr>
          <w:rStyle w:val="FootnoteReference"/>
        </w:rPr>
        <w:footnoteRef/>
      </w:r>
      <w:r>
        <w:t xml:space="preserve"> </w:t>
      </w:r>
      <w:r w:rsidR="003F1405">
        <w:tab/>
      </w:r>
      <w:r>
        <w:rPr>
          <w:lang w:val="en-US"/>
        </w:rPr>
        <w:t>Explanatory Memorandum to the Sex Discrimination and Fair Work (Respect at Work) Amendment Bill 2021, [68], [96].</w:t>
      </w:r>
    </w:p>
  </w:footnote>
  <w:footnote w:id="25">
    <w:p w14:paraId="7883079A" w14:textId="4AE04A46" w:rsidR="00537D9F" w:rsidRPr="00537D9F" w:rsidRDefault="00537D9F">
      <w:pPr>
        <w:pStyle w:val="FootnoteText"/>
        <w:rPr>
          <w:lang w:val="en-US"/>
        </w:rPr>
      </w:pPr>
      <w:r>
        <w:rPr>
          <w:rStyle w:val="FootnoteReference"/>
        </w:rPr>
        <w:footnoteRef/>
      </w:r>
      <w:r>
        <w:t xml:space="preserve"> </w:t>
      </w:r>
      <w:r w:rsidR="00D7208E">
        <w:tab/>
      </w:r>
      <w:r>
        <w:rPr>
          <w:lang w:val="en-US"/>
        </w:rPr>
        <w:t>Szoke Report, 11.</w:t>
      </w:r>
    </w:p>
  </w:footnote>
  <w:footnote w:id="26">
    <w:p w14:paraId="13149D98" w14:textId="35F48658" w:rsidR="00203E14" w:rsidRPr="00386F07" w:rsidRDefault="00203E14" w:rsidP="00203E14">
      <w:pPr>
        <w:pStyle w:val="FootnoteText"/>
        <w:rPr>
          <w:lang w:val="en-US"/>
        </w:rPr>
      </w:pPr>
      <w:r>
        <w:rPr>
          <w:rStyle w:val="FootnoteReference"/>
        </w:rPr>
        <w:footnoteRef/>
      </w:r>
      <w:r>
        <w:t xml:space="preserve"> </w:t>
      </w:r>
      <w:r>
        <w:rPr>
          <w:lang w:val="en-US"/>
        </w:rPr>
        <w:tab/>
        <w:t xml:space="preserve">There are exceptions. </w:t>
      </w:r>
      <w:r w:rsidR="00E54C31">
        <w:rPr>
          <w:lang w:val="en-US"/>
        </w:rPr>
        <w:t xml:space="preserve"> </w:t>
      </w:r>
      <w:r>
        <w:rPr>
          <w:lang w:val="en-US"/>
        </w:rPr>
        <w:t xml:space="preserve">For example, coroners appointed under s 94 of the </w:t>
      </w:r>
      <w:r>
        <w:rPr>
          <w:i/>
          <w:iCs/>
          <w:lang w:val="en-US"/>
        </w:rPr>
        <w:t>Coroners Act 2008</w:t>
      </w:r>
      <w:r>
        <w:rPr>
          <w:lang w:val="en-US"/>
        </w:rPr>
        <w:t xml:space="preserve"> hold office for a period of five years unless reappointed: s 94(3). Judicial registrars of the Supreme Court are appointed for a period not exceeding five years: </w:t>
      </w:r>
      <w:r>
        <w:rPr>
          <w:i/>
          <w:iCs/>
          <w:lang w:val="en-US"/>
        </w:rPr>
        <w:t>Supreme Court Act 1986</w:t>
      </w:r>
      <w:r>
        <w:rPr>
          <w:lang w:val="en-US"/>
        </w:rPr>
        <w:t xml:space="preserve"> s 113F.</w:t>
      </w:r>
    </w:p>
  </w:footnote>
  <w:footnote w:id="27">
    <w:p w14:paraId="007EC2A8" w14:textId="0E3951B0" w:rsidR="00A95047" w:rsidRPr="00611A5D" w:rsidRDefault="00A95047" w:rsidP="007E723A">
      <w:pPr>
        <w:pStyle w:val="FootnoteText"/>
        <w:rPr>
          <w:lang w:val="en-US"/>
        </w:rPr>
      </w:pPr>
      <w:r>
        <w:rPr>
          <w:rStyle w:val="FootnoteReference"/>
        </w:rPr>
        <w:footnoteRef/>
      </w:r>
      <w:r>
        <w:t xml:space="preserve"> </w:t>
      </w:r>
      <w:r>
        <w:rPr>
          <w:lang w:val="en-US"/>
        </w:rPr>
        <w:tab/>
      </w:r>
      <w:r w:rsidR="00E47D5F">
        <w:rPr>
          <w:lang w:val="en-US"/>
        </w:rPr>
        <w:t xml:space="preserve">For the purposes of that provision, </w:t>
      </w:r>
      <w:r w:rsidR="00AD5A5A">
        <w:rPr>
          <w:lang w:val="en-US"/>
        </w:rPr>
        <w:t>“</w:t>
      </w:r>
      <w:r w:rsidR="00C53078">
        <w:rPr>
          <w:lang w:val="en-US"/>
        </w:rPr>
        <w:t>j</w:t>
      </w:r>
      <w:r w:rsidR="00AD5A5A">
        <w:rPr>
          <w:lang w:val="en-US"/>
        </w:rPr>
        <w:t xml:space="preserve">udicial office” is defined in </w:t>
      </w:r>
      <w:r w:rsidR="005B5767">
        <w:rPr>
          <w:lang w:val="en-US"/>
        </w:rPr>
        <w:t xml:space="preserve">s 87AAA of the </w:t>
      </w:r>
      <w:r w:rsidR="005B5767">
        <w:rPr>
          <w:i/>
          <w:iCs/>
          <w:lang w:val="en-US"/>
        </w:rPr>
        <w:t xml:space="preserve">Constitution Act </w:t>
      </w:r>
      <w:r w:rsidR="00611A5D">
        <w:rPr>
          <w:i/>
          <w:iCs/>
          <w:lang w:val="en-US"/>
        </w:rPr>
        <w:t xml:space="preserve">1975 </w:t>
      </w:r>
      <w:r w:rsidR="00611A5D">
        <w:rPr>
          <w:lang w:val="en-US"/>
        </w:rPr>
        <w:t xml:space="preserve">(Vic). </w:t>
      </w:r>
    </w:p>
  </w:footnote>
  <w:footnote w:id="28">
    <w:p w14:paraId="5E47C7DA" w14:textId="443DA82D" w:rsidR="00CF089D" w:rsidRPr="009C4283" w:rsidRDefault="00CF089D" w:rsidP="007E723A">
      <w:pPr>
        <w:pStyle w:val="FootnoteText"/>
      </w:pPr>
      <w:r>
        <w:rPr>
          <w:rStyle w:val="FootnoteReference"/>
        </w:rPr>
        <w:footnoteRef/>
      </w:r>
      <w:r>
        <w:t xml:space="preserve"> </w:t>
      </w:r>
      <w:r w:rsidR="00D7208E">
        <w:tab/>
      </w:r>
      <w:r w:rsidR="00D765F0">
        <w:t xml:space="preserve">In 1989, the Governor of Queensland </w:t>
      </w:r>
      <w:r w:rsidR="003772F1">
        <w:t xml:space="preserve">cancelled </w:t>
      </w:r>
      <w:r w:rsidR="002B478C">
        <w:t xml:space="preserve">Justice Angelo </w:t>
      </w:r>
      <w:proofErr w:type="spellStart"/>
      <w:r w:rsidR="002B478C">
        <w:t>Vasta’s</w:t>
      </w:r>
      <w:proofErr w:type="spellEnd"/>
      <w:r w:rsidR="002B478C">
        <w:t xml:space="preserve"> commission as a Judge of the Supreme Court of Queensland following a motion of the Queensland Parliament</w:t>
      </w:r>
      <w:r w:rsidR="00886FAC">
        <w:t xml:space="preserve"> due to behaviour which, in the opinion of a Commission of Inquiry, warranted his removal from office. </w:t>
      </w:r>
      <w:r w:rsidR="009C4283">
        <w:t xml:space="preserve">See also Geoffrey Nettle, </w:t>
      </w:r>
      <w:r w:rsidR="009F1AD7">
        <w:t>“</w:t>
      </w:r>
      <w:r w:rsidR="009C4283">
        <w:t>Removal of Judges from Office</w:t>
      </w:r>
      <w:r w:rsidR="009F1AD7">
        <w:t>”</w:t>
      </w:r>
      <w:r w:rsidR="009C4283">
        <w:t xml:space="preserve"> 45(1) </w:t>
      </w:r>
      <w:r w:rsidR="009C4283">
        <w:rPr>
          <w:i/>
          <w:iCs/>
        </w:rPr>
        <w:t>Melbourne University Law Review</w:t>
      </w:r>
      <w:r w:rsidR="009C4283">
        <w:t xml:space="preserve"> </w:t>
      </w:r>
      <w:r w:rsidR="00CE791D">
        <w:t xml:space="preserve">(advance copy). </w:t>
      </w:r>
    </w:p>
  </w:footnote>
  <w:footnote w:id="29">
    <w:p w14:paraId="426BCFDA" w14:textId="3838E9FF" w:rsidR="00DC5C83" w:rsidRPr="007257CF" w:rsidRDefault="00DC5C83" w:rsidP="007E723A">
      <w:pPr>
        <w:pStyle w:val="FootnoteText"/>
        <w:rPr>
          <w:lang w:val="en-US"/>
        </w:rPr>
      </w:pPr>
      <w:r>
        <w:rPr>
          <w:rStyle w:val="FootnoteReference"/>
        </w:rPr>
        <w:footnoteRef/>
      </w:r>
      <w:r>
        <w:t xml:space="preserve"> </w:t>
      </w:r>
      <w:r w:rsidR="00D7208E">
        <w:tab/>
      </w:r>
      <w:r w:rsidR="007257CF">
        <w:rPr>
          <w:lang w:val="en-US"/>
        </w:rPr>
        <w:t xml:space="preserve">See, </w:t>
      </w:r>
      <w:proofErr w:type="spellStart"/>
      <w:r w:rsidR="007257CF">
        <w:rPr>
          <w:lang w:val="en-US"/>
        </w:rPr>
        <w:t>eg</w:t>
      </w:r>
      <w:proofErr w:type="spellEnd"/>
      <w:r w:rsidR="007257CF">
        <w:rPr>
          <w:lang w:val="en-US"/>
        </w:rPr>
        <w:t xml:space="preserve">, </w:t>
      </w:r>
      <w:r w:rsidR="007257CF">
        <w:rPr>
          <w:i/>
          <w:iCs/>
          <w:lang w:val="en-US"/>
        </w:rPr>
        <w:t>Supreme Court Act 1986</w:t>
      </w:r>
      <w:r w:rsidR="00A223E0">
        <w:rPr>
          <w:lang w:val="en-US"/>
        </w:rPr>
        <w:t>,</w:t>
      </w:r>
      <w:r w:rsidR="007257CF">
        <w:rPr>
          <w:lang w:val="en-US"/>
        </w:rPr>
        <w:t xml:space="preserve"> s 28A: Chief Justice may direct judicial officers, or any judicial officer, to </w:t>
      </w:r>
      <w:r w:rsidR="007E723A">
        <w:rPr>
          <w:lang w:val="en-US"/>
        </w:rPr>
        <w:t>participate</w:t>
      </w:r>
      <w:r w:rsidR="007257CF">
        <w:rPr>
          <w:lang w:val="en-US"/>
        </w:rPr>
        <w:t xml:space="preserve"> in specified professional development or continuing education and training activity. </w:t>
      </w:r>
    </w:p>
  </w:footnote>
  <w:footnote w:id="30">
    <w:p w14:paraId="2FE87AD4" w14:textId="3F277300" w:rsidR="002625D5" w:rsidRDefault="002625D5">
      <w:pPr>
        <w:pStyle w:val="FootnoteText"/>
      </w:pPr>
      <w:r>
        <w:rPr>
          <w:rStyle w:val="FootnoteReference"/>
        </w:rPr>
        <w:footnoteRef/>
      </w:r>
      <w:r>
        <w:t xml:space="preserve"> </w:t>
      </w:r>
      <w:r>
        <w:tab/>
      </w:r>
      <w:r w:rsidR="001D14F4">
        <w:t xml:space="preserve">The Supreme Court of Victoria currently has four judges and seven associate judges who were solicitors or had </w:t>
      </w:r>
      <w:r w:rsidR="0057391D">
        <w:t>legal roles</w:t>
      </w:r>
      <w:r w:rsidR="00F424F0">
        <w:t>, other than as a barrister,</w:t>
      </w:r>
      <w:r w:rsidR="0057391D">
        <w:t xml:space="preserve"> immediately prior to their appointment.</w:t>
      </w:r>
    </w:p>
  </w:footnote>
  <w:footnote w:id="31">
    <w:p w14:paraId="0847B532" w14:textId="0956AC96" w:rsidR="00270700" w:rsidRPr="003F7C30" w:rsidRDefault="00270700" w:rsidP="00844B14">
      <w:pPr>
        <w:pStyle w:val="FootnoteText"/>
        <w:rPr>
          <w:lang w:val="en-US"/>
        </w:rPr>
      </w:pPr>
      <w:r w:rsidRPr="003F7C30">
        <w:rPr>
          <w:rStyle w:val="FootnoteReference"/>
        </w:rPr>
        <w:footnoteRef/>
      </w:r>
      <w:r w:rsidRPr="003F7C30">
        <w:t xml:space="preserve"> </w:t>
      </w:r>
      <w:r w:rsidR="001833F2">
        <w:tab/>
      </w:r>
      <w:r w:rsidRPr="003F7C30">
        <w:rPr>
          <w:lang w:val="en-US"/>
        </w:rPr>
        <w:t xml:space="preserve">See, </w:t>
      </w:r>
      <w:proofErr w:type="spellStart"/>
      <w:r w:rsidRPr="003F7C30">
        <w:rPr>
          <w:lang w:val="en-US"/>
        </w:rPr>
        <w:t>eg</w:t>
      </w:r>
      <w:proofErr w:type="spellEnd"/>
      <w:r w:rsidRPr="003F7C30">
        <w:rPr>
          <w:lang w:val="en-US"/>
        </w:rPr>
        <w:t>, Supreme Court (General Civil Procedure) Rules 2015, r 34.05 (Associates may adjourn directions hearings).</w:t>
      </w:r>
    </w:p>
  </w:footnote>
  <w:footnote w:id="32">
    <w:p w14:paraId="41FEF257" w14:textId="2B370215" w:rsidR="00270700" w:rsidRPr="003F7C30" w:rsidRDefault="00270700" w:rsidP="00270700">
      <w:pPr>
        <w:pStyle w:val="FootnoteText"/>
        <w:rPr>
          <w:lang w:val="en-US"/>
        </w:rPr>
      </w:pPr>
      <w:r w:rsidRPr="003F7C30">
        <w:rPr>
          <w:rStyle w:val="FootnoteReference"/>
        </w:rPr>
        <w:footnoteRef/>
      </w:r>
      <w:r w:rsidRPr="003F7C30">
        <w:t xml:space="preserve"> </w:t>
      </w:r>
      <w:r w:rsidR="001833F2">
        <w:tab/>
      </w:r>
      <w:r w:rsidRPr="003F7C30">
        <w:rPr>
          <w:lang w:val="en-US"/>
        </w:rPr>
        <w:t>(2000) 101 FCR 570</w:t>
      </w:r>
      <w:r w:rsidR="003344B5">
        <w:rPr>
          <w:lang w:val="en-US"/>
        </w:rPr>
        <w:t xml:space="preserve"> at [59]</w:t>
      </w:r>
      <w:r w:rsidRPr="003F7C30">
        <w:rPr>
          <w:lang w:val="en-US"/>
        </w:rPr>
        <w:t>.</w:t>
      </w:r>
    </w:p>
  </w:footnote>
  <w:footnote w:id="33">
    <w:p w14:paraId="2B538051" w14:textId="5057161C" w:rsidR="0098494D" w:rsidRPr="00103646" w:rsidRDefault="0098494D" w:rsidP="0098494D">
      <w:pPr>
        <w:pStyle w:val="FootnoteText"/>
        <w:rPr>
          <w:lang w:val="en-US"/>
        </w:rPr>
      </w:pPr>
      <w:r>
        <w:rPr>
          <w:rStyle w:val="FootnoteReference"/>
        </w:rPr>
        <w:footnoteRef/>
      </w:r>
      <w:r>
        <w:t xml:space="preserve"> </w:t>
      </w:r>
      <w:r>
        <w:rPr>
          <w:lang w:val="en-US"/>
        </w:rPr>
        <w:tab/>
        <w:t xml:space="preserve">See also below </w:t>
      </w:r>
      <w:r w:rsidRPr="00AB069C">
        <w:rPr>
          <w:lang w:val="en-US"/>
        </w:rPr>
        <w:t>at [</w:t>
      </w:r>
      <w:r w:rsidR="00F96432" w:rsidRPr="00AB069C">
        <w:rPr>
          <w:lang w:val="en-US"/>
        </w:rPr>
        <w:fldChar w:fldCharType="begin"/>
      </w:r>
      <w:r w:rsidR="00F96432" w:rsidRPr="00AB069C">
        <w:rPr>
          <w:lang w:val="en-US"/>
        </w:rPr>
        <w:instrText xml:space="preserve"> REF _Ref107382115 \r \h </w:instrText>
      </w:r>
      <w:r w:rsidR="00AB069C">
        <w:rPr>
          <w:lang w:val="en-US"/>
        </w:rPr>
        <w:instrText xml:space="preserve"> \* MERGEFORMAT </w:instrText>
      </w:r>
      <w:r w:rsidR="00F96432" w:rsidRPr="00AB069C">
        <w:rPr>
          <w:lang w:val="en-US"/>
        </w:rPr>
      </w:r>
      <w:r w:rsidR="00F96432" w:rsidRPr="00AB069C">
        <w:rPr>
          <w:lang w:val="en-US"/>
        </w:rPr>
        <w:fldChar w:fldCharType="separate"/>
      </w:r>
      <w:r w:rsidR="00CF093C">
        <w:rPr>
          <w:lang w:val="en-US"/>
        </w:rPr>
        <w:t>123</w:t>
      </w:r>
      <w:r w:rsidR="00F96432" w:rsidRPr="00AB069C">
        <w:rPr>
          <w:lang w:val="en-US"/>
        </w:rPr>
        <w:fldChar w:fldCharType="end"/>
      </w:r>
      <w:r w:rsidRPr="00AB069C">
        <w:rPr>
          <w:lang w:val="en-US"/>
        </w:rPr>
        <w:t>].</w:t>
      </w:r>
    </w:p>
  </w:footnote>
  <w:footnote w:id="34">
    <w:p w14:paraId="31359A60" w14:textId="0CD7A26C" w:rsidR="00532222" w:rsidRDefault="00532222">
      <w:pPr>
        <w:pStyle w:val="FootnoteText"/>
      </w:pPr>
      <w:r>
        <w:rPr>
          <w:rStyle w:val="FootnoteReference"/>
        </w:rPr>
        <w:footnoteRef/>
      </w:r>
      <w:r>
        <w:t xml:space="preserve"> </w:t>
      </w:r>
      <w:r>
        <w:tab/>
      </w:r>
      <w:r w:rsidR="00542E9F">
        <w:t>The account is based on the recollection of Julie Dodds-Streeton, who was appointed a judge of the Supreme Court of Victoria in 2002 and to the Court of Appeal in 2007.</w:t>
      </w:r>
    </w:p>
  </w:footnote>
  <w:footnote w:id="35">
    <w:p w14:paraId="33D7B550" w14:textId="01DD2C2D" w:rsidR="00162396" w:rsidRDefault="00162396">
      <w:pPr>
        <w:pStyle w:val="FootnoteText"/>
      </w:pPr>
      <w:r>
        <w:rPr>
          <w:rStyle w:val="FootnoteReference"/>
        </w:rPr>
        <w:footnoteRef/>
      </w:r>
      <w:r>
        <w:t xml:space="preserve"> </w:t>
      </w:r>
      <w:r>
        <w:tab/>
        <w:t>From the early 1990s,</w:t>
      </w:r>
      <w:r w:rsidR="0088612D">
        <w:t xml:space="preserve"> statutory provisions established departmental employment</w:t>
      </w:r>
      <w:r w:rsidR="00AE7132">
        <w:t>, but for a considerable time thereafter there was little emphasis on the formal change.</w:t>
      </w:r>
    </w:p>
  </w:footnote>
  <w:footnote w:id="36">
    <w:p w14:paraId="02F543EC" w14:textId="3FD36A97" w:rsidR="00F16517" w:rsidRDefault="00F16517">
      <w:pPr>
        <w:pStyle w:val="FootnoteText"/>
      </w:pPr>
      <w:r>
        <w:rPr>
          <w:rStyle w:val="FootnoteReference"/>
        </w:rPr>
        <w:footnoteRef/>
      </w:r>
      <w:r>
        <w:t xml:space="preserve"> </w:t>
      </w:r>
      <w:r w:rsidR="00D7208E">
        <w:tab/>
      </w:r>
      <w:r w:rsidR="00FC2544">
        <w:t>i</w:t>
      </w:r>
      <w:r>
        <w:t>n Julie Dodds-Streeton’s experience</w:t>
      </w:r>
      <w:r w:rsidR="008D18F2">
        <w:t>.</w:t>
      </w:r>
    </w:p>
  </w:footnote>
  <w:footnote w:id="37">
    <w:p w14:paraId="75757D9D" w14:textId="46DF9780" w:rsidR="00754684" w:rsidRPr="009E0E62" w:rsidRDefault="00754684" w:rsidP="00F05146">
      <w:pPr>
        <w:pStyle w:val="FootnoteText"/>
        <w:rPr>
          <w:lang w:val="en-US"/>
        </w:rPr>
      </w:pPr>
      <w:r>
        <w:rPr>
          <w:rStyle w:val="FootnoteReference"/>
        </w:rPr>
        <w:footnoteRef/>
      </w:r>
      <w:r>
        <w:t xml:space="preserve"> </w:t>
      </w:r>
      <w:r w:rsidR="00D7208E">
        <w:tab/>
      </w:r>
      <w:r w:rsidR="004815ED">
        <w:rPr>
          <w:lang w:val="en-US"/>
        </w:rPr>
        <w:t xml:space="preserve">Leah M </w:t>
      </w:r>
      <w:proofErr w:type="spellStart"/>
      <w:r w:rsidR="004815ED">
        <w:rPr>
          <w:lang w:val="en-US"/>
        </w:rPr>
        <w:t>Litman</w:t>
      </w:r>
      <w:proofErr w:type="spellEnd"/>
      <w:r w:rsidR="004815ED">
        <w:rPr>
          <w:lang w:val="en-US"/>
        </w:rPr>
        <w:t xml:space="preserve"> and </w:t>
      </w:r>
      <w:proofErr w:type="spellStart"/>
      <w:r w:rsidR="004815ED">
        <w:rPr>
          <w:lang w:val="en-US"/>
        </w:rPr>
        <w:t>Deeva</w:t>
      </w:r>
      <w:proofErr w:type="spellEnd"/>
      <w:r w:rsidR="004815ED">
        <w:rPr>
          <w:lang w:val="en-US"/>
        </w:rPr>
        <w:t xml:space="preserve"> Shah, </w:t>
      </w:r>
      <w:r w:rsidR="009F1AD7">
        <w:rPr>
          <w:lang w:val="en-US"/>
        </w:rPr>
        <w:t>“</w:t>
      </w:r>
      <w:r w:rsidR="007E46A0">
        <w:rPr>
          <w:lang w:val="en-US"/>
        </w:rPr>
        <w:t>On Sexual Harassment in the Judiciary</w:t>
      </w:r>
      <w:r w:rsidR="009F1AD7">
        <w:rPr>
          <w:lang w:val="en-US"/>
        </w:rPr>
        <w:t>”</w:t>
      </w:r>
      <w:r w:rsidR="007E46A0">
        <w:rPr>
          <w:lang w:val="en-US"/>
        </w:rPr>
        <w:t xml:space="preserve"> (2020) 115 </w:t>
      </w:r>
      <w:r w:rsidR="009E0E62">
        <w:rPr>
          <w:i/>
          <w:iCs/>
          <w:lang w:val="en-US"/>
        </w:rPr>
        <w:t>Northwestern University Law Review</w:t>
      </w:r>
      <w:r w:rsidR="009E0E62">
        <w:rPr>
          <w:lang w:val="en-US"/>
        </w:rPr>
        <w:t xml:space="preserve"> 599.</w:t>
      </w:r>
    </w:p>
  </w:footnote>
  <w:footnote w:id="38">
    <w:p w14:paraId="389A506E" w14:textId="16CBFB3F" w:rsidR="00497D3A" w:rsidRPr="00497D3A" w:rsidRDefault="00497D3A">
      <w:pPr>
        <w:pStyle w:val="FootnoteText"/>
        <w:rPr>
          <w:lang w:val="en-US"/>
        </w:rPr>
      </w:pPr>
      <w:r>
        <w:rPr>
          <w:rStyle w:val="FootnoteReference"/>
        </w:rPr>
        <w:footnoteRef/>
      </w:r>
      <w:r>
        <w:t xml:space="preserve"> </w:t>
      </w:r>
      <w:r w:rsidR="00D7208E">
        <w:tab/>
      </w:r>
      <w:proofErr w:type="spellStart"/>
      <w:r w:rsidR="00F24E82">
        <w:t>Litman</w:t>
      </w:r>
      <w:proofErr w:type="spellEnd"/>
      <w:r w:rsidR="00F24E82">
        <w:t xml:space="preserve"> and Shah, 615.</w:t>
      </w:r>
    </w:p>
  </w:footnote>
  <w:footnote w:id="39">
    <w:p w14:paraId="2175A3BE" w14:textId="14A5A8FA" w:rsidR="00666BC4" w:rsidRPr="00666BC4" w:rsidRDefault="00666BC4">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62</w:t>
      </w:r>
      <w:r w:rsidR="00E8463D">
        <w:rPr>
          <w:lang w:val="en-US"/>
        </w:rPr>
        <w:t>3.</w:t>
      </w:r>
    </w:p>
  </w:footnote>
  <w:footnote w:id="40">
    <w:p w14:paraId="16488E91" w14:textId="7E52B5B0" w:rsidR="00E8463D" w:rsidRPr="00E8463D" w:rsidRDefault="00E8463D">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624.</w:t>
      </w:r>
    </w:p>
  </w:footnote>
  <w:footnote w:id="41">
    <w:p w14:paraId="599F302F" w14:textId="4D387DA7" w:rsidR="00E836F6" w:rsidRPr="00E836F6" w:rsidRDefault="00E836F6">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624.</w:t>
      </w:r>
    </w:p>
  </w:footnote>
  <w:footnote w:id="42">
    <w:p w14:paraId="5832299E" w14:textId="01958A33" w:rsidR="00B03AFA" w:rsidRPr="00B03AFA" w:rsidRDefault="00B03AFA">
      <w:pPr>
        <w:pStyle w:val="FootnoteText"/>
        <w:rPr>
          <w:lang w:val="en-US"/>
        </w:rPr>
      </w:pPr>
      <w:r>
        <w:rPr>
          <w:rStyle w:val="FootnoteReference"/>
        </w:rPr>
        <w:footnoteRef/>
      </w:r>
      <w:r>
        <w:t xml:space="preserve"> </w:t>
      </w:r>
      <w:r w:rsidR="00D7208E">
        <w:tab/>
      </w:r>
      <w:proofErr w:type="spellStart"/>
      <w:r>
        <w:rPr>
          <w:lang w:val="en-US"/>
        </w:rPr>
        <w:t>Litman</w:t>
      </w:r>
      <w:proofErr w:type="spellEnd"/>
      <w:r>
        <w:rPr>
          <w:lang w:val="en-US"/>
        </w:rPr>
        <w:t xml:space="preserve"> and Shah, 625–6.</w:t>
      </w:r>
    </w:p>
  </w:footnote>
  <w:footnote w:id="43">
    <w:p w14:paraId="7BD71DDE" w14:textId="60E3744F" w:rsidR="00AE1072" w:rsidRPr="00AE1072" w:rsidRDefault="00AE1072">
      <w:pPr>
        <w:pStyle w:val="FootnoteText"/>
        <w:rPr>
          <w:lang w:val="en-US"/>
        </w:rPr>
      </w:pPr>
      <w:r>
        <w:rPr>
          <w:rStyle w:val="FootnoteReference"/>
        </w:rPr>
        <w:footnoteRef/>
      </w:r>
      <w:r>
        <w:t xml:space="preserve"> </w:t>
      </w:r>
      <w:r w:rsidR="00D7208E">
        <w:tab/>
      </w:r>
      <w:proofErr w:type="spellStart"/>
      <w:r w:rsidR="00DB7536">
        <w:t>Litman</w:t>
      </w:r>
      <w:proofErr w:type="spellEnd"/>
      <w:r w:rsidR="00DB7536">
        <w:t xml:space="preserve"> and Shah, 626–9.</w:t>
      </w:r>
    </w:p>
  </w:footnote>
  <w:footnote w:id="44">
    <w:p w14:paraId="6CF03423" w14:textId="5449A07B" w:rsidR="008C29F3" w:rsidRPr="008C29F3" w:rsidRDefault="008C29F3">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628–9.</w:t>
      </w:r>
    </w:p>
  </w:footnote>
  <w:footnote w:id="45">
    <w:p w14:paraId="6DC6E253" w14:textId="10F1D3DE" w:rsidR="00DE565E" w:rsidRPr="00DE565E" w:rsidRDefault="00DE565E">
      <w:pPr>
        <w:pStyle w:val="FootnoteText"/>
        <w:rPr>
          <w:lang w:val="en-US"/>
        </w:rPr>
      </w:pPr>
      <w:r>
        <w:rPr>
          <w:rStyle w:val="FootnoteReference"/>
        </w:rPr>
        <w:footnoteRef/>
      </w:r>
      <w:r>
        <w:t xml:space="preserve"> </w:t>
      </w:r>
      <w:r w:rsidR="00D7208E">
        <w:tab/>
      </w:r>
      <w:proofErr w:type="spellStart"/>
      <w:r>
        <w:rPr>
          <w:lang w:val="en-US"/>
        </w:rPr>
        <w:t>Litman</w:t>
      </w:r>
      <w:proofErr w:type="spellEnd"/>
      <w:r>
        <w:rPr>
          <w:lang w:val="en-US"/>
        </w:rPr>
        <w:t xml:space="preserve"> and Shah, </w:t>
      </w:r>
      <w:r w:rsidR="00AD5DAB">
        <w:rPr>
          <w:lang w:val="en-US"/>
        </w:rPr>
        <w:t>630.</w:t>
      </w:r>
    </w:p>
  </w:footnote>
  <w:footnote w:id="46">
    <w:p w14:paraId="3D5D6840" w14:textId="6CA9BA94" w:rsidR="00383A80" w:rsidRPr="00383A80" w:rsidRDefault="00383A80">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632.</w:t>
      </w:r>
    </w:p>
  </w:footnote>
  <w:footnote w:id="47">
    <w:p w14:paraId="39711748" w14:textId="15061D8A" w:rsidR="00B749FF" w:rsidRPr="00B749FF" w:rsidRDefault="00B749FF">
      <w:pPr>
        <w:pStyle w:val="FootnoteText"/>
        <w:rPr>
          <w:lang w:val="en-US"/>
        </w:rPr>
      </w:pPr>
      <w:r>
        <w:rPr>
          <w:rStyle w:val="FootnoteReference"/>
        </w:rPr>
        <w:footnoteRef/>
      </w:r>
      <w:r>
        <w:t xml:space="preserve"> </w:t>
      </w:r>
      <w:r>
        <w:rPr>
          <w:lang w:val="en-US"/>
        </w:rPr>
        <w:tab/>
      </w:r>
      <w:proofErr w:type="spellStart"/>
      <w:r>
        <w:rPr>
          <w:lang w:val="en-US"/>
        </w:rPr>
        <w:t>Litman</w:t>
      </w:r>
      <w:proofErr w:type="spellEnd"/>
      <w:r>
        <w:rPr>
          <w:lang w:val="en-US"/>
        </w:rPr>
        <w:t xml:space="preserve"> and Shah, 632.</w:t>
      </w:r>
    </w:p>
  </w:footnote>
  <w:footnote w:id="48">
    <w:p w14:paraId="256C6003" w14:textId="04112D52" w:rsidR="00A67803" w:rsidRPr="00A67803" w:rsidRDefault="00A67803">
      <w:pPr>
        <w:pStyle w:val="FootnoteText"/>
        <w:rPr>
          <w:lang w:val="en-US"/>
        </w:rPr>
      </w:pPr>
      <w:r>
        <w:rPr>
          <w:rStyle w:val="FootnoteReference"/>
        </w:rPr>
        <w:footnoteRef/>
      </w:r>
      <w:r>
        <w:t xml:space="preserve"> </w:t>
      </w:r>
      <w:r w:rsidR="002D2731">
        <w:tab/>
      </w:r>
      <w:r>
        <w:rPr>
          <w:lang w:val="en-US"/>
        </w:rPr>
        <w:t>Szoke Report, 39.</w:t>
      </w:r>
      <w:r w:rsidR="00CD0CDC">
        <w:rPr>
          <w:lang w:val="en-US"/>
        </w:rPr>
        <w:t xml:space="preserve"> </w:t>
      </w:r>
    </w:p>
  </w:footnote>
  <w:footnote w:id="49">
    <w:p w14:paraId="77873BE5" w14:textId="1912B368" w:rsidR="00A51063" w:rsidRPr="00A51063" w:rsidRDefault="00A51063" w:rsidP="00ED7040">
      <w:pPr>
        <w:pStyle w:val="FootnoteText"/>
        <w:rPr>
          <w:lang w:val="en-US"/>
        </w:rPr>
      </w:pPr>
      <w:r>
        <w:rPr>
          <w:rStyle w:val="FootnoteReference"/>
        </w:rPr>
        <w:footnoteRef/>
      </w:r>
      <w:r>
        <w:t xml:space="preserve"> </w:t>
      </w:r>
      <w:r>
        <w:tab/>
      </w:r>
      <w:r>
        <w:rPr>
          <w:lang w:val="en-US"/>
        </w:rPr>
        <w:t>50% of those 36 participants in the VEOHRC process indicated that they had experienced or witnessed sexual harassment by a judicial officer or VCAT member, and 38% of those incidents had occurred within the last five years: Szoke Report, 76.</w:t>
      </w:r>
    </w:p>
  </w:footnote>
  <w:footnote w:id="50">
    <w:p w14:paraId="1B7273CA" w14:textId="77777777" w:rsidR="00B00D50" w:rsidRPr="0046492A" w:rsidRDefault="00B00D50" w:rsidP="00B00D50">
      <w:pPr>
        <w:pStyle w:val="FootnoteText"/>
        <w:rPr>
          <w:lang w:val="en-US"/>
        </w:rPr>
      </w:pPr>
      <w:r>
        <w:rPr>
          <w:rStyle w:val="FootnoteReference"/>
        </w:rPr>
        <w:footnoteRef/>
      </w:r>
      <w:r>
        <w:t xml:space="preserve"> </w:t>
      </w:r>
      <w:r>
        <w:tab/>
      </w:r>
      <w:r>
        <w:rPr>
          <w:lang w:val="en-US"/>
        </w:rPr>
        <w:t>See the findings as to the prevalence of sexual harassment in the International Bar Association Report authored by Kieran Pender, “Us Too: Bullying and Sexual Harassment in the Legal Profession” (May 2019) (“IBA Report”) particularly at 49–59.</w:t>
      </w:r>
    </w:p>
  </w:footnote>
  <w:footnote w:id="51">
    <w:p w14:paraId="72117E1B" w14:textId="77777777" w:rsidR="007F3B88" w:rsidRPr="00722AB0" w:rsidRDefault="007F3B88" w:rsidP="007F3B88">
      <w:pPr>
        <w:pStyle w:val="FootnoteText"/>
        <w:rPr>
          <w:lang w:val="en-US"/>
        </w:rPr>
      </w:pPr>
      <w:r>
        <w:rPr>
          <w:rStyle w:val="FootnoteReference"/>
        </w:rPr>
        <w:footnoteRef/>
      </w:r>
      <w:r>
        <w:t xml:space="preserve"> </w:t>
      </w:r>
      <w:r>
        <w:rPr>
          <w:lang w:val="en-US"/>
        </w:rPr>
        <w:tab/>
        <w:t>See also the IBA Report which states that “legal professionals in Oceania experience the highest prevalence of sexual harassment, at 30% on a gender-weighted basis”: at 51.</w:t>
      </w:r>
    </w:p>
  </w:footnote>
  <w:footnote w:id="52">
    <w:p w14:paraId="28CAF702" w14:textId="21737525" w:rsidR="005C6426" w:rsidRDefault="005C6426">
      <w:pPr>
        <w:pStyle w:val="FootnoteText"/>
      </w:pPr>
      <w:r>
        <w:rPr>
          <w:rStyle w:val="FootnoteReference"/>
        </w:rPr>
        <w:footnoteRef/>
      </w:r>
      <w:r>
        <w:t xml:space="preserve"> </w:t>
      </w:r>
      <w:r w:rsidR="00D7208E">
        <w:tab/>
      </w:r>
      <w:r>
        <w:t xml:space="preserve">Including </w:t>
      </w:r>
      <w:r w:rsidR="00E56FBE">
        <w:t xml:space="preserve">the Hon. </w:t>
      </w:r>
      <w:r>
        <w:t>Julie Dodds-Streeton</w:t>
      </w:r>
      <w:r w:rsidR="00E56FBE">
        <w:t xml:space="preserve"> QC, the Hon. David </w:t>
      </w:r>
      <w:proofErr w:type="spellStart"/>
      <w:r w:rsidR="00E56FBE">
        <w:t>Habersberger</w:t>
      </w:r>
      <w:proofErr w:type="spellEnd"/>
      <w:r w:rsidR="00E56FBE">
        <w:t xml:space="preserve"> QC and the Hon. Katharine Williams</w:t>
      </w:r>
      <w:r>
        <w:t>.</w:t>
      </w:r>
    </w:p>
  </w:footnote>
  <w:footnote w:id="53">
    <w:p w14:paraId="14D74EEC" w14:textId="7C506FBB" w:rsidR="00A279E3" w:rsidRPr="00A45264" w:rsidRDefault="00A279E3" w:rsidP="00A279E3">
      <w:pPr>
        <w:pStyle w:val="FootnoteText"/>
        <w:rPr>
          <w:lang w:val="en-US"/>
        </w:rPr>
      </w:pPr>
      <w:r>
        <w:rPr>
          <w:rStyle w:val="FootnoteReference"/>
        </w:rPr>
        <w:footnoteRef/>
      </w:r>
      <w:r>
        <w:t xml:space="preserve"> </w:t>
      </w:r>
      <w:r>
        <w:rPr>
          <w:lang w:val="en-US"/>
        </w:rPr>
        <w:tab/>
        <w:t>See statement of the Chief Justice</w:t>
      </w:r>
      <w:r w:rsidR="00B247A8">
        <w:rPr>
          <w:lang w:val="en-US"/>
        </w:rPr>
        <w:t xml:space="preserve"> of the Supreme Court of Victoria</w:t>
      </w:r>
      <w:r>
        <w:rPr>
          <w:lang w:val="en-US"/>
        </w:rPr>
        <w:t>, 17 February 2022.</w:t>
      </w:r>
    </w:p>
  </w:footnote>
  <w:footnote w:id="54">
    <w:p w14:paraId="6400420F" w14:textId="65A66F92" w:rsidR="0095557A" w:rsidRDefault="0095557A">
      <w:pPr>
        <w:pStyle w:val="FootnoteText"/>
      </w:pPr>
      <w:r>
        <w:rPr>
          <w:rStyle w:val="FootnoteReference"/>
        </w:rPr>
        <w:footnoteRef/>
      </w:r>
      <w:r>
        <w:t xml:space="preserve"> </w:t>
      </w:r>
      <w:r>
        <w:tab/>
        <w:t xml:space="preserve">An investigation of complaints against </w:t>
      </w:r>
      <w:r w:rsidR="00F9547D">
        <w:t>a magistrate in South Australia has been publicly disclosed.  However, such disclosure i</w:t>
      </w:r>
      <w:r w:rsidR="00DE4ABB">
        <w:t>s</w:t>
      </w:r>
      <w:r w:rsidR="00F9547D">
        <w:t xml:space="preserve"> haphazard.</w:t>
      </w:r>
    </w:p>
  </w:footnote>
  <w:footnote w:id="55">
    <w:p w14:paraId="23C051E9" w14:textId="47C4DDEE" w:rsidR="00D90820" w:rsidRPr="001F3AEF" w:rsidRDefault="00D90820" w:rsidP="00D90820">
      <w:pPr>
        <w:pStyle w:val="FootnoteText"/>
        <w:rPr>
          <w:lang w:val="en-US"/>
        </w:rPr>
      </w:pPr>
      <w:r>
        <w:rPr>
          <w:rStyle w:val="FootnoteReference"/>
        </w:rPr>
        <w:footnoteRef/>
      </w:r>
      <w:r>
        <w:t xml:space="preserve"> </w:t>
      </w:r>
      <w:r>
        <w:rPr>
          <w:lang w:val="en-US"/>
        </w:rPr>
        <w:tab/>
      </w:r>
      <w:hyperlink r:id="rId2" w:history="1">
        <w:r w:rsidR="007431CC" w:rsidRPr="00D51291">
          <w:rPr>
            <w:rStyle w:val="Hyperlink"/>
            <w:lang w:val="en-US"/>
          </w:rPr>
          <w:t>https://www.washingtonpost.com/world/national-security/prominent-appeals-court-judge-alex-kozinski-accused-of-sexual-misconduct/2017/12/08/1763e2b8-d913-11e7-a841-2066faf731ef_story.html</w:t>
        </w:r>
      </w:hyperlink>
      <w:r w:rsidR="002A251C">
        <w:rPr>
          <w:lang w:val="en-US"/>
        </w:rPr>
        <w:t xml:space="preserve"> </w:t>
      </w:r>
    </w:p>
  </w:footnote>
  <w:footnote w:id="56">
    <w:p w14:paraId="3CFDBD0C" w14:textId="395FD4A5" w:rsidR="00533B44" w:rsidRDefault="00533B44">
      <w:pPr>
        <w:pStyle w:val="FootnoteText"/>
      </w:pPr>
      <w:r>
        <w:rPr>
          <w:rStyle w:val="FootnoteReference"/>
        </w:rPr>
        <w:footnoteRef/>
      </w:r>
      <w:r>
        <w:t xml:space="preserve"> </w:t>
      </w:r>
      <w:r>
        <w:tab/>
      </w:r>
      <w:proofErr w:type="spellStart"/>
      <w:r>
        <w:t>Litman</w:t>
      </w:r>
      <w:proofErr w:type="spellEnd"/>
      <w:r>
        <w:t xml:space="preserve"> and Shah, 615</w:t>
      </w:r>
    </w:p>
  </w:footnote>
  <w:footnote w:id="57">
    <w:p w14:paraId="24072B60" w14:textId="77777777" w:rsidR="00C94916" w:rsidRPr="00A36904" w:rsidRDefault="00C94916" w:rsidP="00C94916">
      <w:pPr>
        <w:pStyle w:val="FootnoteText"/>
        <w:rPr>
          <w:lang w:val="en-US"/>
        </w:rPr>
      </w:pPr>
      <w:r>
        <w:rPr>
          <w:rStyle w:val="FootnoteReference"/>
        </w:rPr>
        <w:footnoteRef/>
      </w:r>
      <w:r>
        <w:t xml:space="preserve"> </w:t>
      </w:r>
      <w:r>
        <w:tab/>
        <w:t xml:space="preserve">The Exile: In Memory of Judge Stephen Reinhardt, Ben </w:t>
      </w:r>
      <w:proofErr w:type="spellStart"/>
      <w:r>
        <w:t>Wizner</w:t>
      </w:r>
      <w:proofErr w:type="spellEnd"/>
      <w:r>
        <w:t xml:space="preserve"> 4 April 2018, ACLU.</w:t>
      </w:r>
    </w:p>
  </w:footnote>
  <w:footnote w:id="58">
    <w:p w14:paraId="43D16800" w14:textId="77777777" w:rsidR="007C1C92" w:rsidRPr="003807C1" w:rsidRDefault="007C1C92" w:rsidP="007C1C92">
      <w:pPr>
        <w:pStyle w:val="FootnoteText"/>
        <w:rPr>
          <w:lang w:val="en-US"/>
        </w:rPr>
      </w:pPr>
      <w:r>
        <w:rPr>
          <w:rStyle w:val="FootnoteReference"/>
        </w:rPr>
        <w:footnoteRef/>
      </w:r>
      <w:r>
        <w:t xml:space="preserve"> </w:t>
      </w:r>
      <w:r>
        <w:rPr>
          <w:lang w:val="en-US"/>
        </w:rPr>
        <w:tab/>
        <w:t>Protecting Federal Judiciary Employees from Sexual Harassment, Discrimination, and Other Workplace Misconduct: Hearing before the Subcommittee on Courts, Intellectual Property, and the Internet, February 13</w:t>
      </w:r>
      <w:proofErr w:type="gramStart"/>
      <w:r>
        <w:rPr>
          <w:lang w:val="en-US"/>
        </w:rPr>
        <w:t xml:space="preserve"> 2022</w:t>
      </w:r>
      <w:proofErr w:type="gramEnd"/>
      <w:r>
        <w:rPr>
          <w:lang w:val="en-US"/>
        </w:rPr>
        <w:t xml:space="preserve">. </w:t>
      </w:r>
    </w:p>
  </w:footnote>
  <w:footnote w:id="59">
    <w:p w14:paraId="60071F82" w14:textId="77777777" w:rsidR="00757D9D" w:rsidRPr="00C97F47" w:rsidRDefault="00757D9D" w:rsidP="00757D9D">
      <w:pPr>
        <w:pStyle w:val="FootnoteText"/>
        <w:rPr>
          <w:lang w:val="en-US"/>
        </w:rPr>
      </w:pPr>
      <w:r>
        <w:rPr>
          <w:rStyle w:val="FootnoteReference"/>
        </w:rPr>
        <w:footnoteRef/>
      </w:r>
      <w:r>
        <w:t xml:space="preserve"> </w:t>
      </w:r>
      <w:r>
        <w:rPr>
          <w:lang w:val="en-US"/>
        </w:rPr>
        <w:tab/>
        <w:t xml:space="preserve">For background to that investigation, see </w:t>
      </w:r>
      <w:r>
        <w:rPr>
          <w:i/>
          <w:iCs/>
          <w:lang w:val="en-US"/>
        </w:rPr>
        <w:t>A Judicial Officer v The Judicial Conduct Commissioner and the Judicial Conduct Panel</w:t>
      </w:r>
      <w:r>
        <w:rPr>
          <w:lang w:val="en-US"/>
        </w:rPr>
        <w:t xml:space="preserve"> [2022] SASCA 42.</w:t>
      </w:r>
    </w:p>
  </w:footnote>
  <w:footnote w:id="60">
    <w:p w14:paraId="4A1B8195" w14:textId="40FE4D9C" w:rsidR="000E311D" w:rsidRPr="000E311D" w:rsidRDefault="000E311D">
      <w:pPr>
        <w:pStyle w:val="FootnoteText"/>
        <w:rPr>
          <w:lang w:val="en-US"/>
        </w:rPr>
      </w:pPr>
      <w:r>
        <w:rPr>
          <w:rStyle w:val="FootnoteReference"/>
        </w:rPr>
        <w:footnoteRef/>
      </w:r>
      <w:r>
        <w:t xml:space="preserve"> </w:t>
      </w:r>
      <w:r>
        <w:rPr>
          <w:lang w:val="en-US"/>
        </w:rPr>
        <w:tab/>
        <w:t>Szoke Report, 31–4.</w:t>
      </w:r>
    </w:p>
  </w:footnote>
  <w:footnote w:id="61">
    <w:p w14:paraId="5C42AA37" w14:textId="43FD7714" w:rsidR="00863A88" w:rsidRPr="00863A88" w:rsidRDefault="00863A88">
      <w:pPr>
        <w:pStyle w:val="FootnoteText"/>
        <w:rPr>
          <w:lang w:val="en-US"/>
        </w:rPr>
      </w:pPr>
      <w:r>
        <w:rPr>
          <w:rStyle w:val="FootnoteReference"/>
        </w:rPr>
        <w:footnoteRef/>
      </w:r>
      <w:r>
        <w:t xml:space="preserve"> </w:t>
      </w:r>
      <w:r>
        <w:rPr>
          <w:lang w:val="en-US"/>
        </w:rPr>
        <w:tab/>
        <w:t>Szoke Report, 32.</w:t>
      </w:r>
    </w:p>
  </w:footnote>
  <w:footnote w:id="62">
    <w:p w14:paraId="401DC674" w14:textId="77777777" w:rsidR="00EB3A0A" w:rsidRPr="00F743C1" w:rsidRDefault="00EB3A0A" w:rsidP="00EB3A0A">
      <w:pPr>
        <w:pStyle w:val="FootnoteText"/>
        <w:rPr>
          <w:lang w:val="en-US"/>
        </w:rPr>
      </w:pPr>
      <w:r>
        <w:rPr>
          <w:rStyle w:val="FootnoteReference"/>
        </w:rPr>
        <w:footnoteRef/>
      </w:r>
      <w:r>
        <w:t xml:space="preserve"> </w:t>
      </w:r>
      <w:r>
        <w:rPr>
          <w:lang w:val="en-US"/>
        </w:rPr>
        <w:tab/>
        <w:t>Szoke Report, 33.</w:t>
      </w:r>
    </w:p>
  </w:footnote>
  <w:footnote w:id="63">
    <w:p w14:paraId="0196114D" w14:textId="6DEDF4C2" w:rsidR="00E6411E" w:rsidRPr="00E6411E" w:rsidRDefault="00E6411E">
      <w:pPr>
        <w:pStyle w:val="FootnoteText"/>
        <w:rPr>
          <w:lang w:val="en-US"/>
        </w:rPr>
      </w:pPr>
      <w:r>
        <w:rPr>
          <w:rStyle w:val="FootnoteReference"/>
        </w:rPr>
        <w:footnoteRef/>
      </w:r>
      <w:r>
        <w:t xml:space="preserve"> </w:t>
      </w:r>
      <w:r>
        <w:rPr>
          <w:lang w:val="en-US"/>
        </w:rPr>
        <w:tab/>
        <w:t>Szoke Report, 33.</w:t>
      </w:r>
    </w:p>
  </w:footnote>
  <w:footnote w:id="64">
    <w:p w14:paraId="323E963A" w14:textId="41A3C1D6" w:rsidR="005B78FE" w:rsidRPr="005B78FE" w:rsidRDefault="005B78FE">
      <w:pPr>
        <w:pStyle w:val="FootnoteText"/>
        <w:rPr>
          <w:lang w:val="en-US"/>
        </w:rPr>
      </w:pPr>
      <w:r>
        <w:rPr>
          <w:rStyle w:val="FootnoteReference"/>
        </w:rPr>
        <w:footnoteRef/>
      </w:r>
      <w:r>
        <w:t xml:space="preserve"> </w:t>
      </w:r>
      <w:r>
        <w:rPr>
          <w:lang w:val="en-US"/>
        </w:rPr>
        <w:tab/>
        <w:t>Szoke Report, 33.</w:t>
      </w:r>
    </w:p>
  </w:footnote>
  <w:footnote w:id="65">
    <w:p w14:paraId="0E3A1F99" w14:textId="33470CDF" w:rsidR="00EF6791" w:rsidRPr="00EF6791" w:rsidRDefault="00EF6791">
      <w:pPr>
        <w:pStyle w:val="FootnoteText"/>
        <w:rPr>
          <w:lang w:val="en-US"/>
        </w:rPr>
      </w:pPr>
      <w:r>
        <w:rPr>
          <w:rStyle w:val="FootnoteReference"/>
        </w:rPr>
        <w:footnoteRef/>
      </w:r>
      <w:r>
        <w:t xml:space="preserve"> </w:t>
      </w:r>
      <w:r w:rsidR="00D7208E">
        <w:tab/>
      </w:r>
      <w:proofErr w:type="spellStart"/>
      <w:r w:rsidR="00D46B85">
        <w:t>Litman</w:t>
      </w:r>
      <w:proofErr w:type="spellEnd"/>
      <w:r w:rsidR="00D46B85">
        <w:t xml:space="preserve"> and Shah, </w:t>
      </w:r>
      <w:r>
        <w:rPr>
          <w:lang w:val="en-US"/>
        </w:rPr>
        <w:t>609–10.</w:t>
      </w:r>
      <w:r w:rsidR="00AE65F8">
        <w:rPr>
          <w:lang w:val="en-US"/>
        </w:rPr>
        <w:t xml:space="preserve"> </w:t>
      </w:r>
    </w:p>
  </w:footnote>
  <w:footnote w:id="66">
    <w:p w14:paraId="513C2CEA" w14:textId="47C589C6" w:rsidR="004D6E99" w:rsidRDefault="004D6E99" w:rsidP="004D6E99">
      <w:pPr>
        <w:pStyle w:val="FootnoteText"/>
      </w:pPr>
      <w:r>
        <w:rPr>
          <w:rStyle w:val="FootnoteReference"/>
        </w:rPr>
        <w:footnoteRef/>
      </w:r>
      <w:r>
        <w:t xml:space="preserve"> </w:t>
      </w:r>
      <w:r w:rsidR="00D7208E">
        <w:tab/>
      </w:r>
      <w:r w:rsidR="00436C7F">
        <w:t xml:space="preserve">Report of the Federal Judiciary </w:t>
      </w:r>
      <w:r w:rsidR="00875673">
        <w:t xml:space="preserve">Workplace Conduct </w:t>
      </w:r>
      <w:r w:rsidR="00436C7F">
        <w:t>Working Group</w:t>
      </w:r>
      <w:r w:rsidR="00EF3D51">
        <w:t xml:space="preserve"> to the Judicial Conference of the United States</w:t>
      </w:r>
      <w:r w:rsidR="00945D5D">
        <w:t xml:space="preserve"> (‘US Working Group Report’)</w:t>
      </w:r>
      <w:r w:rsidR="00D46B85">
        <w:t>,</w:t>
      </w:r>
      <w:r w:rsidR="00E840A3">
        <w:t xml:space="preserve"> 1 June 2018,</w:t>
      </w:r>
      <w:r w:rsidR="00D46B85">
        <w:t xml:space="preserve"> </w:t>
      </w:r>
      <w:r>
        <w:t>12.</w:t>
      </w:r>
    </w:p>
  </w:footnote>
  <w:footnote w:id="67">
    <w:p w14:paraId="0B9D519F" w14:textId="62F5A630" w:rsidR="0099789F" w:rsidRPr="0099789F" w:rsidRDefault="0099789F">
      <w:pPr>
        <w:pStyle w:val="FootnoteText"/>
        <w:rPr>
          <w:lang w:val="en-US"/>
        </w:rPr>
      </w:pPr>
      <w:r>
        <w:rPr>
          <w:rStyle w:val="FootnoteReference"/>
        </w:rPr>
        <w:footnoteRef/>
      </w:r>
      <w:r>
        <w:t xml:space="preserve"> </w:t>
      </w:r>
      <w:r w:rsidR="00D7208E">
        <w:tab/>
      </w:r>
      <w:r w:rsidR="005A4E07">
        <w:t>US Working Group Report</w:t>
      </w:r>
      <w:r w:rsidR="009551F8">
        <w:t xml:space="preserve">, </w:t>
      </w:r>
      <w:r>
        <w:rPr>
          <w:lang w:val="en-US"/>
        </w:rPr>
        <w:t>1–2.</w:t>
      </w:r>
    </w:p>
  </w:footnote>
  <w:footnote w:id="68">
    <w:p w14:paraId="7DEB26CC" w14:textId="19616F18" w:rsidR="00032B0A" w:rsidRPr="00210F2D" w:rsidRDefault="00032B0A">
      <w:pPr>
        <w:pStyle w:val="FootnoteText"/>
        <w:rPr>
          <w:lang w:val="en-US"/>
        </w:rPr>
      </w:pPr>
      <w:r>
        <w:rPr>
          <w:rStyle w:val="FootnoteReference"/>
        </w:rPr>
        <w:footnoteRef/>
      </w:r>
      <w:r>
        <w:t xml:space="preserve"> </w:t>
      </w:r>
      <w:r w:rsidR="00D7208E">
        <w:tab/>
      </w:r>
      <w:r w:rsidR="00BB6B08" w:rsidRPr="00210F2D">
        <w:rPr>
          <w:lang w:val="en-US"/>
        </w:rPr>
        <w:t>US Working Group Report</w:t>
      </w:r>
      <w:r w:rsidR="009551F8">
        <w:rPr>
          <w:lang w:val="en-US"/>
        </w:rPr>
        <w:t xml:space="preserve">, </w:t>
      </w:r>
      <w:r w:rsidRPr="00210F2D">
        <w:rPr>
          <w:lang w:val="en-US"/>
        </w:rPr>
        <w:t>2.</w:t>
      </w:r>
    </w:p>
  </w:footnote>
  <w:footnote w:id="69">
    <w:p w14:paraId="385B0063" w14:textId="6BEAA36B" w:rsidR="008479E5" w:rsidRPr="00210F2D" w:rsidRDefault="008479E5">
      <w:pPr>
        <w:pStyle w:val="FootnoteText"/>
        <w:rPr>
          <w:lang w:val="en-US"/>
        </w:rPr>
      </w:pPr>
      <w:r w:rsidRPr="00210F2D">
        <w:rPr>
          <w:rStyle w:val="FootnoteReference"/>
        </w:rPr>
        <w:footnoteRef/>
      </w:r>
      <w:r w:rsidRPr="00210F2D">
        <w:t xml:space="preserve"> </w:t>
      </w:r>
      <w:r w:rsidRPr="00210F2D">
        <w:rPr>
          <w:lang w:val="en-US"/>
        </w:rPr>
        <w:tab/>
        <w:t>US Working Group Report</w:t>
      </w:r>
      <w:r w:rsidR="009551F8">
        <w:rPr>
          <w:lang w:val="en-US"/>
        </w:rPr>
        <w:t xml:space="preserve">, </w:t>
      </w:r>
      <w:r w:rsidR="006053A6" w:rsidRPr="00210F2D">
        <w:rPr>
          <w:lang w:val="en-US"/>
        </w:rPr>
        <w:t>10</w:t>
      </w:r>
      <w:r w:rsidRPr="00210F2D">
        <w:rPr>
          <w:lang w:val="en-US"/>
        </w:rPr>
        <w:t>.</w:t>
      </w:r>
    </w:p>
  </w:footnote>
  <w:footnote w:id="70">
    <w:p w14:paraId="129F493B" w14:textId="6AABD870" w:rsidR="00A44226" w:rsidRPr="00210F2D" w:rsidRDefault="00A44226">
      <w:pPr>
        <w:pStyle w:val="FootnoteText"/>
        <w:rPr>
          <w:lang w:val="en-US"/>
        </w:rPr>
      </w:pPr>
      <w:r w:rsidRPr="00210F2D">
        <w:rPr>
          <w:rStyle w:val="FootnoteReference"/>
        </w:rPr>
        <w:footnoteRef/>
      </w:r>
      <w:r w:rsidRPr="00210F2D">
        <w:t xml:space="preserve"> </w:t>
      </w:r>
      <w:r w:rsidRPr="00210F2D">
        <w:rPr>
          <w:lang w:val="en-US"/>
        </w:rPr>
        <w:tab/>
        <w:t>US Working Group Report</w:t>
      </w:r>
      <w:r w:rsidR="009551F8">
        <w:rPr>
          <w:lang w:val="en-US"/>
        </w:rPr>
        <w:t xml:space="preserve">, </w:t>
      </w:r>
      <w:r w:rsidRPr="00210F2D">
        <w:rPr>
          <w:lang w:val="en-US"/>
        </w:rPr>
        <w:t xml:space="preserve">11. </w:t>
      </w:r>
    </w:p>
  </w:footnote>
  <w:footnote w:id="71">
    <w:p w14:paraId="53208D28" w14:textId="28C46540" w:rsidR="00A04499" w:rsidRPr="00210F2D" w:rsidRDefault="00A04499">
      <w:pPr>
        <w:pStyle w:val="FootnoteText"/>
        <w:rPr>
          <w:lang w:val="en-US"/>
        </w:rPr>
      </w:pPr>
      <w:r w:rsidRPr="00210F2D">
        <w:rPr>
          <w:rStyle w:val="FootnoteReference"/>
        </w:rPr>
        <w:footnoteRef/>
      </w:r>
      <w:r w:rsidRPr="00210F2D">
        <w:t xml:space="preserve"> </w:t>
      </w:r>
      <w:r w:rsidR="00D7208E" w:rsidRPr="00210F2D">
        <w:tab/>
      </w:r>
      <w:r w:rsidR="003D2796" w:rsidRPr="00210F2D">
        <w:rPr>
          <w:lang w:val="en-US"/>
        </w:rPr>
        <w:t>US Working Group Report</w:t>
      </w:r>
      <w:r w:rsidR="009551F8">
        <w:rPr>
          <w:lang w:val="en-US"/>
        </w:rPr>
        <w:t xml:space="preserve">, </w:t>
      </w:r>
      <w:r w:rsidRPr="00210F2D">
        <w:rPr>
          <w:lang w:val="en-US"/>
        </w:rPr>
        <w:t>11.</w:t>
      </w:r>
    </w:p>
  </w:footnote>
  <w:footnote w:id="72">
    <w:p w14:paraId="0C9E5BC2" w14:textId="5C13BD69" w:rsidR="00F5300F" w:rsidRPr="00210F2D" w:rsidRDefault="00F5300F" w:rsidP="00D7208E">
      <w:pPr>
        <w:pStyle w:val="FootnoteText"/>
        <w:rPr>
          <w:lang w:val="en-US"/>
        </w:rPr>
      </w:pPr>
      <w:r w:rsidRPr="00210F2D">
        <w:rPr>
          <w:rStyle w:val="FootnoteReference"/>
        </w:rPr>
        <w:footnoteRef/>
      </w:r>
      <w:r w:rsidRPr="00210F2D">
        <w:t xml:space="preserve"> </w:t>
      </w:r>
      <w:r w:rsidR="00D7208E" w:rsidRPr="00210F2D">
        <w:tab/>
      </w:r>
      <w:r w:rsidR="003D77C5" w:rsidRPr="00210F2D">
        <w:rPr>
          <w:lang w:val="en-US"/>
        </w:rPr>
        <w:t>US Working Group Report</w:t>
      </w:r>
      <w:r w:rsidR="009551F8">
        <w:rPr>
          <w:lang w:val="en-US"/>
        </w:rPr>
        <w:t xml:space="preserve">, </w:t>
      </w:r>
      <w:r w:rsidR="003D77C5" w:rsidRPr="00210F2D">
        <w:rPr>
          <w:lang w:val="en-US"/>
        </w:rPr>
        <w:t>11</w:t>
      </w:r>
      <w:r w:rsidRPr="00210F2D">
        <w:t>.</w:t>
      </w:r>
    </w:p>
  </w:footnote>
  <w:footnote w:id="73">
    <w:p w14:paraId="16A51EE0" w14:textId="0D469CFB" w:rsidR="00F96EC9" w:rsidRPr="00210F2D" w:rsidRDefault="00F96EC9">
      <w:pPr>
        <w:pStyle w:val="FootnoteText"/>
        <w:rPr>
          <w:lang w:val="en-US"/>
        </w:rPr>
      </w:pPr>
      <w:r w:rsidRPr="00210F2D">
        <w:rPr>
          <w:rStyle w:val="FootnoteReference"/>
        </w:rPr>
        <w:footnoteRef/>
      </w:r>
      <w:r w:rsidRPr="00210F2D">
        <w:t xml:space="preserve"> </w:t>
      </w:r>
      <w:r w:rsidR="00D7208E" w:rsidRPr="00210F2D">
        <w:tab/>
      </w:r>
      <w:r w:rsidR="00685B9A" w:rsidRPr="00210F2D">
        <w:rPr>
          <w:lang w:val="en-US"/>
        </w:rPr>
        <w:t>US Working Group Report</w:t>
      </w:r>
      <w:r w:rsidR="009551F8">
        <w:rPr>
          <w:lang w:val="en-US"/>
        </w:rPr>
        <w:t xml:space="preserve">, </w:t>
      </w:r>
      <w:r w:rsidR="00685B9A" w:rsidRPr="00210F2D">
        <w:rPr>
          <w:lang w:val="en-US"/>
        </w:rPr>
        <w:t>11–12</w:t>
      </w:r>
      <w:r w:rsidRPr="00210F2D">
        <w:rPr>
          <w:lang w:val="en-US"/>
        </w:rPr>
        <w:t>.</w:t>
      </w:r>
    </w:p>
  </w:footnote>
  <w:footnote w:id="74">
    <w:p w14:paraId="2754A15B" w14:textId="17F285D7" w:rsidR="00B0545B" w:rsidRPr="00210F2D" w:rsidRDefault="00B0545B">
      <w:pPr>
        <w:pStyle w:val="FootnoteText"/>
        <w:rPr>
          <w:lang w:val="en-US"/>
        </w:rPr>
      </w:pPr>
      <w:r w:rsidRPr="00210F2D">
        <w:rPr>
          <w:rStyle w:val="FootnoteReference"/>
        </w:rPr>
        <w:footnoteRef/>
      </w:r>
      <w:r w:rsidRPr="00210F2D">
        <w:t xml:space="preserve"> </w:t>
      </w:r>
      <w:r w:rsidR="00D7208E" w:rsidRPr="00210F2D">
        <w:tab/>
      </w:r>
      <w:r w:rsidR="00FE56EF" w:rsidRPr="00210F2D">
        <w:rPr>
          <w:lang w:val="en-US"/>
        </w:rPr>
        <w:t>US Working Group Report</w:t>
      </w:r>
      <w:r w:rsidR="009551F8">
        <w:rPr>
          <w:lang w:val="en-US"/>
        </w:rPr>
        <w:t xml:space="preserve">, </w:t>
      </w:r>
      <w:r w:rsidRPr="00210F2D">
        <w:rPr>
          <w:lang w:val="en-US"/>
        </w:rPr>
        <w:t>8</w:t>
      </w:r>
      <w:r w:rsidR="00310CA9" w:rsidRPr="00210F2D">
        <w:rPr>
          <w:lang w:val="en-US"/>
        </w:rPr>
        <w:t>–9.</w:t>
      </w:r>
    </w:p>
  </w:footnote>
  <w:footnote w:id="75">
    <w:p w14:paraId="0C93EC3F" w14:textId="3CB474C7" w:rsidR="004D6E99" w:rsidRDefault="004D6E99" w:rsidP="004D6E99">
      <w:pPr>
        <w:pStyle w:val="FootnoteText"/>
      </w:pPr>
      <w:r w:rsidRPr="00210F2D">
        <w:rPr>
          <w:rStyle w:val="FootnoteReference"/>
        </w:rPr>
        <w:footnoteRef/>
      </w:r>
      <w:r w:rsidRPr="00210F2D">
        <w:t xml:space="preserve"> </w:t>
      </w:r>
      <w:r w:rsidR="00D7208E" w:rsidRPr="00210F2D">
        <w:tab/>
      </w:r>
      <w:r w:rsidR="00881D9D" w:rsidRPr="00210F2D">
        <w:rPr>
          <w:lang w:val="en-US"/>
        </w:rPr>
        <w:t>US Working Group Report</w:t>
      </w:r>
      <w:r w:rsidR="009551F8">
        <w:rPr>
          <w:lang w:val="en-US"/>
        </w:rPr>
        <w:t xml:space="preserve">, </w:t>
      </w:r>
      <w:r w:rsidRPr="00210F2D">
        <w:t>12</w:t>
      </w:r>
      <w:r w:rsidR="00881D9D" w:rsidRPr="00210F2D">
        <w:t>–</w:t>
      </w:r>
      <w:r w:rsidRPr="00210F2D">
        <w:t>13.</w:t>
      </w:r>
      <w:r>
        <w:t xml:space="preserve"> </w:t>
      </w:r>
    </w:p>
  </w:footnote>
  <w:footnote w:id="76">
    <w:p w14:paraId="422E37CD" w14:textId="18AFC019" w:rsidR="006E213F" w:rsidRPr="00210F2D" w:rsidRDefault="006E213F">
      <w:pPr>
        <w:pStyle w:val="FootnoteText"/>
        <w:rPr>
          <w:lang w:val="en-US"/>
        </w:rPr>
      </w:pPr>
      <w:r>
        <w:rPr>
          <w:rStyle w:val="FootnoteReference"/>
        </w:rPr>
        <w:footnoteRef/>
      </w:r>
      <w:r>
        <w:t xml:space="preserve"> </w:t>
      </w:r>
      <w:r w:rsidR="00D7208E">
        <w:tab/>
      </w:r>
      <w:r w:rsidR="003925D3" w:rsidRPr="00210F2D">
        <w:rPr>
          <w:lang w:val="en-US"/>
        </w:rPr>
        <w:t>US Working Group Report</w:t>
      </w:r>
      <w:r w:rsidR="009551F8">
        <w:rPr>
          <w:lang w:val="en-US"/>
        </w:rPr>
        <w:t xml:space="preserve">, </w:t>
      </w:r>
      <w:r w:rsidRPr="00210F2D">
        <w:rPr>
          <w:lang w:val="en-US"/>
        </w:rPr>
        <w:t>13.</w:t>
      </w:r>
    </w:p>
  </w:footnote>
  <w:footnote w:id="77">
    <w:p w14:paraId="1E23058B" w14:textId="7858ED63" w:rsidR="00714753" w:rsidRPr="00210F2D" w:rsidRDefault="00714753">
      <w:pPr>
        <w:pStyle w:val="FootnoteText"/>
        <w:rPr>
          <w:lang w:val="en-US"/>
        </w:rPr>
      </w:pPr>
      <w:r w:rsidRPr="00210F2D">
        <w:rPr>
          <w:rStyle w:val="FootnoteReference"/>
        </w:rPr>
        <w:footnoteRef/>
      </w:r>
      <w:r w:rsidRPr="00210F2D">
        <w:t xml:space="preserve"> </w:t>
      </w:r>
      <w:r w:rsidR="00D7208E" w:rsidRPr="00210F2D">
        <w:tab/>
      </w:r>
      <w:r w:rsidR="0087380B" w:rsidRPr="00210F2D">
        <w:rPr>
          <w:lang w:val="en-US"/>
        </w:rPr>
        <w:t>US Working Group Report</w:t>
      </w:r>
      <w:r w:rsidR="009551F8">
        <w:rPr>
          <w:lang w:val="en-US"/>
        </w:rPr>
        <w:t xml:space="preserve">, </w:t>
      </w:r>
      <w:r w:rsidRPr="00210F2D">
        <w:rPr>
          <w:lang w:val="en-US"/>
        </w:rPr>
        <w:t>14.</w:t>
      </w:r>
    </w:p>
  </w:footnote>
  <w:footnote w:id="78">
    <w:p w14:paraId="3183D1A7" w14:textId="4E6F5D1E" w:rsidR="00714753" w:rsidRPr="00210F2D" w:rsidRDefault="00714753">
      <w:pPr>
        <w:pStyle w:val="FootnoteText"/>
        <w:rPr>
          <w:lang w:val="en-US"/>
        </w:rPr>
      </w:pPr>
      <w:r w:rsidRPr="00210F2D">
        <w:rPr>
          <w:rStyle w:val="FootnoteReference"/>
        </w:rPr>
        <w:footnoteRef/>
      </w:r>
      <w:r w:rsidRPr="00210F2D">
        <w:t xml:space="preserve"> </w:t>
      </w:r>
      <w:r w:rsidR="00D7208E" w:rsidRPr="00210F2D">
        <w:tab/>
      </w:r>
      <w:r w:rsidR="0087380B" w:rsidRPr="00210F2D">
        <w:rPr>
          <w:lang w:val="en-US"/>
        </w:rPr>
        <w:t>US Working Group Report</w:t>
      </w:r>
      <w:r w:rsidR="009551F8">
        <w:rPr>
          <w:lang w:val="en-US"/>
        </w:rPr>
        <w:t xml:space="preserve">, </w:t>
      </w:r>
      <w:r w:rsidRPr="00210F2D">
        <w:rPr>
          <w:lang w:val="en-US"/>
        </w:rPr>
        <w:t>26.</w:t>
      </w:r>
    </w:p>
  </w:footnote>
  <w:footnote w:id="79">
    <w:p w14:paraId="15FA15FF" w14:textId="667CE34F" w:rsidR="00714753" w:rsidRPr="00210F2D" w:rsidRDefault="00714753">
      <w:pPr>
        <w:pStyle w:val="FootnoteText"/>
        <w:rPr>
          <w:lang w:val="en-US"/>
        </w:rPr>
      </w:pPr>
      <w:r w:rsidRPr="00210F2D">
        <w:rPr>
          <w:rStyle w:val="FootnoteReference"/>
        </w:rPr>
        <w:footnoteRef/>
      </w:r>
      <w:r w:rsidRPr="00210F2D">
        <w:t xml:space="preserve"> </w:t>
      </w:r>
      <w:r w:rsidR="00D7208E" w:rsidRPr="00210F2D">
        <w:tab/>
      </w:r>
      <w:r w:rsidR="0087380B" w:rsidRPr="00210F2D">
        <w:rPr>
          <w:lang w:val="en-US"/>
        </w:rPr>
        <w:t>US Working Group Report</w:t>
      </w:r>
      <w:r w:rsidR="009551F8">
        <w:rPr>
          <w:lang w:val="en-US"/>
        </w:rPr>
        <w:t xml:space="preserve">, </w:t>
      </w:r>
      <w:r w:rsidRPr="00210F2D">
        <w:rPr>
          <w:lang w:val="en-US"/>
        </w:rPr>
        <w:t>44.</w:t>
      </w:r>
    </w:p>
  </w:footnote>
  <w:footnote w:id="80">
    <w:p w14:paraId="523FE169" w14:textId="5C799FC9" w:rsidR="00714753" w:rsidRPr="00714753" w:rsidRDefault="00714753">
      <w:pPr>
        <w:pStyle w:val="FootnoteText"/>
        <w:rPr>
          <w:lang w:val="en-US"/>
        </w:rPr>
      </w:pPr>
      <w:r w:rsidRPr="00210F2D">
        <w:rPr>
          <w:rStyle w:val="FootnoteReference"/>
        </w:rPr>
        <w:footnoteRef/>
      </w:r>
      <w:r w:rsidRPr="00210F2D">
        <w:t xml:space="preserve"> </w:t>
      </w:r>
      <w:r w:rsidR="00D7208E" w:rsidRPr="00210F2D">
        <w:tab/>
      </w:r>
      <w:r w:rsidR="0087380B" w:rsidRPr="00210F2D">
        <w:rPr>
          <w:lang w:val="en-US"/>
        </w:rPr>
        <w:t>US Working Group Report</w:t>
      </w:r>
      <w:r w:rsidR="009551F8">
        <w:rPr>
          <w:lang w:val="en-US"/>
        </w:rPr>
        <w:t xml:space="preserve">, </w:t>
      </w:r>
      <w:r w:rsidRPr="00210F2D">
        <w:rPr>
          <w:lang w:val="en-US"/>
        </w:rPr>
        <w:t>16.</w:t>
      </w:r>
    </w:p>
  </w:footnote>
  <w:footnote w:id="81">
    <w:p w14:paraId="28519B66" w14:textId="0E6D0E21" w:rsidR="00380D9B" w:rsidRPr="00210F2D" w:rsidRDefault="00380D9B">
      <w:pPr>
        <w:pStyle w:val="FootnoteText"/>
        <w:rPr>
          <w:lang w:val="en-US"/>
        </w:rPr>
      </w:pPr>
      <w:r>
        <w:rPr>
          <w:rStyle w:val="FootnoteReference"/>
        </w:rPr>
        <w:footnoteRef/>
      </w:r>
      <w:r>
        <w:t xml:space="preserve"> </w:t>
      </w:r>
      <w:r>
        <w:rPr>
          <w:lang w:val="en-US"/>
        </w:rPr>
        <w:tab/>
      </w:r>
      <w:r w:rsidRPr="00210F2D">
        <w:rPr>
          <w:lang w:val="en-US"/>
        </w:rPr>
        <w:t>US Working Group Report</w:t>
      </w:r>
      <w:r w:rsidR="009551F8">
        <w:rPr>
          <w:lang w:val="en-US"/>
        </w:rPr>
        <w:t xml:space="preserve">, </w:t>
      </w:r>
      <w:r w:rsidRPr="00210F2D">
        <w:rPr>
          <w:lang w:val="en-US"/>
        </w:rPr>
        <w:t>3.</w:t>
      </w:r>
    </w:p>
  </w:footnote>
  <w:footnote w:id="82">
    <w:p w14:paraId="0AC0B2AC" w14:textId="28BAE179" w:rsidR="00342B20" w:rsidRPr="00210F2D" w:rsidRDefault="00342B20">
      <w:pPr>
        <w:pStyle w:val="FootnoteText"/>
        <w:rPr>
          <w:lang w:val="en-US"/>
        </w:rPr>
      </w:pPr>
      <w:r w:rsidRPr="00210F2D">
        <w:rPr>
          <w:rStyle w:val="FootnoteReference"/>
        </w:rPr>
        <w:footnoteRef/>
      </w:r>
      <w:r w:rsidRPr="00210F2D">
        <w:t xml:space="preserve"> </w:t>
      </w:r>
      <w:r w:rsidRPr="00210F2D">
        <w:rPr>
          <w:lang w:val="en-US"/>
        </w:rPr>
        <w:tab/>
      </w:r>
      <w:r w:rsidR="00466F43" w:rsidRPr="00210F2D">
        <w:rPr>
          <w:lang w:val="en-US"/>
        </w:rPr>
        <w:t>US Working Group Report</w:t>
      </w:r>
      <w:r w:rsidR="009551F8">
        <w:rPr>
          <w:lang w:val="en-US"/>
        </w:rPr>
        <w:t xml:space="preserve">, </w:t>
      </w:r>
      <w:r w:rsidR="00466F43" w:rsidRPr="00210F2D">
        <w:rPr>
          <w:lang w:val="en-US"/>
        </w:rPr>
        <w:t>3.</w:t>
      </w:r>
    </w:p>
  </w:footnote>
  <w:footnote w:id="83">
    <w:p w14:paraId="523B5CCB" w14:textId="54B4CD3F" w:rsidR="007E7163" w:rsidRPr="007E7163" w:rsidRDefault="007E7163">
      <w:pPr>
        <w:pStyle w:val="FootnoteText"/>
        <w:rPr>
          <w:lang w:val="en-US"/>
        </w:rPr>
      </w:pPr>
      <w:r w:rsidRPr="00210F2D">
        <w:rPr>
          <w:rStyle w:val="FootnoteReference"/>
        </w:rPr>
        <w:footnoteRef/>
      </w:r>
      <w:r w:rsidRPr="00210F2D">
        <w:t xml:space="preserve"> </w:t>
      </w:r>
      <w:r w:rsidR="00D7208E" w:rsidRPr="00210F2D">
        <w:tab/>
      </w:r>
      <w:r w:rsidR="00865C2E" w:rsidRPr="00210F2D">
        <w:rPr>
          <w:lang w:val="en-US"/>
        </w:rPr>
        <w:t>US Working Group Report</w:t>
      </w:r>
      <w:r w:rsidR="009551F8">
        <w:rPr>
          <w:lang w:val="en-US"/>
        </w:rPr>
        <w:t xml:space="preserve">, </w:t>
      </w:r>
      <w:r w:rsidRPr="00210F2D">
        <w:rPr>
          <w:lang w:val="en-US"/>
        </w:rPr>
        <w:t>5</w:t>
      </w:r>
      <w:r w:rsidR="008654C2" w:rsidRPr="00210F2D">
        <w:rPr>
          <w:lang w:val="en-US"/>
        </w:rPr>
        <w:t>–7</w:t>
      </w:r>
      <w:r w:rsidRPr="00210F2D">
        <w:rPr>
          <w:lang w:val="en-US"/>
        </w:rPr>
        <w:t>.</w:t>
      </w:r>
    </w:p>
  </w:footnote>
  <w:footnote w:id="84">
    <w:p w14:paraId="3E7A3E67" w14:textId="066E8A23" w:rsidR="00BA7DF6" w:rsidRPr="00BA7DF6" w:rsidRDefault="00BA7DF6">
      <w:pPr>
        <w:pStyle w:val="FootnoteText"/>
        <w:rPr>
          <w:lang w:val="en-US"/>
        </w:rPr>
      </w:pPr>
      <w:r>
        <w:rPr>
          <w:rStyle w:val="FootnoteReference"/>
        </w:rPr>
        <w:footnoteRef/>
      </w:r>
      <w:r>
        <w:t xml:space="preserve"> </w:t>
      </w:r>
      <w:r w:rsidR="0058599C">
        <w:tab/>
      </w:r>
      <w:proofErr w:type="spellStart"/>
      <w:r>
        <w:rPr>
          <w:lang w:val="en-US"/>
        </w:rPr>
        <w:t>Litman</w:t>
      </w:r>
      <w:proofErr w:type="spellEnd"/>
      <w:r>
        <w:rPr>
          <w:lang w:val="en-US"/>
        </w:rPr>
        <w:t xml:space="preserve"> and Shah, </w:t>
      </w:r>
      <w:r w:rsidR="009C2257">
        <w:rPr>
          <w:lang w:val="en-US"/>
        </w:rPr>
        <w:t>615-620.</w:t>
      </w:r>
    </w:p>
  </w:footnote>
  <w:footnote w:id="85">
    <w:p w14:paraId="5BCCAB90" w14:textId="7BE7D025" w:rsidR="00DE28A8" w:rsidRDefault="00DE28A8">
      <w:pPr>
        <w:pStyle w:val="FootnoteText"/>
      </w:pPr>
      <w:r>
        <w:rPr>
          <w:rStyle w:val="FootnoteReference"/>
        </w:rPr>
        <w:footnoteRef/>
      </w:r>
      <w:r>
        <w:t xml:space="preserve"> </w:t>
      </w:r>
      <w:r>
        <w:tab/>
        <w:t>At the time of completing this report, we were informed that, following consultation with magistrates, who expressed preference for more per</w:t>
      </w:r>
      <w:r w:rsidR="00163FF9">
        <w:t>manent support, the Children’s Court would move away from the frequent rotation of TCRs.</w:t>
      </w:r>
    </w:p>
  </w:footnote>
  <w:footnote w:id="86">
    <w:p w14:paraId="62018363" w14:textId="49ABC262" w:rsidR="00055D12" w:rsidRDefault="00055D12">
      <w:pPr>
        <w:pStyle w:val="FootnoteText"/>
      </w:pPr>
      <w:r>
        <w:rPr>
          <w:rStyle w:val="FootnoteReference"/>
        </w:rPr>
        <w:footnoteRef/>
      </w:r>
      <w:r>
        <w:t xml:space="preserve"> </w:t>
      </w:r>
      <w:r>
        <w:tab/>
      </w:r>
      <w:r w:rsidR="00315BBD">
        <w:t xml:space="preserve">As noted above, </w:t>
      </w:r>
      <w:r>
        <w:t xml:space="preserve">the Respect in the Workplace policy </w:t>
      </w:r>
      <w:r w:rsidR="00860C08">
        <w:t>has now been superseded by new CSV policies introduced in 2022.</w:t>
      </w:r>
      <w:r w:rsidR="004577F8">
        <w:t xml:space="preserve">  We have also been informed that the Respect in the Workplace module </w:t>
      </w:r>
      <w:r w:rsidR="002442D6">
        <w:t xml:space="preserve">is </w:t>
      </w:r>
      <w:r w:rsidR="004577F8">
        <w:t>to be replaced.</w:t>
      </w:r>
    </w:p>
  </w:footnote>
  <w:footnote w:id="87">
    <w:p w14:paraId="2B1C3079" w14:textId="266E6D6C" w:rsidR="00731BA8" w:rsidRDefault="00731BA8">
      <w:pPr>
        <w:pStyle w:val="FootnoteText"/>
      </w:pPr>
      <w:r>
        <w:rPr>
          <w:rStyle w:val="FootnoteReference"/>
        </w:rPr>
        <w:footnoteRef/>
      </w:r>
      <w:r>
        <w:t xml:space="preserve"> </w:t>
      </w:r>
      <w:r>
        <w:tab/>
      </w:r>
      <w:r w:rsidR="007F69BC" w:rsidRPr="007F69BC">
        <w:t xml:space="preserve">We are informed that the policy has been updated to state </w:t>
      </w:r>
      <w:r w:rsidR="00AB32C1">
        <w:t xml:space="preserve">that </w:t>
      </w:r>
      <w:r w:rsidR="007F69BC" w:rsidRPr="007F69BC">
        <w:t xml:space="preserve">anonymous reports can be made to Your Safe Space and CSV Workplace Relations, and not the CSV Respect and Integrity Hotline. </w:t>
      </w:r>
      <w:r w:rsidR="00B16F7F">
        <w:t xml:space="preserve"> </w:t>
      </w:r>
      <w:r w:rsidR="007F69BC" w:rsidRPr="007F69BC">
        <w:t>We are also informed that complaints can be made to local HR</w:t>
      </w:r>
      <w:r w:rsidR="00B16F7F">
        <w:t>.</w:t>
      </w:r>
    </w:p>
  </w:footnote>
  <w:footnote w:id="88">
    <w:p w14:paraId="23B7EE16" w14:textId="1214ED83" w:rsidR="00DD7162" w:rsidRDefault="00DD7162">
      <w:pPr>
        <w:pStyle w:val="FootnoteText"/>
      </w:pPr>
      <w:r>
        <w:rPr>
          <w:rStyle w:val="FootnoteReference"/>
        </w:rPr>
        <w:footnoteRef/>
      </w:r>
      <w:r>
        <w:t xml:space="preserve"> </w:t>
      </w:r>
      <w:r>
        <w:tab/>
        <w:t>For example, the appointment of staff judicial officers may not be feasible in the Magistrates’ C</w:t>
      </w:r>
      <w:r w:rsidR="00422326">
        <w:t>ourt, given its many locations.  Similarly, the mode and scope of training and instruction for judicial officers of VCAT could be adjusted to take account of their large numbers and very</w:t>
      </w:r>
      <w:r w:rsidR="00690808">
        <w:t xml:space="preserve"> variable frequency of service.</w:t>
      </w:r>
    </w:p>
  </w:footnote>
  <w:footnote w:id="89">
    <w:p w14:paraId="5CA6A8A0" w14:textId="449604E1" w:rsidR="00A66B2D" w:rsidRDefault="00A66B2D">
      <w:pPr>
        <w:pStyle w:val="FootnoteText"/>
      </w:pPr>
      <w:r>
        <w:rPr>
          <w:rStyle w:val="FootnoteReference"/>
        </w:rPr>
        <w:footnoteRef/>
      </w:r>
      <w:r>
        <w:t xml:space="preserve"> </w:t>
      </w:r>
      <w:r>
        <w:tab/>
      </w:r>
      <w:r w:rsidRPr="00E0050E">
        <w:rPr>
          <w:lang w:val="en-US"/>
        </w:rPr>
        <w:t>See [</w:t>
      </w:r>
      <w:r w:rsidR="00E0050E" w:rsidRPr="00E0050E">
        <w:rPr>
          <w:lang w:val="en-US"/>
        </w:rPr>
        <w:fldChar w:fldCharType="begin"/>
      </w:r>
      <w:r w:rsidR="00E0050E" w:rsidRPr="00E0050E">
        <w:rPr>
          <w:lang w:val="en-US"/>
        </w:rPr>
        <w:instrText xml:space="preserve"> REF _Ref108975073 \r \h </w:instrText>
      </w:r>
      <w:r w:rsidR="00E0050E">
        <w:rPr>
          <w:lang w:val="en-US"/>
        </w:rPr>
        <w:instrText xml:space="preserve"> \* MERGEFORMAT </w:instrText>
      </w:r>
      <w:r w:rsidR="00E0050E" w:rsidRPr="00E0050E">
        <w:rPr>
          <w:lang w:val="en-US"/>
        </w:rPr>
      </w:r>
      <w:r w:rsidR="00E0050E" w:rsidRPr="00E0050E">
        <w:rPr>
          <w:lang w:val="en-US"/>
        </w:rPr>
        <w:fldChar w:fldCharType="separate"/>
      </w:r>
      <w:r w:rsidR="00CF093C">
        <w:rPr>
          <w:lang w:val="en-US"/>
        </w:rPr>
        <w:t>150</w:t>
      </w:r>
      <w:r w:rsidR="00E0050E" w:rsidRPr="00E0050E">
        <w:rPr>
          <w:lang w:val="en-US"/>
        </w:rPr>
        <w:fldChar w:fldCharType="end"/>
      </w:r>
      <w:r w:rsidRPr="00E0050E">
        <w:rPr>
          <w:lang w:val="en-US"/>
        </w:rPr>
        <w:t>] above and following</w:t>
      </w:r>
      <w:r w:rsidR="00E0050E">
        <w:rPr>
          <w:lang w:val="en-US"/>
        </w:rPr>
        <w:t>.</w:t>
      </w:r>
    </w:p>
  </w:footnote>
  <w:footnote w:id="90">
    <w:p w14:paraId="7880F3D3" w14:textId="63EABA54" w:rsidR="00D37A6E" w:rsidRDefault="00D37A6E">
      <w:pPr>
        <w:pStyle w:val="FootnoteText"/>
      </w:pPr>
      <w:r>
        <w:rPr>
          <w:rStyle w:val="FootnoteReference"/>
        </w:rPr>
        <w:footnoteRef/>
      </w:r>
      <w:r>
        <w:t xml:space="preserve"> </w:t>
      </w:r>
      <w:r>
        <w:tab/>
      </w:r>
      <w:r w:rsidR="004307EF">
        <w:rPr>
          <w:lang w:val="en-US"/>
        </w:rPr>
        <w:t>Associates are employed only in the Supreme and County Courts.  In other jurisdictions, as described above in this Report, there are roles which approximate that of an Associate in some respects, particularly Court Officers in the Magistrates’ Court.</w:t>
      </w:r>
    </w:p>
  </w:footnote>
  <w:footnote w:id="91">
    <w:p w14:paraId="235B1EBA" w14:textId="7A6ADAC8" w:rsidR="004B4E78" w:rsidRDefault="004B4E78">
      <w:pPr>
        <w:pStyle w:val="FootnoteText"/>
      </w:pPr>
      <w:r>
        <w:rPr>
          <w:rStyle w:val="FootnoteReference"/>
        </w:rPr>
        <w:footnoteRef/>
      </w:r>
      <w:r>
        <w:t xml:space="preserve"> </w:t>
      </w:r>
      <w:r>
        <w:tab/>
        <w:t xml:space="preserve">See Recommendation </w:t>
      </w:r>
      <w:r w:rsidR="0067406D">
        <w:fldChar w:fldCharType="begin"/>
      </w:r>
      <w:r w:rsidR="0067406D">
        <w:instrText xml:space="preserve"> REF _Ref110931494 \r \h </w:instrText>
      </w:r>
      <w:r w:rsidR="0067406D">
        <w:fldChar w:fldCharType="separate"/>
      </w:r>
      <w:r w:rsidR="00CF093C">
        <w:t>19</w:t>
      </w:r>
      <w:r w:rsidR="0067406D">
        <w:fldChar w:fldCharType="end"/>
      </w:r>
      <w:r>
        <w:t>.</w:t>
      </w:r>
    </w:p>
  </w:footnote>
  <w:footnote w:id="92">
    <w:p w14:paraId="5EBD1FEB" w14:textId="5D4D0D2E" w:rsidR="00F96B7B" w:rsidRDefault="00F96B7B">
      <w:pPr>
        <w:pStyle w:val="FootnoteText"/>
      </w:pPr>
      <w:r>
        <w:rPr>
          <w:rStyle w:val="FootnoteReference"/>
        </w:rPr>
        <w:footnoteRef/>
      </w:r>
      <w:r>
        <w:t xml:space="preserve"> </w:t>
      </w:r>
      <w:r>
        <w:tab/>
      </w:r>
      <w:r w:rsidR="003B4254">
        <w:t>The instruction and training referred to in this recommendation for associates and comparable chambers staff should be additional to general sexual harassment training provided to all CSV staff.</w:t>
      </w:r>
      <w:r w:rsidR="00515BF0">
        <w:t xml:space="preserve">  As we do not consider that tipstaves as a cohort, although working closely with judges, currently share the </w:t>
      </w:r>
      <w:r w:rsidR="00E53E26">
        <w:t xml:space="preserve">associates’ </w:t>
      </w:r>
      <w:r w:rsidR="00515BF0">
        <w:t xml:space="preserve">vulnerabilities </w:t>
      </w:r>
      <w:r w:rsidR="008934BD">
        <w:t xml:space="preserve">to sexual harassment, CSV </w:t>
      </w:r>
      <w:r w:rsidR="0004642C">
        <w:t xml:space="preserve">should </w:t>
      </w:r>
      <w:r w:rsidR="008934BD">
        <w:t xml:space="preserve">consider </w:t>
      </w:r>
      <w:r w:rsidR="0004642C">
        <w:t xml:space="preserve">whether </w:t>
      </w:r>
      <w:r w:rsidR="008934BD">
        <w:t xml:space="preserve">it </w:t>
      </w:r>
      <w:r w:rsidR="0004642C">
        <w:t xml:space="preserve">is </w:t>
      </w:r>
      <w:r w:rsidR="008934BD">
        <w:t>necessary to mandate the additional specific training for tipstaves.</w:t>
      </w:r>
    </w:p>
  </w:footnote>
  <w:footnote w:id="93">
    <w:p w14:paraId="68FA94A0" w14:textId="7F09E757" w:rsidR="0070315A" w:rsidRDefault="0070315A">
      <w:pPr>
        <w:pStyle w:val="FootnoteText"/>
      </w:pPr>
      <w:r>
        <w:rPr>
          <w:rStyle w:val="FootnoteReference"/>
        </w:rPr>
        <w:footnoteRef/>
      </w:r>
      <w:r>
        <w:t xml:space="preserve"> </w:t>
      </w:r>
      <w:r>
        <w:tab/>
        <w:t xml:space="preserve">This presupposes implementation of </w:t>
      </w:r>
      <w:r w:rsidR="00D277FD" w:rsidRPr="00D277FD">
        <w:rPr>
          <w:b/>
          <w:bCs/>
        </w:rPr>
        <w:t xml:space="preserve">Recommendation </w:t>
      </w:r>
      <w:r w:rsidR="007135E0" w:rsidRPr="00D277FD">
        <w:rPr>
          <w:b/>
          <w:bCs/>
        </w:rPr>
        <w:fldChar w:fldCharType="begin"/>
      </w:r>
      <w:r w:rsidR="007135E0" w:rsidRPr="00D277FD">
        <w:rPr>
          <w:b/>
          <w:bCs/>
        </w:rPr>
        <w:instrText xml:space="preserve"> REF _Ref108723917 \r \h </w:instrText>
      </w:r>
      <w:r w:rsidR="00D277FD">
        <w:rPr>
          <w:b/>
          <w:bCs/>
        </w:rPr>
        <w:instrText xml:space="preserve"> \* MERGEFORMAT </w:instrText>
      </w:r>
      <w:r w:rsidR="007135E0" w:rsidRPr="00D277FD">
        <w:rPr>
          <w:b/>
          <w:bCs/>
        </w:rPr>
      </w:r>
      <w:r w:rsidR="007135E0" w:rsidRPr="00D277FD">
        <w:rPr>
          <w:b/>
          <w:bCs/>
        </w:rPr>
        <w:fldChar w:fldCharType="separate"/>
      </w:r>
      <w:r w:rsidR="00CF093C">
        <w:rPr>
          <w:b/>
          <w:bCs/>
        </w:rPr>
        <w:t>3</w:t>
      </w:r>
      <w:r w:rsidR="007135E0" w:rsidRPr="00D277FD">
        <w:rPr>
          <w:b/>
          <w:bCs/>
        </w:rPr>
        <w:fldChar w:fldCharType="end"/>
      </w:r>
      <w:r>
        <w:t>.</w:t>
      </w:r>
    </w:p>
  </w:footnote>
  <w:footnote w:id="94">
    <w:p w14:paraId="580DF682" w14:textId="39343058" w:rsidR="00EE244C" w:rsidRDefault="00EE244C">
      <w:pPr>
        <w:pStyle w:val="FootnoteText"/>
      </w:pPr>
      <w:r>
        <w:rPr>
          <w:rStyle w:val="FootnoteReference"/>
        </w:rPr>
        <w:footnoteRef/>
      </w:r>
      <w:r>
        <w:t xml:space="preserve"> </w:t>
      </w:r>
      <w:r>
        <w:tab/>
        <w:t xml:space="preserve">See footnote </w:t>
      </w:r>
      <w:r w:rsidR="00690808">
        <w:fldChar w:fldCharType="begin"/>
      </w:r>
      <w:r w:rsidR="00690808">
        <w:instrText xml:space="preserve"> NOTEREF _Ref112583396 \h </w:instrText>
      </w:r>
      <w:r w:rsidR="00690808">
        <w:fldChar w:fldCharType="separate"/>
      </w:r>
      <w:r w:rsidR="00CF093C">
        <w:t>88</w:t>
      </w:r>
      <w:r w:rsidR="00690808">
        <w:fldChar w:fldCharType="end"/>
      </w:r>
      <w:r>
        <w:t>.</w:t>
      </w:r>
    </w:p>
  </w:footnote>
  <w:footnote w:id="95">
    <w:p w14:paraId="725CF34B" w14:textId="5F7FF293" w:rsidR="0017091B" w:rsidRDefault="0017091B">
      <w:pPr>
        <w:pStyle w:val="FootnoteText"/>
      </w:pPr>
      <w:r>
        <w:rPr>
          <w:rStyle w:val="FootnoteReference"/>
        </w:rPr>
        <w:footnoteRef/>
      </w:r>
      <w:r>
        <w:t xml:space="preserve"> </w:t>
      </w:r>
      <w:r>
        <w:tab/>
      </w:r>
      <w:r w:rsidR="00267EE2">
        <w:t>The Judicial College of Victoria, although not independent of the courts in terms of governance, appears well</w:t>
      </w:r>
      <w:r w:rsidR="00267EE2">
        <w:noBreakHyphen/>
        <w:t>equipped to provide or organise the provision of such training and should be considered an appropriate provider.</w:t>
      </w:r>
    </w:p>
  </w:footnote>
  <w:footnote w:id="96">
    <w:p w14:paraId="3876FDED" w14:textId="0EB4D62A" w:rsidR="00A31951" w:rsidRDefault="00A31951">
      <w:pPr>
        <w:pStyle w:val="FootnoteText"/>
      </w:pPr>
      <w:r>
        <w:rPr>
          <w:rStyle w:val="FootnoteReference"/>
        </w:rPr>
        <w:footnoteRef/>
      </w:r>
      <w:r>
        <w:t xml:space="preserve"> </w:t>
      </w:r>
      <w:r>
        <w:tab/>
        <w:t xml:space="preserve">See footnote </w:t>
      </w:r>
      <w:r w:rsidR="00690808">
        <w:fldChar w:fldCharType="begin"/>
      </w:r>
      <w:r w:rsidR="00690808">
        <w:instrText xml:space="preserve"> NOTEREF _Ref112583396 \h </w:instrText>
      </w:r>
      <w:r w:rsidR="00690808">
        <w:fldChar w:fldCharType="separate"/>
      </w:r>
      <w:r w:rsidR="00CF093C">
        <w:t>88</w:t>
      </w:r>
      <w:r w:rsidR="00690808">
        <w:fldChar w:fldCharType="end"/>
      </w:r>
      <w:r>
        <w:t xml:space="preserve"> in relation to the Magistrates’ Court</w:t>
      </w:r>
      <w:r w:rsidR="001C543E">
        <w:t>.</w:t>
      </w:r>
    </w:p>
  </w:footnote>
  <w:footnote w:id="97">
    <w:p w14:paraId="6959DDEA" w14:textId="77777777" w:rsidR="00B80DCB" w:rsidRDefault="00B80DCB" w:rsidP="00B80DCB">
      <w:pPr>
        <w:pStyle w:val="FootnoteText"/>
      </w:pPr>
      <w:r>
        <w:rPr>
          <w:rStyle w:val="FootnoteReference"/>
        </w:rPr>
        <w:footnoteRef/>
      </w:r>
      <w:r>
        <w:t xml:space="preserve"> </w:t>
      </w:r>
      <w:r>
        <w:tab/>
      </w:r>
      <w:r w:rsidRPr="00073F4B">
        <w:t>Where two or three “staff judges” are appointed, they should preferably comprise both male and female judicial officers.</w:t>
      </w:r>
    </w:p>
  </w:footnote>
  <w:footnote w:id="98">
    <w:p w14:paraId="486A4D59" w14:textId="77777777" w:rsidR="0026486A" w:rsidRDefault="0026486A" w:rsidP="0026486A">
      <w:pPr>
        <w:pStyle w:val="FootnoteText"/>
      </w:pPr>
      <w:r>
        <w:rPr>
          <w:rStyle w:val="FootnoteReference"/>
        </w:rPr>
        <w:footnoteRef/>
      </w:r>
      <w:r>
        <w:t xml:space="preserve"> </w:t>
      </w:r>
      <w:r>
        <w:tab/>
        <w:t xml:space="preserve">We have concluded that tipstaves are not an </w:t>
      </w:r>
      <w:proofErr w:type="gramStart"/>
      <w:r>
        <w:t>at risk</w:t>
      </w:r>
      <w:proofErr w:type="gramEnd"/>
      <w:r>
        <w:t xml:space="preserve"> group for sexual harassment, but it is desirable that all chambers staff be introduced to a staff judge on commencing employment.</w:t>
      </w:r>
    </w:p>
  </w:footnote>
  <w:footnote w:id="99">
    <w:p w14:paraId="3E45839E" w14:textId="5F86D947" w:rsidR="00EA674E" w:rsidRDefault="00EA674E">
      <w:pPr>
        <w:pStyle w:val="FootnoteText"/>
      </w:pPr>
      <w:r>
        <w:rPr>
          <w:rStyle w:val="FootnoteReference"/>
        </w:rPr>
        <w:footnoteRef/>
      </w:r>
      <w:r>
        <w:t xml:space="preserve"> </w:t>
      </w:r>
      <w:r>
        <w:tab/>
        <w:t>P</w:t>
      </w:r>
      <w:r w:rsidRPr="00180FBB">
        <w:t xml:space="preserve">articularly the Judicial Commission’s </w:t>
      </w:r>
      <w:r w:rsidRPr="00180FBB">
        <w:rPr>
          <w:i/>
          <w:iCs/>
        </w:rPr>
        <w:t>Judicial Conduct Guideline: Sexual Harassment</w:t>
      </w:r>
      <w:r w:rsidRPr="00180FBB">
        <w:t xml:space="preserve"> published in February 2022.</w:t>
      </w:r>
    </w:p>
  </w:footnote>
  <w:footnote w:id="100">
    <w:p w14:paraId="4D564D39" w14:textId="6300E638" w:rsidR="00D811F1" w:rsidRDefault="00D811F1">
      <w:pPr>
        <w:pStyle w:val="FootnoteText"/>
      </w:pPr>
      <w:r>
        <w:rPr>
          <w:rStyle w:val="FootnoteReference"/>
        </w:rPr>
        <w:footnoteRef/>
      </w:r>
      <w:r>
        <w:t xml:space="preserve"> </w:t>
      </w:r>
      <w:r>
        <w:tab/>
        <w:t>or other suitable senior CSV-employee in the Court’s administration.</w:t>
      </w:r>
    </w:p>
  </w:footnote>
  <w:footnote w:id="101">
    <w:p w14:paraId="712E071B" w14:textId="0E887EBD" w:rsidR="009453E7" w:rsidRDefault="009453E7">
      <w:pPr>
        <w:pStyle w:val="FootnoteText"/>
      </w:pPr>
      <w:r>
        <w:rPr>
          <w:rStyle w:val="FootnoteReference"/>
        </w:rPr>
        <w:footnoteRef/>
      </w:r>
      <w:r>
        <w:t xml:space="preserve"> </w:t>
      </w:r>
      <w:r>
        <w:tab/>
      </w:r>
      <w:r w:rsidR="00142749">
        <w:t>W</w:t>
      </w:r>
      <w:r w:rsidRPr="009453E7">
        <w:t xml:space="preserve">hile complying to the extent possible with </w:t>
      </w:r>
      <w:r>
        <w:t xml:space="preserve">any </w:t>
      </w:r>
      <w:r w:rsidRPr="009453E7">
        <w:t xml:space="preserve">complainant’s </w:t>
      </w:r>
      <w:r w:rsidR="00D651EB">
        <w:t xml:space="preserve">preference </w:t>
      </w:r>
      <w:r w:rsidRPr="009453E7">
        <w:t>that the matter be kept confidential</w:t>
      </w:r>
      <w:r w:rsidR="00D651EB">
        <w:t>.</w:t>
      </w:r>
    </w:p>
  </w:footnote>
  <w:footnote w:id="102">
    <w:p w14:paraId="205D4BD2" w14:textId="46114437" w:rsidR="005B038A" w:rsidRPr="00CA0C78" w:rsidRDefault="005B038A" w:rsidP="005B038A">
      <w:pPr>
        <w:pStyle w:val="FootnoteText"/>
        <w:rPr>
          <w:rFonts w:ascii="Times New Roman" w:hAnsi="Times New Roman" w:cs="Times New Roman"/>
          <w:lang w:val="en-US"/>
        </w:rPr>
      </w:pPr>
      <w:r w:rsidRPr="00CA0C78">
        <w:rPr>
          <w:rStyle w:val="FootnoteReference"/>
          <w:rFonts w:ascii="Times New Roman" w:hAnsi="Times New Roman" w:cs="Times New Roman"/>
        </w:rPr>
        <w:footnoteRef/>
      </w:r>
      <w:r w:rsidRPr="00CA0C78">
        <w:rPr>
          <w:rFonts w:ascii="Times New Roman" w:hAnsi="Times New Roman" w:cs="Times New Roman"/>
        </w:rPr>
        <w:t xml:space="preserve"> </w:t>
      </w:r>
      <w:r w:rsidR="00EA4E9B">
        <w:rPr>
          <w:rFonts w:ascii="Times New Roman" w:hAnsi="Times New Roman" w:cs="Times New Roman"/>
        </w:rPr>
        <w:tab/>
      </w:r>
      <w:r w:rsidRPr="00CA0C78">
        <w:rPr>
          <w:rFonts w:ascii="Times New Roman" w:hAnsi="Times New Roman" w:cs="Times New Roman"/>
        </w:rPr>
        <w:t>See https://www.supremecourt.vic.gov.au/news/statement-from-anne-ferguson-chief-justice-of-the-supreme-court-of-victoria.</w:t>
      </w:r>
    </w:p>
  </w:footnote>
  <w:footnote w:id="103">
    <w:p w14:paraId="70BBC4AF" w14:textId="77777777" w:rsidR="00355FFB" w:rsidRPr="00CA0C78" w:rsidRDefault="00355FFB" w:rsidP="00355FFB">
      <w:pPr>
        <w:pStyle w:val="FootnoteText"/>
        <w:rPr>
          <w:rFonts w:ascii="Times New Roman" w:hAnsi="Times New Roman" w:cs="Times New Roman"/>
          <w:lang w:val="en-US"/>
        </w:rPr>
      </w:pPr>
      <w:r w:rsidRPr="00CA0C78">
        <w:rPr>
          <w:rStyle w:val="FootnoteReference"/>
          <w:rFonts w:ascii="Times New Roman" w:hAnsi="Times New Roman" w:cs="Times New Roman"/>
        </w:rPr>
        <w:footnoteRef/>
      </w:r>
      <w:r w:rsidRPr="00CA0C78">
        <w:rPr>
          <w:rFonts w:ascii="Times New Roman" w:hAnsi="Times New Roman" w:cs="Times New Roman"/>
        </w:rPr>
        <w:t xml:space="preserve"> </w:t>
      </w:r>
      <w:r>
        <w:rPr>
          <w:rFonts w:ascii="Times New Roman" w:hAnsi="Times New Roman" w:cs="Times New Roman"/>
        </w:rPr>
        <w:tab/>
      </w:r>
      <w:r w:rsidRPr="00CA0C78">
        <w:rPr>
          <w:rFonts w:ascii="Times New Roman" w:hAnsi="Times New Roman" w:cs="Times New Roman"/>
          <w:lang w:val="en-US"/>
        </w:rPr>
        <w:t xml:space="preserve">An exception being the power of the Chief Justice to require a judicial officer to participate in professional development or continuing education and training: </w:t>
      </w:r>
      <w:r w:rsidRPr="00CA0C78">
        <w:rPr>
          <w:rFonts w:ascii="Times New Roman" w:hAnsi="Times New Roman" w:cs="Times New Roman"/>
          <w:i/>
          <w:iCs/>
          <w:lang w:val="en-US"/>
        </w:rPr>
        <w:t>Supreme Court Act 1986</w:t>
      </w:r>
      <w:r w:rsidRPr="00CA0C78">
        <w:rPr>
          <w:rFonts w:ascii="Times New Roman" w:hAnsi="Times New Roman" w:cs="Times New Roman"/>
          <w:lang w:val="en-US"/>
        </w:rPr>
        <w:t xml:space="preserve"> s 28</w:t>
      </w:r>
      <w:proofErr w:type="gramStart"/>
      <w:r w:rsidRPr="00CA0C78">
        <w:rPr>
          <w:rFonts w:ascii="Times New Roman" w:hAnsi="Times New Roman" w:cs="Times New Roman"/>
          <w:lang w:val="en-US"/>
        </w:rPr>
        <w:t>A(</w:t>
      </w:r>
      <w:proofErr w:type="gramEnd"/>
      <w:r w:rsidRPr="00CA0C78">
        <w:rPr>
          <w:rFonts w:ascii="Times New Roman" w:hAnsi="Times New Roman" w:cs="Times New Roman"/>
          <w:lang w:val="en-US"/>
        </w:rPr>
        <w:t>3)</w:t>
      </w:r>
      <w:r>
        <w:rPr>
          <w:rFonts w:ascii="Times New Roman" w:hAnsi="Times New Roman" w:cs="Times New Roman"/>
          <w:lang w:val="en-US"/>
        </w:rPr>
        <w:t xml:space="preserve">.  </w:t>
      </w:r>
      <w:r w:rsidRPr="00CA0C78">
        <w:rPr>
          <w:rFonts w:ascii="Times New Roman" w:hAnsi="Times New Roman" w:cs="Times New Roman"/>
          <w:lang w:val="en-US"/>
        </w:rPr>
        <w:t xml:space="preserve">See also </w:t>
      </w:r>
      <w:r w:rsidRPr="00CA0C78">
        <w:rPr>
          <w:rFonts w:ascii="Times New Roman" w:hAnsi="Times New Roman" w:cs="Times New Roman"/>
          <w:i/>
          <w:iCs/>
          <w:lang w:val="en-US"/>
        </w:rPr>
        <w:t>County Court Act 1958</w:t>
      </w:r>
      <w:r w:rsidRPr="00CA0C78">
        <w:rPr>
          <w:rFonts w:ascii="Times New Roman" w:hAnsi="Times New Roman" w:cs="Times New Roman"/>
          <w:lang w:val="en-US"/>
        </w:rPr>
        <w:t xml:space="preserve"> s 17AAA</w:t>
      </w:r>
      <w:r>
        <w:rPr>
          <w:rFonts w:ascii="Times New Roman" w:hAnsi="Times New Roman" w:cs="Times New Roman"/>
          <w:lang w:val="en-US"/>
        </w:rPr>
        <w:t xml:space="preserve">.  </w:t>
      </w:r>
    </w:p>
  </w:footnote>
  <w:footnote w:id="104">
    <w:p w14:paraId="23F8ABB1" w14:textId="0BEB5BE8" w:rsidR="0019206F" w:rsidRPr="00CA39FD" w:rsidRDefault="0019206F" w:rsidP="0019206F">
      <w:pPr>
        <w:pStyle w:val="FootnoteText"/>
        <w:rPr>
          <w:lang w:val="en-US"/>
        </w:rPr>
      </w:pPr>
      <w:r>
        <w:rPr>
          <w:rStyle w:val="FootnoteReference"/>
        </w:rPr>
        <w:footnoteRef/>
      </w:r>
      <w:r>
        <w:t xml:space="preserve"> </w:t>
      </w:r>
      <w:r w:rsidR="00576A4E">
        <w:tab/>
      </w:r>
      <w:r>
        <w:rPr>
          <w:lang w:val="en-US"/>
        </w:rPr>
        <w:t xml:space="preserve">See, </w:t>
      </w:r>
      <w:proofErr w:type="spellStart"/>
      <w:r>
        <w:rPr>
          <w:lang w:val="en-US"/>
        </w:rPr>
        <w:t>eg</w:t>
      </w:r>
      <w:proofErr w:type="spellEnd"/>
      <w:r>
        <w:rPr>
          <w:lang w:val="en-US"/>
        </w:rPr>
        <w:t xml:space="preserve">, </w:t>
      </w:r>
      <w:r>
        <w:rPr>
          <w:i/>
          <w:iCs/>
          <w:lang w:val="en-US"/>
        </w:rPr>
        <w:t>Supreme Court Act 1986</w:t>
      </w:r>
      <w:r>
        <w:rPr>
          <w:lang w:val="en-US"/>
        </w:rPr>
        <w:t xml:space="preserve"> s 28</w:t>
      </w:r>
      <w:proofErr w:type="gramStart"/>
      <w:r>
        <w:rPr>
          <w:lang w:val="en-US"/>
        </w:rPr>
        <w:t>A(</w:t>
      </w:r>
      <w:proofErr w:type="gramEnd"/>
      <w:r>
        <w:rPr>
          <w:lang w:val="en-US"/>
        </w:rPr>
        <w:t>3).</w:t>
      </w:r>
    </w:p>
  </w:footnote>
  <w:footnote w:id="105">
    <w:p w14:paraId="3362AA89" w14:textId="77777777" w:rsidR="00F25453" w:rsidRDefault="00F25453" w:rsidP="00F25453">
      <w:pPr>
        <w:pStyle w:val="FootnoteText"/>
      </w:pPr>
      <w:r>
        <w:rPr>
          <w:rStyle w:val="FootnoteReference"/>
        </w:rPr>
        <w:footnoteRef/>
      </w:r>
      <w:r>
        <w:t xml:space="preserve"> </w:t>
      </w:r>
      <w:r>
        <w:tab/>
        <w:t xml:space="preserve">Who are to work in a primary relationship with a judicial officer, or in a role in which they will have regular contact with judicial officers (for example, researchers, trainee court registrars and member </w:t>
      </w:r>
      <w:proofErr w:type="gramStart"/>
      <w:r>
        <w:t>support officers).</w:t>
      </w:r>
      <w:proofErr w:type="gramEnd"/>
    </w:p>
  </w:footnote>
  <w:footnote w:id="106">
    <w:p w14:paraId="53499FFF" w14:textId="202FEB06" w:rsidR="007C762A" w:rsidRDefault="007C762A">
      <w:pPr>
        <w:pStyle w:val="FootnoteText"/>
      </w:pPr>
      <w:r>
        <w:rPr>
          <w:rStyle w:val="FootnoteReference"/>
        </w:rPr>
        <w:footnoteRef/>
      </w:r>
      <w:r>
        <w:t xml:space="preserve"> </w:t>
      </w:r>
      <w:r>
        <w:tab/>
      </w:r>
      <w:r w:rsidR="007A711D">
        <w:rPr>
          <w:lang w:val="en-US"/>
        </w:rPr>
        <w:t>However, we understand that the findings against Justice Vickery had not yet been made public at the time of the associate’s induction.</w:t>
      </w:r>
    </w:p>
  </w:footnote>
  <w:footnote w:id="107">
    <w:p w14:paraId="5E7CBD95" w14:textId="0B4EDD75" w:rsidR="003E2238" w:rsidRDefault="003E2238">
      <w:pPr>
        <w:pStyle w:val="FootnoteText"/>
      </w:pPr>
      <w:r>
        <w:rPr>
          <w:rStyle w:val="FootnoteReference"/>
        </w:rPr>
        <w:footnoteRef/>
      </w:r>
      <w:r>
        <w:t xml:space="preserve"> </w:t>
      </w:r>
      <w:r>
        <w:tab/>
      </w:r>
      <w:r w:rsidR="004B0C74">
        <w:rPr>
          <w:lang w:val="en-US"/>
        </w:rPr>
        <w:t xml:space="preserve">The slides of the presentation by Divisional Lawyers which we reviewed had been prepared prior to the implementation of the 2022 CSV policies.  The induction process should, as noted above, now include reference to </w:t>
      </w:r>
      <w:proofErr w:type="gramStart"/>
      <w:r w:rsidR="004B0C74">
        <w:rPr>
          <w:lang w:val="en-US"/>
        </w:rPr>
        <w:t>all of</w:t>
      </w:r>
      <w:proofErr w:type="gramEnd"/>
      <w:r w:rsidR="004B0C74">
        <w:rPr>
          <w:lang w:val="en-US"/>
        </w:rPr>
        <w:t xml:space="preserve"> those 2022 policies, particularly the “Resolution procedure — Inappropriate workplace behaviours”.</w:t>
      </w:r>
    </w:p>
  </w:footnote>
  <w:footnote w:id="108">
    <w:p w14:paraId="42B01ADF" w14:textId="7B66E256" w:rsidR="00DE4503" w:rsidRDefault="00DE4503">
      <w:pPr>
        <w:pStyle w:val="FootnoteText"/>
      </w:pPr>
      <w:r>
        <w:rPr>
          <w:rStyle w:val="FootnoteReference"/>
        </w:rPr>
        <w:footnoteRef/>
      </w:r>
      <w:r>
        <w:t xml:space="preserve"> </w:t>
      </w:r>
      <w:r>
        <w:tab/>
        <w:t>We note that at the time of completion of this report, a peer support program was being introduced, designed “to help create a safe and supportive workplace”</w:t>
      </w:r>
      <w:r w:rsidR="003640A3">
        <w:t>: see above at [</w:t>
      </w:r>
      <w:r w:rsidR="003640A3">
        <w:fldChar w:fldCharType="begin"/>
      </w:r>
      <w:r w:rsidR="003640A3">
        <w:instrText xml:space="preserve"> REF _Ref110931695 \r \h </w:instrText>
      </w:r>
      <w:r w:rsidR="003640A3">
        <w:fldChar w:fldCharType="separate"/>
      </w:r>
      <w:r w:rsidR="00CF093C">
        <w:t>387</w:t>
      </w:r>
      <w:r w:rsidR="003640A3">
        <w:fldChar w:fldCharType="end"/>
      </w:r>
      <w:r w:rsidR="003640A3">
        <w:t>]</w:t>
      </w:r>
      <w:r>
        <w:t>.</w:t>
      </w:r>
    </w:p>
  </w:footnote>
  <w:footnote w:id="109">
    <w:p w14:paraId="26A19695" w14:textId="7CFDA7C7" w:rsidR="00D63AC3" w:rsidRDefault="00D63AC3">
      <w:pPr>
        <w:pStyle w:val="FootnoteText"/>
      </w:pPr>
      <w:r>
        <w:rPr>
          <w:rStyle w:val="FootnoteReference"/>
        </w:rPr>
        <w:footnoteRef/>
      </w:r>
      <w:r>
        <w:t xml:space="preserve"> </w:t>
      </w:r>
      <w:r>
        <w:tab/>
        <w:t>For example, a judicial services manager in the Supreme and County Courts, or senior officer in the Registry in other courts or VCAT.</w:t>
      </w:r>
    </w:p>
  </w:footnote>
  <w:footnote w:id="110">
    <w:p w14:paraId="65C65791" w14:textId="4D798E08" w:rsidR="00985CFF" w:rsidRDefault="00985CFF">
      <w:pPr>
        <w:pStyle w:val="FootnoteText"/>
      </w:pPr>
      <w:r>
        <w:rPr>
          <w:rStyle w:val="FootnoteReference"/>
        </w:rPr>
        <w:footnoteRef/>
      </w:r>
      <w:r>
        <w:t xml:space="preserve"> </w:t>
      </w:r>
      <w:r>
        <w:tab/>
        <w:t>We were informed that as at the date of completion of this report, a dedicated sexual harassment survey has been sent to all CSV staff, judicial officers and VCAT members</w:t>
      </w:r>
      <w:r w:rsidR="008F5327">
        <w:t>.</w:t>
      </w:r>
    </w:p>
  </w:footnote>
  <w:footnote w:id="111">
    <w:p w14:paraId="611E0279" w14:textId="74F9E695" w:rsidR="008F5327" w:rsidRDefault="008F5327">
      <w:pPr>
        <w:pStyle w:val="FootnoteText"/>
      </w:pPr>
      <w:r>
        <w:rPr>
          <w:rStyle w:val="FootnoteReference"/>
        </w:rPr>
        <w:footnoteRef/>
      </w:r>
      <w:r>
        <w:t xml:space="preserve"> </w:t>
      </w:r>
      <w:r>
        <w:tab/>
      </w:r>
      <w:r w:rsidR="00227CA3">
        <w:t xml:space="preserve">While </w:t>
      </w:r>
      <w:r w:rsidR="00C3047B">
        <w:t>we recognise that it might be possible</w:t>
      </w:r>
      <w:r w:rsidR="00A778CD">
        <w:t xml:space="preserve"> to identify the complainant if the judicial officer is identified</w:t>
      </w:r>
      <w:r w:rsidR="003705A3">
        <w:t>,</w:t>
      </w:r>
      <w:r w:rsidR="00A778CD">
        <w:t xml:space="preserve"> in the context of securely held records</w:t>
      </w:r>
      <w:r w:rsidR="00297A9E">
        <w:t xml:space="preserve"> there is significantly less risk that details which may lead to the identification of a complainant will be disseminated.</w:t>
      </w:r>
    </w:p>
  </w:footnote>
  <w:footnote w:id="112">
    <w:p w14:paraId="6AED309D" w14:textId="6D183E55" w:rsidR="005B038A" w:rsidRPr="00B31A02" w:rsidRDefault="005B038A" w:rsidP="005B038A">
      <w:pPr>
        <w:pStyle w:val="FootnoteText"/>
        <w:rPr>
          <w:rFonts w:ascii="Times New Roman" w:hAnsi="Times New Roman" w:cs="Times New Roman"/>
          <w:lang w:val="en-US"/>
        </w:rPr>
      </w:pPr>
      <w:r w:rsidRPr="00B31A02">
        <w:rPr>
          <w:rStyle w:val="FootnoteReference"/>
          <w:rFonts w:ascii="Times New Roman" w:hAnsi="Times New Roman" w:cs="Times New Roman"/>
        </w:rPr>
        <w:footnoteRef/>
      </w:r>
      <w:r w:rsidRPr="00B31A02">
        <w:rPr>
          <w:rFonts w:ascii="Times New Roman" w:hAnsi="Times New Roman" w:cs="Times New Roman"/>
        </w:rPr>
        <w:t xml:space="preserve"> </w:t>
      </w:r>
      <w:r w:rsidR="005A0F87">
        <w:rPr>
          <w:rFonts w:ascii="Times New Roman" w:hAnsi="Times New Roman" w:cs="Times New Roman"/>
        </w:rPr>
        <w:tab/>
      </w:r>
      <w:r w:rsidRPr="00B31A02">
        <w:rPr>
          <w:rFonts w:ascii="Times New Roman" w:hAnsi="Times New Roman" w:cs="Times New Roman"/>
          <w:lang w:val="en-US"/>
        </w:rPr>
        <w:t xml:space="preserve">These issues were canvassed in the 2008 publication of the Australian Human Rights Commission’s </w:t>
      </w:r>
      <w:r w:rsidRPr="00B31A02">
        <w:rPr>
          <w:rFonts w:ascii="Times New Roman" w:hAnsi="Times New Roman" w:cs="Times New Roman"/>
          <w:i/>
          <w:iCs/>
          <w:lang w:val="en-US"/>
        </w:rPr>
        <w:t>Effectively Preventing and Responding to Sexual Harassment: A Code of Practice for Employers</w:t>
      </w:r>
      <w:r w:rsidRPr="00B31A02">
        <w:rPr>
          <w:rFonts w:ascii="Times New Roman" w:hAnsi="Times New Roman" w:cs="Times New Roman"/>
          <w:lang w:val="en-US"/>
        </w:rPr>
        <w:t xml:space="preserve"> at Chapter 9: </w:t>
      </w:r>
      <w:hyperlink r:id="rId3" w:history="1">
        <w:r w:rsidRPr="00B31A02">
          <w:rPr>
            <w:rStyle w:val="Hyperlink"/>
            <w:rFonts w:ascii="Times New Roman" w:hAnsi="Times New Roman" w:cs="Times New Roman"/>
            <w:lang w:val="en-US"/>
          </w:rPr>
          <w:t>https://humanrights.gov.au/our-work/chapter-9-record-keeping-effectively-preventing-and-responding-sexual-harassment-code</w:t>
        </w:r>
      </w:hyperlink>
      <w:r>
        <w:rPr>
          <w:rFonts w:ascii="Times New Roman" w:hAnsi="Times New Roman" w:cs="Times New Roman"/>
          <w:lang w:val="en-US"/>
        </w:rPr>
        <w:t xml:space="preserve">.  </w:t>
      </w:r>
      <w:r w:rsidRPr="00B31A02">
        <w:rPr>
          <w:rFonts w:ascii="Times New Roman" w:hAnsi="Times New Roman" w:cs="Times New Roman"/>
          <w:lang w:val="en-US"/>
        </w:rPr>
        <w:t>That publication concluded that “[r]</w:t>
      </w:r>
      <w:proofErr w:type="spellStart"/>
      <w:r w:rsidRPr="00B31A02">
        <w:rPr>
          <w:rFonts w:ascii="Times New Roman" w:hAnsi="Times New Roman" w:cs="Times New Roman"/>
          <w:lang w:val="en-US"/>
        </w:rPr>
        <w:t>ecording</w:t>
      </w:r>
      <w:proofErr w:type="spellEnd"/>
      <w:r w:rsidRPr="00B31A02">
        <w:rPr>
          <w:rFonts w:ascii="Times New Roman" w:hAnsi="Times New Roman" w:cs="Times New Roman"/>
          <w:lang w:val="en-US"/>
        </w:rPr>
        <w:t xml:space="preserve"> the name of the individual who has been harassed should be optional”, and that “the name of the alleged harasser should not be recorded … but the </w:t>
      </w:r>
      <w:proofErr w:type="gramStart"/>
      <w:r w:rsidRPr="00B31A02">
        <w:rPr>
          <w:rFonts w:ascii="Times New Roman" w:hAnsi="Times New Roman" w:cs="Times New Roman"/>
          <w:lang w:val="en-US"/>
        </w:rPr>
        <w:t>particular department</w:t>
      </w:r>
      <w:proofErr w:type="gramEnd"/>
      <w:r w:rsidRPr="00B31A02">
        <w:rPr>
          <w:rFonts w:ascii="Times New Roman" w:hAnsi="Times New Roman" w:cs="Times New Roman"/>
          <w:lang w:val="en-US"/>
        </w:rPr>
        <w:t xml:space="preserve"> or section where the incident occurred should be noted for monitoring purposes”: at Chapter 9.3.</w:t>
      </w:r>
    </w:p>
  </w:footnote>
  <w:footnote w:id="113">
    <w:p w14:paraId="1EA14CF3" w14:textId="2E902448" w:rsidR="002D635C" w:rsidRDefault="002D635C">
      <w:pPr>
        <w:pStyle w:val="FootnoteText"/>
      </w:pPr>
      <w:r>
        <w:rPr>
          <w:rStyle w:val="FootnoteReference"/>
        </w:rPr>
        <w:footnoteRef/>
      </w:r>
      <w:r>
        <w:t xml:space="preserve"> </w:t>
      </w:r>
      <w:r w:rsidR="006853CF">
        <w:tab/>
        <w:t xml:space="preserve">While it is difficult to be prescriptive if the complainant objects to that course, </w:t>
      </w:r>
      <w:r w:rsidR="00D177E6">
        <w:t>and no apparent risk is posed to the health and safety of any person, we consider that it would be appropriate to comply with the complainant’s wishes.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E01" w14:textId="77777777" w:rsidR="0088791F" w:rsidRDefault="0088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091E" w14:textId="77777777" w:rsidR="0088791F" w:rsidRDefault="0088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DCD3" w14:textId="77777777" w:rsidR="0088791F" w:rsidRDefault="00887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B3F6" w14:textId="133385DF" w:rsidR="00B86517" w:rsidRDefault="00B865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C56D" w14:textId="0FCD8C92" w:rsidR="001E4CEC" w:rsidRPr="001616BC" w:rsidRDefault="001E4CEC" w:rsidP="001616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8326" w14:textId="7B194330" w:rsidR="00B86517" w:rsidRDefault="00B865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6AF1" w14:textId="2AA04315" w:rsidR="00B86517" w:rsidRDefault="00B865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B4B3" w14:textId="34CEF07B" w:rsidR="00F873AD" w:rsidRPr="001616BC" w:rsidRDefault="00F873AD" w:rsidP="001616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717D" w14:textId="2B605B6E" w:rsidR="005D46EE" w:rsidRDefault="005D46EE" w:rsidP="005D46EE">
    <w:pPr>
      <w:pStyle w:val="Header"/>
      <w:jc w:val="right"/>
      <w:rPr>
        <w:i/>
        <w:iCs/>
        <w:sz w:val="18"/>
        <w:szCs w:val="18"/>
      </w:rPr>
    </w:pPr>
    <w:r>
      <w:rPr>
        <w:i/>
        <w:iCs/>
        <w:sz w:val="18"/>
        <w:szCs w:val="18"/>
      </w:rPr>
      <w:t>Strictly 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276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A4F9D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A30DDE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83201A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6666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AA0181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2166A0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A8299D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43034BA"/>
    <w:multiLevelType w:val="hybridMultilevel"/>
    <w:tmpl w:val="F6D257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3FE0888"/>
    <w:multiLevelType w:val="hybridMultilevel"/>
    <w:tmpl w:val="F482B8D2"/>
    <w:lvl w:ilvl="0" w:tplc="0C090001">
      <w:start w:val="1"/>
      <w:numFmt w:val="bullet"/>
      <w:lvlText w:val=""/>
      <w:lvlJc w:val="left"/>
      <w:pPr>
        <w:ind w:left="1855" w:hanging="360"/>
      </w:pPr>
      <w:rPr>
        <w:rFonts w:ascii="Symbol" w:hAnsi="Symbol" w:hint="default"/>
      </w:rPr>
    </w:lvl>
    <w:lvl w:ilvl="1" w:tplc="0C090003">
      <w:start w:val="1"/>
      <w:numFmt w:val="bullet"/>
      <w:lvlText w:val="o"/>
      <w:lvlJc w:val="left"/>
      <w:pPr>
        <w:ind w:left="2575" w:hanging="360"/>
      </w:pPr>
      <w:rPr>
        <w:rFonts w:ascii="Courier New" w:hAnsi="Courier New" w:cs="Courier New" w:hint="default"/>
      </w:rPr>
    </w:lvl>
    <w:lvl w:ilvl="2" w:tplc="0C090005">
      <w:start w:val="1"/>
      <w:numFmt w:val="bullet"/>
      <w:lvlText w:val=""/>
      <w:lvlJc w:val="left"/>
      <w:pPr>
        <w:ind w:left="3295" w:hanging="360"/>
      </w:pPr>
      <w:rPr>
        <w:rFonts w:ascii="Wingdings" w:hAnsi="Wingdings" w:hint="default"/>
      </w:rPr>
    </w:lvl>
    <w:lvl w:ilvl="3" w:tplc="0C090001">
      <w:start w:val="1"/>
      <w:numFmt w:val="bullet"/>
      <w:lvlText w:val=""/>
      <w:lvlJc w:val="left"/>
      <w:pPr>
        <w:ind w:left="4015" w:hanging="360"/>
      </w:pPr>
      <w:rPr>
        <w:rFonts w:ascii="Symbol" w:hAnsi="Symbol" w:hint="default"/>
      </w:rPr>
    </w:lvl>
    <w:lvl w:ilvl="4" w:tplc="0C090003">
      <w:start w:val="1"/>
      <w:numFmt w:val="bullet"/>
      <w:lvlText w:val="o"/>
      <w:lvlJc w:val="left"/>
      <w:pPr>
        <w:ind w:left="4735" w:hanging="360"/>
      </w:pPr>
      <w:rPr>
        <w:rFonts w:ascii="Courier New" w:hAnsi="Courier New" w:cs="Courier New" w:hint="default"/>
      </w:rPr>
    </w:lvl>
    <w:lvl w:ilvl="5" w:tplc="0C090005">
      <w:start w:val="1"/>
      <w:numFmt w:val="bullet"/>
      <w:lvlText w:val=""/>
      <w:lvlJc w:val="left"/>
      <w:pPr>
        <w:ind w:left="5455" w:hanging="360"/>
      </w:pPr>
      <w:rPr>
        <w:rFonts w:ascii="Wingdings" w:hAnsi="Wingdings" w:hint="default"/>
      </w:rPr>
    </w:lvl>
    <w:lvl w:ilvl="6" w:tplc="0C090001">
      <w:start w:val="1"/>
      <w:numFmt w:val="bullet"/>
      <w:lvlText w:val=""/>
      <w:lvlJc w:val="left"/>
      <w:pPr>
        <w:ind w:left="6175" w:hanging="360"/>
      </w:pPr>
      <w:rPr>
        <w:rFonts w:ascii="Symbol" w:hAnsi="Symbol" w:hint="default"/>
      </w:rPr>
    </w:lvl>
    <w:lvl w:ilvl="7" w:tplc="0C090003">
      <w:start w:val="1"/>
      <w:numFmt w:val="bullet"/>
      <w:lvlText w:val="o"/>
      <w:lvlJc w:val="left"/>
      <w:pPr>
        <w:ind w:left="6895" w:hanging="360"/>
      </w:pPr>
      <w:rPr>
        <w:rFonts w:ascii="Courier New" w:hAnsi="Courier New" w:cs="Courier New" w:hint="default"/>
      </w:rPr>
    </w:lvl>
    <w:lvl w:ilvl="8" w:tplc="0C090005">
      <w:start w:val="1"/>
      <w:numFmt w:val="bullet"/>
      <w:lvlText w:val=""/>
      <w:lvlJc w:val="left"/>
      <w:pPr>
        <w:ind w:left="7615" w:hanging="360"/>
      </w:pPr>
      <w:rPr>
        <w:rFonts w:ascii="Wingdings" w:hAnsi="Wingdings" w:hint="default"/>
      </w:rPr>
    </w:lvl>
  </w:abstractNum>
  <w:abstractNum w:abstractNumId="10" w15:restartNumberingAfterBreak="0">
    <w:nsid w:val="298A4C75"/>
    <w:multiLevelType w:val="hybridMultilevel"/>
    <w:tmpl w:val="D09802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0FB39FD"/>
    <w:multiLevelType w:val="hybridMultilevel"/>
    <w:tmpl w:val="5FEEA998"/>
    <w:lvl w:ilvl="0" w:tplc="61C8BF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B737AE"/>
    <w:multiLevelType w:val="hybridMultilevel"/>
    <w:tmpl w:val="A95A76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5FD37467"/>
    <w:multiLevelType w:val="hybridMultilevel"/>
    <w:tmpl w:val="7ED427D0"/>
    <w:lvl w:ilvl="0" w:tplc="B33C94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CF3B65"/>
    <w:multiLevelType w:val="multilevel"/>
    <w:tmpl w:val="17547ACA"/>
    <w:lvl w:ilvl="0">
      <w:start w:val="1"/>
      <w:numFmt w:val="decimal"/>
      <w:pStyle w:val="Heading5"/>
      <w:lvlText w:val="%1"/>
      <w:lvlJc w:val="left"/>
      <w:pPr>
        <w:ind w:left="709" w:hanging="709"/>
      </w:pPr>
      <w:rPr>
        <w:rFonts w:hint="default"/>
      </w:rPr>
    </w:lvl>
    <w:lvl w:ilvl="1">
      <w:start w:val="1"/>
      <w:numFmt w:val="decimal"/>
      <w:pStyle w:val="ListNumber2"/>
      <w:lvlText w:val="%1.%2"/>
      <w:lvlJc w:val="left"/>
      <w:pPr>
        <w:ind w:left="1418" w:hanging="709"/>
      </w:pPr>
      <w:rPr>
        <w:rFonts w:hint="default"/>
      </w:rPr>
    </w:lvl>
    <w:lvl w:ilvl="2">
      <w:start w:val="1"/>
      <w:numFmt w:val="decimal"/>
      <w:pStyle w:val="ListNumber3"/>
      <w:lvlText w:val="%1.%2.%3"/>
      <w:lvlJc w:val="left"/>
      <w:pPr>
        <w:ind w:left="2127" w:hanging="709"/>
      </w:pPr>
      <w:rPr>
        <w:rFonts w:hint="default"/>
      </w:rPr>
    </w:lvl>
    <w:lvl w:ilvl="3">
      <w:start w:val="1"/>
      <w:numFmt w:val="none"/>
      <w:pStyle w:val="Heading4"/>
      <w:suff w:val="nothing"/>
      <w:lvlText w:val=""/>
      <w:lvlJc w:val="left"/>
      <w:pPr>
        <w:ind w:left="2836" w:hanging="709"/>
      </w:pPr>
      <w:rPr>
        <w:rFonts w:hint="default"/>
      </w:rPr>
    </w:lvl>
    <w:lvl w:ilvl="4">
      <w:start w:val="1"/>
      <w:numFmt w:val="none"/>
      <w:suff w:val="nothing"/>
      <w:lvlText w:val=""/>
      <w:lvlJc w:val="left"/>
      <w:pPr>
        <w:ind w:left="3545" w:hanging="709"/>
      </w:pPr>
      <w:rPr>
        <w:rFonts w:hint="default"/>
      </w:rPr>
    </w:lvl>
    <w:lvl w:ilvl="5">
      <w:start w:val="1"/>
      <w:numFmt w:val="none"/>
      <w:pStyle w:val="Heading6"/>
      <w:suff w:val="nothing"/>
      <w:lvlText w:val=""/>
      <w:lvlJc w:val="left"/>
      <w:pPr>
        <w:ind w:left="4254" w:hanging="709"/>
      </w:pPr>
      <w:rPr>
        <w:rFonts w:hint="default"/>
      </w:rPr>
    </w:lvl>
    <w:lvl w:ilvl="6">
      <w:start w:val="1"/>
      <w:numFmt w:val="none"/>
      <w:pStyle w:val="Heading7"/>
      <w:suff w:val="nothing"/>
      <w:lvlText w:val=""/>
      <w:lvlJc w:val="left"/>
      <w:pPr>
        <w:ind w:left="4963" w:hanging="709"/>
      </w:pPr>
      <w:rPr>
        <w:rFonts w:hint="default"/>
      </w:rPr>
    </w:lvl>
    <w:lvl w:ilvl="7">
      <w:start w:val="1"/>
      <w:numFmt w:val="none"/>
      <w:pStyle w:val="Heading8"/>
      <w:suff w:val="nothing"/>
      <w:lvlText w:val=""/>
      <w:lvlJc w:val="left"/>
      <w:pPr>
        <w:ind w:left="5672" w:hanging="709"/>
      </w:pPr>
      <w:rPr>
        <w:rFonts w:hint="default"/>
      </w:rPr>
    </w:lvl>
    <w:lvl w:ilvl="8">
      <w:start w:val="1"/>
      <w:numFmt w:val="none"/>
      <w:pStyle w:val="Heading9"/>
      <w:suff w:val="nothing"/>
      <w:lvlText w:val=""/>
      <w:lvlJc w:val="left"/>
      <w:pPr>
        <w:ind w:left="6381" w:hanging="709"/>
      </w:pPr>
      <w:rPr>
        <w:rFonts w:hint="default"/>
      </w:rPr>
    </w:lvl>
  </w:abstractNum>
  <w:abstractNum w:abstractNumId="15" w15:restartNumberingAfterBreak="0">
    <w:nsid w:val="64E7316D"/>
    <w:multiLevelType w:val="multilevel"/>
    <w:tmpl w:val="1722B11E"/>
    <w:lvl w:ilvl="0">
      <w:start w:val="1"/>
      <w:numFmt w:val="decimal"/>
      <w:pStyle w:val="ListParagraph"/>
      <w:lvlText w:val="%1."/>
      <w:lvlJc w:val="left"/>
      <w:pPr>
        <w:ind w:left="567" w:hanging="567"/>
      </w:pPr>
      <w:rPr>
        <w:rFonts w:ascii="Times New Roman" w:hAnsi="Times New Roman" w:hint="default"/>
        <w:sz w:val="22"/>
      </w:rPr>
    </w:lvl>
    <w:lvl w:ilvl="1">
      <w:start w:val="1"/>
      <w:numFmt w:val="lowerLetter"/>
      <w:pStyle w:val="List2"/>
      <w:lvlText w:val="(%2)"/>
      <w:lvlJc w:val="left"/>
      <w:pPr>
        <w:ind w:left="1134" w:hanging="567"/>
      </w:pPr>
      <w:rPr>
        <w:rFonts w:ascii="Times New Roman" w:hAnsi="Times New Roman" w:hint="default"/>
        <w:sz w:val="22"/>
      </w:rPr>
    </w:lvl>
    <w:lvl w:ilvl="2">
      <w:start w:val="1"/>
      <w:numFmt w:val="lowerRoman"/>
      <w:pStyle w:val="List3"/>
      <w:lvlText w:val="(%3)"/>
      <w:lvlJc w:val="left"/>
      <w:pPr>
        <w:ind w:left="1701" w:hanging="567"/>
      </w:pPr>
      <w:rPr>
        <w:rFonts w:ascii="Times New Roman" w:hAnsi="Times New Roman" w:hint="default"/>
        <w:sz w:val="22"/>
      </w:rPr>
    </w:lvl>
    <w:lvl w:ilvl="3">
      <w:start w:val="1"/>
      <w:numFmt w:val="decimal"/>
      <w:pStyle w:val="List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683C04C3"/>
    <w:multiLevelType w:val="hybridMultilevel"/>
    <w:tmpl w:val="C3062F70"/>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start w:val="1"/>
      <w:numFmt w:val="bullet"/>
      <w:lvlText w:val=""/>
      <w:lvlJc w:val="left"/>
      <w:pPr>
        <w:ind w:left="4581" w:hanging="360"/>
      </w:pPr>
      <w:rPr>
        <w:rFonts w:ascii="Symbol" w:hAnsi="Symbol" w:hint="default"/>
      </w:rPr>
    </w:lvl>
    <w:lvl w:ilvl="4" w:tplc="0C090003">
      <w:start w:val="1"/>
      <w:numFmt w:val="bullet"/>
      <w:lvlText w:val="o"/>
      <w:lvlJc w:val="left"/>
      <w:pPr>
        <w:ind w:left="5301" w:hanging="360"/>
      </w:pPr>
      <w:rPr>
        <w:rFonts w:ascii="Courier New" w:hAnsi="Courier New" w:cs="Courier New" w:hint="default"/>
      </w:rPr>
    </w:lvl>
    <w:lvl w:ilvl="5" w:tplc="0C090005">
      <w:start w:val="1"/>
      <w:numFmt w:val="bullet"/>
      <w:lvlText w:val=""/>
      <w:lvlJc w:val="left"/>
      <w:pPr>
        <w:ind w:left="6021" w:hanging="360"/>
      </w:pPr>
      <w:rPr>
        <w:rFonts w:ascii="Wingdings" w:hAnsi="Wingdings" w:hint="default"/>
      </w:rPr>
    </w:lvl>
    <w:lvl w:ilvl="6" w:tplc="0C090001">
      <w:start w:val="1"/>
      <w:numFmt w:val="bullet"/>
      <w:lvlText w:val=""/>
      <w:lvlJc w:val="left"/>
      <w:pPr>
        <w:ind w:left="6741" w:hanging="360"/>
      </w:pPr>
      <w:rPr>
        <w:rFonts w:ascii="Symbol" w:hAnsi="Symbol" w:hint="default"/>
      </w:rPr>
    </w:lvl>
    <w:lvl w:ilvl="7" w:tplc="0C090003">
      <w:start w:val="1"/>
      <w:numFmt w:val="bullet"/>
      <w:lvlText w:val="o"/>
      <w:lvlJc w:val="left"/>
      <w:pPr>
        <w:ind w:left="7461" w:hanging="360"/>
      </w:pPr>
      <w:rPr>
        <w:rFonts w:ascii="Courier New" w:hAnsi="Courier New" w:cs="Courier New" w:hint="default"/>
      </w:rPr>
    </w:lvl>
    <w:lvl w:ilvl="8" w:tplc="0C090005">
      <w:start w:val="1"/>
      <w:numFmt w:val="bullet"/>
      <w:lvlText w:val=""/>
      <w:lvlJc w:val="left"/>
      <w:pPr>
        <w:ind w:left="8181" w:hanging="360"/>
      </w:pPr>
      <w:rPr>
        <w:rFonts w:ascii="Wingdings" w:hAnsi="Wingdings" w:hint="default"/>
      </w:rPr>
    </w:lvl>
  </w:abstractNum>
  <w:abstractNum w:abstractNumId="17" w15:restartNumberingAfterBreak="0">
    <w:nsid w:val="79156612"/>
    <w:multiLevelType w:val="hybridMultilevel"/>
    <w:tmpl w:val="31BC671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9"/>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5"/>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3"/>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8"/>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o:colormru v:ext="edit" colors="#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03"/>
    <w:rsid w:val="00000911"/>
    <w:rsid w:val="00000D97"/>
    <w:rsid w:val="0000159B"/>
    <w:rsid w:val="000015FA"/>
    <w:rsid w:val="00001982"/>
    <w:rsid w:val="00003186"/>
    <w:rsid w:val="000034C1"/>
    <w:rsid w:val="00003B42"/>
    <w:rsid w:val="00004650"/>
    <w:rsid w:val="00005916"/>
    <w:rsid w:val="00005DB4"/>
    <w:rsid w:val="00005DB7"/>
    <w:rsid w:val="000064EF"/>
    <w:rsid w:val="000067A3"/>
    <w:rsid w:val="000074B5"/>
    <w:rsid w:val="00007DFC"/>
    <w:rsid w:val="00007EB8"/>
    <w:rsid w:val="00007F33"/>
    <w:rsid w:val="000101F7"/>
    <w:rsid w:val="00010635"/>
    <w:rsid w:val="000108F2"/>
    <w:rsid w:val="00010EC3"/>
    <w:rsid w:val="00011033"/>
    <w:rsid w:val="00011550"/>
    <w:rsid w:val="0001157A"/>
    <w:rsid w:val="00011BBF"/>
    <w:rsid w:val="00011CCD"/>
    <w:rsid w:val="00012334"/>
    <w:rsid w:val="000124AE"/>
    <w:rsid w:val="00012A72"/>
    <w:rsid w:val="00012C70"/>
    <w:rsid w:val="00012C96"/>
    <w:rsid w:val="00012D05"/>
    <w:rsid w:val="00012D9E"/>
    <w:rsid w:val="00012F2C"/>
    <w:rsid w:val="00013297"/>
    <w:rsid w:val="0001361B"/>
    <w:rsid w:val="00013739"/>
    <w:rsid w:val="000138C8"/>
    <w:rsid w:val="00014288"/>
    <w:rsid w:val="00014763"/>
    <w:rsid w:val="00014E8B"/>
    <w:rsid w:val="00014FA5"/>
    <w:rsid w:val="000156E4"/>
    <w:rsid w:val="000158ED"/>
    <w:rsid w:val="00016018"/>
    <w:rsid w:val="000162F4"/>
    <w:rsid w:val="000166B6"/>
    <w:rsid w:val="000169B4"/>
    <w:rsid w:val="00016C28"/>
    <w:rsid w:val="00016EA7"/>
    <w:rsid w:val="0001706E"/>
    <w:rsid w:val="00017074"/>
    <w:rsid w:val="000170F5"/>
    <w:rsid w:val="000171C5"/>
    <w:rsid w:val="00017A92"/>
    <w:rsid w:val="00020A98"/>
    <w:rsid w:val="00020B8C"/>
    <w:rsid w:val="00020E85"/>
    <w:rsid w:val="00021393"/>
    <w:rsid w:val="00021C6E"/>
    <w:rsid w:val="00021EAB"/>
    <w:rsid w:val="0002213A"/>
    <w:rsid w:val="0002278A"/>
    <w:rsid w:val="00022B7A"/>
    <w:rsid w:val="00022BE8"/>
    <w:rsid w:val="00023BBD"/>
    <w:rsid w:val="00023DB9"/>
    <w:rsid w:val="000246A3"/>
    <w:rsid w:val="00024D95"/>
    <w:rsid w:val="00025043"/>
    <w:rsid w:val="0002538C"/>
    <w:rsid w:val="0002563A"/>
    <w:rsid w:val="000259AD"/>
    <w:rsid w:val="000278D5"/>
    <w:rsid w:val="0003019F"/>
    <w:rsid w:val="000303BC"/>
    <w:rsid w:val="000309DD"/>
    <w:rsid w:val="000310C6"/>
    <w:rsid w:val="000315DA"/>
    <w:rsid w:val="0003184C"/>
    <w:rsid w:val="00032B0A"/>
    <w:rsid w:val="00033110"/>
    <w:rsid w:val="00033631"/>
    <w:rsid w:val="00034A80"/>
    <w:rsid w:val="00034AF2"/>
    <w:rsid w:val="00034CD9"/>
    <w:rsid w:val="00034F04"/>
    <w:rsid w:val="00035986"/>
    <w:rsid w:val="000359C3"/>
    <w:rsid w:val="00035CC3"/>
    <w:rsid w:val="00036013"/>
    <w:rsid w:val="00036955"/>
    <w:rsid w:val="000369D9"/>
    <w:rsid w:val="00036AAD"/>
    <w:rsid w:val="00036AD0"/>
    <w:rsid w:val="00036B2F"/>
    <w:rsid w:val="00036C43"/>
    <w:rsid w:val="00036ED7"/>
    <w:rsid w:val="00036F0D"/>
    <w:rsid w:val="000372A9"/>
    <w:rsid w:val="000401F9"/>
    <w:rsid w:val="000405F2"/>
    <w:rsid w:val="000406BF"/>
    <w:rsid w:val="00040EB7"/>
    <w:rsid w:val="00041C4A"/>
    <w:rsid w:val="000420E0"/>
    <w:rsid w:val="000425F8"/>
    <w:rsid w:val="00042EF4"/>
    <w:rsid w:val="0004343E"/>
    <w:rsid w:val="00044122"/>
    <w:rsid w:val="0004466F"/>
    <w:rsid w:val="00044BF5"/>
    <w:rsid w:val="00044E23"/>
    <w:rsid w:val="00044E5F"/>
    <w:rsid w:val="0004521F"/>
    <w:rsid w:val="00045780"/>
    <w:rsid w:val="00045BAD"/>
    <w:rsid w:val="00045F5B"/>
    <w:rsid w:val="0004610D"/>
    <w:rsid w:val="0004642C"/>
    <w:rsid w:val="00046505"/>
    <w:rsid w:val="00046723"/>
    <w:rsid w:val="00047677"/>
    <w:rsid w:val="000479CE"/>
    <w:rsid w:val="00047BA6"/>
    <w:rsid w:val="00050016"/>
    <w:rsid w:val="00050273"/>
    <w:rsid w:val="000502C7"/>
    <w:rsid w:val="0005045F"/>
    <w:rsid w:val="00050522"/>
    <w:rsid w:val="00050640"/>
    <w:rsid w:val="00050648"/>
    <w:rsid w:val="00050725"/>
    <w:rsid w:val="00050782"/>
    <w:rsid w:val="000513B8"/>
    <w:rsid w:val="0005171A"/>
    <w:rsid w:val="000519C1"/>
    <w:rsid w:val="00052386"/>
    <w:rsid w:val="00052B84"/>
    <w:rsid w:val="000534DA"/>
    <w:rsid w:val="000536C9"/>
    <w:rsid w:val="00053ED5"/>
    <w:rsid w:val="000542A1"/>
    <w:rsid w:val="00054ABE"/>
    <w:rsid w:val="00055016"/>
    <w:rsid w:val="00055D12"/>
    <w:rsid w:val="00056302"/>
    <w:rsid w:val="00056C2F"/>
    <w:rsid w:val="0005763A"/>
    <w:rsid w:val="000579B7"/>
    <w:rsid w:val="00057B64"/>
    <w:rsid w:val="00057C64"/>
    <w:rsid w:val="000609B0"/>
    <w:rsid w:val="00060AFB"/>
    <w:rsid w:val="00061E1B"/>
    <w:rsid w:val="00062105"/>
    <w:rsid w:val="00062BB6"/>
    <w:rsid w:val="00063287"/>
    <w:rsid w:val="000644A2"/>
    <w:rsid w:val="000644EC"/>
    <w:rsid w:val="000645B3"/>
    <w:rsid w:val="00064B54"/>
    <w:rsid w:val="00064F52"/>
    <w:rsid w:val="0006530B"/>
    <w:rsid w:val="00065B52"/>
    <w:rsid w:val="00065BA8"/>
    <w:rsid w:val="00065C01"/>
    <w:rsid w:val="000666DC"/>
    <w:rsid w:val="000669C6"/>
    <w:rsid w:val="00066A5D"/>
    <w:rsid w:val="0006701F"/>
    <w:rsid w:val="00067162"/>
    <w:rsid w:val="000673EF"/>
    <w:rsid w:val="000674C1"/>
    <w:rsid w:val="00067698"/>
    <w:rsid w:val="00067C6A"/>
    <w:rsid w:val="00070206"/>
    <w:rsid w:val="00070B3B"/>
    <w:rsid w:val="000714E0"/>
    <w:rsid w:val="0007187D"/>
    <w:rsid w:val="00071DC5"/>
    <w:rsid w:val="00072034"/>
    <w:rsid w:val="000720DE"/>
    <w:rsid w:val="000728A2"/>
    <w:rsid w:val="00072A45"/>
    <w:rsid w:val="00073224"/>
    <w:rsid w:val="00073E03"/>
    <w:rsid w:val="00073F4B"/>
    <w:rsid w:val="000742F1"/>
    <w:rsid w:val="00074BE7"/>
    <w:rsid w:val="00074C0E"/>
    <w:rsid w:val="00074E47"/>
    <w:rsid w:val="0007562D"/>
    <w:rsid w:val="0007628A"/>
    <w:rsid w:val="000765E9"/>
    <w:rsid w:val="00076CF0"/>
    <w:rsid w:val="00077398"/>
    <w:rsid w:val="000775A0"/>
    <w:rsid w:val="000777A2"/>
    <w:rsid w:val="000777A9"/>
    <w:rsid w:val="00077E56"/>
    <w:rsid w:val="00080830"/>
    <w:rsid w:val="000809F3"/>
    <w:rsid w:val="00080A6D"/>
    <w:rsid w:val="0008135E"/>
    <w:rsid w:val="000814B2"/>
    <w:rsid w:val="0008153E"/>
    <w:rsid w:val="00081855"/>
    <w:rsid w:val="00081C87"/>
    <w:rsid w:val="000822A0"/>
    <w:rsid w:val="00082EB6"/>
    <w:rsid w:val="000832AE"/>
    <w:rsid w:val="00083508"/>
    <w:rsid w:val="00083772"/>
    <w:rsid w:val="000839F4"/>
    <w:rsid w:val="00083C5A"/>
    <w:rsid w:val="00084152"/>
    <w:rsid w:val="00084987"/>
    <w:rsid w:val="00084EDC"/>
    <w:rsid w:val="000855CC"/>
    <w:rsid w:val="00085EF7"/>
    <w:rsid w:val="000866B3"/>
    <w:rsid w:val="000868AA"/>
    <w:rsid w:val="00086EB0"/>
    <w:rsid w:val="000872E8"/>
    <w:rsid w:val="000878A0"/>
    <w:rsid w:val="00087B2B"/>
    <w:rsid w:val="00087E50"/>
    <w:rsid w:val="00087E9B"/>
    <w:rsid w:val="00087EA7"/>
    <w:rsid w:val="00090A07"/>
    <w:rsid w:val="000915DA"/>
    <w:rsid w:val="0009184F"/>
    <w:rsid w:val="00091B45"/>
    <w:rsid w:val="00091F0A"/>
    <w:rsid w:val="0009247C"/>
    <w:rsid w:val="000929A4"/>
    <w:rsid w:val="00092AF4"/>
    <w:rsid w:val="00092BD4"/>
    <w:rsid w:val="00094287"/>
    <w:rsid w:val="000942EB"/>
    <w:rsid w:val="00094486"/>
    <w:rsid w:val="00095151"/>
    <w:rsid w:val="000953C4"/>
    <w:rsid w:val="00095ECD"/>
    <w:rsid w:val="00095FEE"/>
    <w:rsid w:val="000961F6"/>
    <w:rsid w:val="00096470"/>
    <w:rsid w:val="000965E6"/>
    <w:rsid w:val="0009665E"/>
    <w:rsid w:val="00096DC7"/>
    <w:rsid w:val="000974C5"/>
    <w:rsid w:val="00097D5E"/>
    <w:rsid w:val="000A081C"/>
    <w:rsid w:val="000A0DAD"/>
    <w:rsid w:val="000A1012"/>
    <w:rsid w:val="000A12BA"/>
    <w:rsid w:val="000A130F"/>
    <w:rsid w:val="000A13ED"/>
    <w:rsid w:val="000A1687"/>
    <w:rsid w:val="000A1773"/>
    <w:rsid w:val="000A1F85"/>
    <w:rsid w:val="000A2525"/>
    <w:rsid w:val="000A26DC"/>
    <w:rsid w:val="000A2BF4"/>
    <w:rsid w:val="000A3065"/>
    <w:rsid w:val="000A34F4"/>
    <w:rsid w:val="000A389B"/>
    <w:rsid w:val="000A397E"/>
    <w:rsid w:val="000A4294"/>
    <w:rsid w:val="000A4607"/>
    <w:rsid w:val="000A4F7F"/>
    <w:rsid w:val="000A52B0"/>
    <w:rsid w:val="000A547F"/>
    <w:rsid w:val="000A5522"/>
    <w:rsid w:val="000A55A9"/>
    <w:rsid w:val="000A6B71"/>
    <w:rsid w:val="000A6FFD"/>
    <w:rsid w:val="000A7A5B"/>
    <w:rsid w:val="000A7AE9"/>
    <w:rsid w:val="000A7C48"/>
    <w:rsid w:val="000B0466"/>
    <w:rsid w:val="000B0766"/>
    <w:rsid w:val="000B0FF9"/>
    <w:rsid w:val="000B1856"/>
    <w:rsid w:val="000B1A64"/>
    <w:rsid w:val="000B24FF"/>
    <w:rsid w:val="000B2C0D"/>
    <w:rsid w:val="000B2FD9"/>
    <w:rsid w:val="000B2FED"/>
    <w:rsid w:val="000B37D9"/>
    <w:rsid w:val="000B5D10"/>
    <w:rsid w:val="000B6458"/>
    <w:rsid w:val="000B64A1"/>
    <w:rsid w:val="000B6930"/>
    <w:rsid w:val="000B6BF6"/>
    <w:rsid w:val="000B753F"/>
    <w:rsid w:val="000B793E"/>
    <w:rsid w:val="000B7DE3"/>
    <w:rsid w:val="000C0689"/>
    <w:rsid w:val="000C0D54"/>
    <w:rsid w:val="000C0E64"/>
    <w:rsid w:val="000C10E8"/>
    <w:rsid w:val="000C1D0F"/>
    <w:rsid w:val="000C2711"/>
    <w:rsid w:val="000C2A0F"/>
    <w:rsid w:val="000C2F2F"/>
    <w:rsid w:val="000C3643"/>
    <w:rsid w:val="000C3887"/>
    <w:rsid w:val="000C3F40"/>
    <w:rsid w:val="000C4394"/>
    <w:rsid w:val="000C499C"/>
    <w:rsid w:val="000C4A7D"/>
    <w:rsid w:val="000C4B82"/>
    <w:rsid w:val="000C4D75"/>
    <w:rsid w:val="000C5324"/>
    <w:rsid w:val="000C5DFD"/>
    <w:rsid w:val="000C643A"/>
    <w:rsid w:val="000C6B99"/>
    <w:rsid w:val="000C6F7E"/>
    <w:rsid w:val="000C73E9"/>
    <w:rsid w:val="000C781B"/>
    <w:rsid w:val="000C7B77"/>
    <w:rsid w:val="000D0792"/>
    <w:rsid w:val="000D14A7"/>
    <w:rsid w:val="000D20AF"/>
    <w:rsid w:val="000D23CD"/>
    <w:rsid w:val="000D242B"/>
    <w:rsid w:val="000D2947"/>
    <w:rsid w:val="000D2FA8"/>
    <w:rsid w:val="000D31BA"/>
    <w:rsid w:val="000D3A01"/>
    <w:rsid w:val="000D3B20"/>
    <w:rsid w:val="000D3D3F"/>
    <w:rsid w:val="000D3F2B"/>
    <w:rsid w:val="000D3FFE"/>
    <w:rsid w:val="000D441B"/>
    <w:rsid w:val="000D4C54"/>
    <w:rsid w:val="000D5651"/>
    <w:rsid w:val="000D5A3E"/>
    <w:rsid w:val="000D6028"/>
    <w:rsid w:val="000D6470"/>
    <w:rsid w:val="000D6AA2"/>
    <w:rsid w:val="000D6F2C"/>
    <w:rsid w:val="000D725B"/>
    <w:rsid w:val="000D7D69"/>
    <w:rsid w:val="000E02FC"/>
    <w:rsid w:val="000E03AA"/>
    <w:rsid w:val="000E0830"/>
    <w:rsid w:val="000E10E8"/>
    <w:rsid w:val="000E11AE"/>
    <w:rsid w:val="000E133C"/>
    <w:rsid w:val="000E15DB"/>
    <w:rsid w:val="000E1A1F"/>
    <w:rsid w:val="000E1D23"/>
    <w:rsid w:val="000E1F26"/>
    <w:rsid w:val="000E2251"/>
    <w:rsid w:val="000E2525"/>
    <w:rsid w:val="000E25EC"/>
    <w:rsid w:val="000E26CB"/>
    <w:rsid w:val="000E27DC"/>
    <w:rsid w:val="000E2808"/>
    <w:rsid w:val="000E311D"/>
    <w:rsid w:val="000E3525"/>
    <w:rsid w:val="000E3620"/>
    <w:rsid w:val="000E3AB9"/>
    <w:rsid w:val="000E40C3"/>
    <w:rsid w:val="000E41D1"/>
    <w:rsid w:val="000E42C6"/>
    <w:rsid w:val="000E43DF"/>
    <w:rsid w:val="000E452F"/>
    <w:rsid w:val="000E4F6E"/>
    <w:rsid w:val="000E501A"/>
    <w:rsid w:val="000E51CE"/>
    <w:rsid w:val="000E5A35"/>
    <w:rsid w:val="000E6413"/>
    <w:rsid w:val="000E64D0"/>
    <w:rsid w:val="000E68BA"/>
    <w:rsid w:val="000E7789"/>
    <w:rsid w:val="000F01C0"/>
    <w:rsid w:val="000F01C9"/>
    <w:rsid w:val="000F0394"/>
    <w:rsid w:val="000F03C9"/>
    <w:rsid w:val="000F07C4"/>
    <w:rsid w:val="000F07D2"/>
    <w:rsid w:val="000F0D55"/>
    <w:rsid w:val="000F1652"/>
    <w:rsid w:val="000F1A73"/>
    <w:rsid w:val="000F240F"/>
    <w:rsid w:val="000F2548"/>
    <w:rsid w:val="000F276A"/>
    <w:rsid w:val="000F2A15"/>
    <w:rsid w:val="000F3BCB"/>
    <w:rsid w:val="000F40B8"/>
    <w:rsid w:val="000F45AC"/>
    <w:rsid w:val="000F4A86"/>
    <w:rsid w:val="000F52E2"/>
    <w:rsid w:val="000F5491"/>
    <w:rsid w:val="000F65DD"/>
    <w:rsid w:val="000F698C"/>
    <w:rsid w:val="000F6A94"/>
    <w:rsid w:val="000F6DE0"/>
    <w:rsid w:val="000F7F5B"/>
    <w:rsid w:val="0010013A"/>
    <w:rsid w:val="0010030A"/>
    <w:rsid w:val="00100956"/>
    <w:rsid w:val="00100E25"/>
    <w:rsid w:val="0010142C"/>
    <w:rsid w:val="0010170A"/>
    <w:rsid w:val="001017AB"/>
    <w:rsid w:val="00102356"/>
    <w:rsid w:val="0010298E"/>
    <w:rsid w:val="00102B3B"/>
    <w:rsid w:val="00103FA3"/>
    <w:rsid w:val="0010432B"/>
    <w:rsid w:val="00104330"/>
    <w:rsid w:val="00104883"/>
    <w:rsid w:val="001049E5"/>
    <w:rsid w:val="00105349"/>
    <w:rsid w:val="0010553B"/>
    <w:rsid w:val="00105CE0"/>
    <w:rsid w:val="00106767"/>
    <w:rsid w:val="00107D89"/>
    <w:rsid w:val="0011002B"/>
    <w:rsid w:val="00110405"/>
    <w:rsid w:val="00110AEC"/>
    <w:rsid w:val="00110B88"/>
    <w:rsid w:val="00111691"/>
    <w:rsid w:val="001125E9"/>
    <w:rsid w:val="0011291F"/>
    <w:rsid w:val="0011355C"/>
    <w:rsid w:val="00113A84"/>
    <w:rsid w:val="00115327"/>
    <w:rsid w:val="00115940"/>
    <w:rsid w:val="001161ED"/>
    <w:rsid w:val="00116CB3"/>
    <w:rsid w:val="00116FFD"/>
    <w:rsid w:val="0011702D"/>
    <w:rsid w:val="001171D7"/>
    <w:rsid w:val="001176ED"/>
    <w:rsid w:val="001176FF"/>
    <w:rsid w:val="00117857"/>
    <w:rsid w:val="00117ECD"/>
    <w:rsid w:val="0012026D"/>
    <w:rsid w:val="001202DB"/>
    <w:rsid w:val="00120517"/>
    <w:rsid w:val="00120AEF"/>
    <w:rsid w:val="00120D0C"/>
    <w:rsid w:val="00120D8A"/>
    <w:rsid w:val="00121523"/>
    <w:rsid w:val="001218E5"/>
    <w:rsid w:val="00121C29"/>
    <w:rsid w:val="00122689"/>
    <w:rsid w:val="001226A7"/>
    <w:rsid w:val="00122D84"/>
    <w:rsid w:val="001233C8"/>
    <w:rsid w:val="0012384A"/>
    <w:rsid w:val="00123A76"/>
    <w:rsid w:val="00123B9C"/>
    <w:rsid w:val="001242B6"/>
    <w:rsid w:val="001247CA"/>
    <w:rsid w:val="00124B4D"/>
    <w:rsid w:val="00125C7B"/>
    <w:rsid w:val="001261B9"/>
    <w:rsid w:val="00126CBE"/>
    <w:rsid w:val="00126D3A"/>
    <w:rsid w:val="001273B7"/>
    <w:rsid w:val="001274DA"/>
    <w:rsid w:val="001277F2"/>
    <w:rsid w:val="001303AF"/>
    <w:rsid w:val="001308F2"/>
    <w:rsid w:val="001308FC"/>
    <w:rsid w:val="00130AA6"/>
    <w:rsid w:val="00130FFB"/>
    <w:rsid w:val="001313D4"/>
    <w:rsid w:val="00132899"/>
    <w:rsid w:val="00132B5A"/>
    <w:rsid w:val="00132EAC"/>
    <w:rsid w:val="00132F4C"/>
    <w:rsid w:val="00133FFF"/>
    <w:rsid w:val="00134D44"/>
    <w:rsid w:val="00134E95"/>
    <w:rsid w:val="00134FD8"/>
    <w:rsid w:val="00135188"/>
    <w:rsid w:val="00135855"/>
    <w:rsid w:val="00135A3A"/>
    <w:rsid w:val="00135C70"/>
    <w:rsid w:val="001366AE"/>
    <w:rsid w:val="0013722E"/>
    <w:rsid w:val="001413E6"/>
    <w:rsid w:val="001414ED"/>
    <w:rsid w:val="00141F4A"/>
    <w:rsid w:val="00142749"/>
    <w:rsid w:val="001427A8"/>
    <w:rsid w:val="00142928"/>
    <w:rsid w:val="00142F59"/>
    <w:rsid w:val="00143A66"/>
    <w:rsid w:val="00143F2C"/>
    <w:rsid w:val="001444D8"/>
    <w:rsid w:val="001444FD"/>
    <w:rsid w:val="00144826"/>
    <w:rsid w:val="00144E1E"/>
    <w:rsid w:val="00145D3A"/>
    <w:rsid w:val="00146BC7"/>
    <w:rsid w:val="0014710E"/>
    <w:rsid w:val="0015020D"/>
    <w:rsid w:val="00150335"/>
    <w:rsid w:val="00150C12"/>
    <w:rsid w:val="00150F86"/>
    <w:rsid w:val="00151293"/>
    <w:rsid w:val="00151A2C"/>
    <w:rsid w:val="0015202E"/>
    <w:rsid w:val="001520DA"/>
    <w:rsid w:val="00152AC4"/>
    <w:rsid w:val="00152B88"/>
    <w:rsid w:val="001531CB"/>
    <w:rsid w:val="00154618"/>
    <w:rsid w:val="001546A0"/>
    <w:rsid w:val="001548AB"/>
    <w:rsid w:val="00154B91"/>
    <w:rsid w:val="00154CE2"/>
    <w:rsid w:val="001551C4"/>
    <w:rsid w:val="001554ED"/>
    <w:rsid w:val="0015550C"/>
    <w:rsid w:val="00155BE2"/>
    <w:rsid w:val="00155CCB"/>
    <w:rsid w:val="00156055"/>
    <w:rsid w:val="00156865"/>
    <w:rsid w:val="00157099"/>
    <w:rsid w:val="00157457"/>
    <w:rsid w:val="00157566"/>
    <w:rsid w:val="001576C1"/>
    <w:rsid w:val="001578FA"/>
    <w:rsid w:val="00157C9E"/>
    <w:rsid w:val="0016061A"/>
    <w:rsid w:val="0016124F"/>
    <w:rsid w:val="00161381"/>
    <w:rsid w:val="00161412"/>
    <w:rsid w:val="001614BC"/>
    <w:rsid w:val="001616BC"/>
    <w:rsid w:val="0016190C"/>
    <w:rsid w:val="00161F3B"/>
    <w:rsid w:val="001620ED"/>
    <w:rsid w:val="00162396"/>
    <w:rsid w:val="001623F0"/>
    <w:rsid w:val="001626FC"/>
    <w:rsid w:val="00162731"/>
    <w:rsid w:val="00163246"/>
    <w:rsid w:val="0016342B"/>
    <w:rsid w:val="00163FF9"/>
    <w:rsid w:val="00164B1D"/>
    <w:rsid w:val="00164DAE"/>
    <w:rsid w:val="00164F4C"/>
    <w:rsid w:val="00165059"/>
    <w:rsid w:val="001651A7"/>
    <w:rsid w:val="00165656"/>
    <w:rsid w:val="00166761"/>
    <w:rsid w:val="00167FB1"/>
    <w:rsid w:val="0017091B"/>
    <w:rsid w:val="00170A06"/>
    <w:rsid w:val="00170FC0"/>
    <w:rsid w:val="00171435"/>
    <w:rsid w:val="0017172D"/>
    <w:rsid w:val="00172AB6"/>
    <w:rsid w:val="00172DAF"/>
    <w:rsid w:val="00173403"/>
    <w:rsid w:val="00173813"/>
    <w:rsid w:val="00173A20"/>
    <w:rsid w:val="00173B61"/>
    <w:rsid w:val="0017447E"/>
    <w:rsid w:val="00174676"/>
    <w:rsid w:val="001749F4"/>
    <w:rsid w:val="00174F10"/>
    <w:rsid w:val="001750AC"/>
    <w:rsid w:val="00175379"/>
    <w:rsid w:val="001763CF"/>
    <w:rsid w:val="00176543"/>
    <w:rsid w:val="0017707A"/>
    <w:rsid w:val="001771E9"/>
    <w:rsid w:val="0017722B"/>
    <w:rsid w:val="001777F7"/>
    <w:rsid w:val="00177AD9"/>
    <w:rsid w:val="00177E7F"/>
    <w:rsid w:val="00177E84"/>
    <w:rsid w:val="00180412"/>
    <w:rsid w:val="001807A8"/>
    <w:rsid w:val="00180FBB"/>
    <w:rsid w:val="00180FD2"/>
    <w:rsid w:val="00181F93"/>
    <w:rsid w:val="001825E0"/>
    <w:rsid w:val="00182AD6"/>
    <w:rsid w:val="00182CF2"/>
    <w:rsid w:val="00183396"/>
    <w:rsid w:val="001833F2"/>
    <w:rsid w:val="001834DB"/>
    <w:rsid w:val="0018353B"/>
    <w:rsid w:val="001836D3"/>
    <w:rsid w:val="00183A33"/>
    <w:rsid w:val="00184250"/>
    <w:rsid w:val="00185046"/>
    <w:rsid w:val="001853B5"/>
    <w:rsid w:val="00185456"/>
    <w:rsid w:val="00185824"/>
    <w:rsid w:val="00185844"/>
    <w:rsid w:val="00185C81"/>
    <w:rsid w:val="001861CE"/>
    <w:rsid w:val="0018624F"/>
    <w:rsid w:val="0018686B"/>
    <w:rsid w:val="00187424"/>
    <w:rsid w:val="0018782F"/>
    <w:rsid w:val="001901BE"/>
    <w:rsid w:val="0019056E"/>
    <w:rsid w:val="00190988"/>
    <w:rsid w:val="001909C3"/>
    <w:rsid w:val="00190A97"/>
    <w:rsid w:val="001910D4"/>
    <w:rsid w:val="00191202"/>
    <w:rsid w:val="001912ED"/>
    <w:rsid w:val="00191520"/>
    <w:rsid w:val="001915FF"/>
    <w:rsid w:val="001917A1"/>
    <w:rsid w:val="0019206F"/>
    <w:rsid w:val="001923F1"/>
    <w:rsid w:val="001924C2"/>
    <w:rsid w:val="00192A16"/>
    <w:rsid w:val="00192FF8"/>
    <w:rsid w:val="0019336F"/>
    <w:rsid w:val="00193879"/>
    <w:rsid w:val="00193A52"/>
    <w:rsid w:val="00193CB3"/>
    <w:rsid w:val="00194068"/>
    <w:rsid w:val="00194D46"/>
    <w:rsid w:val="00195E40"/>
    <w:rsid w:val="00195E41"/>
    <w:rsid w:val="001962FA"/>
    <w:rsid w:val="00197756"/>
    <w:rsid w:val="001977B0"/>
    <w:rsid w:val="001A0231"/>
    <w:rsid w:val="001A0473"/>
    <w:rsid w:val="001A08B7"/>
    <w:rsid w:val="001A0A93"/>
    <w:rsid w:val="001A158E"/>
    <w:rsid w:val="001A16D8"/>
    <w:rsid w:val="001A1D3C"/>
    <w:rsid w:val="001A1E39"/>
    <w:rsid w:val="001A1F3E"/>
    <w:rsid w:val="001A2244"/>
    <w:rsid w:val="001A2271"/>
    <w:rsid w:val="001A2691"/>
    <w:rsid w:val="001A3171"/>
    <w:rsid w:val="001A35DC"/>
    <w:rsid w:val="001A4AA5"/>
    <w:rsid w:val="001A5176"/>
    <w:rsid w:val="001A5792"/>
    <w:rsid w:val="001A5B9A"/>
    <w:rsid w:val="001A5D4C"/>
    <w:rsid w:val="001A60A1"/>
    <w:rsid w:val="001A6211"/>
    <w:rsid w:val="001A6519"/>
    <w:rsid w:val="001A6772"/>
    <w:rsid w:val="001A7532"/>
    <w:rsid w:val="001A77F2"/>
    <w:rsid w:val="001A7CB9"/>
    <w:rsid w:val="001B0A96"/>
    <w:rsid w:val="001B0E95"/>
    <w:rsid w:val="001B1250"/>
    <w:rsid w:val="001B15E9"/>
    <w:rsid w:val="001B2106"/>
    <w:rsid w:val="001B23FB"/>
    <w:rsid w:val="001B288D"/>
    <w:rsid w:val="001B2CD8"/>
    <w:rsid w:val="001B37DA"/>
    <w:rsid w:val="001B3EBC"/>
    <w:rsid w:val="001B4AAA"/>
    <w:rsid w:val="001B4ABB"/>
    <w:rsid w:val="001B4C0E"/>
    <w:rsid w:val="001B4F9A"/>
    <w:rsid w:val="001B513C"/>
    <w:rsid w:val="001B6351"/>
    <w:rsid w:val="001B65DF"/>
    <w:rsid w:val="001B6F00"/>
    <w:rsid w:val="001B7178"/>
    <w:rsid w:val="001B71D1"/>
    <w:rsid w:val="001B75AB"/>
    <w:rsid w:val="001B77DC"/>
    <w:rsid w:val="001C0422"/>
    <w:rsid w:val="001C06A0"/>
    <w:rsid w:val="001C07C1"/>
    <w:rsid w:val="001C0EF3"/>
    <w:rsid w:val="001C0FEF"/>
    <w:rsid w:val="001C22E6"/>
    <w:rsid w:val="001C2537"/>
    <w:rsid w:val="001C3023"/>
    <w:rsid w:val="001C33AB"/>
    <w:rsid w:val="001C33E4"/>
    <w:rsid w:val="001C361D"/>
    <w:rsid w:val="001C3CB2"/>
    <w:rsid w:val="001C4920"/>
    <w:rsid w:val="001C4A8E"/>
    <w:rsid w:val="001C4F3F"/>
    <w:rsid w:val="001C4F87"/>
    <w:rsid w:val="001C5028"/>
    <w:rsid w:val="001C5168"/>
    <w:rsid w:val="001C543E"/>
    <w:rsid w:val="001C5983"/>
    <w:rsid w:val="001C6127"/>
    <w:rsid w:val="001C7398"/>
    <w:rsid w:val="001C7834"/>
    <w:rsid w:val="001C783E"/>
    <w:rsid w:val="001C7A69"/>
    <w:rsid w:val="001D0365"/>
    <w:rsid w:val="001D075D"/>
    <w:rsid w:val="001D1182"/>
    <w:rsid w:val="001D14F4"/>
    <w:rsid w:val="001D1B05"/>
    <w:rsid w:val="001D243F"/>
    <w:rsid w:val="001D25D2"/>
    <w:rsid w:val="001D273C"/>
    <w:rsid w:val="001D3B09"/>
    <w:rsid w:val="001D4434"/>
    <w:rsid w:val="001D4BD5"/>
    <w:rsid w:val="001D5634"/>
    <w:rsid w:val="001D5CDB"/>
    <w:rsid w:val="001D666A"/>
    <w:rsid w:val="001D673E"/>
    <w:rsid w:val="001D67CE"/>
    <w:rsid w:val="001D6B7B"/>
    <w:rsid w:val="001D6F4F"/>
    <w:rsid w:val="001D6FF4"/>
    <w:rsid w:val="001D72D2"/>
    <w:rsid w:val="001D7348"/>
    <w:rsid w:val="001D7544"/>
    <w:rsid w:val="001D771A"/>
    <w:rsid w:val="001D7BD8"/>
    <w:rsid w:val="001D7D27"/>
    <w:rsid w:val="001D7F96"/>
    <w:rsid w:val="001E0256"/>
    <w:rsid w:val="001E045B"/>
    <w:rsid w:val="001E0474"/>
    <w:rsid w:val="001E05AA"/>
    <w:rsid w:val="001E0A10"/>
    <w:rsid w:val="001E1AA3"/>
    <w:rsid w:val="001E1AF5"/>
    <w:rsid w:val="001E21D8"/>
    <w:rsid w:val="001E2905"/>
    <w:rsid w:val="001E2AFD"/>
    <w:rsid w:val="001E2B58"/>
    <w:rsid w:val="001E2BA1"/>
    <w:rsid w:val="001E31AC"/>
    <w:rsid w:val="001E3525"/>
    <w:rsid w:val="001E3660"/>
    <w:rsid w:val="001E3728"/>
    <w:rsid w:val="001E3A9E"/>
    <w:rsid w:val="001E3ECA"/>
    <w:rsid w:val="001E4180"/>
    <w:rsid w:val="001E42A4"/>
    <w:rsid w:val="001E4374"/>
    <w:rsid w:val="001E4455"/>
    <w:rsid w:val="001E4696"/>
    <w:rsid w:val="001E4724"/>
    <w:rsid w:val="001E4CD3"/>
    <w:rsid w:val="001E4CEC"/>
    <w:rsid w:val="001E562D"/>
    <w:rsid w:val="001E59C2"/>
    <w:rsid w:val="001E60D6"/>
    <w:rsid w:val="001E6AF7"/>
    <w:rsid w:val="001E6F91"/>
    <w:rsid w:val="001F057F"/>
    <w:rsid w:val="001F07B2"/>
    <w:rsid w:val="001F0B86"/>
    <w:rsid w:val="001F1AAE"/>
    <w:rsid w:val="001F1C1C"/>
    <w:rsid w:val="001F2AEB"/>
    <w:rsid w:val="001F2BF3"/>
    <w:rsid w:val="001F2FCB"/>
    <w:rsid w:val="001F36A6"/>
    <w:rsid w:val="001F38EC"/>
    <w:rsid w:val="001F3C8C"/>
    <w:rsid w:val="001F3E38"/>
    <w:rsid w:val="001F4BE8"/>
    <w:rsid w:val="001F506C"/>
    <w:rsid w:val="001F557E"/>
    <w:rsid w:val="001F5B77"/>
    <w:rsid w:val="001F5CE6"/>
    <w:rsid w:val="001F5F43"/>
    <w:rsid w:val="001F645C"/>
    <w:rsid w:val="001F67B6"/>
    <w:rsid w:val="001F6D16"/>
    <w:rsid w:val="001F6D89"/>
    <w:rsid w:val="001F72BF"/>
    <w:rsid w:val="001F79F1"/>
    <w:rsid w:val="0020023B"/>
    <w:rsid w:val="002002C5"/>
    <w:rsid w:val="00200CE0"/>
    <w:rsid w:val="00200D07"/>
    <w:rsid w:val="0020262F"/>
    <w:rsid w:val="00203538"/>
    <w:rsid w:val="00203926"/>
    <w:rsid w:val="00203E14"/>
    <w:rsid w:val="00203E64"/>
    <w:rsid w:val="00204AA1"/>
    <w:rsid w:val="00204FA4"/>
    <w:rsid w:val="002056E7"/>
    <w:rsid w:val="00205F2A"/>
    <w:rsid w:val="00205F61"/>
    <w:rsid w:val="002060DD"/>
    <w:rsid w:val="0020680E"/>
    <w:rsid w:val="002068BC"/>
    <w:rsid w:val="00206EAD"/>
    <w:rsid w:val="00206FD1"/>
    <w:rsid w:val="002070DF"/>
    <w:rsid w:val="002070E8"/>
    <w:rsid w:val="00207704"/>
    <w:rsid w:val="002101EE"/>
    <w:rsid w:val="002104EC"/>
    <w:rsid w:val="0021057C"/>
    <w:rsid w:val="00210B4A"/>
    <w:rsid w:val="00210F2D"/>
    <w:rsid w:val="002113C0"/>
    <w:rsid w:val="0021143D"/>
    <w:rsid w:val="00211ADD"/>
    <w:rsid w:val="002124F2"/>
    <w:rsid w:val="00212D99"/>
    <w:rsid w:val="00212F65"/>
    <w:rsid w:val="002131C7"/>
    <w:rsid w:val="0021328D"/>
    <w:rsid w:val="00213A21"/>
    <w:rsid w:val="00214218"/>
    <w:rsid w:val="00214339"/>
    <w:rsid w:val="002144A5"/>
    <w:rsid w:val="0021473A"/>
    <w:rsid w:val="0021497B"/>
    <w:rsid w:val="00214D06"/>
    <w:rsid w:val="00215803"/>
    <w:rsid w:val="002159BD"/>
    <w:rsid w:val="00215E37"/>
    <w:rsid w:val="002168F7"/>
    <w:rsid w:val="002169B2"/>
    <w:rsid w:val="00216D48"/>
    <w:rsid w:val="00217473"/>
    <w:rsid w:val="00217869"/>
    <w:rsid w:val="002179B7"/>
    <w:rsid w:val="002179D4"/>
    <w:rsid w:val="00217FB5"/>
    <w:rsid w:val="00220294"/>
    <w:rsid w:val="00220386"/>
    <w:rsid w:val="00220BAD"/>
    <w:rsid w:val="002210BC"/>
    <w:rsid w:val="002213EB"/>
    <w:rsid w:val="002218AA"/>
    <w:rsid w:val="002227AD"/>
    <w:rsid w:val="00223BCE"/>
    <w:rsid w:val="00223D74"/>
    <w:rsid w:val="00224212"/>
    <w:rsid w:val="00224218"/>
    <w:rsid w:val="00224565"/>
    <w:rsid w:val="00224645"/>
    <w:rsid w:val="00224C03"/>
    <w:rsid w:val="0022546B"/>
    <w:rsid w:val="0022579B"/>
    <w:rsid w:val="00225BBD"/>
    <w:rsid w:val="00225F5C"/>
    <w:rsid w:val="00225FA9"/>
    <w:rsid w:val="00226266"/>
    <w:rsid w:val="00226536"/>
    <w:rsid w:val="002265A1"/>
    <w:rsid w:val="00226879"/>
    <w:rsid w:val="00227209"/>
    <w:rsid w:val="0022771E"/>
    <w:rsid w:val="00227826"/>
    <w:rsid w:val="00227848"/>
    <w:rsid w:val="002279EC"/>
    <w:rsid w:val="00227CA3"/>
    <w:rsid w:val="00227F5F"/>
    <w:rsid w:val="00230B7D"/>
    <w:rsid w:val="00230E6C"/>
    <w:rsid w:val="00232417"/>
    <w:rsid w:val="00232436"/>
    <w:rsid w:val="0023260C"/>
    <w:rsid w:val="00232EB5"/>
    <w:rsid w:val="0023300E"/>
    <w:rsid w:val="00233205"/>
    <w:rsid w:val="002338BE"/>
    <w:rsid w:val="00233930"/>
    <w:rsid w:val="002339C7"/>
    <w:rsid w:val="002347A5"/>
    <w:rsid w:val="0023491F"/>
    <w:rsid w:val="00234E6D"/>
    <w:rsid w:val="00235045"/>
    <w:rsid w:val="00235CEC"/>
    <w:rsid w:val="002369AB"/>
    <w:rsid w:val="00236CA3"/>
    <w:rsid w:val="00236F77"/>
    <w:rsid w:val="00237A5D"/>
    <w:rsid w:val="00237D0E"/>
    <w:rsid w:val="00237D20"/>
    <w:rsid w:val="002413B4"/>
    <w:rsid w:val="00242CFC"/>
    <w:rsid w:val="002435CD"/>
    <w:rsid w:val="002437DB"/>
    <w:rsid w:val="00243815"/>
    <w:rsid w:val="00243CD0"/>
    <w:rsid w:val="00243DEA"/>
    <w:rsid w:val="002442D6"/>
    <w:rsid w:val="002444D0"/>
    <w:rsid w:val="002447BD"/>
    <w:rsid w:val="00245008"/>
    <w:rsid w:val="00245B07"/>
    <w:rsid w:val="00245B90"/>
    <w:rsid w:val="00245C5C"/>
    <w:rsid w:val="00245EAF"/>
    <w:rsid w:val="00245F35"/>
    <w:rsid w:val="002466A5"/>
    <w:rsid w:val="00246BC5"/>
    <w:rsid w:val="00246EA6"/>
    <w:rsid w:val="00247359"/>
    <w:rsid w:val="00247C3B"/>
    <w:rsid w:val="00247CB4"/>
    <w:rsid w:val="002510AC"/>
    <w:rsid w:val="002512CD"/>
    <w:rsid w:val="0025176A"/>
    <w:rsid w:val="0025206F"/>
    <w:rsid w:val="00252854"/>
    <w:rsid w:val="00252EDC"/>
    <w:rsid w:val="002542A9"/>
    <w:rsid w:val="002543BA"/>
    <w:rsid w:val="0025443F"/>
    <w:rsid w:val="0025447B"/>
    <w:rsid w:val="00254885"/>
    <w:rsid w:val="002553CA"/>
    <w:rsid w:val="0025611D"/>
    <w:rsid w:val="002565F3"/>
    <w:rsid w:val="00256AD1"/>
    <w:rsid w:val="00256E39"/>
    <w:rsid w:val="002573DD"/>
    <w:rsid w:val="00257714"/>
    <w:rsid w:val="0025787F"/>
    <w:rsid w:val="00260061"/>
    <w:rsid w:val="0026049D"/>
    <w:rsid w:val="00260618"/>
    <w:rsid w:val="002610CF"/>
    <w:rsid w:val="00261165"/>
    <w:rsid w:val="0026119D"/>
    <w:rsid w:val="00261A45"/>
    <w:rsid w:val="00261CAF"/>
    <w:rsid w:val="00261D81"/>
    <w:rsid w:val="0026223A"/>
    <w:rsid w:val="002623DE"/>
    <w:rsid w:val="002625D5"/>
    <w:rsid w:val="00262CFE"/>
    <w:rsid w:val="00263520"/>
    <w:rsid w:val="0026366F"/>
    <w:rsid w:val="002637BC"/>
    <w:rsid w:val="002637D6"/>
    <w:rsid w:val="00263B97"/>
    <w:rsid w:val="00264085"/>
    <w:rsid w:val="00264458"/>
    <w:rsid w:val="0026486A"/>
    <w:rsid w:val="00264AA9"/>
    <w:rsid w:val="00264BAF"/>
    <w:rsid w:val="00264DD6"/>
    <w:rsid w:val="002650C9"/>
    <w:rsid w:val="0026583B"/>
    <w:rsid w:val="00265FA4"/>
    <w:rsid w:val="002665DB"/>
    <w:rsid w:val="002668B3"/>
    <w:rsid w:val="002668BC"/>
    <w:rsid w:val="00266948"/>
    <w:rsid w:val="00266DFD"/>
    <w:rsid w:val="00266F8D"/>
    <w:rsid w:val="002673C6"/>
    <w:rsid w:val="00267D0C"/>
    <w:rsid w:val="00267EE2"/>
    <w:rsid w:val="00267FF2"/>
    <w:rsid w:val="00270700"/>
    <w:rsid w:val="00270DA2"/>
    <w:rsid w:val="00270E1D"/>
    <w:rsid w:val="00270E6B"/>
    <w:rsid w:val="002712CB"/>
    <w:rsid w:val="00271F5D"/>
    <w:rsid w:val="00272002"/>
    <w:rsid w:val="00272044"/>
    <w:rsid w:val="00272560"/>
    <w:rsid w:val="0027267C"/>
    <w:rsid w:val="00272A3D"/>
    <w:rsid w:val="00272A5A"/>
    <w:rsid w:val="00273447"/>
    <w:rsid w:val="002735E0"/>
    <w:rsid w:val="00273703"/>
    <w:rsid w:val="00273B51"/>
    <w:rsid w:val="002747B8"/>
    <w:rsid w:val="00274CA4"/>
    <w:rsid w:val="00274D86"/>
    <w:rsid w:val="00274D98"/>
    <w:rsid w:val="0027507C"/>
    <w:rsid w:val="00275BC1"/>
    <w:rsid w:val="00276588"/>
    <w:rsid w:val="00276D84"/>
    <w:rsid w:val="00277392"/>
    <w:rsid w:val="002778FC"/>
    <w:rsid w:val="00277992"/>
    <w:rsid w:val="00277FC0"/>
    <w:rsid w:val="002806EB"/>
    <w:rsid w:val="00280CBD"/>
    <w:rsid w:val="0028110E"/>
    <w:rsid w:val="00281261"/>
    <w:rsid w:val="00281583"/>
    <w:rsid w:val="002816E1"/>
    <w:rsid w:val="002829FC"/>
    <w:rsid w:val="00282C16"/>
    <w:rsid w:val="00283292"/>
    <w:rsid w:val="0028351F"/>
    <w:rsid w:val="00284675"/>
    <w:rsid w:val="002849A6"/>
    <w:rsid w:val="002850E7"/>
    <w:rsid w:val="002859AB"/>
    <w:rsid w:val="00285C48"/>
    <w:rsid w:val="00286839"/>
    <w:rsid w:val="00286877"/>
    <w:rsid w:val="00286A55"/>
    <w:rsid w:val="00287004"/>
    <w:rsid w:val="00287175"/>
    <w:rsid w:val="00287346"/>
    <w:rsid w:val="002874DA"/>
    <w:rsid w:val="00287A12"/>
    <w:rsid w:val="00287B5C"/>
    <w:rsid w:val="00290EB1"/>
    <w:rsid w:val="00290F37"/>
    <w:rsid w:val="00291114"/>
    <w:rsid w:val="002914C2"/>
    <w:rsid w:val="00291F28"/>
    <w:rsid w:val="002926E0"/>
    <w:rsid w:val="00292783"/>
    <w:rsid w:val="00292817"/>
    <w:rsid w:val="00292868"/>
    <w:rsid w:val="002931D5"/>
    <w:rsid w:val="00293386"/>
    <w:rsid w:val="00293A65"/>
    <w:rsid w:val="00294339"/>
    <w:rsid w:val="002948B0"/>
    <w:rsid w:val="002949CE"/>
    <w:rsid w:val="00295898"/>
    <w:rsid w:val="00295911"/>
    <w:rsid w:val="00295B07"/>
    <w:rsid w:val="00295B0F"/>
    <w:rsid w:val="002962D6"/>
    <w:rsid w:val="00297081"/>
    <w:rsid w:val="00297283"/>
    <w:rsid w:val="00297604"/>
    <w:rsid w:val="00297746"/>
    <w:rsid w:val="00297A9E"/>
    <w:rsid w:val="00297F4D"/>
    <w:rsid w:val="002A0472"/>
    <w:rsid w:val="002A04CD"/>
    <w:rsid w:val="002A0967"/>
    <w:rsid w:val="002A0A03"/>
    <w:rsid w:val="002A0EB9"/>
    <w:rsid w:val="002A138B"/>
    <w:rsid w:val="002A1513"/>
    <w:rsid w:val="002A157A"/>
    <w:rsid w:val="002A178F"/>
    <w:rsid w:val="002A1B75"/>
    <w:rsid w:val="002A1C76"/>
    <w:rsid w:val="002A1E44"/>
    <w:rsid w:val="002A22FC"/>
    <w:rsid w:val="002A251C"/>
    <w:rsid w:val="002A34F6"/>
    <w:rsid w:val="002A35BA"/>
    <w:rsid w:val="002A3B75"/>
    <w:rsid w:val="002A3E59"/>
    <w:rsid w:val="002A3FD6"/>
    <w:rsid w:val="002A41A9"/>
    <w:rsid w:val="002A463A"/>
    <w:rsid w:val="002A46A2"/>
    <w:rsid w:val="002A539C"/>
    <w:rsid w:val="002A5A6A"/>
    <w:rsid w:val="002A5B67"/>
    <w:rsid w:val="002A5BAE"/>
    <w:rsid w:val="002A5BF5"/>
    <w:rsid w:val="002A6240"/>
    <w:rsid w:val="002A6586"/>
    <w:rsid w:val="002A6B9C"/>
    <w:rsid w:val="002A6DFD"/>
    <w:rsid w:val="002A70BB"/>
    <w:rsid w:val="002A73F0"/>
    <w:rsid w:val="002A751D"/>
    <w:rsid w:val="002A7966"/>
    <w:rsid w:val="002B0064"/>
    <w:rsid w:val="002B0290"/>
    <w:rsid w:val="002B08FC"/>
    <w:rsid w:val="002B0B48"/>
    <w:rsid w:val="002B0FC6"/>
    <w:rsid w:val="002B18D3"/>
    <w:rsid w:val="002B1EA8"/>
    <w:rsid w:val="002B1EAB"/>
    <w:rsid w:val="002B29E9"/>
    <w:rsid w:val="002B3D6C"/>
    <w:rsid w:val="002B471B"/>
    <w:rsid w:val="002B478C"/>
    <w:rsid w:val="002B4E49"/>
    <w:rsid w:val="002B568F"/>
    <w:rsid w:val="002B573F"/>
    <w:rsid w:val="002B57E8"/>
    <w:rsid w:val="002B59F5"/>
    <w:rsid w:val="002B5F0F"/>
    <w:rsid w:val="002B5FCC"/>
    <w:rsid w:val="002B628F"/>
    <w:rsid w:val="002B6950"/>
    <w:rsid w:val="002B70D8"/>
    <w:rsid w:val="002B787B"/>
    <w:rsid w:val="002B796C"/>
    <w:rsid w:val="002B799C"/>
    <w:rsid w:val="002C048A"/>
    <w:rsid w:val="002C0F61"/>
    <w:rsid w:val="002C14F0"/>
    <w:rsid w:val="002C1F7F"/>
    <w:rsid w:val="002C27A3"/>
    <w:rsid w:val="002C331D"/>
    <w:rsid w:val="002C35F5"/>
    <w:rsid w:val="002C3858"/>
    <w:rsid w:val="002C3B9D"/>
    <w:rsid w:val="002C3C1C"/>
    <w:rsid w:val="002C400A"/>
    <w:rsid w:val="002C4380"/>
    <w:rsid w:val="002C477F"/>
    <w:rsid w:val="002C4835"/>
    <w:rsid w:val="002C494C"/>
    <w:rsid w:val="002C51B6"/>
    <w:rsid w:val="002C59B9"/>
    <w:rsid w:val="002C5AC5"/>
    <w:rsid w:val="002C5B3C"/>
    <w:rsid w:val="002C6902"/>
    <w:rsid w:val="002C6FF6"/>
    <w:rsid w:val="002C7315"/>
    <w:rsid w:val="002C7537"/>
    <w:rsid w:val="002C7894"/>
    <w:rsid w:val="002D00B9"/>
    <w:rsid w:val="002D0126"/>
    <w:rsid w:val="002D059E"/>
    <w:rsid w:val="002D06AF"/>
    <w:rsid w:val="002D128D"/>
    <w:rsid w:val="002D1E8D"/>
    <w:rsid w:val="002D1EAE"/>
    <w:rsid w:val="002D2212"/>
    <w:rsid w:val="002D232A"/>
    <w:rsid w:val="002D2581"/>
    <w:rsid w:val="002D2731"/>
    <w:rsid w:val="002D2801"/>
    <w:rsid w:val="002D2946"/>
    <w:rsid w:val="002D2BE0"/>
    <w:rsid w:val="002D2D85"/>
    <w:rsid w:val="002D2F3E"/>
    <w:rsid w:val="002D30BA"/>
    <w:rsid w:val="002D3817"/>
    <w:rsid w:val="002D3BC9"/>
    <w:rsid w:val="002D4A38"/>
    <w:rsid w:val="002D4CB6"/>
    <w:rsid w:val="002D4D6F"/>
    <w:rsid w:val="002D4EB5"/>
    <w:rsid w:val="002D4F22"/>
    <w:rsid w:val="002D518A"/>
    <w:rsid w:val="002D59A9"/>
    <w:rsid w:val="002D5B15"/>
    <w:rsid w:val="002D635C"/>
    <w:rsid w:val="002D6367"/>
    <w:rsid w:val="002D6E81"/>
    <w:rsid w:val="002D78C1"/>
    <w:rsid w:val="002E0173"/>
    <w:rsid w:val="002E1096"/>
    <w:rsid w:val="002E126A"/>
    <w:rsid w:val="002E1313"/>
    <w:rsid w:val="002E18F1"/>
    <w:rsid w:val="002E1C23"/>
    <w:rsid w:val="002E1EF1"/>
    <w:rsid w:val="002E204D"/>
    <w:rsid w:val="002E2165"/>
    <w:rsid w:val="002E222C"/>
    <w:rsid w:val="002E2895"/>
    <w:rsid w:val="002E2A43"/>
    <w:rsid w:val="002E2C97"/>
    <w:rsid w:val="002E2CC9"/>
    <w:rsid w:val="002E2FBF"/>
    <w:rsid w:val="002E355E"/>
    <w:rsid w:val="002E3709"/>
    <w:rsid w:val="002E38C1"/>
    <w:rsid w:val="002E394D"/>
    <w:rsid w:val="002E3E9E"/>
    <w:rsid w:val="002E41D8"/>
    <w:rsid w:val="002E4429"/>
    <w:rsid w:val="002E4EBD"/>
    <w:rsid w:val="002E53AA"/>
    <w:rsid w:val="002E5866"/>
    <w:rsid w:val="002E5FC2"/>
    <w:rsid w:val="002E6870"/>
    <w:rsid w:val="002E6CDD"/>
    <w:rsid w:val="002E74FB"/>
    <w:rsid w:val="002E7F9F"/>
    <w:rsid w:val="002F11AE"/>
    <w:rsid w:val="002F1771"/>
    <w:rsid w:val="002F22F4"/>
    <w:rsid w:val="002F2937"/>
    <w:rsid w:val="002F2A9E"/>
    <w:rsid w:val="002F2B8F"/>
    <w:rsid w:val="002F2EA5"/>
    <w:rsid w:val="002F30A1"/>
    <w:rsid w:val="002F369C"/>
    <w:rsid w:val="002F39AC"/>
    <w:rsid w:val="002F3D33"/>
    <w:rsid w:val="002F427E"/>
    <w:rsid w:val="002F43D4"/>
    <w:rsid w:val="002F44A5"/>
    <w:rsid w:val="002F4BB1"/>
    <w:rsid w:val="002F4C51"/>
    <w:rsid w:val="002F57BE"/>
    <w:rsid w:val="002F5E42"/>
    <w:rsid w:val="002F631F"/>
    <w:rsid w:val="002F6815"/>
    <w:rsid w:val="002F68E5"/>
    <w:rsid w:val="002F68E6"/>
    <w:rsid w:val="002F6F7F"/>
    <w:rsid w:val="002F72B3"/>
    <w:rsid w:val="002F760F"/>
    <w:rsid w:val="002F7950"/>
    <w:rsid w:val="002F7A68"/>
    <w:rsid w:val="003018E2"/>
    <w:rsid w:val="00301C8F"/>
    <w:rsid w:val="00301F01"/>
    <w:rsid w:val="0030273A"/>
    <w:rsid w:val="0030311B"/>
    <w:rsid w:val="003033F2"/>
    <w:rsid w:val="0030405B"/>
    <w:rsid w:val="003043CC"/>
    <w:rsid w:val="0030449F"/>
    <w:rsid w:val="0030469A"/>
    <w:rsid w:val="003049CF"/>
    <w:rsid w:val="003051CB"/>
    <w:rsid w:val="00305453"/>
    <w:rsid w:val="00305722"/>
    <w:rsid w:val="003057E4"/>
    <w:rsid w:val="00305CEE"/>
    <w:rsid w:val="00305D26"/>
    <w:rsid w:val="003060EA"/>
    <w:rsid w:val="003063E5"/>
    <w:rsid w:val="00306828"/>
    <w:rsid w:val="00307088"/>
    <w:rsid w:val="003076CF"/>
    <w:rsid w:val="00307906"/>
    <w:rsid w:val="00307949"/>
    <w:rsid w:val="00307B79"/>
    <w:rsid w:val="00310CA9"/>
    <w:rsid w:val="00310CFD"/>
    <w:rsid w:val="00310D92"/>
    <w:rsid w:val="00311EAE"/>
    <w:rsid w:val="003122A3"/>
    <w:rsid w:val="0031250F"/>
    <w:rsid w:val="00312758"/>
    <w:rsid w:val="0031302A"/>
    <w:rsid w:val="00313660"/>
    <w:rsid w:val="003140B2"/>
    <w:rsid w:val="0031461F"/>
    <w:rsid w:val="0031462C"/>
    <w:rsid w:val="00314686"/>
    <w:rsid w:val="003148B0"/>
    <w:rsid w:val="00314A7B"/>
    <w:rsid w:val="00314E96"/>
    <w:rsid w:val="00315148"/>
    <w:rsid w:val="00315BBD"/>
    <w:rsid w:val="00317094"/>
    <w:rsid w:val="00317486"/>
    <w:rsid w:val="003175A0"/>
    <w:rsid w:val="00317C72"/>
    <w:rsid w:val="00317F2B"/>
    <w:rsid w:val="0032024A"/>
    <w:rsid w:val="003206F2"/>
    <w:rsid w:val="0032070B"/>
    <w:rsid w:val="003218D7"/>
    <w:rsid w:val="00321AA4"/>
    <w:rsid w:val="003221BE"/>
    <w:rsid w:val="00322762"/>
    <w:rsid w:val="00322CD6"/>
    <w:rsid w:val="00322E4D"/>
    <w:rsid w:val="00322F9C"/>
    <w:rsid w:val="00322FFB"/>
    <w:rsid w:val="00323932"/>
    <w:rsid w:val="00323E8F"/>
    <w:rsid w:val="00323F59"/>
    <w:rsid w:val="003241F7"/>
    <w:rsid w:val="00324458"/>
    <w:rsid w:val="003244E1"/>
    <w:rsid w:val="00325671"/>
    <w:rsid w:val="00325D11"/>
    <w:rsid w:val="0032654E"/>
    <w:rsid w:val="00326C73"/>
    <w:rsid w:val="00327389"/>
    <w:rsid w:val="003277C5"/>
    <w:rsid w:val="00327C7D"/>
    <w:rsid w:val="00327CA2"/>
    <w:rsid w:val="00330A63"/>
    <w:rsid w:val="00331069"/>
    <w:rsid w:val="00331149"/>
    <w:rsid w:val="00331278"/>
    <w:rsid w:val="00331319"/>
    <w:rsid w:val="00331602"/>
    <w:rsid w:val="00331994"/>
    <w:rsid w:val="00331D6A"/>
    <w:rsid w:val="00331EAE"/>
    <w:rsid w:val="00332335"/>
    <w:rsid w:val="003323AC"/>
    <w:rsid w:val="0033264A"/>
    <w:rsid w:val="003326DD"/>
    <w:rsid w:val="0033295A"/>
    <w:rsid w:val="00332F2B"/>
    <w:rsid w:val="00333115"/>
    <w:rsid w:val="00333CE0"/>
    <w:rsid w:val="00333FC1"/>
    <w:rsid w:val="0033400F"/>
    <w:rsid w:val="003341CD"/>
    <w:rsid w:val="003344B5"/>
    <w:rsid w:val="00335297"/>
    <w:rsid w:val="00335C10"/>
    <w:rsid w:val="00336214"/>
    <w:rsid w:val="003362F5"/>
    <w:rsid w:val="0033633E"/>
    <w:rsid w:val="003364CF"/>
    <w:rsid w:val="003365AB"/>
    <w:rsid w:val="0033728F"/>
    <w:rsid w:val="00337B90"/>
    <w:rsid w:val="00337E75"/>
    <w:rsid w:val="00337F96"/>
    <w:rsid w:val="00340789"/>
    <w:rsid w:val="00340BA1"/>
    <w:rsid w:val="00341432"/>
    <w:rsid w:val="00341B24"/>
    <w:rsid w:val="00341C9F"/>
    <w:rsid w:val="00342636"/>
    <w:rsid w:val="0034297D"/>
    <w:rsid w:val="00342B20"/>
    <w:rsid w:val="00342E8A"/>
    <w:rsid w:val="003430D1"/>
    <w:rsid w:val="00343733"/>
    <w:rsid w:val="00343775"/>
    <w:rsid w:val="00343AF4"/>
    <w:rsid w:val="00343DF6"/>
    <w:rsid w:val="0034490A"/>
    <w:rsid w:val="00344997"/>
    <w:rsid w:val="00344C49"/>
    <w:rsid w:val="00345198"/>
    <w:rsid w:val="00345BB0"/>
    <w:rsid w:val="00345C08"/>
    <w:rsid w:val="00345D9C"/>
    <w:rsid w:val="00345DA0"/>
    <w:rsid w:val="0034636C"/>
    <w:rsid w:val="00347341"/>
    <w:rsid w:val="003478A7"/>
    <w:rsid w:val="003500BC"/>
    <w:rsid w:val="0035011B"/>
    <w:rsid w:val="00350143"/>
    <w:rsid w:val="00350390"/>
    <w:rsid w:val="00351000"/>
    <w:rsid w:val="00351BDF"/>
    <w:rsid w:val="00351DCA"/>
    <w:rsid w:val="003520DC"/>
    <w:rsid w:val="00352D5F"/>
    <w:rsid w:val="003530C3"/>
    <w:rsid w:val="003533CF"/>
    <w:rsid w:val="00353E56"/>
    <w:rsid w:val="00354F3B"/>
    <w:rsid w:val="0035501F"/>
    <w:rsid w:val="0035535F"/>
    <w:rsid w:val="003553B9"/>
    <w:rsid w:val="003553CD"/>
    <w:rsid w:val="00355BC8"/>
    <w:rsid w:val="00355EAB"/>
    <w:rsid w:val="00355FFB"/>
    <w:rsid w:val="003560E8"/>
    <w:rsid w:val="0035655B"/>
    <w:rsid w:val="0035682D"/>
    <w:rsid w:val="00356D06"/>
    <w:rsid w:val="0035717D"/>
    <w:rsid w:val="003575F0"/>
    <w:rsid w:val="0035777D"/>
    <w:rsid w:val="00357B71"/>
    <w:rsid w:val="00357C16"/>
    <w:rsid w:val="003603BA"/>
    <w:rsid w:val="00360493"/>
    <w:rsid w:val="00360BA3"/>
    <w:rsid w:val="00360E3B"/>
    <w:rsid w:val="00360FF6"/>
    <w:rsid w:val="003613EE"/>
    <w:rsid w:val="0036170C"/>
    <w:rsid w:val="00361CF7"/>
    <w:rsid w:val="00361D8A"/>
    <w:rsid w:val="00361F52"/>
    <w:rsid w:val="00362211"/>
    <w:rsid w:val="003637AD"/>
    <w:rsid w:val="003637F7"/>
    <w:rsid w:val="00363AFC"/>
    <w:rsid w:val="003640A3"/>
    <w:rsid w:val="003641B5"/>
    <w:rsid w:val="00364336"/>
    <w:rsid w:val="0036436B"/>
    <w:rsid w:val="00364AA7"/>
    <w:rsid w:val="00364B05"/>
    <w:rsid w:val="00364F65"/>
    <w:rsid w:val="00365306"/>
    <w:rsid w:val="003653E0"/>
    <w:rsid w:val="0036592F"/>
    <w:rsid w:val="00365D13"/>
    <w:rsid w:val="00365D4A"/>
    <w:rsid w:val="00365E0A"/>
    <w:rsid w:val="003671DC"/>
    <w:rsid w:val="003675FC"/>
    <w:rsid w:val="0036796B"/>
    <w:rsid w:val="00367989"/>
    <w:rsid w:val="00367B04"/>
    <w:rsid w:val="00367B19"/>
    <w:rsid w:val="00370434"/>
    <w:rsid w:val="003705A3"/>
    <w:rsid w:val="003718E1"/>
    <w:rsid w:val="00372313"/>
    <w:rsid w:val="00372A05"/>
    <w:rsid w:val="00373BF4"/>
    <w:rsid w:val="00373EAB"/>
    <w:rsid w:val="003754B8"/>
    <w:rsid w:val="00375F3A"/>
    <w:rsid w:val="00376324"/>
    <w:rsid w:val="003763CC"/>
    <w:rsid w:val="00376735"/>
    <w:rsid w:val="003767DD"/>
    <w:rsid w:val="00376D04"/>
    <w:rsid w:val="00377047"/>
    <w:rsid w:val="003772F1"/>
    <w:rsid w:val="00377451"/>
    <w:rsid w:val="00377871"/>
    <w:rsid w:val="00377B75"/>
    <w:rsid w:val="003803BB"/>
    <w:rsid w:val="00380977"/>
    <w:rsid w:val="00380D9B"/>
    <w:rsid w:val="0038112F"/>
    <w:rsid w:val="00381869"/>
    <w:rsid w:val="00381A64"/>
    <w:rsid w:val="003828C4"/>
    <w:rsid w:val="00382924"/>
    <w:rsid w:val="00382D4E"/>
    <w:rsid w:val="003837A0"/>
    <w:rsid w:val="00383A80"/>
    <w:rsid w:val="00383C78"/>
    <w:rsid w:val="00383CD4"/>
    <w:rsid w:val="00384755"/>
    <w:rsid w:val="00384A22"/>
    <w:rsid w:val="00384AB9"/>
    <w:rsid w:val="00384BC0"/>
    <w:rsid w:val="00386574"/>
    <w:rsid w:val="00386D28"/>
    <w:rsid w:val="003874A7"/>
    <w:rsid w:val="00387683"/>
    <w:rsid w:val="003878B3"/>
    <w:rsid w:val="00387EA9"/>
    <w:rsid w:val="00390071"/>
    <w:rsid w:val="00390992"/>
    <w:rsid w:val="00390A94"/>
    <w:rsid w:val="00390E05"/>
    <w:rsid w:val="00390F84"/>
    <w:rsid w:val="003912C4"/>
    <w:rsid w:val="0039156B"/>
    <w:rsid w:val="0039166F"/>
    <w:rsid w:val="00391763"/>
    <w:rsid w:val="00392261"/>
    <w:rsid w:val="003925D3"/>
    <w:rsid w:val="00392A09"/>
    <w:rsid w:val="00392EA7"/>
    <w:rsid w:val="00393CCD"/>
    <w:rsid w:val="00393E00"/>
    <w:rsid w:val="003944F8"/>
    <w:rsid w:val="00394AD1"/>
    <w:rsid w:val="00394B3A"/>
    <w:rsid w:val="00394DC8"/>
    <w:rsid w:val="00395402"/>
    <w:rsid w:val="00395F0C"/>
    <w:rsid w:val="00397423"/>
    <w:rsid w:val="00397A3D"/>
    <w:rsid w:val="003A03A7"/>
    <w:rsid w:val="003A09D4"/>
    <w:rsid w:val="003A1B49"/>
    <w:rsid w:val="003A1BAD"/>
    <w:rsid w:val="003A1EC7"/>
    <w:rsid w:val="003A2076"/>
    <w:rsid w:val="003A296B"/>
    <w:rsid w:val="003A2FFF"/>
    <w:rsid w:val="003A306B"/>
    <w:rsid w:val="003A36D5"/>
    <w:rsid w:val="003A3789"/>
    <w:rsid w:val="003A3AE9"/>
    <w:rsid w:val="003A47EE"/>
    <w:rsid w:val="003A492E"/>
    <w:rsid w:val="003A4CAD"/>
    <w:rsid w:val="003A50FA"/>
    <w:rsid w:val="003A66A7"/>
    <w:rsid w:val="003A69DE"/>
    <w:rsid w:val="003A6B66"/>
    <w:rsid w:val="003A7000"/>
    <w:rsid w:val="003A7118"/>
    <w:rsid w:val="003A77CD"/>
    <w:rsid w:val="003A7B5B"/>
    <w:rsid w:val="003B023E"/>
    <w:rsid w:val="003B02E0"/>
    <w:rsid w:val="003B0377"/>
    <w:rsid w:val="003B03D8"/>
    <w:rsid w:val="003B053F"/>
    <w:rsid w:val="003B0A3B"/>
    <w:rsid w:val="003B0C2B"/>
    <w:rsid w:val="003B0FE3"/>
    <w:rsid w:val="003B1AC9"/>
    <w:rsid w:val="003B1BD6"/>
    <w:rsid w:val="003B2506"/>
    <w:rsid w:val="003B27A1"/>
    <w:rsid w:val="003B29E3"/>
    <w:rsid w:val="003B2BD4"/>
    <w:rsid w:val="003B2E5B"/>
    <w:rsid w:val="003B2E9E"/>
    <w:rsid w:val="003B3073"/>
    <w:rsid w:val="003B3A83"/>
    <w:rsid w:val="003B3AED"/>
    <w:rsid w:val="003B3B98"/>
    <w:rsid w:val="003B3CDA"/>
    <w:rsid w:val="003B413B"/>
    <w:rsid w:val="003B4254"/>
    <w:rsid w:val="003B4C73"/>
    <w:rsid w:val="003B4E1D"/>
    <w:rsid w:val="003B5557"/>
    <w:rsid w:val="003B58AD"/>
    <w:rsid w:val="003B6667"/>
    <w:rsid w:val="003B6AE7"/>
    <w:rsid w:val="003B7A4E"/>
    <w:rsid w:val="003C048B"/>
    <w:rsid w:val="003C052D"/>
    <w:rsid w:val="003C0644"/>
    <w:rsid w:val="003C0C17"/>
    <w:rsid w:val="003C0DF8"/>
    <w:rsid w:val="003C1D59"/>
    <w:rsid w:val="003C21BF"/>
    <w:rsid w:val="003C2289"/>
    <w:rsid w:val="003C26D6"/>
    <w:rsid w:val="003C2ED0"/>
    <w:rsid w:val="003C2F8A"/>
    <w:rsid w:val="003C3082"/>
    <w:rsid w:val="003C468E"/>
    <w:rsid w:val="003C4C4D"/>
    <w:rsid w:val="003C516A"/>
    <w:rsid w:val="003C5C65"/>
    <w:rsid w:val="003C5DC8"/>
    <w:rsid w:val="003C5E99"/>
    <w:rsid w:val="003C60B0"/>
    <w:rsid w:val="003C6913"/>
    <w:rsid w:val="003C6A64"/>
    <w:rsid w:val="003C6E69"/>
    <w:rsid w:val="003C7272"/>
    <w:rsid w:val="003C72DD"/>
    <w:rsid w:val="003C77E6"/>
    <w:rsid w:val="003C7AF9"/>
    <w:rsid w:val="003D024C"/>
    <w:rsid w:val="003D04F0"/>
    <w:rsid w:val="003D0BFA"/>
    <w:rsid w:val="003D1336"/>
    <w:rsid w:val="003D1926"/>
    <w:rsid w:val="003D2140"/>
    <w:rsid w:val="003D2796"/>
    <w:rsid w:val="003D3099"/>
    <w:rsid w:val="003D33A1"/>
    <w:rsid w:val="003D3C51"/>
    <w:rsid w:val="003D3D24"/>
    <w:rsid w:val="003D497C"/>
    <w:rsid w:val="003D4AF9"/>
    <w:rsid w:val="003D51BD"/>
    <w:rsid w:val="003D5476"/>
    <w:rsid w:val="003D5653"/>
    <w:rsid w:val="003D5C73"/>
    <w:rsid w:val="003D6F6A"/>
    <w:rsid w:val="003D76DF"/>
    <w:rsid w:val="003D76FA"/>
    <w:rsid w:val="003D77C5"/>
    <w:rsid w:val="003D7B21"/>
    <w:rsid w:val="003E035F"/>
    <w:rsid w:val="003E0A4B"/>
    <w:rsid w:val="003E0D7E"/>
    <w:rsid w:val="003E102B"/>
    <w:rsid w:val="003E124B"/>
    <w:rsid w:val="003E14F7"/>
    <w:rsid w:val="003E2030"/>
    <w:rsid w:val="003E2238"/>
    <w:rsid w:val="003E29FA"/>
    <w:rsid w:val="003E2F0A"/>
    <w:rsid w:val="003E33D7"/>
    <w:rsid w:val="003E346F"/>
    <w:rsid w:val="003E4BEB"/>
    <w:rsid w:val="003E4CFA"/>
    <w:rsid w:val="003E52C0"/>
    <w:rsid w:val="003E5718"/>
    <w:rsid w:val="003E5A92"/>
    <w:rsid w:val="003E5C68"/>
    <w:rsid w:val="003E5EC6"/>
    <w:rsid w:val="003E6D99"/>
    <w:rsid w:val="003E6FA4"/>
    <w:rsid w:val="003E7074"/>
    <w:rsid w:val="003E73AC"/>
    <w:rsid w:val="003F00DA"/>
    <w:rsid w:val="003F022A"/>
    <w:rsid w:val="003F0713"/>
    <w:rsid w:val="003F08D1"/>
    <w:rsid w:val="003F0B8D"/>
    <w:rsid w:val="003F1326"/>
    <w:rsid w:val="003F1405"/>
    <w:rsid w:val="003F1493"/>
    <w:rsid w:val="003F16F7"/>
    <w:rsid w:val="003F1D95"/>
    <w:rsid w:val="003F1DFE"/>
    <w:rsid w:val="003F2E2C"/>
    <w:rsid w:val="003F3370"/>
    <w:rsid w:val="003F33BC"/>
    <w:rsid w:val="003F36F6"/>
    <w:rsid w:val="003F37B9"/>
    <w:rsid w:val="003F3D14"/>
    <w:rsid w:val="003F439E"/>
    <w:rsid w:val="003F43BE"/>
    <w:rsid w:val="003F49C0"/>
    <w:rsid w:val="003F4DF0"/>
    <w:rsid w:val="003F54E6"/>
    <w:rsid w:val="003F569B"/>
    <w:rsid w:val="003F5912"/>
    <w:rsid w:val="003F5938"/>
    <w:rsid w:val="003F5EAA"/>
    <w:rsid w:val="003F5F04"/>
    <w:rsid w:val="003F6289"/>
    <w:rsid w:val="003F63A3"/>
    <w:rsid w:val="003F63EF"/>
    <w:rsid w:val="003F6669"/>
    <w:rsid w:val="003F692A"/>
    <w:rsid w:val="003F6B5F"/>
    <w:rsid w:val="003F6DD1"/>
    <w:rsid w:val="003F75A1"/>
    <w:rsid w:val="003F764F"/>
    <w:rsid w:val="004001B0"/>
    <w:rsid w:val="00400BC5"/>
    <w:rsid w:val="00401163"/>
    <w:rsid w:val="0040118E"/>
    <w:rsid w:val="00401341"/>
    <w:rsid w:val="0040326A"/>
    <w:rsid w:val="004037F0"/>
    <w:rsid w:val="00403F34"/>
    <w:rsid w:val="00403F39"/>
    <w:rsid w:val="004049DA"/>
    <w:rsid w:val="00404A3F"/>
    <w:rsid w:val="00405574"/>
    <w:rsid w:val="004056AA"/>
    <w:rsid w:val="004058C6"/>
    <w:rsid w:val="00405E8F"/>
    <w:rsid w:val="0040610F"/>
    <w:rsid w:val="0040747D"/>
    <w:rsid w:val="004074D8"/>
    <w:rsid w:val="00407625"/>
    <w:rsid w:val="004103CE"/>
    <w:rsid w:val="0041057A"/>
    <w:rsid w:val="004105FA"/>
    <w:rsid w:val="00410869"/>
    <w:rsid w:val="00410951"/>
    <w:rsid w:val="0041169A"/>
    <w:rsid w:val="00411A9E"/>
    <w:rsid w:val="00411DAC"/>
    <w:rsid w:val="00412038"/>
    <w:rsid w:val="0041255A"/>
    <w:rsid w:val="00412AFB"/>
    <w:rsid w:val="00413544"/>
    <w:rsid w:val="00413A98"/>
    <w:rsid w:val="00413BC6"/>
    <w:rsid w:val="004140AD"/>
    <w:rsid w:val="00414407"/>
    <w:rsid w:val="004148A7"/>
    <w:rsid w:val="00414B0B"/>
    <w:rsid w:val="00415B8B"/>
    <w:rsid w:val="0041624A"/>
    <w:rsid w:val="00416353"/>
    <w:rsid w:val="004164DA"/>
    <w:rsid w:val="00416644"/>
    <w:rsid w:val="0041680A"/>
    <w:rsid w:val="00416FB1"/>
    <w:rsid w:val="0041700E"/>
    <w:rsid w:val="00417540"/>
    <w:rsid w:val="0041767C"/>
    <w:rsid w:val="00417742"/>
    <w:rsid w:val="00417C7A"/>
    <w:rsid w:val="004207A9"/>
    <w:rsid w:val="00420947"/>
    <w:rsid w:val="00420D41"/>
    <w:rsid w:val="00421039"/>
    <w:rsid w:val="00421A14"/>
    <w:rsid w:val="00422326"/>
    <w:rsid w:val="0042251D"/>
    <w:rsid w:val="00422C3E"/>
    <w:rsid w:val="00423065"/>
    <w:rsid w:val="00423170"/>
    <w:rsid w:val="004241F1"/>
    <w:rsid w:val="0042432E"/>
    <w:rsid w:val="00424603"/>
    <w:rsid w:val="00424626"/>
    <w:rsid w:val="0042478D"/>
    <w:rsid w:val="004247AA"/>
    <w:rsid w:val="00425B64"/>
    <w:rsid w:val="00425D4B"/>
    <w:rsid w:val="00425FE6"/>
    <w:rsid w:val="00426016"/>
    <w:rsid w:val="004260A6"/>
    <w:rsid w:val="0042612B"/>
    <w:rsid w:val="004264E6"/>
    <w:rsid w:val="00427421"/>
    <w:rsid w:val="00430124"/>
    <w:rsid w:val="0043069E"/>
    <w:rsid w:val="00430798"/>
    <w:rsid w:val="004307EF"/>
    <w:rsid w:val="00431180"/>
    <w:rsid w:val="00431D37"/>
    <w:rsid w:val="00431EF3"/>
    <w:rsid w:val="00433159"/>
    <w:rsid w:val="00433162"/>
    <w:rsid w:val="004335F9"/>
    <w:rsid w:val="004338EF"/>
    <w:rsid w:val="004339B1"/>
    <w:rsid w:val="00433E39"/>
    <w:rsid w:val="004342E6"/>
    <w:rsid w:val="00434762"/>
    <w:rsid w:val="004347ED"/>
    <w:rsid w:val="00434C1D"/>
    <w:rsid w:val="00434FBB"/>
    <w:rsid w:val="00435271"/>
    <w:rsid w:val="004352C1"/>
    <w:rsid w:val="004354E7"/>
    <w:rsid w:val="00435875"/>
    <w:rsid w:val="00435E43"/>
    <w:rsid w:val="00436292"/>
    <w:rsid w:val="0043651A"/>
    <w:rsid w:val="00436B42"/>
    <w:rsid w:val="00436C7F"/>
    <w:rsid w:val="0043710C"/>
    <w:rsid w:val="004374FF"/>
    <w:rsid w:val="00437611"/>
    <w:rsid w:val="00437B71"/>
    <w:rsid w:val="00440199"/>
    <w:rsid w:val="004403BE"/>
    <w:rsid w:val="0044049B"/>
    <w:rsid w:val="00440673"/>
    <w:rsid w:val="0044089C"/>
    <w:rsid w:val="00441454"/>
    <w:rsid w:val="00441665"/>
    <w:rsid w:val="00441F83"/>
    <w:rsid w:val="0044218D"/>
    <w:rsid w:val="00443217"/>
    <w:rsid w:val="0044474A"/>
    <w:rsid w:val="00444BD3"/>
    <w:rsid w:val="00445748"/>
    <w:rsid w:val="0044576B"/>
    <w:rsid w:val="00445EC3"/>
    <w:rsid w:val="004463CE"/>
    <w:rsid w:val="00446DB3"/>
    <w:rsid w:val="0044714E"/>
    <w:rsid w:val="00447731"/>
    <w:rsid w:val="00447BE7"/>
    <w:rsid w:val="00447DBC"/>
    <w:rsid w:val="00450032"/>
    <w:rsid w:val="00450114"/>
    <w:rsid w:val="00450185"/>
    <w:rsid w:val="004501DD"/>
    <w:rsid w:val="0045034E"/>
    <w:rsid w:val="00450605"/>
    <w:rsid w:val="0045079E"/>
    <w:rsid w:val="00450843"/>
    <w:rsid w:val="004523B4"/>
    <w:rsid w:val="00452988"/>
    <w:rsid w:val="004529A6"/>
    <w:rsid w:val="00452B1E"/>
    <w:rsid w:val="00454579"/>
    <w:rsid w:val="00454CD5"/>
    <w:rsid w:val="00456A26"/>
    <w:rsid w:val="00456B97"/>
    <w:rsid w:val="00456FEA"/>
    <w:rsid w:val="004575C8"/>
    <w:rsid w:val="004577F8"/>
    <w:rsid w:val="00457945"/>
    <w:rsid w:val="00457D86"/>
    <w:rsid w:val="00460035"/>
    <w:rsid w:val="004600CD"/>
    <w:rsid w:val="004601E8"/>
    <w:rsid w:val="0046033D"/>
    <w:rsid w:val="00460604"/>
    <w:rsid w:val="004608B4"/>
    <w:rsid w:val="004618EA"/>
    <w:rsid w:val="0046323F"/>
    <w:rsid w:val="004633B9"/>
    <w:rsid w:val="004635E0"/>
    <w:rsid w:val="00463BBB"/>
    <w:rsid w:val="00463DED"/>
    <w:rsid w:val="00464375"/>
    <w:rsid w:val="00464A2B"/>
    <w:rsid w:val="00464D55"/>
    <w:rsid w:val="004655AF"/>
    <w:rsid w:val="004656AE"/>
    <w:rsid w:val="004661CC"/>
    <w:rsid w:val="004663C8"/>
    <w:rsid w:val="0046677F"/>
    <w:rsid w:val="00466A29"/>
    <w:rsid w:val="00466D40"/>
    <w:rsid w:val="00466F43"/>
    <w:rsid w:val="00467163"/>
    <w:rsid w:val="00470136"/>
    <w:rsid w:val="004706E7"/>
    <w:rsid w:val="0047074E"/>
    <w:rsid w:val="00470985"/>
    <w:rsid w:val="004709B2"/>
    <w:rsid w:val="004710CF"/>
    <w:rsid w:val="004711BA"/>
    <w:rsid w:val="004714C9"/>
    <w:rsid w:val="00471F54"/>
    <w:rsid w:val="00471FB9"/>
    <w:rsid w:val="00472C06"/>
    <w:rsid w:val="00472FF9"/>
    <w:rsid w:val="00473266"/>
    <w:rsid w:val="00474688"/>
    <w:rsid w:val="00475ACD"/>
    <w:rsid w:val="00475DA7"/>
    <w:rsid w:val="0047650F"/>
    <w:rsid w:val="004769A8"/>
    <w:rsid w:val="00476B41"/>
    <w:rsid w:val="00476D0B"/>
    <w:rsid w:val="00476E9B"/>
    <w:rsid w:val="004779D7"/>
    <w:rsid w:val="00477F1E"/>
    <w:rsid w:val="004802BA"/>
    <w:rsid w:val="0048068F"/>
    <w:rsid w:val="00480A25"/>
    <w:rsid w:val="00480C94"/>
    <w:rsid w:val="00480CEC"/>
    <w:rsid w:val="00480E14"/>
    <w:rsid w:val="00480EBC"/>
    <w:rsid w:val="00481007"/>
    <w:rsid w:val="00481025"/>
    <w:rsid w:val="004811E5"/>
    <w:rsid w:val="0048127C"/>
    <w:rsid w:val="004815ED"/>
    <w:rsid w:val="00481703"/>
    <w:rsid w:val="004817A1"/>
    <w:rsid w:val="004817D7"/>
    <w:rsid w:val="00481853"/>
    <w:rsid w:val="00481B6D"/>
    <w:rsid w:val="00481F74"/>
    <w:rsid w:val="00482008"/>
    <w:rsid w:val="00482481"/>
    <w:rsid w:val="00482743"/>
    <w:rsid w:val="00482BCC"/>
    <w:rsid w:val="004830A0"/>
    <w:rsid w:val="004836F9"/>
    <w:rsid w:val="00483D71"/>
    <w:rsid w:val="00483E97"/>
    <w:rsid w:val="00484F09"/>
    <w:rsid w:val="0048533E"/>
    <w:rsid w:val="004853F4"/>
    <w:rsid w:val="00486192"/>
    <w:rsid w:val="00486202"/>
    <w:rsid w:val="004864F4"/>
    <w:rsid w:val="004868FB"/>
    <w:rsid w:val="00486C9A"/>
    <w:rsid w:val="0048725F"/>
    <w:rsid w:val="0048745D"/>
    <w:rsid w:val="0048776B"/>
    <w:rsid w:val="004877F3"/>
    <w:rsid w:val="004904DB"/>
    <w:rsid w:val="0049066B"/>
    <w:rsid w:val="004908EA"/>
    <w:rsid w:val="004912B9"/>
    <w:rsid w:val="00491E8D"/>
    <w:rsid w:val="00491F8C"/>
    <w:rsid w:val="00492FF7"/>
    <w:rsid w:val="0049305D"/>
    <w:rsid w:val="004935F1"/>
    <w:rsid w:val="00493C35"/>
    <w:rsid w:val="00494A16"/>
    <w:rsid w:val="004950C3"/>
    <w:rsid w:val="0049514D"/>
    <w:rsid w:val="00495202"/>
    <w:rsid w:val="004957AA"/>
    <w:rsid w:val="00495FE6"/>
    <w:rsid w:val="0049646C"/>
    <w:rsid w:val="004965E2"/>
    <w:rsid w:val="00496776"/>
    <w:rsid w:val="00497AAD"/>
    <w:rsid w:val="00497ADA"/>
    <w:rsid w:val="00497B8B"/>
    <w:rsid w:val="00497CDE"/>
    <w:rsid w:val="00497D3A"/>
    <w:rsid w:val="00497F9B"/>
    <w:rsid w:val="004A00AB"/>
    <w:rsid w:val="004A00EE"/>
    <w:rsid w:val="004A018F"/>
    <w:rsid w:val="004A029A"/>
    <w:rsid w:val="004A0433"/>
    <w:rsid w:val="004A08FA"/>
    <w:rsid w:val="004A14BC"/>
    <w:rsid w:val="004A1C53"/>
    <w:rsid w:val="004A1E4B"/>
    <w:rsid w:val="004A215F"/>
    <w:rsid w:val="004A21DB"/>
    <w:rsid w:val="004A255F"/>
    <w:rsid w:val="004A2844"/>
    <w:rsid w:val="004A2B63"/>
    <w:rsid w:val="004A2FCE"/>
    <w:rsid w:val="004A305C"/>
    <w:rsid w:val="004A3363"/>
    <w:rsid w:val="004A3ACB"/>
    <w:rsid w:val="004A4324"/>
    <w:rsid w:val="004A4C3D"/>
    <w:rsid w:val="004A4EA0"/>
    <w:rsid w:val="004A52C5"/>
    <w:rsid w:val="004A5345"/>
    <w:rsid w:val="004A55CB"/>
    <w:rsid w:val="004A55F5"/>
    <w:rsid w:val="004A57EC"/>
    <w:rsid w:val="004A5BBE"/>
    <w:rsid w:val="004A678B"/>
    <w:rsid w:val="004A67F3"/>
    <w:rsid w:val="004A6B97"/>
    <w:rsid w:val="004A6CB1"/>
    <w:rsid w:val="004A734B"/>
    <w:rsid w:val="004A783E"/>
    <w:rsid w:val="004A7EE3"/>
    <w:rsid w:val="004B0117"/>
    <w:rsid w:val="004B04B0"/>
    <w:rsid w:val="004B0C74"/>
    <w:rsid w:val="004B0F65"/>
    <w:rsid w:val="004B1810"/>
    <w:rsid w:val="004B1D80"/>
    <w:rsid w:val="004B225D"/>
    <w:rsid w:val="004B2660"/>
    <w:rsid w:val="004B2916"/>
    <w:rsid w:val="004B2BAA"/>
    <w:rsid w:val="004B2BF3"/>
    <w:rsid w:val="004B361A"/>
    <w:rsid w:val="004B3F2B"/>
    <w:rsid w:val="004B4184"/>
    <w:rsid w:val="004B4DDA"/>
    <w:rsid w:val="004B4E78"/>
    <w:rsid w:val="004B573B"/>
    <w:rsid w:val="004B5C40"/>
    <w:rsid w:val="004B5F0A"/>
    <w:rsid w:val="004B61FD"/>
    <w:rsid w:val="004B791A"/>
    <w:rsid w:val="004C0162"/>
    <w:rsid w:val="004C056D"/>
    <w:rsid w:val="004C0900"/>
    <w:rsid w:val="004C0922"/>
    <w:rsid w:val="004C191A"/>
    <w:rsid w:val="004C19F6"/>
    <w:rsid w:val="004C1A41"/>
    <w:rsid w:val="004C1ABC"/>
    <w:rsid w:val="004C1B04"/>
    <w:rsid w:val="004C1DAD"/>
    <w:rsid w:val="004C29ED"/>
    <w:rsid w:val="004C29FB"/>
    <w:rsid w:val="004C3589"/>
    <w:rsid w:val="004C3A04"/>
    <w:rsid w:val="004C403D"/>
    <w:rsid w:val="004C439A"/>
    <w:rsid w:val="004C4AC5"/>
    <w:rsid w:val="004C4CB7"/>
    <w:rsid w:val="004C4EA2"/>
    <w:rsid w:val="004C5463"/>
    <w:rsid w:val="004C56AC"/>
    <w:rsid w:val="004C57AE"/>
    <w:rsid w:val="004C581F"/>
    <w:rsid w:val="004C5952"/>
    <w:rsid w:val="004C5C88"/>
    <w:rsid w:val="004C61A6"/>
    <w:rsid w:val="004C63FB"/>
    <w:rsid w:val="004C672A"/>
    <w:rsid w:val="004C7A62"/>
    <w:rsid w:val="004C7BA1"/>
    <w:rsid w:val="004D04D6"/>
    <w:rsid w:val="004D06B8"/>
    <w:rsid w:val="004D0E94"/>
    <w:rsid w:val="004D0FDF"/>
    <w:rsid w:val="004D141F"/>
    <w:rsid w:val="004D1923"/>
    <w:rsid w:val="004D1934"/>
    <w:rsid w:val="004D2855"/>
    <w:rsid w:val="004D2970"/>
    <w:rsid w:val="004D2A05"/>
    <w:rsid w:val="004D30DC"/>
    <w:rsid w:val="004D322E"/>
    <w:rsid w:val="004D32F9"/>
    <w:rsid w:val="004D38D1"/>
    <w:rsid w:val="004D3FE4"/>
    <w:rsid w:val="004D3FF3"/>
    <w:rsid w:val="004D4CF0"/>
    <w:rsid w:val="004D4F4B"/>
    <w:rsid w:val="004D534B"/>
    <w:rsid w:val="004D6B26"/>
    <w:rsid w:val="004D6E99"/>
    <w:rsid w:val="004D7800"/>
    <w:rsid w:val="004D79A0"/>
    <w:rsid w:val="004D7A26"/>
    <w:rsid w:val="004D7AD8"/>
    <w:rsid w:val="004D7CE2"/>
    <w:rsid w:val="004E0685"/>
    <w:rsid w:val="004E10AF"/>
    <w:rsid w:val="004E1AD1"/>
    <w:rsid w:val="004E1B8A"/>
    <w:rsid w:val="004E1B8B"/>
    <w:rsid w:val="004E270C"/>
    <w:rsid w:val="004E28C0"/>
    <w:rsid w:val="004E347C"/>
    <w:rsid w:val="004E3FF2"/>
    <w:rsid w:val="004E4E76"/>
    <w:rsid w:val="004E504F"/>
    <w:rsid w:val="004E5709"/>
    <w:rsid w:val="004E5888"/>
    <w:rsid w:val="004E5F81"/>
    <w:rsid w:val="004E5FCF"/>
    <w:rsid w:val="004E65AC"/>
    <w:rsid w:val="004E6BA0"/>
    <w:rsid w:val="004E70F1"/>
    <w:rsid w:val="004E7283"/>
    <w:rsid w:val="004E76E0"/>
    <w:rsid w:val="004E78BE"/>
    <w:rsid w:val="004E7937"/>
    <w:rsid w:val="004E7B28"/>
    <w:rsid w:val="004E7BFD"/>
    <w:rsid w:val="004F04C3"/>
    <w:rsid w:val="004F07E0"/>
    <w:rsid w:val="004F08C2"/>
    <w:rsid w:val="004F0B01"/>
    <w:rsid w:val="004F0F09"/>
    <w:rsid w:val="004F144B"/>
    <w:rsid w:val="004F1891"/>
    <w:rsid w:val="004F1932"/>
    <w:rsid w:val="004F1D34"/>
    <w:rsid w:val="004F2358"/>
    <w:rsid w:val="004F2423"/>
    <w:rsid w:val="004F2466"/>
    <w:rsid w:val="004F2468"/>
    <w:rsid w:val="004F2A28"/>
    <w:rsid w:val="004F2F88"/>
    <w:rsid w:val="004F3081"/>
    <w:rsid w:val="004F3B0B"/>
    <w:rsid w:val="004F415E"/>
    <w:rsid w:val="004F4D51"/>
    <w:rsid w:val="004F5F53"/>
    <w:rsid w:val="004F6C0F"/>
    <w:rsid w:val="004F6F3B"/>
    <w:rsid w:val="004F718E"/>
    <w:rsid w:val="004F7FD8"/>
    <w:rsid w:val="00500AF5"/>
    <w:rsid w:val="00500B0C"/>
    <w:rsid w:val="005013D9"/>
    <w:rsid w:val="00501788"/>
    <w:rsid w:val="0050197C"/>
    <w:rsid w:val="00501A97"/>
    <w:rsid w:val="00501CED"/>
    <w:rsid w:val="00501E86"/>
    <w:rsid w:val="00501F67"/>
    <w:rsid w:val="00502207"/>
    <w:rsid w:val="00502441"/>
    <w:rsid w:val="00502B84"/>
    <w:rsid w:val="00502BFD"/>
    <w:rsid w:val="00502DCD"/>
    <w:rsid w:val="00503914"/>
    <w:rsid w:val="005045EF"/>
    <w:rsid w:val="005047B1"/>
    <w:rsid w:val="00504B7D"/>
    <w:rsid w:val="00504DF9"/>
    <w:rsid w:val="0050520F"/>
    <w:rsid w:val="0050590A"/>
    <w:rsid w:val="00505C40"/>
    <w:rsid w:val="00506048"/>
    <w:rsid w:val="0050734E"/>
    <w:rsid w:val="00507354"/>
    <w:rsid w:val="0050750B"/>
    <w:rsid w:val="00507D7D"/>
    <w:rsid w:val="00510D7E"/>
    <w:rsid w:val="00511C6E"/>
    <w:rsid w:val="00511E97"/>
    <w:rsid w:val="005124A6"/>
    <w:rsid w:val="00512BD9"/>
    <w:rsid w:val="00513393"/>
    <w:rsid w:val="00513EDC"/>
    <w:rsid w:val="00513F49"/>
    <w:rsid w:val="00514907"/>
    <w:rsid w:val="00514B43"/>
    <w:rsid w:val="00514D9F"/>
    <w:rsid w:val="00514EB1"/>
    <w:rsid w:val="005152E0"/>
    <w:rsid w:val="00515478"/>
    <w:rsid w:val="00515728"/>
    <w:rsid w:val="005157C4"/>
    <w:rsid w:val="00515A3B"/>
    <w:rsid w:val="00515BF0"/>
    <w:rsid w:val="005169E2"/>
    <w:rsid w:val="005169F4"/>
    <w:rsid w:val="00517101"/>
    <w:rsid w:val="00517636"/>
    <w:rsid w:val="00517E18"/>
    <w:rsid w:val="0052111B"/>
    <w:rsid w:val="00521DE0"/>
    <w:rsid w:val="005223D1"/>
    <w:rsid w:val="00522429"/>
    <w:rsid w:val="00522A0F"/>
    <w:rsid w:val="00522ABF"/>
    <w:rsid w:val="00522D49"/>
    <w:rsid w:val="00523DF3"/>
    <w:rsid w:val="00524714"/>
    <w:rsid w:val="00525337"/>
    <w:rsid w:val="00525E9E"/>
    <w:rsid w:val="0052622F"/>
    <w:rsid w:val="0052629D"/>
    <w:rsid w:val="00526690"/>
    <w:rsid w:val="00526BA6"/>
    <w:rsid w:val="00527F30"/>
    <w:rsid w:val="0053054B"/>
    <w:rsid w:val="005317BD"/>
    <w:rsid w:val="00531A3F"/>
    <w:rsid w:val="00531E01"/>
    <w:rsid w:val="00531E39"/>
    <w:rsid w:val="0053200F"/>
    <w:rsid w:val="005320D9"/>
    <w:rsid w:val="00532222"/>
    <w:rsid w:val="00532622"/>
    <w:rsid w:val="0053283B"/>
    <w:rsid w:val="00533100"/>
    <w:rsid w:val="00533B44"/>
    <w:rsid w:val="00533BFC"/>
    <w:rsid w:val="00533E34"/>
    <w:rsid w:val="00534041"/>
    <w:rsid w:val="00534C97"/>
    <w:rsid w:val="0053503E"/>
    <w:rsid w:val="0053625C"/>
    <w:rsid w:val="00536FDA"/>
    <w:rsid w:val="00537040"/>
    <w:rsid w:val="00537063"/>
    <w:rsid w:val="005371A6"/>
    <w:rsid w:val="00537CF5"/>
    <w:rsid w:val="00537D9F"/>
    <w:rsid w:val="00537DA7"/>
    <w:rsid w:val="005402A5"/>
    <w:rsid w:val="00541035"/>
    <w:rsid w:val="00541F7B"/>
    <w:rsid w:val="005428E9"/>
    <w:rsid w:val="00542BAF"/>
    <w:rsid w:val="00542DE8"/>
    <w:rsid w:val="00542E9F"/>
    <w:rsid w:val="005432F2"/>
    <w:rsid w:val="00543379"/>
    <w:rsid w:val="005438FF"/>
    <w:rsid w:val="0054498F"/>
    <w:rsid w:val="00544CD5"/>
    <w:rsid w:val="00545136"/>
    <w:rsid w:val="005453CB"/>
    <w:rsid w:val="0054576E"/>
    <w:rsid w:val="00545C0C"/>
    <w:rsid w:val="005460BE"/>
    <w:rsid w:val="005461BD"/>
    <w:rsid w:val="0054640B"/>
    <w:rsid w:val="0054662C"/>
    <w:rsid w:val="00546A87"/>
    <w:rsid w:val="00547024"/>
    <w:rsid w:val="0054710A"/>
    <w:rsid w:val="00547222"/>
    <w:rsid w:val="005474A9"/>
    <w:rsid w:val="0054793B"/>
    <w:rsid w:val="00547C69"/>
    <w:rsid w:val="0055028C"/>
    <w:rsid w:val="005506BA"/>
    <w:rsid w:val="00550FCB"/>
    <w:rsid w:val="00551857"/>
    <w:rsid w:val="00552199"/>
    <w:rsid w:val="0055230D"/>
    <w:rsid w:val="005524A7"/>
    <w:rsid w:val="005524F1"/>
    <w:rsid w:val="0055264F"/>
    <w:rsid w:val="005527BA"/>
    <w:rsid w:val="00552A00"/>
    <w:rsid w:val="00552E00"/>
    <w:rsid w:val="0055301A"/>
    <w:rsid w:val="005531B2"/>
    <w:rsid w:val="00553454"/>
    <w:rsid w:val="00553BB0"/>
    <w:rsid w:val="00553D70"/>
    <w:rsid w:val="00553FC6"/>
    <w:rsid w:val="0055423A"/>
    <w:rsid w:val="005547A3"/>
    <w:rsid w:val="00554C57"/>
    <w:rsid w:val="005553C5"/>
    <w:rsid w:val="00555593"/>
    <w:rsid w:val="00555758"/>
    <w:rsid w:val="005559E6"/>
    <w:rsid w:val="00555F5B"/>
    <w:rsid w:val="00556C9E"/>
    <w:rsid w:val="00556CF7"/>
    <w:rsid w:val="005571D8"/>
    <w:rsid w:val="00557744"/>
    <w:rsid w:val="0055788B"/>
    <w:rsid w:val="00557D52"/>
    <w:rsid w:val="0056059F"/>
    <w:rsid w:val="00560C5C"/>
    <w:rsid w:val="0056128F"/>
    <w:rsid w:val="0056164A"/>
    <w:rsid w:val="00561C1D"/>
    <w:rsid w:val="00562194"/>
    <w:rsid w:val="0056229D"/>
    <w:rsid w:val="0056240E"/>
    <w:rsid w:val="005626AD"/>
    <w:rsid w:val="0056288B"/>
    <w:rsid w:val="00562934"/>
    <w:rsid w:val="00562BCA"/>
    <w:rsid w:val="00562F1B"/>
    <w:rsid w:val="00562FF7"/>
    <w:rsid w:val="00563210"/>
    <w:rsid w:val="0056378C"/>
    <w:rsid w:val="00563E65"/>
    <w:rsid w:val="0056462A"/>
    <w:rsid w:val="00564B3A"/>
    <w:rsid w:val="00564C7B"/>
    <w:rsid w:val="00565605"/>
    <w:rsid w:val="005656EF"/>
    <w:rsid w:val="00565EEF"/>
    <w:rsid w:val="005660C6"/>
    <w:rsid w:val="0056623B"/>
    <w:rsid w:val="005668D5"/>
    <w:rsid w:val="00567189"/>
    <w:rsid w:val="00567DD5"/>
    <w:rsid w:val="00570981"/>
    <w:rsid w:val="00571AB4"/>
    <w:rsid w:val="00571C2F"/>
    <w:rsid w:val="00571C79"/>
    <w:rsid w:val="00572D4D"/>
    <w:rsid w:val="0057319A"/>
    <w:rsid w:val="00573205"/>
    <w:rsid w:val="0057361E"/>
    <w:rsid w:val="00573830"/>
    <w:rsid w:val="0057391D"/>
    <w:rsid w:val="005739E9"/>
    <w:rsid w:val="00573C88"/>
    <w:rsid w:val="00573DFD"/>
    <w:rsid w:val="0057412B"/>
    <w:rsid w:val="00574B3E"/>
    <w:rsid w:val="005751F5"/>
    <w:rsid w:val="00575481"/>
    <w:rsid w:val="00575791"/>
    <w:rsid w:val="0057597F"/>
    <w:rsid w:val="00575AEC"/>
    <w:rsid w:val="00575E56"/>
    <w:rsid w:val="005760BC"/>
    <w:rsid w:val="00576131"/>
    <w:rsid w:val="00576A3E"/>
    <w:rsid w:val="00576A4E"/>
    <w:rsid w:val="00576AC0"/>
    <w:rsid w:val="00576DE4"/>
    <w:rsid w:val="00576FB3"/>
    <w:rsid w:val="0057760F"/>
    <w:rsid w:val="005778B5"/>
    <w:rsid w:val="00577BD7"/>
    <w:rsid w:val="00577F58"/>
    <w:rsid w:val="00581127"/>
    <w:rsid w:val="00581608"/>
    <w:rsid w:val="00581700"/>
    <w:rsid w:val="0058203A"/>
    <w:rsid w:val="0058224E"/>
    <w:rsid w:val="005827A0"/>
    <w:rsid w:val="005829AB"/>
    <w:rsid w:val="00582AA2"/>
    <w:rsid w:val="00583129"/>
    <w:rsid w:val="0058323A"/>
    <w:rsid w:val="00583D11"/>
    <w:rsid w:val="00583E6F"/>
    <w:rsid w:val="0058458A"/>
    <w:rsid w:val="005847ED"/>
    <w:rsid w:val="00584FDB"/>
    <w:rsid w:val="00585405"/>
    <w:rsid w:val="0058593E"/>
    <w:rsid w:val="0058599C"/>
    <w:rsid w:val="00586A0A"/>
    <w:rsid w:val="00586DDC"/>
    <w:rsid w:val="00586E33"/>
    <w:rsid w:val="00587140"/>
    <w:rsid w:val="00587A43"/>
    <w:rsid w:val="00587B79"/>
    <w:rsid w:val="00590024"/>
    <w:rsid w:val="005902FD"/>
    <w:rsid w:val="00590C16"/>
    <w:rsid w:val="00590CAA"/>
    <w:rsid w:val="00590E8B"/>
    <w:rsid w:val="005914BC"/>
    <w:rsid w:val="005916EF"/>
    <w:rsid w:val="00591F2C"/>
    <w:rsid w:val="005927F0"/>
    <w:rsid w:val="005927F3"/>
    <w:rsid w:val="00592DF3"/>
    <w:rsid w:val="0059372A"/>
    <w:rsid w:val="00593805"/>
    <w:rsid w:val="00593AFE"/>
    <w:rsid w:val="00593BE1"/>
    <w:rsid w:val="005940A9"/>
    <w:rsid w:val="00594850"/>
    <w:rsid w:val="00594A0D"/>
    <w:rsid w:val="00594B23"/>
    <w:rsid w:val="00594B41"/>
    <w:rsid w:val="00594F65"/>
    <w:rsid w:val="005950F1"/>
    <w:rsid w:val="0059588B"/>
    <w:rsid w:val="005960A3"/>
    <w:rsid w:val="005961B7"/>
    <w:rsid w:val="005966B7"/>
    <w:rsid w:val="005969BD"/>
    <w:rsid w:val="00596FE2"/>
    <w:rsid w:val="00597FE8"/>
    <w:rsid w:val="005A0264"/>
    <w:rsid w:val="005A03A4"/>
    <w:rsid w:val="005A0439"/>
    <w:rsid w:val="005A0F87"/>
    <w:rsid w:val="005A10E0"/>
    <w:rsid w:val="005A16FB"/>
    <w:rsid w:val="005A1FBF"/>
    <w:rsid w:val="005A23B4"/>
    <w:rsid w:val="005A319B"/>
    <w:rsid w:val="005A3CD9"/>
    <w:rsid w:val="005A4BE5"/>
    <w:rsid w:val="005A4D0D"/>
    <w:rsid w:val="005A4E07"/>
    <w:rsid w:val="005A4F63"/>
    <w:rsid w:val="005A59B6"/>
    <w:rsid w:val="005A5A77"/>
    <w:rsid w:val="005A5D40"/>
    <w:rsid w:val="005A5D4E"/>
    <w:rsid w:val="005A66F7"/>
    <w:rsid w:val="005A6BC6"/>
    <w:rsid w:val="005A6DF0"/>
    <w:rsid w:val="005A72BB"/>
    <w:rsid w:val="005A77AE"/>
    <w:rsid w:val="005B01FB"/>
    <w:rsid w:val="005B038A"/>
    <w:rsid w:val="005B0C09"/>
    <w:rsid w:val="005B16C5"/>
    <w:rsid w:val="005B1854"/>
    <w:rsid w:val="005B18E0"/>
    <w:rsid w:val="005B2491"/>
    <w:rsid w:val="005B2818"/>
    <w:rsid w:val="005B2C41"/>
    <w:rsid w:val="005B2F09"/>
    <w:rsid w:val="005B3176"/>
    <w:rsid w:val="005B326B"/>
    <w:rsid w:val="005B3576"/>
    <w:rsid w:val="005B35C8"/>
    <w:rsid w:val="005B3BF1"/>
    <w:rsid w:val="005B43F5"/>
    <w:rsid w:val="005B4E5F"/>
    <w:rsid w:val="005B4E81"/>
    <w:rsid w:val="005B4F5B"/>
    <w:rsid w:val="005B5190"/>
    <w:rsid w:val="005B5767"/>
    <w:rsid w:val="005B5B56"/>
    <w:rsid w:val="005B5BFF"/>
    <w:rsid w:val="005B5D15"/>
    <w:rsid w:val="005B694B"/>
    <w:rsid w:val="005B6E65"/>
    <w:rsid w:val="005B6F3D"/>
    <w:rsid w:val="005B78FE"/>
    <w:rsid w:val="005B7DBD"/>
    <w:rsid w:val="005C0651"/>
    <w:rsid w:val="005C06F7"/>
    <w:rsid w:val="005C0823"/>
    <w:rsid w:val="005C0828"/>
    <w:rsid w:val="005C099B"/>
    <w:rsid w:val="005C0B65"/>
    <w:rsid w:val="005C1505"/>
    <w:rsid w:val="005C161D"/>
    <w:rsid w:val="005C1622"/>
    <w:rsid w:val="005C16C4"/>
    <w:rsid w:val="005C1927"/>
    <w:rsid w:val="005C1D4F"/>
    <w:rsid w:val="005C1E56"/>
    <w:rsid w:val="005C1F76"/>
    <w:rsid w:val="005C220D"/>
    <w:rsid w:val="005C242F"/>
    <w:rsid w:val="005C246B"/>
    <w:rsid w:val="005C2DBB"/>
    <w:rsid w:val="005C3251"/>
    <w:rsid w:val="005C34A3"/>
    <w:rsid w:val="005C3BDB"/>
    <w:rsid w:val="005C3BFE"/>
    <w:rsid w:val="005C5442"/>
    <w:rsid w:val="005C6002"/>
    <w:rsid w:val="005C619D"/>
    <w:rsid w:val="005C6426"/>
    <w:rsid w:val="005C647D"/>
    <w:rsid w:val="005C681C"/>
    <w:rsid w:val="005C6BAB"/>
    <w:rsid w:val="005C6FED"/>
    <w:rsid w:val="005C7F7F"/>
    <w:rsid w:val="005D0152"/>
    <w:rsid w:val="005D0423"/>
    <w:rsid w:val="005D05B8"/>
    <w:rsid w:val="005D1270"/>
    <w:rsid w:val="005D1D19"/>
    <w:rsid w:val="005D22E3"/>
    <w:rsid w:val="005D2342"/>
    <w:rsid w:val="005D24BB"/>
    <w:rsid w:val="005D2786"/>
    <w:rsid w:val="005D2B40"/>
    <w:rsid w:val="005D2C88"/>
    <w:rsid w:val="005D2F83"/>
    <w:rsid w:val="005D3118"/>
    <w:rsid w:val="005D356A"/>
    <w:rsid w:val="005D422B"/>
    <w:rsid w:val="005D46EE"/>
    <w:rsid w:val="005D48A2"/>
    <w:rsid w:val="005D48A7"/>
    <w:rsid w:val="005D4928"/>
    <w:rsid w:val="005D4F95"/>
    <w:rsid w:val="005D53A7"/>
    <w:rsid w:val="005D54BC"/>
    <w:rsid w:val="005D5986"/>
    <w:rsid w:val="005D5F4B"/>
    <w:rsid w:val="005D6286"/>
    <w:rsid w:val="005D6AC3"/>
    <w:rsid w:val="005D7096"/>
    <w:rsid w:val="005D7238"/>
    <w:rsid w:val="005D727F"/>
    <w:rsid w:val="005D72C8"/>
    <w:rsid w:val="005D7816"/>
    <w:rsid w:val="005D7F1A"/>
    <w:rsid w:val="005E03B5"/>
    <w:rsid w:val="005E06A0"/>
    <w:rsid w:val="005E0B69"/>
    <w:rsid w:val="005E0F5B"/>
    <w:rsid w:val="005E1214"/>
    <w:rsid w:val="005E12B8"/>
    <w:rsid w:val="005E14CD"/>
    <w:rsid w:val="005E16DC"/>
    <w:rsid w:val="005E1A92"/>
    <w:rsid w:val="005E20A1"/>
    <w:rsid w:val="005E213A"/>
    <w:rsid w:val="005E29F7"/>
    <w:rsid w:val="005E2A0E"/>
    <w:rsid w:val="005E2DB0"/>
    <w:rsid w:val="005E3267"/>
    <w:rsid w:val="005E32B9"/>
    <w:rsid w:val="005E3650"/>
    <w:rsid w:val="005E3AC4"/>
    <w:rsid w:val="005E3F87"/>
    <w:rsid w:val="005E4034"/>
    <w:rsid w:val="005E43CB"/>
    <w:rsid w:val="005E4BC4"/>
    <w:rsid w:val="005E4C38"/>
    <w:rsid w:val="005E544A"/>
    <w:rsid w:val="005E61E8"/>
    <w:rsid w:val="005E6DA8"/>
    <w:rsid w:val="005E7610"/>
    <w:rsid w:val="005E7997"/>
    <w:rsid w:val="005E7C1F"/>
    <w:rsid w:val="005E7C30"/>
    <w:rsid w:val="005F0053"/>
    <w:rsid w:val="005F073B"/>
    <w:rsid w:val="005F09A4"/>
    <w:rsid w:val="005F1764"/>
    <w:rsid w:val="005F19AF"/>
    <w:rsid w:val="005F1A3E"/>
    <w:rsid w:val="005F1F7B"/>
    <w:rsid w:val="005F20F5"/>
    <w:rsid w:val="005F3034"/>
    <w:rsid w:val="005F362A"/>
    <w:rsid w:val="005F3F44"/>
    <w:rsid w:val="005F410D"/>
    <w:rsid w:val="005F4627"/>
    <w:rsid w:val="005F47CD"/>
    <w:rsid w:val="005F4DF5"/>
    <w:rsid w:val="005F591E"/>
    <w:rsid w:val="005F5BE7"/>
    <w:rsid w:val="005F61A7"/>
    <w:rsid w:val="005F665C"/>
    <w:rsid w:val="005F6EC4"/>
    <w:rsid w:val="005F7393"/>
    <w:rsid w:val="005F7ACE"/>
    <w:rsid w:val="005F7C66"/>
    <w:rsid w:val="005F7E29"/>
    <w:rsid w:val="00600AEA"/>
    <w:rsid w:val="00600F95"/>
    <w:rsid w:val="0060107A"/>
    <w:rsid w:val="006010DA"/>
    <w:rsid w:val="006013CB"/>
    <w:rsid w:val="006015FA"/>
    <w:rsid w:val="00601878"/>
    <w:rsid w:val="00601F4A"/>
    <w:rsid w:val="00601F66"/>
    <w:rsid w:val="006028EB"/>
    <w:rsid w:val="00602B8A"/>
    <w:rsid w:val="0060347C"/>
    <w:rsid w:val="0060396A"/>
    <w:rsid w:val="00603A9D"/>
    <w:rsid w:val="00604335"/>
    <w:rsid w:val="00604AFB"/>
    <w:rsid w:val="00604E3E"/>
    <w:rsid w:val="006053A6"/>
    <w:rsid w:val="006053CF"/>
    <w:rsid w:val="0060553A"/>
    <w:rsid w:val="00605A5C"/>
    <w:rsid w:val="00606632"/>
    <w:rsid w:val="00606A50"/>
    <w:rsid w:val="00606CAA"/>
    <w:rsid w:val="00606FC5"/>
    <w:rsid w:val="00606FF4"/>
    <w:rsid w:val="00607956"/>
    <w:rsid w:val="00610023"/>
    <w:rsid w:val="00610031"/>
    <w:rsid w:val="00610355"/>
    <w:rsid w:val="006105C5"/>
    <w:rsid w:val="00611083"/>
    <w:rsid w:val="0061108F"/>
    <w:rsid w:val="00611543"/>
    <w:rsid w:val="00611561"/>
    <w:rsid w:val="00611587"/>
    <w:rsid w:val="0061163C"/>
    <w:rsid w:val="006117CA"/>
    <w:rsid w:val="00611A5D"/>
    <w:rsid w:val="00611CE5"/>
    <w:rsid w:val="00611DDD"/>
    <w:rsid w:val="00612807"/>
    <w:rsid w:val="00613594"/>
    <w:rsid w:val="00613AA8"/>
    <w:rsid w:val="0061475E"/>
    <w:rsid w:val="006149A0"/>
    <w:rsid w:val="00614C9C"/>
    <w:rsid w:val="00614D63"/>
    <w:rsid w:val="00615211"/>
    <w:rsid w:val="0061536C"/>
    <w:rsid w:val="00615461"/>
    <w:rsid w:val="006156D6"/>
    <w:rsid w:val="00616D84"/>
    <w:rsid w:val="006170CD"/>
    <w:rsid w:val="006175B4"/>
    <w:rsid w:val="00617A20"/>
    <w:rsid w:val="00620134"/>
    <w:rsid w:val="00620867"/>
    <w:rsid w:val="00621282"/>
    <w:rsid w:val="006212C5"/>
    <w:rsid w:val="0062132C"/>
    <w:rsid w:val="00621939"/>
    <w:rsid w:val="00622C43"/>
    <w:rsid w:val="00622DA0"/>
    <w:rsid w:val="006237B0"/>
    <w:rsid w:val="00623A5C"/>
    <w:rsid w:val="00623C2A"/>
    <w:rsid w:val="00623C2F"/>
    <w:rsid w:val="00623F7B"/>
    <w:rsid w:val="006240D1"/>
    <w:rsid w:val="006258DB"/>
    <w:rsid w:val="00625B23"/>
    <w:rsid w:val="00625FB3"/>
    <w:rsid w:val="00627762"/>
    <w:rsid w:val="006301A1"/>
    <w:rsid w:val="0063098E"/>
    <w:rsid w:val="00630E45"/>
    <w:rsid w:val="00631D7A"/>
    <w:rsid w:val="00632068"/>
    <w:rsid w:val="00632686"/>
    <w:rsid w:val="0063273F"/>
    <w:rsid w:val="00632A42"/>
    <w:rsid w:val="00632BD2"/>
    <w:rsid w:val="00633B98"/>
    <w:rsid w:val="00633BEE"/>
    <w:rsid w:val="00634220"/>
    <w:rsid w:val="00634807"/>
    <w:rsid w:val="00634E6D"/>
    <w:rsid w:val="00635284"/>
    <w:rsid w:val="00635E1D"/>
    <w:rsid w:val="006360C7"/>
    <w:rsid w:val="0063620C"/>
    <w:rsid w:val="00636367"/>
    <w:rsid w:val="00636510"/>
    <w:rsid w:val="006369E2"/>
    <w:rsid w:val="00636E6F"/>
    <w:rsid w:val="0064086C"/>
    <w:rsid w:val="00640ADF"/>
    <w:rsid w:val="00640DD6"/>
    <w:rsid w:val="00640F93"/>
    <w:rsid w:val="00641571"/>
    <w:rsid w:val="006416BA"/>
    <w:rsid w:val="006416E8"/>
    <w:rsid w:val="00641817"/>
    <w:rsid w:val="0064265B"/>
    <w:rsid w:val="00643091"/>
    <w:rsid w:val="00643597"/>
    <w:rsid w:val="00643CF4"/>
    <w:rsid w:val="00644921"/>
    <w:rsid w:val="00644A8A"/>
    <w:rsid w:val="00644CDE"/>
    <w:rsid w:val="00644EA5"/>
    <w:rsid w:val="0064558A"/>
    <w:rsid w:val="00645D57"/>
    <w:rsid w:val="006461FC"/>
    <w:rsid w:val="006466E5"/>
    <w:rsid w:val="006468C9"/>
    <w:rsid w:val="00647F6A"/>
    <w:rsid w:val="006500EF"/>
    <w:rsid w:val="006504FA"/>
    <w:rsid w:val="006509EF"/>
    <w:rsid w:val="0065117A"/>
    <w:rsid w:val="006513F9"/>
    <w:rsid w:val="0065157C"/>
    <w:rsid w:val="00651CE6"/>
    <w:rsid w:val="00651DB9"/>
    <w:rsid w:val="006525DC"/>
    <w:rsid w:val="006532A6"/>
    <w:rsid w:val="00653368"/>
    <w:rsid w:val="006542E8"/>
    <w:rsid w:val="00654CA8"/>
    <w:rsid w:val="00654FAB"/>
    <w:rsid w:val="006554FF"/>
    <w:rsid w:val="0065552E"/>
    <w:rsid w:val="006559A9"/>
    <w:rsid w:val="00655A96"/>
    <w:rsid w:val="00655F6B"/>
    <w:rsid w:val="00655F72"/>
    <w:rsid w:val="0065655F"/>
    <w:rsid w:val="006568BE"/>
    <w:rsid w:val="00656B65"/>
    <w:rsid w:val="00656CC5"/>
    <w:rsid w:val="00656D73"/>
    <w:rsid w:val="00657D4F"/>
    <w:rsid w:val="00657D7E"/>
    <w:rsid w:val="00657EC1"/>
    <w:rsid w:val="006607B3"/>
    <w:rsid w:val="006609E7"/>
    <w:rsid w:val="00660C41"/>
    <w:rsid w:val="00660C79"/>
    <w:rsid w:val="00661ACB"/>
    <w:rsid w:val="00661E5A"/>
    <w:rsid w:val="00662090"/>
    <w:rsid w:val="0066218C"/>
    <w:rsid w:val="006627BB"/>
    <w:rsid w:val="00662868"/>
    <w:rsid w:val="00663039"/>
    <w:rsid w:val="006630A7"/>
    <w:rsid w:val="00665047"/>
    <w:rsid w:val="00665AC2"/>
    <w:rsid w:val="00665FDA"/>
    <w:rsid w:val="006661EB"/>
    <w:rsid w:val="00666A35"/>
    <w:rsid w:val="00666BC4"/>
    <w:rsid w:val="00666FA6"/>
    <w:rsid w:val="00667636"/>
    <w:rsid w:val="00667CB9"/>
    <w:rsid w:val="00667D1E"/>
    <w:rsid w:val="00667EE1"/>
    <w:rsid w:val="00667F2D"/>
    <w:rsid w:val="0067007C"/>
    <w:rsid w:val="006702F5"/>
    <w:rsid w:val="00670AC2"/>
    <w:rsid w:val="00670BBB"/>
    <w:rsid w:val="00670F12"/>
    <w:rsid w:val="006719FF"/>
    <w:rsid w:val="006724D5"/>
    <w:rsid w:val="0067255F"/>
    <w:rsid w:val="00672B04"/>
    <w:rsid w:val="00672BFB"/>
    <w:rsid w:val="006733F3"/>
    <w:rsid w:val="00673923"/>
    <w:rsid w:val="00673D7B"/>
    <w:rsid w:val="00673E91"/>
    <w:rsid w:val="0067406D"/>
    <w:rsid w:val="00674BD1"/>
    <w:rsid w:val="00674C7D"/>
    <w:rsid w:val="006752D4"/>
    <w:rsid w:val="00675AE1"/>
    <w:rsid w:val="00675B06"/>
    <w:rsid w:val="00675B3F"/>
    <w:rsid w:val="0067607D"/>
    <w:rsid w:val="00676C12"/>
    <w:rsid w:val="00676C4E"/>
    <w:rsid w:val="0067708A"/>
    <w:rsid w:val="0067744E"/>
    <w:rsid w:val="00677EAB"/>
    <w:rsid w:val="00680C17"/>
    <w:rsid w:val="006814E0"/>
    <w:rsid w:val="00681EEF"/>
    <w:rsid w:val="00681F6C"/>
    <w:rsid w:val="0068299C"/>
    <w:rsid w:val="00682D32"/>
    <w:rsid w:val="006830E3"/>
    <w:rsid w:val="00683534"/>
    <w:rsid w:val="00683A56"/>
    <w:rsid w:val="00683BF5"/>
    <w:rsid w:val="00683C9C"/>
    <w:rsid w:val="00684162"/>
    <w:rsid w:val="00684473"/>
    <w:rsid w:val="0068530B"/>
    <w:rsid w:val="006853CF"/>
    <w:rsid w:val="0068545C"/>
    <w:rsid w:val="00685837"/>
    <w:rsid w:val="00685B26"/>
    <w:rsid w:val="00685B9A"/>
    <w:rsid w:val="00685FA8"/>
    <w:rsid w:val="006864CB"/>
    <w:rsid w:val="00686891"/>
    <w:rsid w:val="006875D4"/>
    <w:rsid w:val="0068760D"/>
    <w:rsid w:val="0068787C"/>
    <w:rsid w:val="006900D9"/>
    <w:rsid w:val="0069040E"/>
    <w:rsid w:val="006905B8"/>
    <w:rsid w:val="00690808"/>
    <w:rsid w:val="0069132B"/>
    <w:rsid w:val="00691621"/>
    <w:rsid w:val="00691792"/>
    <w:rsid w:val="00691C14"/>
    <w:rsid w:val="00691CAE"/>
    <w:rsid w:val="006927BF"/>
    <w:rsid w:val="0069303F"/>
    <w:rsid w:val="006933E9"/>
    <w:rsid w:val="0069416C"/>
    <w:rsid w:val="00694948"/>
    <w:rsid w:val="00694CFE"/>
    <w:rsid w:val="00695035"/>
    <w:rsid w:val="006952ED"/>
    <w:rsid w:val="006953CE"/>
    <w:rsid w:val="006956C5"/>
    <w:rsid w:val="00695919"/>
    <w:rsid w:val="00695BA5"/>
    <w:rsid w:val="006960F7"/>
    <w:rsid w:val="00696BB6"/>
    <w:rsid w:val="006974BF"/>
    <w:rsid w:val="006A00A6"/>
    <w:rsid w:val="006A0592"/>
    <w:rsid w:val="006A0E07"/>
    <w:rsid w:val="006A105E"/>
    <w:rsid w:val="006A1471"/>
    <w:rsid w:val="006A148C"/>
    <w:rsid w:val="006A1862"/>
    <w:rsid w:val="006A19EF"/>
    <w:rsid w:val="006A1A10"/>
    <w:rsid w:val="006A20A9"/>
    <w:rsid w:val="006A23E3"/>
    <w:rsid w:val="006A2AD7"/>
    <w:rsid w:val="006A2D3A"/>
    <w:rsid w:val="006A3541"/>
    <w:rsid w:val="006A38E0"/>
    <w:rsid w:val="006A3CA0"/>
    <w:rsid w:val="006A4102"/>
    <w:rsid w:val="006A4240"/>
    <w:rsid w:val="006A50F6"/>
    <w:rsid w:val="006A54C0"/>
    <w:rsid w:val="006A63D7"/>
    <w:rsid w:val="006A6E7B"/>
    <w:rsid w:val="006A71F6"/>
    <w:rsid w:val="006A7306"/>
    <w:rsid w:val="006A7814"/>
    <w:rsid w:val="006A7C83"/>
    <w:rsid w:val="006B07F4"/>
    <w:rsid w:val="006B089D"/>
    <w:rsid w:val="006B0A95"/>
    <w:rsid w:val="006B126D"/>
    <w:rsid w:val="006B1629"/>
    <w:rsid w:val="006B16B8"/>
    <w:rsid w:val="006B1A54"/>
    <w:rsid w:val="006B2341"/>
    <w:rsid w:val="006B32E4"/>
    <w:rsid w:val="006B47CE"/>
    <w:rsid w:val="006B4859"/>
    <w:rsid w:val="006B4BA7"/>
    <w:rsid w:val="006B5169"/>
    <w:rsid w:val="006B57E5"/>
    <w:rsid w:val="006B58CE"/>
    <w:rsid w:val="006B5D73"/>
    <w:rsid w:val="006B5F65"/>
    <w:rsid w:val="006B6224"/>
    <w:rsid w:val="006B70C4"/>
    <w:rsid w:val="006B7832"/>
    <w:rsid w:val="006B79C1"/>
    <w:rsid w:val="006C061C"/>
    <w:rsid w:val="006C1761"/>
    <w:rsid w:val="006C1B51"/>
    <w:rsid w:val="006C1B65"/>
    <w:rsid w:val="006C2127"/>
    <w:rsid w:val="006C2A6C"/>
    <w:rsid w:val="006C2AF2"/>
    <w:rsid w:val="006C2CD3"/>
    <w:rsid w:val="006C34B9"/>
    <w:rsid w:val="006C366B"/>
    <w:rsid w:val="006C3EB6"/>
    <w:rsid w:val="006C4143"/>
    <w:rsid w:val="006C528D"/>
    <w:rsid w:val="006C56A3"/>
    <w:rsid w:val="006C56DE"/>
    <w:rsid w:val="006C5740"/>
    <w:rsid w:val="006C5860"/>
    <w:rsid w:val="006C593D"/>
    <w:rsid w:val="006C5DCB"/>
    <w:rsid w:val="006C5EB7"/>
    <w:rsid w:val="006C6579"/>
    <w:rsid w:val="006C66E6"/>
    <w:rsid w:val="006C75DD"/>
    <w:rsid w:val="006C785E"/>
    <w:rsid w:val="006C7B88"/>
    <w:rsid w:val="006D00CE"/>
    <w:rsid w:val="006D042C"/>
    <w:rsid w:val="006D0E96"/>
    <w:rsid w:val="006D0FFD"/>
    <w:rsid w:val="006D1239"/>
    <w:rsid w:val="006D14E3"/>
    <w:rsid w:val="006D1BE5"/>
    <w:rsid w:val="006D2D8F"/>
    <w:rsid w:val="006D2FCD"/>
    <w:rsid w:val="006D3050"/>
    <w:rsid w:val="006D3750"/>
    <w:rsid w:val="006D4420"/>
    <w:rsid w:val="006D4473"/>
    <w:rsid w:val="006D4753"/>
    <w:rsid w:val="006D4B5B"/>
    <w:rsid w:val="006D4B77"/>
    <w:rsid w:val="006D4BE8"/>
    <w:rsid w:val="006D50FB"/>
    <w:rsid w:val="006D5431"/>
    <w:rsid w:val="006D5ABA"/>
    <w:rsid w:val="006D6094"/>
    <w:rsid w:val="006D6785"/>
    <w:rsid w:val="006D6B61"/>
    <w:rsid w:val="006D6D20"/>
    <w:rsid w:val="006D6DAE"/>
    <w:rsid w:val="006D722E"/>
    <w:rsid w:val="006D7383"/>
    <w:rsid w:val="006D7D1C"/>
    <w:rsid w:val="006E037B"/>
    <w:rsid w:val="006E09C7"/>
    <w:rsid w:val="006E09CD"/>
    <w:rsid w:val="006E12C5"/>
    <w:rsid w:val="006E12E8"/>
    <w:rsid w:val="006E1572"/>
    <w:rsid w:val="006E1620"/>
    <w:rsid w:val="006E213F"/>
    <w:rsid w:val="006E2701"/>
    <w:rsid w:val="006E2729"/>
    <w:rsid w:val="006E2EFF"/>
    <w:rsid w:val="006E2F1E"/>
    <w:rsid w:val="006E3101"/>
    <w:rsid w:val="006E3376"/>
    <w:rsid w:val="006E39D7"/>
    <w:rsid w:val="006E40BD"/>
    <w:rsid w:val="006E419E"/>
    <w:rsid w:val="006E45B9"/>
    <w:rsid w:val="006E46C3"/>
    <w:rsid w:val="006E4711"/>
    <w:rsid w:val="006E473B"/>
    <w:rsid w:val="006E4A3A"/>
    <w:rsid w:val="006E4FEB"/>
    <w:rsid w:val="006E5613"/>
    <w:rsid w:val="006E6441"/>
    <w:rsid w:val="006E6663"/>
    <w:rsid w:val="006E6B6D"/>
    <w:rsid w:val="006E6F48"/>
    <w:rsid w:val="006E713D"/>
    <w:rsid w:val="006E7595"/>
    <w:rsid w:val="006E75E4"/>
    <w:rsid w:val="006E761A"/>
    <w:rsid w:val="006E769C"/>
    <w:rsid w:val="006E79A5"/>
    <w:rsid w:val="006E7C13"/>
    <w:rsid w:val="006E7D96"/>
    <w:rsid w:val="006F0523"/>
    <w:rsid w:val="006F1324"/>
    <w:rsid w:val="006F14E8"/>
    <w:rsid w:val="006F1633"/>
    <w:rsid w:val="006F16E4"/>
    <w:rsid w:val="006F1895"/>
    <w:rsid w:val="006F192D"/>
    <w:rsid w:val="006F24DD"/>
    <w:rsid w:val="006F2AEF"/>
    <w:rsid w:val="006F2B72"/>
    <w:rsid w:val="006F3357"/>
    <w:rsid w:val="006F36D4"/>
    <w:rsid w:val="006F380F"/>
    <w:rsid w:val="006F3B4D"/>
    <w:rsid w:val="006F3E7A"/>
    <w:rsid w:val="006F441A"/>
    <w:rsid w:val="006F46FE"/>
    <w:rsid w:val="006F50C3"/>
    <w:rsid w:val="006F5623"/>
    <w:rsid w:val="006F5BFA"/>
    <w:rsid w:val="006F662D"/>
    <w:rsid w:val="006F6A56"/>
    <w:rsid w:val="006F6AEF"/>
    <w:rsid w:val="006F6B93"/>
    <w:rsid w:val="006F6E98"/>
    <w:rsid w:val="006F71A5"/>
    <w:rsid w:val="006F76EC"/>
    <w:rsid w:val="006F78F4"/>
    <w:rsid w:val="00702079"/>
    <w:rsid w:val="0070278F"/>
    <w:rsid w:val="0070284C"/>
    <w:rsid w:val="0070315A"/>
    <w:rsid w:val="00703747"/>
    <w:rsid w:val="00703812"/>
    <w:rsid w:val="0070398C"/>
    <w:rsid w:val="00703D4A"/>
    <w:rsid w:val="007048F4"/>
    <w:rsid w:val="00704ABB"/>
    <w:rsid w:val="00704B18"/>
    <w:rsid w:val="00705410"/>
    <w:rsid w:val="007060E7"/>
    <w:rsid w:val="0070685A"/>
    <w:rsid w:val="00706E06"/>
    <w:rsid w:val="00706EFA"/>
    <w:rsid w:val="0070700F"/>
    <w:rsid w:val="0070725D"/>
    <w:rsid w:val="007078F7"/>
    <w:rsid w:val="00707B92"/>
    <w:rsid w:val="00707E38"/>
    <w:rsid w:val="00710068"/>
    <w:rsid w:val="007107EC"/>
    <w:rsid w:val="007110AB"/>
    <w:rsid w:val="0071119F"/>
    <w:rsid w:val="00712047"/>
    <w:rsid w:val="007124AC"/>
    <w:rsid w:val="007126D0"/>
    <w:rsid w:val="00712D1E"/>
    <w:rsid w:val="00713487"/>
    <w:rsid w:val="007135E0"/>
    <w:rsid w:val="0071391B"/>
    <w:rsid w:val="007139E2"/>
    <w:rsid w:val="00713AC0"/>
    <w:rsid w:val="00713CDC"/>
    <w:rsid w:val="00714065"/>
    <w:rsid w:val="00714189"/>
    <w:rsid w:val="00714695"/>
    <w:rsid w:val="00714753"/>
    <w:rsid w:val="00715414"/>
    <w:rsid w:val="007154AE"/>
    <w:rsid w:val="00715630"/>
    <w:rsid w:val="00715C01"/>
    <w:rsid w:val="00716A26"/>
    <w:rsid w:val="00717E08"/>
    <w:rsid w:val="007200CC"/>
    <w:rsid w:val="0072028A"/>
    <w:rsid w:val="0072062D"/>
    <w:rsid w:val="007210AE"/>
    <w:rsid w:val="007212EC"/>
    <w:rsid w:val="00721603"/>
    <w:rsid w:val="007218CD"/>
    <w:rsid w:val="00721AE2"/>
    <w:rsid w:val="00721E31"/>
    <w:rsid w:val="00722019"/>
    <w:rsid w:val="0072274D"/>
    <w:rsid w:val="00722903"/>
    <w:rsid w:val="007229BA"/>
    <w:rsid w:val="00722A0E"/>
    <w:rsid w:val="00723FF3"/>
    <w:rsid w:val="0072404A"/>
    <w:rsid w:val="0072421F"/>
    <w:rsid w:val="00724BE2"/>
    <w:rsid w:val="00724DB3"/>
    <w:rsid w:val="00725342"/>
    <w:rsid w:val="007257CF"/>
    <w:rsid w:val="00725A78"/>
    <w:rsid w:val="00725A9F"/>
    <w:rsid w:val="00725B4A"/>
    <w:rsid w:val="00725BB9"/>
    <w:rsid w:val="007268F6"/>
    <w:rsid w:val="00726BD3"/>
    <w:rsid w:val="00726DC6"/>
    <w:rsid w:val="007273E2"/>
    <w:rsid w:val="007279EE"/>
    <w:rsid w:val="00727C6E"/>
    <w:rsid w:val="00727C91"/>
    <w:rsid w:val="00727CD5"/>
    <w:rsid w:val="0073026D"/>
    <w:rsid w:val="007303BF"/>
    <w:rsid w:val="007305D2"/>
    <w:rsid w:val="007309DC"/>
    <w:rsid w:val="007311A1"/>
    <w:rsid w:val="00731807"/>
    <w:rsid w:val="00731BA8"/>
    <w:rsid w:val="00732DDB"/>
    <w:rsid w:val="00732F5B"/>
    <w:rsid w:val="00733056"/>
    <w:rsid w:val="007331F6"/>
    <w:rsid w:val="0073344D"/>
    <w:rsid w:val="00733526"/>
    <w:rsid w:val="007336DF"/>
    <w:rsid w:val="007340A9"/>
    <w:rsid w:val="0073421E"/>
    <w:rsid w:val="0073450D"/>
    <w:rsid w:val="0073475C"/>
    <w:rsid w:val="00734FE5"/>
    <w:rsid w:val="007358F1"/>
    <w:rsid w:val="00735D1C"/>
    <w:rsid w:val="00735DCF"/>
    <w:rsid w:val="00736388"/>
    <w:rsid w:val="0073665F"/>
    <w:rsid w:val="00736A31"/>
    <w:rsid w:val="0073724F"/>
    <w:rsid w:val="007375ED"/>
    <w:rsid w:val="00737DE4"/>
    <w:rsid w:val="0074037A"/>
    <w:rsid w:val="007403B0"/>
    <w:rsid w:val="0074193B"/>
    <w:rsid w:val="00741D82"/>
    <w:rsid w:val="007426AC"/>
    <w:rsid w:val="007426FF"/>
    <w:rsid w:val="007428D5"/>
    <w:rsid w:val="00742E82"/>
    <w:rsid w:val="00743161"/>
    <w:rsid w:val="007431CC"/>
    <w:rsid w:val="0074337D"/>
    <w:rsid w:val="00743485"/>
    <w:rsid w:val="0074477D"/>
    <w:rsid w:val="00744813"/>
    <w:rsid w:val="007448B5"/>
    <w:rsid w:val="00744AF3"/>
    <w:rsid w:val="00744D21"/>
    <w:rsid w:val="0074548D"/>
    <w:rsid w:val="00745A25"/>
    <w:rsid w:val="0074643F"/>
    <w:rsid w:val="00746A69"/>
    <w:rsid w:val="00746C8E"/>
    <w:rsid w:val="00747010"/>
    <w:rsid w:val="007470C9"/>
    <w:rsid w:val="00750075"/>
    <w:rsid w:val="007500C0"/>
    <w:rsid w:val="00750133"/>
    <w:rsid w:val="0075033F"/>
    <w:rsid w:val="007503EA"/>
    <w:rsid w:val="00750782"/>
    <w:rsid w:val="007509AC"/>
    <w:rsid w:val="0075112D"/>
    <w:rsid w:val="007516D0"/>
    <w:rsid w:val="007517D3"/>
    <w:rsid w:val="007517F5"/>
    <w:rsid w:val="007518D2"/>
    <w:rsid w:val="0075199C"/>
    <w:rsid w:val="007522E3"/>
    <w:rsid w:val="00752ECB"/>
    <w:rsid w:val="0075308D"/>
    <w:rsid w:val="0075328F"/>
    <w:rsid w:val="00753396"/>
    <w:rsid w:val="00754047"/>
    <w:rsid w:val="00754684"/>
    <w:rsid w:val="00754B49"/>
    <w:rsid w:val="00755459"/>
    <w:rsid w:val="007558A8"/>
    <w:rsid w:val="00755C4B"/>
    <w:rsid w:val="00755D64"/>
    <w:rsid w:val="00755F3B"/>
    <w:rsid w:val="00755F77"/>
    <w:rsid w:val="0075669E"/>
    <w:rsid w:val="00756804"/>
    <w:rsid w:val="00756A00"/>
    <w:rsid w:val="00756CDA"/>
    <w:rsid w:val="007575F9"/>
    <w:rsid w:val="0075771D"/>
    <w:rsid w:val="00757770"/>
    <w:rsid w:val="00757C21"/>
    <w:rsid w:val="00757D53"/>
    <w:rsid w:val="00757D9D"/>
    <w:rsid w:val="00760096"/>
    <w:rsid w:val="007602AE"/>
    <w:rsid w:val="007604A5"/>
    <w:rsid w:val="00760504"/>
    <w:rsid w:val="0076069D"/>
    <w:rsid w:val="007606B2"/>
    <w:rsid w:val="0076105D"/>
    <w:rsid w:val="00761164"/>
    <w:rsid w:val="00761C2D"/>
    <w:rsid w:val="00762108"/>
    <w:rsid w:val="007627F4"/>
    <w:rsid w:val="00762827"/>
    <w:rsid w:val="00763627"/>
    <w:rsid w:val="00763ADD"/>
    <w:rsid w:val="00763B89"/>
    <w:rsid w:val="00763E2E"/>
    <w:rsid w:val="007648A7"/>
    <w:rsid w:val="00764E98"/>
    <w:rsid w:val="00765470"/>
    <w:rsid w:val="00765D47"/>
    <w:rsid w:val="00765EDB"/>
    <w:rsid w:val="00766F25"/>
    <w:rsid w:val="0076740E"/>
    <w:rsid w:val="00767827"/>
    <w:rsid w:val="00770CA1"/>
    <w:rsid w:val="00770D53"/>
    <w:rsid w:val="00770F5D"/>
    <w:rsid w:val="00771222"/>
    <w:rsid w:val="00771457"/>
    <w:rsid w:val="0077166D"/>
    <w:rsid w:val="00772D71"/>
    <w:rsid w:val="0077348C"/>
    <w:rsid w:val="007736A5"/>
    <w:rsid w:val="007741E0"/>
    <w:rsid w:val="00775084"/>
    <w:rsid w:val="00776303"/>
    <w:rsid w:val="007768E3"/>
    <w:rsid w:val="00776A91"/>
    <w:rsid w:val="00776CBE"/>
    <w:rsid w:val="00776D73"/>
    <w:rsid w:val="007770F3"/>
    <w:rsid w:val="007774B4"/>
    <w:rsid w:val="00777AC9"/>
    <w:rsid w:val="00777BA4"/>
    <w:rsid w:val="007801A6"/>
    <w:rsid w:val="007806C1"/>
    <w:rsid w:val="007810CA"/>
    <w:rsid w:val="007810CF"/>
    <w:rsid w:val="00781699"/>
    <w:rsid w:val="007816EB"/>
    <w:rsid w:val="007817E4"/>
    <w:rsid w:val="00781F6C"/>
    <w:rsid w:val="007827BD"/>
    <w:rsid w:val="0078281E"/>
    <w:rsid w:val="00782BB0"/>
    <w:rsid w:val="00782F03"/>
    <w:rsid w:val="00783819"/>
    <w:rsid w:val="00783A2C"/>
    <w:rsid w:val="00784376"/>
    <w:rsid w:val="007853AF"/>
    <w:rsid w:val="0078553C"/>
    <w:rsid w:val="007855D2"/>
    <w:rsid w:val="00785929"/>
    <w:rsid w:val="00785A24"/>
    <w:rsid w:val="00785BE8"/>
    <w:rsid w:val="00785C03"/>
    <w:rsid w:val="007868FD"/>
    <w:rsid w:val="00786B5B"/>
    <w:rsid w:val="00786EB7"/>
    <w:rsid w:val="00786ECD"/>
    <w:rsid w:val="0078700E"/>
    <w:rsid w:val="00787234"/>
    <w:rsid w:val="00787736"/>
    <w:rsid w:val="00787768"/>
    <w:rsid w:val="00787F56"/>
    <w:rsid w:val="007909D4"/>
    <w:rsid w:val="00790D55"/>
    <w:rsid w:val="007916E6"/>
    <w:rsid w:val="0079181B"/>
    <w:rsid w:val="00791AA1"/>
    <w:rsid w:val="00791B91"/>
    <w:rsid w:val="00791CC9"/>
    <w:rsid w:val="007922D4"/>
    <w:rsid w:val="007922F7"/>
    <w:rsid w:val="007929A6"/>
    <w:rsid w:val="00792AE3"/>
    <w:rsid w:val="00793342"/>
    <w:rsid w:val="00793556"/>
    <w:rsid w:val="007937AF"/>
    <w:rsid w:val="00793936"/>
    <w:rsid w:val="00793C93"/>
    <w:rsid w:val="00794784"/>
    <w:rsid w:val="007947AE"/>
    <w:rsid w:val="00796200"/>
    <w:rsid w:val="00796212"/>
    <w:rsid w:val="007966E6"/>
    <w:rsid w:val="00796BDD"/>
    <w:rsid w:val="00796E89"/>
    <w:rsid w:val="00797396"/>
    <w:rsid w:val="007976AE"/>
    <w:rsid w:val="00797FA2"/>
    <w:rsid w:val="007A0E26"/>
    <w:rsid w:val="007A149C"/>
    <w:rsid w:val="007A1636"/>
    <w:rsid w:val="007A172F"/>
    <w:rsid w:val="007A19AE"/>
    <w:rsid w:val="007A1C89"/>
    <w:rsid w:val="007A1ED6"/>
    <w:rsid w:val="007A23CC"/>
    <w:rsid w:val="007A24E0"/>
    <w:rsid w:val="007A2DF7"/>
    <w:rsid w:val="007A2F4B"/>
    <w:rsid w:val="007A2F6D"/>
    <w:rsid w:val="007A34BD"/>
    <w:rsid w:val="007A3891"/>
    <w:rsid w:val="007A3968"/>
    <w:rsid w:val="007A3AB1"/>
    <w:rsid w:val="007A42F5"/>
    <w:rsid w:val="007A49CB"/>
    <w:rsid w:val="007A54D6"/>
    <w:rsid w:val="007A5C6E"/>
    <w:rsid w:val="007A614E"/>
    <w:rsid w:val="007A6384"/>
    <w:rsid w:val="007A711D"/>
    <w:rsid w:val="007A72B4"/>
    <w:rsid w:val="007A7354"/>
    <w:rsid w:val="007A73D0"/>
    <w:rsid w:val="007A781C"/>
    <w:rsid w:val="007B05BF"/>
    <w:rsid w:val="007B07AE"/>
    <w:rsid w:val="007B0B94"/>
    <w:rsid w:val="007B0BF1"/>
    <w:rsid w:val="007B0FD7"/>
    <w:rsid w:val="007B1513"/>
    <w:rsid w:val="007B1B71"/>
    <w:rsid w:val="007B3141"/>
    <w:rsid w:val="007B3343"/>
    <w:rsid w:val="007B346F"/>
    <w:rsid w:val="007B388D"/>
    <w:rsid w:val="007B40FE"/>
    <w:rsid w:val="007B446A"/>
    <w:rsid w:val="007B56F8"/>
    <w:rsid w:val="007B57A4"/>
    <w:rsid w:val="007B59C9"/>
    <w:rsid w:val="007B65CE"/>
    <w:rsid w:val="007B6E48"/>
    <w:rsid w:val="007B76ED"/>
    <w:rsid w:val="007B7EC6"/>
    <w:rsid w:val="007C0608"/>
    <w:rsid w:val="007C0B0D"/>
    <w:rsid w:val="007C1343"/>
    <w:rsid w:val="007C1541"/>
    <w:rsid w:val="007C1BAF"/>
    <w:rsid w:val="007C1C92"/>
    <w:rsid w:val="007C1E6C"/>
    <w:rsid w:val="007C2015"/>
    <w:rsid w:val="007C223B"/>
    <w:rsid w:val="007C2288"/>
    <w:rsid w:val="007C26AC"/>
    <w:rsid w:val="007C2CA5"/>
    <w:rsid w:val="007C2E8A"/>
    <w:rsid w:val="007C30E2"/>
    <w:rsid w:val="007C371B"/>
    <w:rsid w:val="007C3940"/>
    <w:rsid w:val="007C4A37"/>
    <w:rsid w:val="007C4B2A"/>
    <w:rsid w:val="007C529B"/>
    <w:rsid w:val="007C54BC"/>
    <w:rsid w:val="007C55B9"/>
    <w:rsid w:val="007C5E01"/>
    <w:rsid w:val="007C6202"/>
    <w:rsid w:val="007C65BE"/>
    <w:rsid w:val="007C6DD9"/>
    <w:rsid w:val="007C7022"/>
    <w:rsid w:val="007C762A"/>
    <w:rsid w:val="007C7768"/>
    <w:rsid w:val="007C7DAF"/>
    <w:rsid w:val="007D10B9"/>
    <w:rsid w:val="007D12A4"/>
    <w:rsid w:val="007D12EB"/>
    <w:rsid w:val="007D1937"/>
    <w:rsid w:val="007D1E6F"/>
    <w:rsid w:val="007D266D"/>
    <w:rsid w:val="007D305D"/>
    <w:rsid w:val="007D3167"/>
    <w:rsid w:val="007D385E"/>
    <w:rsid w:val="007D3CAA"/>
    <w:rsid w:val="007D4081"/>
    <w:rsid w:val="007D46C7"/>
    <w:rsid w:val="007D6050"/>
    <w:rsid w:val="007D636A"/>
    <w:rsid w:val="007D6C38"/>
    <w:rsid w:val="007D6D26"/>
    <w:rsid w:val="007D6DFE"/>
    <w:rsid w:val="007D725E"/>
    <w:rsid w:val="007D761D"/>
    <w:rsid w:val="007D7D97"/>
    <w:rsid w:val="007E0734"/>
    <w:rsid w:val="007E08A0"/>
    <w:rsid w:val="007E0CD3"/>
    <w:rsid w:val="007E0D2D"/>
    <w:rsid w:val="007E1024"/>
    <w:rsid w:val="007E1477"/>
    <w:rsid w:val="007E1A6B"/>
    <w:rsid w:val="007E1D03"/>
    <w:rsid w:val="007E20FB"/>
    <w:rsid w:val="007E21EF"/>
    <w:rsid w:val="007E252E"/>
    <w:rsid w:val="007E28B2"/>
    <w:rsid w:val="007E46A0"/>
    <w:rsid w:val="007E4B59"/>
    <w:rsid w:val="007E5654"/>
    <w:rsid w:val="007E7163"/>
    <w:rsid w:val="007E723A"/>
    <w:rsid w:val="007E73AC"/>
    <w:rsid w:val="007E7E78"/>
    <w:rsid w:val="007F02D3"/>
    <w:rsid w:val="007F0308"/>
    <w:rsid w:val="007F0311"/>
    <w:rsid w:val="007F03AB"/>
    <w:rsid w:val="007F0696"/>
    <w:rsid w:val="007F0D9D"/>
    <w:rsid w:val="007F1234"/>
    <w:rsid w:val="007F13D1"/>
    <w:rsid w:val="007F1701"/>
    <w:rsid w:val="007F19DB"/>
    <w:rsid w:val="007F2C60"/>
    <w:rsid w:val="007F2CC3"/>
    <w:rsid w:val="007F33FC"/>
    <w:rsid w:val="007F34A7"/>
    <w:rsid w:val="007F3B88"/>
    <w:rsid w:val="007F436E"/>
    <w:rsid w:val="007F4556"/>
    <w:rsid w:val="007F5282"/>
    <w:rsid w:val="007F52F8"/>
    <w:rsid w:val="007F534C"/>
    <w:rsid w:val="007F55D9"/>
    <w:rsid w:val="007F5701"/>
    <w:rsid w:val="007F5C79"/>
    <w:rsid w:val="007F5DB6"/>
    <w:rsid w:val="007F61FC"/>
    <w:rsid w:val="007F69BC"/>
    <w:rsid w:val="007F6D3E"/>
    <w:rsid w:val="007F6E93"/>
    <w:rsid w:val="007F7030"/>
    <w:rsid w:val="007F7AD5"/>
    <w:rsid w:val="00800AFD"/>
    <w:rsid w:val="00800CCE"/>
    <w:rsid w:val="008011C3"/>
    <w:rsid w:val="0080183E"/>
    <w:rsid w:val="008019B7"/>
    <w:rsid w:val="00801B45"/>
    <w:rsid w:val="00801EBC"/>
    <w:rsid w:val="0080224B"/>
    <w:rsid w:val="0080260C"/>
    <w:rsid w:val="00802AE3"/>
    <w:rsid w:val="00802CA1"/>
    <w:rsid w:val="00803151"/>
    <w:rsid w:val="00803425"/>
    <w:rsid w:val="00804598"/>
    <w:rsid w:val="00804E07"/>
    <w:rsid w:val="00806206"/>
    <w:rsid w:val="008069DC"/>
    <w:rsid w:val="00806BFB"/>
    <w:rsid w:val="00807454"/>
    <w:rsid w:val="00807B9D"/>
    <w:rsid w:val="00807DE2"/>
    <w:rsid w:val="0081010E"/>
    <w:rsid w:val="0081039F"/>
    <w:rsid w:val="0081057E"/>
    <w:rsid w:val="008116EE"/>
    <w:rsid w:val="0081231B"/>
    <w:rsid w:val="008129B4"/>
    <w:rsid w:val="00812DC9"/>
    <w:rsid w:val="00812DCB"/>
    <w:rsid w:val="00812FF5"/>
    <w:rsid w:val="00813305"/>
    <w:rsid w:val="008134DF"/>
    <w:rsid w:val="008135D5"/>
    <w:rsid w:val="00813B13"/>
    <w:rsid w:val="00813C2A"/>
    <w:rsid w:val="008144EB"/>
    <w:rsid w:val="00814689"/>
    <w:rsid w:val="008148D6"/>
    <w:rsid w:val="00814B44"/>
    <w:rsid w:val="008153BD"/>
    <w:rsid w:val="008153CE"/>
    <w:rsid w:val="00815527"/>
    <w:rsid w:val="00815BAB"/>
    <w:rsid w:val="00816280"/>
    <w:rsid w:val="00816478"/>
    <w:rsid w:val="008168F9"/>
    <w:rsid w:val="00816E15"/>
    <w:rsid w:val="00816EFB"/>
    <w:rsid w:val="00817150"/>
    <w:rsid w:val="00817163"/>
    <w:rsid w:val="008176F9"/>
    <w:rsid w:val="0081787F"/>
    <w:rsid w:val="00817A2A"/>
    <w:rsid w:val="00817A5C"/>
    <w:rsid w:val="00817BF8"/>
    <w:rsid w:val="00817D7A"/>
    <w:rsid w:val="00817ED3"/>
    <w:rsid w:val="00817EF0"/>
    <w:rsid w:val="00820478"/>
    <w:rsid w:val="008205CD"/>
    <w:rsid w:val="00820A4A"/>
    <w:rsid w:val="00820C60"/>
    <w:rsid w:val="00820DFC"/>
    <w:rsid w:val="00821592"/>
    <w:rsid w:val="00821A3B"/>
    <w:rsid w:val="00821CF7"/>
    <w:rsid w:val="00821E91"/>
    <w:rsid w:val="0082304B"/>
    <w:rsid w:val="00823630"/>
    <w:rsid w:val="00824A2A"/>
    <w:rsid w:val="0082571B"/>
    <w:rsid w:val="00825742"/>
    <w:rsid w:val="00826C3B"/>
    <w:rsid w:val="0082758C"/>
    <w:rsid w:val="008277AB"/>
    <w:rsid w:val="00827A4A"/>
    <w:rsid w:val="00827E6E"/>
    <w:rsid w:val="00830A50"/>
    <w:rsid w:val="00830B7A"/>
    <w:rsid w:val="00830CFC"/>
    <w:rsid w:val="00831956"/>
    <w:rsid w:val="00831C31"/>
    <w:rsid w:val="00832216"/>
    <w:rsid w:val="008322E0"/>
    <w:rsid w:val="00832300"/>
    <w:rsid w:val="00832691"/>
    <w:rsid w:val="0083271B"/>
    <w:rsid w:val="008327FE"/>
    <w:rsid w:val="00832B1E"/>
    <w:rsid w:val="00832EBC"/>
    <w:rsid w:val="0083337D"/>
    <w:rsid w:val="008333A9"/>
    <w:rsid w:val="0083456C"/>
    <w:rsid w:val="00834570"/>
    <w:rsid w:val="008349CE"/>
    <w:rsid w:val="00835001"/>
    <w:rsid w:val="00835091"/>
    <w:rsid w:val="008350A3"/>
    <w:rsid w:val="00835C3E"/>
    <w:rsid w:val="0083601D"/>
    <w:rsid w:val="00836469"/>
    <w:rsid w:val="008365F0"/>
    <w:rsid w:val="00840139"/>
    <w:rsid w:val="008401BD"/>
    <w:rsid w:val="008405F4"/>
    <w:rsid w:val="00840D4F"/>
    <w:rsid w:val="008413E2"/>
    <w:rsid w:val="008422DB"/>
    <w:rsid w:val="008430A8"/>
    <w:rsid w:val="0084318A"/>
    <w:rsid w:val="00843687"/>
    <w:rsid w:val="00843902"/>
    <w:rsid w:val="00843D2E"/>
    <w:rsid w:val="00844B14"/>
    <w:rsid w:val="00844D29"/>
    <w:rsid w:val="00845348"/>
    <w:rsid w:val="0084541E"/>
    <w:rsid w:val="008457CF"/>
    <w:rsid w:val="00845AF3"/>
    <w:rsid w:val="00845F6D"/>
    <w:rsid w:val="0084600E"/>
    <w:rsid w:val="00846F0E"/>
    <w:rsid w:val="00846FCC"/>
    <w:rsid w:val="00847627"/>
    <w:rsid w:val="008479E5"/>
    <w:rsid w:val="00847AB5"/>
    <w:rsid w:val="00847B8F"/>
    <w:rsid w:val="00850485"/>
    <w:rsid w:val="0085108F"/>
    <w:rsid w:val="0085170D"/>
    <w:rsid w:val="008519F9"/>
    <w:rsid w:val="008527B8"/>
    <w:rsid w:val="00852E1D"/>
    <w:rsid w:val="0085342B"/>
    <w:rsid w:val="00853444"/>
    <w:rsid w:val="00853E48"/>
    <w:rsid w:val="0085481E"/>
    <w:rsid w:val="00854B17"/>
    <w:rsid w:val="00854BCA"/>
    <w:rsid w:val="00854EB4"/>
    <w:rsid w:val="008552D8"/>
    <w:rsid w:val="00855BE0"/>
    <w:rsid w:val="00855C1F"/>
    <w:rsid w:val="00856106"/>
    <w:rsid w:val="0085652D"/>
    <w:rsid w:val="00856805"/>
    <w:rsid w:val="00856C3C"/>
    <w:rsid w:val="00857FCB"/>
    <w:rsid w:val="008601E9"/>
    <w:rsid w:val="00860680"/>
    <w:rsid w:val="00860BE4"/>
    <w:rsid w:val="00860C08"/>
    <w:rsid w:val="00860E00"/>
    <w:rsid w:val="008621ED"/>
    <w:rsid w:val="0086374C"/>
    <w:rsid w:val="00863A88"/>
    <w:rsid w:val="00863CC0"/>
    <w:rsid w:val="0086405E"/>
    <w:rsid w:val="0086408C"/>
    <w:rsid w:val="00864216"/>
    <w:rsid w:val="00864821"/>
    <w:rsid w:val="008648FF"/>
    <w:rsid w:val="00864D40"/>
    <w:rsid w:val="008654C2"/>
    <w:rsid w:val="00865C2E"/>
    <w:rsid w:val="0086637A"/>
    <w:rsid w:val="0086683C"/>
    <w:rsid w:val="0086695B"/>
    <w:rsid w:val="00866DF9"/>
    <w:rsid w:val="008679B1"/>
    <w:rsid w:val="00867A72"/>
    <w:rsid w:val="00870183"/>
    <w:rsid w:val="00870BC3"/>
    <w:rsid w:val="00870D91"/>
    <w:rsid w:val="00871591"/>
    <w:rsid w:val="0087193D"/>
    <w:rsid w:val="00871A1F"/>
    <w:rsid w:val="0087222E"/>
    <w:rsid w:val="00872CBE"/>
    <w:rsid w:val="00872CE7"/>
    <w:rsid w:val="0087353F"/>
    <w:rsid w:val="0087380B"/>
    <w:rsid w:val="0087392A"/>
    <w:rsid w:val="00873ED6"/>
    <w:rsid w:val="00874AC0"/>
    <w:rsid w:val="00874B2B"/>
    <w:rsid w:val="00874BCD"/>
    <w:rsid w:val="00875126"/>
    <w:rsid w:val="00875673"/>
    <w:rsid w:val="0087576C"/>
    <w:rsid w:val="008760C1"/>
    <w:rsid w:val="0087659E"/>
    <w:rsid w:val="00876851"/>
    <w:rsid w:val="00876E59"/>
    <w:rsid w:val="008770C1"/>
    <w:rsid w:val="00877477"/>
    <w:rsid w:val="008779E6"/>
    <w:rsid w:val="00877BD9"/>
    <w:rsid w:val="00877BE1"/>
    <w:rsid w:val="00877C55"/>
    <w:rsid w:val="0088092C"/>
    <w:rsid w:val="00880B1B"/>
    <w:rsid w:val="00880B3F"/>
    <w:rsid w:val="008814F9"/>
    <w:rsid w:val="008815DD"/>
    <w:rsid w:val="008817C5"/>
    <w:rsid w:val="008819C1"/>
    <w:rsid w:val="00881B4C"/>
    <w:rsid w:val="00881D9D"/>
    <w:rsid w:val="00881F1C"/>
    <w:rsid w:val="00882353"/>
    <w:rsid w:val="00882FDB"/>
    <w:rsid w:val="00883096"/>
    <w:rsid w:val="008835E3"/>
    <w:rsid w:val="00883DC6"/>
    <w:rsid w:val="008843EF"/>
    <w:rsid w:val="0088442B"/>
    <w:rsid w:val="008844AC"/>
    <w:rsid w:val="00884FCA"/>
    <w:rsid w:val="008850A6"/>
    <w:rsid w:val="00885116"/>
    <w:rsid w:val="00885153"/>
    <w:rsid w:val="008853E5"/>
    <w:rsid w:val="0088580F"/>
    <w:rsid w:val="00885C24"/>
    <w:rsid w:val="00885FC7"/>
    <w:rsid w:val="00885FF0"/>
    <w:rsid w:val="0088612D"/>
    <w:rsid w:val="00886BE8"/>
    <w:rsid w:val="00886FAC"/>
    <w:rsid w:val="0088704E"/>
    <w:rsid w:val="008878A7"/>
    <w:rsid w:val="0088791F"/>
    <w:rsid w:val="008902B5"/>
    <w:rsid w:val="0089097E"/>
    <w:rsid w:val="00890A5A"/>
    <w:rsid w:val="00890D4F"/>
    <w:rsid w:val="0089159B"/>
    <w:rsid w:val="008920F0"/>
    <w:rsid w:val="0089236E"/>
    <w:rsid w:val="008923BA"/>
    <w:rsid w:val="0089309D"/>
    <w:rsid w:val="008932C5"/>
    <w:rsid w:val="008934BD"/>
    <w:rsid w:val="008937FB"/>
    <w:rsid w:val="00893A5A"/>
    <w:rsid w:val="00893C05"/>
    <w:rsid w:val="0089495D"/>
    <w:rsid w:val="00894CA5"/>
    <w:rsid w:val="0089628C"/>
    <w:rsid w:val="00896833"/>
    <w:rsid w:val="00896921"/>
    <w:rsid w:val="00897138"/>
    <w:rsid w:val="00897D59"/>
    <w:rsid w:val="008A0357"/>
    <w:rsid w:val="008A0380"/>
    <w:rsid w:val="008A0E8C"/>
    <w:rsid w:val="008A15C2"/>
    <w:rsid w:val="008A1641"/>
    <w:rsid w:val="008A1EE1"/>
    <w:rsid w:val="008A1FF2"/>
    <w:rsid w:val="008A2317"/>
    <w:rsid w:val="008A2B94"/>
    <w:rsid w:val="008A2F2B"/>
    <w:rsid w:val="008A3023"/>
    <w:rsid w:val="008A397F"/>
    <w:rsid w:val="008A41A8"/>
    <w:rsid w:val="008A502E"/>
    <w:rsid w:val="008A588F"/>
    <w:rsid w:val="008A59B5"/>
    <w:rsid w:val="008A5F43"/>
    <w:rsid w:val="008A6933"/>
    <w:rsid w:val="008A6A9B"/>
    <w:rsid w:val="008A6B69"/>
    <w:rsid w:val="008A7572"/>
    <w:rsid w:val="008B05AC"/>
    <w:rsid w:val="008B0B0A"/>
    <w:rsid w:val="008B0BA6"/>
    <w:rsid w:val="008B16A6"/>
    <w:rsid w:val="008B18D1"/>
    <w:rsid w:val="008B1969"/>
    <w:rsid w:val="008B19B9"/>
    <w:rsid w:val="008B236A"/>
    <w:rsid w:val="008B2384"/>
    <w:rsid w:val="008B2389"/>
    <w:rsid w:val="008B25A1"/>
    <w:rsid w:val="008B29B2"/>
    <w:rsid w:val="008B2BEB"/>
    <w:rsid w:val="008B2E27"/>
    <w:rsid w:val="008B2EF3"/>
    <w:rsid w:val="008B3B23"/>
    <w:rsid w:val="008B408E"/>
    <w:rsid w:val="008B41E4"/>
    <w:rsid w:val="008B4F2E"/>
    <w:rsid w:val="008B580D"/>
    <w:rsid w:val="008B5A80"/>
    <w:rsid w:val="008B63A2"/>
    <w:rsid w:val="008B6406"/>
    <w:rsid w:val="008B6A40"/>
    <w:rsid w:val="008B7796"/>
    <w:rsid w:val="008B7A0D"/>
    <w:rsid w:val="008C0D01"/>
    <w:rsid w:val="008C1ADF"/>
    <w:rsid w:val="008C29F3"/>
    <w:rsid w:val="008C3766"/>
    <w:rsid w:val="008C3CAF"/>
    <w:rsid w:val="008C3D71"/>
    <w:rsid w:val="008C4218"/>
    <w:rsid w:val="008C485D"/>
    <w:rsid w:val="008C4C49"/>
    <w:rsid w:val="008C4CFC"/>
    <w:rsid w:val="008C50CB"/>
    <w:rsid w:val="008C53DF"/>
    <w:rsid w:val="008C5A3A"/>
    <w:rsid w:val="008C5B3B"/>
    <w:rsid w:val="008C5BB1"/>
    <w:rsid w:val="008C5C6B"/>
    <w:rsid w:val="008C6052"/>
    <w:rsid w:val="008C7370"/>
    <w:rsid w:val="008C798E"/>
    <w:rsid w:val="008C7B6B"/>
    <w:rsid w:val="008D00F1"/>
    <w:rsid w:val="008D11B0"/>
    <w:rsid w:val="008D12D7"/>
    <w:rsid w:val="008D1600"/>
    <w:rsid w:val="008D18F2"/>
    <w:rsid w:val="008D2002"/>
    <w:rsid w:val="008D216A"/>
    <w:rsid w:val="008D2F20"/>
    <w:rsid w:val="008D3813"/>
    <w:rsid w:val="008D3AB0"/>
    <w:rsid w:val="008D3D84"/>
    <w:rsid w:val="008D415B"/>
    <w:rsid w:val="008D4920"/>
    <w:rsid w:val="008D4A1A"/>
    <w:rsid w:val="008D4B3D"/>
    <w:rsid w:val="008D4C70"/>
    <w:rsid w:val="008D59DE"/>
    <w:rsid w:val="008D5DE9"/>
    <w:rsid w:val="008D6B70"/>
    <w:rsid w:val="008D7710"/>
    <w:rsid w:val="008D781E"/>
    <w:rsid w:val="008E0137"/>
    <w:rsid w:val="008E08D2"/>
    <w:rsid w:val="008E0C6A"/>
    <w:rsid w:val="008E0D73"/>
    <w:rsid w:val="008E15FC"/>
    <w:rsid w:val="008E1B9F"/>
    <w:rsid w:val="008E1F41"/>
    <w:rsid w:val="008E2BD4"/>
    <w:rsid w:val="008E3483"/>
    <w:rsid w:val="008E3972"/>
    <w:rsid w:val="008E39A7"/>
    <w:rsid w:val="008E3C90"/>
    <w:rsid w:val="008E3FAD"/>
    <w:rsid w:val="008E4212"/>
    <w:rsid w:val="008E4838"/>
    <w:rsid w:val="008E4F36"/>
    <w:rsid w:val="008E6065"/>
    <w:rsid w:val="008E6419"/>
    <w:rsid w:val="008E68FD"/>
    <w:rsid w:val="008E7227"/>
    <w:rsid w:val="008E750D"/>
    <w:rsid w:val="008E76F3"/>
    <w:rsid w:val="008E7C0C"/>
    <w:rsid w:val="008E7F12"/>
    <w:rsid w:val="008F07CF"/>
    <w:rsid w:val="008F0810"/>
    <w:rsid w:val="008F0B24"/>
    <w:rsid w:val="008F0EB1"/>
    <w:rsid w:val="008F1B82"/>
    <w:rsid w:val="008F2200"/>
    <w:rsid w:val="008F2F3B"/>
    <w:rsid w:val="008F39E1"/>
    <w:rsid w:val="008F3F6B"/>
    <w:rsid w:val="008F46D3"/>
    <w:rsid w:val="008F4BD3"/>
    <w:rsid w:val="008F4C3D"/>
    <w:rsid w:val="008F50DF"/>
    <w:rsid w:val="008F5327"/>
    <w:rsid w:val="008F5533"/>
    <w:rsid w:val="008F5B3F"/>
    <w:rsid w:val="008F624B"/>
    <w:rsid w:val="008F62EC"/>
    <w:rsid w:val="008F63DF"/>
    <w:rsid w:val="008F680E"/>
    <w:rsid w:val="008F6AE3"/>
    <w:rsid w:val="008F6E2A"/>
    <w:rsid w:val="008F70C9"/>
    <w:rsid w:val="008F7470"/>
    <w:rsid w:val="008F765B"/>
    <w:rsid w:val="008F7833"/>
    <w:rsid w:val="008F7F3B"/>
    <w:rsid w:val="00900459"/>
    <w:rsid w:val="00900975"/>
    <w:rsid w:val="009019FF"/>
    <w:rsid w:val="009020D8"/>
    <w:rsid w:val="009028AB"/>
    <w:rsid w:val="00902AEE"/>
    <w:rsid w:val="00902BD4"/>
    <w:rsid w:val="0090314E"/>
    <w:rsid w:val="0090370D"/>
    <w:rsid w:val="00903C89"/>
    <w:rsid w:val="00903FAE"/>
    <w:rsid w:val="009041A4"/>
    <w:rsid w:val="009046C6"/>
    <w:rsid w:val="00904E62"/>
    <w:rsid w:val="009051C0"/>
    <w:rsid w:val="009062B1"/>
    <w:rsid w:val="0090642C"/>
    <w:rsid w:val="00906927"/>
    <w:rsid w:val="00906A3E"/>
    <w:rsid w:val="00906F46"/>
    <w:rsid w:val="009070E9"/>
    <w:rsid w:val="00907846"/>
    <w:rsid w:val="00907C7D"/>
    <w:rsid w:val="00907D34"/>
    <w:rsid w:val="0091027D"/>
    <w:rsid w:val="0091064B"/>
    <w:rsid w:val="00910BE9"/>
    <w:rsid w:val="009111D2"/>
    <w:rsid w:val="0091298E"/>
    <w:rsid w:val="00912F49"/>
    <w:rsid w:val="00913ACE"/>
    <w:rsid w:val="00913ADE"/>
    <w:rsid w:val="00913E89"/>
    <w:rsid w:val="0091495B"/>
    <w:rsid w:val="00914CAA"/>
    <w:rsid w:val="0091503F"/>
    <w:rsid w:val="00915282"/>
    <w:rsid w:val="0091595E"/>
    <w:rsid w:val="00915AC0"/>
    <w:rsid w:val="00915E36"/>
    <w:rsid w:val="00916443"/>
    <w:rsid w:val="009164C4"/>
    <w:rsid w:val="009165F3"/>
    <w:rsid w:val="009168CD"/>
    <w:rsid w:val="00916CFF"/>
    <w:rsid w:val="00917435"/>
    <w:rsid w:val="00917495"/>
    <w:rsid w:val="0091796B"/>
    <w:rsid w:val="00917C9B"/>
    <w:rsid w:val="00917CAF"/>
    <w:rsid w:val="00917D9B"/>
    <w:rsid w:val="00917DA7"/>
    <w:rsid w:val="009202A2"/>
    <w:rsid w:val="009207E0"/>
    <w:rsid w:val="00920811"/>
    <w:rsid w:val="00921478"/>
    <w:rsid w:val="00921EC5"/>
    <w:rsid w:val="009220CA"/>
    <w:rsid w:val="009221C3"/>
    <w:rsid w:val="009226D6"/>
    <w:rsid w:val="00922803"/>
    <w:rsid w:val="009229E7"/>
    <w:rsid w:val="00922CC2"/>
    <w:rsid w:val="00922D0C"/>
    <w:rsid w:val="0092423D"/>
    <w:rsid w:val="00924787"/>
    <w:rsid w:val="00925183"/>
    <w:rsid w:val="00925AEE"/>
    <w:rsid w:val="00925F14"/>
    <w:rsid w:val="0092638E"/>
    <w:rsid w:val="009276FE"/>
    <w:rsid w:val="00927B8C"/>
    <w:rsid w:val="00927F62"/>
    <w:rsid w:val="009305FA"/>
    <w:rsid w:val="00930893"/>
    <w:rsid w:val="00930AE9"/>
    <w:rsid w:val="009311BE"/>
    <w:rsid w:val="009315B3"/>
    <w:rsid w:val="00931952"/>
    <w:rsid w:val="009319CB"/>
    <w:rsid w:val="009319D3"/>
    <w:rsid w:val="00931A14"/>
    <w:rsid w:val="00931C8C"/>
    <w:rsid w:val="009321C6"/>
    <w:rsid w:val="009322E4"/>
    <w:rsid w:val="00932482"/>
    <w:rsid w:val="00933097"/>
    <w:rsid w:val="0093312E"/>
    <w:rsid w:val="00933ACC"/>
    <w:rsid w:val="009340C0"/>
    <w:rsid w:val="00934212"/>
    <w:rsid w:val="009364BB"/>
    <w:rsid w:val="0093650B"/>
    <w:rsid w:val="0093690E"/>
    <w:rsid w:val="0093733C"/>
    <w:rsid w:val="009379E4"/>
    <w:rsid w:val="00937A07"/>
    <w:rsid w:val="0094016E"/>
    <w:rsid w:val="009404DE"/>
    <w:rsid w:val="00940D3B"/>
    <w:rsid w:val="00940F5D"/>
    <w:rsid w:val="00942C08"/>
    <w:rsid w:val="00942C72"/>
    <w:rsid w:val="00942CED"/>
    <w:rsid w:val="00942E2E"/>
    <w:rsid w:val="0094326A"/>
    <w:rsid w:val="00943B4B"/>
    <w:rsid w:val="00943C9D"/>
    <w:rsid w:val="00943D66"/>
    <w:rsid w:val="00944293"/>
    <w:rsid w:val="009444A8"/>
    <w:rsid w:val="00944F63"/>
    <w:rsid w:val="00944FC5"/>
    <w:rsid w:val="0094520B"/>
    <w:rsid w:val="009452C1"/>
    <w:rsid w:val="00945365"/>
    <w:rsid w:val="009453E7"/>
    <w:rsid w:val="0094570E"/>
    <w:rsid w:val="0094598D"/>
    <w:rsid w:val="00945C8F"/>
    <w:rsid w:val="00945D5D"/>
    <w:rsid w:val="00946263"/>
    <w:rsid w:val="009465D4"/>
    <w:rsid w:val="00946805"/>
    <w:rsid w:val="00946BDB"/>
    <w:rsid w:val="00947007"/>
    <w:rsid w:val="009474FF"/>
    <w:rsid w:val="00947D21"/>
    <w:rsid w:val="009507E5"/>
    <w:rsid w:val="009512DC"/>
    <w:rsid w:val="00951724"/>
    <w:rsid w:val="00951FF2"/>
    <w:rsid w:val="00951FF6"/>
    <w:rsid w:val="0095230A"/>
    <w:rsid w:val="00952323"/>
    <w:rsid w:val="00952687"/>
    <w:rsid w:val="00952AF0"/>
    <w:rsid w:val="00952B17"/>
    <w:rsid w:val="00952C1E"/>
    <w:rsid w:val="00952EA7"/>
    <w:rsid w:val="0095337B"/>
    <w:rsid w:val="009536BD"/>
    <w:rsid w:val="00953AC6"/>
    <w:rsid w:val="0095404D"/>
    <w:rsid w:val="0095476C"/>
    <w:rsid w:val="009549CD"/>
    <w:rsid w:val="00954C25"/>
    <w:rsid w:val="00954CED"/>
    <w:rsid w:val="00954D11"/>
    <w:rsid w:val="009551F8"/>
    <w:rsid w:val="0095557A"/>
    <w:rsid w:val="00955C70"/>
    <w:rsid w:val="0095619D"/>
    <w:rsid w:val="0095624F"/>
    <w:rsid w:val="00956305"/>
    <w:rsid w:val="00956722"/>
    <w:rsid w:val="00956A86"/>
    <w:rsid w:val="0095735C"/>
    <w:rsid w:val="00957499"/>
    <w:rsid w:val="0095754A"/>
    <w:rsid w:val="00957931"/>
    <w:rsid w:val="00957BC7"/>
    <w:rsid w:val="00957E62"/>
    <w:rsid w:val="00960326"/>
    <w:rsid w:val="00960516"/>
    <w:rsid w:val="009607BE"/>
    <w:rsid w:val="00960A02"/>
    <w:rsid w:val="00960BF2"/>
    <w:rsid w:val="00961360"/>
    <w:rsid w:val="009616FC"/>
    <w:rsid w:val="0096182E"/>
    <w:rsid w:val="009623E5"/>
    <w:rsid w:val="00962823"/>
    <w:rsid w:val="009629F5"/>
    <w:rsid w:val="0096353C"/>
    <w:rsid w:val="0096375F"/>
    <w:rsid w:val="00963DC9"/>
    <w:rsid w:val="00963EB5"/>
    <w:rsid w:val="00964061"/>
    <w:rsid w:val="009646D3"/>
    <w:rsid w:val="00964AB2"/>
    <w:rsid w:val="00965AB7"/>
    <w:rsid w:val="009660A8"/>
    <w:rsid w:val="00966214"/>
    <w:rsid w:val="009667CC"/>
    <w:rsid w:val="00966850"/>
    <w:rsid w:val="00966922"/>
    <w:rsid w:val="00966A55"/>
    <w:rsid w:val="00967324"/>
    <w:rsid w:val="009677AA"/>
    <w:rsid w:val="0096788F"/>
    <w:rsid w:val="00967ADA"/>
    <w:rsid w:val="00967C51"/>
    <w:rsid w:val="00967C70"/>
    <w:rsid w:val="00967F41"/>
    <w:rsid w:val="00970776"/>
    <w:rsid w:val="00970F8A"/>
    <w:rsid w:val="00971256"/>
    <w:rsid w:val="00971260"/>
    <w:rsid w:val="009712DA"/>
    <w:rsid w:val="0097145B"/>
    <w:rsid w:val="009715F2"/>
    <w:rsid w:val="009717DA"/>
    <w:rsid w:val="00971B81"/>
    <w:rsid w:val="00971E4B"/>
    <w:rsid w:val="00971F7B"/>
    <w:rsid w:val="009726C3"/>
    <w:rsid w:val="00973378"/>
    <w:rsid w:val="00973A9B"/>
    <w:rsid w:val="00974AF6"/>
    <w:rsid w:val="00974DE5"/>
    <w:rsid w:val="0097634D"/>
    <w:rsid w:val="00976996"/>
    <w:rsid w:val="00976F83"/>
    <w:rsid w:val="00977106"/>
    <w:rsid w:val="0097718C"/>
    <w:rsid w:val="0097722C"/>
    <w:rsid w:val="00977ACC"/>
    <w:rsid w:val="00980763"/>
    <w:rsid w:val="009807BF"/>
    <w:rsid w:val="009810BB"/>
    <w:rsid w:val="00981381"/>
    <w:rsid w:val="00981B68"/>
    <w:rsid w:val="00981CEE"/>
    <w:rsid w:val="0098202D"/>
    <w:rsid w:val="00983BE8"/>
    <w:rsid w:val="00983DD3"/>
    <w:rsid w:val="00983FB1"/>
    <w:rsid w:val="009841E3"/>
    <w:rsid w:val="0098494D"/>
    <w:rsid w:val="00985356"/>
    <w:rsid w:val="00985CFF"/>
    <w:rsid w:val="0098657E"/>
    <w:rsid w:val="0098667B"/>
    <w:rsid w:val="00986812"/>
    <w:rsid w:val="00986DFE"/>
    <w:rsid w:val="00987233"/>
    <w:rsid w:val="009873B9"/>
    <w:rsid w:val="009873C2"/>
    <w:rsid w:val="00987A87"/>
    <w:rsid w:val="009900DE"/>
    <w:rsid w:val="009908EC"/>
    <w:rsid w:val="00990CD8"/>
    <w:rsid w:val="00991088"/>
    <w:rsid w:val="00991ADF"/>
    <w:rsid w:val="00992F67"/>
    <w:rsid w:val="009930EE"/>
    <w:rsid w:val="00993642"/>
    <w:rsid w:val="009937DA"/>
    <w:rsid w:val="00993A75"/>
    <w:rsid w:val="00993A7E"/>
    <w:rsid w:val="00994057"/>
    <w:rsid w:val="00994104"/>
    <w:rsid w:val="009941DE"/>
    <w:rsid w:val="00994E66"/>
    <w:rsid w:val="00994FE5"/>
    <w:rsid w:val="00995387"/>
    <w:rsid w:val="009956E3"/>
    <w:rsid w:val="00995866"/>
    <w:rsid w:val="00996B99"/>
    <w:rsid w:val="00996CAC"/>
    <w:rsid w:val="009972AA"/>
    <w:rsid w:val="009975D6"/>
    <w:rsid w:val="0099789F"/>
    <w:rsid w:val="00997CD4"/>
    <w:rsid w:val="009A0139"/>
    <w:rsid w:val="009A0284"/>
    <w:rsid w:val="009A045C"/>
    <w:rsid w:val="009A06CD"/>
    <w:rsid w:val="009A1B76"/>
    <w:rsid w:val="009A23DE"/>
    <w:rsid w:val="009A2C67"/>
    <w:rsid w:val="009A3610"/>
    <w:rsid w:val="009A4904"/>
    <w:rsid w:val="009A49BE"/>
    <w:rsid w:val="009A4DAC"/>
    <w:rsid w:val="009A519D"/>
    <w:rsid w:val="009A526C"/>
    <w:rsid w:val="009A5686"/>
    <w:rsid w:val="009A57C6"/>
    <w:rsid w:val="009A59D3"/>
    <w:rsid w:val="009A5B09"/>
    <w:rsid w:val="009A6021"/>
    <w:rsid w:val="009A62B3"/>
    <w:rsid w:val="009A67C6"/>
    <w:rsid w:val="009A6F77"/>
    <w:rsid w:val="009A71C0"/>
    <w:rsid w:val="009A79BA"/>
    <w:rsid w:val="009A7DF9"/>
    <w:rsid w:val="009B0111"/>
    <w:rsid w:val="009B060D"/>
    <w:rsid w:val="009B06F8"/>
    <w:rsid w:val="009B0BA4"/>
    <w:rsid w:val="009B126B"/>
    <w:rsid w:val="009B1B4E"/>
    <w:rsid w:val="009B1C5E"/>
    <w:rsid w:val="009B1C9D"/>
    <w:rsid w:val="009B2498"/>
    <w:rsid w:val="009B2502"/>
    <w:rsid w:val="009B29EB"/>
    <w:rsid w:val="009B2A1B"/>
    <w:rsid w:val="009B3150"/>
    <w:rsid w:val="009B3A51"/>
    <w:rsid w:val="009B3C7E"/>
    <w:rsid w:val="009B3E20"/>
    <w:rsid w:val="009B4273"/>
    <w:rsid w:val="009B4605"/>
    <w:rsid w:val="009B46A9"/>
    <w:rsid w:val="009B4870"/>
    <w:rsid w:val="009B4AC8"/>
    <w:rsid w:val="009B4B1A"/>
    <w:rsid w:val="009B4C2A"/>
    <w:rsid w:val="009B5447"/>
    <w:rsid w:val="009B55D2"/>
    <w:rsid w:val="009B5D06"/>
    <w:rsid w:val="009B61B1"/>
    <w:rsid w:val="009B629B"/>
    <w:rsid w:val="009B634A"/>
    <w:rsid w:val="009B64E4"/>
    <w:rsid w:val="009B6630"/>
    <w:rsid w:val="009B747E"/>
    <w:rsid w:val="009B7AC8"/>
    <w:rsid w:val="009B7F30"/>
    <w:rsid w:val="009C010D"/>
    <w:rsid w:val="009C116A"/>
    <w:rsid w:val="009C1B1F"/>
    <w:rsid w:val="009C1CC0"/>
    <w:rsid w:val="009C1CE6"/>
    <w:rsid w:val="009C2257"/>
    <w:rsid w:val="009C33AE"/>
    <w:rsid w:val="009C34AD"/>
    <w:rsid w:val="009C3B9D"/>
    <w:rsid w:val="009C3C32"/>
    <w:rsid w:val="009C4283"/>
    <w:rsid w:val="009C42A5"/>
    <w:rsid w:val="009C42F7"/>
    <w:rsid w:val="009C4B7A"/>
    <w:rsid w:val="009C4CFC"/>
    <w:rsid w:val="009C516C"/>
    <w:rsid w:val="009C6449"/>
    <w:rsid w:val="009C697D"/>
    <w:rsid w:val="009C6A45"/>
    <w:rsid w:val="009C6EDB"/>
    <w:rsid w:val="009C75C8"/>
    <w:rsid w:val="009C78AB"/>
    <w:rsid w:val="009C7E25"/>
    <w:rsid w:val="009C7E6D"/>
    <w:rsid w:val="009D0215"/>
    <w:rsid w:val="009D06C9"/>
    <w:rsid w:val="009D0968"/>
    <w:rsid w:val="009D0A6B"/>
    <w:rsid w:val="009D0A6D"/>
    <w:rsid w:val="009D1AD8"/>
    <w:rsid w:val="009D1F63"/>
    <w:rsid w:val="009D226F"/>
    <w:rsid w:val="009D23ED"/>
    <w:rsid w:val="009D272E"/>
    <w:rsid w:val="009D2BDF"/>
    <w:rsid w:val="009D2D7B"/>
    <w:rsid w:val="009D4110"/>
    <w:rsid w:val="009D45E5"/>
    <w:rsid w:val="009D4709"/>
    <w:rsid w:val="009D493F"/>
    <w:rsid w:val="009D4A52"/>
    <w:rsid w:val="009D51AE"/>
    <w:rsid w:val="009D54D1"/>
    <w:rsid w:val="009D5597"/>
    <w:rsid w:val="009D5985"/>
    <w:rsid w:val="009D5CBC"/>
    <w:rsid w:val="009D617F"/>
    <w:rsid w:val="009D6824"/>
    <w:rsid w:val="009D6E8B"/>
    <w:rsid w:val="009D7AD5"/>
    <w:rsid w:val="009D7B56"/>
    <w:rsid w:val="009D7ED0"/>
    <w:rsid w:val="009E0031"/>
    <w:rsid w:val="009E0146"/>
    <w:rsid w:val="009E02BE"/>
    <w:rsid w:val="009E0839"/>
    <w:rsid w:val="009E08D6"/>
    <w:rsid w:val="009E0E62"/>
    <w:rsid w:val="009E0EE5"/>
    <w:rsid w:val="009E0FD9"/>
    <w:rsid w:val="009E1B97"/>
    <w:rsid w:val="009E252D"/>
    <w:rsid w:val="009E2AB1"/>
    <w:rsid w:val="009E2F67"/>
    <w:rsid w:val="009E309C"/>
    <w:rsid w:val="009E3468"/>
    <w:rsid w:val="009E38A4"/>
    <w:rsid w:val="009E3BF2"/>
    <w:rsid w:val="009E4A09"/>
    <w:rsid w:val="009E4A30"/>
    <w:rsid w:val="009E4FB9"/>
    <w:rsid w:val="009E6804"/>
    <w:rsid w:val="009E6EE0"/>
    <w:rsid w:val="009E7D78"/>
    <w:rsid w:val="009F027A"/>
    <w:rsid w:val="009F0283"/>
    <w:rsid w:val="009F0289"/>
    <w:rsid w:val="009F0BF0"/>
    <w:rsid w:val="009F1AD7"/>
    <w:rsid w:val="009F1F70"/>
    <w:rsid w:val="009F258D"/>
    <w:rsid w:val="009F2903"/>
    <w:rsid w:val="009F2996"/>
    <w:rsid w:val="009F4607"/>
    <w:rsid w:val="009F4DCE"/>
    <w:rsid w:val="009F5FE6"/>
    <w:rsid w:val="009F679E"/>
    <w:rsid w:val="009F6BEA"/>
    <w:rsid w:val="009F6EEC"/>
    <w:rsid w:val="009F76F4"/>
    <w:rsid w:val="009F78E5"/>
    <w:rsid w:val="00A004C4"/>
    <w:rsid w:val="00A00A45"/>
    <w:rsid w:val="00A00D65"/>
    <w:rsid w:val="00A010D3"/>
    <w:rsid w:val="00A0139C"/>
    <w:rsid w:val="00A024A8"/>
    <w:rsid w:val="00A02AA4"/>
    <w:rsid w:val="00A02D93"/>
    <w:rsid w:val="00A0347C"/>
    <w:rsid w:val="00A0373E"/>
    <w:rsid w:val="00A039D9"/>
    <w:rsid w:val="00A03F09"/>
    <w:rsid w:val="00A04499"/>
    <w:rsid w:val="00A04606"/>
    <w:rsid w:val="00A04AC2"/>
    <w:rsid w:val="00A05D10"/>
    <w:rsid w:val="00A05D15"/>
    <w:rsid w:val="00A0639F"/>
    <w:rsid w:val="00A0668D"/>
    <w:rsid w:val="00A06760"/>
    <w:rsid w:val="00A06997"/>
    <w:rsid w:val="00A0783E"/>
    <w:rsid w:val="00A07B09"/>
    <w:rsid w:val="00A07E88"/>
    <w:rsid w:val="00A10519"/>
    <w:rsid w:val="00A10885"/>
    <w:rsid w:val="00A109FE"/>
    <w:rsid w:val="00A1159D"/>
    <w:rsid w:val="00A118E4"/>
    <w:rsid w:val="00A119C7"/>
    <w:rsid w:val="00A12216"/>
    <w:rsid w:val="00A1237D"/>
    <w:rsid w:val="00A1285E"/>
    <w:rsid w:val="00A12AFF"/>
    <w:rsid w:val="00A136BC"/>
    <w:rsid w:val="00A141DB"/>
    <w:rsid w:val="00A145E9"/>
    <w:rsid w:val="00A14822"/>
    <w:rsid w:val="00A15562"/>
    <w:rsid w:val="00A1593A"/>
    <w:rsid w:val="00A16A80"/>
    <w:rsid w:val="00A16AFB"/>
    <w:rsid w:val="00A16D86"/>
    <w:rsid w:val="00A17707"/>
    <w:rsid w:val="00A1787C"/>
    <w:rsid w:val="00A2016E"/>
    <w:rsid w:val="00A20584"/>
    <w:rsid w:val="00A205B9"/>
    <w:rsid w:val="00A207BD"/>
    <w:rsid w:val="00A208D6"/>
    <w:rsid w:val="00A20BFF"/>
    <w:rsid w:val="00A215A2"/>
    <w:rsid w:val="00A215BD"/>
    <w:rsid w:val="00A21E28"/>
    <w:rsid w:val="00A21E3D"/>
    <w:rsid w:val="00A22081"/>
    <w:rsid w:val="00A223E0"/>
    <w:rsid w:val="00A228F9"/>
    <w:rsid w:val="00A22DB9"/>
    <w:rsid w:val="00A230A3"/>
    <w:rsid w:val="00A23BF0"/>
    <w:rsid w:val="00A23C40"/>
    <w:rsid w:val="00A23E13"/>
    <w:rsid w:val="00A244AE"/>
    <w:rsid w:val="00A24C42"/>
    <w:rsid w:val="00A251C7"/>
    <w:rsid w:val="00A25421"/>
    <w:rsid w:val="00A256E7"/>
    <w:rsid w:val="00A25C3A"/>
    <w:rsid w:val="00A25F4D"/>
    <w:rsid w:val="00A271D6"/>
    <w:rsid w:val="00A278E7"/>
    <w:rsid w:val="00A27914"/>
    <w:rsid w:val="00A279E3"/>
    <w:rsid w:val="00A27F81"/>
    <w:rsid w:val="00A308E3"/>
    <w:rsid w:val="00A30A08"/>
    <w:rsid w:val="00A30FC6"/>
    <w:rsid w:val="00A3154E"/>
    <w:rsid w:val="00A31951"/>
    <w:rsid w:val="00A31D3C"/>
    <w:rsid w:val="00A31EB8"/>
    <w:rsid w:val="00A32042"/>
    <w:rsid w:val="00A320E9"/>
    <w:rsid w:val="00A321AC"/>
    <w:rsid w:val="00A32272"/>
    <w:rsid w:val="00A3263F"/>
    <w:rsid w:val="00A32D08"/>
    <w:rsid w:val="00A32E33"/>
    <w:rsid w:val="00A330FC"/>
    <w:rsid w:val="00A334AB"/>
    <w:rsid w:val="00A33838"/>
    <w:rsid w:val="00A33A9F"/>
    <w:rsid w:val="00A33DD2"/>
    <w:rsid w:val="00A3404F"/>
    <w:rsid w:val="00A346A8"/>
    <w:rsid w:val="00A34774"/>
    <w:rsid w:val="00A34B38"/>
    <w:rsid w:val="00A34BFE"/>
    <w:rsid w:val="00A35157"/>
    <w:rsid w:val="00A356A4"/>
    <w:rsid w:val="00A36452"/>
    <w:rsid w:val="00A368C4"/>
    <w:rsid w:val="00A36F07"/>
    <w:rsid w:val="00A373F3"/>
    <w:rsid w:val="00A37C21"/>
    <w:rsid w:val="00A37D5C"/>
    <w:rsid w:val="00A37E7D"/>
    <w:rsid w:val="00A402A7"/>
    <w:rsid w:val="00A405C2"/>
    <w:rsid w:val="00A406F0"/>
    <w:rsid w:val="00A40BC9"/>
    <w:rsid w:val="00A40FD4"/>
    <w:rsid w:val="00A41071"/>
    <w:rsid w:val="00A41189"/>
    <w:rsid w:val="00A414A9"/>
    <w:rsid w:val="00A4159C"/>
    <w:rsid w:val="00A419CB"/>
    <w:rsid w:val="00A41A69"/>
    <w:rsid w:val="00A41AE1"/>
    <w:rsid w:val="00A41E34"/>
    <w:rsid w:val="00A4223F"/>
    <w:rsid w:val="00A42938"/>
    <w:rsid w:val="00A43175"/>
    <w:rsid w:val="00A432E5"/>
    <w:rsid w:val="00A43B59"/>
    <w:rsid w:val="00A43F18"/>
    <w:rsid w:val="00A44226"/>
    <w:rsid w:val="00A44860"/>
    <w:rsid w:val="00A44FCB"/>
    <w:rsid w:val="00A45206"/>
    <w:rsid w:val="00A454D7"/>
    <w:rsid w:val="00A45592"/>
    <w:rsid w:val="00A459E5"/>
    <w:rsid w:val="00A479AD"/>
    <w:rsid w:val="00A47B4E"/>
    <w:rsid w:val="00A47C69"/>
    <w:rsid w:val="00A500EA"/>
    <w:rsid w:val="00A501B1"/>
    <w:rsid w:val="00A501CB"/>
    <w:rsid w:val="00A50203"/>
    <w:rsid w:val="00A50490"/>
    <w:rsid w:val="00A504B3"/>
    <w:rsid w:val="00A50D30"/>
    <w:rsid w:val="00A51063"/>
    <w:rsid w:val="00A514A7"/>
    <w:rsid w:val="00A515AB"/>
    <w:rsid w:val="00A528A4"/>
    <w:rsid w:val="00A53EED"/>
    <w:rsid w:val="00A540D0"/>
    <w:rsid w:val="00A5474F"/>
    <w:rsid w:val="00A55690"/>
    <w:rsid w:val="00A558FE"/>
    <w:rsid w:val="00A5658C"/>
    <w:rsid w:val="00A57363"/>
    <w:rsid w:val="00A57541"/>
    <w:rsid w:val="00A60148"/>
    <w:rsid w:val="00A60340"/>
    <w:rsid w:val="00A606FD"/>
    <w:rsid w:val="00A6076B"/>
    <w:rsid w:val="00A6198F"/>
    <w:rsid w:val="00A629B4"/>
    <w:rsid w:val="00A62CEA"/>
    <w:rsid w:val="00A633D5"/>
    <w:rsid w:val="00A645F2"/>
    <w:rsid w:val="00A646CA"/>
    <w:rsid w:val="00A65246"/>
    <w:rsid w:val="00A6654E"/>
    <w:rsid w:val="00A66B2D"/>
    <w:rsid w:val="00A676C7"/>
    <w:rsid w:val="00A67803"/>
    <w:rsid w:val="00A701FA"/>
    <w:rsid w:val="00A70596"/>
    <w:rsid w:val="00A70FBF"/>
    <w:rsid w:val="00A712FA"/>
    <w:rsid w:val="00A71DAE"/>
    <w:rsid w:val="00A7230A"/>
    <w:rsid w:val="00A723C8"/>
    <w:rsid w:val="00A72A93"/>
    <w:rsid w:val="00A72B38"/>
    <w:rsid w:val="00A731C1"/>
    <w:rsid w:val="00A73668"/>
    <w:rsid w:val="00A73A57"/>
    <w:rsid w:val="00A73E62"/>
    <w:rsid w:val="00A74F09"/>
    <w:rsid w:val="00A75852"/>
    <w:rsid w:val="00A75974"/>
    <w:rsid w:val="00A75E97"/>
    <w:rsid w:val="00A76004"/>
    <w:rsid w:val="00A7629A"/>
    <w:rsid w:val="00A76DDE"/>
    <w:rsid w:val="00A76EFC"/>
    <w:rsid w:val="00A77145"/>
    <w:rsid w:val="00A773AF"/>
    <w:rsid w:val="00A778A3"/>
    <w:rsid w:val="00A778CD"/>
    <w:rsid w:val="00A77A25"/>
    <w:rsid w:val="00A77C9E"/>
    <w:rsid w:val="00A77CE9"/>
    <w:rsid w:val="00A77DD8"/>
    <w:rsid w:val="00A80277"/>
    <w:rsid w:val="00A8052F"/>
    <w:rsid w:val="00A80C7B"/>
    <w:rsid w:val="00A80E7F"/>
    <w:rsid w:val="00A814ED"/>
    <w:rsid w:val="00A8173B"/>
    <w:rsid w:val="00A81EF8"/>
    <w:rsid w:val="00A8219F"/>
    <w:rsid w:val="00A82C51"/>
    <w:rsid w:val="00A82F75"/>
    <w:rsid w:val="00A82F8B"/>
    <w:rsid w:val="00A83486"/>
    <w:rsid w:val="00A83BF7"/>
    <w:rsid w:val="00A841B0"/>
    <w:rsid w:val="00A84C69"/>
    <w:rsid w:val="00A84E5A"/>
    <w:rsid w:val="00A84E67"/>
    <w:rsid w:val="00A851CD"/>
    <w:rsid w:val="00A85306"/>
    <w:rsid w:val="00A85A09"/>
    <w:rsid w:val="00A86451"/>
    <w:rsid w:val="00A86685"/>
    <w:rsid w:val="00A8747A"/>
    <w:rsid w:val="00A879B7"/>
    <w:rsid w:val="00A90452"/>
    <w:rsid w:val="00A9052B"/>
    <w:rsid w:val="00A90A93"/>
    <w:rsid w:val="00A90AE5"/>
    <w:rsid w:val="00A9102F"/>
    <w:rsid w:val="00A92EAD"/>
    <w:rsid w:val="00A92F65"/>
    <w:rsid w:val="00A930AB"/>
    <w:rsid w:val="00A930EE"/>
    <w:rsid w:val="00A931C7"/>
    <w:rsid w:val="00A934B7"/>
    <w:rsid w:val="00A937B7"/>
    <w:rsid w:val="00A93C2F"/>
    <w:rsid w:val="00A9417F"/>
    <w:rsid w:val="00A94771"/>
    <w:rsid w:val="00A94BC5"/>
    <w:rsid w:val="00A94F6D"/>
    <w:rsid w:val="00A94FC2"/>
    <w:rsid w:val="00A95047"/>
    <w:rsid w:val="00A95409"/>
    <w:rsid w:val="00A960C4"/>
    <w:rsid w:val="00A96110"/>
    <w:rsid w:val="00A964E2"/>
    <w:rsid w:val="00A96EF5"/>
    <w:rsid w:val="00A9752D"/>
    <w:rsid w:val="00A977FD"/>
    <w:rsid w:val="00A97B5C"/>
    <w:rsid w:val="00AA03BF"/>
    <w:rsid w:val="00AA05E5"/>
    <w:rsid w:val="00AA067B"/>
    <w:rsid w:val="00AA1DC8"/>
    <w:rsid w:val="00AA1FF5"/>
    <w:rsid w:val="00AA2467"/>
    <w:rsid w:val="00AA2EE4"/>
    <w:rsid w:val="00AA3812"/>
    <w:rsid w:val="00AA41CC"/>
    <w:rsid w:val="00AA465A"/>
    <w:rsid w:val="00AA5BCF"/>
    <w:rsid w:val="00AA5DA0"/>
    <w:rsid w:val="00AA661E"/>
    <w:rsid w:val="00AA691A"/>
    <w:rsid w:val="00AA7566"/>
    <w:rsid w:val="00AA768C"/>
    <w:rsid w:val="00AA7D1A"/>
    <w:rsid w:val="00AB000A"/>
    <w:rsid w:val="00AB069C"/>
    <w:rsid w:val="00AB1608"/>
    <w:rsid w:val="00AB1777"/>
    <w:rsid w:val="00AB196C"/>
    <w:rsid w:val="00AB2195"/>
    <w:rsid w:val="00AB2A60"/>
    <w:rsid w:val="00AB2ACA"/>
    <w:rsid w:val="00AB32C1"/>
    <w:rsid w:val="00AB33CD"/>
    <w:rsid w:val="00AB35BA"/>
    <w:rsid w:val="00AB377C"/>
    <w:rsid w:val="00AB3835"/>
    <w:rsid w:val="00AB3DAB"/>
    <w:rsid w:val="00AB3FB6"/>
    <w:rsid w:val="00AB4BDB"/>
    <w:rsid w:val="00AB4C5E"/>
    <w:rsid w:val="00AB5109"/>
    <w:rsid w:val="00AB5253"/>
    <w:rsid w:val="00AB52A5"/>
    <w:rsid w:val="00AB53F1"/>
    <w:rsid w:val="00AB5571"/>
    <w:rsid w:val="00AB5624"/>
    <w:rsid w:val="00AB5C6B"/>
    <w:rsid w:val="00AB6163"/>
    <w:rsid w:val="00AB65EA"/>
    <w:rsid w:val="00AB6F06"/>
    <w:rsid w:val="00AB7404"/>
    <w:rsid w:val="00AC0019"/>
    <w:rsid w:val="00AC0727"/>
    <w:rsid w:val="00AC0F7A"/>
    <w:rsid w:val="00AC1827"/>
    <w:rsid w:val="00AC1B45"/>
    <w:rsid w:val="00AC3195"/>
    <w:rsid w:val="00AC3316"/>
    <w:rsid w:val="00AC33B9"/>
    <w:rsid w:val="00AC363C"/>
    <w:rsid w:val="00AC390D"/>
    <w:rsid w:val="00AC3C7C"/>
    <w:rsid w:val="00AC3D70"/>
    <w:rsid w:val="00AC43A2"/>
    <w:rsid w:val="00AC49A1"/>
    <w:rsid w:val="00AC4C5F"/>
    <w:rsid w:val="00AC5040"/>
    <w:rsid w:val="00AC50EE"/>
    <w:rsid w:val="00AC59B3"/>
    <w:rsid w:val="00AC5B88"/>
    <w:rsid w:val="00AC62E8"/>
    <w:rsid w:val="00AC6B7D"/>
    <w:rsid w:val="00AC6DFF"/>
    <w:rsid w:val="00AC72F0"/>
    <w:rsid w:val="00AC770E"/>
    <w:rsid w:val="00AD00AE"/>
    <w:rsid w:val="00AD0280"/>
    <w:rsid w:val="00AD056C"/>
    <w:rsid w:val="00AD0ADE"/>
    <w:rsid w:val="00AD10A1"/>
    <w:rsid w:val="00AD13D8"/>
    <w:rsid w:val="00AD22F5"/>
    <w:rsid w:val="00AD25A8"/>
    <w:rsid w:val="00AD322B"/>
    <w:rsid w:val="00AD4178"/>
    <w:rsid w:val="00AD4265"/>
    <w:rsid w:val="00AD4824"/>
    <w:rsid w:val="00AD4DE5"/>
    <w:rsid w:val="00AD5997"/>
    <w:rsid w:val="00AD5A5A"/>
    <w:rsid w:val="00AD5C52"/>
    <w:rsid w:val="00AD5DAB"/>
    <w:rsid w:val="00AD5DC4"/>
    <w:rsid w:val="00AD61E1"/>
    <w:rsid w:val="00AD6642"/>
    <w:rsid w:val="00AD6C0D"/>
    <w:rsid w:val="00AD7093"/>
    <w:rsid w:val="00AD71B0"/>
    <w:rsid w:val="00AD7957"/>
    <w:rsid w:val="00AD7DC7"/>
    <w:rsid w:val="00AE01C6"/>
    <w:rsid w:val="00AE0583"/>
    <w:rsid w:val="00AE08D0"/>
    <w:rsid w:val="00AE09D4"/>
    <w:rsid w:val="00AE0A94"/>
    <w:rsid w:val="00AE0E81"/>
    <w:rsid w:val="00AE1072"/>
    <w:rsid w:val="00AE21BD"/>
    <w:rsid w:val="00AE22B6"/>
    <w:rsid w:val="00AE285F"/>
    <w:rsid w:val="00AE2A1E"/>
    <w:rsid w:val="00AE2A6D"/>
    <w:rsid w:val="00AE2AC6"/>
    <w:rsid w:val="00AE2C52"/>
    <w:rsid w:val="00AE3677"/>
    <w:rsid w:val="00AE3D34"/>
    <w:rsid w:val="00AE4153"/>
    <w:rsid w:val="00AE41AB"/>
    <w:rsid w:val="00AE4702"/>
    <w:rsid w:val="00AE5A05"/>
    <w:rsid w:val="00AE628C"/>
    <w:rsid w:val="00AE6428"/>
    <w:rsid w:val="00AE651E"/>
    <w:rsid w:val="00AE65F8"/>
    <w:rsid w:val="00AE6BDF"/>
    <w:rsid w:val="00AE6DF7"/>
    <w:rsid w:val="00AE6F4A"/>
    <w:rsid w:val="00AE7132"/>
    <w:rsid w:val="00AE71D8"/>
    <w:rsid w:val="00AE77AC"/>
    <w:rsid w:val="00AE7870"/>
    <w:rsid w:val="00AE78A7"/>
    <w:rsid w:val="00AF067A"/>
    <w:rsid w:val="00AF09B3"/>
    <w:rsid w:val="00AF0BEA"/>
    <w:rsid w:val="00AF108A"/>
    <w:rsid w:val="00AF18B3"/>
    <w:rsid w:val="00AF1EBC"/>
    <w:rsid w:val="00AF2163"/>
    <w:rsid w:val="00AF252A"/>
    <w:rsid w:val="00AF2709"/>
    <w:rsid w:val="00AF27CF"/>
    <w:rsid w:val="00AF2A4F"/>
    <w:rsid w:val="00AF2C64"/>
    <w:rsid w:val="00AF310D"/>
    <w:rsid w:val="00AF32F1"/>
    <w:rsid w:val="00AF34D9"/>
    <w:rsid w:val="00AF3DA7"/>
    <w:rsid w:val="00AF431B"/>
    <w:rsid w:val="00AF445F"/>
    <w:rsid w:val="00AF51AC"/>
    <w:rsid w:val="00AF54D4"/>
    <w:rsid w:val="00AF58DD"/>
    <w:rsid w:val="00AF5CAD"/>
    <w:rsid w:val="00AF5D9A"/>
    <w:rsid w:val="00AF6037"/>
    <w:rsid w:val="00AF6212"/>
    <w:rsid w:val="00AF7310"/>
    <w:rsid w:val="00AF75BA"/>
    <w:rsid w:val="00AF76D7"/>
    <w:rsid w:val="00AF7809"/>
    <w:rsid w:val="00AF791D"/>
    <w:rsid w:val="00B0025B"/>
    <w:rsid w:val="00B00657"/>
    <w:rsid w:val="00B00D50"/>
    <w:rsid w:val="00B00FA5"/>
    <w:rsid w:val="00B023A7"/>
    <w:rsid w:val="00B0242A"/>
    <w:rsid w:val="00B024BA"/>
    <w:rsid w:val="00B02DA5"/>
    <w:rsid w:val="00B0323A"/>
    <w:rsid w:val="00B032B7"/>
    <w:rsid w:val="00B03334"/>
    <w:rsid w:val="00B038A1"/>
    <w:rsid w:val="00B03929"/>
    <w:rsid w:val="00B03AFA"/>
    <w:rsid w:val="00B04ADA"/>
    <w:rsid w:val="00B04CE0"/>
    <w:rsid w:val="00B0545B"/>
    <w:rsid w:val="00B0554C"/>
    <w:rsid w:val="00B05E53"/>
    <w:rsid w:val="00B061CF"/>
    <w:rsid w:val="00B06262"/>
    <w:rsid w:val="00B062FD"/>
    <w:rsid w:val="00B06599"/>
    <w:rsid w:val="00B0761D"/>
    <w:rsid w:val="00B07A7D"/>
    <w:rsid w:val="00B07A94"/>
    <w:rsid w:val="00B07B47"/>
    <w:rsid w:val="00B07F4F"/>
    <w:rsid w:val="00B10376"/>
    <w:rsid w:val="00B1067A"/>
    <w:rsid w:val="00B107F9"/>
    <w:rsid w:val="00B10FF3"/>
    <w:rsid w:val="00B11485"/>
    <w:rsid w:val="00B11B79"/>
    <w:rsid w:val="00B12416"/>
    <w:rsid w:val="00B1258F"/>
    <w:rsid w:val="00B127F8"/>
    <w:rsid w:val="00B12820"/>
    <w:rsid w:val="00B13392"/>
    <w:rsid w:val="00B134A0"/>
    <w:rsid w:val="00B13A62"/>
    <w:rsid w:val="00B13E00"/>
    <w:rsid w:val="00B1539A"/>
    <w:rsid w:val="00B154CE"/>
    <w:rsid w:val="00B15C1D"/>
    <w:rsid w:val="00B15E88"/>
    <w:rsid w:val="00B15EA3"/>
    <w:rsid w:val="00B16A12"/>
    <w:rsid w:val="00B16F7F"/>
    <w:rsid w:val="00B1723C"/>
    <w:rsid w:val="00B177FA"/>
    <w:rsid w:val="00B20228"/>
    <w:rsid w:val="00B20507"/>
    <w:rsid w:val="00B207DD"/>
    <w:rsid w:val="00B20BFF"/>
    <w:rsid w:val="00B212C5"/>
    <w:rsid w:val="00B21484"/>
    <w:rsid w:val="00B216CF"/>
    <w:rsid w:val="00B21ACA"/>
    <w:rsid w:val="00B225CB"/>
    <w:rsid w:val="00B22BB6"/>
    <w:rsid w:val="00B22BF2"/>
    <w:rsid w:val="00B22C59"/>
    <w:rsid w:val="00B23780"/>
    <w:rsid w:val="00B23C69"/>
    <w:rsid w:val="00B24319"/>
    <w:rsid w:val="00B247A8"/>
    <w:rsid w:val="00B24AB1"/>
    <w:rsid w:val="00B24FF4"/>
    <w:rsid w:val="00B250E3"/>
    <w:rsid w:val="00B25255"/>
    <w:rsid w:val="00B255F3"/>
    <w:rsid w:val="00B257A5"/>
    <w:rsid w:val="00B25DA2"/>
    <w:rsid w:val="00B25E9D"/>
    <w:rsid w:val="00B269BC"/>
    <w:rsid w:val="00B275A4"/>
    <w:rsid w:val="00B27D04"/>
    <w:rsid w:val="00B27E75"/>
    <w:rsid w:val="00B302D5"/>
    <w:rsid w:val="00B308CF"/>
    <w:rsid w:val="00B31875"/>
    <w:rsid w:val="00B31AB5"/>
    <w:rsid w:val="00B325A3"/>
    <w:rsid w:val="00B32CA6"/>
    <w:rsid w:val="00B337F6"/>
    <w:rsid w:val="00B33A56"/>
    <w:rsid w:val="00B33B90"/>
    <w:rsid w:val="00B33E86"/>
    <w:rsid w:val="00B34269"/>
    <w:rsid w:val="00B345E4"/>
    <w:rsid w:val="00B34C21"/>
    <w:rsid w:val="00B35242"/>
    <w:rsid w:val="00B367EB"/>
    <w:rsid w:val="00B368B2"/>
    <w:rsid w:val="00B374CB"/>
    <w:rsid w:val="00B37584"/>
    <w:rsid w:val="00B379D8"/>
    <w:rsid w:val="00B37B40"/>
    <w:rsid w:val="00B37B48"/>
    <w:rsid w:val="00B40257"/>
    <w:rsid w:val="00B40D29"/>
    <w:rsid w:val="00B40FBF"/>
    <w:rsid w:val="00B41219"/>
    <w:rsid w:val="00B4138B"/>
    <w:rsid w:val="00B4141D"/>
    <w:rsid w:val="00B41488"/>
    <w:rsid w:val="00B4214B"/>
    <w:rsid w:val="00B42563"/>
    <w:rsid w:val="00B42C1D"/>
    <w:rsid w:val="00B434DB"/>
    <w:rsid w:val="00B4360D"/>
    <w:rsid w:val="00B44447"/>
    <w:rsid w:val="00B447EE"/>
    <w:rsid w:val="00B455AA"/>
    <w:rsid w:val="00B458DE"/>
    <w:rsid w:val="00B45A32"/>
    <w:rsid w:val="00B45B81"/>
    <w:rsid w:val="00B46146"/>
    <w:rsid w:val="00B465CE"/>
    <w:rsid w:val="00B465FA"/>
    <w:rsid w:val="00B46CB8"/>
    <w:rsid w:val="00B46F9B"/>
    <w:rsid w:val="00B4727B"/>
    <w:rsid w:val="00B472A2"/>
    <w:rsid w:val="00B4755D"/>
    <w:rsid w:val="00B47A42"/>
    <w:rsid w:val="00B47EB4"/>
    <w:rsid w:val="00B5006B"/>
    <w:rsid w:val="00B50787"/>
    <w:rsid w:val="00B50F32"/>
    <w:rsid w:val="00B51349"/>
    <w:rsid w:val="00B5145F"/>
    <w:rsid w:val="00B518A6"/>
    <w:rsid w:val="00B523CD"/>
    <w:rsid w:val="00B528E2"/>
    <w:rsid w:val="00B52C4B"/>
    <w:rsid w:val="00B52C87"/>
    <w:rsid w:val="00B53C5B"/>
    <w:rsid w:val="00B53D6D"/>
    <w:rsid w:val="00B54494"/>
    <w:rsid w:val="00B55389"/>
    <w:rsid w:val="00B55ADC"/>
    <w:rsid w:val="00B56164"/>
    <w:rsid w:val="00B56859"/>
    <w:rsid w:val="00B579DA"/>
    <w:rsid w:val="00B57C36"/>
    <w:rsid w:val="00B57D1D"/>
    <w:rsid w:val="00B601EC"/>
    <w:rsid w:val="00B60F4C"/>
    <w:rsid w:val="00B61174"/>
    <w:rsid w:val="00B616C3"/>
    <w:rsid w:val="00B61B4B"/>
    <w:rsid w:val="00B61C45"/>
    <w:rsid w:val="00B62DDE"/>
    <w:rsid w:val="00B62E6D"/>
    <w:rsid w:val="00B6442E"/>
    <w:rsid w:val="00B6467D"/>
    <w:rsid w:val="00B64A1B"/>
    <w:rsid w:val="00B64B15"/>
    <w:rsid w:val="00B64B38"/>
    <w:rsid w:val="00B64F9F"/>
    <w:rsid w:val="00B658EA"/>
    <w:rsid w:val="00B65982"/>
    <w:rsid w:val="00B667B0"/>
    <w:rsid w:val="00B66AC6"/>
    <w:rsid w:val="00B66F71"/>
    <w:rsid w:val="00B67264"/>
    <w:rsid w:val="00B67768"/>
    <w:rsid w:val="00B677AE"/>
    <w:rsid w:val="00B677C1"/>
    <w:rsid w:val="00B67C90"/>
    <w:rsid w:val="00B67CDE"/>
    <w:rsid w:val="00B67CF1"/>
    <w:rsid w:val="00B702FE"/>
    <w:rsid w:val="00B70476"/>
    <w:rsid w:val="00B70C1D"/>
    <w:rsid w:val="00B70ED5"/>
    <w:rsid w:val="00B7169F"/>
    <w:rsid w:val="00B72B61"/>
    <w:rsid w:val="00B7353D"/>
    <w:rsid w:val="00B73570"/>
    <w:rsid w:val="00B73EB5"/>
    <w:rsid w:val="00B74799"/>
    <w:rsid w:val="00B749E6"/>
    <w:rsid w:val="00B749FF"/>
    <w:rsid w:val="00B74F05"/>
    <w:rsid w:val="00B756A1"/>
    <w:rsid w:val="00B75B3C"/>
    <w:rsid w:val="00B75FC7"/>
    <w:rsid w:val="00B7605E"/>
    <w:rsid w:val="00B76F7E"/>
    <w:rsid w:val="00B771B9"/>
    <w:rsid w:val="00B7744E"/>
    <w:rsid w:val="00B77CB5"/>
    <w:rsid w:val="00B77D83"/>
    <w:rsid w:val="00B77FE5"/>
    <w:rsid w:val="00B80747"/>
    <w:rsid w:val="00B80AB0"/>
    <w:rsid w:val="00B80DCB"/>
    <w:rsid w:val="00B80DE3"/>
    <w:rsid w:val="00B8131F"/>
    <w:rsid w:val="00B81D64"/>
    <w:rsid w:val="00B81F16"/>
    <w:rsid w:val="00B81F38"/>
    <w:rsid w:val="00B82333"/>
    <w:rsid w:val="00B828CF"/>
    <w:rsid w:val="00B82913"/>
    <w:rsid w:val="00B829DB"/>
    <w:rsid w:val="00B82B0B"/>
    <w:rsid w:val="00B82B31"/>
    <w:rsid w:val="00B82BF1"/>
    <w:rsid w:val="00B83002"/>
    <w:rsid w:val="00B83A2A"/>
    <w:rsid w:val="00B83B48"/>
    <w:rsid w:val="00B83CE2"/>
    <w:rsid w:val="00B8468C"/>
    <w:rsid w:val="00B84955"/>
    <w:rsid w:val="00B8571C"/>
    <w:rsid w:val="00B85A11"/>
    <w:rsid w:val="00B85A7E"/>
    <w:rsid w:val="00B85CCA"/>
    <w:rsid w:val="00B85EE5"/>
    <w:rsid w:val="00B86517"/>
    <w:rsid w:val="00B871A5"/>
    <w:rsid w:val="00B875BB"/>
    <w:rsid w:val="00B907B6"/>
    <w:rsid w:val="00B90991"/>
    <w:rsid w:val="00B910CF"/>
    <w:rsid w:val="00B91473"/>
    <w:rsid w:val="00B91E59"/>
    <w:rsid w:val="00B92069"/>
    <w:rsid w:val="00B9237A"/>
    <w:rsid w:val="00B92788"/>
    <w:rsid w:val="00B92B02"/>
    <w:rsid w:val="00B92DF1"/>
    <w:rsid w:val="00B93362"/>
    <w:rsid w:val="00B9365F"/>
    <w:rsid w:val="00B93CA4"/>
    <w:rsid w:val="00B94030"/>
    <w:rsid w:val="00B94475"/>
    <w:rsid w:val="00B94C23"/>
    <w:rsid w:val="00B94FAC"/>
    <w:rsid w:val="00B9503A"/>
    <w:rsid w:val="00B9512C"/>
    <w:rsid w:val="00B95E13"/>
    <w:rsid w:val="00B95FE0"/>
    <w:rsid w:val="00B966C1"/>
    <w:rsid w:val="00B96F8B"/>
    <w:rsid w:val="00B97739"/>
    <w:rsid w:val="00BA0401"/>
    <w:rsid w:val="00BA0829"/>
    <w:rsid w:val="00BA0BD4"/>
    <w:rsid w:val="00BA0C68"/>
    <w:rsid w:val="00BA0D01"/>
    <w:rsid w:val="00BA0E00"/>
    <w:rsid w:val="00BA104E"/>
    <w:rsid w:val="00BA1298"/>
    <w:rsid w:val="00BA22E9"/>
    <w:rsid w:val="00BA284D"/>
    <w:rsid w:val="00BA2D51"/>
    <w:rsid w:val="00BA2FF1"/>
    <w:rsid w:val="00BA3109"/>
    <w:rsid w:val="00BA3347"/>
    <w:rsid w:val="00BA340C"/>
    <w:rsid w:val="00BA39D0"/>
    <w:rsid w:val="00BA40C3"/>
    <w:rsid w:val="00BA41C7"/>
    <w:rsid w:val="00BA4589"/>
    <w:rsid w:val="00BA4AC3"/>
    <w:rsid w:val="00BA4CC4"/>
    <w:rsid w:val="00BA50FA"/>
    <w:rsid w:val="00BA5391"/>
    <w:rsid w:val="00BA592E"/>
    <w:rsid w:val="00BA69E9"/>
    <w:rsid w:val="00BA7520"/>
    <w:rsid w:val="00BA757B"/>
    <w:rsid w:val="00BA758C"/>
    <w:rsid w:val="00BA7845"/>
    <w:rsid w:val="00BA7A2A"/>
    <w:rsid w:val="00BA7D60"/>
    <w:rsid w:val="00BA7DF6"/>
    <w:rsid w:val="00BA7E8B"/>
    <w:rsid w:val="00BA7EF5"/>
    <w:rsid w:val="00BB0854"/>
    <w:rsid w:val="00BB1681"/>
    <w:rsid w:val="00BB1D03"/>
    <w:rsid w:val="00BB20D0"/>
    <w:rsid w:val="00BB215F"/>
    <w:rsid w:val="00BB2746"/>
    <w:rsid w:val="00BB3239"/>
    <w:rsid w:val="00BB37D5"/>
    <w:rsid w:val="00BB3D0F"/>
    <w:rsid w:val="00BB42BB"/>
    <w:rsid w:val="00BB439A"/>
    <w:rsid w:val="00BB45A8"/>
    <w:rsid w:val="00BB50C5"/>
    <w:rsid w:val="00BB559F"/>
    <w:rsid w:val="00BB55A4"/>
    <w:rsid w:val="00BB5711"/>
    <w:rsid w:val="00BB5A6A"/>
    <w:rsid w:val="00BB5D36"/>
    <w:rsid w:val="00BB63A7"/>
    <w:rsid w:val="00BB64CF"/>
    <w:rsid w:val="00BB6B08"/>
    <w:rsid w:val="00BB7310"/>
    <w:rsid w:val="00BC0744"/>
    <w:rsid w:val="00BC0B71"/>
    <w:rsid w:val="00BC1127"/>
    <w:rsid w:val="00BC159D"/>
    <w:rsid w:val="00BC169C"/>
    <w:rsid w:val="00BC20F3"/>
    <w:rsid w:val="00BC2467"/>
    <w:rsid w:val="00BC2B18"/>
    <w:rsid w:val="00BC2D64"/>
    <w:rsid w:val="00BC2E62"/>
    <w:rsid w:val="00BC340D"/>
    <w:rsid w:val="00BC37B3"/>
    <w:rsid w:val="00BC3CC0"/>
    <w:rsid w:val="00BC42AD"/>
    <w:rsid w:val="00BC4514"/>
    <w:rsid w:val="00BC4775"/>
    <w:rsid w:val="00BC4BD9"/>
    <w:rsid w:val="00BC5739"/>
    <w:rsid w:val="00BC64D3"/>
    <w:rsid w:val="00BC6C99"/>
    <w:rsid w:val="00BC79BE"/>
    <w:rsid w:val="00BC7B8E"/>
    <w:rsid w:val="00BD01D6"/>
    <w:rsid w:val="00BD034E"/>
    <w:rsid w:val="00BD04C6"/>
    <w:rsid w:val="00BD0561"/>
    <w:rsid w:val="00BD08EF"/>
    <w:rsid w:val="00BD1499"/>
    <w:rsid w:val="00BD1853"/>
    <w:rsid w:val="00BD1C26"/>
    <w:rsid w:val="00BD1DB4"/>
    <w:rsid w:val="00BD230E"/>
    <w:rsid w:val="00BD2553"/>
    <w:rsid w:val="00BD276F"/>
    <w:rsid w:val="00BD2A4D"/>
    <w:rsid w:val="00BD33BD"/>
    <w:rsid w:val="00BD373D"/>
    <w:rsid w:val="00BD397C"/>
    <w:rsid w:val="00BD39F3"/>
    <w:rsid w:val="00BD4080"/>
    <w:rsid w:val="00BD409B"/>
    <w:rsid w:val="00BD48B1"/>
    <w:rsid w:val="00BD4A69"/>
    <w:rsid w:val="00BD4B85"/>
    <w:rsid w:val="00BD5513"/>
    <w:rsid w:val="00BD55C5"/>
    <w:rsid w:val="00BD6302"/>
    <w:rsid w:val="00BD6416"/>
    <w:rsid w:val="00BD6562"/>
    <w:rsid w:val="00BD6709"/>
    <w:rsid w:val="00BD6792"/>
    <w:rsid w:val="00BD7894"/>
    <w:rsid w:val="00BD7F72"/>
    <w:rsid w:val="00BE02BC"/>
    <w:rsid w:val="00BE0B59"/>
    <w:rsid w:val="00BE0C52"/>
    <w:rsid w:val="00BE1527"/>
    <w:rsid w:val="00BE1639"/>
    <w:rsid w:val="00BE16B2"/>
    <w:rsid w:val="00BE1F9C"/>
    <w:rsid w:val="00BE2629"/>
    <w:rsid w:val="00BE46CD"/>
    <w:rsid w:val="00BE4FA3"/>
    <w:rsid w:val="00BE4FED"/>
    <w:rsid w:val="00BE5359"/>
    <w:rsid w:val="00BE5423"/>
    <w:rsid w:val="00BE5CF9"/>
    <w:rsid w:val="00BE6218"/>
    <w:rsid w:val="00BE6272"/>
    <w:rsid w:val="00BE6282"/>
    <w:rsid w:val="00BE65A8"/>
    <w:rsid w:val="00BE6661"/>
    <w:rsid w:val="00BE6B05"/>
    <w:rsid w:val="00BE6B0C"/>
    <w:rsid w:val="00BE709C"/>
    <w:rsid w:val="00BE70B0"/>
    <w:rsid w:val="00BE70DC"/>
    <w:rsid w:val="00BE735E"/>
    <w:rsid w:val="00BF007D"/>
    <w:rsid w:val="00BF0B80"/>
    <w:rsid w:val="00BF0FA7"/>
    <w:rsid w:val="00BF18C7"/>
    <w:rsid w:val="00BF1979"/>
    <w:rsid w:val="00BF1BAA"/>
    <w:rsid w:val="00BF271C"/>
    <w:rsid w:val="00BF2D1A"/>
    <w:rsid w:val="00BF3B1E"/>
    <w:rsid w:val="00BF42A8"/>
    <w:rsid w:val="00BF51CA"/>
    <w:rsid w:val="00BF51E5"/>
    <w:rsid w:val="00BF5BE0"/>
    <w:rsid w:val="00BF5D9A"/>
    <w:rsid w:val="00BF5E7F"/>
    <w:rsid w:val="00BF601A"/>
    <w:rsid w:val="00BF6258"/>
    <w:rsid w:val="00BF7454"/>
    <w:rsid w:val="00BF773D"/>
    <w:rsid w:val="00BF786F"/>
    <w:rsid w:val="00BF7A4E"/>
    <w:rsid w:val="00C0019F"/>
    <w:rsid w:val="00C00229"/>
    <w:rsid w:val="00C0050D"/>
    <w:rsid w:val="00C00B4F"/>
    <w:rsid w:val="00C00BD5"/>
    <w:rsid w:val="00C01F46"/>
    <w:rsid w:val="00C028EB"/>
    <w:rsid w:val="00C02AD9"/>
    <w:rsid w:val="00C02AEA"/>
    <w:rsid w:val="00C02D1B"/>
    <w:rsid w:val="00C02E1B"/>
    <w:rsid w:val="00C033DA"/>
    <w:rsid w:val="00C03750"/>
    <w:rsid w:val="00C03796"/>
    <w:rsid w:val="00C038D9"/>
    <w:rsid w:val="00C0396A"/>
    <w:rsid w:val="00C04036"/>
    <w:rsid w:val="00C04677"/>
    <w:rsid w:val="00C0482C"/>
    <w:rsid w:val="00C04D86"/>
    <w:rsid w:val="00C04F75"/>
    <w:rsid w:val="00C056DA"/>
    <w:rsid w:val="00C05AEB"/>
    <w:rsid w:val="00C05EAD"/>
    <w:rsid w:val="00C06330"/>
    <w:rsid w:val="00C06F1F"/>
    <w:rsid w:val="00C105EE"/>
    <w:rsid w:val="00C117A9"/>
    <w:rsid w:val="00C11A8D"/>
    <w:rsid w:val="00C11D0D"/>
    <w:rsid w:val="00C1273A"/>
    <w:rsid w:val="00C12A35"/>
    <w:rsid w:val="00C13795"/>
    <w:rsid w:val="00C13B46"/>
    <w:rsid w:val="00C13B4B"/>
    <w:rsid w:val="00C1408A"/>
    <w:rsid w:val="00C14159"/>
    <w:rsid w:val="00C1427F"/>
    <w:rsid w:val="00C1433C"/>
    <w:rsid w:val="00C146B4"/>
    <w:rsid w:val="00C155F1"/>
    <w:rsid w:val="00C15BC2"/>
    <w:rsid w:val="00C15C4E"/>
    <w:rsid w:val="00C15E16"/>
    <w:rsid w:val="00C1667F"/>
    <w:rsid w:val="00C167F2"/>
    <w:rsid w:val="00C16BDF"/>
    <w:rsid w:val="00C16D03"/>
    <w:rsid w:val="00C177B3"/>
    <w:rsid w:val="00C17C10"/>
    <w:rsid w:val="00C20142"/>
    <w:rsid w:val="00C20668"/>
    <w:rsid w:val="00C20763"/>
    <w:rsid w:val="00C20A1C"/>
    <w:rsid w:val="00C20EDA"/>
    <w:rsid w:val="00C2115C"/>
    <w:rsid w:val="00C21EB5"/>
    <w:rsid w:val="00C2231D"/>
    <w:rsid w:val="00C224BD"/>
    <w:rsid w:val="00C22756"/>
    <w:rsid w:val="00C22A36"/>
    <w:rsid w:val="00C22F9D"/>
    <w:rsid w:val="00C23E1D"/>
    <w:rsid w:val="00C23EB4"/>
    <w:rsid w:val="00C23F62"/>
    <w:rsid w:val="00C245C6"/>
    <w:rsid w:val="00C24C5B"/>
    <w:rsid w:val="00C25161"/>
    <w:rsid w:val="00C2590E"/>
    <w:rsid w:val="00C25AFF"/>
    <w:rsid w:val="00C25D87"/>
    <w:rsid w:val="00C2634D"/>
    <w:rsid w:val="00C267A3"/>
    <w:rsid w:val="00C2686D"/>
    <w:rsid w:val="00C2689F"/>
    <w:rsid w:val="00C27327"/>
    <w:rsid w:val="00C276CE"/>
    <w:rsid w:val="00C3032C"/>
    <w:rsid w:val="00C3047B"/>
    <w:rsid w:val="00C30804"/>
    <w:rsid w:val="00C311F1"/>
    <w:rsid w:val="00C31387"/>
    <w:rsid w:val="00C316EC"/>
    <w:rsid w:val="00C3176F"/>
    <w:rsid w:val="00C31812"/>
    <w:rsid w:val="00C318BC"/>
    <w:rsid w:val="00C31DC1"/>
    <w:rsid w:val="00C31DEE"/>
    <w:rsid w:val="00C31F82"/>
    <w:rsid w:val="00C3219F"/>
    <w:rsid w:val="00C32AA7"/>
    <w:rsid w:val="00C32DE0"/>
    <w:rsid w:val="00C338E4"/>
    <w:rsid w:val="00C33B31"/>
    <w:rsid w:val="00C345B3"/>
    <w:rsid w:val="00C34AF9"/>
    <w:rsid w:val="00C353D6"/>
    <w:rsid w:val="00C35903"/>
    <w:rsid w:val="00C36403"/>
    <w:rsid w:val="00C36C77"/>
    <w:rsid w:val="00C36EA4"/>
    <w:rsid w:val="00C37094"/>
    <w:rsid w:val="00C370C6"/>
    <w:rsid w:val="00C37242"/>
    <w:rsid w:val="00C375D0"/>
    <w:rsid w:val="00C376BE"/>
    <w:rsid w:val="00C407C2"/>
    <w:rsid w:val="00C41495"/>
    <w:rsid w:val="00C418A0"/>
    <w:rsid w:val="00C41A73"/>
    <w:rsid w:val="00C42138"/>
    <w:rsid w:val="00C428E2"/>
    <w:rsid w:val="00C42D86"/>
    <w:rsid w:val="00C42F75"/>
    <w:rsid w:val="00C4317C"/>
    <w:rsid w:val="00C4340F"/>
    <w:rsid w:val="00C434CD"/>
    <w:rsid w:val="00C43C28"/>
    <w:rsid w:val="00C43E58"/>
    <w:rsid w:val="00C44BC1"/>
    <w:rsid w:val="00C450C0"/>
    <w:rsid w:val="00C45221"/>
    <w:rsid w:val="00C4553D"/>
    <w:rsid w:val="00C45C53"/>
    <w:rsid w:val="00C45F92"/>
    <w:rsid w:val="00C4626E"/>
    <w:rsid w:val="00C46362"/>
    <w:rsid w:val="00C465BE"/>
    <w:rsid w:val="00C46822"/>
    <w:rsid w:val="00C471DD"/>
    <w:rsid w:val="00C473C4"/>
    <w:rsid w:val="00C47764"/>
    <w:rsid w:val="00C50701"/>
    <w:rsid w:val="00C507E1"/>
    <w:rsid w:val="00C50862"/>
    <w:rsid w:val="00C50BDF"/>
    <w:rsid w:val="00C50F1A"/>
    <w:rsid w:val="00C5153D"/>
    <w:rsid w:val="00C5199D"/>
    <w:rsid w:val="00C51F78"/>
    <w:rsid w:val="00C52754"/>
    <w:rsid w:val="00C5296A"/>
    <w:rsid w:val="00C52C71"/>
    <w:rsid w:val="00C52ED3"/>
    <w:rsid w:val="00C53078"/>
    <w:rsid w:val="00C53412"/>
    <w:rsid w:val="00C536D8"/>
    <w:rsid w:val="00C5374F"/>
    <w:rsid w:val="00C53C95"/>
    <w:rsid w:val="00C53E3E"/>
    <w:rsid w:val="00C54673"/>
    <w:rsid w:val="00C54921"/>
    <w:rsid w:val="00C54E7E"/>
    <w:rsid w:val="00C558BE"/>
    <w:rsid w:val="00C56407"/>
    <w:rsid w:val="00C567E4"/>
    <w:rsid w:val="00C56A9B"/>
    <w:rsid w:val="00C57D96"/>
    <w:rsid w:val="00C61348"/>
    <w:rsid w:val="00C615E2"/>
    <w:rsid w:val="00C61767"/>
    <w:rsid w:val="00C61D8D"/>
    <w:rsid w:val="00C62567"/>
    <w:rsid w:val="00C62673"/>
    <w:rsid w:val="00C62C07"/>
    <w:rsid w:val="00C63A3A"/>
    <w:rsid w:val="00C63C9D"/>
    <w:rsid w:val="00C6411F"/>
    <w:rsid w:val="00C648FD"/>
    <w:rsid w:val="00C64C89"/>
    <w:rsid w:val="00C64C92"/>
    <w:rsid w:val="00C64FFE"/>
    <w:rsid w:val="00C6524F"/>
    <w:rsid w:val="00C6553B"/>
    <w:rsid w:val="00C6647C"/>
    <w:rsid w:val="00C66726"/>
    <w:rsid w:val="00C66BB5"/>
    <w:rsid w:val="00C66E8B"/>
    <w:rsid w:val="00C66F77"/>
    <w:rsid w:val="00C67717"/>
    <w:rsid w:val="00C70024"/>
    <w:rsid w:val="00C70071"/>
    <w:rsid w:val="00C7067A"/>
    <w:rsid w:val="00C70839"/>
    <w:rsid w:val="00C70D46"/>
    <w:rsid w:val="00C71A19"/>
    <w:rsid w:val="00C72065"/>
    <w:rsid w:val="00C726B4"/>
    <w:rsid w:val="00C72AD3"/>
    <w:rsid w:val="00C73283"/>
    <w:rsid w:val="00C7347F"/>
    <w:rsid w:val="00C74303"/>
    <w:rsid w:val="00C74487"/>
    <w:rsid w:val="00C744F7"/>
    <w:rsid w:val="00C74625"/>
    <w:rsid w:val="00C74BE5"/>
    <w:rsid w:val="00C7529F"/>
    <w:rsid w:val="00C757C7"/>
    <w:rsid w:val="00C75CDD"/>
    <w:rsid w:val="00C75D15"/>
    <w:rsid w:val="00C76692"/>
    <w:rsid w:val="00C768DC"/>
    <w:rsid w:val="00C769A6"/>
    <w:rsid w:val="00C769DA"/>
    <w:rsid w:val="00C76BBC"/>
    <w:rsid w:val="00C774D9"/>
    <w:rsid w:val="00C77503"/>
    <w:rsid w:val="00C77BC3"/>
    <w:rsid w:val="00C8001E"/>
    <w:rsid w:val="00C80570"/>
    <w:rsid w:val="00C808D0"/>
    <w:rsid w:val="00C80C0C"/>
    <w:rsid w:val="00C81599"/>
    <w:rsid w:val="00C81BEC"/>
    <w:rsid w:val="00C81CC7"/>
    <w:rsid w:val="00C83355"/>
    <w:rsid w:val="00C83CD9"/>
    <w:rsid w:val="00C8447A"/>
    <w:rsid w:val="00C846A5"/>
    <w:rsid w:val="00C8476A"/>
    <w:rsid w:val="00C84AEF"/>
    <w:rsid w:val="00C84DC7"/>
    <w:rsid w:val="00C84E51"/>
    <w:rsid w:val="00C850F0"/>
    <w:rsid w:val="00C85BA2"/>
    <w:rsid w:val="00C861A1"/>
    <w:rsid w:val="00C86529"/>
    <w:rsid w:val="00C86A42"/>
    <w:rsid w:val="00C87038"/>
    <w:rsid w:val="00C872C1"/>
    <w:rsid w:val="00C8790D"/>
    <w:rsid w:val="00C87B8A"/>
    <w:rsid w:val="00C900E0"/>
    <w:rsid w:val="00C90155"/>
    <w:rsid w:val="00C90402"/>
    <w:rsid w:val="00C90AF2"/>
    <w:rsid w:val="00C90FCB"/>
    <w:rsid w:val="00C914CB"/>
    <w:rsid w:val="00C914E4"/>
    <w:rsid w:val="00C92084"/>
    <w:rsid w:val="00C923B4"/>
    <w:rsid w:val="00C92641"/>
    <w:rsid w:val="00C92937"/>
    <w:rsid w:val="00C92C77"/>
    <w:rsid w:val="00C932C9"/>
    <w:rsid w:val="00C9364A"/>
    <w:rsid w:val="00C938C5"/>
    <w:rsid w:val="00C938EF"/>
    <w:rsid w:val="00C94186"/>
    <w:rsid w:val="00C94916"/>
    <w:rsid w:val="00C94C6F"/>
    <w:rsid w:val="00C954CD"/>
    <w:rsid w:val="00C95B79"/>
    <w:rsid w:val="00C96150"/>
    <w:rsid w:val="00C9711D"/>
    <w:rsid w:val="00C9784D"/>
    <w:rsid w:val="00C97C62"/>
    <w:rsid w:val="00CA0243"/>
    <w:rsid w:val="00CA0B33"/>
    <w:rsid w:val="00CA0B44"/>
    <w:rsid w:val="00CA0B51"/>
    <w:rsid w:val="00CA0F1F"/>
    <w:rsid w:val="00CA11BF"/>
    <w:rsid w:val="00CA17D0"/>
    <w:rsid w:val="00CA1AB6"/>
    <w:rsid w:val="00CA1D97"/>
    <w:rsid w:val="00CA2652"/>
    <w:rsid w:val="00CA29CB"/>
    <w:rsid w:val="00CA2A7F"/>
    <w:rsid w:val="00CA2B45"/>
    <w:rsid w:val="00CA30D3"/>
    <w:rsid w:val="00CA3217"/>
    <w:rsid w:val="00CA3573"/>
    <w:rsid w:val="00CA36C6"/>
    <w:rsid w:val="00CA41E7"/>
    <w:rsid w:val="00CA4225"/>
    <w:rsid w:val="00CA440A"/>
    <w:rsid w:val="00CA47D9"/>
    <w:rsid w:val="00CA4EB6"/>
    <w:rsid w:val="00CA500B"/>
    <w:rsid w:val="00CA5669"/>
    <w:rsid w:val="00CA59D3"/>
    <w:rsid w:val="00CA5D11"/>
    <w:rsid w:val="00CA60EF"/>
    <w:rsid w:val="00CA6603"/>
    <w:rsid w:val="00CA6831"/>
    <w:rsid w:val="00CA6BA3"/>
    <w:rsid w:val="00CA7E66"/>
    <w:rsid w:val="00CB0086"/>
    <w:rsid w:val="00CB0844"/>
    <w:rsid w:val="00CB0CCF"/>
    <w:rsid w:val="00CB1037"/>
    <w:rsid w:val="00CB1173"/>
    <w:rsid w:val="00CB1266"/>
    <w:rsid w:val="00CB183E"/>
    <w:rsid w:val="00CB192C"/>
    <w:rsid w:val="00CB205B"/>
    <w:rsid w:val="00CB218E"/>
    <w:rsid w:val="00CB3A2C"/>
    <w:rsid w:val="00CB3A33"/>
    <w:rsid w:val="00CB3A77"/>
    <w:rsid w:val="00CB3AEB"/>
    <w:rsid w:val="00CB4619"/>
    <w:rsid w:val="00CB47E4"/>
    <w:rsid w:val="00CB5673"/>
    <w:rsid w:val="00CB58E0"/>
    <w:rsid w:val="00CB5A93"/>
    <w:rsid w:val="00CB5B72"/>
    <w:rsid w:val="00CB5C9E"/>
    <w:rsid w:val="00CB5CA5"/>
    <w:rsid w:val="00CB6006"/>
    <w:rsid w:val="00CB6D81"/>
    <w:rsid w:val="00CB7AB1"/>
    <w:rsid w:val="00CB7BCD"/>
    <w:rsid w:val="00CC1309"/>
    <w:rsid w:val="00CC211B"/>
    <w:rsid w:val="00CC2449"/>
    <w:rsid w:val="00CC29B0"/>
    <w:rsid w:val="00CC36FA"/>
    <w:rsid w:val="00CC3940"/>
    <w:rsid w:val="00CC3A7A"/>
    <w:rsid w:val="00CC57C2"/>
    <w:rsid w:val="00CC59F8"/>
    <w:rsid w:val="00CC61DD"/>
    <w:rsid w:val="00CC6999"/>
    <w:rsid w:val="00CC6D18"/>
    <w:rsid w:val="00CC6DA4"/>
    <w:rsid w:val="00CC6DA8"/>
    <w:rsid w:val="00CC753A"/>
    <w:rsid w:val="00CC7B06"/>
    <w:rsid w:val="00CC7C9A"/>
    <w:rsid w:val="00CC7D06"/>
    <w:rsid w:val="00CD03BD"/>
    <w:rsid w:val="00CD04EE"/>
    <w:rsid w:val="00CD0CDC"/>
    <w:rsid w:val="00CD16A8"/>
    <w:rsid w:val="00CD176F"/>
    <w:rsid w:val="00CD195C"/>
    <w:rsid w:val="00CD19BF"/>
    <w:rsid w:val="00CD1DA2"/>
    <w:rsid w:val="00CD206A"/>
    <w:rsid w:val="00CD23F3"/>
    <w:rsid w:val="00CD27E3"/>
    <w:rsid w:val="00CD2AA2"/>
    <w:rsid w:val="00CD2D4D"/>
    <w:rsid w:val="00CD392E"/>
    <w:rsid w:val="00CD3DCD"/>
    <w:rsid w:val="00CD44F7"/>
    <w:rsid w:val="00CD4751"/>
    <w:rsid w:val="00CD4B2E"/>
    <w:rsid w:val="00CD4E81"/>
    <w:rsid w:val="00CD5056"/>
    <w:rsid w:val="00CD53F5"/>
    <w:rsid w:val="00CD55B8"/>
    <w:rsid w:val="00CD5BC7"/>
    <w:rsid w:val="00CD5EC5"/>
    <w:rsid w:val="00CD60A6"/>
    <w:rsid w:val="00CD6262"/>
    <w:rsid w:val="00CD675B"/>
    <w:rsid w:val="00CD6901"/>
    <w:rsid w:val="00CD6F29"/>
    <w:rsid w:val="00CD77C0"/>
    <w:rsid w:val="00CE0123"/>
    <w:rsid w:val="00CE07EA"/>
    <w:rsid w:val="00CE09D1"/>
    <w:rsid w:val="00CE0FDC"/>
    <w:rsid w:val="00CE24A3"/>
    <w:rsid w:val="00CE3F76"/>
    <w:rsid w:val="00CE48AD"/>
    <w:rsid w:val="00CE4E25"/>
    <w:rsid w:val="00CE5018"/>
    <w:rsid w:val="00CE58D4"/>
    <w:rsid w:val="00CE5FA9"/>
    <w:rsid w:val="00CE604D"/>
    <w:rsid w:val="00CE6694"/>
    <w:rsid w:val="00CE6E60"/>
    <w:rsid w:val="00CE6F03"/>
    <w:rsid w:val="00CE791D"/>
    <w:rsid w:val="00CE7C67"/>
    <w:rsid w:val="00CE7CD1"/>
    <w:rsid w:val="00CF03D5"/>
    <w:rsid w:val="00CF089D"/>
    <w:rsid w:val="00CF093C"/>
    <w:rsid w:val="00CF0C73"/>
    <w:rsid w:val="00CF0F4F"/>
    <w:rsid w:val="00CF14F2"/>
    <w:rsid w:val="00CF1AC7"/>
    <w:rsid w:val="00CF3112"/>
    <w:rsid w:val="00CF3424"/>
    <w:rsid w:val="00CF360A"/>
    <w:rsid w:val="00CF3673"/>
    <w:rsid w:val="00CF3B39"/>
    <w:rsid w:val="00CF4331"/>
    <w:rsid w:val="00CF50BD"/>
    <w:rsid w:val="00CF5408"/>
    <w:rsid w:val="00CF5FE0"/>
    <w:rsid w:val="00CF61D7"/>
    <w:rsid w:val="00CF6456"/>
    <w:rsid w:val="00CF757F"/>
    <w:rsid w:val="00CF7810"/>
    <w:rsid w:val="00D00151"/>
    <w:rsid w:val="00D00F1F"/>
    <w:rsid w:val="00D0158B"/>
    <w:rsid w:val="00D01FDD"/>
    <w:rsid w:val="00D02207"/>
    <w:rsid w:val="00D0228E"/>
    <w:rsid w:val="00D022E9"/>
    <w:rsid w:val="00D0241E"/>
    <w:rsid w:val="00D03071"/>
    <w:rsid w:val="00D03951"/>
    <w:rsid w:val="00D03B0D"/>
    <w:rsid w:val="00D0412A"/>
    <w:rsid w:val="00D0448A"/>
    <w:rsid w:val="00D047DF"/>
    <w:rsid w:val="00D04FD3"/>
    <w:rsid w:val="00D05300"/>
    <w:rsid w:val="00D05B04"/>
    <w:rsid w:val="00D05B70"/>
    <w:rsid w:val="00D05D03"/>
    <w:rsid w:val="00D05E5D"/>
    <w:rsid w:val="00D06036"/>
    <w:rsid w:val="00D0618E"/>
    <w:rsid w:val="00D06769"/>
    <w:rsid w:val="00D06B98"/>
    <w:rsid w:val="00D06F1D"/>
    <w:rsid w:val="00D07BC5"/>
    <w:rsid w:val="00D10B90"/>
    <w:rsid w:val="00D10BDC"/>
    <w:rsid w:val="00D10EED"/>
    <w:rsid w:val="00D11279"/>
    <w:rsid w:val="00D11E4A"/>
    <w:rsid w:val="00D12057"/>
    <w:rsid w:val="00D1230A"/>
    <w:rsid w:val="00D12498"/>
    <w:rsid w:val="00D12990"/>
    <w:rsid w:val="00D12AA9"/>
    <w:rsid w:val="00D12C88"/>
    <w:rsid w:val="00D136F9"/>
    <w:rsid w:val="00D1371E"/>
    <w:rsid w:val="00D13762"/>
    <w:rsid w:val="00D13AA7"/>
    <w:rsid w:val="00D1478A"/>
    <w:rsid w:val="00D1495C"/>
    <w:rsid w:val="00D153FE"/>
    <w:rsid w:val="00D156C2"/>
    <w:rsid w:val="00D1676E"/>
    <w:rsid w:val="00D16A11"/>
    <w:rsid w:val="00D16A22"/>
    <w:rsid w:val="00D172B9"/>
    <w:rsid w:val="00D173AF"/>
    <w:rsid w:val="00D175C1"/>
    <w:rsid w:val="00D17762"/>
    <w:rsid w:val="00D177E6"/>
    <w:rsid w:val="00D20704"/>
    <w:rsid w:val="00D209FB"/>
    <w:rsid w:val="00D20B2A"/>
    <w:rsid w:val="00D20F70"/>
    <w:rsid w:val="00D20FB5"/>
    <w:rsid w:val="00D21CE8"/>
    <w:rsid w:val="00D21DDF"/>
    <w:rsid w:val="00D222CF"/>
    <w:rsid w:val="00D22D7E"/>
    <w:rsid w:val="00D22E03"/>
    <w:rsid w:val="00D23B1A"/>
    <w:rsid w:val="00D23DFA"/>
    <w:rsid w:val="00D24451"/>
    <w:rsid w:val="00D248E0"/>
    <w:rsid w:val="00D24B74"/>
    <w:rsid w:val="00D24E4C"/>
    <w:rsid w:val="00D24EAE"/>
    <w:rsid w:val="00D25095"/>
    <w:rsid w:val="00D2519B"/>
    <w:rsid w:val="00D25262"/>
    <w:rsid w:val="00D257D2"/>
    <w:rsid w:val="00D259EA"/>
    <w:rsid w:val="00D25C29"/>
    <w:rsid w:val="00D25F75"/>
    <w:rsid w:val="00D25FF2"/>
    <w:rsid w:val="00D26730"/>
    <w:rsid w:val="00D26E45"/>
    <w:rsid w:val="00D26E7E"/>
    <w:rsid w:val="00D26EF3"/>
    <w:rsid w:val="00D26F50"/>
    <w:rsid w:val="00D2754D"/>
    <w:rsid w:val="00D277ED"/>
    <w:rsid w:val="00D277FD"/>
    <w:rsid w:val="00D311E0"/>
    <w:rsid w:val="00D31351"/>
    <w:rsid w:val="00D31BD5"/>
    <w:rsid w:val="00D3208F"/>
    <w:rsid w:val="00D32872"/>
    <w:rsid w:val="00D33202"/>
    <w:rsid w:val="00D3345A"/>
    <w:rsid w:val="00D33F5A"/>
    <w:rsid w:val="00D3585C"/>
    <w:rsid w:val="00D359E4"/>
    <w:rsid w:val="00D36813"/>
    <w:rsid w:val="00D36A6F"/>
    <w:rsid w:val="00D36E4F"/>
    <w:rsid w:val="00D377DD"/>
    <w:rsid w:val="00D37A6E"/>
    <w:rsid w:val="00D37D41"/>
    <w:rsid w:val="00D37ED1"/>
    <w:rsid w:val="00D40334"/>
    <w:rsid w:val="00D405F1"/>
    <w:rsid w:val="00D41473"/>
    <w:rsid w:val="00D41477"/>
    <w:rsid w:val="00D414FE"/>
    <w:rsid w:val="00D416CB"/>
    <w:rsid w:val="00D4315D"/>
    <w:rsid w:val="00D435E9"/>
    <w:rsid w:val="00D43A46"/>
    <w:rsid w:val="00D43AD4"/>
    <w:rsid w:val="00D43D49"/>
    <w:rsid w:val="00D43FE4"/>
    <w:rsid w:val="00D4430A"/>
    <w:rsid w:val="00D444AD"/>
    <w:rsid w:val="00D4472B"/>
    <w:rsid w:val="00D44C4F"/>
    <w:rsid w:val="00D4529F"/>
    <w:rsid w:val="00D4553E"/>
    <w:rsid w:val="00D45A62"/>
    <w:rsid w:val="00D45F0B"/>
    <w:rsid w:val="00D467CB"/>
    <w:rsid w:val="00D467EA"/>
    <w:rsid w:val="00D46A02"/>
    <w:rsid w:val="00D46B85"/>
    <w:rsid w:val="00D47463"/>
    <w:rsid w:val="00D47671"/>
    <w:rsid w:val="00D47C14"/>
    <w:rsid w:val="00D47F0B"/>
    <w:rsid w:val="00D47F3F"/>
    <w:rsid w:val="00D511BB"/>
    <w:rsid w:val="00D51408"/>
    <w:rsid w:val="00D515D8"/>
    <w:rsid w:val="00D517B5"/>
    <w:rsid w:val="00D51BFA"/>
    <w:rsid w:val="00D52105"/>
    <w:rsid w:val="00D525D1"/>
    <w:rsid w:val="00D53522"/>
    <w:rsid w:val="00D54275"/>
    <w:rsid w:val="00D544E7"/>
    <w:rsid w:val="00D54536"/>
    <w:rsid w:val="00D5489F"/>
    <w:rsid w:val="00D549DF"/>
    <w:rsid w:val="00D551CA"/>
    <w:rsid w:val="00D5535E"/>
    <w:rsid w:val="00D5553C"/>
    <w:rsid w:val="00D555D2"/>
    <w:rsid w:val="00D55675"/>
    <w:rsid w:val="00D567FE"/>
    <w:rsid w:val="00D57348"/>
    <w:rsid w:val="00D57B92"/>
    <w:rsid w:val="00D57D56"/>
    <w:rsid w:val="00D6057B"/>
    <w:rsid w:val="00D60895"/>
    <w:rsid w:val="00D61316"/>
    <w:rsid w:val="00D61333"/>
    <w:rsid w:val="00D617E3"/>
    <w:rsid w:val="00D6207B"/>
    <w:rsid w:val="00D625DE"/>
    <w:rsid w:val="00D6279F"/>
    <w:rsid w:val="00D62FB2"/>
    <w:rsid w:val="00D6354A"/>
    <w:rsid w:val="00D63AC3"/>
    <w:rsid w:val="00D64A5A"/>
    <w:rsid w:val="00D651EB"/>
    <w:rsid w:val="00D65298"/>
    <w:rsid w:val="00D65349"/>
    <w:rsid w:val="00D65A34"/>
    <w:rsid w:val="00D65B29"/>
    <w:rsid w:val="00D65BE5"/>
    <w:rsid w:val="00D662C0"/>
    <w:rsid w:val="00D662FD"/>
    <w:rsid w:val="00D664DB"/>
    <w:rsid w:val="00D667FC"/>
    <w:rsid w:val="00D66A31"/>
    <w:rsid w:val="00D66AF6"/>
    <w:rsid w:val="00D66B29"/>
    <w:rsid w:val="00D67C72"/>
    <w:rsid w:val="00D7029B"/>
    <w:rsid w:val="00D709A2"/>
    <w:rsid w:val="00D71559"/>
    <w:rsid w:val="00D7174E"/>
    <w:rsid w:val="00D71940"/>
    <w:rsid w:val="00D72018"/>
    <w:rsid w:val="00D7208E"/>
    <w:rsid w:val="00D7210A"/>
    <w:rsid w:val="00D7333A"/>
    <w:rsid w:val="00D7337E"/>
    <w:rsid w:val="00D73DB3"/>
    <w:rsid w:val="00D73E60"/>
    <w:rsid w:val="00D7493B"/>
    <w:rsid w:val="00D74C2D"/>
    <w:rsid w:val="00D74DCC"/>
    <w:rsid w:val="00D75493"/>
    <w:rsid w:val="00D75E04"/>
    <w:rsid w:val="00D761CD"/>
    <w:rsid w:val="00D76597"/>
    <w:rsid w:val="00D765E2"/>
    <w:rsid w:val="00D765F0"/>
    <w:rsid w:val="00D766B0"/>
    <w:rsid w:val="00D76C94"/>
    <w:rsid w:val="00D77B74"/>
    <w:rsid w:val="00D77C8C"/>
    <w:rsid w:val="00D80428"/>
    <w:rsid w:val="00D80651"/>
    <w:rsid w:val="00D8087D"/>
    <w:rsid w:val="00D8109E"/>
    <w:rsid w:val="00D811F1"/>
    <w:rsid w:val="00D81241"/>
    <w:rsid w:val="00D81344"/>
    <w:rsid w:val="00D81A61"/>
    <w:rsid w:val="00D81E72"/>
    <w:rsid w:val="00D81F09"/>
    <w:rsid w:val="00D82AD2"/>
    <w:rsid w:val="00D82EDD"/>
    <w:rsid w:val="00D83BD0"/>
    <w:rsid w:val="00D8499D"/>
    <w:rsid w:val="00D849A9"/>
    <w:rsid w:val="00D84A1C"/>
    <w:rsid w:val="00D84BEC"/>
    <w:rsid w:val="00D84CDE"/>
    <w:rsid w:val="00D84F37"/>
    <w:rsid w:val="00D858FA"/>
    <w:rsid w:val="00D85C6B"/>
    <w:rsid w:val="00D85DE2"/>
    <w:rsid w:val="00D87379"/>
    <w:rsid w:val="00D90820"/>
    <w:rsid w:val="00D90C82"/>
    <w:rsid w:val="00D92010"/>
    <w:rsid w:val="00D928DF"/>
    <w:rsid w:val="00D92CE3"/>
    <w:rsid w:val="00D933B8"/>
    <w:rsid w:val="00D935DE"/>
    <w:rsid w:val="00D9370E"/>
    <w:rsid w:val="00D9396F"/>
    <w:rsid w:val="00D93C62"/>
    <w:rsid w:val="00D93DEE"/>
    <w:rsid w:val="00D93E58"/>
    <w:rsid w:val="00D943BC"/>
    <w:rsid w:val="00D94900"/>
    <w:rsid w:val="00D94B36"/>
    <w:rsid w:val="00D95111"/>
    <w:rsid w:val="00D956CA"/>
    <w:rsid w:val="00D95A8E"/>
    <w:rsid w:val="00D95D2E"/>
    <w:rsid w:val="00D95EDC"/>
    <w:rsid w:val="00D965CC"/>
    <w:rsid w:val="00D9791F"/>
    <w:rsid w:val="00D97EA9"/>
    <w:rsid w:val="00DA0271"/>
    <w:rsid w:val="00DA068C"/>
    <w:rsid w:val="00DA068F"/>
    <w:rsid w:val="00DA0E67"/>
    <w:rsid w:val="00DA1382"/>
    <w:rsid w:val="00DA1590"/>
    <w:rsid w:val="00DA2378"/>
    <w:rsid w:val="00DA255E"/>
    <w:rsid w:val="00DA2903"/>
    <w:rsid w:val="00DA2AFD"/>
    <w:rsid w:val="00DA2BFF"/>
    <w:rsid w:val="00DA2FDB"/>
    <w:rsid w:val="00DA3260"/>
    <w:rsid w:val="00DA3B31"/>
    <w:rsid w:val="00DA3EAE"/>
    <w:rsid w:val="00DA3F38"/>
    <w:rsid w:val="00DA404D"/>
    <w:rsid w:val="00DA4AC3"/>
    <w:rsid w:val="00DA4BA6"/>
    <w:rsid w:val="00DA4CC9"/>
    <w:rsid w:val="00DA5286"/>
    <w:rsid w:val="00DA5627"/>
    <w:rsid w:val="00DA57B7"/>
    <w:rsid w:val="00DA5A94"/>
    <w:rsid w:val="00DA5E4E"/>
    <w:rsid w:val="00DA64A8"/>
    <w:rsid w:val="00DA6BC0"/>
    <w:rsid w:val="00DA6E21"/>
    <w:rsid w:val="00DA71EC"/>
    <w:rsid w:val="00DA722D"/>
    <w:rsid w:val="00DA7243"/>
    <w:rsid w:val="00DA73DD"/>
    <w:rsid w:val="00DA7C11"/>
    <w:rsid w:val="00DA7CB8"/>
    <w:rsid w:val="00DB0A6E"/>
    <w:rsid w:val="00DB0D36"/>
    <w:rsid w:val="00DB145C"/>
    <w:rsid w:val="00DB175B"/>
    <w:rsid w:val="00DB1C92"/>
    <w:rsid w:val="00DB1CA3"/>
    <w:rsid w:val="00DB280C"/>
    <w:rsid w:val="00DB2E55"/>
    <w:rsid w:val="00DB2F19"/>
    <w:rsid w:val="00DB2F6F"/>
    <w:rsid w:val="00DB377C"/>
    <w:rsid w:val="00DB383C"/>
    <w:rsid w:val="00DB3EA5"/>
    <w:rsid w:val="00DB47B0"/>
    <w:rsid w:val="00DB515D"/>
    <w:rsid w:val="00DB53B3"/>
    <w:rsid w:val="00DB5707"/>
    <w:rsid w:val="00DB5BD3"/>
    <w:rsid w:val="00DB5F65"/>
    <w:rsid w:val="00DB679E"/>
    <w:rsid w:val="00DB71CF"/>
    <w:rsid w:val="00DB7536"/>
    <w:rsid w:val="00DB7CD9"/>
    <w:rsid w:val="00DC0495"/>
    <w:rsid w:val="00DC0557"/>
    <w:rsid w:val="00DC091B"/>
    <w:rsid w:val="00DC0E08"/>
    <w:rsid w:val="00DC1172"/>
    <w:rsid w:val="00DC18E7"/>
    <w:rsid w:val="00DC18F1"/>
    <w:rsid w:val="00DC247F"/>
    <w:rsid w:val="00DC255B"/>
    <w:rsid w:val="00DC264B"/>
    <w:rsid w:val="00DC2A4D"/>
    <w:rsid w:val="00DC36D5"/>
    <w:rsid w:val="00DC3777"/>
    <w:rsid w:val="00DC3B0C"/>
    <w:rsid w:val="00DC4015"/>
    <w:rsid w:val="00DC4202"/>
    <w:rsid w:val="00DC4427"/>
    <w:rsid w:val="00DC50EB"/>
    <w:rsid w:val="00DC5BF2"/>
    <w:rsid w:val="00DC5C83"/>
    <w:rsid w:val="00DC62E7"/>
    <w:rsid w:val="00DC6638"/>
    <w:rsid w:val="00DC6B4C"/>
    <w:rsid w:val="00DC6C96"/>
    <w:rsid w:val="00DC6F8F"/>
    <w:rsid w:val="00DC7196"/>
    <w:rsid w:val="00DC723C"/>
    <w:rsid w:val="00DD05C5"/>
    <w:rsid w:val="00DD0D64"/>
    <w:rsid w:val="00DD0F95"/>
    <w:rsid w:val="00DD10D6"/>
    <w:rsid w:val="00DD1C03"/>
    <w:rsid w:val="00DD1E19"/>
    <w:rsid w:val="00DD2128"/>
    <w:rsid w:val="00DD2272"/>
    <w:rsid w:val="00DD2416"/>
    <w:rsid w:val="00DD25C9"/>
    <w:rsid w:val="00DD2D6E"/>
    <w:rsid w:val="00DD337E"/>
    <w:rsid w:val="00DD343A"/>
    <w:rsid w:val="00DD366E"/>
    <w:rsid w:val="00DD38BC"/>
    <w:rsid w:val="00DD3C5E"/>
    <w:rsid w:val="00DD4762"/>
    <w:rsid w:val="00DD55B0"/>
    <w:rsid w:val="00DD6100"/>
    <w:rsid w:val="00DD655D"/>
    <w:rsid w:val="00DD6617"/>
    <w:rsid w:val="00DD6681"/>
    <w:rsid w:val="00DD7162"/>
    <w:rsid w:val="00DD735A"/>
    <w:rsid w:val="00DD7C9C"/>
    <w:rsid w:val="00DE092E"/>
    <w:rsid w:val="00DE0CCD"/>
    <w:rsid w:val="00DE19D9"/>
    <w:rsid w:val="00DE21BB"/>
    <w:rsid w:val="00DE223D"/>
    <w:rsid w:val="00DE27D9"/>
    <w:rsid w:val="00DE28A8"/>
    <w:rsid w:val="00DE3046"/>
    <w:rsid w:val="00DE33F0"/>
    <w:rsid w:val="00DE35D4"/>
    <w:rsid w:val="00DE35E8"/>
    <w:rsid w:val="00DE3BC1"/>
    <w:rsid w:val="00DE4503"/>
    <w:rsid w:val="00DE46A6"/>
    <w:rsid w:val="00DE4940"/>
    <w:rsid w:val="00DE4ABB"/>
    <w:rsid w:val="00DE4F47"/>
    <w:rsid w:val="00DE5116"/>
    <w:rsid w:val="00DE5545"/>
    <w:rsid w:val="00DE55FC"/>
    <w:rsid w:val="00DE5632"/>
    <w:rsid w:val="00DE565E"/>
    <w:rsid w:val="00DE7312"/>
    <w:rsid w:val="00DE744F"/>
    <w:rsid w:val="00DF09BD"/>
    <w:rsid w:val="00DF1199"/>
    <w:rsid w:val="00DF126A"/>
    <w:rsid w:val="00DF1C41"/>
    <w:rsid w:val="00DF1D78"/>
    <w:rsid w:val="00DF2439"/>
    <w:rsid w:val="00DF2CC7"/>
    <w:rsid w:val="00DF2D70"/>
    <w:rsid w:val="00DF2E51"/>
    <w:rsid w:val="00DF2FF7"/>
    <w:rsid w:val="00DF33FD"/>
    <w:rsid w:val="00DF3DCB"/>
    <w:rsid w:val="00DF4262"/>
    <w:rsid w:val="00DF4F94"/>
    <w:rsid w:val="00DF52F1"/>
    <w:rsid w:val="00DF5681"/>
    <w:rsid w:val="00DF5A09"/>
    <w:rsid w:val="00DF5B50"/>
    <w:rsid w:val="00DF5CE5"/>
    <w:rsid w:val="00DF656D"/>
    <w:rsid w:val="00DF65A8"/>
    <w:rsid w:val="00DF6740"/>
    <w:rsid w:val="00DF6947"/>
    <w:rsid w:val="00DF6ED8"/>
    <w:rsid w:val="00E0050E"/>
    <w:rsid w:val="00E00FD7"/>
    <w:rsid w:val="00E01578"/>
    <w:rsid w:val="00E01E12"/>
    <w:rsid w:val="00E023B9"/>
    <w:rsid w:val="00E025C4"/>
    <w:rsid w:val="00E026FE"/>
    <w:rsid w:val="00E03257"/>
    <w:rsid w:val="00E040CA"/>
    <w:rsid w:val="00E04A77"/>
    <w:rsid w:val="00E04AC5"/>
    <w:rsid w:val="00E04C7C"/>
    <w:rsid w:val="00E04E7B"/>
    <w:rsid w:val="00E059EA"/>
    <w:rsid w:val="00E066C0"/>
    <w:rsid w:val="00E0697A"/>
    <w:rsid w:val="00E069AB"/>
    <w:rsid w:val="00E06BE3"/>
    <w:rsid w:val="00E06E4D"/>
    <w:rsid w:val="00E076DE"/>
    <w:rsid w:val="00E07A6A"/>
    <w:rsid w:val="00E102A4"/>
    <w:rsid w:val="00E10B12"/>
    <w:rsid w:val="00E10BCB"/>
    <w:rsid w:val="00E10F25"/>
    <w:rsid w:val="00E1144A"/>
    <w:rsid w:val="00E1212B"/>
    <w:rsid w:val="00E129FC"/>
    <w:rsid w:val="00E12EC9"/>
    <w:rsid w:val="00E12F54"/>
    <w:rsid w:val="00E130AC"/>
    <w:rsid w:val="00E138A7"/>
    <w:rsid w:val="00E14081"/>
    <w:rsid w:val="00E1448C"/>
    <w:rsid w:val="00E149EC"/>
    <w:rsid w:val="00E1535F"/>
    <w:rsid w:val="00E15519"/>
    <w:rsid w:val="00E16A2C"/>
    <w:rsid w:val="00E16DFD"/>
    <w:rsid w:val="00E16ED1"/>
    <w:rsid w:val="00E17DEE"/>
    <w:rsid w:val="00E20E4A"/>
    <w:rsid w:val="00E210FF"/>
    <w:rsid w:val="00E21826"/>
    <w:rsid w:val="00E21990"/>
    <w:rsid w:val="00E21C73"/>
    <w:rsid w:val="00E2228F"/>
    <w:rsid w:val="00E2292B"/>
    <w:rsid w:val="00E22A14"/>
    <w:rsid w:val="00E22D59"/>
    <w:rsid w:val="00E2379A"/>
    <w:rsid w:val="00E24332"/>
    <w:rsid w:val="00E248CB"/>
    <w:rsid w:val="00E24B30"/>
    <w:rsid w:val="00E24EAF"/>
    <w:rsid w:val="00E25514"/>
    <w:rsid w:val="00E25790"/>
    <w:rsid w:val="00E25B5A"/>
    <w:rsid w:val="00E25BC4"/>
    <w:rsid w:val="00E25E17"/>
    <w:rsid w:val="00E25FE9"/>
    <w:rsid w:val="00E26576"/>
    <w:rsid w:val="00E266C5"/>
    <w:rsid w:val="00E266F7"/>
    <w:rsid w:val="00E268EA"/>
    <w:rsid w:val="00E2794D"/>
    <w:rsid w:val="00E30056"/>
    <w:rsid w:val="00E30B2E"/>
    <w:rsid w:val="00E310D5"/>
    <w:rsid w:val="00E31279"/>
    <w:rsid w:val="00E31D59"/>
    <w:rsid w:val="00E324A5"/>
    <w:rsid w:val="00E32654"/>
    <w:rsid w:val="00E327E5"/>
    <w:rsid w:val="00E330CF"/>
    <w:rsid w:val="00E335EB"/>
    <w:rsid w:val="00E336BF"/>
    <w:rsid w:val="00E3458E"/>
    <w:rsid w:val="00E34767"/>
    <w:rsid w:val="00E34BB1"/>
    <w:rsid w:val="00E3559D"/>
    <w:rsid w:val="00E35946"/>
    <w:rsid w:val="00E35A23"/>
    <w:rsid w:val="00E35B14"/>
    <w:rsid w:val="00E35D97"/>
    <w:rsid w:val="00E36005"/>
    <w:rsid w:val="00E36867"/>
    <w:rsid w:val="00E37836"/>
    <w:rsid w:val="00E37A83"/>
    <w:rsid w:val="00E37C32"/>
    <w:rsid w:val="00E37E14"/>
    <w:rsid w:val="00E401B9"/>
    <w:rsid w:val="00E403E0"/>
    <w:rsid w:val="00E409F3"/>
    <w:rsid w:val="00E41587"/>
    <w:rsid w:val="00E42F49"/>
    <w:rsid w:val="00E442AE"/>
    <w:rsid w:val="00E45078"/>
    <w:rsid w:val="00E463D8"/>
    <w:rsid w:val="00E465A4"/>
    <w:rsid w:val="00E469D2"/>
    <w:rsid w:val="00E46E75"/>
    <w:rsid w:val="00E470C7"/>
    <w:rsid w:val="00E47357"/>
    <w:rsid w:val="00E47427"/>
    <w:rsid w:val="00E479B5"/>
    <w:rsid w:val="00E47A21"/>
    <w:rsid w:val="00E47CC5"/>
    <w:rsid w:val="00E47D24"/>
    <w:rsid w:val="00E47D5F"/>
    <w:rsid w:val="00E506E5"/>
    <w:rsid w:val="00E50743"/>
    <w:rsid w:val="00E507E7"/>
    <w:rsid w:val="00E508B3"/>
    <w:rsid w:val="00E520C1"/>
    <w:rsid w:val="00E52130"/>
    <w:rsid w:val="00E523D7"/>
    <w:rsid w:val="00E523F2"/>
    <w:rsid w:val="00E530DF"/>
    <w:rsid w:val="00E5316A"/>
    <w:rsid w:val="00E534D7"/>
    <w:rsid w:val="00E53E26"/>
    <w:rsid w:val="00E540FD"/>
    <w:rsid w:val="00E54344"/>
    <w:rsid w:val="00E54512"/>
    <w:rsid w:val="00E54C31"/>
    <w:rsid w:val="00E54D47"/>
    <w:rsid w:val="00E5516D"/>
    <w:rsid w:val="00E555FC"/>
    <w:rsid w:val="00E556A7"/>
    <w:rsid w:val="00E55836"/>
    <w:rsid w:val="00E566DD"/>
    <w:rsid w:val="00E566FB"/>
    <w:rsid w:val="00E56EB7"/>
    <w:rsid w:val="00E56FBE"/>
    <w:rsid w:val="00E56FEE"/>
    <w:rsid w:val="00E5728C"/>
    <w:rsid w:val="00E572CF"/>
    <w:rsid w:val="00E5750B"/>
    <w:rsid w:val="00E57629"/>
    <w:rsid w:val="00E57AE0"/>
    <w:rsid w:val="00E6094E"/>
    <w:rsid w:val="00E60B1A"/>
    <w:rsid w:val="00E60F5C"/>
    <w:rsid w:val="00E610EB"/>
    <w:rsid w:val="00E61197"/>
    <w:rsid w:val="00E61974"/>
    <w:rsid w:val="00E628EF"/>
    <w:rsid w:val="00E62A96"/>
    <w:rsid w:val="00E62C21"/>
    <w:rsid w:val="00E6312B"/>
    <w:rsid w:val="00E63865"/>
    <w:rsid w:val="00E63AF4"/>
    <w:rsid w:val="00E63BB9"/>
    <w:rsid w:val="00E63D1C"/>
    <w:rsid w:val="00E6411E"/>
    <w:rsid w:val="00E6436A"/>
    <w:rsid w:val="00E64C5E"/>
    <w:rsid w:val="00E64C76"/>
    <w:rsid w:val="00E64D6D"/>
    <w:rsid w:val="00E650A8"/>
    <w:rsid w:val="00E6543A"/>
    <w:rsid w:val="00E66B4C"/>
    <w:rsid w:val="00E66E4D"/>
    <w:rsid w:val="00E67229"/>
    <w:rsid w:val="00E679FE"/>
    <w:rsid w:val="00E67C61"/>
    <w:rsid w:val="00E67EE6"/>
    <w:rsid w:val="00E70590"/>
    <w:rsid w:val="00E706A5"/>
    <w:rsid w:val="00E70F6E"/>
    <w:rsid w:val="00E712ED"/>
    <w:rsid w:val="00E71A82"/>
    <w:rsid w:val="00E71DD2"/>
    <w:rsid w:val="00E71DDB"/>
    <w:rsid w:val="00E71FE2"/>
    <w:rsid w:val="00E72DCB"/>
    <w:rsid w:val="00E73776"/>
    <w:rsid w:val="00E7418A"/>
    <w:rsid w:val="00E742E5"/>
    <w:rsid w:val="00E74F72"/>
    <w:rsid w:val="00E7517F"/>
    <w:rsid w:val="00E75280"/>
    <w:rsid w:val="00E75343"/>
    <w:rsid w:val="00E76108"/>
    <w:rsid w:val="00E7630C"/>
    <w:rsid w:val="00E76705"/>
    <w:rsid w:val="00E7678D"/>
    <w:rsid w:val="00E77675"/>
    <w:rsid w:val="00E80752"/>
    <w:rsid w:val="00E8092F"/>
    <w:rsid w:val="00E80F7A"/>
    <w:rsid w:val="00E81192"/>
    <w:rsid w:val="00E81405"/>
    <w:rsid w:val="00E81AA8"/>
    <w:rsid w:val="00E830D4"/>
    <w:rsid w:val="00E836F6"/>
    <w:rsid w:val="00E840A3"/>
    <w:rsid w:val="00E845E9"/>
    <w:rsid w:val="00E8463D"/>
    <w:rsid w:val="00E849C3"/>
    <w:rsid w:val="00E84D0C"/>
    <w:rsid w:val="00E84D7D"/>
    <w:rsid w:val="00E8521F"/>
    <w:rsid w:val="00E852E2"/>
    <w:rsid w:val="00E854AE"/>
    <w:rsid w:val="00E860F8"/>
    <w:rsid w:val="00E862AB"/>
    <w:rsid w:val="00E86327"/>
    <w:rsid w:val="00E86529"/>
    <w:rsid w:val="00E86DFB"/>
    <w:rsid w:val="00E901D9"/>
    <w:rsid w:val="00E90C9F"/>
    <w:rsid w:val="00E90D88"/>
    <w:rsid w:val="00E9147F"/>
    <w:rsid w:val="00E914F4"/>
    <w:rsid w:val="00E919D9"/>
    <w:rsid w:val="00E91B8E"/>
    <w:rsid w:val="00E92929"/>
    <w:rsid w:val="00E94095"/>
    <w:rsid w:val="00E951F6"/>
    <w:rsid w:val="00E953D6"/>
    <w:rsid w:val="00E95AD7"/>
    <w:rsid w:val="00E96578"/>
    <w:rsid w:val="00E9748D"/>
    <w:rsid w:val="00E97727"/>
    <w:rsid w:val="00EA001E"/>
    <w:rsid w:val="00EA0071"/>
    <w:rsid w:val="00EA04C9"/>
    <w:rsid w:val="00EA0633"/>
    <w:rsid w:val="00EA07C4"/>
    <w:rsid w:val="00EA1090"/>
    <w:rsid w:val="00EA157B"/>
    <w:rsid w:val="00EA1976"/>
    <w:rsid w:val="00EA1D35"/>
    <w:rsid w:val="00EA226B"/>
    <w:rsid w:val="00EA28DA"/>
    <w:rsid w:val="00EA2A02"/>
    <w:rsid w:val="00EA2E48"/>
    <w:rsid w:val="00EA3411"/>
    <w:rsid w:val="00EA3EB2"/>
    <w:rsid w:val="00EA411E"/>
    <w:rsid w:val="00EA4B20"/>
    <w:rsid w:val="00EA4E9B"/>
    <w:rsid w:val="00EA528E"/>
    <w:rsid w:val="00EA55E4"/>
    <w:rsid w:val="00EA5F95"/>
    <w:rsid w:val="00EA650C"/>
    <w:rsid w:val="00EA674E"/>
    <w:rsid w:val="00EA6796"/>
    <w:rsid w:val="00EA6B08"/>
    <w:rsid w:val="00EA6F3F"/>
    <w:rsid w:val="00EA6F5E"/>
    <w:rsid w:val="00EA7157"/>
    <w:rsid w:val="00EA748E"/>
    <w:rsid w:val="00EA783C"/>
    <w:rsid w:val="00EB0785"/>
    <w:rsid w:val="00EB0A4F"/>
    <w:rsid w:val="00EB0C65"/>
    <w:rsid w:val="00EB0CA6"/>
    <w:rsid w:val="00EB1524"/>
    <w:rsid w:val="00EB1CB7"/>
    <w:rsid w:val="00EB1D73"/>
    <w:rsid w:val="00EB1F71"/>
    <w:rsid w:val="00EB281A"/>
    <w:rsid w:val="00EB2AAD"/>
    <w:rsid w:val="00EB2B13"/>
    <w:rsid w:val="00EB2B2A"/>
    <w:rsid w:val="00EB2DF3"/>
    <w:rsid w:val="00EB2EF6"/>
    <w:rsid w:val="00EB3562"/>
    <w:rsid w:val="00EB3973"/>
    <w:rsid w:val="00EB3A0A"/>
    <w:rsid w:val="00EB3ACD"/>
    <w:rsid w:val="00EB3F1B"/>
    <w:rsid w:val="00EB4023"/>
    <w:rsid w:val="00EB418E"/>
    <w:rsid w:val="00EB4371"/>
    <w:rsid w:val="00EB44EB"/>
    <w:rsid w:val="00EB4579"/>
    <w:rsid w:val="00EB4705"/>
    <w:rsid w:val="00EB4907"/>
    <w:rsid w:val="00EB495E"/>
    <w:rsid w:val="00EB4B05"/>
    <w:rsid w:val="00EB4CDC"/>
    <w:rsid w:val="00EB53FB"/>
    <w:rsid w:val="00EB5655"/>
    <w:rsid w:val="00EB6136"/>
    <w:rsid w:val="00EB630D"/>
    <w:rsid w:val="00EB68B4"/>
    <w:rsid w:val="00EB6A23"/>
    <w:rsid w:val="00EB7647"/>
    <w:rsid w:val="00EC052C"/>
    <w:rsid w:val="00EC0759"/>
    <w:rsid w:val="00EC0A71"/>
    <w:rsid w:val="00EC116C"/>
    <w:rsid w:val="00EC16E3"/>
    <w:rsid w:val="00EC1A2B"/>
    <w:rsid w:val="00EC24E1"/>
    <w:rsid w:val="00EC254E"/>
    <w:rsid w:val="00EC25EA"/>
    <w:rsid w:val="00EC29FC"/>
    <w:rsid w:val="00EC33A6"/>
    <w:rsid w:val="00EC3643"/>
    <w:rsid w:val="00EC3696"/>
    <w:rsid w:val="00EC3CAE"/>
    <w:rsid w:val="00EC4020"/>
    <w:rsid w:val="00EC4A81"/>
    <w:rsid w:val="00EC4F79"/>
    <w:rsid w:val="00EC521C"/>
    <w:rsid w:val="00EC55AA"/>
    <w:rsid w:val="00EC5675"/>
    <w:rsid w:val="00EC58DC"/>
    <w:rsid w:val="00EC58EC"/>
    <w:rsid w:val="00EC62B7"/>
    <w:rsid w:val="00EC70A9"/>
    <w:rsid w:val="00EC715C"/>
    <w:rsid w:val="00EC72FF"/>
    <w:rsid w:val="00EC7431"/>
    <w:rsid w:val="00EC76CE"/>
    <w:rsid w:val="00ED031D"/>
    <w:rsid w:val="00ED05FB"/>
    <w:rsid w:val="00ED08A0"/>
    <w:rsid w:val="00ED0FC2"/>
    <w:rsid w:val="00ED121C"/>
    <w:rsid w:val="00ED1331"/>
    <w:rsid w:val="00ED199C"/>
    <w:rsid w:val="00ED19DB"/>
    <w:rsid w:val="00ED1AA0"/>
    <w:rsid w:val="00ED2397"/>
    <w:rsid w:val="00ED2A02"/>
    <w:rsid w:val="00ED2B9D"/>
    <w:rsid w:val="00ED2BF5"/>
    <w:rsid w:val="00ED3993"/>
    <w:rsid w:val="00ED3EC9"/>
    <w:rsid w:val="00ED430A"/>
    <w:rsid w:val="00ED44DA"/>
    <w:rsid w:val="00ED45EC"/>
    <w:rsid w:val="00ED4A11"/>
    <w:rsid w:val="00ED4B06"/>
    <w:rsid w:val="00ED5069"/>
    <w:rsid w:val="00ED54E7"/>
    <w:rsid w:val="00ED5652"/>
    <w:rsid w:val="00ED5A96"/>
    <w:rsid w:val="00ED5BF0"/>
    <w:rsid w:val="00ED64EC"/>
    <w:rsid w:val="00ED6CC6"/>
    <w:rsid w:val="00ED7040"/>
    <w:rsid w:val="00ED738A"/>
    <w:rsid w:val="00ED7E5A"/>
    <w:rsid w:val="00EE0A17"/>
    <w:rsid w:val="00EE0A52"/>
    <w:rsid w:val="00EE0B57"/>
    <w:rsid w:val="00EE0D50"/>
    <w:rsid w:val="00EE11FB"/>
    <w:rsid w:val="00EE1433"/>
    <w:rsid w:val="00EE1610"/>
    <w:rsid w:val="00EE1844"/>
    <w:rsid w:val="00EE18A6"/>
    <w:rsid w:val="00EE1D45"/>
    <w:rsid w:val="00EE244C"/>
    <w:rsid w:val="00EE29E7"/>
    <w:rsid w:val="00EE2FBE"/>
    <w:rsid w:val="00EE32BA"/>
    <w:rsid w:val="00EE362F"/>
    <w:rsid w:val="00EE3CA0"/>
    <w:rsid w:val="00EE4F1F"/>
    <w:rsid w:val="00EE5394"/>
    <w:rsid w:val="00EE542A"/>
    <w:rsid w:val="00EE5D3D"/>
    <w:rsid w:val="00EE5FB9"/>
    <w:rsid w:val="00EE613A"/>
    <w:rsid w:val="00EE6218"/>
    <w:rsid w:val="00EE6222"/>
    <w:rsid w:val="00EE6DDA"/>
    <w:rsid w:val="00EE6E75"/>
    <w:rsid w:val="00EE7072"/>
    <w:rsid w:val="00EE712E"/>
    <w:rsid w:val="00EE7178"/>
    <w:rsid w:val="00EE73D7"/>
    <w:rsid w:val="00EE7EC5"/>
    <w:rsid w:val="00EE7EF8"/>
    <w:rsid w:val="00EF0526"/>
    <w:rsid w:val="00EF111F"/>
    <w:rsid w:val="00EF1255"/>
    <w:rsid w:val="00EF1686"/>
    <w:rsid w:val="00EF1D11"/>
    <w:rsid w:val="00EF1E38"/>
    <w:rsid w:val="00EF2ACC"/>
    <w:rsid w:val="00EF3D51"/>
    <w:rsid w:val="00EF4058"/>
    <w:rsid w:val="00EF46F1"/>
    <w:rsid w:val="00EF4B28"/>
    <w:rsid w:val="00EF52D9"/>
    <w:rsid w:val="00EF5408"/>
    <w:rsid w:val="00EF5503"/>
    <w:rsid w:val="00EF573F"/>
    <w:rsid w:val="00EF575B"/>
    <w:rsid w:val="00EF5DCE"/>
    <w:rsid w:val="00EF61D8"/>
    <w:rsid w:val="00EF6346"/>
    <w:rsid w:val="00EF6648"/>
    <w:rsid w:val="00EF6791"/>
    <w:rsid w:val="00EF68A2"/>
    <w:rsid w:val="00EF7289"/>
    <w:rsid w:val="00EF750D"/>
    <w:rsid w:val="00EF7AAE"/>
    <w:rsid w:val="00F001AE"/>
    <w:rsid w:val="00F00201"/>
    <w:rsid w:val="00F002C2"/>
    <w:rsid w:val="00F00822"/>
    <w:rsid w:val="00F00AA0"/>
    <w:rsid w:val="00F00B07"/>
    <w:rsid w:val="00F00E34"/>
    <w:rsid w:val="00F011D9"/>
    <w:rsid w:val="00F018A6"/>
    <w:rsid w:val="00F01F4E"/>
    <w:rsid w:val="00F0223C"/>
    <w:rsid w:val="00F022CA"/>
    <w:rsid w:val="00F0239F"/>
    <w:rsid w:val="00F02541"/>
    <w:rsid w:val="00F0293A"/>
    <w:rsid w:val="00F0318A"/>
    <w:rsid w:val="00F033EB"/>
    <w:rsid w:val="00F03C92"/>
    <w:rsid w:val="00F04801"/>
    <w:rsid w:val="00F049CC"/>
    <w:rsid w:val="00F049E3"/>
    <w:rsid w:val="00F04E16"/>
    <w:rsid w:val="00F04F0B"/>
    <w:rsid w:val="00F05146"/>
    <w:rsid w:val="00F056C3"/>
    <w:rsid w:val="00F05850"/>
    <w:rsid w:val="00F058F7"/>
    <w:rsid w:val="00F069F4"/>
    <w:rsid w:val="00F07B54"/>
    <w:rsid w:val="00F07D5F"/>
    <w:rsid w:val="00F1141D"/>
    <w:rsid w:val="00F1192C"/>
    <w:rsid w:val="00F1206D"/>
    <w:rsid w:val="00F125AA"/>
    <w:rsid w:val="00F13215"/>
    <w:rsid w:val="00F13991"/>
    <w:rsid w:val="00F156B5"/>
    <w:rsid w:val="00F15A5D"/>
    <w:rsid w:val="00F16517"/>
    <w:rsid w:val="00F17AF4"/>
    <w:rsid w:val="00F17E77"/>
    <w:rsid w:val="00F17F4F"/>
    <w:rsid w:val="00F2011D"/>
    <w:rsid w:val="00F20345"/>
    <w:rsid w:val="00F203F0"/>
    <w:rsid w:val="00F20506"/>
    <w:rsid w:val="00F20AFE"/>
    <w:rsid w:val="00F20D5F"/>
    <w:rsid w:val="00F21962"/>
    <w:rsid w:val="00F224A5"/>
    <w:rsid w:val="00F22763"/>
    <w:rsid w:val="00F228E0"/>
    <w:rsid w:val="00F22E46"/>
    <w:rsid w:val="00F234F8"/>
    <w:rsid w:val="00F23952"/>
    <w:rsid w:val="00F24050"/>
    <w:rsid w:val="00F240B1"/>
    <w:rsid w:val="00F2427C"/>
    <w:rsid w:val="00F24395"/>
    <w:rsid w:val="00F24868"/>
    <w:rsid w:val="00F24B3F"/>
    <w:rsid w:val="00F24D04"/>
    <w:rsid w:val="00F24D91"/>
    <w:rsid w:val="00F24E82"/>
    <w:rsid w:val="00F24EFA"/>
    <w:rsid w:val="00F25453"/>
    <w:rsid w:val="00F25690"/>
    <w:rsid w:val="00F25B37"/>
    <w:rsid w:val="00F25C33"/>
    <w:rsid w:val="00F25C5F"/>
    <w:rsid w:val="00F25D82"/>
    <w:rsid w:val="00F26212"/>
    <w:rsid w:val="00F264DF"/>
    <w:rsid w:val="00F269D2"/>
    <w:rsid w:val="00F26C09"/>
    <w:rsid w:val="00F27057"/>
    <w:rsid w:val="00F27130"/>
    <w:rsid w:val="00F27EDF"/>
    <w:rsid w:val="00F27EF1"/>
    <w:rsid w:val="00F30239"/>
    <w:rsid w:val="00F30291"/>
    <w:rsid w:val="00F304BE"/>
    <w:rsid w:val="00F3065F"/>
    <w:rsid w:val="00F30690"/>
    <w:rsid w:val="00F30ACA"/>
    <w:rsid w:val="00F30B8A"/>
    <w:rsid w:val="00F30CC6"/>
    <w:rsid w:val="00F3178C"/>
    <w:rsid w:val="00F318C7"/>
    <w:rsid w:val="00F31D9F"/>
    <w:rsid w:val="00F31FBF"/>
    <w:rsid w:val="00F326B4"/>
    <w:rsid w:val="00F32744"/>
    <w:rsid w:val="00F334EA"/>
    <w:rsid w:val="00F33628"/>
    <w:rsid w:val="00F33914"/>
    <w:rsid w:val="00F3392F"/>
    <w:rsid w:val="00F33EE6"/>
    <w:rsid w:val="00F34563"/>
    <w:rsid w:val="00F3465F"/>
    <w:rsid w:val="00F3481A"/>
    <w:rsid w:val="00F35869"/>
    <w:rsid w:val="00F35B00"/>
    <w:rsid w:val="00F35E92"/>
    <w:rsid w:val="00F363DA"/>
    <w:rsid w:val="00F364F8"/>
    <w:rsid w:val="00F36568"/>
    <w:rsid w:val="00F3660C"/>
    <w:rsid w:val="00F3661E"/>
    <w:rsid w:val="00F36C08"/>
    <w:rsid w:val="00F36C0C"/>
    <w:rsid w:val="00F36CB3"/>
    <w:rsid w:val="00F37301"/>
    <w:rsid w:val="00F37444"/>
    <w:rsid w:val="00F410BE"/>
    <w:rsid w:val="00F41247"/>
    <w:rsid w:val="00F414D1"/>
    <w:rsid w:val="00F419FA"/>
    <w:rsid w:val="00F41A6C"/>
    <w:rsid w:val="00F41F83"/>
    <w:rsid w:val="00F42452"/>
    <w:rsid w:val="00F424F0"/>
    <w:rsid w:val="00F4307F"/>
    <w:rsid w:val="00F43170"/>
    <w:rsid w:val="00F431FC"/>
    <w:rsid w:val="00F43C3D"/>
    <w:rsid w:val="00F4463E"/>
    <w:rsid w:val="00F4478C"/>
    <w:rsid w:val="00F447C4"/>
    <w:rsid w:val="00F449DA"/>
    <w:rsid w:val="00F45233"/>
    <w:rsid w:val="00F455A9"/>
    <w:rsid w:val="00F457A4"/>
    <w:rsid w:val="00F45F0F"/>
    <w:rsid w:val="00F45F70"/>
    <w:rsid w:val="00F46AC7"/>
    <w:rsid w:val="00F47618"/>
    <w:rsid w:val="00F479F7"/>
    <w:rsid w:val="00F47A47"/>
    <w:rsid w:val="00F47EB3"/>
    <w:rsid w:val="00F50343"/>
    <w:rsid w:val="00F5057C"/>
    <w:rsid w:val="00F50BF9"/>
    <w:rsid w:val="00F50D09"/>
    <w:rsid w:val="00F510D4"/>
    <w:rsid w:val="00F51BFC"/>
    <w:rsid w:val="00F5239A"/>
    <w:rsid w:val="00F52CE6"/>
    <w:rsid w:val="00F52F3E"/>
    <w:rsid w:val="00F52F68"/>
    <w:rsid w:val="00F5300F"/>
    <w:rsid w:val="00F53159"/>
    <w:rsid w:val="00F53603"/>
    <w:rsid w:val="00F53701"/>
    <w:rsid w:val="00F54014"/>
    <w:rsid w:val="00F5415A"/>
    <w:rsid w:val="00F5453E"/>
    <w:rsid w:val="00F54642"/>
    <w:rsid w:val="00F54929"/>
    <w:rsid w:val="00F54B7C"/>
    <w:rsid w:val="00F55070"/>
    <w:rsid w:val="00F55485"/>
    <w:rsid w:val="00F55AD5"/>
    <w:rsid w:val="00F56F9B"/>
    <w:rsid w:val="00F57732"/>
    <w:rsid w:val="00F602F5"/>
    <w:rsid w:val="00F60AB7"/>
    <w:rsid w:val="00F60AE6"/>
    <w:rsid w:val="00F60DDD"/>
    <w:rsid w:val="00F60F45"/>
    <w:rsid w:val="00F6184E"/>
    <w:rsid w:val="00F61E65"/>
    <w:rsid w:val="00F61F9D"/>
    <w:rsid w:val="00F62045"/>
    <w:rsid w:val="00F6287E"/>
    <w:rsid w:val="00F62D8B"/>
    <w:rsid w:val="00F62E72"/>
    <w:rsid w:val="00F63100"/>
    <w:rsid w:val="00F638F3"/>
    <w:rsid w:val="00F63B65"/>
    <w:rsid w:val="00F6403F"/>
    <w:rsid w:val="00F6439E"/>
    <w:rsid w:val="00F64852"/>
    <w:rsid w:val="00F64D7D"/>
    <w:rsid w:val="00F650B9"/>
    <w:rsid w:val="00F652D5"/>
    <w:rsid w:val="00F66342"/>
    <w:rsid w:val="00F66F18"/>
    <w:rsid w:val="00F6701B"/>
    <w:rsid w:val="00F67D05"/>
    <w:rsid w:val="00F70052"/>
    <w:rsid w:val="00F7009A"/>
    <w:rsid w:val="00F70263"/>
    <w:rsid w:val="00F70847"/>
    <w:rsid w:val="00F70F73"/>
    <w:rsid w:val="00F717CA"/>
    <w:rsid w:val="00F717D1"/>
    <w:rsid w:val="00F718ED"/>
    <w:rsid w:val="00F719EB"/>
    <w:rsid w:val="00F71BD9"/>
    <w:rsid w:val="00F71CBF"/>
    <w:rsid w:val="00F7215F"/>
    <w:rsid w:val="00F726F7"/>
    <w:rsid w:val="00F72B61"/>
    <w:rsid w:val="00F72F6B"/>
    <w:rsid w:val="00F73602"/>
    <w:rsid w:val="00F7378A"/>
    <w:rsid w:val="00F73AC7"/>
    <w:rsid w:val="00F73E54"/>
    <w:rsid w:val="00F7401F"/>
    <w:rsid w:val="00F74D09"/>
    <w:rsid w:val="00F74F18"/>
    <w:rsid w:val="00F756E5"/>
    <w:rsid w:val="00F75BC9"/>
    <w:rsid w:val="00F762D9"/>
    <w:rsid w:val="00F7678A"/>
    <w:rsid w:val="00F76AF3"/>
    <w:rsid w:val="00F76F05"/>
    <w:rsid w:val="00F77038"/>
    <w:rsid w:val="00F77153"/>
    <w:rsid w:val="00F771C1"/>
    <w:rsid w:val="00F771D6"/>
    <w:rsid w:val="00F7750C"/>
    <w:rsid w:val="00F77538"/>
    <w:rsid w:val="00F77B56"/>
    <w:rsid w:val="00F80060"/>
    <w:rsid w:val="00F80261"/>
    <w:rsid w:val="00F8043C"/>
    <w:rsid w:val="00F80AF6"/>
    <w:rsid w:val="00F80D43"/>
    <w:rsid w:val="00F816C0"/>
    <w:rsid w:val="00F818BC"/>
    <w:rsid w:val="00F8256E"/>
    <w:rsid w:val="00F825DC"/>
    <w:rsid w:val="00F82AD7"/>
    <w:rsid w:val="00F83049"/>
    <w:rsid w:val="00F8338B"/>
    <w:rsid w:val="00F83B63"/>
    <w:rsid w:val="00F84385"/>
    <w:rsid w:val="00F85DAA"/>
    <w:rsid w:val="00F865B7"/>
    <w:rsid w:val="00F867A6"/>
    <w:rsid w:val="00F870F9"/>
    <w:rsid w:val="00F873AD"/>
    <w:rsid w:val="00F8779F"/>
    <w:rsid w:val="00F87E89"/>
    <w:rsid w:val="00F9028B"/>
    <w:rsid w:val="00F90395"/>
    <w:rsid w:val="00F9040C"/>
    <w:rsid w:val="00F90854"/>
    <w:rsid w:val="00F91456"/>
    <w:rsid w:val="00F91B2F"/>
    <w:rsid w:val="00F91C55"/>
    <w:rsid w:val="00F91E8E"/>
    <w:rsid w:val="00F91ED2"/>
    <w:rsid w:val="00F91FB5"/>
    <w:rsid w:val="00F92801"/>
    <w:rsid w:val="00F929DC"/>
    <w:rsid w:val="00F92B64"/>
    <w:rsid w:val="00F92C5C"/>
    <w:rsid w:val="00F93AD8"/>
    <w:rsid w:val="00F93B90"/>
    <w:rsid w:val="00F93BB5"/>
    <w:rsid w:val="00F9401A"/>
    <w:rsid w:val="00F94127"/>
    <w:rsid w:val="00F94245"/>
    <w:rsid w:val="00F942B4"/>
    <w:rsid w:val="00F946FC"/>
    <w:rsid w:val="00F9486A"/>
    <w:rsid w:val="00F94A32"/>
    <w:rsid w:val="00F94AA5"/>
    <w:rsid w:val="00F9547D"/>
    <w:rsid w:val="00F955C6"/>
    <w:rsid w:val="00F9579A"/>
    <w:rsid w:val="00F95B3E"/>
    <w:rsid w:val="00F9629A"/>
    <w:rsid w:val="00F96432"/>
    <w:rsid w:val="00F964E3"/>
    <w:rsid w:val="00F96998"/>
    <w:rsid w:val="00F96B7B"/>
    <w:rsid w:val="00F96D46"/>
    <w:rsid w:val="00F96EC9"/>
    <w:rsid w:val="00FA019E"/>
    <w:rsid w:val="00FA0265"/>
    <w:rsid w:val="00FA02BF"/>
    <w:rsid w:val="00FA04C3"/>
    <w:rsid w:val="00FA0929"/>
    <w:rsid w:val="00FA12F0"/>
    <w:rsid w:val="00FA18B3"/>
    <w:rsid w:val="00FA18EB"/>
    <w:rsid w:val="00FA25A9"/>
    <w:rsid w:val="00FA280F"/>
    <w:rsid w:val="00FA2ADC"/>
    <w:rsid w:val="00FA2CFF"/>
    <w:rsid w:val="00FA2EA5"/>
    <w:rsid w:val="00FA3219"/>
    <w:rsid w:val="00FA4382"/>
    <w:rsid w:val="00FA4DC7"/>
    <w:rsid w:val="00FA549B"/>
    <w:rsid w:val="00FA576D"/>
    <w:rsid w:val="00FA5881"/>
    <w:rsid w:val="00FA5B70"/>
    <w:rsid w:val="00FA6244"/>
    <w:rsid w:val="00FA6759"/>
    <w:rsid w:val="00FA684F"/>
    <w:rsid w:val="00FA7134"/>
    <w:rsid w:val="00FA734B"/>
    <w:rsid w:val="00FA73A3"/>
    <w:rsid w:val="00FA7552"/>
    <w:rsid w:val="00FA7741"/>
    <w:rsid w:val="00FA7B20"/>
    <w:rsid w:val="00FA7E7C"/>
    <w:rsid w:val="00FB00D1"/>
    <w:rsid w:val="00FB13E6"/>
    <w:rsid w:val="00FB1568"/>
    <w:rsid w:val="00FB1A6B"/>
    <w:rsid w:val="00FB2484"/>
    <w:rsid w:val="00FB2A67"/>
    <w:rsid w:val="00FB2C59"/>
    <w:rsid w:val="00FB3A0D"/>
    <w:rsid w:val="00FB3F76"/>
    <w:rsid w:val="00FB45A7"/>
    <w:rsid w:val="00FB4B7B"/>
    <w:rsid w:val="00FB4FB2"/>
    <w:rsid w:val="00FB57D4"/>
    <w:rsid w:val="00FB5A28"/>
    <w:rsid w:val="00FB5E25"/>
    <w:rsid w:val="00FB5F38"/>
    <w:rsid w:val="00FB60B6"/>
    <w:rsid w:val="00FB6576"/>
    <w:rsid w:val="00FB6580"/>
    <w:rsid w:val="00FB6BAC"/>
    <w:rsid w:val="00FB79D7"/>
    <w:rsid w:val="00FB7FA5"/>
    <w:rsid w:val="00FC0501"/>
    <w:rsid w:val="00FC19F7"/>
    <w:rsid w:val="00FC1C66"/>
    <w:rsid w:val="00FC1CC7"/>
    <w:rsid w:val="00FC1DDC"/>
    <w:rsid w:val="00FC2003"/>
    <w:rsid w:val="00FC21FB"/>
    <w:rsid w:val="00FC24D7"/>
    <w:rsid w:val="00FC2544"/>
    <w:rsid w:val="00FC262B"/>
    <w:rsid w:val="00FC26DC"/>
    <w:rsid w:val="00FC2A82"/>
    <w:rsid w:val="00FC2CB5"/>
    <w:rsid w:val="00FC419B"/>
    <w:rsid w:val="00FC4206"/>
    <w:rsid w:val="00FC47F0"/>
    <w:rsid w:val="00FC5567"/>
    <w:rsid w:val="00FC5B81"/>
    <w:rsid w:val="00FC5D05"/>
    <w:rsid w:val="00FC5D3A"/>
    <w:rsid w:val="00FC6270"/>
    <w:rsid w:val="00FC640D"/>
    <w:rsid w:val="00FC66AE"/>
    <w:rsid w:val="00FC684C"/>
    <w:rsid w:val="00FC6E9D"/>
    <w:rsid w:val="00FC7267"/>
    <w:rsid w:val="00FD00C5"/>
    <w:rsid w:val="00FD07FA"/>
    <w:rsid w:val="00FD0A20"/>
    <w:rsid w:val="00FD0EEC"/>
    <w:rsid w:val="00FD1363"/>
    <w:rsid w:val="00FD14C9"/>
    <w:rsid w:val="00FD1622"/>
    <w:rsid w:val="00FD166F"/>
    <w:rsid w:val="00FD16A8"/>
    <w:rsid w:val="00FD1D50"/>
    <w:rsid w:val="00FD1D66"/>
    <w:rsid w:val="00FD37C1"/>
    <w:rsid w:val="00FD398E"/>
    <w:rsid w:val="00FD4B5A"/>
    <w:rsid w:val="00FD4E7F"/>
    <w:rsid w:val="00FD6818"/>
    <w:rsid w:val="00FD6A11"/>
    <w:rsid w:val="00FD6AB4"/>
    <w:rsid w:val="00FD6AE3"/>
    <w:rsid w:val="00FD7214"/>
    <w:rsid w:val="00FD744B"/>
    <w:rsid w:val="00FD7B54"/>
    <w:rsid w:val="00FE03C3"/>
    <w:rsid w:val="00FE0890"/>
    <w:rsid w:val="00FE1543"/>
    <w:rsid w:val="00FE1575"/>
    <w:rsid w:val="00FE1984"/>
    <w:rsid w:val="00FE1C74"/>
    <w:rsid w:val="00FE2E8B"/>
    <w:rsid w:val="00FE2F49"/>
    <w:rsid w:val="00FE3CAC"/>
    <w:rsid w:val="00FE3DC7"/>
    <w:rsid w:val="00FE5060"/>
    <w:rsid w:val="00FE5149"/>
    <w:rsid w:val="00FE5270"/>
    <w:rsid w:val="00FE54B0"/>
    <w:rsid w:val="00FE56EF"/>
    <w:rsid w:val="00FE5880"/>
    <w:rsid w:val="00FE5E03"/>
    <w:rsid w:val="00FE5E9C"/>
    <w:rsid w:val="00FE61A0"/>
    <w:rsid w:val="00FE6681"/>
    <w:rsid w:val="00FE6BDC"/>
    <w:rsid w:val="00FE6FA6"/>
    <w:rsid w:val="00FE6FAA"/>
    <w:rsid w:val="00FE72C8"/>
    <w:rsid w:val="00FE75AA"/>
    <w:rsid w:val="00FE770F"/>
    <w:rsid w:val="00FE798C"/>
    <w:rsid w:val="00FE7BE7"/>
    <w:rsid w:val="00FE7ED9"/>
    <w:rsid w:val="00FF0AE6"/>
    <w:rsid w:val="00FF0BC1"/>
    <w:rsid w:val="00FF0DBE"/>
    <w:rsid w:val="00FF0E49"/>
    <w:rsid w:val="00FF21DB"/>
    <w:rsid w:val="00FF2B6B"/>
    <w:rsid w:val="00FF36E3"/>
    <w:rsid w:val="00FF3767"/>
    <w:rsid w:val="00FF415A"/>
    <w:rsid w:val="00FF46CB"/>
    <w:rsid w:val="00FF4ED6"/>
    <w:rsid w:val="00FF541B"/>
    <w:rsid w:val="00FF563E"/>
    <w:rsid w:val="00FF5EA8"/>
    <w:rsid w:val="00FF602B"/>
    <w:rsid w:val="00FF604C"/>
    <w:rsid w:val="00FF62FA"/>
    <w:rsid w:val="00FF70D4"/>
    <w:rsid w:val="00FF76D1"/>
    <w:rsid w:val="00FF7743"/>
    <w:rsid w:val="00FF7866"/>
    <w:rsid w:val="00FF7A8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
    </o:shapedefaults>
    <o:shapelayout v:ext="edit">
      <o:idmap v:ext="edit" data="2"/>
    </o:shapelayout>
  </w:shapeDefaults>
  <w:decimalSymbol w:val="."/>
  <w:listSeparator w:val=","/>
  <w14:docId w14:val="33EFA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43"/>
  </w:style>
  <w:style w:type="paragraph" w:styleId="Heading1">
    <w:name w:val="heading 1"/>
    <w:basedOn w:val="Normal"/>
    <w:next w:val="Normal"/>
    <w:link w:val="Heading1Char"/>
    <w:uiPriority w:val="9"/>
    <w:qFormat/>
    <w:rsid w:val="00AF3DA7"/>
    <w:pPr>
      <w:keepNext/>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240" w:after="240" w:line="240" w:lineRule="auto"/>
      <w:outlineLvl w:val="0"/>
    </w:pPr>
    <w:rPr>
      <w:caps/>
      <w:color w:val="FFFFFF" w:themeColor="background1"/>
      <w:spacing w:val="15"/>
      <w:sz w:val="23"/>
      <w:szCs w:val="22"/>
    </w:rPr>
  </w:style>
  <w:style w:type="paragraph" w:styleId="Heading2">
    <w:name w:val="heading 2"/>
    <w:basedOn w:val="Normal"/>
    <w:next w:val="Normal"/>
    <w:link w:val="Heading2Char"/>
    <w:uiPriority w:val="9"/>
    <w:unhideWhenUsed/>
    <w:qFormat/>
    <w:rsid w:val="008430A8"/>
    <w:pPr>
      <w:keepNext/>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before="240" w:after="240" w:line="240" w:lineRule="auto"/>
      <w:outlineLvl w:val="1"/>
    </w:pPr>
    <w:rPr>
      <w:caps/>
      <w:spacing w:val="15"/>
      <w:sz w:val="23"/>
    </w:rPr>
  </w:style>
  <w:style w:type="paragraph" w:styleId="Heading3">
    <w:name w:val="heading 3"/>
    <w:basedOn w:val="Normal"/>
    <w:next w:val="Normal"/>
    <w:link w:val="Heading3Char"/>
    <w:uiPriority w:val="9"/>
    <w:unhideWhenUsed/>
    <w:qFormat/>
    <w:rsid w:val="00D93C62"/>
    <w:pPr>
      <w:keepNext/>
      <w:pBdr>
        <w:top w:val="single" w:sz="6" w:space="2" w:color="4A66AC" w:themeColor="accent1"/>
      </w:pBdr>
      <w:spacing w:before="300" w:after="240"/>
      <w:outlineLvl w:val="2"/>
    </w:pPr>
    <w:rPr>
      <w:caps/>
      <w:color w:val="243255" w:themeColor="accent1" w:themeShade="7F"/>
      <w:spacing w:val="15"/>
      <w:sz w:val="23"/>
    </w:rPr>
  </w:style>
  <w:style w:type="paragraph" w:styleId="Heading4">
    <w:name w:val="heading 4"/>
    <w:basedOn w:val="Normal"/>
    <w:next w:val="Normal"/>
    <w:link w:val="Heading4Char"/>
    <w:uiPriority w:val="9"/>
    <w:unhideWhenUsed/>
    <w:qFormat/>
    <w:rsid w:val="003B1BD6"/>
    <w:pPr>
      <w:keepNext/>
      <w:numPr>
        <w:ilvl w:val="3"/>
        <w:numId w:val="15"/>
      </w:numPr>
      <w:pBdr>
        <w:top w:val="dotted" w:sz="6" w:space="2" w:color="4A66AC" w:themeColor="accent1"/>
      </w:pBdr>
      <w:spacing w:before="200" w:after="0"/>
      <w:ind w:left="0" w:firstLine="0"/>
      <w:outlineLvl w:val="3"/>
    </w:pPr>
    <w:rPr>
      <w:caps/>
      <w:color w:val="374C80" w:themeColor="accent1" w:themeShade="BF"/>
      <w:spacing w:val="10"/>
    </w:rPr>
  </w:style>
  <w:style w:type="paragraph" w:styleId="Heading5">
    <w:name w:val="heading 5"/>
    <w:basedOn w:val="Normal"/>
    <w:next w:val="Normal"/>
    <w:link w:val="Heading5Char"/>
    <w:uiPriority w:val="9"/>
    <w:unhideWhenUsed/>
    <w:qFormat/>
    <w:rsid w:val="00BF7A4E"/>
    <w:pPr>
      <w:numPr>
        <w:numId w:val="15"/>
      </w:numPr>
      <w:spacing w:before="200" w:after="0" w:line="360" w:lineRule="auto"/>
      <w:jc w:val="both"/>
      <w:outlineLvl w:val="4"/>
    </w:pPr>
    <w:rPr>
      <w:sz w:val="23"/>
      <w:szCs w:val="23"/>
    </w:rPr>
  </w:style>
  <w:style w:type="paragraph" w:styleId="Heading6">
    <w:name w:val="heading 6"/>
    <w:basedOn w:val="Normal"/>
    <w:next w:val="Normal"/>
    <w:link w:val="Heading6Char"/>
    <w:uiPriority w:val="9"/>
    <w:unhideWhenUsed/>
    <w:qFormat/>
    <w:rsid w:val="00F50343"/>
    <w:pPr>
      <w:numPr>
        <w:ilvl w:val="5"/>
        <w:numId w:val="15"/>
      </w:num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F50343"/>
    <w:pPr>
      <w:numPr>
        <w:ilvl w:val="6"/>
        <w:numId w:val="15"/>
      </w:num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F50343"/>
    <w:pPr>
      <w:numPr>
        <w:ilvl w:val="7"/>
        <w:numId w:val="15"/>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43"/>
    <w:pPr>
      <w:numPr>
        <w:ilvl w:val="8"/>
        <w:numId w:val="15"/>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List 1"/>
    <w:basedOn w:val="Normal"/>
    <w:uiPriority w:val="99"/>
    <w:unhideWhenUsed/>
    <w:rsid w:val="00C53E3E"/>
    <w:pPr>
      <w:spacing w:line="360" w:lineRule="auto"/>
    </w:pPr>
  </w:style>
  <w:style w:type="paragraph" w:styleId="ListParagraph">
    <w:name w:val="List Paragraph"/>
    <w:basedOn w:val="Normal"/>
    <w:uiPriority w:val="34"/>
    <w:qFormat/>
    <w:rsid w:val="00F94A32"/>
    <w:pPr>
      <w:numPr>
        <w:numId w:val="1"/>
      </w:numPr>
      <w:spacing w:before="120" w:after="120" w:line="360" w:lineRule="auto"/>
      <w:jc w:val="both"/>
    </w:pPr>
    <w:rPr>
      <w:sz w:val="23"/>
    </w:rPr>
  </w:style>
  <w:style w:type="character" w:customStyle="1" w:styleId="Heading1Char">
    <w:name w:val="Heading 1 Char"/>
    <w:basedOn w:val="DefaultParagraphFont"/>
    <w:link w:val="Heading1"/>
    <w:uiPriority w:val="9"/>
    <w:rsid w:val="00AF3DA7"/>
    <w:rPr>
      <w:caps/>
      <w:color w:val="FFFFFF" w:themeColor="background1"/>
      <w:spacing w:val="15"/>
      <w:sz w:val="23"/>
      <w:szCs w:val="22"/>
      <w:shd w:val="clear" w:color="auto" w:fill="4A66AC" w:themeFill="accent1"/>
    </w:rPr>
  </w:style>
  <w:style w:type="character" w:customStyle="1" w:styleId="Heading2Char">
    <w:name w:val="Heading 2 Char"/>
    <w:basedOn w:val="DefaultParagraphFont"/>
    <w:link w:val="Heading2"/>
    <w:uiPriority w:val="9"/>
    <w:rsid w:val="008430A8"/>
    <w:rPr>
      <w:caps/>
      <w:spacing w:val="15"/>
      <w:sz w:val="23"/>
      <w:shd w:val="clear" w:color="auto" w:fill="D9DFEF" w:themeFill="accent1" w:themeFillTint="33"/>
    </w:rPr>
  </w:style>
  <w:style w:type="paragraph" w:styleId="List2">
    <w:name w:val="List 2"/>
    <w:basedOn w:val="Normal"/>
    <w:uiPriority w:val="99"/>
    <w:unhideWhenUsed/>
    <w:rsid w:val="005223D1"/>
    <w:pPr>
      <w:numPr>
        <w:ilvl w:val="1"/>
        <w:numId w:val="1"/>
      </w:numPr>
      <w:spacing w:before="120" w:after="120" w:line="360" w:lineRule="auto"/>
      <w:jc w:val="both"/>
    </w:pPr>
    <w:rPr>
      <w:sz w:val="23"/>
    </w:rPr>
  </w:style>
  <w:style w:type="paragraph" w:styleId="List3">
    <w:name w:val="List 3"/>
    <w:basedOn w:val="Normal"/>
    <w:uiPriority w:val="99"/>
    <w:unhideWhenUsed/>
    <w:rsid w:val="0081039F"/>
    <w:pPr>
      <w:numPr>
        <w:ilvl w:val="2"/>
        <w:numId w:val="1"/>
      </w:numPr>
      <w:spacing w:before="120" w:after="120" w:line="360" w:lineRule="auto"/>
      <w:jc w:val="both"/>
    </w:pPr>
    <w:rPr>
      <w:sz w:val="23"/>
    </w:rPr>
  </w:style>
  <w:style w:type="character" w:styleId="PageNumber">
    <w:name w:val="page number"/>
    <w:basedOn w:val="DefaultParagraphFont"/>
    <w:uiPriority w:val="99"/>
    <w:semiHidden/>
    <w:unhideWhenUsed/>
    <w:rsid w:val="00AD4DE5"/>
  </w:style>
  <w:style w:type="paragraph" w:styleId="List4">
    <w:name w:val="List 4"/>
    <w:basedOn w:val="Normal"/>
    <w:uiPriority w:val="99"/>
    <w:unhideWhenUsed/>
    <w:rsid w:val="00C53E3E"/>
    <w:pPr>
      <w:numPr>
        <w:ilvl w:val="3"/>
        <w:numId w:val="1"/>
      </w:numPr>
    </w:pPr>
  </w:style>
  <w:style w:type="paragraph" w:styleId="Quote">
    <w:name w:val="Quote"/>
    <w:basedOn w:val="Normal"/>
    <w:next w:val="Normal"/>
    <w:link w:val="QuoteChar"/>
    <w:uiPriority w:val="29"/>
    <w:qFormat/>
    <w:rsid w:val="006A3CA0"/>
    <w:pPr>
      <w:ind w:left="1134" w:right="804"/>
      <w:jc w:val="both"/>
    </w:pPr>
    <w:rPr>
      <w:sz w:val="23"/>
      <w:szCs w:val="24"/>
    </w:rPr>
  </w:style>
  <w:style w:type="character" w:customStyle="1" w:styleId="QuoteChar">
    <w:name w:val="Quote Char"/>
    <w:basedOn w:val="DefaultParagraphFont"/>
    <w:link w:val="Quote"/>
    <w:uiPriority w:val="29"/>
    <w:rsid w:val="006A3CA0"/>
    <w:rPr>
      <w:sz w:val="23"/>
      <w:szCs w:val="24"/>
    </w:rPr>
  </w:style>
  <w:style w:type="character" w:customStyle="1" w:styleId="Heading3Char">
    <w:name w:val="Heading 3 Char"/>
    <w:basedOn w:val="DefaultParagraphFont"/>
    <w:link w:val="Heading3"/>
    <w:uiPriority w:val="9"/>
    <w:rsid w:val="00D93C62"/>
    <w:rPr>
      <w:caps/>
      <w:color w:val="243255" w:themeColor="accent1" w:themeShade="7F"/>
      <w:spacing w:val="15"/>
      <w:sz w:val="23"/>
    </w:rPr>
  </w:style>
  <w:style w:type="character" w:customStyle="1" w:styleId="Heading4Char">
    <w:name w:val="Heading 4 Char"/>
    <w:basedOn w:val="DefaultParagraphFont"/>
    <w:link w:val="Heading4"/>
    <w:uiPriority w:val="9"/>
    <w:rsid w:val="003B1BD6"/>
    <w:rPr>
      <w:caps/>
      <w:color w:val="374C80" w:themeColor="accent1" w:themeShade="BF"/>
      <w:spacing w:val="10"/>
    </w:rPr>
  </w:style>
  <w:style w:type="table" w:styleId="TableGrid">
    <w:name w:val="Table Grid"/>
    <w:basedOn w:val="TableNormal"/>
    <w:uiPriority w:val="39"/>
    <w:rsid w:val="00F447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0343"/>
    <w:pPr>
      <w:outlineLvl w:val="9"/>
    </w:pPr>
  </w:style>
  <w:style w:type="paragraph" w:styleId="TOC1">
    <w:name w:val="toc 1"/>
    <w:basedOn w:val="Normal"/>
    <w:next w:val="Normal"/>
    <w:autoRedefine/>
    <w:uiPriority w:val="39"/>
    <w:unhideWhenUsed/>
    <w:rsid w:val="00181F93"/>
    <w:pPr>
      <w:tabs>
        <w:tab w:val="left" w:pos="567"/>
        <w:tab w:val="right" w:leader="dot" w:pos="9016"/>
      </w:tabs>
      <w:spacing w:before="60" w:after="60"/>
    </w:pPr>
    <w:rPr>
      <w:b/>
    </w:rPr>
  </w:style>
  <w:style w:type="paragraph" w:styleId="TOC2">
    <w:name w:val="toc 2"/>
    <w:basedOn w:val="Normal"/>
    <w:next w:val="Normal"/>
    <w:autoRedefine/>
    <w:uiPriority w:val="39"/>
    <w:unhideWhenUsed/>
    <w:rsid w:val="009D6824"/>
    <w:pPr>
      <w:tabs>
        <w:tab w:val="left" w:pos="880"/>
        <w:tab w:val="right" w:leader="dot" w:pos="9016"/>
      </w:tabs>
      <w:spacing w:before="60" w:after="60"/>
      <w:ind w:left="568" w:hanging="284"/>
    </w:pPr>
  </w:style>
  <w:style w:type="paragraph" w:styleId="TOC3">
    <w:name w:val="toc 3"/>
    <w:basedOn w:val="Normal"/>
    <w:next w:val="Normal"/>
    <w:autoRedefine/>
    <w:uiPriority w:val="39"/>
    <w:unhideWhenUsed/>
    <w:rsid w:val="0033295A"/>
    <w:pPr>
      <w:tabs>
        <w:tab w:val="right" w:leader="dot" w:pos="9016"/>
      </w:tabs>
      <w:spacing w:before="60" w:after="60"/>
      <w:ind w:left="737"/>
    </w:pPr>
  </w:style>
  <w:style w:type="character" w:styleId="Hyperlink">
    <w:name w:val="Hyperlink"/>
    <w:basedOn w:val="DefaultParagraphFont"/>
    <w:uiPriority w:val="99"/>
    <w:unhideWhenUsed/>
    <w:rsid w:val="00CB5A93"/>
    <w:rPr>
      <w:color w:val="9454C3" w:themeColor="hyperlink"/>
      <w:u w:val="single"/>
    </w:rPr>
  </w:style>
  <w:style w:type="paragraph" w:styleId="BalloonText">
    <w:name w:val="Balloon Text"/>
    <w:basedOn w:val="Normal"/>
    <w:link w:val="BalloonTextChar"/>
    <w:uiPriority w:val="99"/>
    <w:semiHidden/>
    <w:unhideWhenUsed/>
    <w:rsid w:val="005E03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B5"/>
    <w:rPr>
      <w:rFonts w:ascii="Segoe UI" w:hAnsi="Segoe UI" w:cs="Segoe UI"/>
      <w:sz w:val="18"/>
      <w:szCs w:val="18"/>
    </w:rPr>
  </w:style>
  <w:style w:type="paragraph" w:styleId="Header">
    <w:name w:val="header"/>
    <w:basedOn w:val="Normal"/>
    <w:link w:val="HeaderChar"/>
    <w:uiPriority w:val="99"/>
    <w:unhideWhenUsed/>
    <w:rsid w:val="00E47CC5"/>
    <w:pPr>
      <w:tabs>
        <w:tab w:val="center" w:pos="4513"/>
        <w:tab w:val="right" w:pos="9026"/>
      </w:tabs>
      <w:spacing w:before="0" w:after="0"/>
    </w:pPr>
  </w:style>
  <w:style w:type="character" w:customStyle="1" w:styleId="HeaderChar">
    <w:name w:val="Header Char"/>
    <w:basedOn w:val="DefaultParagraphFont"/>
    <w:link w:val="Header"/>
    <w:uiPriority w:val="99"/>
    <w:rsid w:val="00E47CC5"/>
  </w:style>
  <w:style w:type="paragraph" w:styleId="Footer">
    <w:name w:val="footer"/>
    <w:basedOn w:val="Normal"/>
    <w:link w:val="FooterChar"/>
    <w:uiPriority w:val="99"/>
    <w:unhideWhenUsed/>
    <w:rsid w:val="00E47CC5"/>
    <w:pPr>
      <w:tabs>
        <w:tab w:val="center" w:pos="4513"/>
        <w:tab w:val="right" w:pos="9026"/>
      </w:tabs>
      <w:spacing w:before="0" w:after="0"/>
    </w:pPr>
  </w:style>
  <w:style w:type="character" w:customStyle="1" w:styleId="FooterChar">
    <w:name w:val="Footer Char"/>
    <w:basedOn w:val="DefaultParagraphFont"/>
    <w:link w:val="Footer"/>
    <w:uiPriority w:val="99"/>
    <w:rsid w:val="00E47CC5"/>
  </w:style>
  <w:style w:type="paragraph" w:customStyle="1" w:styleId="Default">
    <w:name w:val="Default"/>
    <w:rsid w:val="00B15C1D"/>
    <w:pPr>
      <w:autoSpaceDE w:val="0"/>
      <w:autoSpaceDN w:val="0"/>
      <w:adjustRightInd w:val="0"/>
      <w:spacing w:before="0" w:after="0" w:line="240" w:lineRule="auto"/>
    </w:pPr>
    <w:rPr>
      <w:rFonts w:ascii="Arial" w:hAnsi="Arial" w:cs="Arial"/>
      <w:color w:val="000000"/>
      <w:sz w:val="24"/>
      <w:szCs w:val="24"/>
    </w:rPr>
  </w:style>
  <w:style w:type="character" w:styleId="BookTitle">
    <w:name w:val="Book Title"/>
    <w:uiPriority w:val="33"/>
    <w:qFormat/>
    <w:rsid w:val="00F50343"/>
    <w:rPr>
      <w:b/>
      <w:bCs/>
      <w:i/>
      <w:iCs/>
      <w:spacing w:val="0"/>
    </w:rPr>
  </w:style>
  <w:style w:type="character" w:customStyle="1" w:styleId="Heading5Char">
    <w:name w:val="Heading 5 Char"/>
    <w:basedOn w:val="DefaultParagraphFont"/>
    <w:link w:val="Heading5"/>
    <w:uiPriority w:val="9"/>
    <w:rsid w:val="00BF7A4E"/>
    <w:rPr>
      <w:sz w:val="23"/>
      <w:szCs w:val="23"/>
    </w:rPr>
  </w:style>
  <w:style w:type="character" w:customStyle="1" w:styleId="Heading6Char">
    <w:name w:val="Heading 6 Char"/>
    <w:basedOn w:val="DefaultParagraphFont"/>
    <w:link w:val="Heading6"/>
    <w:uiPriority w:val="9"/>
    <w:rsid w:val="00F50343"/>
    <w:rPr>
      <w:caps/>
      <w:color w:val="374C80" w:themeColor="accent1" w:themeShade="BF"/>
      <w:spacing w:val="10"/>
    </w:rPr>
  </w:style>
  <w:style w:type="character" w:customStyle="1" w:styleId="Heading7Char">
    <w:name w:val="Heading 7 Char"/>
    <w:basedOn w:val="DefaultParagraphFont"/>
    <w:link w:val="Heading7"/>
    <w:uiPriority w:val="9"/>
    <w:semiHidden/>
    <w:rsid w:val="00F50343"/>
    <w:rPr>
      <w:caps/>
      <w:color w:val="374C80" w:themeColor="accent1" w:themeShade="BF"/>
      <w:spacing w:val="10"/>
    </w:rPr>
  </w:style>
  <w:style w:type="character" w:customStyle="1" w:styleId="Heading8Char">
    <w:name w:val="Heading 8 Char"/>
    <w:basedOn w:val="DefaultParagraphFont"/>
    <w:link w:val="Heading8"/>
    <w:uiPriority w:val="9"/>
    <w:semiHidden/>
    <w:rsid w:val="00F50343"/>
    <w:rPr>
      <w:caps/>
      <w:spacing w:val="10"/>
      <w:sz w:val="18"/>
      <w:szCs w:val="18"/>
    </w:rPr>
  </w:style>
  <w:style w:type="character" w:customStyle="1" w:styleId="Heading9Char">
    <w:name w:val="Heading 9 Char"/>
    <w:basedOn w:val="DefaultParagraphFont"/>
    <w:link w:val="Heading9"/>
    <w:uiPriority w:val="9"/>
    <w:semiHidden/>
    <w:rsid w:val="00F50343"/>
    <w:rPr>
      <w:i/>
      <w:iCs/>
      <w:caps/>
      <w:spacing w:val="10"/>
      <w:sz w:val="18"/>
      <w:szCs w:val="18"/>
    </w:rPr>
  </w:style>
  <w:style w:type="paragraph" w:styleId="FootnoteText">
    <w:name w:val="footnote text"/>
    <w:basedOn w:val="Normal"/>
    <w:link w:val="FootnoteTextChar"/>
    <w:uiPriority w:val="99"/>
    <w:unhideWhenUsed/>
    <w:rsid w:val="0081039F"/>
    <w:pPr>
      <w:spacing w:before="0" w:after="0"/>
      <w:ind w:left="720" w:hanging="720"/>
    </w:pPr>
  </w:style>
  <w:style w:type="character" w:customStyle="1" w:styleId="FootnoteTextChar">
    <w:name w:val="Footnote Text Char"/>
    <w:basedOn w:val="DefaultParagraphFont"/>
    <w:link w:val="FootnoteText"/>
    <w:uiPriority w:val="99"/>
    <w:rsid w:val="0081039F"/>
  </w:style>
  <w:style w:type="character" w:styleId="FootnoteReference">
    <w:name w:val="footnote reference"/>
    <w:basedOn w:val="DefaultParagraphFont"/>
    <w:uiPriority w:val="99"/>
    <w:semiHidden/>
    <w:unhideWhenUsed/>
    <w:rsid w:val="0036170C"/>
    <w:rPr>
      <w:vertAlign w:val="superscript"/>
    </w:rPr>
  </w:style>
  <w:style w:type="paragraph" w:styleId="Revision">
    <w:name w:val="Revision"/>
    <w:hidden/>
    <w:uiPriority w:val="99"/>
    <w:semiHidden/>
    <w:rsid w:val="005E29F7"/>
    <w:pPr>
      <w:spacing w:before="0" w:after="0" w:line="240" w:lineRule="auto"/>
    </w:pPr>
    <w:rPr>
      <w:sz w:val="23"/>
    </w:rPr>
  </w:style>
  <w:style w:type="paragraph" w:customStyle="1" w:styleId="BodySectionSub">
    <w:name w:val="Body Section (Sub)"/>
    <w:next w:val="Normal"/>
    <w:link w:val="BodySectionSubChar"/>
    <w:rsid w:val="007D636A"/>
    <w:pPr>
      <w:overflowPunct w:val="0"/>
      <w:autoSpaceDE w:val="0"/>
      <w:autoSpaceDN w:val="0"/>
      <w:adjustRightInd w:val="0"/>
      <w:spacing w:before="120" w:after="0" w:line="240" w:lineRule="auto"/>
      <w:ind w:left="1361"/>
      <w:textAlignment w:val="baseline"/>
    </w:pPr>
    <w:rPr>
      <w:rFonts w:eastAsia="Times New Roman"/>
      <w:sz w:val="24"/>
    </w:rPr>
  </w:style>
  <w:style w:type="paragraph" w:customStyle="1" w:styleId="DraftHeading2">
    <w:name w:val="Draft Heading 2"/>
    <w:basedOn w:val="Normal"/>
    <w:next w:val="Normal"/>
    <w:rsid w:val="007D636A"/>
    <w:pPr>
      <w:overflowPunct w:val="0"/>
      <w:autoSpaceDE w:val="0"/>
      <w:autoSpaceDN w:val="0"/>
      <w:adjustRightInd w:val="0"/>
      <w:spacing w:before="120" w:after="0"/>
      <w:textAlignment w:val="baseline"/>
    </w:pPr>
    <w:rPr>
      <w:rFonts w:eastAsia="Times New Roman"/>
      <w:sz w:val="24"/>
    </w:rPr>
  </w:style>
  <w:style w:type="paragraph" w:customStyle="1" w:styleId="DraftHeading3">
    <w:name w:val="Draft Heading 3"/>
    <w:basedOn w:val="Normal"/>
    <w:next w:val="Normal"/>
    <w:rsid w:val="007D636A"/>
    <w:pPr>
      <w:overflowPunct w:val="0"/>
      <w:autoSpaceDE w:val="0"/>
      <w:autoSpaceDN w:val="0"/>
      <w:adjustRightInd w:val="0"/>
      <w:spacing w:before="120" w:after="0"/>
      <w:textAlignment w:val="baseline"/>
    </w:pPr>
    <w:rPr>
      <w:rFonts w:eastAsia="Times New Roman"/>
      <w:sz w:val="24"/>
    </w:rPr>
  </w:style>
  <w:style w:type="paragraph" w:customStyle="1" w:styleId="DraftHeading1">
    <w:name w:val="Draft Heading 1"/>
    <w:basedOn w:val="Normal"/>
    <w:next w:val="Normal"/>
    <w:rsid w:val="007D636A"/>
    <w:pPr>
      <w:overflowPunct w:val="0"/>
      <w:autoSpaceDE w:val="0"/>
      <w:autoSpaceDN w:val="0"/>
      <w:adjustRightInd w:val="0"/>
      <w:spacing w:before="120" w:after="0"/>
      <w:textAlignment w:val="baseline"/>
      <w:outlineLvl w:val="2"/>
    </w:pPr>
    <w:rPr>
      <w:rFonts w:eastAsia="Times New Roman"/>
      <w:b/>
      <w:sz w:val="24"/>
      <w:szCs w:val="24"/>
    </w:rPr>
  </w:style>
  <w:style w:type="character" w:customStyle="1" w:styleId="BodySectionSubChar">
    <w:name w:val="Body Section (Sub) Char"/>
    <w:basedOn w:val="DefaultParagraphFont"/>
    <w:link w:val="BodySectionSub"/>
    <w:locked/>
    <w:rsid w:val="007D636A"/>
    <w:rPr>
      <w:rFonts w:eastAsia="Times New Roman"/>
      <w:sz w:val="24"/>
      <w:szCs w:val="20"/>
    </w:rPr>
  </w:style>
  <w:style w:type="paragraph" w:customStyle="1" w:styleId="paragraph">
    <w:name w:val="paragraph"/>
    <w:aliases w:val="a"/>
    <w:basedOn w:val="Normal"/>
    <w:link w:val="paragraphChar"/>
    <w:rsid w:val="007D636A"/>
    <w:pPr>
      <w:spacing w:beforeAutospacing="1" w:after="100" w:afterAutospacing="1"/>
    </w:pPr>
    <w:rPr>
      <w:rFonts w:eastAsia="Times New Roman"/>
      <w:sz w:val="24"/>
      <w:szCs w:val="24"/>
      <w:lang w:eastAsia="en-AU"/>
    </w:rPr>
  </w:style>
  <w:style w:type="paragraph" w:customStyle="1" w:styleId="ActHead5">
    <w:name w:val="ActHead 5"/>
    <w:aliases w:val="s"/>
    <w:basedOn w:val="Normal"/>
    <w:next w:val="subsection"/>
    <w:rsid w:val="007D636A"/>
    <w:pPr>
      <w:keepNext/>
      <w:keepLines/>
      <w:spacing w:before="280" w:after="0"/>
      <w:ind w:left="1134" w:hanging="1134"/>
      <w:outlineLvl w:val="4"/>
    </w:pPr>
    <w:rPr>
      <w:rFonts w:eastAsia="Times New Roman"/>
      <w:b/>
      <w:kern w:val="28"/>
      <w:sz w:val="24"/>
      <w:lang w:eastAsia="en-AU"/>
    </w:rPr>
  </w:style>
  <w:style w:type="character" w:customStyle="1" w:styleId="CharSectno">
    <w:name w:val="CharSectno"/>
    <w:basedOn w:val="DefaultParagraphFont"/>
    <w:rsid w:val="007D636A"/>
  </w:style>
  <w:style w:type="paragraph" w:customStyle="1" w:styleId="subsection">
    <w:name w:val="subsection"/>
    <w:aliases w:val="ss"/>
    <w:basedOn w:val="Normal"/>
    <w:link w:val="subsectionChar"/>
    <w:rsid w:val="007D636A"/>
    <w:pPr>
      <w:tabs>
        <w:tab w:val="right" w:pos="1021"/>
      </w:tabs>
      <w:spacing w:before="180" w:after="0"/>
      <w:ind w:left="1134" w:hanging="1134"/>
    </w:pPr>
    <w:rPr>
      <w:rFonts w:eastAsia="Times New Roman"/>
      <w:sz w:val="22"/>
      <w:lang w:eastAsia="en-AU"/>
    </w:rPr>
  </w:style>
  <w:style w:type="paragraph" w:customStyle="1" w:styleId="paragraphsub">
    <w:name w:val="paragraph(sub)"/>
    <w:aliases w:val="aa"/>
    <w:basedOn w:val="Normal"/>
    <w:rsid w:val="007D636A"/>
    <w:pPr>
      <w:tabs>
        <w:tab w:val="right" w:pos="1985"/>
      </w:tabs>
      <w:spacing w:before="40" w:after="0"/>
      <w:ind w:left="2098" w:hanging="2098"/>
    </w:pPr>
    <w:rPr>
      <w:rFonts w:eastAsia="Times New Roman"/>
      <w:sz w:val="22"/>
      <w:lang w:eastAsia="en-AU"/>
    </w:rPr>
  </w:style>
  <w:style w:type="character" w:customStyle="1" w:styleId="paragraphChar">
    <w:name w:val="paragraph Char"/>
    <w:aliases w:val="a Char"/>
    <w:basedOn w:val="DefaultParagraphFont"/>
    <w:link w:val="paragraph"/>
    <w:rsid w:val="007D636A"/>
    <w:rPr>
      <w:rFonts w:eastAsia="Times New Roman"/>
      <w:sz w:val="24"/>
      <w:szCs w:val="24"/>
      <w:lang w:eastAsia="en-AU"/>
    </w:rPr>
  </w:style>
  <w:style w:type="character" w:customStyle="1" w:styleId="subsectionChar">
    <w:name w:val="subsection Char"/>
    <w:aliases w:val="ss Char"/>
    <w:basedOn w:val="DefaultParagraphFont"/>
    <w:link w:val="subsection"/>
    <w:rsid w:val="007D636A"/>
    <w:rPr>
      <w:rFonts w:eastAsia="Times New Roman"/>
      <w:szCs w:val="20"/>
      <w:lang w:eastAsia="en-AU"/>
    </w:rPr>
  </w:style>
  <w:style w:type="paragraph" w:customStyle="1" w:styleId="xmsonormal">
    <w:name w:val="x_msonormal"/>
    <w:basedOn w:val="Normal"/>
    <w:rsid w:val="001D72D2"/>
    <w:pPr>
      <w:spacing w:beforeAutospacing="1" w:after="100" w:afterAutospacing="1"/>
    </w:pPr>
    <w:rPr>
      <w:rFonts w:eastAsia="Times New Roman"/>
      <w:sz w:val="24"/>
      <w:szCs w:val="24"/>
      <w:lang w:eastAsia="en-AU"/>
    </w:rPr>
  </w:style>
  <w:style w:type="character" w:styleId="UnresolvedMention">
    <w:name w:val="Unresolved Mention"/>
    <w:basedOn w:val="DefaultParagraphFont"/>
    <w:uiPriority w:val="99"/>
    <w:semiHidden/>
    <w:unhideWhenUsed/>
    <w:rsid w:val="00F80AF6"/>
    <w:rPr>
      <w:color w:val="605E5C"/>
      <w:shd w:val="clear" w:color="auto" w:fill="E1DFDD"/>
    </w:rPr>
  </w:style>
  <w:style w:type="paragraph" w:styleId="Bibliography">
    <w:name w:val="Bibliography"/>
    <w:basedOn w:val="Normal"/>
    <w:next w:val="Normal"/>
    <w:uiPriority w:val="37"/>
    <w:semiHidden/>
    <w:unhideWhenUsed/>
    <w:rsid w:val="00EF0526"/>
  </w:style>
  <w:style w:type="paragraph" w:styleId="BlockText">
    <w:name w:val="Block Text"/>
    <w:basedOn w:val="Normal"/>
    <w:uiPriority w:val="99"/>
    <w:semiHidden/>
    <w:unhideWhenUsed/>
    <w:rsid w:val="00EF0526"/>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4A66AC" w:themeColor="accent1"/>
    </w:rPr>
  </w:style>
  <w:style w:type="paragraph" w:styleId="BodyText">
    <w:name w:val="Body Text"/>
    <w:basedOn w:val="Normal"/>
    <w:link w:val="BodyTextChar"/>
    <w:uiPriority w:val="99"/>
    <w:semiHidden/>
    <w:unhideWhenUsed/>
    <w:rsid w:val="00EF0526"/>
    <w:pPr>
      <w:spacing w:after="120"/>
    </w:pPr>
  </w:style>
  <w:style w:type="character" w:customStyle="1" w:styleId="BodyTextChar">
    <w:name w:val="Body Text Char"/>
    <w:basedOn w:val="DefaultParagraphFont"/>
    <w:link w:val="BodyText"/>
    <w:uiPriority w:val="99"/>
    <w:semiHidden/>
    <w:rsid w:val="00EF0526"/>
    <w:rPr>
      <w:sz w:val="23"/>
    </w:rPr>
  </w:style>
  <w:style w:type="paragraph" w:styleId="BodyText2">
    <w:name w:val="Body Text 2"/>
    <w:basedOn w:val="Normal"/>
    <w:link w:val="BodyText2Char"/>
    <w:uiPriority w:val="99"/>
    <w:semiHidden/>
    <w:unhideWhenUsed/>
    <w:rsid w:val="00EF0526"/>
    <w:pPr>
      <w:spacing w:after="120" w:line="480" w:lineRule="auto"/>
    </w:pPr>
  </w:style>
  <w:style w:type="character" w:customStyle="1" w:styleId="BodyText2Char">
    <w:name w:val="Body Text 2 Char"/>
    <w:basedOn w:val="DefaultParagraphFont"/>
    <w:link w:val="BodyText2"/>
    <w:uiPriority w:val="99"/>
    <w:semiHidden/>
    <w:rsid w:val="00EF0526"/>
    <w:rPr>
      <w:sz w:val="23"/>
    </w:rPr>
  </w:style>
  <w:style w:type="paragraph" w:styleId="BodyText3">
    <w:name w:val="Body Text 3"/>
    <w:basedOn w:val="Normal"/>
    <w:link w:val="BodyText3Char"/>
    <w:uiPriority w:val="99"/>
    <w:semiHidden/>
    <w:unhideWhenUsed/>
    <w:rsid w:val="00EF0526"/>
    <w:pPr>
      <w:spacing w:after="120"/>
    </w:pPr>
    <w:rPr>
      <w:sz w:val="16"/>
      <w:szCs w:val="16"/>
    </w:rPr>
  </w:style>
  <w:style w:type="character" w:customStyle="1" w:styleId="BodyText3Char">
    <w:name w:val="Body Text 3 Char"/>
    <w:basedOn w:val="DefaultParagraphFont"/>
    <w:link w:val="BodyText3"/>
    <w:uiPriority w:val="99"/>
    <w:semiHidden/>
    <w:rsid w:val="00EF0526"/>
    <w:rPr>
      <w:sz w:val="16"/>
      <w:szCs w:val="16"/>
    </w:rPr>
  </w:style>
  <w:style w:type="paragraph" w:styleId="BodyTextFirstIndent">
    <w:name w:val="Body Text First Indent"/>
    <w:basedOn w:val="BodyText"/>
    <w:link w:val="BodyTextFirstIndentChar"/>
    <w:uiPriority w:val="99"/>
    <w:semiHidden/>
    <w:unhideWhenUsed/>
    <w:rsid w:val="00EF0526"/>
    <w:pPr>
      <w:spacing w:after="160"/>
      <w:ind w:firstLine="360"/>
    </w:pPr>
  </w:style>
  <w:style w:type="character" w:customStyle="1" w:styleId="BodyTextFirstIndentChar">
    <w:name w:val="Body Text First Indent Char"/>
    <w:basedOn w:val="BodyTextChar"/>
    <w:link w:val="BodyTextFirstIndent"/>
    <w:uiPriority w:val="99"/>
    <w:semiHidden/>
    <w:rsid w:val="00EF0526"/>
    <w:rPr>
      <w:sz w:val="23"/>
    </w:rPr>
  </w:style>
  <w:style w:type="paragraph" w:styleId="BodyTextIndent">
    <w:name w:val="Body Text Indent"/>
    <w:basedOn w:val="Normal"/>
    <w:link w:val="BodyTextIndentChar"/>
    <w:uiPriority w:val="99"/>
    <w:semiHidden/>
    <w:unhideWhenUsed/>
    <w:rsid w:val="00EF0526"/>
    <w:pPr>
      <w:spacing w:after="120"/>
      <w:ind w:left="283"/>
    </w:pPr>
  </w:style>
  <w:style w:type="character" w:customStyle="1" w:styleId="BodyTextIndentChar">
    <w:name w:val="Body Text Indent Char"/>
    <w:basedOn w:val="DefaultParagraphFont"/>
    <w:link w:val="BodyTextIndent"/>
    <w:uiPriority w:val="99"/>
    <w:semiHidden/>
    <w:rsid w:val="00EF0526"/>
    <w:rPr>
      <w:sz w:val="23"/>
    </w:rPr>
  </w:style>
  <w:style w:type="paragraph" w:styleId="BodyTextFirstIndent2">
    <w:name w:val="Body Text First Indent 2"/>
    <w:basedOn w:val="BodyTextIndent"/>
    <w:link w:val="BodyTextFirstIndent2Char"/>
    <w:uiPriority w:val="99"/>
    <w:semiHidden/>
    <w:unhideWhenUsed/>
    <w:rsid w:val="00EF052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F0526"/>
    <w:rPr>
      <w:sz w:val="23"/>
    </w:rPr>
  </w:style>
  <w:style w:type="paragraph" w:styleId="BodyTextIndent2">
    <w:name w:val="Body Text Indent 2"/>
    <w:basedOn w:val="Normal"/>
    <w:link w:val="BodyTextIndent2Char"/>
    <w:uiPriority w:val="99"/>
    <w:semiHidden/>
    <w:unhideWhenUsed/>
    <w:rsid w:val="00EF0526"/>
    <w:pPr>
      <w:spacing w:after="120" w:line="480" w:lineRule="auto"/>
      <w:ind w:left="283"/>
    </w:pPr>
  </w:style>
  <w:style w:type="character" w:customStyle="1" w:styleId="BodyTextIndent2Char">
    <w:name w:val="Body Text Indent 2 Char"/>
    <w:basedOn w:val="DefaultParagraphFont"/>
    <w:link w:val="BodyTextIndent2"/>
    <w:uiPriority w:val="99"/>
    <w:semiHidden/>
    <w:rsid w:val="00EF0526"/>
    <w:rPr>
      <w:sz w:val="23"/>
    </w:rPr>
  </w:style>
  <w:style w:type="paragraph" w:styleId="BodyTextIndent3">
    <w:name w:val="Body Text Indent 3"/>
    <w:basedOn w:val="Normal"/>
    <w:link w:val="BodyTextIndent3Char"/>
    <w:uiPriority w:val="99"/>
    <w:semiHidden/>
    <w:unhideWhenUsed/>
    <w:rsid w:val="00EF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0526"/>
    <w:rPr>
      <w:sz w:val="16"/>
      <w:szCs w:val="16"/>
    </w:rPr>
  </w:style>
  <w:style w:type="paragraph" w:styleId="Caption">
    <w:name w:val="caption"/>
    <w:basedOn w:val="Normal"/>
    <w:next w:val="Normal"/>
    <w:uiPriority w:val="35"/>
    <w:semiHidden/>
    <w:unhideWhenUsed/>
    <w:qFormat/>
    <w:rsid w:val="00F50343"/>
    <w:rPr>
      <w:b/>
      <w:bCs/>
      <w:color w:val="374C80" w:themeColor="accent1" w:themeShade="BF"/>
      <w:sz w:val="16"/>
      <w:szCs w:val="16"/>
    </w:rPr>
  </w:style>
  <w:style w:type="paragraph" w:styleId="Closing">
    <w:name w:val="Closing"/>
    <w:basedOn w:val="Normal"/>
    <w:link w:val="ClosingChar"/>
    <w:uiPriority w:val="99"/>
    <w:semiHidden/>
    <w:unhideWhenUsed/>
    <w:rsid w:val="00EF0526"/>
    <w:pPr>
      <w:spacing w:before="0" w:after="0"/>
      <w:ind w:left="4252"/>
    </w:pPr>
  </w:style>
  <w:style w:type="character" w:customStyle="1" w:styleId="ClosingChar">
    <w:name w:val="Closing Char"/>
    <w:basedOn w:val="DefaultParagraphFont"/>
    <w:link w:val="Closing"/>
    <w:uiPriority w:val="99"/>
    <w:semiHidden/>
    <w:rsid w:val="00EF0526"/>
    <w:rPr>
      <w:sz w:val="23"/>
    </w:rPr>
  </w:style>
  <w:style w:type="paragraph" w:styleId="CommentText">
    <w:name w:val="annotation text"/>
    <w:basedOn w:val="Normal"/>
    <w:link w:val="CommentTextChar"/>
    <w:uiPriority w:val="99"/>
    <w:semiHidden/>
    <w:unhideWhenUsed/>
    <w:rsid w:val="00EF0526"/>
  </w:style>
  <w:style w:type="character" w:customStyle="1" w:styleId="CommentTextChar">
    <w:name w:val="Comment Text Char"/>
    <w:basedOn w:val="DefaultParagraphFont"/>
    <w:link w:val="CommentText"/>
    <w:uiPriority w:val="99"/>
    <w:semiHidden/>
    <w:rsid w:val="00EF0526"/>
    <w:rPr>
      <w:sz w:val="20"/>
      <w:szCs w:val="20"/>
    </w:rPr>
  </w:style>
  <w:style w:type="paragraph" w:styleId="CommentSubject">
    <w:name w:val="annotation subject"/>
    <w:basedOn w:val="CommentText"/>
    <w:next w:val="CommentText"/>
    <w:link w:val="CommentSubjectChar"/>
    <w:uiPriority w:val="99"/>
    <w:semiHidden/>
    <w:unhideWhenUsed/>
    <w:rsid w:val="00EF0526"/>
    <w:rPr>
      <w:b/>
      <w:bCs/>
    </w:rPr>
  </w:style>
  <w:style w:type="character" w:customStyle="1" w:styleId="CommentSubjectChar">
    <w:name w:val="Comment Subject Char"/>
    <w:basedOn w:val="CommentTextChar"/>
    <w:link w:val="CommentSubject"/>
    <w:uiPriority w:val="99"/>
    <w:semiHidden/>
    <w:rsid w:val="00EF0526"/>
    <w:rPr>
      <w:b/>
      <w:bCs/>
      <w:sz w:val="20"/>
      <w:szCs w:val="20"/>
    </w:rPr>
  </w:style>
  <w:style w:type="paragraph" w:styleId="Date">
    <w:name w:val="Date"/>
    <w:basedOn w:val="Normal"/>
    <w:next w:val="Normal"/>
    <w:link w:val="DateChar"/>
    <w:uiPriority w:val="99"/>
    <w:semiHidden/>
    <w:unhideWhenUsed/>
    <w:rsid w:val="00EF0526"/>
  </w:style>
  <w:style w:type="character" w:customStyle="1" w:styleId="DateChar">
    <w:name w:val="Date Char"/>
    <w:basedOn w:val="DefaultParagraphFont"/>
    <w:link w:val="Date"/>
    <w:uiPriority w:val="99"/>
    <w:semiHidden/>
    <w:rsid w:val="00EF0526"/>
    <w:rPr>
      <w:sz w:val="23"/>
    </w:rPr>
  </w:style>
  <w:style w:type="paragraph" w:styleId="DocumentMap">
    <w:name w:val="Document Map"/>
    <w:basedOn w:val="Normal"/>
    <w:link w:val="DocumentMapChar"/>
    <w:uiPriority w:val="99"/>
    <w:semiHidden/>
    <w:unhideWhenUsed/>
    <w:rsid w:val="00EF052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0526"/>
    <w:rPr>
      <w:rFonts w:ascii="Segoe UI" w:hAnsi="Segoe UI" w:cs="Segoe UI"/>
      <w:sz w:val="16"/>
      <w:szCs w:val="16"/>
    </w:rPr>
  </w:style>
  <w:style w:type="paragraph" w:styleId="E-mailSignature">
    <w:name w:val="E-mail Signature"/>
    <w:basedOn w:val="Normal"/>
    <w:link w:val="E-mailSignatureChar"/>
    <w:uiPriority w:val="99"/>
    <w:semiHidden/>
    <w:unhideWhenUsed/>
    <w:rsid w:val="00EF0526"/>
    <w:pPr>
      <w:spacing w:before="0" w:after="0"/>
    </w:pPr>
  </w:style>
  <w:style w:type="character" w:customStyle="1" w:styleId="E-mailSignatureChar">
    <w:name w:val="E-mail Signature Char"/>
    <w:basedOn w:val="DefaultParagraphFont"/>
    <w:link w:val="E-mailSignature"/>
    <w:uiPriority w:val="99"/>
    <w:semiHidden/>
    <w:rsid w:val="00EF0526"/>
    <w:rPr>
      <w:sz w:val="23"/>
    </w:rPr>
  </w:style>
  <w:style w:type="paragraph" w:styleId="EndnoteText">
    <w:name w:val="endnote text"/>
    <w:basedOn w:val="Normal"/>
    <w:link w:val="EndnoteTextChar"/>
    <w:uiPriority w:val="99"/>
    <w:semiHidden/>
    <w:unhideWhenUsed/>
    <w:rsid w:val="00EF0526"/>
    <w:pPr>
      <w:spacing w:before="0" w:after="0"/>
    </w:pPr>
  </w:style>
  <w:style w:type="character" w:customStyle="1" w:styleId="EndnoteTextChar">
    <w:name w:val="Endnote Text Char"/>
    <w:basedOn w:val="DefaultParagraphFont"/>
    <w:link w:val="EndnoteText"/>
    <w:uiPriority w:val="99"/>
    <w:semiHidden/>
    <w:rsid w:val="00EF0526"/>
    <w:rPr>
      <w:sz w:val="20"/>
      <w:szCs w:val="20"/>
    </w:rPr>
  </w:style>
  <w:style w:type="paragraph" w:styleId="EnvelopeAddress">
    <w:name w:val="envelope address"/>
    <w:basedOn w:val="Normal"/>
    <w:uiPriority w:val="99"/>
    <w:semiHidden/>
    <w:unhideWhenUsed/>
    <w:rsid w:val="00EF0526"/>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526"/>
    <w:pPr>
      <w:spacing w:before="0"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EF0526"/>
    <w:pPr>
      <w:spacing w:before="0" w:after="0"/>
    </w:pPr>
    <w:rPr>
      <w:i/>
      <w:iCs/>
    </w:rPr>
  </w:style>
  <w:style w:type="character" w:customStyle="1" w:styleId="HTMLAddressChar">
    <w:name w:val="HTML Address Char"/>
    <w:basedOn w:val="DefaultParagraphFont"/>
    <w:link w:val="HTMLAddress"/>
    <w:uiPriority w:val="99"/>
    <w:semiHidden/>
    <w:rsid w:val="00EF0526"/>
    <w:rPr>
      <w:i/>
      <w:iCs/>
      <w:sz w:val="23"/>
    </w:rPr>
  </w:style>
  <w:style w:type="paragraph" w:styleId="HTMLPreformatted">
    <w:name w:val="HTML Preformatted"/>
    <w:basedOn w:val="Normal"/>
    <w:link w:val="HTMLPreformattedChar"/>
    <w:uiPriority w:val="99"/>
    <w:semiHidden/>
    <w:unhideWhenUsed/>
    <w:rsid w:val="00EF0526"/>
    <w:pPr>
      <w:spacing w:before="0" w:after="0"/>
    </w:pPr>
    <w:rPr>
      <w:rFonts w:ascii="Consolas" w:hAnsi="Consolas"/>
    </w:rPr>
  </w:style>
  <w:style w:type="character" w:customStyle="1" w:styleId="HTMLPreformattedChar">
    <w:name w:val="HTML Preformatted Char"/>
    <w:basedOn w:val="DefaultParagraphFont"/>
    <w:link w:val="HTMLPreformatted"/>
    <w:uiPriority w:val="99"/>
    <w:semiHidden/>
    <w:rsid w:val="00EF0526"/>
    <w:rPr>
      <w:rFonts w:ascii="Consolas" w:hAnsi="Consolas"/>
      <w:sz w:val="20"/>
      <w:szCs w:val="20"/>
    </w:rPr>
  </w:style>
  <w:style w:type="paragraph" w:styleId="Index1">
    <w:name w:val="index 1"/>
    <w:basedOn w:val="Normal"/>
    <w:next w:val="Normal"/>
    <w:autoRedefine/>
    <w:uiPriority w:val="99"/>
    <w:semiHidden/>
    <w:unhideWhenUsed/>
    <w:rsid w:val="00EF0526"/>
    <w:pPr>
      <w:spacing w:before="0" w:after="0"/>
      <w:ind w:left="230" w:hanging="230"/>
    </w:pPr>
  </w:style>
  <w:style w:type="paragraph" w:styleId="Index2">
    <w:name w:val="index 2"/>
    <w:basedOn w:val="Normal"/>
    <w:next w:val="Normal"/>
    <w:autoRedefine/>
    <w:uiPriority w:val="99"/>
    <w:semiHidden/>
    <w:unhideWhenUsed/>
    <w:rsid w:val="00EF0526"/>
    <w:pPr>
      <w:spacing w:before="0" w:after="0"/>
      <w:ind w:left="460" w:hanging="230"/>
    </w:pPr>
  </w:style>
  <w:style w:type="paragraph" w:styleId="Index3">
    <w:name w:val="index 3"/>
    <w:basedOn w:val="Normal"/>
    <w:next w:val="Normal"/>
    <w:autoRedefine/>
    <w:uiPriority w:val="99"/>
    <w:semiHidden/>
    <w:unhideWhenUsed/>
    <w:rsid w:val="00EF0526"/>
    <w:pPr>
      <w:spacing w:before="0" w:after="0"/>
      <w:ind w:left="690" w:hanging="230"/>
    </w:pPr>
  </w:style>
  <w:style w:type="paragraph" w:styleId="Index4">
    <w:name w:val="index 4"/>
    <w:basedOn w:val="Normal"/>
    <w:next w:val="Normal"/>
    <w:autoRedefine/>
    <w:uiPriority w:val="99"/>
    <w:semiHidden/>
    <w:unhideWhenUsed/>
    <w:rsid w:val="00EF0526"/>
    <w:pPr>
      <w:spacing w:before="0" w:after="0"/>
      <w:ind w:left="920" w:hanging="230"/>
    </w:pPr>
  </w:style>
  <w:style w:type="paragraph" w:styleId="Index5">
    <w:name w:val="index 5"/>
    <w:basedOn w:val="Normal"/>
    <w:next w:val="Normal"/>
    <w:autoRedefine/>
    <w:uiPriority w:val="99"/>
    <w:semiHidden/>
    <w:unhideWhenUsed/>
    <w:rsid w:val="00EF0526"/>
    <w:pPr>
      <w:spacing w:before="0" w:after="0"/>
      <w:ind w:left="1150" w:hanging="230"/>
    </w:pPr>
  </w:style>
  <w:style w:type="paragraph" w:styleId="Index6">
    <w:name w:val="index 6"/>
    <w:basedOn w:val="Normal"/>
    <w:next w:val="Normal"/>
    <w:autoRedefine/>
    <w:uiPriority w:val="99"/>
    <w:semiHidden/>
    <w:unhideWhenUsed/>
    <w:rsid w:val="00EF0526"/>
    <w:pPr>
      <w:spacing w:before="0" w:after="0"/>
      <w:ind w:left="1380" w:hanging="230"/>
    </w:pPr>
  </w:style>
  <w:style w:type="paragraph" w:styleId="Index7">
    <w:name w:val="index 7"/>
    <w:basedOn w:val="Normal"/>
    <w:next w:val="Normal"/>
    <w:autoRedefine/>
    <w:uiPriority w:val="99"/>
    <w:semiHidden/>
    <w:unhideWhenUsed/>
    <w:rsid w:val="00EF0526"/>
    <w:pPr>
      <w:spacing w:before="0" w:after="0"/>
      <w:ind w:left="1610" w:hanging="230"/>
    </w:pPr>
  </w:style>
  <w:style w:type="paragraph" w:styleId="Index8">
    <w:name w:val="index 8"/>
    <w:basedOn w:val="Normal"/>
    <w:next w:val="Normal"/>
    <w:autoRedefine/>
    <w:uiPriority w:val="99"/>
    <w:semiHidden/>
    <w:unhideWhenUsed/>
    <w:rsid w:val="00EF0526"/>
    <w:pPr>
      <w:spacing w:before="0" w:after="0"/>
      <w:ind w:left="1840" w:hanging="230"/>
    </w:pPr>
  </w:style>
  <w:style w:type="paragraph" w:styleId="Index9">
    <w:name w:val="index 9"/>
    <w:basedOn w:val="Normal"/>
    <w:next w:val="Normal"/>
    <w:autoRedefine/>
    <w:uiPriority w:val="99"/>
    <w:semiHidden/>
    <w:unhideWhenUsed/>
    <w:rsid w:val="00EF0526"/>
    <w:pPr>
      <w:spacing w:before="0" w:after="0"/>
      <w:ind w:left="2070" w:hanging="230"/>
    </w:pPr>
  </w:style>
  <w:style w:type="paragraph" w:styleId="IndexHeading">
    <w:name w:val="index heading"/>
    <w:basedOn w:val="Normal"/>
    <w:next w:val="Index1"/>
    <w:uiPriority w:val="99"/>
    <w:semiHidden/>
    <w:unhideWhenUsed/>
    <w:rsid w:val="00EF05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0343"/>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F50343"/>
    <w:rPr>
      <w:color w:val="4A66AC" w:themeColor="accent1"/>
      <w:sz w:val="24"/>
      <w:szCs w:val="24"/>
    </w:rPr>
  </w:style>
  <w:style w:type="paragraph" w:styleId="List5">
    <w:name w:val="List 5"/>
    <w:basedOn w:val="Normal"/>
    <w:uiPriority w:val="99"/>
    <w:semiHidden/>
    <w:unhideWhenUsed/>
    <w:rsid w:val="00EF0526"/>
    <w:pPr>
      <w:ind w:left="1415" w:hanging="283"/>
      <w:contextualSpacing/>
    </w:pPr>
  </w:style>
  <w:style w:type="paragraph" w:styleId="ListBullet">
    <w:name w:val="List Bullet"/>
    <w:basedOn w:val="Normal"/>
    <w:uiPriority w:val="99"/>
    <w:semiHidden/>
    <w:unhideWhenUsed/>
    <w:rsid w:val="00EF0526"/>
    <w:pPr>
      <w:numPr>
        <w:numId w:val="2"/>
      </w:numPr>
      <w:contextualSpacing/>
    </w:pPr>
  </w:style>
  <w:style w:type="paragraph" w:styleId="ListBullet2">
    <w:name w:val="List Bullet 2"/>
    <w:basedOn w:val="Normal"/>
    <w:uiPriority w:val="99"/>
    <w:semiHidden/>
    <w:unhideWhenUsed/>
    <w:rsid w:val="00EF0526"/>
    <w:pPr>
      <w:numPr>
        <w:numId w:val="3"/>
      </w:numPr>
      <w:contextualSpacing/>
    </w:pPr>
  </w:style>
  <w:style w:type="paragraph" w:styleId="ListBullet3">
    <w:name w:val="List Bullet 3"/>
    <w:basedOn w:val="Normal"/>
    <w:uiPriority w:val="99"/>
    <w:semiHidden/>
    <w:unhideWhenUsed/>
    <w:rsid w:val="00EF0526"/>
    <w:pPr>
      <w:numPr>
        <w:numId w:val="4"/>
      </w:numPr>
      <w:contextualSpacing/>
    </w:pPr>
  </w:style>
  <w:style w:type="paragraph" w:styleId="ListBullet4">
    <w:name w:val="List Bullet 4"/>
    <w:basedOn w:val="Normal"/>
    <w:uiPriority w:val="99"/>
    <w:semiHidden/>
    <w:unhideWhenUsed/>
    <w:rsid w:val="00EF0526"/>
    <w:pPr>
      <w:numPr>
        <w:numId w:val="5"/>
      </w:numPr>
      <w:contextualSpacing/>
    </w:pPr>
  </w:style>
  <w:style w:type="paragraph" w:styleId="ListBullet5">
    <w:name w:val="List Bullet 5"/>
    <w:basedOn w:val="Normal"/>
    <w:uiPriority w:val="99"/>
    <w:semiHidden/>
    <w:unhideWhenUsed/>
    <w:rsid w:val="00EF0526"/>
    <w:pPr>
      <w:numPr>
        <w:numId w:val="6"/>
      </w:numPr>
      <w:contextualSpacing/>
    </w:pPr>
  </w:style>
  <w:style w:type="paragraph" w:styleId="ListContinue">
    <w:name w:val="List Continue"/>
    <w:basedOn w:val="Normal"/>
    <w:uiPriority w:val="99"/>
    <w:semiHidden/>
    <w:unhideWhenUsed/>
    <w:rsid w:val="00EF0526"/>
    <w:pPr>
      <w:spacing w:after="120"/>
      <w:ind w:left="283"/>
      <w:contextualSpacing/>
    </w:pPr>
  </w:style>
  <w:style w:type="paragraph" w:styleId="ListContinue2">
    <w:name w:val="List Continue 2"/>
    <w:basedOn w:val="Normal"/>
    <w:uiPriority w:val="99"/>
    <w:semiHidden/>
    <w:unhideWhenUsed/>
    <w:rsid w:val="00EF0526"/>
    <w:pPr>
      <w:spacing w:after="120"/>
      <w:ind w:left="566"/>
      <w:contextualSpacing/>
    </w:pPr>
  </w:style>
  <w:style w:type="paragraph" w:styleId="ListContinue3">
    <w:name w:val="List Continue 3"/>
    <w:basedOn w:val="Normal"/>
    <w:uiPriority w:val="99"/>
    <w:semiHidden/>
    <w:unhideWhenUsed/>
    <w:rsid w:val="00EF0526"/>
    <w:pPr>
      <w:spacing w:after="120"/>
      <w:ind w:left="849"/>
      <w:contextualSpacing/>
    </w:pPr>
  </w:style>
  <w:style w:type="paragraph" w:styleId="ListContinue4">
    <w:name w:val="List Continue 4"/>
    <w:basedOn w:val="Normal"/>
    <w:uiPriority w:val="99"/>
    <w:semiHidden/>
    <w:unhideWhenUsed/>
    <w:rsid w:val="00EF0526"/>
    <w:pPr>
      <w:spacing w:after="120"/>
      <w:ind w:left="1132"/>
      <w:contextualSpacing/>
    </w:pPr>
  </w:style>
  <w:style w:type="paragraph" w:styleId="ListContinue5">
    <w:name w:val="List Continue 5"/>
    <w:basedOn w:val="Normal"/>
    <w:uiPriority w:val="99"/>
    <w:semiHidden/>
    <w:unhideWhenUsed/>
    <w:rsid w:val="00EF0526"/>
    <w:pPr>
      <w:spacing w:after="120"/>
      <w:ind w:left="1415"/>
      <w:contextualSpacing/>
    </w:pPr>
  </w:style>
  <w:style w:type="paragraph" w:styleId="ListNumber">
    <w:name w:val="List Number"/>
    <w:basedOn w:val="Normal"/>
    <w:uiPriority w:val="99"/>
    <w:semiHidden/>
    <w:unhideWhenUsed/>
    <w:rsid w:val="00EF0526"/>
    <w:pPr>
      <w:numPr>
        <w:numId w:val="7"/>
      </w:numPr>
      <w:contextualSpacing/>
    </w:pPr>
  </w:style>
  <w:style w:type="paragraph" w:styleId="ListNumber2">
    <w:name w:val="List Number 2"/>
    <w:basedOn w:val="Normal"/>
    <w:uiPriority w:val="99"/>
    <w:unhideWhenUsed/>
    <w:rsid w:val="00180FBB"/>
    <w:pPr>
      <w:numPr>
        <w:ilvl w:val="1"/>
        <w:numId w:val="15"/>
      </w:numPr>
      <w:spacing w:before="120" w:after="120" w:line="360" w:lineRule="auto"/>
      <w:jc w:val="both"/>
    </w:pPr>
    <w:rPr>
      <w:sz w:val="23"/>
    </w:rPr>
  </w:style>
  <w:style w:type="paragraph" w:styleId="ListNumber3">
    <w:name w:val="List Number 3"/>
    <w:basedOn w:val="Normal"/>
    <w:uiPriority w:val="99"/>
    <w:unhideWhenUsed/>
    <w:rsid w:val="00C20763"/>
    <w:pPr>
      <w:numPr>
        <w:ilvl w:val="2"/>
        <w:numId w:val="15"/>
      </w:numPr>
      <w:spacing w:before="120" w:after="120" w:line="360" w:lineRule="auto"/>
      <w:jc w:val="both"/>
    </w:pPr>
    <w:rPr>
      <w:sz w:val="23"/>
    </w:rPr>
  </w:style>
  <w:style w:type="paragraph" w:styleId="ListNumber4">
    <w:name w:val="List Number 4"/>
    <w:basedOn w:val="Normal"/>
    <w:uiPriority w:val="99"/>
    <w:semiHidden/>
    <w:unhideWhenUsed/>
    <w:rsid w:val="00EF0526"/>
    <w:pPr>
      <w:numPr>
        <w:numId w:val="8"/>
      </w:numPr>
      <w:contextualSpacing/>
    </w:pPr>
  </w:style>
  <w:style w:type="paragraph" w:styleId="ListNumber5">
    <w:name w:val="List Number 5"/>
    <w:basedOn w:val="Normal"/>
    <w:uiPriority w:val="99"/>
    <w:semiHidden/>
    <w:unhideWhenUsed/>
    <w:rsid w:val="00EF0526"/>
    <w:pPr>
      <w:numPr>
        <w:numId w:val="9"/>
      </w:numPr>
      <w:contextualSpacing/>
    </w:pPr>
  </w:style>
  <w:style w:type="paragraph" w:styleId="MacroText">
    <w:name w:val="macro"/>
    <w:link w:val="MacroTextChar"/>
    <w:uiPriority w:val="99"/>
    <w:semiHidden/>
    <w:unhideWhenUsed/>
    <w:rsid w:val="00EF05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croTextChar">
    <w:name w:val="Macro Text Char"/>
    <w:basedOn w:val="DefaultParagraphFont"/>
    <w:link w:val="MacroText"/>
    <w:uiPriority w:val="99"/>
    <w:semiHidden/>
    <w:rsid w:val="00EF0526"/>
    <w:rPr>
      <w:rFonts w:ascii="Consolas" w:hAnsi="Consolas"/>
      <w:sz w:val="20"/>
      <w:szCs w:val="20"/>
    </w:rPr>
  </w:style>
  <w:style w:type="paragraph" w:styleId="MessageHeader">
    <w:name w:val="Message Header"/>
    <w:basedOn w:val="Normal"/>
    <w:link w:val="MessageHeaderChar"/>
    <w:uiPriority w:val="99"/>
    <w:semiHidden/>
    <w:unhideWhenUsed/>
    <w:rsid w:val="00EF052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0526"/>
    <w:rPr>
      <w:rFonts w:asciiTheme="majorHAnsi" w:eastAsiaTheme="majorEastAsia" w:hAnsiTheme="majorHAnsi" w:cstheme="majorBidi"/>
      <w:sz w:val="24"/>
      <w:szCs w:val="24"/>
      <w:shd w:val="pct20" w:color="auto" w:fill="auto"/>
    </w:rPr>
  </w:style>
  <w:style w:type="paragraph" w:styleId="NoSpacing">
    <w:name w:val="No Spacing"/>
    <w:uiPriority w:val="1"/>
    <w:qFormat/>
    <w:rsid w:val="00F50343"/>
    <w:pPr>
      <w:spacing w:after="0" w:line="240" w:lineRule="auto"/>
    </w:pPr>
  </w:style>
  <w:style w:type="paragraph" w:styleId="NormalWeb">
    <w:name w:val="Normal (Web)"/>
    <w:basedOn w:val="Normal"/>
    <w:uiPriority w:val="99"/>
    <w:semiHidden/>
    <w:unhideWhenUsed/>
    <w:rsid w:val="00EF0526"/>
    <w:rPr>
      <w:sz w:val="24"/>
      <w:szCs w:val="24"/>
    </w:rPr>
  </w:style>
  <w:style w:type="paragraph" w:styleId="NormalIndent">
    <w:name w:val="Normal Indent"/>
    <w:basedOn w:val="Normal"/>
    <w:uiPriority w:val="99"/>
    <w:semiHidden/>
    <w:unhideWhenUsed/>
    <w:rsid w:val="00EF0526"/>
    <w:pPr>
      <w:ind w:left="720"/>
    </w:pPr>
  </w:style>
  <w:style w:type="paragraph" w:styleId="NoteHeading">
    <w:name w:val="Note Heading"/>
    <w:basedOn w:val="Normal"/>
    <w:next w:val="Normal"/>
    <w:link w:val="NoteHeadingChar"/>
    <w:uiPriority w:val="99"/>
    <w:semiHidden/>
    <w:unhideWhenUsed/>
    <w:rsid w:val="00EF0526"/>
    <w:pPr>
      <w:spacing w:before="0" w:after="0"/>
    </w:pPr>
  </w:style>
  <w:style w:type="character" w:customStyle="1" w:styleId="NoteHeadingChar">
    <w:name w:val="Note Heading Char"/>
    <w:basedOn w:val="DefaultParagraphFont"/>
    <w:link w:val="NoteHeading"/>
    <w:uiPriority w:val="99"/>
    <w:semiHidden/>
    <w:rsid w:val="00EF0526"/>
    <w:rPr>
      <w:sz w:val="23"/>
    </w:rPr>
  </w:style>
  <w:style w:type="paragraph" w:styleId="PlainText">
    <w:name w:val="Plain Text"/>
    <w:basedOn w:val="Normal"/>
    <w:link w:val="PlainTextChar"/>
    <w:uiPriority w:val="99"/>
    <w:semiHidden/>
    <w:unhideWhenUsed/>
    <w:rsid w:val="00EF0526"/>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F0526"/>
    <w:rPr>
      <w:rFonts w:ascii="Consolas" w:hAnsi="Consolas"/>
      <w:sz w:val="21"/>
      <w:szCs w:val="21"/>
    </w:rPr>
  </w:style>
  <w:style w:type="paragraph" w:styleId="Salutation">
    <w:name w:val="Salutation"/>
    <w:basedOn w:val="Normal"/>
    <w:next w:val="Normal"/>
    <w:link w:val="SalutationChar"/>
    <w:uiPriority w:val="99"/>
    <w:semiHidden/>
    <w:unhideWhenUsed/>
    <w:rsid w:val="00EF0526"/>
  </w:style>
  <w:style w:type="character" w:customStyle="1" w:styleId="SalutationChar">
    <w:name w:val="Salutation Char"/>
    <w:basedOn w:val="DefaultParagraphFont"/>
    <w:link w:val="Salutation"/>
    <w:uiPriority w:val="99"/>
    <w:semiHidden/>
    <w:rsid w:val="00EF0526"/>
    <w:rPr>
      <w:sz w:val="23"/>
    </w:rPr>
  </w:style>
  <w:style w:type="paragraph" w:styleId="Signature">
    <w:name w:val="Signature"/>
    <w:basedOn w:val="Normal"/>
    <w:link w:val="SignatureChar"/>
    <w:uiPriority w:val="99"/>
    <w:semiHidden/>
    <w:unhideWhenUsed/>
    <w:rsid w:val="00EF0526"/>
    <w:pPr>
      <w:spacing w:before="0" w:after="0"/>
      <w:ind w:left="4252"/>
    </w:pPr>
  </w:style>
  <w:style w:type="character" w:customStyle="1" w:styleId="SignatureChar">
    <w:name w:val="Signature Char"/>
    <w:basedOn w:val="DefaultParagraphFont"/>
    <w:link w:val="Signature"/>
    <w:uiPriority w:val="99"/>
    <w:semiHidden/>
    <w:rsid w:val="00EF0526"/>
    <w:rPr>
      <w:sz w:val="23"/>
    </w:rPr>
  </w:style>
  <w:style w:type="paragraph" w:styleId="Subtitle">
    <w:name w:val="Subtitle"/>
    <w:basedOn w:val="Title"/>
    <w:next w:val="Normal"/>
    <w:link w:val="SubtitleChar"/>
    <w:uiPriority w:val="11"/>
    <w:qFormat/>
    <w:rsid w:val="00B50787"/>
    <w:pPr>
      <w:jc w:val="center"/>
    </w:pPr>
    <w:rPr>
      <w:rFonts w:ascii="Arial Narrow" w:hAnsi="Arial Narrow"/>
      <w:caps w:val="0"/>
      <w:sz w:val="48"/>
      <w:szCs w:val="48"/>
    </w:rPr>
  </w:style>
  <w:style w:type="character" w:customStyle="1" w:styleId="SubtitleChar">
    <w:name w:val="Subtitle Char"/>
    <w:basedOn w:val="DefaultParagraphFont"/>
    <w:link w:val="Subtitle"/>
    <w:uiPriority w:val="11"/>
    <w:rsid w:val="00B50787"/>
    <w:rPr>
      <w:rFonts w:ascii="Arial Narrow" w:eastAsiaTheme="majorEastAsia" w:hAnsi="Arial Narrow" w:cstheme="majorBidi"/>
      <w:color w:val="4A66AC" w:themeColor="accent1"/>
      <w:spacing w:val="10"/>
      <w:sz w:val="48"/>
      <w:szCs w:val="48"/>
    </w:rPr>
  </w:style>
  <w:style w:type="paragraph" w:styleId="TableofAuthorities">
    <w:name w:val="table of authorities"/>
    <w:basedOn w:val="Normal"/>
    <w:next w:val="Normal"/>
    <w:uiPriority w:val="99"/>
    <w:semiHidden/>
    <w:unhideWhenUsed/>
    <w:rsid w:val="00EF0526"/>
    <w:pPr>
      <w:spacing w:after="0"/>
      <w:ind w:left="230" w:hanging="230"/>
    </w:pPr>
  </w:style>
  <w:style w:type="paragraph" w:styleId="TableofFigures">
    <w:name w:val="table of figures"/>
    <w:basedOn w:val="Normal"/>
    <w:next w:val="Normal"/>
    <w:uiPriority w:val="99"/>
    <w:semiHidden/>
    <w:unhideWhenUsed/>
    <w:rsid w:val="00EF0526"/>
    <w:pPr>
      <w:spacing w:after="0"/>
    </w:pPr>
  </w:style>
  <w:style w:type="paragraph" w:styleId="Title">
    <w:name w:val="Title"/>
    <w:basedOn w:val="Normal"/>
    <w:next w:val="Normal"/>
    <w:link w:val="TitleChar"/>
    <w:uiPriority w:val="10"/>
    <w:qFormat/>
    <w:rsid w:val="00F5034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F50343"/>
    <w:rPr>
      <w:rFonts w:asciiTheme="majorHAnsi" w:eastAsiaTheme="majorEastAsia" w:hAnsiTheme="majorHAnsi" w:cstheme="majorBidi"/>
      <w:caps/>
      <w:color w:val="4A66AC" w:themeColor="accent1"/>
      <w:spacing w:val="10"/>
      <w:sz w:val="52"/>
      <w:szCs w:val="52"/>
    </w:rPr>
  </w:style>
  <w:style w:type="paragraph" w:styleId="TOAHeading">
    <w:name w:val="toa heading"/>
    <w:basedOn w:val="Normal"/>
    <w:next w:val="Normal"/>
    <w:uiPriority w:val="99"/>
    <w:semiHidden/>
    <w:unhideWhenUsed/>
    <w:rsid w:val="00EF052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qFormat/>
    <w:rsid w:val="000D7D69"/>
    <w:pPr>
      <w:spacing w:after="100"/>
    </w:pPr>
    <w:rPr>
      <w:b/>
      <w:caps/>
    </w:rPr>
  </w:style>
  <w:style w:type="paragraph" w:styleId="TOC5">
    <w:name w:val="toc 5"/>
    <w:basedOn w:val="Normal"/>
    <w:next w:val="Normal"/>
    <w:autoRedefine/>
    <w:uiPriority w:val="39"/>
    <w:unhideWhenUsed/>
    <w:rsid w:val="00EF0526"/>
    <w:pPr>
      <w:spacing w:after="100"/>
      <w:ind w:left="920"/>
    </w:pPr>
  </w:style>
  <w:style w:type="paragraph" w:styleId="TOC6">
    <w:name w:val="toc 6"/>
    <w:basedOn w:val="Normal"/>
    <w:next w:val="Normal"/>
    <w:autoRedefine/>
    <w:uiPriority w:val="39"/>
    <w:unhideWhenUsed/>
    <w:rsid w:val="00EF0526"/>
    <w:pPr>
      <w:spacing w:after="100"/>
      <w:ind w:left="1150"/>
    </w:pPr>
  </w:style>
  <w:style w:type="paragraph" w:styleId="TOC7">
    <w:name w:val="toc 7"/>
    <w:basedOn w:val="Normal"/>
    <w:next w:val="Normal"/>
    <w:autoRedefine/>
    <w:uiPriority w:val="39"/>
    <w:unhideWhenUsed/>
    <w:rsid w:val="00EF0526"/>
    <w:pPr>
      <w:spacing w:after="100"/>
      <w:ind w:left="1380"/>
    </w:pPr>
  </w:style>
  <w:style w:type="paragraph" w:styleId="TOC8">
    <w:name w:val="toc 8"/>
    <w:basedOn w:val="Normal"/>
    <w:next w:val="Normal"/>
    <w:autoRedefine/>
    <w:uiPriority w:val="39"/>
    <w:unhideWhenUsed/>
    <w:rsid w:val="00EF0526"/>
    <w:pPr>
      <w:spacing w:after="100"/>
      <w:ind w:left="1610"/>
    </w:pPr>
  </w:style>
  <w:style w:type="paragraph" w:styleId="TOC9">
    <w:name w:val="toc 9"/>
    <w:basedOn w:val="Normal"/>
    <w:next w:val="Normal"/>
    <w:autoRedefine/>
    <w:uiPriority w:val="39"/>
    <w:unhideWhenUsed/>
    <w:rsid w:val="00EF0526"/>
    <w:pPr>
      <w:spacing w:after="100"/>
      <w:ind w:left="1840"/>
    </w:pPr>
  </w:style>
  <w:style w:type="character" w:styleId="Strong">
    <w:name w:val="Strong"/>
    <w:uiPriority w:val="22"/>
    <w:qFormat/>
    <w:rsid w:val="00F50343"/>
    <w:rPr>
      <w:b/>
      <w:bCs/>
    </w:rPr>
  </w:style>
  <w:style w:type="character" w:styleId="Emphasis">
    <w:name w:val="Emphasis"/>
    <w:uiPriority w:val="20"/>
    <w:qFormat/>
    <w:rsid w:val="00F50343"/>
    <w:rPr>
      <w:caps/>
      <w:color w:val="243255" w:themeColor="accent1" w:themeShade="7F"/>
      <w:spacing w:val="5"/>
    </w:rPr>
  </w:style>
  <w:style w:type="character" w:styleId="SubtleEmphasis">
    <w:name w:val="Subtle Emphasis"/>
    <w:uiPriority w:val="19"/>
    <w:qFormat/>
    <w:rsid w:val="00B50787"/>
    <w:rPr>
      <w:rFonts w:ascii="Arial Narrow" w:hAnsi="Arial Narrow"/>
      <w:sz w:val="40"/>
      <w:szCs w:val="40"/>
      <w:lang w:val="en-US"/>
    </w:rPr>
  </w:style>
  <w:style w:type="character" w:styleId="IntenseEmphasis">
    <w:name w:val="Intense Emphasis"/>
    <w:uiPriority w:val="21"/>
    <w:qFormat/>
    <w:rsid w:val="00F50343"/>
    <w:rPr>
      <w:b/>
      <w:bCs/>
      <w:caps/>
      <w:color w:val="243255" w:themeColor="accent1" w:themeShade="7F"/>
      <w:spacing w:val="10"/>
    </w:rPr>
  </w:style>
  <w:style w:type="character" w:styleId="SubtleReference">
    <w:name w:val="Subtle Reference"/>
    <w:uiPriority w:val="31"/>
    <w:qFormat/>
    <w:rsid w:val="00F50343"/>
    <w:rPr>
      <w:b/>
      <w:bCs/>
      <w:color w:val="4A66AC" w:themeColor="accent1"/>
    </w:rPr>
  </w:style>
  <w:style w:type="character" w:styleId="IntenseReference">
    <w:name w:val="Intense Reference"/>
    <w:uiPriority w:val="32"/>
    <w:qFormat/>
    <w:rsid w:val="00F50343"/>
    <w:rPr>
      <w:b/>
      <w:bCs/>
      <w:i/>
      <w:iCs/>
      <w:caps/>
      <w:color w:val="4A66A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218">
      <w:bodyDiv w:val="1"/>
      <w:marLeft w:val="0"/>
      <w:marRight w:val="0"/>
      <w:marTop w:val="0"/>
      <w:marBottom w:val="0"/>
      <w:divBdr>
        <w:top w:val="none" w:sz="0" w:space="0" w:color="auto"/>
        <w:left w:val="none" w:sz="0" w:space="0" w:color="auto"/>
        <w:bottom w:val="none" w:sz="0" w:space="0" w:color="auto"/>
        <w:right w:val="none" w:sz="0" w:space="0" w:color="auto"/>
      </w:divBdr>
    </w:div>
    <w:div w:id="52428848">
      <w:bodyDiv w:val="1"/>
      <w:marLeft w:val="0"/>
      <w:marRight w:val="0"/>
      <w:marTop w:val="0"/>
      <w:marBottom w:val="0"/>
      <w:divBdr>
        <w:top w:val="none" w:sz="0" w:space="0" w:color="auto"/>
        <w:left w:val="none" w:sz="0" w:space="0" w:color="auto"/>
        <w:bottom w:val="none" w:sz="0" w:space="0" w:color="auto"/>
        <w:right w:val="none" w:sz="0" w:space="0" w:color="auto"/>
      </w:divBdr>
    </w:div>
    <w:div w:id="243498074">
      <w:bodyDiv w:val="1"/>
      <w:marLeft w:val="0"/>
      <w:marRight w:val="0"/>
      <w:marTop w:val="0"/>
      <w:marBottom w:val="0"/>
      <w:divBdr>
        <w:top w:val="none" w:sz="0" w:space="0" w:color="auto"/>
        <w:left w:val="none" w:sz="0" w:space="0" w:color="auto"/>
        <w:bottom w:val="none" w:sz="0" w:space="0" w:color="auto"/>
        <w:right w:val="none" w:sz="0" w:space="0" w:color="auto"/>
      </w:divBdr>
    </w:div>
    <w:div w:id="246889885">
      <w:bodyDiv w:val="1"/>
      <w:marLeft w:val="0"/>
      <w:marRight w:val="0"/>
      <w:marTop w:val="0"/>
      <w:marBottom w:val="0"/>
      <w:divBdr>
        <w:top w:val="none" w:sz="0" w:space="0" w:color="auto"/>
        <w:left w:val="none" w:sz="0" w:space="0" w:color="auto"/>
        <w:bottom w:val="none" w:sz="0" w:space="0" w:color="auto"/>
        <w:right w:val="none" w:sz="0" w:space="0" w:color="auto"/>
      </w:divBdr>
    </w:div>
    <w:div w:id="564489629">
      <w:bodyDiv w:val="1"/>
      <w:marLeft w:val="0"/>
      <w:marRight w:val="0"/>
      <w:marTop w:val="0"/>
      <w:marBottom w:val="0"/>
      <w:divBdr>
        <w:top w:val="none" w:sz="0" w:space="0" w:color="auto"/>
        <w:left w:val="none" w:sz="0" w:space="0" w:color="auto"/>
        <w:bottom w:val="none" w:sz="0" w:space="0" w:color="auto"/>
        <w:right w:val="none" w:sz="0" w:space="0" w:color="auto"/>
      </w:divBdr>
    </w:div>
    <w:div w:id="643505426">
      <w:bodyDiv w:val="1"/>
      <w:marLeft w:val="0"/>
      <w:marRight w:val="0"/>
      <w:marTop w:val="0"/>
      <w:marBottom w:val="0"/>
      <w:divBdr>
        <w:top w:val="none" w:sz="0" w:space="0" w:color="auto"/>
        <w:left w:val="none" w:sz="0" w:space="0" w:color="auto"/>
        <w:bottom w:val="none" w:sz="0" w:space="0" w:color="auto"/>
        <w:right w:val="none" w:sz="0" w:space="0" w:color="auto"/>
      </w:divBdr>
    </w:div>
    <w:div w:id="853032103">
      <w:bodyDiv w:val="1"/>
      <w:marLeft w:val="0"/>
      <w:marRight w:val="0"/>
      <w:marTop w:val="0"/>
      <w:marBottom w:val="0"/>
      <w:divBdr>
        <w:top w:val="none" w:sz="0" w:space="0" w:color="auto"/>
        <w:left w:val="none" w:sz="0" w:space="0" w:color="auto"/>
        <w:bottom w:val="none" w:sz="0" w:space="0" w:color="auto"/>
        <w:right w:val="none" w:sz="0" w:space="0" w:color="auto"/>
      </w:divBdr>
    </w:div>
    <w:div w:id="952127622">
      <w:bodyDiv w:val="1"/>
      <w:marLeft w:val="0"/>
      <w:marRight w:val="0"/>
      <w:marTop w:val="0"/>
      <w:marBottom w:val="0"/>
      <w:divBdr>
        <w:top w:val="none" w:sz="0" w:space="0" w:color="auto"/>
        <w:left w:val="none" w:sz="0" w:space="0" w:color="auto"/>
        <w:bottom w:val="none" w:sz="0" w:space="0" w:color="auto"/>
        <w:right w:val="none" w:sz="0" w:space="0" w:color="auto"/>
      </w:divBdr>
    </w:div>
    <w:div w:id="985745405">
      <w:bodyDiv w:val="1"/>
      <w:marLeft w:val="0"/>
      <w:marRight w:val="0"/>
      <w:marTop w:val="0"/>
      <w:marBottom w:val="0"/>
      <w:divBdr>
        <w:top w:val="none" w:sz="0" w:space="0" w:color="auto"/>
        <w:left w:val="none" w:sz="0" w:space="0" w:color="auto"/>
        <w:bottom w:val="none" w:sz="0" w:space="0" w:color="auto"/>
        <w:right w:val="none" w:sz="0" w:space="0" w:color="auto"/>
      </w:divBdr>
    </w:div>
    <w:div w:id="999892365">
      <w:bodyDiv w:val="1"/>
      <w:marLeft w:val="0"/>
      <w:marRight w:val="0"/>
      <w:marTop w:val="0"/>
      <w:marBottom w:val="0"/>
      <w:divBdr>
        <w:top w:val="none" w:sz="0" w:space="0" w:color="auto"/>
        <w:left w:val="none" w:sz="0" w:space="0" w:color="auto"/>
        <w:bottom w:val="none" w:sz="0" w:space="0" w:color="auto"/>
        <w:right w:val="none" w:sz="0" w:space="0" w:color="auto"/>
      </w:divBdr>
    </w:div>
    <w:div w:id="1120882547">
      <w:bodyDiv w:val="1"/>
      <w:marLeft w:val="0"/>
      <w:marRight w:val="0"/>
      <w:marTop w:val="0"/>
      <w:marBottom w:val="0"/>
      <w:divBdr>
        <w:top w:val="none" w:sz="0" w:space="0" w:color="auto"/>
        <w:left w:val="none" w:sz="0" w:space="0" w:color="auto"/>
        <w:bottom w:val="none" w:sz="0" w:space="0" w:color="auto"/>
        <w:right w:val="none" w:sz="0" w:space="0" w:color="auto"/>
      </w:divBdr>
    </w:div>
    <w:div w:id="1359506667">
      <w:bodyDiv w:val="1"/>
      <w:marLeft w:val="0"/>
      <w:marRight w:val="0"/>
      <w:marTop w:val="0"/>
      <w:marBottom w:val="0"/>
      <w:divBdr>
        <w:top w:val="none" w:sz="0" w:space="0" w:color="auto"/>
        <w:left w:val="none" w:sz="0" w:space="0" w:color="auto"/>
        <w:bottom w:val="none" w:sz="0" w:space="0" w:color="auto"/>
        <w:right w:val="none" w:sz="0" w:space="0" w:color="auto"/>
      </w:divBdr>
    </w:div>
    <w:div w:id="1383940747">
      <w:bodyDiv w:val="1"/>
      <w:marLeft w:val="0"/>
      <w:marRight w:val="0"/>
      <w:marTop w:val="0"/>
      <w:marBottom w:val="0"/>
      <w:divBdr>
        <w:top w:val="none" w:sz="0" w:space="0" w:color="auto"/>
        <w:left w:val="none" w:sz="0" w:space="0" w:color="auto"/>
        <w:bottom w:val="none" w:sz="0" w:space="0" w:color="auto"/>
        <w:right w:val="none" w:sz="0" w:space="0" w:color="auto"/>
      </w:divBdr>
    </w:div>
    <w:div w:id="1512835583">
      <w:bodyDiv w:val="1"/>
      <w:marLeft w:val="0"/>
      <w:marRight w:val="0"/>
      <w:marTop w:val="0"/>
      <w:marBottom w:val="0"/>
      <w:divBdr>
        <w:top w:val="none" w:sz="0" w:space="0" w:color="auto"/>
        <w:left w:val="none" w:sz="0" w:space="0" w:color="auto"/>
        <w:bottom w:val="none" w:sz="0" w:space="0" w:color="auto"/>
        <w:right w:val="none" w:sz="0" w:space="0" w:color="auto"/>
      </w:divBdr>
    </w:div>
    <w:div w:id="1527210945">
      <w:bodyDiv w:val="1"/>
      <w:marLeft w:val="0"/>
      <w:marRight w:val="0"/>
      <w:marTop w:val="0"/>
      <w:marBottom w:val="0"/>
      <w:divBdr>
        <w:top w:val="none" w:sz="0" w:space="0" w:color="auto"/>
        <w:left w:val="none" w:sz="0" w:space="0" w:color="auto"/>
        <w:bottom w:val="none" w:sz="0" w:space="0" w:color="auto"/>
        <w:right w:val="none" w:sz="0" w:space="0" w:color="auto"/>
      </w:divBdr>
    </w:div>
    <w:div w:id="1597863788">
      <w:bodyDiv w:val="1"/>
      <w:marLeft w:val="0"/>
      <w:marRight w:val="0"/>
      <w:marTop w:val="0"/>
      <w:marBottom w:val="0"/>
      <w:divBdr>
        <w:top w:val="none" w:sz="0" w:space="0" w:color="auto"/>
        <w:left w:val="none" w:sz="0" w:space="0" w:color="auto"/>
        <w:bottom w:val="none" w:sz="0" w:space="0" w:color="auto"/>
        <w:right w:val="none" w:sz="0" w:space="0" w:color="auto"/>
      </w:divBdr>
    </w:div>
    <w:div w:id="1682582916">
      <w:bodyDiv w:val="1"/>
      <w:marLeft w:val="0"/>
      <w:marRight w:val="0"/>
      <w:marTop w:val="0"/>
      <w:marBottom w:val="0"/>
      <w:divBdr>
        <w:top w:val="none" w:sz="0" w:space="0" w:color="auto"/>
        <w:left w:val="none" w:sz="0" w:space="0" w:color="auto"/>
        <w:bottom w:val="none" w:sz="0" w:space="0" w:color="auto"/>
        <w:right w:val="none" w:sz="0" w:space="0" w:color="auto"/>
      </w:divBdr>
    </w:div>
    <w:div w:id="1763182240">
      <w:bodyDiv w:val="1"/>
      <w:marLeft w:val="0"/>
      <w:marRight w:val="0"/>
      <w:marTop w:val="0"/>
      <w:marBottom w:val="0"/>
      <w:divBdr>
        <w:top w:val="none" w:sz="0" w:space="0" w:color="auto"/>
        <w:left w:val="none" w:sz="0" w:space="0" w:color="auto"/>
        <w:bottom w:val="none" w:sz="0" w:space="0" w:color="auto"/>
        <w:right w:val="none" w:sz="0" w:space="0" w:color="auto"/>
      </w:divBdr>
    </w:div>
    <w:div w:id="1987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our-work/chapter-9-record-keeping-effectively-preventing-and-responding-sexual-harassment-code" TargetMode="External"/><Relationship Id="rId2" Type="http://schemas.openxmlformats.org/officeDocument/2006/relationships/hyperlink" Target="https://www.washingtonpost.com/world/national-security/prominent-appeals-court-judge-alex-kozinski-accused-of-sexual-misconduct/2017/12/08/1763e2b8-d913-11e7-a841-2066faf731ef_story.html" TargetMode="External"/><Relationship Id="rId1" Type="http://schemas.openxmlformats.org/officeDocument/2006/relationships/hyperlink" Target="https://lsbc.vic.gov.au/resources/report-sexual-harassment-study"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CBFDEA46B5E4BB2066E4B7DECA515" ma:contentTypeVersion="14" ma:contentTypeDescription="Create a new document." ma:contentTypeScope="" ma:versionID="21bb3b0cc088851191a63e513f5855f8">
  <xsd:schema xmlns:xsd="http://www.w3.org/2001/XMLSchema" xmlns:xs="http://www.w3.org/2001/XMLSchema" xmlns:p="http://schemas.microsoft.com/office/2006/metadata/properties" xmlns:ns2="028d6c07-48eb-4923-958f-1b96176d44b6" xmlns:ns3="1b6b68b1-b79e-4120-8c2d-262d412808a0" targetNamespace="http://schemas.microsoft.com/office/2006/metadata/properties" ma:root="true" ma:fieldsID="d97146ce7b11f521a5f94e1bb8ddc854" ns2:_="" ns3:_="">
    <xsd:import namespace="028d6c07-48eb-4923-958f-1b96176d44b6"/>
    <xsd:import namespace="1b6b68b1-b79e-4120-8c2d-262d4128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c07-48eb-4923-958f-1b96176d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6b68b1-b79e-4120-8c2d-262d412808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b15159-ca6e-4c89-b56f-868dc971f7ba}" ma:internalName="TaxCatchAll" ma:showField="CatchAllData" ma:web="1b6b68b1-b79e-4120-8c2d-262d41280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6b68b1-b79e-4120-8c2d-262d412808a0" xsi:nil="true"/>
    <lcf76f155ced4ddcb4097134ff3c332f xmlns="028d6c07-48eb-4923-958f-1b96176d44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DFD8-8F6D-48E2-AA59-6BD7C280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c07-48eb-4923-958f-1b96176d44b6"/>
    <ds:schemaRef ds:uri="1b6b68b1-b79e-4120-8c2d-262d4128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A8158-E674-4552-89A1-429663B0777F}">
  <ds:schemaRefs>
    <ds:schemaRef ds:uri="http://schemas.microsoft.com/sharepoint/v3/contenttype/forms"/>
  </ds:schemaRefs>
</ds:datastoreItem>
</file>

<file path=customXml/itemProps3.xml><?xml version="1.0" encoding="utf-8"?>
<ds:datastoreItem xmlns:ds="http://schemas.openxmlformats.org/officeDocument/2006/customXml" ds:itemID="{8D6B1138-2A78-44A1-90DA-0008380514EA}">
  <ds:schemaRefs>
    <ds:schemaRef ds:uri="http://schemas.microsoft.com/office/2006/metadata/properties"/>
    <ds:schemaRef ds:uri="http://schemas.microsoft.com/office/infopath/2007/PartnerControls"/>
    <ds:schemaRef ds:uri="1b6b68b1-b79e-4120-8c2d-262d412808a0"/>
    <ds:schemaRef ds:uri="028d6c07-48eb-4923-958f-1b96176d44b6"/>
  </ds:schemaRefs>
</ds:datastoreItem>
</file>

<file path=customXml/itemProps4.xml><?xml version="1.0" encoding="utf-8"?>
<ds:datastoreItem xmlns:ds="http://schemas.openxmlformats.org/officeDocument/2006/customXml" ds:itemID="{7C9382DD-09A6-4828-B7C0-FB643F35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50455</Words>
  <Characters>278588</Characters>
  <Application>Microsoft Office Word</Application>
  <DocSecurity>0</DocSecurity>
  <Lines>4285</Lines>
  <Paragraphs>1146</Paragraphs>
  <ScaleCrop>false</ScaleCrop>
  <Company/>
  <LinksUpToDate>false</LinksUpToDate>
  <CharactersWithSpaces>327897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2022-10-16T04:35:00Z</dcterms:created>
  <dcterms:modified xsi:type="dcterms:W3CDTF">2022-10-17T02:43:00Z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0x010100724CBFDEA46B5E4BB2066E4B7DECA515</vt:lpwstr>
  </property>
  <property fmtid="{D5CDD505-2E9C-101B-9397-08002B2CF9AE}" pid="3" name="MediaServiceImageTags">
    <vt:lpwstr/>
  </property>
</Properties>
</file>