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F125" w14:textId="31FCDF6E" w:rsidR="00EE5532" w:rsidRDefault="006746F3" w:rsidP="0026743D">
      <w:pPr>
        <w:spacing w:after="2640"/>
        <w:jc w:val="right"/>
      </w:pPr>
      <w:r>
        <w:rPr>
          <w:noProof/>
        </w:rPr>
        <w:drawing>
          <wp:inline distT="0" distB="0" distL="0" distR="0" wp14:anchorId="2821029A" wp14:editId="51691678">
            <wp:extent cx="2084832" cy="938784"/>
            <wp:effectExtent l="0" t="0" r="0" b="0"/>
            <wp:docPr id="2" name="Picture 2" descr="Court Servic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84832" cy="938784"/>
                    </a:xfrm>
                    <a:prstGeom prst="rect">
                      <a:avLst/>
                    </a:prstGeom>
                  </pic:spPr>
                </pic:pic>
              </a:graphicData>
            </a:graphic>
          </wp:inline>
        </w:drawing>
      </w:r>
    </w:p>
    <w:p w14:paraId="333ECC3F" w14:textId="59088A53" w:rsidR="00B21199" w:rsidRDefault="008E276E" w:rsidP="0026743D">
      <w:pPr>
        <w:pStyle w:val="Title"/>
      </w:pPr>
      <w:r>
        <w:t>Annual R</w:t>
      </w:r>
      <w:r w:rsidR="00B21199">
        <w:t>eport 201</w:t>
      </w:r>
      <w:r w:rsidR="005B4B4D">
        <w:t>9</w:t>
      </w:r>
      <w:r w:rsidR="00B21199">
        <w:t>-20</w:t>
      </w:r>
      <w:r w:rsidR="005B4B4D">
        <w:t>20</w:t>
      </w:r>
    </w:p>
    <w:p w14:paraId="647FC0BE" w14:textId="711D590E" w:rsidR="00ED2096" w:rsidRPr="00ED2096" w:rsidRDefault="005B4B4D" w:rsidP="005B4B4D">
      <w:pPr>
        <w:pStyle w:val="Subtitle"/>
      </w:pPr>
      <w:r>
        <w:t>Delivering Excellence in Court and Tribunal Administration</w:t>
      </w:r>
    </w:p>
    <w:p w14:paraId="14122646" w14:textId="51CF3E8D" w:rsidR="00ED2096" w:rsidRPr="00891721" w:rsidRDefault="00ED2096" w:rsidP="00ED2096">
      <w:pPr>
        <w:pStyle w:val="TOCHeading"/>
      </w:pPr>
      <w:r w:rsidRPr="00B461C9">
        <w:lastRenderedPageBreak/>
        <w:t>Contents</w:t>
      </w:r>
    </w:p>
    <w:p w14:paraId="3B3F1F58" w14:textId="1551DFFB" w:rsidR="00C9062D" w:rsidRDefault="00B461C9">
      <w:pPr>
        <w:pStyle w:val="TOC1"/>
        <w:rPr>
          <w:rFonts w:eastAsiaTheme="minorEastAsia" w:cstheme="minorBidi"/>
          <w:b w:val="0"/>
          <w:color w:val="auto"/>
          <w:sz w:val="24"/>
          <w:szCs w:val="24"/>
          <w:lang w:eastAsia="en-GB"/>
        </w:rPr>
      </w:pPr>
      <w:r>
        <w:rPr>
          <w:b w:val="0"/>
        </w:rPr>
        <w:fldChar w:fldCharType="begin"/>
      </w:r>
      <w:r>
        <w:rPr>
          <w:b w:val="0"/>
        </w:rPr>
        <w:instrText xml:space="preserve"> TOC \o "1-3" \h \z \u </w:instrText>
      </w:r>
      <w:r>
        <w:rPr>
          <w:b w:val="0"/>
        </w:rPr>
        <w:fldChar w:fldCharType="separate"/>
      </w:r>
      <w:hyperlink w:anchor="_Toc62808022" w:history="1">
        <w:r w:rsidR="00C9062D" w:rsidRPr="00126835">
          <w:rPr>
            <w:rStyle w:val="Hyperlink"/>
          </w:rPr>
          <w:t>Message from the Chair</w:t>
        </w:r>
        <w:r w:rsidR="00C9062D">
          <w:rPr>
            <w:webHidden/>
          </w:rPr>
          <w:tab/>
        </w:r>
        <w:r w:rsidR="00C9062D">
          <w:rPr>
            <w:webHidden/>
          </w:rPr>
          <w:fldChar w:fldCharType="begin"/>
        </w:r>
        <w:r w:rsidR="00C9062D">
          <w:rPr>
            <w:webHidden/>
          </w:rPr>
          <w:instrText xml:space="preserve"> PAGEREF _Toc62808022 \h </w:instrText>
        </w:r>
        <w:r w:rsidR="00C9062D">
          <w:rPr>
            <w:webHidden/>
          </w:rPr>
        </w:r>
        <w:r w:rsidR="00C9062D">
          <w:rPr>
            <w:webHidden/>
          </w:rPr>
          <w:fldChar w:fldCharType="separate"/>
        </w:r>
        <w:r w:rsidR="00C9062D">
          <w:rPr>
            <w:webHidden/>
          </w:rPr>
          <w:t>8</w:t>
        </w:r>
        <w:r w:rsidR="00C9062D">
          <w:rPr>
            <w:webHidden/>
          </w:rPr>
          <w:fldChar w:fldCharType="end"/>
        </w:r>
      </w:hyperlink>
    </w:p>
    <w:p w14:paraId="7FA23E31" w14:textId="35264DC0" w:rsidR="00C9062D" w:rsidRDefault="00C9062D">
      <w:pPr>
        <w:pStyle w:val="TOC2"/>
        <w:rPr>
          <w:rFonts w:eastAsiaTheme="minorEastAsia" w:cstheme="minorBidi"/>
          <w:color w:val="auto"/>
          <w:sz w:val="24"/>
          <w:szCs w:val="24"/>
          <w:lang w:eastAsia="en-GB"/>
        </w:rPr>
      </w:pPr>
      <w:hyperlink w:anchor="_Toc62808023" w:history="1">
        <w:r w:rsidRPr="00126835">
          <w:rPr>
            <w:rStyle w:val="Hyperlink"/>
          </w:rPr>
          <w:t>Acknowledgements</w:t>
        </w:r>
        <w:r>
          <w:rPr>
            <w:webHidden/>
          </w:rPr>
          <w:tab/>
        </w:r>
        <w:r>
          <w:rPr>
            <w:webHidden/>
          </w:rPr>
          <w:fldChar w:fldCharType="begin"/>
        </w:r>
        <w:r>
          <w:rPr>
            <w:webHidden/>
          </w:rPr>
          <w:instrText xml:space="preserve"> PAGEREF _Toc62808023 \h </w:instrText>
        </w:r>
        <w:r>
          <w:rPr>
            <w:webHidden/>
          </w:rPr>
        </w:r>
        <w:r>
          <w:rPr>
            <w:webHidden/>
          </w:rPr>
          <w:fldChar w:fldCharType="separate"/>
        </w:r>
        <w:r>
          <w:rPr>
            <w:webHidden/>
          </w:rPr>
          <w:t>9</w:t>
        </w:r>
        <w:r>
          <w:rPr>
            <w:webHidden/>
          </w:rPr>
          <w:fldChar w:fldCharType="end"/>
        </w:r>
      </w:hyperlink>
    </w:p>
    <w:p w14:paraId="0E38EC18" w14:textId="4516EEC5" w:rsidR="00C9062D" w:rsidRDefault="00C9062D">
      <w:pPr>
        <w:pStyle w:val="TOC1"/>
        <w:rPr>
          <w:rFonts w:eastAsiaTheme="minorEastAsia" w:cstheme="minorBidi"/>
          <w:b w:val="0"/>
          <w:color w:val="auto"/>
          <w:sz w:val="24"/>
          <w:szCs w:val="24"/>
          <w:lang w:eastAsia="en-GB"/>
        </w:rPr>
      </w:pPr>
      <w:hyperlink w:anchor="_Toc62808024" w:history="1">
        <w:r w:rsidRPr="00126835">
          <w:rPr>
            <w:rStyle w:val="Hyperlink"/>
          </w:rPr>
          <w:t>Message from the Chief Executive Officer</w:t>
        </w:r>
        <w:r>
          <w:rPr>
            <w:webHidden/>
          </w:rPr>
          <w:tab/>
        </w:r>
        <w:r>
          <w:rPr>
            <w:webHidden/>
          </w:rPr>
          <w:fldChar w:fldCharType="begin"/>
        </w:r>
        <w:r>
          <w:rPr>
            <w:webHidden/>
          </w:rPr>
          <w:instrText xml:space="preserve"> PAGEREF _Toc62808024 \h </w:instrText>
        </w:r>
        <w:r>
          <w:rPr>
            <w:webHidden/>
          </w:rPr>
        </w:r>
        <w:r>
          <w:rPr>
            <w:webHidden/>
          </w:rPr>
          <w:fldChar w:fldCharType="separate"/>
        </w:r>
        <w:r>
          <w:rPr>
            <w:webHidden/>
          </w:rPr>
          <w:t>10</w:t>
        </w:r>
        <w:r>
          <w:rPr>
            <w:webHidden/>
          </w:rPr>
          <w:fldChar w:fldCharType="end"/>
        </w:r>
      </w:hyperlink>
    </w:p>
    <w:p w14:paraId="38C605CC" w14:textId="22CC06A8" w:rsidR="00C9062D" w:rsidRDefault="00C9062D">
      <w:pPr>
        <w:pStyle w:val="TOC1"/>
        <w:rPr>
          <w:rFonts w:eastAsiaTheme="minorEastAsia" w:cstheme="minorBidi"/>
          <w:b w:val="0"/>
          <w:color w:val="auto"/>
          <w:sz w:val="24"/>
          <w:szCs w:val="24"/>
          <w:lang w:eastAsia="en-GB"/>
        </w:rPr>
      </w:pPr>
      <w:hyperlink w:anchor="_Toc62808025" w:history="1">
        <w:r w:rsidRPr="00126835">
          <w:rPr>
            <w:rStyle w:val="Hyperlink"/>
          </w:rPr>
          <w:t>Section 1: Governance and Organisational Structure</w:t>
        </w:r>
        <w:r>
          <w:rPr>
            <w:webHidden/>
          </w:rPr>
          <w:tab/>
        </w:r>
        <w:r>
          <w:rPr>
            <w:webHidden/>
          </w:rPr>
          <w:fldChar w:fldCharType="begin"/>
        </w:r>
        <w:r>
          <w:rPr>
            <w:webHidden/>
          </w:rPr>
          <w:instrText xml:space="preserve"> PAGEREF _Toc62808025 \h </w:instrText>
        </w:r>
        <w:r>
          <w:rPr>
            <w:webHidden/>
          </w:rPr>
        </w:r>
        <w:r>
          <w:rPr>
            <w:webHidden/>
          </w:rPr>
          <w:fldChar w:fldCharType="separate"/>
        </w:r>
        <w:r>
          <w:rPr>
            <w:webHidden/>
          </w:rPr>
          <w:t>11</w:t>
        </w:r>
        <w:r>
          <w:rPr>
            <w:webHidden/>
          </w:rPr>
          <w:fldChar w:fldCharType="end"/>
        </w:r>
      </w:hyperlink>
    </w:p>
    <w:p w14:paraId="1FD93BFA" w14:textId="78FAEF76" w:rsidR="00C9062D" w:rsidRDefault="00C9062D">
      <w:pPr>
        <w:pStyle w:val="TOC2"/>
        <w:rPr>
          <w:rFonts w:eastAsiaTheme="minorEastAsia" w:cstheme="minorBidi"/>
          <w:color w:val="auto"/>
          <w:sz w:val="24"/>
          <w:szCs w:val="24"/>
          <w:lang w:eastAsia="en-GB"/>
        </w:rPr>
      </w:pPr>
      <w:hyperlink w:anchor="_Toc62808026" w:history="1">
        <w:r w:rsidRPr="00126835">
          <w:rPr>
            <w:rStyle w:val="Hyperlink"/>
          </w:rPr>
          <w:t>About Court Services Victoria</w:t>
        </w:r>
        <w:r>
          <w:rPr>
            <w:webHidden/>
          </w:rPr>
          <w:tab/>
        </w:r>
        <w:r>
          <w:rPr>
            <w:webHidden/>
          </w:rPr>
          <w:fldChar w:fldCharType="begin"/>
        </w:r>
        <w:r>
          <w:rPr>
            <w:webHidden/>
          </w:rPr>
          <w:instrText xml:space="preserve"> PAGEREF _Toc62808026 \h </w:instrText>
        </w:r>
        <w:r>
          <w:rPr>
            <w:webHidden/>
          </w:rPr>
        </w:r>
        <w:r>
          <w:rPr>
            <w:webHidden/>
          </w:rPr>
          <w:fldChar w:fldCharType="separate"/>
        </w:r>
        <w:r>
          <w:rPr>
            <w:webHidden/>
          </w:rPr>
          <w:t>11</w:t>
        </w:r>
        <w:r>
          <w:rPr>
            <w:webHidden/>
          </w:rPr>
          <w:fldChar w:fldCharType="end"/>
        </w:r>
      </w:hyperlink>
    </w:p>
    <w:p w14:paraId="6BDEA9A1" w14:textId="73132AA7" w:rsidR="00C9062D" w:rsidRDefault="00C9062D">
      <w:pPr>
        <w:pStyle w:val="TOC3"/>
        <w:rPr>
          <w:rFonts w:eastAsiaTheme="minorEastAsia" w:cstheme="minorBidi"/>
          <w:color w:val="auto"/>
          <w:sz w:val="24"/>
          <w:szCs w:val="24"/>
          <w:lang w:eastAsia="en-GB"/>
        </w:rPr>
      </w:pPr>
      <w:hyperlink w:anchor="_Toc62808027" w:history="1">
        <w:r w:rsidRPr="00126835">
          <w:rPr>
            <w:rStyle w:val="Hyperlink"/>
          </w:rPr>
          <w:t>Establishment and Ministerial Powers</w:t>
        </w:r>
        <w:r>
          <w:rPr>
            <w:webHidden/>
          </w:rPr>
          <w:tab/>
        </w:r>
        <w:r>
          <w:rPr>
            <w:webHidden/>
          </w:rPr>
          <w:fldChar w:fldCharType="begin"/>
        </w:r>
        <w:r>
          <w:rPr>
            <w:webHidden/>
          </w:rPr>
          <w:instrText xml:space="preserve"> PAGEREF _Toc62808027 \h </w:instrText>
        </w:r>
        <w:r>
          <w:rPr>
            <w:webHidden/>
          </w:rPr>
        </w:r>
        <w:r>
          <w:rPr>
            <w:webHidden/>
          </w:rPr>
          <w:fldChar w:fldCharType="separate"/>
        </w:r>
        <w:r>
          <w:rPr>
            <w:webHidden/>
          </w:rPr>
          <w:t>11</w:t>
        </w:r>
        <w:r>
          <w:rPr>
            <w:webHidden/>
          </w:rPr>
          <w:fldChar w:fldCharType="end"/>
        </w:r>
      </w:hyperlink>
    </w:p>
    <w:p w14:paraId="581E6E16" w14:textId="109EB5EF" w:rsidR="00C9062D" w:rsidRDefault="00C9062D">
      <w:pPr>
        <w:pStyle w:val="TOC3"/>
        <w:rPr>
          <w:rFonts w:eastAsiaTheme="minorEastAsia" w:cstheme="minorBidi"/>
          <w:color w:val="auto"/>
          <w:sz w:val="24"/>
          <w:szCs w:val="24"/>
          <w:lang w:eastAsia="en-GB"/>
        </w:rPr>
      </w:pPr>
      <w:hyperlink w:anchor="_Toc62808028" w:history="1">
        <w:r w:rsidRPr="00126835">
          <w:rPr>
            <w:rStyle w:val="Hyperlink"/>
          </w:rPr>
          <w:t>Governance Structure</w:t>
        </w:r>
        <w:r>
          <w:rPr>
            <w:webHidden/>
          </w:rPr>
          <w:tab/>
        </w:r>
        <w:r>
          <w:rPr>
            <w:webHidden/>
          </w:rPr>
          <w:fldChar w:fldCharType="begin"/>
        </w:r>
        <w:r>
          <w:rPr>
            <w:webHidden/>
          </w:rPr>
          <w:instrText xml:space="preserve"> PAGEREF _Toc62808028 \h </w:instrText>
        </w:r>
        <w:r>
          <w:rPr>
            <w:webHidden/>
          </w:rPr>
        </w:r>
        <w:r>
          <w:rPr>
            <w:webHidden/>
          </w:rPr>
          <w:fldChar w:fldCharType="separate"/>
        </w:r>
        <w:r>
          <w:rPr>
            <w:webHidden/>
          </w:rPr>
          <w:t>12</w:t>
        </w:r>
        <w:r>
          <w:rPr>
            <w:webHidden/>
          </w:rPr>
          <w:fldChar w:fldCharType="end"/>
        </w:r>
      </w:hyperlink>
    </w:p>
    <w:p w14:paraId="227231B6" w14:textId="5C00BAAD" w:rsidR="00C9062D" w:rsidRDefault="00C9062D">
      <w:pPr>
        <w:pStyle w:val="TOC2"/>
        <w:rPr>
          <w:rFonts w:eastAsiaTheme="minorEastAsia" w:cstheme="minorBidi"/>
          <w:color w:val="auto"/>
          <w:sz w:val="24"/>
          <w:szCs w:val="24"/>
          <w:lang w:eastAsia="en-GB"/>
        </w:rPr>
      </w:pPr>
      <w:hyperlink w:anchor="_Toc62808029" w:history="1">
        <w:r w:rsidRPr="00126835">
          <w:rPr>
            <w:rStyle w:val="Hyperlink"/>
          </w:rPr>
          <w:t>Governing Body</w:t>
        </w:r>
        <w:r>
          <w:rPr>
            <w:webHidden/>
          </w:rPr>
          <w:tab/>
        </w:r>
        <w:r>
          <w:rPr>
            <w:webHidden/>
          </w:rPr>
          <w:fldChar w:fldCharType="begin"/>
        </w:r>
        <w:r>
          <w:rPr>
            <w:webHidden/>
          </w:rPr>
          <w:instrText xml:space="preserve"> PAGEREF _Toc62808029 \h </w:instrText>
        </w:r>
        <w:r>
          <w:rPr>
            <w:webHidden/>
          </w:rPr>
        </w:r>
        <w:r>
          <w:rPr>
            <w:webHidden/>
          </w:rPr>
          <w:fldChar w:fldCharType="separate"/>
        </w:r>
        <w:r>
          <w:rPr>
            <w:webHidden/>
          </w:rPr>
          <w:t>13</w:t>
        </w:r>
        <w:r>
          <w:rPr>
            <w:webHidden/>
          </w:rPr>
          <w:fldChar w:fldCharType="end"/>
        </w:r>
      </w:hyperlink>
    </w:p>
    <w:p w14:paraId="11E9E64A" w14:textId="042C6A38" w:rsidR="00C9062D" w:rsidRDefault="00C9062D">
      <w:pPr>
        <w:pStyle w:val="TOC3"/>
        <w:rPr>
          <w:rFonts w:eastAsiaTheme="minorEastAsia" w:cstheme="minorBidi"/>
          <w:color w:val="auto"/>
          <w:sz w:val="24"/>
          <w:szCs w:val="24"/>
          <w:lang w:eastAsia="en-GB"/>
        </w:rPr>
      </w:pPr>
      <w:hyperlink w:anchor="_Toc62808030" w:history="1">
        <w:r w:rsidRPr="00126835">
          <w:rPr>
            <w:rStyle w:val="Hyperlink"/>
          </w:rPr>
          <w:t>Courts Council</w:t>
        </w:r>
        <w:r>
          <w:rPr>
            <w:webHidden/>
          </w:rPr>
          <w:tab/>
        </w:r>
        <w:r>
          <w:rPr>
            <w:webHidden/>
          </w:rPr>
          <w:fldChar w:fldCharType="begin"/>
        </w:r>
        <w:r>
          <w:rPr>
            <w:webHidden/>
          </w:rPr>
          <w:instrText xml:space="preserve"> PAGEREF _Toc62808030 \h </w:instrText>
        </w:r>
        <w:r>
          <w:rPr>
            <w:webHidden/>
          </w:rPr>
        </w:r>
        <w:r>
          <w:rPr>
            <w:webHidden/>
          </w:rPr>
          <w:fldChar w:fldCharType="separate"/>
        </w:r>
        <w:r>
          <w:rPr>
            <w:webHidden/>
          </w:rPr>
          <w:t>13</w:t>
        </w:r>
        <w:r>
          <w:rPr>
            <w:webHidden/>
          </w:rPr>
          <w:fldChar w:fldCharType="end"/>
        </w:r>
      </w:hyperlink>
    </w:p>
    <w:p w14:paraId="5534702F" w14:textId="5E8A0BE4" w:rsidR="00C9062D" w:rsidRDefault="00C9062D">
      <w:pPr>
        <w:pStyle w:val="TOC3"/>
        <w:rPr>
          <w:rFonts w:eastAsiaTheme="minorEastAsia" w:cstheme="minorBidi"/>
          <w:color w:val="auto"/>
          <w:sz w:val="24"/>
          <w:szCs w:val="24"/>
          <w:lang w:eastAsia="en-GB"/>
        </w:rPr>
      </w:pPr>
      <w:hyperlink w:anchor="_Toc62808031" w:history="1">
        <w:r w:rsidRPr="00126835">
          <w:rPr>
            <w:rStyle w:val="Hyperlink"/>
          </w:rPr>
          <w:t>Courts Council Members</w:t>
        </w:r>
        <w:r>
          <w:rPr>
            <w:webHidden/>
          </w:rPr>
          <w:tab/>
        </w:r>
        <w:r>
          <w:rPr>
            <w:webHidden/>
          </w:rPr>
          <w:fldChar w:fldCharType="begin"/>
        </w:r>
        <w:r>
          <w:rPr>
            <w:webHidden/>
          </w:rPr>
          <w:instrText xml:space="preserve"> PAGEREF _Toc62808031 \h </w:instrText>
        </w:r>
        <w:r>
          <w:rPr>
            <w:webHidden/>
          </w:rPr>
        </w:r>
        <w:r>
          <w:rPr>
            <w:webHidden/>
          </w:rPr>
          <w:fldChar w:fldCharType="separate"/>
        </w:r>
        <w:r>
          <w:rPr>
            <w:webHidden/>
          </w:rPr>
          <w:t>13</w:t>
        </w:r>
        <w:r>
          <w:rPr>
            <w:webHidden/>
          </w:rPr>
          <w:fldChar w:fldCharType="end"/>
        </w:r>
      </w:hyperlink>
    </w:p>
    <w:p w14:paraId="57C0A9F8" w14:textId="2F7FB9FB" w:rsidR="00C9062D" w:rsidRDefault="00C9062D">
      <w:pPr>
        <w:pStyle w:val="TOC3"/>
        <w:rPr>
          <w:rFonts w:eastAsiaTheme="minorEastAsia" w:cstheme="minorBidi"/>
          <w:color w:val="auto"/>
          <w:sz w:val="24"/>
          <w:szCs w:val="24"/>
          <w:lang w:eastAsia="en-GB"/>
        </w:rPr>
      </w:pPr>
      <w:hyperlink w:anchor="_Toc62808032" w:history="1">
        <w:r w:rsidRPr="00126835">
          <w:rPr>
            <w:rStyle w:val="Hyperlink"/>
          </w:rPr>
          <w:t>Committees</w:t>
        </w:r>
        <w:r>
          <w:rPr>
            <w:webHidden/>
          </w:rPr>
          <w:tab/>
        </w:r>
        <w:r>
          <w:rPr>
            <w:webHidden/>
          </w:rPr>
          <w:fldChar w:fldCharType="begin"/>
        </w:r>
        <w:r>
          <w:rPr>
            <w:webHidden/>
          </w:rPr>
          <w:instrText xml:space="preserve"> PAGEREF _Toc62808032 \h </w:instrText>
        </w:r>
        <w:r>
          <w:rPr>
            <w:webHidden/>
          </w:rPr>
        </w:r>
        <w:r>
          <w:rPr>
            <w:webHidden/>
          </w:rPr>
          <w:fldChar w:fldCharType="separate"/>
        </w:r>
        <w:r>
          <w:rPr>
            <w:webHidden/>
          </w:rPr>
          <w:t>15</w:t>
        </w:r>
        <w:r>
          <w:rPr>
            <w:webHidden/>
          </w:rPr>
          <w:fldChar w:fldCharType="end"/>
        </w:r>
      </w:hyperlink>
    </w:p>
    <w:p w14:paraId="15456258" w14:textId="5F3CCFDD" w:rsidR="00C9062D" w:rsidRDefault="00C9062D">
      <w:pPr>
        <w:pStyle w:val="TOC3"/>
        <w:rPr>
          <w:rFonts w:eastAsiaTheme="minorEastAsia" w:cstheme="minorBidi"/>
          <w:color w:val="auto"/>
          <w:sz w:val="24"/>
          <w:szCs w:val="24"/>
          <w:lang w:eastAsia="en-GB"/>
        </w:rPr>
      </w:pPr>
      <w:hyperlink w:anchor="_Toc62808033" w:history="1">
        <w:r w:rsidRPr="00126835">
          <w:rPr>
            <w:rStyle w:val="Hyperlink"/>
          </w:rPr>
          <w:t>Senior Executive</w:t>
        </w:r>
        <w:r>
          <w:rPr>
            <w:webHidden/>
          </w:rPr>
          <w:tab/>
        </w:r>
        <w:r>
          <w:rPr>
            <w:webHidden/>
          </w:rPr>
          <w:fldChar w:fldCharType="begin"/>
        </w:r>
        <w:r>
          <w:rPr>
            <w:webHidden/>
          </w:rPr>
          <w:instrText xml:space="preserve"> PAGEREF _Toc62808033 \h </w:instrText>
        </w:r>
        <w:r>
          <w:rPr>
            <w:webHidden/>
          </w:rPr>
        </w:r>
        <w:r>
          <w:rPr>
            <w:webHidden/>
          </w:rPr>
          <w:fldChar w:fldCharType="separate"/>
        </w:r>
        <w:r>
          <w:rPr>
            <w:webHidden/>
          </w:rPr>
          <w:t>17</w:t>
        </w:r>
        <w:r>
          <w:rPr>
            <w:webHidden/>
          </w:rPr>
          <w:fldChar w:fldCharType="end"/>
        </w:r>
      </w:hyperlink>
    </w:p>
    <w:p w14:paraId="21DA75E1" w14:textId="1B3C58E0" w:rsidR="00C9062D" w:rsidRDefault="00C9062D">
      <w:pPr>
        <w:pStyle w:val="TOC1"/>
        <w:rPr>
          <w:rFonts w:eastAsiaTheme="minorEastAsia" w:cstheme="minorBidi"/>
          <w:b w:val="0"/>
          <w:color w:val="auto"/>
          <w:sz w:val="24"/>
          <w:szCs w:val="24"/>
          <w:lang w:eastAsia="en-GB"/>
        </w:rPr>
      </w:pPr>
      <w:hyperlink w:anchor="_Toc62808034" w:history="1">
        <w:r w:rsidRPr="00126835">
          <w:rPr>
            <w:rStyle w:val="Hyperlink"/>
          </w:rPr>
          <w:t>Section 2: Year in Review</w:t>
        </w:r>
        <w:r>
          <w:rPr>
            <w:webHidden/>
          </w:rPr>
          <w:tab/>
        </w:r>
        <w:r>
          <w:rPr>
            <w:webHidden/>
          </w:rPr>
          <w:fldChar w:fldCharType="begin"/>
        </w:r>
        <w:r>
          <w:rPr>
            <w:webHidden/>
          </w:rPr>
          <w:instrText xml:space="preserve"> PAGEREF _Toc62808034 \h </w:instrText>
        </w:r>
        <w:r>
          <w:rPr>
            <w:webHidden/>
          </w:rPr>
        </w:r>
        <w:r>
          <w:rPr>
            <w:webHidden/>
          </w:rPr>
          <w:fldChar w:fldCharType="separate"/>
        </w:r>
        <w:r>
          <w:rPr>
            <w:webHidden/>
          </w:rPr>
          <w:t>21</w:t>
        </w:r>
        <w:r>
          <w:rPr>
            <w:webHidden/>
          </w:rPr>
          <w:fldChar w:fldCharType="end"/>
        </w:r>
      </w:hyperlink>
    </w:p>
    <w:p w14:paraId="54E8FD26" w14:textId="79398FB2" w:rsidR="00C9062D" w:rsidRDefault="00C9062D">
      <w:pPr>
        <w:pStyle w:val="TOC2"/>
        <w:rPr>
          <w:rFonts w:eastAsiaTheme="minorEastAsia" w:cstheme="minorBidi"/>
          <w:color w:val="auto"/>
          <w:sz w:val="24"/>
          <w:szCs w:val="24"/>
          <w:lang w:eastAsia="en-GB"/>
        </w:rPr>
      </w:pPr>
      <w:hyperlink w:anchor="_Toc62808035" w:history="1">
        <w:r w:rsidRPr="00126835">
          <w:rPr>
            <w:rStyle w:val="Hyperlink"/>
          </w:rPr>
          <w:t>Response to Coronavirus (COVID-19)</w:t>
        </w:r>
        <w:r>
          <w:rPr>
            <w:webHidden/>
          </w:rPr>
          <w:tab/>
        </w:r>
        <w:r>
          <w:rPr>
            <w:webHidden/>
          </w:rPr>
          <w:fldChar w:fldCharType="begin"/>
        </w:r>
        <w:r>
          <w:rPr>
            <w:webHidden/>
          </w:rPr>
          <w:instrText xml:space="preserve"> PAGEREF _Toc62808035 \h </w:instrText>
        </w:r>
        <w:r>
          <w:rPr>
            <w:webHidden/>
          </w:rPr>
        </w:r>
        <w:r>
          <w:rPr>
            <w:webHidden/>
          </w:rPr>
          <w:fldChar w:fldCharType="separate"/>
        </w:r>
        <w:r>
          <w:rPr>
            <w:webHidden/>
          </w:rPr>
          <w:t>21</w:t>
        </w:r>
        <w:r>
          <w:rPr>
            <w:webHidden/>
          </w:rPr>
          <w:fldChar w:fldCharType="end"/>
        </w:r>
      </w:hyperlink>
    </w:p>
    <w:p w14:paraId="09446E6E" w14:textId="39E9BD71" w:rsidR="00C9062D" w:rsidRDefault="00C9062D">
      <w:pPr>
        <w:pStyle w:val="TOC2"/>
        <w:rPr>
          <w:rFonts w:eastAsiaTheme="minorEastAsia" w:cstheme="minorBidi"/>
          <w:color w:val="auto"/>
          <w:sz w:val="24"/>
          <w:szCs w:val="24"/>
          <w:lang w:eastAsia="en-GB"/>
        </w:rPr>
      </w:pPr>
      <w:hyperlink w:anchor="_Toc62808036" w:history="1">
        <w:r w:rsidRPr="00126835">
          <w:rPr>
            <w:rStyle w:val="Hyperlink"/>
          </w:rPr>
          <w:t>Judicial Independence</w:t>
        </w:r>
        <w:r>
          <w:rPr>
            <w:webHidden/>
          </w:rPr>
          <w:tab/>
        </w:r>
        <w:r>
          <w:rPr>
            <w:webHidden/>
          </w:rPr>
          <w:fldChar w:fldCharType="begin"/>
        </w:r>
        <w:r>
          <w:rPr>
            <w:webHidden/>
          </w:rPr>
          <w:instrText xml:space="preserve"> PAGEREF _Toc62808036 \h </w:instrText>
        </w:r>
        <w:r>
          <w:rPr>
            <w:webHidden/>
          </w:rPr>
        </w:r>
        <w:r>
          <w:rPr>
            <w:webHidden/>
          </w:rPr>
          <w:fldChar w:fldCharType="separate"/>
        </w:r>
        <w:r>
          <w:rPr>
            <w:webHidden/>
          </w:rPr>
          <w:t>23</w:t>
        </w:r>
        <w:r>
          <w:rPr>
            <w:webHidden/>
          </w:rPr>
          <w:fldChar w:fldCharType="end"/>
        </w:r>
      </w:hyperlink>
    </w:p>
    <w:p w14:paraId="214D1A59" w14:textId="1B6C9330" w:rsidR="00C9062D" w:rsidRDefault="00C9062D">
      <w:pPr>
        <w:pStyle w:val="TOC3"/>
        <w:rPr>
          <w:rFonts w:eastAsiaTheme="minorEastAsia" w:cstheme="minorBidi"/>
          <w:color w:val="auto"/>
          <w:sz w:val="24"/>
          <w:szCs w:val="24"/>
          <w:lang w:eastAsia="en-GB"/>
        </w:rPr>
      </w:pPr>
      <w:hyperlink w:anchor="_Toc62808037" w:history="1">
        <w:r w:rsidRPr="00126835">
          <w:rPr>
            <w:rStyle w:val="Hyperlink"/>
          </w:rPr>
          <w:t>Governance and Strategic Directions Review</w:t>
        </w:r>
        <w:r>
          <w:rPr>
            <w:webHidden/>
          </w:rPr>
          <w:tab/>
        </w:r>
        <w:r>
          <w:rPr>
            <w:webHidden/>
          </w:rPr>
          <w:fldChar w:fldCharType="begin"/>
        </w:r>
        <w:r>
          <w:rPr>
            <w:webHidden/>
          </w:rPr>
          <w:instrText xml:space="preserve"> PAGEREF _Toc62808037 \h </w:instrText>
        </w:r>
        <w:r>
          <w:rPr>
            <w:webHidden/>
          </w:rPr>
        </w:r>
        <w:r>
          <w:rPr>
            <w:webHidden/>
          </w:rPr>
          <w:fldChar w:fldCharType="separate"/>
        </w:r>
        <w:r>
          <w:rPr>
            <w:webHidden/>
          </w:rPr>
          <w:t>23</w:t>
        </w:r>
        <w:r>
          <w:rPr>
            <w:webHidden/>
          </w:rPr>
          <w:fldChar w:fldCharType="end"/>
        </w:r>
      </w:hyperlink>
    </w:p>
    <w:p w14:paraId="25F89E80" w14:textId="29503DE2" w:rsidR="00C9062D" w:rsidRDefault="00C9062D">
      <w:pPr>
        <w:pStyle w:val="TOC3"/>
        <w:rPr>
          <w:rFonts w:eastAsiaTheme="minorEastAsia" w:cstheme="minorBidi"/>
          <w:color w:val="auto"/>
          <w:sz w:val="24"/>
          <w:szCs w:val="24"/>
          <w:lang w:eastAsia="en-GB"/>
        </w:rPr>
      </w:pPr>
      <w:hyperlink w:anchor="_Toc62808038" w:history="1">
        <w:r w:rsidRPr="00126835">
          <w:rPr>
            <w:rStyle w:val="Hyperlink"/>
          </w:rPr>
          <w:t>Court Services Victoria Strategic Plan 2020 – 2025</w:t>
        </w:r>
        <w:r>
          <w:rPr>
            <w:webHidden/>
          </w:rPr>
          <w:tab/>
        </w:r>
        <w:r>
          <w:rPr>
            <w:webHidden/>
          </w:rPr>
          <w:fldChar w:fldCharType="begin"/>
        </w:r>
        <w:r>
          <w:rPr>
            <w:webHidden/>
          </w:rPr>
          <w:instrText xml:space="preserve"> PAGEREF _Toc62808038 \h </w:instrText>
        </w:r>
        <w:r>
          <w:rPr>
            <w:webHidden/>
          </w:rPr>
        </w:r>
        <w:r>
          <w:rPr>
            <w:webHidden/>
          </w:rPr>
          <w:fldChar w:fldCharType="separate"/>
        </w:r>
        <w:r>
          <w:rPr>
            <w:webHidden/>
          </w:rPr>
          <w:t>24</w:t>
        </w:r>
        <w:r>
          <w:rPr>
            <w:webHidden/>
          </w:rPr>
          <w:fldChar w:fldCharType="end"/>
        </w:r>
      </w:hyperlink>
    </w:p>
    <w:p w14:paraId="4DE569FE" w14:textId="10C42A87" w:rsidR="00C9062D" w:rsidRDefault="00C9062D">
      <w:pPr>
        <w:pStyle w:val="TOC2"/>
        <w:rPr>
          <w:rFonts w:eastAsiaTheme="minorEastAsia" w:cstheme="minorBidi"/>
          <w:color w:val="auto"/>
          <w:sz w:val="24"/>
          <w:szCs w:val="24"/>
          <w:lang w:eastAsia="en-GB"/>
        </w:rPr>
      </w:pPr>
      <w:hyperlink w:anchor="_Toc62808039" w:history="1">
        <w:r w:rsidRPr="00126835">
          <w:rPr>
            <w:rStyle w:val="Hyperlink"/>
          </w:rPr>
          <w:t>Support the Administration of Justice</w:t>
        </w:r>
        <w:r>
          <w:rPr>
            <w:webHidden/>
          </w:rPr>
          <w:tab/>
        </w:r>
        <w:r>
          <w:rPr>
            <w:webHidden/>
          </w:rPr>
          <w:fldChar w:fldCharType="begin"/>
        </w:r>
        <w:r>
          <w:rPr>
            <w:webHidden/>
          </w:rPr>
          <w:instrText xml:space="preserve"> PAGEREF _Toc62808039 \h </w:instrText>
        </w:r>
        <w:r>
          <w:rPr>
            <w:webHidden/>
          </w:rPr>
        </w:r>
        <w:r>
          <w:rPr>
            <w:webHidden/>
          </w:rPr>
          <w:fldChar w:fldCharType="separate"/>
        </w:r>
        <w:r>
          <w:rPr>
            <w:webHidden/>
          </w:rPr>
          <w:t>24</w:t>
        </w:r>
        <w:r>
          <w:rPr>
            <w:webHidden/>
          </w:rPr>
          <w:fldChar w:fldCharType="end"/>
        </w:r>
      </w:hyperlink>
    </w:p>
    <w:p w14:paraId="752018C6" w14:textId="4824C3C7" w:rsidR="00C9062D" w:rsidRDefault="00C9062D">
      <w:pPr>
        <w:pStyle w:val="TOC3"/>
        <w:rPr>
          <w:rFonts w:eastAsiaTheme="minorEastAsia" w:cstheme="minorBidi"/>
          <w:color w:val="auto"/>
          <w:sz w:val="24"/>
          <w:szCs w:val="24"/>
          <w:lang w:eastAsia="en-GB"/>
        </w:rPr>
      </w:pPr>
      <w:hyperlink w:anchor="_Toc62808040" w:history="1">
        <w:r w:rsidRPr="00126835">
          <w:rPr>
            <w:rStyle w:val="Hyperlink"/>
          </w:rPr>
          <w:t>People and Culture</w:t>
        </w:r>
        <w:r>
          <w:rPr>
            <w:webHidden/>
          </w:rPr>
          <w:tab/>
        </w:r>
        <w:r>
          <w:rPr>
            <w:webHidden/>
          </w:rPr>
          <w:fldChar w:fldCharType="begin"/>
        </w:r>
        <w:r>
          <w:rPr>
            <w:webHidden/>
          </w:rPr>
          <w:instrText xml:space="preserve"> PAGEREF _Toc62808040 \h </w:instrText>
        </w:r>
        <w:r>
          <w:rPr>
            <w:webHidden/>
          </w:rPr>
        </w:r>
        <w:r>
          <w:rPr>
            <w:webHidden/>
          </w:rPr>
          <w:fldChar w:fldCharType="separate"/>
        </w:r>
        <w:r>
          <w:rPr>
            <w:webHidden/>
          </w:rPr>
          <w:t>24</w:t>
        </w:r>
        <w:r>
          <w:rPr>
            <w:webHidden/>
          </w:rPr>
          <w:fldChar w:fldCharType="end"/>
        </w:r>
      </w:hyperlink>
    </w:p>
    <w:p w14:paraId="6B636C86" w14:textId="21AB8996" w:rsidR="00C9062D" w:rsidRDefault="00C9062D">
      <w:pPr>
        <w:pStyle w:val="TOC3"/>
        <w:rPr>
          <w:rFonts w:eastAsiaTheme="minorEastAsia" w:cstheme="minorBidi"/>
          <w:color w:val="auto"/>
          <w:sz w:val="24"/>
          <w:szCs w:val="24"/>
          <w:lang w:eastAsia="en-GB"/>
        </w:rPr>
      </w:pPr>
      <w:hyperlink w:anchor="_Toc62808041" w:history="1">
        <w:r w:rsidRPr="00126835">
          <w:rPr>
            <w:rStyle w:val="Hyperlink"/>
          </w:rPr>
          <w:t>Health, Safety and Wellbeing</w:t>
        </w:r>
        <w:r>
          <w:rPr>
            <w:webHidden/>
          </w:rPr>
          <w:tab/>
        </w:r>
        <w:r>
          <w:rPr>
            <w:webHidden/>
          </w:rPr>
          <w:fldChar w:fldCharType="begin"/>
        </w:r>
        <w:r>
          <w:rPr>
            <w:webHidden/>
          </w:rPr>
          <w:instrText xml:space="preserve"> PAGEREF _Toc62808041 \h </w:instrText>
        </w:r>
        <w:r>
          <w:rPr>
            <w:webHidden/>
          </w:rPr>
        </w:r>
        <w:r>
          <w:rPr>
            <w:webHidden/>
          </w:rPr>
          <w:fldChar w:fldCharType="separate"/>
        </w:r>
        <w:r>
          <w:rPr>
            <w:webHidden/>
          </w:rPr>
          <w:t>25</w:t>
        </w:r>
        <w:r>
          <w:rPr>
            <w:webHidden/>
          </w:rPr>
          <w:fldChar w:fldCharType="end"/>
        </w:r>
      </w:hyperlink>
    </w:p>
    <w:p w14:paraId="60472F9D" w14:textId="5B822BB7" w:rsidR="00C9062D" w:rsidRDefault="00C9062D">
      <w:pPr>
        <w:pStyle w:val="TOC3"/>
        <w:rPr>
          <w:rFonts w:eastAsiaTheme="minorEastAsia" w:cstheme="minorBidi"/>
          <w:color w:val="auto"/>
          <w:sz w:val="24"/>
          <w:szCs w:val="24"/>
          <w:lang w:eastAsia="en-GB"/>
        </w:rPr>
      </w:pPr>
      <w:hyperlink w:anchor="_Toc62808042" w:history="1">
        <w:r w:rsidRPr="00126835">
          <w:rPr>
            <w:rStyle w:val="Hyperlink"/>
          </w:rPr>
          <w:t>Aboriginal Justice Agreement 4</w:t>
        </w:r>
        <w:r>
          <w:rPr>
            <w:webHidden/>
          </w:rPr>
          <w:tab/>
        </w:r>
        <w:r>
          <w:rPr>
            <w:webHidden/>
          </w:rPr>
          <w:fldChar w:fldCharType="begin"/>
        </w:r>
        <w:r>
          <w:rPr>
            <w:webHidden/>
          </w:rPr>
          <w:instrText xml:space="preserve"> PAGEREF _Toc62808042 \h </w:instrText>
        </w:r>
        <w:r>
          <w:rPr>
            <w:webHidden/>
          </w:rPr>
        </w:r>
        <w:r>
          <w:rPr>
            <w:webHidden/>
          </w:rPr>
          <w:fldChar w:fldCharType="separate"/>
        </w:r>
        <w:r>
          <w:rPr>
            <w:webHidden/>
          </w:rPr>
          <w:t>26</w:t>
        </w:r>
        <w:r>
          <w:rPr>
            <w:webHidden/>
          </w:rPr>
          <w:fldChar w:fldCharType="end"/>
        </w:r>
      </w:hyperlink>
    </w:p>
    <w:p w14:paraId="25FA7945" w14:textId="7E7660CC" w:rsidR="00C9062D" w:rsidRDefault="00C9062D">
      <w:pPr>
        <w:pStyle w:val="TOC3"/>
        <w:rPr>
          <w:rFonts w:eastAsiaTheme="minorEastAsia" w:cstheme="minorBidi"/>
          <w:color w:val="auto"/>
          <w:sz w:val="24"/>
          <w:szCs w:val="24"/>
          <w:lang w:eastAsia="en-GB"/>
        </w:rPr>
      </w:pPr>
      <w:hyperlink w:anchor="_Toc62808043" w:history="1">
        <w:r w:rsidRPr="00126835">
          <w:rPr>
            <w:rStyle w:val="Hyperlink"/>
          </w:rPr>
          <w:t>Koori Programs and Initiatives</w:t>
        </w:r>
        <w:r>
          <w:rPr>
            <w:webHidden/>
          </w:rPr>
          <w:tab/>
        </w:r>
        <w:r>
          <w:rPr>
            <w:webHidden/>
          </w:rPr>
          <w:fldChar w:fldCharType="begin"/>
        </w:r>
        <w:r>
          <w:rPr>
            <w:webHidden/>
          </w:rPr>
          <w:instrText xml:space="preserve"> PAGEREF _Toc62808043 \h </w:instrText>
        </w:r>
        <w:r>
          <w:rPr>
            <w:webHidden/>
          </w:rPr>
        </w:r>
        <w:r>
          <w:rPr>
            <w:webHidden/>
          </w:rPr>
          <w:fldChar w:fldCharType="separate"/>
        </w:r>
        <w:r>
          <w:rPr>
            <w:webHidden/>
          </w:rPr>
          <w:t>26</w:t>
        </w:r>
        <w:r>
          <w:rPr>
            <w:webHidden/>
          </w:rPr>
          <w:fldChar w:fldCharType="end"/>
        </w:r>
      </w:hyperlink>
    </w:p>
    <w:p w14:paraId="150B20BD" w14:textId="0A78E5B7" w:rsidR="00C9062D" w:rsidRDefault="00C9062D">
      <w:pPr>
        <w:pStyle w:val="TOC3"/>
        <w:rPr>
          <w:rFonts w:eastAsiaTheme="minorEastAsia" w:cstheme="minorBidi"/>
          <w:color w:val="auto"/>
          <w:sz w:val="24"/>
          <w:szCs w:val="24"/>
          <w:lang w:eastAsia="en-GB"/>
        </w:rPr>
      </w:pPr>
      <w:hyperlink w:anchor="_Toc62808044" w:history="1">
        <w:r w:rsidRPr="00126835">
          <w:rPr>
            <w:rStyle w:val="Hyperlink"/>
          </w:rPr>
          <w:t>Court Services Victoria Self-determination Plan</w:t>
        </w:r>
        <w:r>
          <w:rPr>
            <w:webHidden/>
          </w:rPr>
          <w:tab/>
        </w:r>
        <w:r>
          <w:rPr>
            <w:webHidden/>
          </w:rPr>
          <w:fldChar w:fldCharType="begin"/>
        </w:r>
        <w:r>
          <w:rPr>
            <w:webHidden/>
          </w:rPr>
          <w:instrText xml:space="preserve"> PAGEREF _Toc62808044 \h </w:instrText>
        </w:r>
        <w:r>
          <w:rPr>
            <w:webHidden/>
          </w:rPr>
        </w:r>
        <w:r>
          <w:rPr>
            <w:webHidden/>
          </w:rPr>
          <w:fldChar w:fldCharType="separate"/>
        </w:r>
        <w:r>
          <w:rPr>
            <w:webHidden/>
          </w:rPr>
          <w:t>26</w:t>
        </w:r>
        <w:r>
          <w:rPr>
            <w:webHidden/>
          </w:rPr>
          <w:fldChar w:fldCharType="end"/>
        </w:r>
      </w:hyperlink>
    </w:p>
    <w:p w14:paraId="66F3AFE0" w14:textId="35917C28" w:rsidR="00C9062D" w:rsidRDefault="00C9062D">
      <w:pPr>
        <w:pStyle w:val="TOC3"/>
        <w:rPr>
          <w:rFonts w:eastAsiaTheme="minorEastAsia" w:cstheme="minorBidi"/>
          <w:color w:val="auto"/>
          <w:sz w:val="24"/>
          <w:szCs w:val="24"/>
          <w:lang w:eastAsia="en-GB"/>
        </w:rPr>
      </w:pPr>
      <w:hyperlink w:anchor="_Toc62808045" w:history="1">
        <w:r w:rsidRPr="00126835">
          <w:rPr>
            <w:rStyle w:val="Hyperlink"/>
          </w:rPr>
          <w:t>Koori Employment Plan</w:t>
        </w:r>
        <w:r>
          <w:rPr>
            <w:webHidden/>
          </w:rPr>
          <w:tab/>
        </w:r>
        <w:r>
          <w:rPr>
            <w:webHidden/>
          </w:rPr>
          <w:fldChar w:fldCharType="begin"/>
        </w:r>
        <w:r>
          <w:rPr>
            <w:webHidden/>
          </w:rPr>
          <w:instrText xml:space="preserve"> PAGEREF _Toc62808045 \h </w:instrText>
        </w:r>
        <w:r>
          <w:rPr>
            <w:webHidden/>
          </w:rPr>
        </w:r>
        <w:r>
          <w:rPr>
            <w:webHidden/>
          </w:rPr>
          <w:fldChar w:fldCharType="separate"/>
        </w:r>
        <w:r>
          <w:rPr>
            <w:webHidden/>
          </w:rPr>
          <w:t>26</w:t>
        </w:r>
        <w:r>
          <w:rPr>
            <w:webHidden/>
          </w:rPr>
          <w:fldChar w:fldCharType="end"/>
        </w:r>
      </w:hyperlink>
    </w:p>
    <w:p w14:paraId="2DAF0D93" w14:textId="63ED52FD" w:rsidR="00C9062D" w:rsidRDefault="00C9062D">
      <w:pPr>
        <w:pStyle w:val="TOC3"/>
        <w:rPr>
          <w:rFonts w:eastAsiaTheme="minorEastAsia" w:cstheme="minorBidi"/>
          <w:color w:val="auto"/>
          <w:sz w:val="24"/>
          <w:szCs w:val="24"/>
          <w:lang w:eastAsia="en-GB"/>
        </w:rPr>
      </w:pPr>
      <w:hyperlink w:anchor="_Toc62808046" w:history="1">
        <w:r w:rsidRPr="00126835">
          <w:rPr>
            <w:rStyle w:val="Hyperlink"/>
          </w:rPr>
          <w:t>Koori Specific Training</w:t>
        </w:r>
        <w:r>
          <w:rPr>
            <w:webHidden/>
          </w:rPr>
          <w:tab/>
        </w:r>
        <w:r>
          <w:rPr>
            <w:webHidden/>
          </w:rPr>
          <w:fldChar w:fldCharType="begin"/>
        </w:r>
        <w:r>
          <w:rPr>
            <w:webHidden/>
          </w:rPr>
          <w:instrText xml:space="preserve"> PAGEREF _Toc62808046 \h </w:instrText>
        </w:r>
        <w:r>
          <w:rPr>
            <w:webHidden/>
          </w:rPr>
        </w:r>
        <w:r>
          <w:rPr>
            <w:webHidden/>
          </w:rPr>
          <w:fldChar w:fldCharType="separate"/>
        </w:r>
        <w:r>
          <w:rPr>
            <w:webHidden/>
          </w:rPr>
          <w:t>27</w:t>
        </w:r>
        <w:r>
          <w:rPr>
            <w:webHidden/>
          </w:rPr>
          <w:fldChar w:fldCharType="end"/>
        </w:r>
      </w:hyperlink>
    </w:p>
    <w:p w14:paraId="2FA89B24" w14:textId="0E55EFF4" w:rsidR="00C9062D" w:rsidRDefault="00C9062D">
      <w:pPr>
        <w:pStyle w:val="TOC3"/>
        <w:rPr>
          <w:rFonts w:eastAsiaTheme="minorEastAsia" w:cstheme="minorBidi"/>
          <w:color w:val="auto"/>
          <w:sz w:val="24"/>
          <w:szCs w:val="24"/>
          <w:lang w:eastAsia="en-GB"/>
        </w:rPr>
      </w:pPr>
      <w:hyperlink w:anchor="_Toc62808047" w:history="1">
        <w:r w:rsidRPr="00126835">
          <w:rPr>
            <w:rStyle w:val="Hyperlink"/>
          </w:rPr>
          <w:t>Koori Cultural Awareness Training</w:t>
        </w:r>
        <w:r>
          <w:rPr>
            <w:webHidden/>
          </w:rPr>
          <w:tab/>
        </w:r>
        <w:r>
          <w:rPr>
            <w:webHidden/>
          </w:rPr>
          <w:fldChar w:fldCharType="begin"/>
        </w:r>
        <w:r>
          <w:rPr>
            <w:webHidden/>
          </w:rPr>
          <w:instrText xml:space="preserve"> PAGEREF _Toc62808047 \h </w:instrText>
        </w:r>
        <w:r>
          <w:rPr>
            <w:webHidden/>
          </w:rPr>
        </w:r>
        <w:r>
          <w:rPr>
            <w:webHidden/>
          </w:rPr>
          <w:fldChar w:fldCharType="separate"/>
        </w:r>
        <w:r>
          <w:rPr>
            <w:webHidden/>
          </w:rPr>
          <w:t>27</w:t>
        </w:r>
        <w:r>
          <w:rPr>
            <w:webHidden/>
          </w:rPr>
          <w:fldChar w:fldCharType="end"/>
        </w:r>
      </w:hyperlink>
    </w:p>
    <w:p w14:paraId="72548CA4" w14:textId="182C744C" w:rsidR="00C9062D" w:rsidRDefault="00C9062D">
      <w:pPr>
        <w:pStyle w:val="TOC3"/>
        <w:rPr>
          <w:rFonts w:eastAsiaTheme="minorEastAsia" w:cstheme="minorBidi"/>
          <w:color w:val="auto"/>
          <w:sz w:val="24"/>
          <w:szCs w:val="24"/>
          <w:lang w:eastAsia="en-GB"/>
        </w:rPr>
      </w:pPr>
      <w:hyperlink w:anchor="_Toc62808048" w:history="1">
        <w:r w:rsidRPr="00126835">
          <w:rPr>
            <w:rStyle w:val="Hyperlink"/>
          </w:rPr>
          <w:t>Aboriginal Justice Forum Responsibilities</w:t>
        </w:r>
        <w:r>
          <w:rPr>
            <w:webHidden/>
          </w:rPr>
          <w:tab/>
        </w:r>
        <w:r>
          <w:rPr>
            <w:webHidden/>
          </w:rPr>
          <w:fldChar w:fldCharType="begin"/>
        </w:r>
        <w:r>
          <w:rPr>
            <w:webHidden/>
          </w:rPr>
          <w:instrText xml:space="preserve"> PAGEREF _Toc62808048 \h </w:instrText>
        </w:r>
        <w:r>
          <w:rPr>
            <w:webHidden/>
          </w:rPr>
        </w:r>
        <w:r>
          <w:rPr>
            <w:webHidden/>
          </w:rPr>
          <w:fldChar w:fldCharType="separate"/>
        </w:r>
        <w:r>
          <w:rPr>
            <w:webHidden/>
          </w:rPr>
          <w:t>27</w:t>
        </w:r>
        <w:r>
          <w:rPr>
            <w:webHidden/>
          </w:rPr>
          <w:fldChar w:fldCharType="end"/>
        </w:r>
      </w:hyperlink>
    </w:p>
    <w:p w14:paraId="30A4643E" w14:textId="6ACFE0BD" w:rsidR="00C9062D" w:rsidRDefault="00C9062D">
      <w:pPr>
        <w:pStyle w:val="TOC3"/>
        <w:rPr>
          <w:rFonts w:eastAsiaTheme="minorEastAsia" w:cstheme="minorBidi"/>
          <w:color w:val="auto"/>
          <w:sz w:val="24"/>
          <w:szCs w:val="24"/>
          <w:lang w:eastAsia="en-GB"/>
        </w:rPr>
      </w:pPr>
      <w:hyperlink w:anchor="_Toc62808049" w:history="1">
        <w:r w:rsidRPr="00126835">
          <w:rPr>
            <w:rStyle w:val="Hyperlink"/>
          </w:rPr>
          <w:t>Victorian Government Reporting Service</w:t>
        </w:r>
        <w:r>
          <w:rPr>
            <w:webHidden/>
          </w:rPr>
          <w:tab/>
        </w:r>
        <w:r>
          <w:rPr>
            <w:webHidden/>
          </w:rPr>
          <w:fldChar w:fldCharType="begin"/>
        </w:r>
        <w:r>
          <w:rPr>
            <w:webHidden/>
          </w:rPr>
          <w:instrText xml:space="preserve"> PAGEREF _Toc62808049 \h </w:instrText>
        </w:r>
        <w:r>
          <w:rPr>
            <w:webHidden/>
          </w:rPr>
        </w:r>
        <w:r>
          <w:rPr>
            <w:webHidden/>
          </w:rPr>
          <w:fldChar w:fldCharType="separate"/>
        </w:r>
        <w:r>
          <w:rPr>
            <w:webHidden/>
          </w:rPr>
          <w:t>28</w:t>
        </w:r>
        <w:r>
          <w:rPr>
            <w:webHidden/>
          </w:rPr>
          <w:fldChar w:fldCharType="end"/>
        </w:r>
      </w:hyperlink>
    </w:p>
    <w:p w14:paraId="2DA67152" w14:textId="3690F889" w:rsidR="00C9062D" w:rsidRDefault="00C9062D">
      <w:pPr>
        <w:pStyle w:val="TOC3"/>
        <w:rPr>
          <w:rFonts w:eastAsiaTheme="minorEastAsia" w:cstheme="minorBidi"/>
          <w:color w:val="auto"/>
          <w:sz w:val="24"/>
          <w:szCs w:val="24"/>
          <w:lang w:eastAsia="en-GB"/>
        </w:rPr>
      </w:pPr>
      <w:hyperlink w:anchor="_Toc62808050" w:history="1">
        <w:r w:rsidRPr="00126835">
          <w:rPr>
            <w:rStyle w:val="Hyperlink"/>
          </w:rPr>
          <w:t>Court Security Model</w:t>
        </w:r>
        <w:r>
          <w:rPr>
            <w:webHidden/>
          </w:rPr>
          <w:tab/>
        </w:r>
        <w:r>
          <w:rPr>
            <w:webHidden/>
          </w:rPr>
          <w:fldChar w:fldCharType="begin"/>
        </w:r>
        <w:r>
          <w:rPr>
            <w:webHidden/>
          </w:rPr>
          <w:instrText xml:space="preserve"> PAGEREF _Toc62808050 \h </w:instrText>
        </w:r>
        <w:r>
          <w:rPr>
            <w:webHidden/>
          </w:rPr>
        </w:r>
        <w:r>
          <w:rPr>
            <w:webHidden/>
          </w:rPr>
          <w:fldChar w:fldCharType="separate"/>
        </w:r>
        <w:r>
          <w:rPr>
            <w:webHidden/>
          </w:rPr>
          <w:t>28</w:t>
        </w:r>
        <w:r>
          <w:rPr>
            <w:webHidden/>
          </w:rPr>
          <w:fldChar w:fldCharType="end"/>
        </w:r>
      </w:hyperlink>
    </w:p>
    <w:p w14:paraId="6556259D" w14:textId="6E94AD36" w:rsidR="00C9062D" w:rsidRDefault="00C9062D">
      <w:pPr>
        <w:pStyle w:val="TOC3"/>
        <w:rPr>
          <w:rFonts w:eastAsiaTheme="minorEastAsia" w:cstheme="minorBidi"/>
          <w:color w:val="auto"/>
          <w:sz w:val="24"/>
          <w:szCs w:val="24"/>
          <w:lang w:eastAsia="en-GB"/>
        </w:rPr>
      </w:pPr>
      <w:hyperlink w:anchor="_Toc62808051" w:history="1">
        <w:r w:rsidRPr="00126835">
          <w:rPr>
            <w:rStyle w:val="Hyperlink"/>
          </w:rPr>
          <w:t>2019–20 Victorian Fire Season</w:t>
        </w:r>
        <w:r>
          <w:rPr>
            <w:webHidden/>
          </w:rPr>
          <w:tab/>
        </w:r>
        <w:r>
          <w:rPr>
            <w:webHidden/>
          </w:rPr>
          <w:fldChar w:fldCharType="begin"/>
        </w:r>
        <w:r>
          <w:rPr>
            <w:webHidden/>
          </w:rPr>
          <w:instrText xml:space="preserve"> PAGEREF _Toc62808051 \h </w:instrText>
        </w:r>
        <w:r>
          <w:rPr>
            <w:webHidden/>
          </w:rPr>
        </w:r>
        <w:r>
          <w:rPr>
            <w:webHidden/>
          </w:rPr>
          <w:fldChar w:fldCharType="separate"/>
        </w:r>
        <w:r>
          <w:rPr>
            <w:webHidden/>
          </w:rPr>
          <w:t>29</w:t>
        </w:r>
        <w:r>
          <w:rPr>
            <w:webHidden/>
          </w:rPr>
          <w:fldChar w:fldCharType="end"/>
        </w:r>
      </w:hyperlink>
    </w:p>
    <w:p w14:paraId="34EDD52C" w14:textId="5048E8B6" w:rsidR="00C9062D" w:rsidRDefault="00C9062D">
      <w:pPr>
        <w:pStyle w:val="TOC2"/>
        <w:rPr>
          <w:rFonts w:eastAsiaTheme="minorEastAsia" w:cstheme="minorBidi"/>
          <w:color w:val="auto"/>
          <w:sz w:val="24"/>
          <w:szCs w:val="24"/>
          <w:lang w:eastAsia="en-GB"/>
        </w:rPr>
      </w:pPr>
      <w:hyperlink w:anchor="_Toc62808052" w:history="1">
        <w:r w:rsidRPr="00126835">
          <w:rPr>
            <w:rStyle w:val="Hyperlink"/>
          </w:rPr>
          <w:t>Responsible Management and Accountability</w:t>
        </w:r>
        <w:r>
          <w:rPr>
            <w:webHidden/>
          </w:rPr>
          <w:tab/>
        </w:r>
        <w:r>
          <w:rPr>
            <w:webHidden/>
          </w:rPr>
          <w:fldChar w:fldCharType="begin"/>
        </w:r>
        <w:r>
          <w:rPr>
            <w:webHidden/>
          </w:rPr>
          <w:instrText xml:space="preserve"> PAGEREF _Toc62808052 \h </w:instrText>
        </w:r>
        <w:r>
          <w:rPr>
            <w:webHidden/>
          </w:rPr>
        </w:r>
        <w:r>
          <w:rPr>
            <w:webHidden/>
          </w:rPr>
          <w:fldChar w:fldCharType="separate"/>
        </w:r>
        <w:r>
          <w:rPr>
            <w:webHidden/>
          </w:rPr>
          <w:t>29</w:t>
        </w:r>
        <w:r>
          <w:rPr>
            <w:webHidden/>
          </w:rPr>
          <w:fldChar w:fldCharType="end"/>
        </w:r>
      </w:hyperlink>
    </w:p>
    <w:p w14:paraId="2317CA5C" w14:textId="07F34ECE" w:rsidR="00C9062D" w:rsidRDefault="00C9062D">
      <w:pPr>
        <w:pStyle w:val="TOC3"/>
        <w:rPr>
          <w:rFonts w:eastAsiaTheme="minorEastAsia" w:cstheme="minorBidi"/>
          <w:color w:val="auto"/>
          <w:sz w:val="24"/>
          <w:szCs w:val="24"/>
          <w:lang w:eastAsia="en-GB"/>
        </w:rPr>
      </w:pPr>
      <w:hyperlink w:anchor="_Toc62808053" w:history="1">
        <w:r w:rsidRPr="00126835">
          <w:rPr>
            <w:rStyle w:val="Hyperlink"/>
          </w:rPr>
          <w:t>Integrity Framework</w:t>
        </w:r>
        <w:r>
          <w:rPr>
            <w:webHidden/>
          </w:rPr>
          <w:tab/>
        </w:r>
        <w:r>
          <w:rPr>
            <w:webHidden/>
          </w:rPr>
          <w:fldChar w:fldCharType="begin"/>
        </w:r>
        <w:r>
          <w:rPr>
            <w:webHidden/>
          </w:rPr>
          <w:instrText xml:space="preserve"> PAGEREF _Toc62808053 \h </w:instrText>
        </w:r>
        <w:r>
          <w:rPr>
            <w:webHidden/>
          </w:rPr>
        </w:r>
        <w:r>
          <w:rPr>
            <w:webHidden/>
          </w:rPr>
          <w:fldChar w:fldCharType="separate"/>
        </w:r>
        <w:r>
          <w:rPr>
            <w:webHidden/>
          </w:rPr>
          <w:t>29</w:t>
        </w:r>
        <w:r>
          <w:rPr>
            <w:webHidden/>
          </w:rPr>
          <w:fldChar w:fldCharType="end"/>
        </w:r>
      </w:hyperlink>
    </w:p>
    <w:p w14:paraId="62BAE8F0" w14:textId="23089AAB" w:rsidR="00C9062D" w:rsidRDefault="00C9062D">
      <w:pPr>
        <w:pStyle w:val="TOC3"/>
        <w:rPr>
          <w:rFonts w:eastAsiaTheme="minorEastAsia" w:cstheme="minorBidi"/>
          <w:color w:val="auto"/>
          <w:sz w:val="24"/>
          <w:szCs w:val="24"/>
          <w:lang w:eastAsia="en-GB"/>
        </w:rPr>
      </w:pPr>
      <w:hyperlink w:anchor="_Toc62808054" w:history="1">
        <w:r w:rsidRPr="00126835">
          <w:rPr>
            <w:rStyle w:val="Hyperlink"/>
          </w:rPr>
          <w:t>Data and Reporting</w:t>
        </w:r>
        <w:r>
          <w:rPr>
            <w:webHidden/>
          </w:rPr>
          <w:tab/>
        </w:r>
        <w:r>
          <w:rPr>
            <w:webHidden/>
          </w:rPr>
          <w:fldChar w:fldCharType="begin"/>
        </w:r>
        <w:r>
          <w:rPr>
            <w:webHidden/>
          </w:rPr>
          <w:instrText xml:space="preserve"> PAGEREF _Toc62808054 \h </w:instrText>
        </w:r>
        <w:r>
          <w:rPr>
            <w:webHidden/>
          </w:rPr>
        </w:r>
        <w:r>
          <w:rPr>
            <w:webHidden/>
          </w:rPr>
          <w:fldChar w:fldCharType="separate"/>
        </w:r>
        <w:r>
          <w:rPr>
            <w:webHidden/>
          </w:rPr>
          <w:t>29</w:t>
        </w:r>
        <w:r>
          <w:rPr>
            <w:webHidden/>
          </w:rPr>
          <w:fldChar w:fldCharType="end"/>
        </w:r>
      </w:hyperlink>
    </w:p>
    <w:p w14:paraId="37871DE6" w14:textId="0CDC2E3C" w:rsidR="00C9062D" w:rsidRDefault="00C9062D">
      <w:pPr>
        <w:pStyle w:val="TOC3"/>
        <w:rPr>
          <w:rFonts w:eastAsiaTheme="minorEastAsia" w:cstheme="minorBidi"/>
          <w:color w:val="auto"/>
          <w:sz w:val="24"/>
          <w:szCs w:val="24"/>
          <w:lang w:eastAsia="en-GB"/>
        </w:rPr>
      </w:pPr>
      <w:hyperlink w:anchor="_Toc62808055" w:history="1">
        <w:r w:rsidRPr="00126835">
          <w:rPr>
            <w:rStyle w:val="Hyperlink"/>
          </w:rPr>
          <w:t>Risk and Audit</w:t>
        </w:r>
        <w:r>
          <w:rPr>
            <w:webHidden/>
          </w:rPr>
          <w:tab/>
        </w:r>
        <w:r>
          <w:rPr>
            <w:webHidden/>
          </w:rPr>
          <w:fldChar w:fldCharType="begin"/>
        </w:r>
        <w:r>
          <w:rPr>
            <w:webHidden/>
          </w:rPr>
          <w:instrText xml:space="preserve"> PAGEREF _Toc62808055 \h </w:instrText>
        </w:r>
        <w:r>
          <w:rPr>
            <w:webHidden/>
          </w:rPr>
        </w:r>
        <w:r>
          <w:rPr>
            <w:webHidden/>
          </w:rPr>
          <w:fldChar w:fldCharType="separate"/>
        </w:r>
        <w:r>
          <w:rPr>
            <w:webHidden/>
          </w:rPr>
          <w:t>30</w:t>
        </w:r>
        <w:r>
          <w:rPr>
            <w:webHidden/>
          </w:rPr>
          <w:fldChar w:fldCharType="end"/>
        </w:r>
      </w:hyperlink>
    </w:p>
    <w:p w14:paraId="5592CACF" w14:textId="69E28BC6" w:rsidR="00C9062D" w:rsidRDefault="00C9062D">
      <w:pPr>
        <w:pStyle w:val="TOC3"/>
        <w:rPr>
          <w:rFonts w:eastAsiaTheme="minorEastAsia" w:cstheme="minorBidi"/>
          <w:color w:val="auto"/>
          <w:sz w:val="24"/>
          <w:szCs w:val="24"/>
          <w:lang w:eastAsia="en-GB"/>
        </w:rPr>
      </w:pPr>
      <w:hyperlink w:anchor="_Toc62808056" w:history="1">
        <w:r w:rsidRPr="00126835">
          <w:rPr>
            <w:rStyle w:val="Hyperlink"/>
          </w:rPr>
          <w:t>Finance Services</w:t>
        </w:r>
        <w:r>
          <w:rPr>
            <w:webHidden/>
          </w:rPr>
          <w:tab/>
        </w:r>
        <w:r>
          <w:rPr>
            <w:webHidden/>
          </w:rPr>
          <w:fldChar w:fldCharType="begin"/>
        </w:r>
        <w:r>
          <w:rPr>
            <w:webHidden/>
          </w:rPr>
          <w:instrText xml:space="preserve"> PAGEREF _Toc62808056 \h </w:instrText>
        </w:r>
        <w:r>
          <w:rPr>
            <w:webHidden/>
          </w:rPr>
        </w:r>
        <w:r>
          <w:rPr>
            <w:webHidden/>
          </w:rPr>
          <w:fldChar w:fldCharType="separate"/>
        </w:r>
        <w:r>
          <w:rPr>
            <w:webHidden/>
          </w:rPr>
          <w:t>30</w:t>
        </w:r>
        <w:r>
          <w:rPr>
            <w:webHidden/>
          </w:rPr>
          <w:fldChar w:fldCharType="end"/>
        </w:r>
      </w:hyperlink>
    </w:p>
    <w:p w14:paraId="7B7B4142" w14:textId="0B7B56A3" w:rsidR="00C9062D" w:rsidRDefault="00C9062D">
      <w:pPr>
        <w:pStyle w:val="TOC3"/>
        <w:rPr>
          <w:rFonts w:eastAsiaTheme="minorEastAsia" w:cstheme="minorBidi"/>
          <w:color w:val="auto"/>
          <w:sz w:val="24"/>
          <w:szCs w:val="24"/>
          <w:lang w:eastAsia="en-GB"/>
        </w:rPr>
      </w:pPr>
      <w:hyperlink w:anchor="_Toc62808057" w:history="1">
        <w:r w:rsidRPr="00126835">
          <w:rPr>
            <w:rStyle w:val="Hyperlink"/>
          </w:rPr>
          <w:t>Procurement</w:t>
        </w:r>
        <w:r>
          <w:rPr>
            <w:webHidden/>
          </w:rPr>
          <w:tab/>
        </w:r>
        <w:r>
          <w:rPr>
            <w:webHidden/>
          </w:rPr>
          <w:fldChar w:fldCharType="begin"/>
        </w:r>
        <w:r>
          <w:rPr>
            <w:webHidden/>
          </w:rPr>
          <w:instrText xml:space="preserve"> PAGEREF _Toc62808057 \h </w:instrText>
        </w:r>
        <w:r>
          <w:rPr>
            <w:webHidden/>
          </w:rPr>
        </w:r>
        <w:r>
          <w:rPr>
            <w:webHidden/>
          </w:rPr>
          <w:fldChar w:fldCharType="separate"/>
        </w:r>
        <w:r>
          <w:rPr>
            <w:webHidden/>
          </w:rPr>
          <w:t>31</w:t>
        </w:r>
        <w:r>
          <w:rPr>
            <w:webHidden/>
          </w:rPr>
          <w:fldChar w:fldCharType="end"/>
        </w:r>
      </w:hyperlink>
    </w:p>
    <w:p w14:paraId="42838DEB" w14:textId="430CCBFA" w:rsidR="00C9062D" w:rsidRDefault="00C9062D">
      <w:pPr>
        <w:pStyle w:val="TOC3"/>
        <w:rPr>
          <w:rFonts w:eastAsiaTheme="minorEastAsia" w:cstheme="minorBidi"/>
          <w:color w:val="auto"/>
          <w:sz w:val="24"/>
          <w:szCs w:val="24"/>
          <w:lang w:eastAsia="en-GB"/>
        </w:rPr>
      </w:pPr>
      <w:hyperlink w:anchor="_Toc62808058" w:history="1">
        <w:r w:rsidRPr="00126835">
          <w:rPr>
            <w:rStyle w:val="Hyperlink"/>
          </w:rPr>
          <w:t>Legal and Governance</w:t>
        </w:r>
        <w:r>
          <w:rPr>
            <w:webHidden/>
          </w:rPr>
          <w:tab/>
        </w:r>
        <w:r>
          <w:rPr>
            <w:webHidden/>
          </w:rPr>
          <w:fldChar w:fldCharType="begin"/>
        </w:r>
        <w:r>
          <w:rPr>
            <w:webHidden/>
          </w:rPr>
          <w:instrText xml:space="preserve"> PAGEREF _Toc62808058 \h </w:instrText>
        </w:r>
        <w:r>
          <w:rPr>
            <w:webHidden/>
          </w:rPr>
        </w:r>
        <w:r>
          <w:rPr>
            <w:webHidden/>
          </w:rPr>
          <w:fldChar w:fldCharType="separate"/>
        </w:r>
        <w:r>
          <w:rPr>
            <w:webHidden/>
          </w:rPr>
          <w:t>31</w:t>
        </w:r>
        <w:r>
          <w:rPr>
            <w:webHidden/>
          </w:rPr>
          <w:fldChar w:fldCharType="end"/>
        </w:r>
      </w:hyperlink>
    </w:p>
    <w:p w14:paraId="4BE83D79" w14:textId="27C4BCB8" w:rsidR="00C9062D" w:rsidRDefault="00C9062D">
      <w:pPr>
        <w:pStyle w:val="TOC3"/>
        <w:rPr>
          <w:rFonts w:eastAsiaTheme="minorEastAsia" w:cstheme="minorBidi"/>
          <w:color w:val="auto"/>
          <w:sz w:val="24"/>
          <w:szCs w:val="24"/>
          <w:lang w:eastAsia="en-GB"/>
        </w:rPr>
      </w:pPr>
      <w:hyperlink w:anchor="_Toc62808059" w:history="1">
        <w:r w:rsidRPr="00126835">
          <w:rPr>
            <w:rStyle w:val="Hyperlink"/>
          </w:rPr>
          <w:t>Courts Asset Information Management System</w:t>
        </w:r>
        <w:r>
          <w:rPr>
            <w:webHidden/>
          </w:rPr>
          <w:tab/>
        </w:r>
        <w:r>
          <w:rPr>
            <w:webHidden/>
          </w:rPr>
          <w:fldChar w:fldCharType="begin"/>
        </w:r>
        <w:r>
          <w:rPr>
            <w:webHidden/>
          </w:rPr>
          <w:instrText xml:space="preserve"> PAGEREF _Toc62808059 \h </w:instrText>
        </w:r>
        <w:r>
          <w:rPr>
            <w:webHidden/>
          </w:rPr>
        </w:r>
        <w:r>
          <w:rPr>
            <w:webHidden/>
          </w:rPr>
          <w:fldChar w:fldCharType="separate"/>
        </w:r>
        <w:r>
          <w:rPr>
            <w:webHidden/>
          </w:rPr>
          <w:t>31</w:t>
        </w:r>
        <w:r>
          <w:rPr>
            <w:webHidden/>
          </w:rPr>
          <w:fldChar w:fldCharType="end"/>
        </w:r>
      </w:hyperlink>
    </w:p>
    <w:p w14:paraId="278B2147" w14:textId="495A0442" w:rsidR="00C9062D" w:rsidRDefault="00C9062D">
      <w:pPr>
        <w:pStyle w:val="TOC3"/>
        <w:rPr>
          <w:rFonts w:eastAsiaTheme="minorEastAsia" w:cstheme="minorBidi"/>
          <w:color w:val="auto"/>
          <w:sz w:val="24"/>
          <w:szCs w:val="24"/>
          <w:lang w:eastAsia="en-GB"/>
        </w:rPr>
      </w:pPr>
      <w:hyperlink w:anchor="_Toc62808060" w:history="1">
        <w:r w:rsidRPr="00126835">
          <w:rPr>
            <w:rStyle w:val="Hyperlink"/>
          </w:rPr>
          <w:t>Asset Management Accountability Framework</w:t>
        </w:r>
        <w:r>
          <w:rPr>
            <w:webHidden/>
          </w:rPr>
          <w:tab/>
        </w:r>
        <w:r>
          <w:rPr>
            <w:webHidden/>
          </w:rPr>
          <w:fldChar w:fldCharType="begin"/>
        </w:r>
        <w:r>
          <w:rPr>
            <w:webHidden/>
          </w:rPr>
          <w:instrText xml:space="preserve"> PAGEREF _Toc62808060 \h </w:instrText>
        </w:r>
        <w:r>
          <w:rPr>
            <w:webHidden/>
          </w:rPr>
        </w:r>
        <w:r>
          <w:rPr>
            <w:webHidden/>
          </w:rPr>
          <w:fldChar w:fldCharType="separate"/>
        </w:r>
        <w:r>
          <w:rPr>
            <w:webHidden/>
          </w:rPr>
          <w:t>31</w:t>
        </w:r>
        <w:r>
          <w:rPr>
            <w:webHidden/>
          </w:rPr>
          <w:fldChar w:fldCharType="end"/>
        </w:r>
      </w:hyperlink>
    </w:p>
    <w:p w14:paraId="1F885DDD" w14:textId="53186E8E" w:rsidR="00C9062D" w:rsidRDefault="00C9062D">
      <w:pPr>
        <w:pStyle w:val="TOC2"/>
        <w:rPr>
          <w:rFonts w:eastAsiaTheme="minorEastAsia" w:cstheme="minorBidi"/>
          <w:color w:val="auto"/>
          <w:sz w:val="24"/>
          <w:szCs w:val="24"/>
          <w:lang w:eastAsia="en-GB"/>
        </w:rPr>
      </w:pPr>
      <w:hyperlink w:anchor="_Toc62808061" w:history="1">
        <w:r w:rsidRPr="00126835">
          <w:rPr>
            <w:rStyle w:val="Hyperlink"/>
          </w:rPr>
          <w:t>Excellence in Court, Tribunal and Judicial Support Services</w:t>
        </w:r>
        <w:r>
          <w:rPr>
            <w:webHidden/>
          </w:rPr>
          <w:tab/>
        </w:r>
        <w:r>
          <w:rPr>
            <w:webHidden/>
          </w:rPr>
          <w:fldChar w:fldCharType="begin"/>
        </w:r>
        <w:r>
          <w:rPr>
            <w:webHidden/>
          </w:rPr>
          <w:instrText xml:space="preserve"> PAGEREF _Toc62808061 \h </w:instrText>
        </w:r>
        <w:r>
          <w:rPr>
            <w:webHidden/>
          </w:rPr>
        </w:r>
        <w:r>
          <w:rPr>
            <w:webHidden/>
          </w:rPr>
          <w:fldChar w:fldCharType="separate"/>
        </w:r>
        <w:r>
          <w:rPr>
            <w:webHidden/>
          </w:rPr>
          <w:t>32</w:t>
        </w:r>
        <w:r>
          <w:rPr>
            <w:webHidden/>
          </w:rPr>
          <w:fldChar w:fldCharType="end"/>
        </w:r>
      </w:hyperlink>
    </w:p>
    <w:p w14:paraId="4D859C2F" w14:textId="77447375" w:rsidR="00C9062D" w:rsidRDefault="00C9062D">
      <w:pPr>
        <w:pStyle w:val="TOC3"/>
        <w:rPr>
          <w:rFonts w:eastAsiaTheme="minorEastAsia" w:cstheme="minorBidi"/>
          <w:color w:val="auto"/>
          <w:sz w:val="24"/>
          <w:szCs w:val="24"/>
          <w:lang w:eastAsia="en-GB"/>
        </w:rPr>
      </w:pPr>
      <w:hyperlink w:anchor="_Toc62808062" w:history="1">
        <w:r w:rsidRPr="00126835">
          <w:rPr>
            <w:rStyle w:val="Hyperlink"/>
          </w:rPr>
          <w:t>Case Management System Project</w:t>
        </w:r>
        <w:r>
          <w:rPr>
            <w:webHidden/>
          </w:rPr>
          <w:tab/>
        </w:r>
        <w:r>
          <w:rPr>
            <w:webHidden/>
          </w:rPr>
          <w:fldChar w:fldCharType="begin"/>
        </w:r>
        <w:r>
          <w:rPr>
            <w:webHidden/>
          </w:rPr>
          <w:instrText xml:space="preserve"> PAGEREF _Toc62808062 \h </w:instrText>
        </w:r>
        <w:r>
          <w:rPr>
            <w:webHidden/>
          </w:rPr>
        </w:r>
        <w:r>
          <w:rPr>
            <w:webHidden/>
          </w:rPr>
          <w:fldChar w:fldCharType="separate"/>
        </w:r>
        <w:r>
          <w:rPr>
            <w:webHidden/>
          </w:rPr>
          <w:t>32</w:t>
        </w:r>
        <w:r>
          <w:rPr>
            <w:webHidden/>
          </w:rPr>
          <w:fldChar w:fldCharType="end"/>
        </w:r>
      </w:hyperlink>
    </w:p>
    <w:p w14:paraId="19C59A0F" w14:textId="2BE2C65B" w:rsidR="00C9062D" w:rsidRDefault="00C9062D">
      <w:pPr>
        <w:pStyle w:val="TOC3"/>
        <w:rPr>
          <w:rFonts w:eastAsiaTheme="minorEastAsia" w:cstheme="minorBidi"/>
          <w:color w:val="auto"/>
          <w:sz w:val="24"/>
          <w:szCs w:val="24"/>
          <w:lang w:eastAsia="en-GB"/>
        </w:rPr>
      </w:pPr>
      <w:hyperlink w:anchor="_Toc62808063" w:history="1">
        <w:r w:rsidRPr="00126835">
          <w:rPr>
            <w:rStyle w:val="Hyperlink"/>
          </w:rPr>
          <w:t>Safe, Secure and Sustainable Courts and Tribunals</w:t>
        </w:r>
        <w:r>
          <w:rPr>
            <w:webHidden/>
          </w:rPr>
          <w:tab/>
        </w:r>
        <w:r>
          <w:rPr>
            <w:webHidden/>
          </w:rPr>
          <w:fldChar w:fldCharType="begin"/>
        </w:r>
        <w:r>
          <w:rPr>
            <w:webHidden/>
          </w:rPr>
          <w:instrText xml:space="preserve"> PAGEREF _Toc62808063 \h </w:instrText>
        </w:r>
        <w:r>
          <w:rPr>
            <w:webHidden/>
          </w:rPr>
        </w:r>
        <w:r>
          <w:rPr>
            <w:webHidden/>
          </w:rPr>
          <w:fldChar w:fldCharType="separate"/>
        </w:r>
        <w:r>
          <w:rPr>
            <w:webHidden/>
          </w:rPr>
          <w:t>32</w:t>
        </w:r>
        <w:r>
          <w:rPr>
            <w:webHidden/>
          </w:rPr>
          <w:fldChar w:fldCharType="end"/>
        </w:r>
      </w:hyperlink>
    </w:p>
    <w:p w14:paraId="4CB3E2E7" w14:textId="11D977FE" w:rsidR="00C9062D" w:rsidRDefault="00C9062D">
      <w:pPr>
        <w:pStyle w:val="TOC3"/>
        <w:rPr>
          <w:rFonts w:eastAsiaTheme="minorEastAsia" w:cstheme="minorBidi"/>
          <w:color w:val="auto"/>
          <w:sz w:val="24"/>
          <w:szCs w:val="24"/>
          <w:lang w:eastAsia="en-GB"/>
        </w:rPr>
      </w:pPr>
      <w:hyperlink w:anchor="_Toc62808064" w:history="1">
        <w:r w:rsidRPr="00126835">
          <w:rPr>
            <w:rStyle w:val="Hyperlink"/>
          </w:rPr>
          <w:t>Design and Development of Specialist Court Facilities</w:t>
        </w:r>
        <w:r>
          <w:rPr>
            <w:webHidden/>
          </w:rPr>
          <w:tab/>
        </w:r>
        <w:r>
          <w:rPr>
            <w:webHidden/>
          </w:rPr>
          <w:fldChar w:fldCharType="begin"/>
        </w:r>
        <w:r>
          <w:rPr>
            <w:webHidden/>
          </w:rPr>
          <w:instrText xml:space="preserve"> PAGEREF _Toc62808064 \h </w:instrText>
        </w:r>
        <w:r>
          <w:rPr>
            <w:webHidden/>
          </w:rPr>
        </w:r>
        <w:r>
          <w:rPr>
            <w:webHidden/>
          </w:rPr>
          <w:fldChar w:fldCharType="separate"/>
        </w:r>
        <w:r>
          <w:rPr>
            <w:webHidden/>
          </w:rPr>
          <w:t>32</w:t>
        </w:r>
        <w:r>
          <w:rPr>
            <w:webHidden/>
          </w:rPr>
          <w:fldChar w:fldCharType="end"/>
        </w:r>
      </w:hyperlink>
    </w:p>
    <w:p w14:paraId="2C148D43" w14:textId="72F71FE8" w:rsidR="00C9062D" w:rsidRDefault="00C9062D">
      <w:pPr>
        <w:pStyle w:val="TOC3"/>
        <w:rPr>
          <w:rFonts w:eastAsiaTheme="minorEastAsia" w:cstheme="minorBidi"/>
          <w:color w:val="auto"/>
          <w:sz w:val="24"/>
          <w:szCs w:val="24"/>
          <w:lang w:eastAsia="en-GB"/>
        </w:rPr>
      </w:pPr>
      <w:hyperlink w:anchor="_Toc62808065" w:history="1">
        <w:r w:rsidRPr="00126835">
          <w:rPr>
            <w:rStyle w:val="Hyperlink"/>
          </w:rPr>
          <w:t>Bendigo Law Court Development</w:t>
        </w:r>
        <w:r>
          <w:rPr>
            <w:webHidden/>
          </w:rPr>
          <w:tab/>
        </w:r>
        <w:r>
          <w:rPr>
            <w:webHidden/>
          </w:rPr>
          <w:fldChar w:fldCharType="begin"/>
        </w:r>
        <w:r>
          <w:rPr>
            <w:webHidden/>
          </w:rPr>
          <w:instrText xml:space="preserve"> PAGEREF _Toc62808065 \h </w:instrText>
        </w:r>
        <w:r>
          <w:rPr>
            <w:webHidden/>
          </w:rPr>
        </w:r>
        <w:r>
          <w:rPr>
            <w:webHidden/>
          </w:rPr>
          <w:fldChar w:fldCharType="separate"/>
        </w:r>
        <w:r>
          <w:rPr>
            <w:webHidden/>
          </w:rPr>
          <w:t>33</w:t>
        </w:r>
        <w:r>
          <w:rPr>
            <w:webHidden/>
          </w:rPr>
          <w:fldChar w:fldCharType="end"/>
        </w:r>
      </w:hyperlink>
    </w:p>
    <w:p w14:paraId="2B7C18E9" w14:textId="2A57E1E4" w:rsidR="00C9062D" w:rsidRDefault="00C9062D">
      <w:pPr>
        <w:pStyle w:val="TOC3"/>
        <w:rPr>
          <w:rFonts w:eastAsiaTheme="minorEastAsia" w:cstheme="minorBidi"/>
          <w:color w:val="auto"/>
          <w:sz w:val="24"/>
          <w:szCs w:val="24"/>
          <w:lang w:eastAsia="en-GB"/>
        </w:rPr>
      </w:pPr>
      <w:hyperlink w:anchor="_Toc62808066" w:history="1">
        <w:r w:rsidRPr="00126835">
          <w:rPr>
            <w:rStyle w:val="Hyperlink"/>
          </w:rPr>
          <w:t>Strategic Asset Plan</w:t>
        </w:r>
        <w:r>
          <w:rPr>
            <w:webHidden/>
          </w:rPr>
          <w:tab/>
        </w:r>
        <w:r>
          <w:rPr>
            <w:webHidden/>
          </w:rPr>
          <w:fldChar w:fldCharType="begin"/>
        </w:r>
        <w:r>
          <w:rPr>
            <w:webHidden/>
          </w:rPr>
          <w:instrText xml:space="preserve"> PAGEREF _Toc62808066 \h </w:instrText>
        </w:r>
        <w:r>
          <w:rPr>
            <w:webHidden/>
          </w:rPr>
        </w:r>
        <w:r>
          <w:rPr>
            <w:webHidden/>
          </w:rPr>
          <w:fldChar w:fldCharType="separate"/>
        </w:r>
        <w:r>
          <w:rPr>
            <w:webHidden/>
          </w:rPr>
          <w:t>33</w:t>
        </w:r>
        <w:r>
          <w:rPr>
            <w:webHidden/>
          </w:rPr>
          <w:fldChar w:fldCharType="end"/>
        </w:r>
      </w:hyperlink>
    </w:p>
    <w:p w14:paraId="52D466C1" w14:textId="1758E316" w:rsidR="00C9062D" w:rsidRDefault="00C9062D">
      <w:pPr>
        <w:pStyle w:val="TOC3"/>
        <w:rPr>
          <w:rFonts w:eastAsiaTheme="minorEastAsia" w:cstheme="minorBidi"/>
          <w:color w:val="auto"/>
          <w:sz w:val="24"/>
          <w:szCs w:val="24"/>
          <w:lang w:eastAsia="en-GB"/>
        </w:rPr>
      </w:pPr>
      <w:hyperlink w:anchor="_Toc62808067" w:history="1">
        <w:r w:rsidRPr="00126835">
          <w:rPr>
            <w:rStyle w:val="Hyperlink"/>
          </w:rPr>
          <w:t>Property Transactions</w:t>
        </w:r>
        <w:r>
          <w:rPr>
            <w:webHidden/>
          </w:rPr>
          <w:tab/>
        </w:r>
        <w:r>
          <w:rPr>
            <w:webHidden/>
          </w:rPr>
          <w:fldChar w:fldCharType="begin"/>
        </w:r>
        <w:r>
          <w:rPr>
            <w:webHidden/>
          </w:rPr>
          <w:instrText xml:space="preserve"> PAGEREF _Toc62808067 \h </w:instrText>
        </w:r>
        <w:r>
          <w:rPr>
            <w:webHidden/>
          </w:rPr>
        </w:r>
        <w:r>
          <w:rPr>
            <w:webHidden/>
          </w:rPr>
          <w:fldChar w:fldCharType="separate"/>
        </w:r>
        <w:r>
          <w:rPr>
            <w:webHidden/>
          </w:rPr>
          <w:t>35</w:t>
        </w:r>
        <w:r>
          <w:rPr>
            <w:webHidden/>
          </w:rPr>
          <w:fldChar w:fldCharType="end"/>
        </w:r>
      </w:hyperlink>
    </w:p>
    <w:p w14:paraId="3976D839" w14:textId="7AC2DCFF" w:rsidR="00C9062D" w:rsidRDefault="00C9062D">
      <w:pPr>
        <w:pStyle w:val="TOC3"/>
        <w:rPr>
          <w:rFonts w:eastAsiaTheme="minorEastAsia" w:cstheme="minorBidi"/>
          <w:color w:val="auto"/>
          <w:sz w:val="24"/>
          <w:szCs w:val="24"/>
          <w:lang w:eastAsia="en-GB"/>
        </w:rPr>
      </w:pPr>
      <w:hyperlink w:anchor="_Toc62808068" w:history="1">
        <w:r w:rsidRPr="00126835">
          <w:rPr>
            <w:rStyle w:val="Hyperlink"/>
          </w:rPr>
          <w:t>Design and Sustainable Planning</w:t>
        </w:r>
        <w:r>
          <w:rPr>
            <w:webHidden/>
          </w:rPr>
          <w:tab/>
        </w:r>
        <w:r>
          <w:rPr>
            <w:webHidden/>
          </w:rPr>
          <w:fldChar w:fldCharType="begin"/>
        </w:r>
        <w:r>
          <w:rPr>
            <w:webHidden/>
          </w:rPr>
          <w:instrText xml:space="preserve"> PAGEREF _Toc62808068 \h </w:instrText>
        </w:r>
        <w:r>
          <w:rPr>
            <w:webHidden/>
          </w:rPr>
        </w:r>
        <w:r>
          <w:rPr>
            <w:webHidden/>
          </w:rPr>
          <w:fldChar w:fldCharType="separate"/>
        </w:r>
        <w:r>
          <w:rPr>
            <w:webHidden/>
          </w:rPr>
          <w:t>35</w:t>
        </w:r>
        <w:r>
          <w:rPr>
            <w:webHidden/>
          </w:rPr>
          <w:fldChar w:fldCharType="end"/>
        </w:r>
      </w:hyperlink>
    </w:p>
    <w:p w14:paraId="1F51E1F1" w14:textId="5E5C2ABA" w:rsidR="00C9062D" w:rsidRDefault="00C9062D">
      <w:pPr>
        <w:pStyle w:val="TOC3"/>
        <w:rPr>
          <w:rFonts w:eastAsiaTheme="minorEastAsia" w:cstheme="minorBidi"/>
          <w:color w:val="auto"/>
          <w:sz w:val="24"/>
          <w:szCs w:val="24"/>
          <w:lang w:eastAsia="en-GB"/>
        </w:rPr>
      </w:pPr>
      <w:hyperlink w:anchor="_Toc62808069" w:history="1">
        <w:r w:rsidRPr="00126835">
          <w:rPr>
            <w:rStyle w:val="Hyperlink"/>
          </w:rPr>
          <w:t>Learning and Development</w:t>
        </w:r>
        <w:r>
          <w:rPr>
            <w:webHidden/>
          </w:rPr>
          <w:tab/>
        </w:r>
        <w:r>
          <w:rPr>
            <w:webHidden/>
          </w:rPr>
          <w:fldChar w:fldCharType="begin"/>
        </w:r>
        <w:r>
          <w:rPr>
            <w:webHidden/>
          </w:rPr>
          <w:instrText xml:space="preserve"> PAGEREF _Toc62808069 \h </w:instrText>
        </w:r>
        <w:r>
          <w:rPr>
            <w:webHidden/>
          </w:rPr>
        </w:r>
        <w:r>
          <w:rPr>
            <w:webHidden/>
          </w:rPr>
          <w:fldChar w:fldCharType="separate"/>
        </w:r>
        <w:r>
          <w:rPr>
            <w:webHidden/>
          </w:rPr>
          <w:t>35</w:t>
        </w:r>
        <w:r>
          <w:rPr>
            <w:webHidden/>
          </w:rPr>
          <w:fldChar w:fldCharType="end"/>
        </w:r>
      </w:hyperlink>
    </w:p>
    <w:p w14:paraId="2355AF39" w14:textId="140C94E8" w:rsidR="00C9062D" w:rsidRDefault="00C9062D">
      <w:pPr>
        <w:pStyle w:val="TOC3"/>
        <w:rPr>
          <w:rFonts w:eastAsiaTheme="minorEastAsia" w:cstheme="minorBidi"/>
          <w:color w:val="auto"/>
          <w:sz w:val="24"/>
          <w:szCs w:val="24"/>
          <w:lang w:eastAsia="en-GB"/>
        </w:rPr>
      </w:pPr>
      <w:hyperlink w:anchor="_Toc62808070" w:history="1">
        <w:r w:rsidRPr="00126835">
          <w:rPr>
            <w:rStyle w:val="Hyperlink"/>
          </w:rPr>
          <w:t>Information Technology</w:t>
        </w:r>
        <w:r>
          <w:rPr>
            <w:webHidden/>
          </w:rPr>
          <w:tab/>
        </w:r>
        <w:r>
          <w:rPr>
            <w:webHidden/>
          </w:rPr>
          <w:fldChar w:fldCharType="begin"/>
        </w:r>
        <w:r>
          <w:rPr>
            <w:webHidden/>
          </w:rPr>
          <w:instrText xml:space="preserve"> PAGEREF _Toc62808070 \h </w:instrText>
        </w:r>
        <w:r>
          <w:rPr>
            <w:webHidden/>
          </w:rPr>
        </w:r>
        <w:r>
          <w:rPr>
            <w:webHidden/>
          </w:rPr>
          <w:fldChar w:fldCharType="separate"/>
        </w:r>
        <w:r>
          <w:rPr>
            <w:webHidden/>
          </w:rPr>
          <w:t>35</w:t>
        </w:r>
        <w:r>
          <w:rPr>
            <w:webHidden/>
          </w:rPr>
          <w:fldChar w:fldCharType="end"/>
        </w:r>
      </w:hyperlink>
    </w:p>
    <w:p w14:paraId="292FDAED" w14:textId="559D94C7" w:rsidR="00C9062D" w:rsidRDefault="00C9062D">
      <w:pPr>
        <w:pStyle w:val="TOC3"/>
        <w:rPr>
          <w:rFonts w:eastAsiaTheme="minorEastAsia" w:cstheme="minorBidi"/>
          <w:color w:val="auto"/>
          <w:sz w:val="24"/>
          <w:szCs w:val="24"/>
          <w:lang w:eastAsia="en-GB"/>
        </w:rPr>
      </w:pPr>
      <w:hyperlink w:anchor="_Toc62808071" w:history="1">
        <w:r w:rsidRPr="00126835">
          <w:rPr>
            <w:rStyle w:val="Hyperlink"/>
          </w:rPr>
          <w:t>Technology Independence for Court Services Victoria</w:t>
        </w:r>
        <w:r>
          <w:rPr>
            <w:webHidden/>
          </w:rPr>
          <w:tab/>
        </w:r>
        <w:r>
          <w:rPr>
            <w:webHidden/>
          </w:rPr>
          <w:fldChar w:fldCharType="begin"/>
        </w:r>
        <w:r>
          <w:rPr>
            <w:webHidden/>
          </w:rPr>
          <w:instrText xml:space="preserve"> PAGEREF _Toc62808071 \h </w:instrText>
        </w:r>
        <w:r>
          <w:rPr>
            <w:webHidden/>
          </w:rPr>
        </w:r>
        <w:r>
          <w:rPr>
            <w:webHidden/>
          </w:rPr>
          <w:fldChar w:fldCharType="separate"/>
        </w:r>
        <w:r>
          <w:rPr>
            <w:webHidden/>
          </w:rPr>
          <w:t>36</w:t>
        </w:r>
        <w:r>
          <w:rPr>
            <w:webHidden/>
          </w:rPr>
          <w:fldChar w:fldCharType="end"/>
        </w:r>
      </w:hyperlink>
    </w:p>
    <w:p w14:paraId="2BEE78EF" w14:textId="632F73C5" w:rsidR="00C9062D" w:rsidRDefault="00C9062D">
      <w:pPr>
        <w:pStyle w:val="TOC3"/>
        <w:rPr>
          <w:rFonts w:eastAsiaTheme="minorEastAsia" w:cstheme="minorBidi"/>
          <w:color w:val="auto"/>
          <w:sz w:val="24"/>
          <w:szCs w:val="24"/>
          <w:lang w:eastAsia="en-GB"/>
        </w:rPr>
      </w:pPr>
      <w:hyperlink w:anchor="_Toc62808072" w:history="1">
        <w:r w:rsidRPr="00126835">
          <w:rPr>
            <w:rStyle w:val="Hyperlink"/>
          </w:rPr>
          <w:t>In-Court Technology</w:t>
        </w:r>
        <w:r>
          <w:rPr>
            <w:webHidden/>
          </w:rPr>
          <w:tab/>
        </w:r>
        <w:r>
          <w:rPr>
            <w:webHidden/>
          </w:rPr>
          <w:fldChar w:fldCharType="begin"/>
        </w:r>
        <w:r>
          <w:rPr>
            <w:webHidden/>
          </w:rPr>
          <w:instrText xml:space="preserve"> PAGEREF _Toc62808072 \h </w:instrText>
        </w:r>
        <w:r>
          <w:rPr>
            <w:webHidden/>
          </w:rPr>
        </w:r>
        <w:r>
          <w:rPr>
            <w:webHidden/>
          </w:rPr>
          <w:fldChar w:fldCharType="separate"/>
        </w:r>
        <w:r>
          <w:rPr>
            <w:webHidden/>
          </w:rPr>
          <w:t>36</w:t>
        </w:r>
        <w:r>
          <w:rPr>
            <w:webHidden/>
          </w:rPr>
          <w:fldChar w:fldCharType="end"/>
        </w:r>
      </w:hyperlink>
    </w:p>
    <w:p w14:paraId="76A2438F" w14:textId="3F8CF068" w:rsidR="00C9062D" w:rsidRDefault="00C9062D">
      <w:pPr>
        <w:pStyle w:val="TOC2"/>
        <w:rPr>
          <w:rFonts w:eastAsiaTheme="minorEastAsia" w:cstheme="minorBidi"/>
          <w:color w:val="auto"/>
          <w:sz w:val="24"/>
          <w:szCs w:val="24"/>
          <w:lang w:eastAsia="en-GB"/>
        </w:rPr>
      </w:pPr>
      <w:hyperlink w:anchor="_Toc62808073" w:history="1">
        <w:r w:rsidRPr="00126835">
          <w:rPr>
            <w:rStyle w:val="Hyperlink"/>
          </w:rPr>
          <w:t>Output Performance</w:t>
        </w:r>
        <w:r>
          <w:rPr>
            <w:webHidden/>
          </w:rPr>
          <w:tab/>
        </w:r>
        <w:r>
          <w:rPr>
            <w:webHidden/>
          </w:rPr>
          <w:fldChar w:fldCharType="begin"/>
        </w:r>
        <w:r>
          <w:rPr>
            <w:webHidden/>
          </w:rPr>
          <w:instrText xml:space="preserve"> PAGEREF _Toc62808073 \h </w:instrText>
        </w:r>
        <w:r>
          <w:rPr>
            <w:webHidden/>
          </w:rPr>
        </w:r>
        <w:r>
          <w:rPr>
            <w:webHidden/>
          </w:rPr>
          <w:fldChar w:fldCharType="separate"/>
        </w:r>
        <w:r>
          <w:rPr>
            <w:webHidden/>
          </w:rPr>
          <w:t>36</w:t>
        </w:r>
        <w:r>
          <w:rPr>
            <w:webHidden/>
          </w:rPr>
          <w:fldChar w:fldCharType="end"/>
        </w:r>
      </w:hyperlink>
    </w:p>
    <w:p w14:paraId="4A06C3E1" w14:textId="43EA8393" w:rsidR="00C9062D" w:rsidRDefault="00C9062D">
      <w:pPr>
        <w:pStyle w:val="TOC3"/>
        <w:rPr>
          <w:rFonts w:eastAsiaTheme="minorEastAsia" w:cstheme="minorBidi"/>
          <w:color w:val="auto"/>
          <w:sz w:val="24"/>
          <w:szCs w:val="24"/>
          <w:lang w:eastAsia="en-GB"/>
        </w:rPr>
      </w:pPr>
      <w:hyperlink w:anchor="_Toc62808074" w:history="1">
        <w:r w:rsidRPr="00126835">
          <w:rPr>
            <w:rStyle w:val="Hyperlink"/>
          </w:rPr>
          <w:t>Courts Mission Statement</w:t>
        </w:r>
        <w:r>
          <w:rPr>
            <w:webHidden/>
          </w:rPr>
          <w:tab/>
        </w:r>
        <w:r>
          <w:rPr>
            <w:webHidden/>
          </w:rPr>
          <w:fldChar w:fldCharType="begin"/>
        </w:r>
        <w:r>
          <w:rPr>
            <w:webHidden/>
          </w:rPr>
          <w:instrText xml:space="preserve"> PAGEREF _Toc62808074 \h </w:instrText>
        </w:r>
        <w:r>
          <w:rPr>
            <w:webHidden/>
          </w:rPr>
        </w:r>
        <w:r>
          <w:rPr>
            <w:webHidden/>
          </w:rPr>
          <w:fldChar w:fldCharType="separate"/>
        </w:r>
        <w:r>
          <w:rPr>
            <w:webHidden/>
          </w:rPr>
          <w:t>37</w:t>
        </w:r>
        <w:r>
          <w:rPr>
            <w:webHidden/>
          </w:rPr>
          <w:fldChar w:fldCharType="end"/>
        </w:r>
      </w:hyperlink>
    </w:p>
    <w:p w14:paraId="00955D31" w14:textId="122E46AD" w:rsidR="00C9062D" w:rsidRDefault="00C9062D">
      <w:pPr>
        <w:pStyle w:val="TOC3"/>
        <w:rPr>
          <w:rFonts w:eastAsiaTheme="minorEastAsia" w:cstheme="minorBidi"/>
          <w:color w:val="auto"/>
          <w:sz w:val="24"/>
          <w:szCs w:val="24"/>
          <w:lang w:eastAsia="en-GB"/>
        </w:rPr>
      </w:pPr>
      <w:hyperlink w:anchor="_Toc62808075" w:history="1">
        <w:r w:rsidRPr="00126835">
          <w:rPr>
            <w:rStyle w:val="Hyperlink"/>
          </w:rPr>
          <w:t>Courts Objective</w:t>
        </w:r>
        <w:r>
          <w:rPr>
            <w:webHidden/>
          </w:rPr>
          <w:tab/>
        </w:r>
        <w:r>
          <w:rPr>
            <w:webHidden/>
          </w:rPr>
          <w:fldChar w:fldCharType="begin"/>
        </w:r>
        <w:r>
          <w:rPr>
            <w:webHidden/>
          </w:rPr>
          <w:instrText xml:space="preserve"> PAGEREF _Toc62808075 \h </w:instrText>
        </w:r>
        <w:r>
          <w:rPr>
            <w:webHidden/>
          </w:rPr>
        </w:r>
        <w:r>
          <w:rPr>
            <w:webHidden/>
          </w:rPr>
          <w:fldChar w:fldCharType="separate"/>
        </w:r>
        <w:r>
          <w:rPr>
            <w:webHidden/>
          </w:rPr>
          <w:t>37</w:t>
        </w:r>
        <w:r>
          <w:rPr>
            <w:webHidden/>
          </w:rPr>
          <w:fldChar w:fldCharType="end"/>
        </w:r>
      </w:hyperlink>
    </w:p>
    <w:p w14:paraId="7D24DB17" w14:textId="46217A64" w:rsidR="00C9062D" w:rsidRDefault="00C9062D">
      <w:pPr>
        <w:pStyle w:val="TOC3"/>
        <w:rPr>
          <w:rFonts w:eastAsiaTheme="minorEastAsia" w:cstheme="minorBidi"/>
          <w:color w:val="auto"/>
          <w:sz w:val="24"/>
          <w:szCs w:val="24"/>
          <w:lang w:eastAsia="en-GB"/>
        </w:rPr>
      </w:pPr>
      <w:hyperlink w:anchor="_Toc62808076" w:history="1">
        <w:r w:rsidRPr="00126835">
          <w:rPr>
            <w:rStyle w:val="Hyperlink"/>
          </w:rPr>
          <w:t>Courts Indicators</w:t>
        </w:r>
        <w:r>
          <w:rPr>
            <w:webHidden/>
          </w:rPr>
          <w:tab/>
        </w:r>
        <w:r>
          <w:rPr>
            <w:webHidden/>
          </w:rPr>
          <w:fldChar w:fldCharType="begin"/>
        </w:r>
        <w:r>
          <w:rPr>
            <w:webHidden/>
          </w:rPr>
          <w:instrText xml:space="preserve"> PAGEREF _Toc62808076 \h </w:instrText>
        </w:r>
        <w:r>
          <w:rPr>
            <w:webHidden/>
          </w:rPr>
        </w:r>
        <w:r>
          <w:rPr>
            <w:webHidden/>
          </w:rPr>
          <w:fldChar w:fldCharType="separate"/>
        </w:r>
        <w:r>
          <w:rPr>
            <w:webHidden/>
          </w:rPr>
          <w:t>37</w:t>
        </w:r>
        <w:r>
          <w:rPr>
            <w:webHidden/>
          </w:rPr>
          <w:fldChar w:fldCharType="end"/>
        </w:r>
      </w:hyperlink>
    </w:p>
    <w:p w14:paraId="09F60DB3" w14:textId="6B3601D7" w:rsidR="00C9062D" w:rsidRDefault="00C9062D">
      <w:pPr>
        <w:pStyle w:val="TOC3"/>
        <w:rPr>
          <w:rFonts w:eastAsiaTheme="minorEastAsia" w:cstheme="minorBidi"/>
          <w:color w:val="auto"/>
          <w:sz w:val="24"/>
          <w:szCs w:val="24"/>
          <w:lang w:eastAsia="en-GB"/>
        </w:rPr>
      </w:pPr>
      <w:hyperlink w:anchor="_Toc62808077" w:history="1">
        <w:r w:rsidRPr="00126835">
          <w:rPr>
            <w:rStyle w:val="Hyperlink"/>
          </w:rPr>
          <w:t>International Framework for Court Excellence</w:t>
        </w:r>
        <w:r>
          <w:rPr>
            <w:webHidden/>
          </w:rPr>
          <w:tab/>
        </w:r>
        <w:r>
          <w:rPr>
            <w:webHidden/>
          </w:rPr>
          <w:fldChar w:fldCharType="begin"/>
        </w:r>
        <w:r>
          <w:rPr>
            <w:webHidden/>
          </w:rPr>
          <w:instrText xml:space="preserve"> PAGEREF _Toc62808077 \h </w:instrText>
        </w:r>
        <w:r>
          <w:rPr>
            <w:webHidden/>
          </w:rPr>
        </w:r>
        <w:r>
          <w:rPr>
            <w:webHidden/>
          </w:rPr>
          <w:fldChar w:fldCharType="separate"/>
        </w:r>
        <w:r>
          <w:rPr>
            <w:webHidden/>
          </w:rPr>
          <w:t>37</w:t>
        </w:r>
        <w:r>
          <w:rPr>
            <w:webHidden/>
          </w:rPr>
          <w:fldChar w:fldCharType="end"/>
        </w:r>
      </w:hyperlink>
    </w:p>
    <w:p w14:paraId="3F785349" w14:textId="437FA5E2" w:rsidR="00C9062D" w:rsidRDefault="00C9062D">
      <w:pPr>
        <w:pStyle w:val="TOC2"/>
        <w:rPr>
          <w:rFonts w:eastAsiaTheme="minorEastAsia" w:cstheme="minorBidi"/>
          <w:color w:val="auto"/>
          <w:sz w:val="24"/>
          <w:szCs w:val="24"/>
          <w:lang w:eastAsia="en-GB"/>
        </w:rPr>
      </w:pPr>
      <w:hyperlink w:anchor="_Toc62808078" w:history="1">
        <w:r w:rsidRPr="00126835">
          <w:rPr>
            <w:rStyle w:val="Hyperlink"/>
          </w:rPr>
          <w:t>Performance Against Measures</w:t>
        </w:r>
        <w:r>
          <w:rPr>
            <w:webHidden/>
          </w:rPr>
          <w:tab/>
        </w:r>
        <w:r>
          <w:rPr>
            <w:webHidden/>
          </w:rPr>
          <w:fldChar w:fldCharType="begin"/>
        </w:r>
        <w:r>
          <w:rPr>
            <w:webHidden/>
          </w:rPr>
          <w:instrText xml:space="preserve"> PAGEREF _Toc62808078 \h </w:instrText>
        </w:r>
        <w:r>
          <w:rPr>
            <w:webHidden/>
          </w:rPr>
        </w:r>
        <w:r>
          <w:rPr>
            <w:webHidden/>
          </w:rPr>
          <w:fldChar w:fldCharType="separate"/>
        </w:r>
        <w:r>
          <w:rPr>
            <w:webHidden/>
          </w:rPr>
          <w:t>37</w:t>
        </w:r>
        <w:r>
          <w:rPr>
            <w:webHidden/>
          </w:rPr>
          <w:fldChar w:fldCharType="end"/>
        </w:r>
      </w:hyperlink>
    </w:p>
    <w:p w14:paraId="061FE766" w14:textId="16E63B6B" w:rsidR="00C9062D" w:rsidRDefault="00C9062D">
      <w:pPr>
        <w:pStyle w:val="TOC2"/>
        <w:rPr>
          <w:rFonts w:eastAsiaTheme="minorEastAsia" w:cstheme="minorBidi"/>
          <w:color w:val="auto"/>
          <w:sz w:val="24"/>
          <w:szCs w:val="24"/>
          <w:lang w:eastAsia="en-GB"/>
        </w:rPr>
      </w:pPr>
      <w:hyperlink w:anchor="_Toc62808079" w:history="1">
        <w:r w:rsidRPr="00126835">
          <w:rPr>
            <w:rStyle w:val="Hyperlink"/>
          </w:rPr>
          <w:t>Financial Summary and Review</w:t>
        </w:r>
        <w:r>
          <w:rPr>
            <w:webHidden/>
          </w:rPr>
          <w:tab/>
        </w:r>
        <w:r>
          <w:rPr>
            <w:webHidden/>
          </w:rPr>
          <w:fldChar w:fldCharType="begin"/>
        </w:r>
        <w:r>
          <w:rPr>
            <w:webHidden/>
          </w:rPr>
          <w:instrText xml:space="preserve"> PAGEREF _Toc62808079 \h </w:instrText>
        </w:r>
        <w:r>
          <w:rPr>
            <w:webHidden/>
          </w:rPr>
        </w:r>
        <w:r>
          <w:rPr>
            <w:webHidden/>
          </w:rPr>
          <w:fldChar w:fldCharType="separate"/>
        </w:r>
        <w:r>
          <w:rPr>
            <w:webHidden/>
          </w:rPr>
          <w:t>44</w:t>
        </w:r>
        <w:r>
          <w:rPr>
            <w:webHidden/>
          </w:rPr>
          <w:fldChar w:fldCharType="end"/>
        </w:r>
      </w:hyperlink>
    </w:p>
    <w:p w14:paraId="10FCD94C" w14:textId="00F6D818" w:rsidR="00C9062D" w:rsidRDefault="00C9062D">
      <w:pPr>
        <w:pStyle w:val="TOC3"/>
        <w:rPr>
          <w:rFonts w:eastAsiaTheme="minorEastAsia" w:cstheme="minorBidi"/>
          <w:color w:val="auto"/>
          <w:sz w:val="24"/>
          <w:szCs w:val="24"/>
          <w:lang w:eastAsia="en-GB"/>
        </w:rPr>
      </w:pPr>
      <w:hyperlink w:anchor="_Toc62808080" w:history="1">
        <w:r w:rsidRPr="00126835">
          <w:rPr>
            <w:rStyle w:val="Hyperlink"/>
          </w:rPr>
          <w:t>Five-Year Financial Summary</w:t>
        </w:r>
        <w:r>
          <w:rPr>
            <w:webHidden/>
          </w:rPr>
          <w:tab/>
        </w:r>
        <w:r>
          <w:rPr>
            <w:webHidden/>
          </w:rPr>
          <w:fldChar w:fldCharType="begin"/>
        </w:r>
        <w:r>
          <w:rPr>
            <w:webHidden/>
          </w:rPr>
          <w:instrText xml:space="preserve"> PAGEREF _Toc62808080 \h </w:instrText>
        </w:r>
        <w:r>
          <w:rPr>
            <w:webHidden/>
          </w:rPr>
        </w:r>
        <w:r>
          <w:rPr>
            <w:webHidden/>
          </w:rPr>
          <w:fldChar w:fldCharType="separate"/>
        </w:r>
        <w:r>
          <w:rPr>
            <w:webHidden/>
          </w:rPr>
          <w:t>45</w:t>
        </w:r>
        <w:r>
          <w:rPr>
            <w:webHidden/>
          </w:rPr>
          <w:fldChar w:fldCharType="end"/>
        </w:r>
      </w:hyperlink>
    </w:p>
    <w:p w14:paraId="4F28F6A6" w14:textId="3DBA120A" w:rsidR="00C9062D" w:rsidRDefault="00C9062D">
      <w:pPr>
        <w:pStyle w:val="TOC3"/>
        <w:rPr>
          <w:rFonts w:eastAsiaTheme="minorEastAsia" w:cstheme="minorBidi"/>
          <w:color w:val="auto"/>
          <w:sz w:val="24"/>
          <w:szCs w:val="24"/>
          <w:lang w:eastAsia="en-GB"/>
        </w:rPr>
      </w:pPr>
      <w:hyperlink w:anchor="_Toc62808081" w:history="1">
        <w:r w:rsidRPr="00126835">
          <w:rPr>
            <w:rStyle w:val="Hyperlink"/>
          </w:rPr>
          <w:t>Court Services Victoria Current Year Financial Review</w:t>
        </w:r>
        <w:r>
          <w:rPr>
            <w:webHidden/>
          </w:rPr>
          <w:tab/>
        </w:r>
        <w:r>
          <w:rPr>
            <w:webHidden/>
          </w:rPr>
          <w:fldChar w:fldCharType="begin"/>
        </w:r>
        <w:r>
          <w:rPr>
            <w:webHidden/>
          </w:rPr>
          <w:instrText xml:space="preserve"> PAGEREF _Toc62808081 \h </w:instrText>
        </w:r>
        <w:r>
          <w:rPr>
            <w:webHidden/>
          </w:rPr>
        </w:r>
        <w:r>
          <w:rPr>
            <w:webHidden/>
          </w:rPr>
          <w:fldChar w:fldCharType="separate"/>
        </w:r>
        <w:r>
          <w:rPr>
            <w:webHidden/>
          </w:rPr>
          <w:t>45</w:t>
        </w:r>
        <w:r>
          <w:rPr>
            <w:webHidden/>
          </w:rPr>
          <w:fldChar w:fldCharType="end"/>
        </w:r>
      </w:hyperlink>
    </w:p>
    <w:p w14:paraId="718B276D" w14:textId="2C7E60FD" w:rsidR="00C9062D" w:rsidRDefault="00C9062D">
      <w:pPr>
        <w:pStyle w:val="TOC3"/>
        <w:rPr>
          <w:rFonts w:eastAsiaTheme="minorEastAsia" w:cstheme="minorBidi"/>
          <w:color w:val="auto"/>
          <w:sz w:val="24"/>
          <w:szCs w:val="24"/>
          <w:lang w:eastAsia="en-GB"/>
        </w:rPr>
      </w:pPr>
      <w:hyperlink w:anchor="_Toc62808082" w:history="1">
        <w:r w:rsidRPr="00126835">
          <w:rPr>
            <w:rStyle w:val="Hyperlink"/>
          </w:rPr>
          <w:t>Budget Allocation</w:t>
        </w:r>
        <w:r>
          <w:rPr>
            <w:webHidden/>
          </w:rPr>
          <w:tab/>
        </w:r>
        <w:r>
          <w:rPr>
            <w:webHidden/>
          </w:rPr>
          <w:fldChar w:fldCharType="begin"/>
        </w:r>
        <w:r>
          <w:rPr>
            <w:webHidden/>
          </w:rPr>
          <w:instrText xml:space="preserve"> PAGEREF _Toc62808082 \h </w:instrText>
        </w:r>
        <w:r>
          <w:rPr>
            <w:webHidden/>
          </w:rPr>
        </w:r>
        <w:r>
          <w:rPr>
            <w:webHidden/>
          </w:rPr>
          <w:fldChar w:fldCharType="separate"/>
        </w:r>
        <w:r>
          <w:rPr>
            <w:webHidden/>
          </w:rPr>
          <w:t>45</w:t>
        </w:r>
        <w:r>
          <w:rPr>
            <w:webHidden/>
          </w:rPr>
          <w:fldChar w:fldCharType="end"/>
        </w:r>
      </w:hyperlink>
    </w:p>
    <w:p w14:paraId="02747ABC" w14:textId="231EECB2" w:rsidR="00C9062D" w:rsidRDefault="00C9062D">
      <w:pPr>
        <w:pStyle w:val="TOC3"/>
        <w:rPr>
          <w:rFonts w:eastAsiaTheme="minorEastAsia" w:cstheme="minorBidi"/>
          <w:color w:val="auto"/>
          <w:sz w:val="24"/>
          <w:szCs w:val="24"/>
          <w:lang w:eastAsia="en-GB"/>
        </w:rPr>
      </w:pPr>
      <w:hyperlink w:anchor="_Toc62808083" w:history="1">
        <w:r w:rsidRPr="00126835">
          <w:rPr>
            <w:rStyle w:val="Hyperlink"/>
          </w:rPr>
          <w:t>Disclosure of Grants and Transfer Payments (other than contributions by owners)</w:t>
        </w:r>
        <w:r>
          <w:rPr>
            <w:webHidden/>
          </w:rPr>
          <w:tab/>
        </w:r>
        <w:r>
          <w:rPr>
            <w:webHidden/>
          </w:rPr>
          <w:fldChar w:fldCharType="begin"/>
        </w:r>
        <w:r>
          <w:rPr>
            <w:webHidden/>
          </w:rPr>
          <w:instrText xml:space="preserve"> PAGEREF _Toc62808083 \h </w:instrText>
        </w:r>
        <w:r>
          <w:rPr>
            <w:webHidden/>
          </w:rPr>
        </w:r>
        <w:r>
          <w:rPr>
            <w:webHidden/>
          </w:rPr>
          <w:fldChar w:fldCharType="separate"/>
        </w:r>
        <w:r>
          <w:rPr>
            <w:webHidden/>
          </w:rPr>
          <w:t>47</w:t>
        </w:r>
        <w:r>
          <w:rPr>
            <w:webHidden/>
          </w:rPr>
          <w:fldChar w:fldCharType="end"/>
        </w:r>
      </w:hyperlink>
    </w:p>
    <w:p w14:paraId="499534C5" w14:textId="4D0DE9C6" w:rsidR="00C9062D" w:rsidRDefault="00C9062D">
      <w:pPr>
        <w:pStyle w:val="TOC1"/>
        <w:rPr>
          <w:rFonts w:eastAsiaTheme="minorEastAsia" w:cstheme="minorBidi"/>
          <w:b w:val="0"/>
          <w:color w:val="auto"/>
          <w:sz w:val="24"/>
          <w:szCs w:val="24"/>
          <w:lang w:eastAsia="en-GB"/>
        </w:rPr>
      </w:pPr>
      <w:hyperlink w:anchor="_Toc62808084" w:history="1">
        <w:r w:rsidRPr="00126835">
          <w:rPr>
            <w:rStyle w:val="Hyperlink"/>
          </w:rPr>
          <w:t>Section 3: Workforce Data</w:t>
        </w:r>
        <w:r>
          <w:rPr>
            <w:webHidden/>
          </w:rPr>
          <w:tab/>
        </w:r>
        <w:r>
          <w:rPr>
            <w:webHidden/>
          </w:rPr>
          <w:fldChar w:fldCharType="begin"/>
        </w:r>
        <w:r>
          <w:rPr>
            <w:webHidden/>
          </w:rPr>
          <w:instrText xml:space="preserve"> PAGEREF _Toc62808084 \h </w:instrText>
        </w:r>
        <w:r>
          <w:rPr>
            <w:webHidden/>
          </w:rPr>
        </w:r>
        <w:r>
          <w:rPr>
            <w:webHidden/>
          </w:rPr>
          <w:fldChar w:fldCharType="separate"/>
        </w:r>
        <w:r>
          <w:rPr>
            <w:webHidden/>
          </w:rPr>
          <w:t>48</w:t>
        </w:r>
        <w:r>
          <w:rPr>
            <w:webHidden/>
          </w:rPr>
          <w:fldChar w:fldCharType="end"/>
        </w:r>
      </w:hyperlink>
    </w:p>
    <w:p w14:paraId="7C16456D" w14:textId="790F5CDC" w:rsidR="00C9062D" w:rsidRDefault="00C9062D">
      <w:pPr>
        <w:pStyle w:val="TOC2"/>
        <w:rPr>
          <w:rFonts w:eastAsiaTheme="minorEastAsia" w:cstheme="minorBidi"/>
          <w:color w:val="auto"/>
          <w:sz w:val="24"/>
          <w:szCs w:val="24"/>
          <w:lang w:eastAsia="en-GB"/>
        </w:rPr>
      </w:pPr>
      <w:hyperlink w:anchor="_Toc62808085" w:history="1">
        <w:r w:rsidRPr="00126835">
          <w:rPr>
            <w:rStyle w:val="Hyperlink"/>
          </w:rPr>
          <w:t>Workforce Data</w:t>
        </w:r>
        <w:r>
          <w:rPr>
            <w:webHidden/>
          </w:rPr>
          <w:tab/>
        </w:r>
        <w:r>
          <w:rPr>
            <w:webHidden/>
          </w:rPr>
          <w:fldChar w:fldCharType="begin"/>
        </w:r>
        <w:r>
          <w:rPr>
            <w:webHidden/>
          </w:rPr>
          <w:instrText xml:space="preserve"> PAGEREF _Toc62808085 \h </w:instrText>
        </w:r>
        <w:r>
          <w:rPr>
            <w:webHidden/>
          </w:rPr>
        </w:r>
        <w:r>
          <w:rPr>
            <w:webHidden/>
          </w:rPr>
          <w:fldChar w:fldCharType="separate"/>
        </w:r>
        <w:r>
          <w:rPr>
            <w:webHidden/>
          </w:rPr>
          <w:t>48</w:t>
        </w:r>
        <w:r>
          <w:rPr>
            <w:webHidden/>
          </w:rPr>
          <w:fldChar w:fldCharType="end"/>
        </w:r>
      </w:hyperlink>
    </w:p>
    <w:p w14:paraId="7D7271F6" w14:textId="768BE805" w:rsidR="00C9062D" w:rsidRDefault="00C9062D">
      <w:pPr>
        <w:pStyle w:val="TOC2"/>
        <w:rPr>
          <w:rFonts w:eastAsiaTheme="minorEastAsia" w:cstheme="minorBidi"/>
          <w:color w:val="auto"/>
          <w:sz w:val="24"/>
          <w:szCs w:val="24"/>
          <w:lang w:eastAsia="en-GB"/>
        </w:rPr>
      </w:pPr>
      <w:hyperlink w:anchor="_Toc62808086" w:history="1">
        <w:r w:rsidRPr="00126835">
          <w:rPr>
            <w:rStyle w:val="Hyperlink"/>
          </w:rPr>
          <w:t>Executive Officer Data</w:t>
        </w:r>
        <w:r>
          <w:rPr>
            <w:webHidden/>
          </w:rPr>
          <w:tab/>
        </w:r>
        <w:r>
          <w:rPr>
            <w:webHidden/>
          </w:rPr>
          <w:fldChar w:fldCharType="begin"/>
        </w:r>
        <w:r>
          <w:rPr>
            <w:webHidden/>
          </w:rPr>
          <w:instrText xml:space="preserve"> PAGEREF _Toc62808086 \h </w:instrText>
        </w:r>
        <w:r>
          <w:rPr>
            <w:webHidden/>
          </w:rPr>
        </w:r>
        <w:r>
          <w:rPr>
            <w:webHidden/>
          </w:rPr>
          <w:fldChar w:fldCharType="separate"/>
        </w:r>
        <w:r>
          <w:rPr>
            <w:webHidden/>
          </w:rPr>
          <w:t>51</w:t>
        </w:r>
        <w:r>
          <w:rPr>
            <w:webHidden/>
          </w:rPr>
          <w:fldChar w:fldCharType="end"/>
        </w:r>
      </w:hyperlink>
    </w:p>
    <w:p w14:paraId="2A8AE4E0" w14:textId="49F5CFFF" w:rsidR="00C9062D" w:rsidRDefault="00C9062D">
      <w:pPr>
        <w:pStyle w:val="TOC3"/>
        <w:rPr>
          <w:rFonts w:eastAsiaTheme="minorEastAsia" w:cstheme="minorBidi"/>
          <w:color w:val="auto"/>
          <w:sz w:val="24"/>
          <w:szCs w:val="24"/>
          <w:lang w:eastAsia="en-GB"/>
        </w:rPr>
      </w:pPr>
      <w:hyperlink w:anchor="_Toc62808087" w:history="1">
        <w:r w:rsidRPr="00126835">
          <w:rPr>
            <w:rStyle w:val="Hyperlink"/>
          </w:rPr>
          <w:t>Employment and Conduct Principles</w:t>
        </w:r>
        <w:r>
          <w:rPr>
            <w:webHidden/>
          </w:rPr>
          <w:tab/>
        </w:r>
        <w:r>
          <w:rPr>
            <w:webHidden/>
          </w:rPr>
          <w:fldChar w:fldCharType="begin"/>
        </w:r>
        <w:r>
          <w:rPr>
            <w:webHidden/>
          </w:rPr>
          <w:instrText xml:space="preserve"> PAGEREF _Toc62808087 \h </w:instrText>
        </w:r>
        <w:r>
          <w:rPr>
            <w:webHidden/>
          </w:rPr>
        </w:r>
        <w:r>
          <w:rPr>
            <w:webHidden/>
          </w:rPr>
          <w:fldChar w:fldCharType="separate"/>
        </w:r>
        <w:r>
          <w:rPr>
            <w:webHidden/>
          </w:rPr>
          <w:t>52</w:t>
        </w:r>
        <w:r>
          <w:rPr>
            <w:webHidden/>
          </w:rPr>
          <w:fldChar w:fldCharType="end"/>
        </w:r>
      </w:hyperlink>
    </w:p>
    <w:p w14:paraId="2D7B3E9E" w14:textId="13354F2D" w:rsidR="00C9062D" w:rsidRDefault="00C9062D">
      <w:pPr>
        <w:pStyle w:val="TOC2"/>
        <w:rPr>
          <w:rFonts w:eastAsiaTheme="minorEastAsia" w:cstheme="minorBidi"/>
          <w:color w:val="auto"/>
          <w:sz w:val="24"/>
          <w:szCs w:val="24"/>
          <w:lang w:eastAsia="en-GB"/>
        </w:rPr>
      </w:pPr>
      <w:hyperlink w:anchor="_Toc62808088" w:history="1">
        <w:r w:rsidRPr="00126835">
          <w:rPr>
            <w:rStyle w:val="Hyperlink"/>
          </w:rPr>
          <w:t>Performance Against OH&amp;S Measures</w:t>
        </w:r>
        <w:r>
          <w:rPr>
            <w:webHidden/>
          </w:rPr>
          <w:tab/>
        </w:r>
        <w:r>
          <w:rPr>
            <w:webHidden/>
          </w:rPr>
          <w:fldChar w:fldCharType="begin"/>
        </w:r>
        <w:r>
          <w:rPr>
            <w:webHidden/>
          </w:rPr>
          <w:instrText xml:space="preserve"> PAGEREF _Toc62808088 \h </w:instrText>
        </w:r>
        <w:r>
          <w:rPr>
            <w:webHidden/>
          </w:rPr>
        </w:r>
        <w:r>
          <w:rPr>
            <w:webHidden/>
          </w:rPr>
          <w:fldChar w:fldCharType="separate"/>
        </w:r>
        <w:r>
          <w:rPr>
            <w:webHidden/>
          </w:rPr>
          <w:t>52</w:t>
        </w:r>
        <w:r>
          <w:rPr>
            <w:webHidden/>
          </w:rPr>
          <w:fldChar w:fldCharType="end"/>
        </w:r>
      </w:hyperlink>
    </w:p>
    <w:p w14:paraId="6C1DF3AF" w14:textId="7583BE8B" w:rsidR="00C9062D" w:rsidRDefault="00C9062D">
      <w:pPr>
        <w:pStyle w:val="TOC3"/>
        <w:rPr>
          <w:rFonts w:eastAsiaTheme="minorEastAsia" w:cstheme="minorBidi"/>
          <w:color w:val="auto"/>
          <w:sz w:val="24"/>
          <w:szCs w:val="24"/>
          <w:lang w:eastAsia="en-GB"/>
        </w:rPr>
      </w:pPr>
      <w:hyperlink w:anchor="_Toc62808089" w:history="1">
        <w:r w:rsidRPr="00126835">
          <w:rPr>
            <w:rStyle w:val="Hyperlink"/>
          </w:rPr>
          <w:t>Regular Internal Audits Conducted and Issues Identified and Actioned  during 2019-20</w:t>
        </w:r>
        <w:r>
          <w:rPr>
            <w:webHidden/>
          </w:rPr>
          <w:tab/>
        </w:r>
        <w:r>
          <w:rPr>
            <w:webHidden/>
          </w:rPr>
          <w:fldChar w:fldCharType="begin"/>
        </w:r>
        <w:r>
          <w:rPr>
            <w:webHidden/>
          </w:rPr>
          <w:instrText xml:space="preserve"> PAGEREF _Toc62808089 \h </w:instrText>
        </w:r>
        <w:r>
          <w:rPr>
            <w:webHidden/>
          </w:rPr>
        </w:r>
        <w:r>
          <w:rPr>
            <w:webHidden/>
          </w:rPr>
          <w:fldChar w:fldCharType="separate"/>
        </w:r>
        <w:r>
          <w:rPr>
            <w:webHidden/>
          </w:rPr>
          <w:t>54</w:t>
        </w:r>
        <w:r>
          <w:rPr>
            <w:webHidden/>
          </w:rPr>
          <w:fldChar w:fldCharType="end"/>
        </w:r>
      </w:hyperlink>
    </w:p>
    <w:p w14:paraId="541A7AEE" w14:textId="31728659" w:rsidR="00C9062D" w:rsidRDefault="00C9062D">
      <w:pPr>
        <w:pStyle w:val="TOC3"/>
        <w:rPr>
          <w:rFonts w:eastAsiaTheme="minorEastAsia" w:cstheme="minorBidi"/>
          <w:color w:val="auto"/>
          <w:sz w:val="24"/>
          <w:szCs w:val="24"/>
          <w:lang w:eastAsia="en-GB"/>
        </w:rPr>
      </w:pPr>
      <w:hyperlink w:anchor="_Toc62808090" w:history="1">
        <w:r w:rsidRPr="00126835">
          <w:rPr>
            <w:rStyle w:val="Hyperlink"/>
          </w:rPr>
          <w:t>Managers, Health and Safety Representatives and Other Staff Trained  during 2019-20</w:t>
        </w:r>
        <w:r>
          <w:rPr>
            <w:webHidden/>
          </w:rPr>
          <w:tab/>
        </w:r>
        <w:r>
          <w:rPr>
            <w:webHidden/>
          </w:rPr>
          <w:fldChar w:fldCharType="begin"/>
        </w:r>
        <w:r>
          <w:rPr>
            <w:webHidden/>
          </w:rPr>
          <w:instrText xml:space="preserve"> PAGEREF _Toc62808090 \h </w:instrText>
        </w:r>
        <w:r>
          <w:rPr>
            <w:webHidden/>
          </w:rPr>
        </w:r>
        <w:r>
          <w:rPr>
            <w:webHidden/>
          </w:rPr>
          <w:fldChar w:fldCharType="separate"/>
        </w:r>
        <w:r>
          <w:rPr>
            <w:webHidden/>
          </w:rPr>
          <w:t>54</w:t>
        </w:r>
        <w:r>
          <w:rPr>
            <w:webHidden/>
          </w:rPr>
          <w:fldChar w:fldCharType="end"/>
        </w:r>
      </w:hyperlink>
    </w:p>
    <w:p w14:paraId="16EAEE21" w14:textId="60820724" w:rsidR="00C9062D" w:rsidRDefault="00C9062D">
      <w:pPr>
        <w:pStyle w:val="TOC1"/>
        <w:rPr>
          <w:rFonts w:eastAsiaTheme="minorEastAsia" w:cstheme="minorBidi"/>
          <w:b w:val="0"/>
          <w:color w:val="auto"/>
          <w:sz w:val="24"/>
          <w:szCs w:val="24"/>
          <w:lang w:eastAsia="en-GB"/>
        </w:rPr>
      </w:pPr>
      <w:hyperlink w:anchor="_Toc62808091" w:history="1">
        <w:r w:rsidRPr="00126835">
          <w:rPr>
            <w:rStyle w:val="Hyperlink"/>
          </w:rPr>
          <w:t>Section 4: Other Disclosures</w:t>
        </w:r>
        <w:r>
          <w:rPr>
            <w:webHidden/>
          </w:rPr>
          <w:tab/>
        </w:r>
        <w:r>
          <w:rPr>
            <w:webHidden/>
          </w:rPr>
          <w:fldChar w:fldCharType="begin"/>
        </w:r>
        <w:r>
          <w:rPr>
            <w:webHidden/>
          </w:rPr>
          <w:instrText xml:space="preserve"> PAGEREF _Toc62808091 \h </w:instrText>
        </w:r>
        <w:r>
          <w:rPr>
            <w:webHidden/>
          </w:rPr>
        </w:r>
        <w:r>
          <w:rPr>
            <w:webHidden/>
          </w:rPr>
          <w:fldChar w:fldCharType="separate"/>
        </w:r>
        <w:r>
          <w:rPr>
            <w:webHidden/>
          </w:rPr>
          <w:t>55</w:t>
        </w:r>
        <w:r>
          <w:rPr>
            <w:webHidden/>
          </w:rPr>
          <w:fldChar w:fldCharType="end"/>
        </w:r>
      </w:hyperlink>
    </w:p>
    <w:p w14:paraId="4DBE3085" w14:textId="61682826" w:rsidR="00C9062D" w:rsidRDefault="00C9062D">
      <w:pPr>
        <w:pStyle w:val="TOC2"/>
        <w:rPr>
          <w:rFonts w:eastAsiaTheme="minorEastAsia" w:cstheme="minorBidi"/>
          <w:color w:val="auto"/>
          <w:sz w:val="24"/>
          <w:szCs w:val="24"/>
          <w:lang w:eastAsia="en-GB"/>
        </w:rPr>
      </w:pPr>
      <w:hyperlink w:anchor="_Toc62808092" w:history="1">
        <w:r w:rsidRPr="00126835">
          <w:rPr>
            <w:rStyle w:val="Hyperlink"/>
          </w:rPr>
          <w:t>Local Jobs First</w:t>
        </w:r>
        <w:r>
          <w:rPr>
            <w:webHidden/>
          </w:rPr>
          <w:tab/>
        </w:r>
        <w:r>
          <w:rPr>
            <w:webHidden/>
          </w:rPr>
          <w:fldChar w:fldCharType="begin"/>
        </w:r>
        <w:r>
          <w:rPr>
            <w:webHidden/>
          </w:rPr>
          <w:instrText xml:space="preserve"> PAGEREF _Toc62808092 \h </w:instrText>
        </w:r>
        <w:r>
          <w:rPr>
            <w:webHidden/>
          </w:rPr>
        </w:r>
        <w:r>
          <w:rPr>
            <w:webHidden/>
          </w:rPr>
          <w:fldChar w:fldCharType="separate"/>
        </w:r>
        <w:r>
          <w:rPr>
            <w:webHidden/>
          </w:rPr>
          <w:t>55</w:t>
        </w:r>
        <w:r>
          <w:rPr>
            <w:webHidden/>
          </w:rPr>
          <w:fldChar w:fldCharType="end"/>
        </w:r>
      </w:hyperlink>
    </w:p>
    <w:p w14:paraId="14583191" w14:textId="49114EB2" w:rsidR="00C9062D" w:rsidRDefault="00C9062D">
      <w:pPr>
        <w:pStyle w:val="TOC3"/>
        <w:rPr>
          <w:rFonts w:eastAsiaTheme="minorEastAsia" w:cstheme="minorBidi"/>
          <w:color w:val="auto"/>
          <w:sz w:val="24"/>
          <w:szCs w:val="24"/>
          <w:lang w:eastAsia="en-GB"/>
        </w:rPr>
      </w:pPr>
      <w:hyperlink w:anchor="_Toc62808093" w:history="1">
        <w:r w:rsidRPr="00126835">
          <w:rPr>
            <w:rStyle w:val="Hyperlink"/>
          </w:rPr>
          <w:t>Projects Commenced – Local Jobs First Standard</w:t>
        </w:r>
        <w:r>
          <w:rPr>
            <w:webHidden/>
          </w:rPr>
          <w:tab/>
        </w:r>
        <w:r>
          <w:rPr>
            <w:webHidden/>
          </w:rPr>
          <w:fldChar w:fldCharType="begin"/>
        </w:r>
        <w:r>
          <w:rPr>
            <w:webHidden/>
          </w:rPr>
          <w:instrText xml:space="preserve"> PAGEREF _Toc62808093 \h </w:instrText>
        </w:r>
        <w:r>
          <w:rPr>
            <w:webHidden/>
          </w:rPr>
        </w:r>
        <w:r>
          <w:rPr>
            <w:webHidden/>
          </w:rPr>
          <w:fldChar w:fldCharType="separate"/>
        </w:r>
        <w:r>
          <w:rPr>
            <w:webHidden/>
          </w:rPr>
          <w:t>55</w:t>
        </w:r>
        <w:r>
          <w:rPr>
            <w:webHidden/>
          </w:rPr>
          <w:fldChar w:fldCharType="end"/>
        </w:r>
      </w:hyperlink>
    </w:p>
    <w:p w14:paraId="16723396" w14:textId="17C26463" w:rsidR="00C9062D" w:rsidRDefault="00C9062D">
      <w:pPr>
        <w:pStyle w:val="TOC3"/>
        <w:rPr>
          <w:rFonts w:eastAsiaTheme="minorEastAsia" w:cstheme="minorBidi"/>
          <w:color w:val="auto"/>
          <w:sz w:val="24"/>
          <w:szCs w:val="24"/>
          <w:lang w:eastAsia="en-GB"/>
        </w:rPr>
      </w:pPr>
      <w:hyperlink w:anchor="_Toc62808094" w:history="1">
        <w:r w:rsidRPr="00126835">
          <w:rPr>
            <w:rStyle w:val="Hyperlink"/>
          </w:rPr>
          <w:t>Projects Completed – Local Jobs First Standard</w:t>
        </w:r>
        <w:r>
          <w:rPr>
            <w:webHidden/>
          </w:rPr>
          <w:tab/>
        </w:r>
        <w:r>
          <w:rPr>
            <w:webHidden/>
          </w:rPr>
          <w:fldChar w:fldCharType="begin"/>
        </w:r>
        <w:r>
          <w:rPr>
            <w:webHidden/>
          </w:rPr>
          <w:instrText xml:space="preserve"> PAGEREF _Toc62808094 \h </w:instrText>
        </w:r>
        <w:r>
          <w:rPr>
            <w:webHidden/>
          </w:rPr>
        </w:r>
        <w:r>
          <w:rPr>
            <w:webHidden/>
          </w:rPr>
          <w:fldChar w:fldCharType="separate"/>
        </w:r>
        <w:r>
          <w:rPr>
            <w:webHidden/>
          </w:rPr>
          <w:t>55</w:t>
        </w:r>
        <w:r>
          <w:rPr>
            <w:webHidden/>
          </w:rPr>
          <w:fldChar w:fldCharType="end"/>
        </w:r>
      </w:hyperlink>
    </w:p>
    <w:p w14:paraId="3631C5E7" w14:textId="5AC09869" w:rsidR="00C9062D" w:rsidRDefault="00C9062D">
      <w:pPr>
        <w:pStyle w:val="TOC3"/>
        <w:rPr>
          <w:rFonts w:eastAsiaTheme="minorEastAsia" w:cstheme="minorBidi"/>
          <w:color w:val="auto"/>
          <w:sz w:val="24"/>
          <w:szCs w:val="24"/>
          <w:lang w:eastAsia="en-GB"/>
        </w:rPr>
      </w:pPr>
      <w:hyperlink w:anchor="_Toc62808095" w:history="1">
        <w:r w:rsidRPr="00126835">
          <w:rPr>
            <w:rStyle w:val="Hyperlink"/>
          </w:rPr>
          <w:t>Projects Commenced – Local Jobs First Strategic</w:t>
        </w:r>
        <w:r>
          <w:rPr>
            <w:webHidden/>
          </w:rPr>
          <w:tab/>
        </w:r>
        <w:r>
          <w:rPr>
            <w:webHidden/>
          </w:rPr>
          <w:fldChar w:fldCharType="begin"/>
        </w:r>
        <w:r>
          <w:rPr>
            <w:webHidden/>
          </w:rPr>
          <w:instrText xml:space="preserve"> PAGEREF _Toc62808095 \h </w:instrText>
        </w:r>
        <w:r>
          <w:rPr>
            <w:webHidden/>
          </w:rPr>
        </w:r>
        <w:r>
          <w:rPr>
            <w:webHidden/>
          </w:rPr>
          <w:fldChar w:fldCharType="separate"/>
        </w:r>
        <w:r>
          <w:rPr>
            <w:webHidden/>
          </w:rPr>
          <w:t>56</w:t>
        </w:r>
        <w:r>
          <w:rPr>
            <w:webHidden/>
          </w:rPr>
          <w:fldChar w:fldCharType="end"/>
        </w:r>
      </w:hyperlink>
    </w:p>
    <w:p w14:paraId="2E82028A" w14:textId="33F9F5DC" w:rsidR="00C9062D" w:rsidRDefault="00C9062D">
      <w:pPr>
        <w:pStyle w:val="TOC3"/>
        <w:rPr>
          <w:rFonts w:eastAsiaTheme="minorEastAsia" w:cstheme="minorBidi"/>
          <w:color w:val="auto"/>
          <w:sz w:val="24"/>
          <w:szCs w:val="24"/>
          <w:lang w:eastAsia="en-GB"/>
        </w:rPr>
      </w:pPr>
      <w:hyperlink w:anchor="_Toc62808096" w:history="1">
        <w:r w:rsidRPr="00126835">
          <w:rPr>
            <w:rStyle w:val="Hyperlink"/>
          </w:rPr>
          <w:t>Projects Completed – Local Jobs First Strategic</w:t>
        </w:r>
        <w:r>
          <w:rPr>
            <w:webHidden/>
          </w:rPr>
          <w:tab/>
        </w:r>
        <w:r>
          <w:rPr>
            <w:webHidden/>
          </w:rPr>
          <w:fldChar w:fldCharType="begin"/>
        </w:r>
        <w:r>
          <w:rPr>
            <w:webHidden/>
          </w:rPr>
          <w:instrText xml:space="preserve"> PAGEREF _Toc62808096 \h </w:instrText>
        </w:r>
        <w:r>
          <w:rPr>
            <w:webHidden/>
          </w:rPr>
        </w:r>
        <w:r>
          <w:rPr>
            <w:webHidden/>
          </w:rPr>
          <w:fldChar w:fldCharType="separate"/>
        </w:r>
        <w:r>
          <w:rPr>
            <w:webHidden/>
          </w:rPr>
          <w:t>56</w:t>
        </w:r>
        <w:r>
          <w:rPr>
            <w:webHidden/>
          </w:rPr>
          <w:fldChar w:fldCharType="end"/>
        </w:r>
      </w:hyperlink>
    </w:p>
    <w:p w14:paraId="4CA836E2" w14:textId="66891E6D" w:rsidR="00C9062D" w:rsidRDefault="00C9062D">
      <w:pPr>
        <w:pStyle w:val="TOC3"/>
        <w:rPr>
          <w:rFonts w:eastAsiaTheme="minorEastAsia" w:cstheme="minorBidi"/>
          <w:color w:val="auto"/>
          <w:sz w:val="24"/>
          <w:szCs w:val="24"/>
          <w:lang w:eastAsia="en-GB"/>
        </w:rPr>
      </w:pPr>
      <w:hyperlink w:anchor="_Toc62808097" w:history="1">
        <w:r w:rsidRPr="00126835">
          <w:rPr>
            <w:rStyle w:val="Hyperlink"/>
          </w:rPr>
          <w:t>Reporting Requirements – All Projects</w:t>
        </w:r>
        <w:r>
          <w:rPr>
            <w:webHidden/>
          </w:rPr>
          <w:tab/>
        </w:r>
        <w:r>
          <w:rPr>
            <w:webHidden/>
          </w:rPr>
          <w:fldChar w:fldCharType="begin"/>
        </w:r>
        <w:r>
          <w:rPr>
            <w:webHidden/>
          </w:rPr>
          <w:instrText xml:space="preserve"> PAGEREF _Toc62808097 \h </w:instrText>
        </w:r>
        <w:r>
          <w:rPr>
            <w:webHidden/>
          </w:rPr>
        </w:r>
        <w:r>
          <w:rPr>
            <w:webHidden/>
          </w:rPr>
          <w:fldChar w:fldCharType="separate"/>
        </w:r>
        <w:r>
          <w:rPr>
            <w:webHidden/>
          </w:rPr>
          <w:t>56</w:t>
        </w:r>
        <w:r>
          <w:rPr>
            <w:webHidden/>
          </w:rPr>
          <w:fldChar w:fldCharType="end"/>
        </w:r>
      </w:hyperlink>
    </w:p>
    <w:p w14:paraId="6C4E5244" w14:textId="53C1F8D3" w:rsidR="00C9062D" w:rsidRDefault="00C9062D">
      <w:pPr>
        <w:pStyle w:val="TOC3"/>
        <w:rPr>
          <w:rFonts w:eastAsiaTheme="minorEastAsia" w:cstheme="minorBidi"/>
          <w:color w:val="auto"/>
          <w:sz w:val="24"/>
          <w:szCs w:val="24"/>
          <w:lang w:eastAsia="en-GB"/>
        </w:rPr>
      </w:pPr>
      <w:hyperlink w:anchor="_Toc62808098" w:history="1">
        <w:r w:rsidRPr="00126835">
          <w:rPr>
            <w:rStyle w:val="Hyperlink"/>
          </w:rPr>
          <w:t>Reporting Requirements – Grants</w:t>
        </w:r>
        <w:r>
          <w:rPr>
            <w:webHidden/>
          </w:rPr>
          <w:tab/>
        </w:r>
        <w:r>
          <w:rPr>
            <w:webHidden/>
          </w:rPr>
          <w:fldChar w:fldCharType="begin"/>
        </w:r>
        <w:r>
          <w:rPr>
            <w:webHidden/>
          </w:rPr>
          <w:instrText xml:space="preserve"> PAGEREF _Toc62808098 \h </w:instrText>
        </w:r>
        <w:r>
          <w:rPr>
            <w:webHidden/>
          </w:rPr>
        </w:r>
        <w:r>
          <w:rPr>
            <w:webHidden/>
          </w:rPr>
          <w:fldChar w:fldCharType="separate"/>
        </w:r>
        <w:r>
          <w:rPr>
            <w:webHidden/>
          </w:rPr>
          <w:t>56</w:t>
        </w:r>
        <w:r>
          <w:rPr>
            <w:webHidden/>
          </w:rPr>
          <w:fldChar w:fldCharType="end"/>
        </w:r>
      </w:hyperlink>
    </w:p>
    <w:p w14:paraId="13B6F690" w14:textId="247D25AB" w:rsidR="00C9062D" w:rsidRDefault="00C9062D">
      <w:pPr>
        <w:pStyle w:val="TOC2"/>
        <w:rPr>
          <w:rFonts w:eastAsiaTheme="minorEastAsia" w:cstheme="minorBidi"/>
          <w:color w:val="auto"/>
          <w:sz w:val="24"/>
          <w:szCs w:val="24"/>
          <w:lang w:eastAsia="en-GB"/>
        </w:rPr>
      </w:pPr>
      <w:hyperlink w:anchor="_Toc62808099" w:history="1">
        <w:r w:rsidRPr="00126835">
          <w:rPr>
            <w:rStyle w:val="Hyperlink"/>
          </w:rPr>
          <w:t>Compliance with Building Act 1993</w:t>
        </w:r>
        <w:r>
          <w:rPr>
            <w:webHidden/>
          </w:rPr>
          <w:tab/>
        </w:r>
        <w:r>
          <w:rPr>
            <w:webHidden/>
          </w:rPr>
          <w:fldChar w:fldCharType="begin"/>
        </w:r>
        <w:r>
          <w:rPr>
            <w:webHidden/>
          </w:rPr>
          <w:instrText xml:space="preserve"> PAGEREF _Toc62808099 \h </w:instrText>
        </w:r>
        <w:r>
          <w:rPr>
            <w:webHidden/>
          </w:rPr>
        </w:r>
        <w:r>
          <w:rPr>
            <w:webHidden/>
          </w:rPr>
          <w:fldChar w:fldCharType="separate"/>
        </w:r>
        <w:r>
          <w:rPr>
            <w:webHidden/>
          </w:rPr>
          <w:t>56</w:t>
        </w:r>
        <w:r>
          <w:rPr>
            <w:webHidden/>
          </w:rPr>
          <w:fldChar w:fldCharType="end"/>
        </w:r>
      </w:hyperlink>
    </w:p>
    <w:p w14:paraId="6D1DAF87" w14:textId="40E70E4A" w:rsidR="00C9062D" w:rsidRDefault="00C9062D">
      <w:pPr>
        <w:pStyle w:val="TOC3"/>
        <w:rPr>
          <w:rFonts w:eastAsiaTheme="minorEastAsia" w:cstheme="minorBidi"/>
          <w:color w:val="auto"/>
          <w:sz w:val="24"/>
          <w:szCs w:val="24"/>
          <w:lang w:eastAsia="en-GB"/>
        </w:rPr>
      </w:pPr>
      <w:hyperlink w:anchor="_Toc62808100" w:history="1">
        <w:r w:rsidRPr="00126835">
          <w:rPr>
            <w:rStyle w:val="Hyperlink"/>
          </w:rPr>
          <w:t>Scope of Properties</w:t>
        </w:r>
        <w:r>
          <w:rPr>
            <w:webHidden/>
          </w:rPr>
          <w:tab/>
        </w:r>
        <w:r>
          <w:rPr>
            <w:webHidden/>
          </w:rPr>
          <w:fldChar w:fldCharType="begin"/>
        </w:r>
        <w:r>
          <w:rPr>
            <w:webHidden/>
          </w:rPr>
          <w:instrText xml:space="preserve"> PAGEREF _Toc62808100 \h </w:instrText>
        </w:r>
        <w:r>
          <w:rPr>
            <w:webHidden/>
          </w:rPr>
        </w:r>
        <w:r>
          <w:rPr>
            <w:webHidden/>
          </w:rPr>
          <w:fldChar w:fldCharType="separate"/>
        </w:r>
        <w:r>
          <w:rPr>
            <w:webHidden/>
          </w:rPr>
          <w:t>56</w:t>
        </w:r>
        <w:r>
          <w:rPr>
            <w:webHidden/>
          </w:rPr>
          <w:fldChar w:fldCharType="end"/>
        </w:r>
      </w:hyperlink>
    </w:p>
    <w:p w14:paraId="26E3B73F" w14:textId="72592198" w:rsidR="00C9062D" w:rsidRDefault="00C9062D">
      <w:pPr>
        <w:pStyle w:val="TOC3"/>
        <w:rPr>
          <w:rFonts w:eastAsiaTheme="minorEastAsia" w:cstheme="minorBidi"/>
          <w:color w:val="auto"/>
          <w:sz w:val="24"/>
          <w:szCs w:val="24"/>
          <w:lang w:eastAsia="en-GB"/>
        </w:rPr>
      </w:pPr>
      <w:hyperlink w:anchor="_Toc62808101" w:history="1">
        <w:r w:rsidRPr="00126835">
          <w:rPr>
            <w:rStyle w:val="Hyperlink"/>
          </w:rPr>
          <w:t>New and Existing Building Standards</w:t>
        </w:r>
        <w:r>
          <w:rPr>
            <w:webHidden/>
          </w:rPr>
          <w:tab/>
        </w:r>
        <w:r>
          <w:rPr>
            <w:webHidden/>
          </w:rPr>
          <w:fldChar w:fldCharType="begin"/>
        </w:r>
        <w:r>
          <w:rPr>
            <w:webHidden/>
          </w:rPr>
          <w:instrText xml:space="preserve"> PAGEREF _Toc62808101 \h </w:instrText>
        </w:r>
        <w:r>
          <w:rPr>
            <w:webHidden/>
          </w:rPr>
        </w:r>
        <w:r>
          <w:rPr>
            <w:webHidden/>
          </w:rPr>
          <w:fldChar w:fldCharType="separate"/>
        </w:r>
        <w:r>
          <w:rPr>
            <w:webHidden/>
          </w:rPr>
          <w:t>56</w:t>
        </w:r>
        <w:r>
          <w:rPr>
            <w:webHidden/>
          </w:rPr>
          <w:fldChar w:fldCharType="end"/>
        </w:r>
      </w:hyperlink>
    </w:p>
    <w:p w14:paraId="08F9A044" w14:textId="53E1E37F" w:rsidR="00C9062D" w:rsidRDefault="00C9062D">
      <w:pPr>
        <w:pStyle w:val="TOC3"/>
        <w:rPr>
          <w:rFonts w:eastAsiaTheme="minorEastAsia" w:cstheme="minorBidi"/>
          <w:color w:val="auto"/>
          <w:sz w:val="24"/>
          <w:szCs w:val="24"/>
          <w:lang w:eastAsia="en-GB"/>
        </w:rPr>
      </w:pPr>
      <w:hyperlink w:anchor="_Toc62808102" w:history="1">
        <w:r w:rsidRPr="00126835">
          <w:rPr>
            <w:rStyle w:val="Hyperlink"/>
          </w:rPr>
          <w:t>Maintenance of Court Services Victoria Owned Facilities</w:t>
        </w:r>
        <w:r>
          <w:rPr>
            <w:webHidden/>
          </w:rPr>
          <w:tab/>
        </w:r>
        <w:r>
          <w:rPr>
            <w:webHidden/>
          </w:rPr>
          <w:fldChar w:fldCharType="begin"/>
        </w:r>
        <w:r>
          <w:rPr>
            <w:webHidden/>
          </w:rPr>
          <w:instrText xml:space="preserve"> PAGEREF _Toc62808102 \h </w:instrText>
        </w:r>
        <w:r>
          <w:rPr>
            <w:webHidden/>
          </w:rPr>
        </w:r>
        <w:r>
          <w:rPr>
            <w:webHidden/>
          </w:rPr>
          <w:fldChar w:fldCharType="separate"/>
        </w:r>
        <w:r>
          <w:rPr>
            <w:webHidden/>
          </w:rPr>
          <w:t>57</w:t>
        </w:r>
        <w:r>
          <w:rPr>
            <w:webHidden/>
          </w:rPr>
          <w:fldChar w:fldCharType="end"/>
        </w:r>
      </w:hyperlink>
    </w:p>
    <w:p w14:paraId="6B8602E7" w14:textId="58121F1C" w:rsidR="00C9062D" w:rsidRDefault="00C9062D">
      <w:pPr>
        <w:pStyle w:val="TOC2"/>
        <w:rPr>
          <w:rFonts w:eastAsiaTheme="minorEastAsia" w:cstheme="minorBidi"/>
          <w:color w:val="auto"/>
          <w:sz w:val="24"/>
          <w:szCs w:val="24"/>
          <w:lang w:eastAsia="en-GB"/>
        </w:rPr>
      </w:pPr>
      <w:hyperlink w:anchor="_Toc62808103" w:history="1">
        <w:r w:rsidRPr="00126835">
          <w:rPr>
            <w:rStyle w:val="Hyperlink"/>
          </w:rPr>
          <w:t>Government Advertising Expenditure</w:t>
        </w:r>
        <w:r>
          <w:rPr>
            <w:webHidden/>
          </w:rPr>
          <w:tab/>
        </w:r>
        <w:r>
          <w:rPr>
            <w:webHidden/>
          </w:rPr>
          <w:fldChar w:fldCharType="begin"/>
        </w:r>
        <w:r>
          <w:rPr>
            <w:webHidden/>
          </w:rPr>
          <w:instrText xml:space="preserve"> PAGEREF _Toc62808103 \h </w:instrText>
        </w:r>
        <w:r>
          <w:rPr>
            <w:webHidden/>
          </w:rPr>
        </w:r>
        <w:r>
          <w:rPr>
            <w:webHidden/>
          </w:rPr>
          <w:fldChar w:fldCharType="separate"/>
        </w:r>
        <w:r>
          <w:rPr>
            <w:webHidden/>
          </w:rPr>
          <w:t>57</w:t>
        </w:r>
        <w:r>
          <w:rPr>
            <w:webHidden/>
          </w:rPr>
          <w:fldChar w:fldCharType="end"/>
        </w:r>
      </w:hyperlink>
    </w:p>
    <w:p w14:paraId="0F2A4C96" w14:textId="69A339FD" w:rsidR="00C9062D" w:rsidRDefault="00C9062D">
      <w:pPr>
        <w:pStyle w:val="TOC2"/>
        <w:rPr>
          <w:rFonts w:eastAsiaTheme="minorEastAsia" w:cstheme="minorBidi"/>
          <w:color w:val="auto"/>
          <w:sz w:val="24"/>
          <w:szCs w:val="24"/>
          <w:lang w:eastAsia="en-GB"/>
        </w:rPr>
      </w:pPr>
      <w:hyperlink w:anchor="_Toc62808104" w:history="1">
        <w:r w:rsidRPr="00126835">
          <w:rPr>
            <w:rStyle w:val="Hyperlink"/>
          </w:rPr>
          <w:t>Compliance with the DataVic Access Policy</w:t>
        </w:r>
        <w:r>
          <w:rPr>
            <w:webHidden/>
          </w:rPr>
          <w:tab/>
        </w:r>
        <w:r>
          <w:rPr>
            <w:webHidden/>
          </w:rPr>
          <w:fldChar w:fldCharType="begin"/>
        </w:r>
        <w:r>
          <w:rPr>
            <w:webHidden/>
          </w:rPr>
          <w:instrText xml:space="preserve"> PAGEREF _Toc62808104 \h </w:instrText>
        </w:r>
        <w:r>
          <w:rPr>
            <w:webHidden/>
          </w:rPr>
        </w:r>
        <w:r>
          <w:rPr>
            <w:webHidden/>
          </w:rPr>
          <w:fldChar w:fldCharType="separate"/>
        </w:r>
        <w:r>
          <w:rPr>
            <w:webHidden/>
          </w:rPr>
          <w:t>57</w:t>
        </w:r>
        <w:r>
          <w:rPr>
            <w:webHidden/>
          </w:rPr>
          <w:fldChar w:fldCharType="end"/>
        </w:r>
      </w:hyperlink>
    </w:p>
    <w:p w14:paraId="64C8C2EC" w14:textId="241AAF85" w:rsidR="00C9062D" w:rsidRDefault="00C9062D">
      <w:pPr>
        <w:pStyle w:val="TOC2"/>
        <w:rPr>
          <w:rFonts w:eastAsiaTheme="minorEastAsia" w:cstheme="minorBidi"/>
          <w:color w:val="auto"/>
          <w:sz w:val="24"/>
          <w:szCs w:val="24"/>
          <w:lang w:eastAsia="en-GB"/>
        </w:rPr>
      </w:pPr>
      <w:hyperlink w:anchor="_Toc62808105" w:history="1">
        <w:r w:rsidRPr="00126835">
          <w:rPr>
            <w:rStyle w:val="Hyperlink"/>
          </w:rPr>
          <w:t>Statement of Competitive Neutrality Policy</w:t>
        </w:r>
        <w:r>
          <w:rPr>
            <w:webHidden/>
          </w:rPr>
          <w:tab/>
        </w:r>
        <w:r>
          <w:rPr>
            <w:webHidden/>
          </w:rPr>
          <w:fldChar w:fldCharType="begin"/>
        </w:r>
        <w:r>
          <w:rPr>
            <w:webHidden/>
          </w:rPr>
          <w:instrText xml:space="preserve"> PAGEREF _Toc62808105 \h </w:instrText>
        </w:r>
        <w:r>
          <w:rPr>
            <w:webHidden/>
          </w:rPr>
        </w:r>
        <w:r>
          <w:rPr>
            <w:webHidden/>
          </w:rPr>
          <w:fldChar w:fldCharType="separate"/>
        </w:r>
        <w:r>
          <w:rPr>
            <w:webHidden/>
          </w:rPr>
          <w:t>57</w:t>
        </w:r>
        <w:r>
          <w:rPr>
            <w:webHidden/>
          </w:rPr>
          <w:fldChar w:fldCharType="end"/>
        </w:r>
      </w:hyperlink>
    </w:p>
    <w:p w14:paraId="04EACCED" w14:textId="096D1281" w:rsidR="00C9062D" w:rsidRDefault="00C9062D">
      <w:pPr>
        <w:pStyle w:val="TOC2"/>
        <w:rPr>
          <w:rFonts w:eastAsiaTheme="minorEastAsia" w:cstheme="minorBidi"/>
          <w:color w:val="auto"/>
          <w:sz w:val="24"/>
          <w:szCs w:val="24"/>
          <w:lang w:eastAsia="en-GB"/>
        </w:rPr>
      </w:pPr>
      <w:hyperlink w:anchor="_Toc62808106" w:history="1">
        <w:r w:rsidRPr="00126835">
          <w:rPr>
            <w:rStyle w:val="Hyperlink"/>
          </w:rPr>
          <w:t>Compliance with the Public Interest Disclosures Act</w:t>
        </w:r>
        <w:r>
          <w:rPr>
            <w:webHidden/>
          </w:rPr>
          <w:tab/>
        </w:r>
        <w:r>
          <w:rPr>
            <w:webHidden/>
          </w:rPr>
          <w:fldChar w:fldCharType="begin"/>
        </w:r>
        <w:r>
          <w:rPr>
            <w:webHidden/>
          </w:rPr>
          <w:instrText xml:space="preserve"> PAGEREF _Toc62808106 \h </w:instrText>
        </w:r>
        <w:r>
          <w:rPr>
            <w:webHidden/>
          </w:rPr>
        </w:r>
        <w:r>
          <w:rPr>
            <w:webHidden/>
          </w:rPr>
          <w:fldChar w:fldCharType="separate"/>
        </w:r>
        <w:r>
          <w:rPr>
            <w:webHidden/>
          </w:rPr>
          <w:t>58</w:t>
        </w:r>
        <w:r>
          <w:rPr>
            <w:webHidden/>
          </w:rPr>
          <w:fldChar w:fldCharType="end"/>
        </w:r>
      </w:hyperlink>
    </w:p>
    <w:p w14:paraId="3EC456DF" w14:textId="15395B8B" w:rsidR="00C9062D" w:rsidRDefault="00C9062D">
      <w:pPr>
        <w:pStyle w:val="TOC3"/>
        <w:rPr>
          <w:rFonts w:eastAsiaTheme="minorEastAsia" w:cstheme="minorBidi"/>
          <w:color w:val="auto"/>
          <w:sz w:val="24"/>
          <w:szCs w:val="24"/>
          <w:lang w:eastAsia="en-GB"/>
        </w:rPr>
      </w:pPr>
      <w:hyperlink w:anchor="_Toc62808107" w:history="1">
        <w:r w:rsidRPr="00126835">
          <w:rPr>
            <w:rStyle w:val="Hyperlink"/>
          </w:rPr>
          <w:t>Reporting Procedures</w:t>
        </w:r>
        <w:r>
          <w:rPr>
            <w:webHidden/>
          </w:rPr>
          <w:tab/>
        </w:r>
        <w:r>
          <w:rPr>
            <w:webHidden/>
          </w:rPr>
          <w:fldChar w:fldCharType="begin"/>
        </w:r>
        <w:r>
          <w:rPr>
            <w:webHidden/>
          </w:rPr>
          <w:instrText xml:space="preserve"> PAGEREF _Toc62808107 \h </w:instrText>
        </w:r>
        <w:r>
          <w:rPr>
            <w:webHidden/>
          </w:rPr>
        </w:r>
        <w:r>
          <w:rPr>
            <w:webHidden/>
          </w:rPr>
          <w:fldChar w:fldCharType="separate"/>
        </w:r>
        <w:r>
          <w:rPr>
            <w:webHidden/>
          </w:rPr>
          <w:t>58</w:t>
        </w:r>
        <w:r>
          <w:rPr>
            <w:webHidden/>
          </w:rPr>
          <w:fldChar w:fldCharType="end"/>
        </w:r>
      </w:hyperlink>
    </w:p>
    <w:p w14:paraId="0D457A63" w14:textId="6C6E4556" w:rsidR="00C9062D" w:rsidRDefault="00C9062D">
      <w:pPr>
        <w:pStyle w:val="TOC3"/>
        <w:rPr>
          <w:rFonts w:eastAsiaTheme="minorEastAsia" w:cstheme="minorBidi"/>
          <w:color w:val="auto"/>
          <w:sz w:val="24"/>
          <w:szCs w:val="24"/>
          <w:lang w:eastAsia="en-GB"/>
        </w:rPr>
      </w:pPr>
      <w:hyperlink w:anchor="_Toc62808108" w:history="1">
        <w:r w:rsidRPr="00126835">
          <w:rPr>
            <w:rStyle w:val="Hyperlink"/>
          </w:rPr>
          <w:t>Further Information</w:t>
        </w:r>
        <w:r>
          <w:rPr>
            <w:webHidden/>
          </w:rPr>
          <w:tab/>
        </w:r>
        <w:r>
          <w:rPr>
            <w:webHidden/>
          </w:rPr>
          <w:fldChar w:fldCharType="begin"/>
        </w:r>
        <w:r>
          <w:rPr>
            <w:webHidden/>
          </w:rPr>
          <w:instrText xml:space="preserve"> PAGEREF _Toc62808108 \h </w:instrText>
        </w:r>
        <w:r>
          <w:rPr>
            <w:webHidden/>
          </w:rPr>
        </w:r>
        <w:r>
          <w:rPr>
            <w:webHidden/>
          </w:rPr>
          <w:fldChar w:fldCharType="separate"/>
        </w:r>
        <w:r>
          <w:rPr>
            <w:webHidden/>
          </w:rPr>
          <w:t>58</w:t>
        </w:r>
        <w:r>
          <w:rPr>
            <w:webHidden/>
          </w:rPr>
          <w:fldChar w:fldCharType="end"/>
        </w:r>
      </w:hyperlink>
    </w:p>
    <w:p w14:paraId="3D74E57B" w14:textId="102BC349" w:rsidR="00C9062D" w:rsidRDefault="00C9062D">
      <w:pPr>
        <w:pStyle w:val="TOC2"/>
        <w:rPr>
          <w:rFonts w:eastAsiaTheme="minorEastAsia" w:cstheme="minorBidi"/>
          <w:color w:val="auto"/>
          <w:sz w:val="24"/>
          <w:szCs w:val="24"/>
          <w:lang w:eastAsia="en-GB"/>
        </w:rPr>
      </w:pPr>
      <w:hyperlink w:anchor="_Toc62808109" w:history="1">
        <w:r w:rsidRPr="00126835">
          <w:rPr>
            <w:rStyle w:val="Hyperlink"/>
          </w:rPr>
          <w:t>Compliance with the Carers Recognition Act 2012</w:t>
        </w:r>
        <w:r>
          <w:rPr>
            <w:webHidden/>
          </w:rPr>
          <w:tab/>
        </w:r>
        <w:r>
          <w:rPr>
            <w:webHidden/>
          </w:rPr>
          <w:fldChar w:fldCharType="begin"/>
        </w:r>
        <w:r>
          <w:rPr>
            <w:webHidden/>
          </w:rPr>
          <w:instrText xml:space="preserve"> PAGEREF _Toc62808109 \h </w:instrText>
        </w:r>
        <w:r>
          <w:rPr>
            <w:webHidden/>
          </w:rPr>
        </w:r>
        <w:r>
          <w:rPr>
            <w:webHidden/>
          </w:rPr>
          <w:fldChar w:fldCharType="separate"/>
        </w:r>
        <w:r>
          <w:rPr>
            <w:webHidden/>
          </w:rPr>
          <w:t>58</w:t>
        </w:r>
        <w:r>
          <w:rPr>
            <w:webHidden/>
          </w:rPr>
          <w:fldChar w:fldCharType="end"/>
        </w:r>
      </w:hyperlink>
    </w:p>
    <w:p w14:paraId="48947E65" w14:textId="7AC2EA57" w:rsidR="00C9062D" w:rsidRDefault="00C9062D">
      <w:pPr>
        <w:pStyle w:val="TOC2"/>
        <w:rPr>
          <w:rFonts w:eastAsiaTheme="minorEastAsia" w:cstheme="minorBidi"/>
          <w:color w:val="auto"/>
          <w:sz w:val="24"/>
          <w:szCs w:val="24"/>
          <w:lang w:eastAsia="en-GB"/>
        </w:rPr>
      </w:pPr>
      <w:hyperlink w:anchor="_Toc62808110" w:history="1">
        <w:r w:rsidRPr="00126835">
          <w:rPr>
            <w:rStyle w:val="Hyperlink"/>
          </w:rPr>
          <w:t>Consultancy Expenditure</w:t>
        </w:r>
        <w:r>
          <w:rPr>
            <w:webHidden/>
          </w:rPr>
          <w:tab/>
        </w:r>
        <w:r>
          <w:rPr>
            <w:webHidden/>
          </w:rPr>
          <w:fldChar w:fldCharType="begin"/>
        </w:r>
        <w:r>
          <w:rPr>
            <w:webHidden/>
          </w:rPr>
          <w:instrText xml:space="preserve"> PAGEREF _Toc62808110 \h </w:instrText>
        </w:r>
        <w:r>
          <w:rPr>
            <w:webHidden/>
          </w:rPr>
        </w:r>
        <w:r>
          <w:rPr>
            <w:webHidden/>
          </w:rPr>
          <w:fldChar w:fldCharType="separate"/>
        </w:r>
        <w:r>
          <w:rPr>
            <w:webHidden/>
          </w:rPr>
          <w:t>59</w:t>
        </w:r>
        <w:r>
          <w:rPr>
            <w:webHidden/>
          </w:rPr>
          <w:fldChar w:fldCharType="end"/>
        </w:r>
      </w:hyperlink>
    </w:p>
    <w:p w14:paraId="03C1B2F3" w14:textId="10AEA890" w:rsidR="00C9062D" w:rsidRDefault="00C9062D">
      <w:pPr>
        <w:pStyle w:val="TOC3"/>
        <w:rPr>
          <w:rFonts w:eastAsiaTheme="minorEastAsia" w:cstheme="minorBidi"/>
          <w:color w:val="auto"/>
          <w:sz w:val="24"/>
          <w:szCs w:val="24"/>
          <w:lang w:eastAsia="en-GB"/>
        </w:rPr>
      </w:pPr>
      <w:hyperlink w:anchor="_Toc62808111" w:history="1">
        <w:r w:rsidRPr="00126835">
          <w:rPr>
            <w:rStyle w:val="Hyperlink"/>
          </w:rPr>
          <w:t>Details of Consultancies Valued at $10,000 or Greater</w:t>
        </w:r>
        <w:r>
          <w:rPr>
            <w:webHidden/>
          </w:rPr>
          <w:tab/>
        </w:r>
        <w:r>
          <w:rPr>
            <w:webHidden/>
          </w:rPr>
          <w:fldChar w:fldCharType="begin"/>
        </w:r>
        <w:r>
          <w:rPr>
            <w:webHidden/>
          </w:rPr>
          <w:instrText xml:space="preserve"> PAGEREF _Toc62808111 \h </w:instrText>
        </w:r>
        <w:r>
          <w:rPr>
            <w:webHidden/>
          </w:rPr>
        </w:r>
        <w:r>
          <w:rPr>
            <w:webHidden/>
          </w:rPr>
          <w:fldChar w:fldCharType="separate"/>
        </w:r>
        <w:r>
          <w:rPr>
            <w:webHidden/>
          </w:rPr>
          <w:t>59</w:t>
        </w:r>
        <w:r>
          <w:rPr>
            <w:webHidden/>
          </w:rPr>
          <w:fldChar w:fldCharType="end"/>
        </w:r>
      </w:hyperlink>
    </w:p>
    <w:p w14:paraId="38FAC7FB" w14:textId="7C51810A" w:rsidR="00C9062D" w:rsidRDefault="00C9062D">
      <w:pPr>
        <w:pStyle w:val="TOC3"/>
        <w:rPr>
          <w:rFonts w:eastAsiaTheme="minorEastAsia" w:cstheme="minorBidi"/>
          <w:color w:val="auto"/>
          <w:sz w:val="24"/>
          <w:szCs w:val="24"/>
          <w:lang w:eastAsia="en-GB"/>
        </w:rPr>
      </w:pPr>
      <w:hyperlink w:anchor="_Toc62808112" w:history="1">
        <w:r w:rsidRPr="00126835">
          <w:rPr>
            <w:rStyle w:val="Hyperlink"/>
          </w:rPr>
          <w:t>Details of Consu</w:t>
        </w:r>
        <w:r w:rsidRPr="00126835">
          <w:rPr>
            <w:rStyle w:val="Hyperlink"/>
          </w:rPr>
          <w:t>l</w:t>
        </w:r>
        <w:r w:rsidRPr="00126835">
          <w:rPr>
            <w:rStyle w:val="Hyperlink"/>
          </w:rPr>
          <w:t>tancies Valued under $10,000</w:t>
        </w:r>
        <w:r>
          <w:rPr>
            <w:webHidden/>
          </w:rPr>
          <w:tab/>
        </w:r>
        <w:r>
          <w:rPr>
            <w:webHidden/>
          </w:rPr>
          <w:fldChar w:fldCharType="begin"/>
        </w:r>
        <w:r>
          <w:rPr>
            <w:webHidden/>
          </w:rPr>
          <w:instrText xml:space="preserve"> PAGEREF _Toc62808112 \h </w:instrText>
        </w:r>
        <w:r>
          <w:rPr>
            <w:webHidden/>
          </w:rPr>
        </w:r>
        <w:r>
          <w:rPr>
            <w:webHidden/>
          </w:rPr>
          <w:fldChar w:fldCharType="separate"/>
        </w:r>
        <w:r>
          <w:rPr>
            <w:webHidden/>
          </w:rPr>
          <w:t>61</w:t>
        </w:r>
        <w:r>
          <w:rPr>
            <w:webHidden/>
          </w:rPr>
          <w:fldChar w:fldCharType="end"/>
        </w:r>
      </w:hyperlink>
    </w:p>
    <w:p w14:paraId="07D6A867" w14:textId="2D34FCC4" w:rsidR="00C9062D" w:rsidRDefault="00C9062D">
      <w:pPr>
        <w:pStyle w:val="TOC3"/>
        <w:rPr>
          <w:rFonts w:eastAsiaTheme="minorEastAsia" w:cstheme="minorBidi"/>
          <w:color w:val="auto"/>
          <w:sz w:val="24"/>
          <w:szCs w:val="24"/>
          <w:lang w:eastAsia="en-GB"/>
        </w:rPr>
      </w:pPr>
      <w:hyperlink w:anchor="_Toc62808113" w:history="1">
        <w:r w:rsidRPr="00126835">
          <w:rPr>
            <w:rStyle w:val="Hyperlink"/>
          </w:rPr>
          <w:t>Disclosure of Major Contracts</w:t>
        </w:r>
        <w:r>
          <w:rPr>
            <w:webHidden/>
          </w:rPr>
          <w:tab/>
        </w:r>
        <w:r>
          <w:rPr>
            <w:webHidden/>
          </w:rPr>
          <w:fldChar w:fldCharType="begin"/>
        </w:r>
        <w:r>
          <w:rPr>
            <w:webHidden/>
          </w:rPr>
          <w:instrText xml:space="preserve"> PAGEREF _Toc62808113 \h </w:instrText>
        </w:r>
        <w:r>
          <w:rPr>
            <w:webHidden/>
          </w:rPr>
        </w:r>
        <w:r>
          <w:rPr>
            <w:webHidden/>
          </w:rPr>
          <w:fldChar w:fldCharType="separate"/>
        </w:r>
        <w:r>
          <w:rPr>
            <w:webHidden/>
          </w:rPr>
          <w:t>61</w:t>
        </w:r>
        <w:r>
          <w:rPr>
            <w:webHidden/>
          </w:rPr>
          <w:fldChar w:fldCharType="end"/>
        </w:r>
      </w:hyperlink>
    </w:p>
    <w:p w14:paraId="51071E15" w14:textId="2B3043B0" w:rsidR="00C9062D" w:rsidRDefault="00C9062D">
      <w:pPr>
        <w:pStyle w:val="TOC2"/>
        <w:rPr>
          <w:rFonts w:eastAsiaTheme="minorEastAsia" w:cstheme="minorBidi"/>
          <w:color w:val="auto"/>
          <w:sz w:val="24"/>
          <w:szCs w:val="24"/>
          <w:lang w:eastAsia="en-GB"/>
        </w:rPr>
      </w:pPr>
      <w:hyperlink w:anchor="_Toc62808114" w:history="1">
        <w:r w:rsidRPr="00126835">
          <w:rPr>
            <w:rStyle w:val="Hyperlink"/>
          </w:rPr>
          <w:t>Information and Communication Technology Expenditure</w:t>
        </w:r>
        <w:r>
          <w:rPr>
            <w:webHidden/>
          </w:rPr>
          <w:tab/>
        </w:r>
        <w:r>
          <w:rPr>
            <w:webHidden/>
          </w:rPr>
          <w:fldChar w:fldCharType="begin"/>
        </w:r>
        <w:r>
          <w:rPr>
            <w:webHidden/>
          </w:rPr>
          <w:instrText xml:space="preserve"> PAGEREF _Toc62808114 \h </w:instrText>
        </w:r>
        <w:r>
          <w:rPr>
            <w:webHidden/>
          </w:rPr>
        </w:r>
        <w:r>
          <w:rPr>
            <w:webHidden/>
          </w:rPr>
          <w:fldChar w:fldCharType="separate"/>
        </w:r>
        <w:r>
          <w:rPr>
            <w:webHidden/>
          </w:rPr>
          <w:t>61</w:t>
        </w:r>
        <w:r>
          <w:rPr>
            <w:webHidden/>
          </w:rPr>
          <w:fldChar w:fldCharType="end"/>
        </w:r>
      </w:hyperlink>
    </w:p>
    <w:p w14:paraId="1919DAFB" w14:textId="03328E55" w:rsidR="00C9062D" w:rsidRDefault="00C9062D">
      <w:pPr>
        <w:pStyle w:val="TOC2"/>
        <w:rPr>
          <w:rFonts w:eastAsiaTheme="minorEastAsia" w:cstheme="minorBidi"/>
          <w:color w:val="auto"/>
          <w:sz w:val="24"/>
          <w:szCs w:val="24"/>
          <w:lang w:eastAsia="en-GB"/>
        </w:rPr>
      </w:pPr>
      <w:hyperlink w:anchor="_Toc62808115" w:history="1">
        <w:r w:rsidRPr="00126835">
          <w:rPr>
            <w:rStyle w:val="Hyperlink"/>
          </w:rPr>
          <w:t>Freedom of Information</w:t>
        </w:r>
        <w:r>
          <w:rPr>
            <w:webHidden/>
          </w:rPr>
          <w:tab/>
        </w:r>
        <w:r>
          <w:rPr>
            <w:webHidden/>
          </w:rPr>
          <w:fldChar w:fldCharType="begin"/>
        </w:r>
        <w:r>
          <w:rPr>
            <w:webHidden/>
          </w:rPr>
          <w:instrText xml:space="preserve"> PAGEREF _Toc62808115 \h </w:instrText>
        </w:r>
        <w:r>
          <w:rPr>
            <w:webHidden/>
          </w:rPr>
        </w:r>
        <w:r>
          <w:rPr>
            <w:webHidden/>
          </w:rPr>
          <w:fldChar w:fldCharType="separate"/>
        </w:r>
        <w:r>
          <w:rPr>
            <w:webHidden/>
          </w:rPr>
          <w:t>62</w:t>
        </w:r>
        <w:r>
          <w:rPr>
            <w:webHidden/>
          </w:rPr>
          <w:fldChar w:fldCharType="end"/>
        </w:r>
      </w:hyperlink>
    </w:p>
    <w:p w14:paraId="0FF29060" w14:textId="06627CC7" w:rsidR="00C9062D" w:rsidRDefault="00C9062D">
      <w:pPr>
        <w:pStyle w:val="TOC3"/>
        <w:rPr>
          <w:rFonts w:eastAsiaTheme="minorEastAsia" w:cstheme="minorBidi"/>
          <w:color w:val="auto"/>
          <w:sz w:val="24"/>
          <w:szCs w:val="24"/>
          <w:lang w:eastAsia="en-GB"/>
        </w:rPr>
      </w:pPr>
      <w:hyperlink w:anchor="_Toc62808116" w:history="1">
        <w:r w:rsidRPr="00126835">
          <w:rPr>
            <w:rStyle w:val="Hyperlink"/>
          </w:rPr>
          <w:t>Court Documents</w:t>
        </w:r>
        <w:r>
          <w:rPr>
            <w:webHidden/>
          </w:rPr>
          <w:tab/>
        </w:r>
        <w:r>
          <w:rPr>
            <w:webHidden/>
          </w:rPr>
          <w:fldChar w:fldCharType="begin"/>
        </w:r>
        <w:r>
          <w:rPr>
            <w:webHidden/>
          </w:rPr>
          <w:instrText xml:space="preserve"> PAGEREF _Toc62808116 \h </w:instrText>
        </w:r>
        <w:r>
          <w:rPr>
            <w:webHidden/>
          </w:rPr>
        </w:r>
        <w:r>
          <w:rPr>
            <w:webHidden/>
          </w:rPr>
          <w:fldChar w:fldCharType="separate"/>
        </w:r>
        <w:r>
          <w:rPr>
            <w:webHidden/>
          </w:rPr>
          <w:t>63</w:t>
        </w:r>
        <w:r>
          <w:rPr>
            <w:webHidden/>
          </w:rPr>
          <w:fldChar w:fldCharType="end"/>
        </w:r>
      </w:hyperlink>
    </w:p>
    <w:p w14:paraId="67996766" w14:textId="7C5CE9D7" w:rsidR="00C9062D" w:rsidRDefault="00C9062D">
      <w:pPr>
        <w:pStyle w:val="TOC3"/>
        <w:rPr>
          <w:rFonts w:eastAsiaTheme="minorEastAsia" w:cstheme="minorBidi"/>
          <w:color w:val="auto"/>
          <w:sz w:val="24"/>
          <w:szCs w:val="24"/>
          <w:lang w:eastAsia="en-GB"/>
        </w:rPr>
      </w:pPr>
      <w:hyperlink w:anchor="_Toc62808117" w:history="1">
        <w:r w:rsidRPr="00126835">
          <w:rPr>
            <w:rStyle w:val="Hyperlink"/>
          </w:rPr>
          <w:t>Making a Request</w:t>
        </w:r>
        <w:r>
          <w:rPr>
            <w:webHidden/>
          </w:rPr>
          <w:tab/>
        </w:r>
        <w:r>
          <w:rPr>
            <w:webHidden/>
          </w:rPr>
          <w:fldChar w:fldCharType="begin"/>
        </w:r>
        <w:r>
          <w:rPr>
            <w:webHidden/>
          </w:rPr>
          <w:instrText xml:space="preserve"> PAGEREF _Toc62808117 \h </w:instrText>
        </w:r>
        <w:r>
          <w:rPr>
            <w:webHidden/>
          </w:rPr>
        </w:r>
        <w:r>
          <w:rPr>
            <w:webHidden/>
          </w:rPr>
          <w:fldChar w:fldCharType="separate"/>
        </w:r>
        <w:r>
          <w:rPr>
            <w:webHidden/>
          </w:rPr>
          <w:t>63</w:t>
        </w:r>
        <w:r>
          <w:rPr>
            <w:webHidden/>
          </w:rPr>
          <w:fldChar w:fldCharType="end"/>
        </w:r>
      </w:hyperlink>
    </w:p>
    <w:p w14:paraId="03209A90" w14:textId="05F2DF01" w:rsidR="00C9062D" w:rsidRDefault="00C9062D">
      <w:pPr>
        <w:pStyle w:val="TOC2"/>
        <w:rPr>
          <w:rFonts w:eastAsiaTheme="minorEastAsia" w:cstheme="minorBidi"/>
          <w:color w:val="auto"/>
          <w:sz w:val="24"/>
          <w:szCs w:val="24"/>
          <w:lang w:eastAsia="en-GB"/>
        </w:rPr>
      </w:pPr>
      <w:hyperlink w:anchor="_Toc62808118" w:history="1">
        <w:r w:rsidRPr="00126835">
          <w:rPr>
            <w:rStyle w:val="Hyperlink"/>
          </w:rPr>
          <w:t>Court Services Victoria Financial Management Compliance Attestation Statement</w:t>
        </w:r>
        <w:r>
          <w:rPr>
            <w:webHidden/>
          </w:rPr>
          <w:tab/>
        </w:r>
        <w:r>
          <w:rPr>
            <w:webHidden/>
          </w:rPr>
          <w:fldChar w:fldCharType="begin"/>
        </w:r>
        <w:r>
          <w:rPr>
            <w:webHidden/>
          </w:rPr>
          <w:instrText xml:space="preserve"> PAGEREF _Toc62808118 \h </w:instrText>
        </w:r>
        <w:r>
          <w:rPr>
            <w:webHidden/>
          </w:rPr>
        </w:r>
        <w:r>
          <w:rPr>
            <w:webHidden/>
          </w:rPr>
          <w:fldChar w:fldCharType="separate"/>
        </w:r>
        <w:r>
          <w:rPr>
            <w:webHidden/>
          </w:rPr>
          <w:t>64</w:t>
        </w:r>
        <w:r>
          <w:rPr>
            <w:webHidden/>
          </w:rPr>
          <w:fldChar w:fldCharType="end"/>
        </w:r>
      </w:hyperlink>
    </w:p>
    <w:p w14:paraId="14D62603" w14:textId="34850E85" w:rsidR="00C9062D" w:rsidRDefault="00C9062D">
      <w:pPr>
        <w:pStyle w:val="TOC2"/>
        <w:rPr>
          <w:rFonts w:eastAsiaTheme="minorEastAsia" w:cstheme="minorBidi"/>
          <w:color w:val="auto"/>
          <w:sz w:val="24"/>
          <w:szCs w:val="24"/>
          <w:lang w:eastAsia="en-GB"/>
        </w:rPr>
      </w:pPr>
      <w:hyperlink w:anchor="_Toc62808119" w:history="1">
        <w:r w:rsidRPr="00126835">
          <w:rPr>
            <w:rStyle w:val="Hyperlink"/>
          </w:rPr>
          <w:t>Statement of Availability of Other Information</w:t>
        </w:r>
        <w:r>
          <w:rPr>
            <w:webHidden/>
          </w:rPr>
          <w:tab/>
        </w:r>
        <w:r>
          <w:rPr>
            <w:webHidden/>
          </w:rPr>
          <w:fldChar w:fldCharType="begin"/>
        </w:r>
        <w:r>
          <w:rPr>
            <w:webHidden/>
          </w:rPr>
          <w:instrText xml:space="preserve"> PAGEREF _Toc62808119 \h </w:instrText>
        </w:r>
        <w:r>
          <w:rPr>
            <w:webHidden/>
          </w:rPr>
        </w:r>
        <w:r>
          <w:rPr>
            <w:webHidden/>
          </w:rPr>
          <w:fldChar w:fldCharType="separate"/>
        </w:r>
        <w:r>
          <w:rPr>
            <w:webHidden/>
          </w:rPr>
          <w:t>64</w:t>
        </w:r>
        <w:r>
          <w:rPr>
            <w:webHidden/>
          </w:rPr>
          <w:fldChar w:fldCharType="end"/>
        </w:r>
      </w:hyperlink>
    </w:p>
    <w:p w14:paraId="767CEE32" w14:textId="7474CCCA" w:rsidR="00C9062D" w:rsidRDefault="00C9062D">
      <w:pPr>
        <w:pStyle w:val="TOC2"/>
        <w:rPr>
          <w:rFonts w:eastAsiaTheme="minorEastAsia" w:cstheme="minorBidi"/>
          <w:color w:val="auto"/>
          <w:sz w:val="24"/>
          <w:szCs w:val="24"/>
          <w:lang w:eastAsia="en-GB"/>
        </w:rPr>
      </w:pPr>
      <w:hyperlink w:anchor="_Toc62808120" w:history="1">
        <w:r w:rsidRPr="00126835">
          <w:rPr>
            <w:rStyle w:val="Hyperlink"/>
          </w:rPr>
          <w:t>Disclosu</w:t>
        </w:r>
        <w:r w:rsidRPr="00126835">
          <w:rPr>
            <w:rStyle w:val="Hyperlink"/>
          </w:rPr>
          <w:t>r</w:t>
        </w:r>
        <w:r w:rsidRPr="00126835">
          <w:rPr>
            <w:rStyle w:val="Hyperlink"/>
          </w:rPr>
          <w:t>e Index</w:t>
        </w:r>
        <w:r>
          <w:rPr>
            <w:webHidden/>
          </w:rPr>
          <w:tab/>
        </w:r>
        <w:r>
          <w:rPr>
            <w:webHidden/>
          </w:rPr>
          <w:fldChar w:fldCharType="begin"/>
        </w:r>
        <w:r>
          <w:rPr>
            <w:webHidden/>
          </w:rPr>
          <w:instrText xml:space="preserve"> PAGEREF _Toc62808120 \h </w:instrText>
        </w:r>
        <w:r>
          <w:rPr>
            <w:webHidden/>
          </w:rPr>
        </w:r>
        <w:r>
          <w:rPr>
            <w:webHidden/>
          </w:rPr>
          <w:fldChar w:fldCharType="separate"/>
        </w:r>
        <w:r>
          <w:rPr>
            <w:webHidden/>
          </w:rPr>
          <w:t>65</w:t>
        </w:r>
        <w:r>
          <w:rPr>
            <w:webHidden/>
          </w:rPr>
          <w:fldChar w:fldCharType="end"/>
        </w:r>
      </w:hyperlink>
    </w:p>
    <w:p w14:paraId="31CAF258" w14:textId="4D0D1607" w:rsidR="00C9062D" w:rsidRDefault="00C9062D">
      <w:pPr>
        <w:pStyle w:val="TOC1"/>
        <w:rPr>
          <w:rFonts w:eastAsiaTheme="minorEastAsia" w:cstheme="minorBidi"/>
          <w:b w:val="0"/>
          <w:color w:val="auto"/>
          <w:sz w:val="24"/>
          <w:szCs w:val="24"/>
          <w:lang w:eastAsia="en-GB"/>
        </w:rPr>
      </w:pPr>
      <w:hyperlink w:anchor="_Toc62808121" w:history="1">
        <w:r w:rsidRPr="00126835">
          <w:rPr>
            <w:rStyle w:val="Hyperlink"/>
          </w:rPr>
          <w:t>Section 5: Financial Statements for the Financial Year Ended 30 June 2020</w:t>
        </w:r>
        <w:r>
          <w:rPr>
            <w:webHidden/>
          </w:rPr>
          <w:tab/>
        </w:r>
        <w:r>
          <w:rPr>
            <w:webHidden/>
          </w:rPr>
          <w:fldChar w:fldCharType="begin"/>
        </w:r>
        <w:r>
          <w:rPr>
            <w:webHidden/>
          </w:rPr>
          <w:instrText xml:space="preserve"> PAGEREF _Toc62808121 \h </w:instrText>
        </w:r>
        <w:r>
          <w:rPr>
            <w:webHidden/>
          </w:rPr>
        </w:r>
        <w:r>
          <w:rPr>
            <w:webHidden/>
          </w:rPr>
          <w:fldChar w:fldCharType="separate"/>
        </w:r>
        <w:r>
          <w:rPr>
            <w:webHidden/>
          </w:rPr>
          <w:t>68</w:t>
        </w:r>
        <w:r>
          <w:rPr>
            <w:webHidden/>
          </w:rPr>
          <w:fldChar w:fldCharType="end"/>
        </w:r>
      </w:hyperlink>
    </w:p>
    <w:p w14:paraId="51BFEF50" w14:textId="25609368" w:rsidR="00C9062D" w:rsidRDefault="00C9062D">
      <w:pPr>
        <w:pStyle w:val="TOC2"/>
        <w:rPr>
          <w:rFonts w:eastAsiaTheme="minorEastAsia" w:cstheme="minorBidi"/>
          <w:color w:val="auto"/>
          <w:sz w:val="24"/>
          <w:szCs w:val="24"/>
          <w:lang w:eastAsia="en-GB"/>
        </w:rPr>
      </w:pPr>
      <w:hyperlink w:anchor="_Toc62808122" w:history="1">
        <w:r w:rsidRPr="00126835">
          <w:rPr>
            <w:rStyle w:val="Hyperlink"/>
          </w:rPr>
          <w:t>Contents</w:t>
        </w:r>
        <w:r>
          <w:rPr>
            <w:webHidden/>
          </w:rPr>
          <w:tab/>
        </w:r>
        <w:r>
          <w:rPr>
            <w:webHidden/>
          </w:rPr>
          <w:fldChar w:fldCharType="begin"/>
        </w:r>
        <w:r>
          <w:rPr>
            <w:webHidden/>
          </w:rPr>
          <w:instrText xml:space="preserve"> PAGEREF _Toc62808122 \h </w:instrText>
        </w:r>
        <w:r>
          <w:rPr>
            <w:webHidden/>
          </w:rPr>
        </w:r>
        <w:r>
          <w:rPr>
            <w:webHidden/>
          </w:rPr>
          <w:fldChar w:fldCharType="separate"/>
        </w:r>
        <w:r>
          <w:rPr>
            <w:webHidden/>
          </w:rPr>
          <w:t>68</w:t>
        </w:r>
        <w:r>
          <w:rPr>
            <w:webHidden/>
          </w:rPr>
          <w:fldChar w:fldCharType="end"/>
        </w:r>
      </w:hyperlink>
    </w:p>
    <w:p w14:paraId="4B4CA5A1" w14:textId="48DF5E64" w:rsidR="00C9062D" w:rsidRDefault="00C9062D">
      <w:pPr>
        <w:pStyle w:val="TOC2"/>
        <w:rPr>
          <w:rFonts w:eastAsiaTheme="minorEastAsia" w:cstheme="minorBidi"/>
          <w:color w:val="auto"/>
          <w:sz w:val="24"/>
          <w:szCs w:val="24"/>
          <w:lang w:eastAsia="en-GB"/>
        </w:rPr>
      </w:pPr>
      <w:hyperlink w:anchor="_Toc62808123" w:history="1">
        <w:r w:rsidRPr="00126835">
          <w:rPr>
            <w:rStyle w:val="Hyperlink"/>
          </w:rPr>
          <w:t>How this report is structured</w:t>
        </w:r>
        <w:r>
          <w:rPr>
            <w:webHidden/>
          </w:rPr>
          <w:tab/>
        </w:r>
        <w:r>
          <w:rPr>
            <w:webHidden/>
          </w:rPr>
          <w:fldChar w:fldCharType="begin"/>
        </w:r>
        <w:r>
          <w:rPr>
            <w:webHidden/>
          </w:rPr>
          <w:instrText xml:space="preserve"> PAGEREF _Toc62808123 \h </w:instrText>
        </w:r>
        <w:r>
          <w:rPr>
            <w:webHidden/>
          </w:rPr>
        </w:r>
        <w:r>
          <w:rPr>
            <w:webHidden/>
          </w:rPr>
          <w:fldChar w:fldCharType="separate"/>
        </w:r>
        <w:r>
          <w:rPr>
            <w:webHidden/>
          </w:rPr>
          <w:t>69</w:t>
        </w:r>
        <w:r>
          <w:rPr>
            <w:webHidden/>
          </w:rPr>
          <w:fldChar w:fldCharType="end"/>
        </w:r>
      </w:hyperlink>
    </w:p>
    <w:p w14:paraId="567AFBF6" w14:textId="2E3900AA" w:rsidR="00C9062D" w:rsidRDefault="00C9062D">
      <w:pPr>
        <w:pStyle w:val="TOC2"/>
        <w:rPr>
          <w:rFonts w:eastAsiaTheme="minorEastAsia" w:cstheme="minorBidi"/>
          <w:color w:val="auto"/>
          <w:sz w:val="24"/>
          <w:szCs w:val="24"/>
          <w:lang w:eastAsia="en-GB"/>
        </w:rPr>
      </w:pPr>
      <w:hyperlink w:anchor="_Toc62808124" w:history="1">
        <w:r w:rsidRPr="00126835">
          <w:rPr>
            <w:rStyle w:val="Hyperlink"/>
          </w:rPr>
          <w:t>Declaration in the Financial Statements</w:t>
        </w:r>
        <w:r>
          <w:rPr>
            <w:webHidden/>
          </w:rPr>
          <w:tab/>
        </w:r>
        <w:r>
          <w:rPr>
            <w:webHidden/>
          </w:rPr>
          <w:fldChar w:fldCharType="begin"/>
        </w:r>
        <w:r>
          <w:rPr>
            <w:webHidden/>
          </w:rPr>
          <w:instrText xml:space="preserve"> PAGEREF _Toc62808124 \h </w:instrText>
        </w:r>
        <w:r>
          <w:rPr>
            <w:webHidden/>
          </w:rPr>
        </w:r>
        <w:r>
          <w:rPr>
            <w:webHidden/>
          </w:rPr>
          <w:fldChar w:fldCharType="separate"/>
        </w:r>
        <w:r>
          <w:rPr>
            <w:webHidden/>
          </w:rPr>
          <w:t>71</w:t>
        </w:r>
        <w:r>
          <w:rPr>
            <w:webHidden/>
          </w:rPr>
          <w:fldChar w:fldCharType="end"/>
        </w:r>
      </w:hyperlink>
    </w:p>
    <w:p w14:paraId="4720EA7A" w14:textId="31ECE884" w:rsidR="00C9062D" w:rsidRDefault="00C9062D">
      <w:pPr>
        <w:pStyle w:val="TOC2"/>
        <w:rPr>
          <w:rFonts w:eastAsiaTheme="minorEastAsia" w:cstheme="minorBidi"/>
          <w:color w:val="auto"/>
          <w:sz w:val="24"/>
          <w:szCs w:val="24"/>
          <w:lang w:eastAsia="en-GB"/>
        </w:rPr>
      </w:pPr>
      <w:hyperlink w:anchor="_Toc62808125" w:history="1">
        <w:r w:rsidRPr="00126835">
          <w:rPr>
            <w:rStyle w:val="Hyperlink"/>
          </w:rPr>
          <w:t>Independent Auditor’s Report</w:t>
        </w:r>
        <w:r>
          <w:rPr>
            <w:webHidden/>
          </w:rPr>
          <w:tab/>
        </w:r>
        <w:r>
          <w:rPr>
            <w:webHidden/>
          </w:rPr>
          <w:fldChar w:fldCharType="begin"/>
        </w:r>
        <w:r>
          <w:rPr>
            <w:webHidden/>
          </w:rPr>
          <w:instrText xml:space="preserve"> PAGEREF _Toc62808125 \h </w:instrText>
        </w:r>
        <w:r>
          <w:rPr>
            <w:webHidden/>
          </w:rPr>
        </w:r>
        <w:r>
          <w:rPr>
            <w:webHidden/>
          </w:rPr>
          <w:fldChar w:fldCharType="separate"/>
        </w:r>
        <w:r>
          <w:rPr>
            <w:webHidden/>
          </w:rPr>
          <w:t>72</w:t>
        </w:r>
        <w:r>
          <w:rPr>
            <w:webHidden/>
          </w:rPr>
          <w:fldChar w:fldCharType="end"/>
        </w:r>
      </w:hyperlink>
    </w:p>
    <w:p w14:paraId="54D0298E" w14:textId="16C9B9AC" w:rsidR="00C9062D" w:rsidRDefault="00C9062D">
      <w:pPr>
        <w:pStyle w:val="TOC2"/>
        <w:rPr>
          <w:rFonts w:eastAsiaTheme="minorEastAsia" w:cstheme="minorBidi"/>
          <w:color w:val="auto"/>
          <w:sz w:val="24"/>
          <w:szCs w:val="24"/>
          <w:lang w:eastAsia="en-GB"/>
        </w:rPr>
      </w:pPr>
      <w:hyperlink w:anchor="_Toc62808126" w:history="1">
        <w:r w:rsidRPr="00126835">
          <w:rPr>
            <w:rStyle w:val="Hyperlink"/>
          </w:rPr>
          <w:t>Comprehensive Operating Statement for the Financial Year Ended 30 June 2020</w:t>
        </w:r>
        <w:r>
          <w:rPr>
            <w:webHidden/>
          </w:rPr>
          <w:tab/>
        </w:r>
        <w:r>
          <w:rPr>
            <w:webHidden/>
          </w:rPr>
          <w:fldChar w:fldCharType="begin"/>
        </w:r>
        <w:r>
          <w:rPr>
            <w:webHidden/>
          </w:rPr>
          <w:instrText xml:space="preserve"> PAGEREF _Toc62808126 \h </w:instrText>
        </w:r>
        <w:r>
          <w:rPr>
            <w:webHidden/>
          </w:rPr>
        </w:r>
        <w:r>
          <w:rPr>
            <w:webHidden/>
          </w:rPr>
          <w:fldChar w:fldCharType="separate"/>
        </w:r>
        <w:r>
          <w:rPr>
            <w:webHidden/>
          </w:rPr>
          <w:t>74</w:t>
        </w:r>
        <w:r>
          <w:rPr>
            <w:webHidden/>
          </w:rPr>
          <w:fldChar w:fldCharType="end"/>
        </w:r>
      </w:hyperlink>
    </w:p>
    <w:p w14:paraId="50D70141" w14:textId="5CA7D2C1" w:rsidR="00C9062D" w:rsidRDefault="00C9062D">
      <w:pPr>
        <w:pStyle w:val="TOC2"/>
        <w:rPr>
          <w:rFonts w:eastAsiaTheme="minorEastAsia" w:cstheme="minorBidi"/>
          <w:color w:val="auto"/>
          <w:sz w:val="24"/>
          <w:szCs w:val="24"/>
          <w:lang w:eastAsia="en-GB"/>
        </w:rPr>
      </w:pPr>
      <w:hyperlink w:anchor="_Toc62808127" w:history="1">
        <w:r w:rsidRPr="00126835">
          <w:rPr>
            <w:rStyle w:val="Hyperlink"/>
          </w:rPr>
          <w:t>Balance Sheet as at 30 June 2020</w:t>
        </w:r>
        <w:r>
          <w:rPr>
            <w:webHidden/>
          </w:rPr>
          <w:tab/>
        </w:r>
        <w:r>
          <w:rPr>
            <w:webHidden/>
          </w:rPr>
          <w:fldChar w:fldCharType="begin"/>
        </w:r>
        <w:r>
          <w:rPr>
            <w:webHidden/>
          </w:rPr>
          <w:instrText xml:space="preserve"> PAGEREF _Toc62808127 \h </w:instrText>
        </w:r>
        <w:r>
          <w:rPr>
            <w:webHidden/>
          </w:rPr>
        </w:r>
        <w:r>
          <w:rPr>
            <w:webHidden/>
          </w:rPr>
          <w:fldChar w:fldCharType="separate"/>
        </w:r>
        <w:r>
          <w:rPr>
            <w:webHidden/>
          </w:rPr>
          <w:t>75</w:t>
        </w:r>
        <w:r>
          <w:rPr>
            <w:webHidden/>
          </w:rPr>
          <w:fldChar w:fldCharType="end"/>
        </w:r>
      </w:hyperlink>
    </w:p>
    <w:p w14:paraId="6357FE31" w14:textId="3451EE1E" w:rsidR="00C9062D" w:rsidRDefault="00C9062D">
      <w:pPr>
        <w:pStyle w:val="TOC2"/>
        <w:rPr>
          <w:rFonts w:eastAsiaTheme="minorEastAsia" w:cstheme="minorBidi"/>
          <w:color w:val="auto"/>
          <w:sz w:val="24"/>
          <w:szCs w:val="24"/>
          <w:lang w:eastAsia="en-GB"/>
        </w:rPr>
      </w:pPr>
      <w:hyperlink w:anchor="_Toc62808128" w:history="1">
        <w:r w:rsidRPr="00126835">
          <w:rPr>
            <w:rStyle w:val="Hyperlink"/>
          </w:rPr>
          <w:t>Cash Flow Statement for the Financial Year Ended 30 June 2020</w:t>
        </w:r>
        <w:r>
          <w:rPr>
            <w:webHidden/>
          </w:rPr>
          <w:tab/>
        </w:r>
        <w:r>
          <w:rPr>
            <w:webHidden/>
          </w:rPr>
          <w:fldChar w:fldCharType="begin"/>
        </w:r>
        <w:r>
          <w:rPr>
            <w:webHidden/>
          </w:rPr>
          <w:instrText xml:space="preserve"> PAGEREF _Toc62808128 \h </w:instrText>
        </w:r>
        <w:r>
          <w:rPr>
            <w:webHidden/>
          </w:rPr>
        </w:r>
        <w:r>
          <w:rPr>
            <w:webHidden/>
          </w:rPr>
          <w:fldChar w:fldCharType="separate"/>
        </w:r>
        <w:r>
          <w:rPr>
            <w:webHidden/>
          </w:rPr>
          <w:t>76</w:t>
        </w:r>
        <w:r>
          <w:rPr>
            <w:webHidden/>
          </w:rPr>
          <w:fldChar w:fldCharType="end"/>
        </w:r>
      </w:hyperlink>
    </w:p>
    <w:p w14:paraId="41BF8700" w14:textId="625EA8B8" w:rsidR="00C9062D" w:rsidRDefault="00C9062D">
      <w:pPr>
        <w:pStyle w:val="TOC2"/>
        <w:rPr>
          <w:rFonts w:eastAsiaTheme="minorEastAsia" w:cstheme="minorBidi"/>
          <w:color w:val="auto"/>
          <w:sz w:val="24"/>
          <w:szCs w:val="24"/>
          <w:lang w:eastAsia="en-GB"/>
        </w:rPr>
      </w:pPr>
      <w:hyperlink w:anchor="_Toc62808129" w:history="1">
        <w:r w:rsidRPr="00126835">
          <w:rPr>
            <w:rStyle w:val="Hyperlink"/>
          </w:rPr>
          <w:t>Statement of Changes in Equity for the Financial Year Ended 30 June 2020</w:t>
        </w:r>
        <w:r>
          <w:rPr>
            <w:webHidden/>
          </w:rPr>
          <w:tab/>
        </w:r>
        <w:r>
          <w:rPr>
            <w:webHidden/>
          </w:rPr>
          <w:fldChar w:fldCharType="begin"/>
        </w:r>
        <w:r>
          <w:rPr>
            <w:webHidden/>
          </w:rPr>
          <w:instrText xml:space="preserve"> PAGEREF _Toc62808129 \h </w:instrText>
        </w:r>
        <w:r>
          <w:rPr>
            <w:webHidden/>
          </w:rPr>
        </w:r>
        <w:r>
          <w:rPr>
            <w:webHidden/>
          </w:rPr>
          <w:fldChar w:fldCharType="separate"/>
        </w:r>
        <w:r>
          <w:rPr>
            <w:webHidden/>
          </w:rPr>
          <w:t>77</w:t>
        </w:r>
        <w:r>
          <w:rPr>
            <w:webHidden/>
          </w:rPr>
          <w:fldChar w:fldCharType="end"/>
        </w:r>
      </w:hyperlink>
    </w:p>
    <w:p w14:paraId="6BAAE5BC" w14:textId="46499A1F" w:rsidR="00C9062D" w:rsidRDefault="00C9062D">
      <w:pPr>
        <w:pStyle w:val="TOC2"/>
        <w:rPr>
          <w:rFonts w:eastAsiaTheme="minorEastAsia" w:cstheme="minorBidi"/>
          <w:color w:val="auto"/>
          <w:sz w:val="24"/>
          <w:szCs w:val="24"/>
          <w:lang w:eastAsia="en-GB"/>
        </w:rPr>
      </w:pPr>
      <w:hyperlink w:anchor="_Toc62808130" w:history="1">
        <w:r w:rsidRPr="00126835">
          <w:rPr>
            <w:rStyle w:val="Hyperlink"/>
          </w:rPr>
          <w:t>Note 1.</w:t>
        </w:r>
        <w:r>
          <w:rPr>
            <w:rFonts w:eastAsiaTheme="minorEastAsia" w:cstheme="minorBidi"/>
            <w:color w:val="auto"/>
            <w:sz w:val="24"/>
            <w:szCs w:val="24"/>
            <w:lang w:eastAsia="en-GB"/>
          </w:rPr>
          <w:tab/>
        </w:r>
        <w:r w:rsidRPr="00126835">
          <w:rPr>
            <w:rStyle w:val="Hyperlink"/>
          </w:rPr>
          <w:t>About This Report</w:t>
        </w:r>
        <w:r>
          <w:rPr>
            <w:webHidden/>
          </w:rPr>
          <w:tab/>
        </w:r>
        <w:r>
          <w:rPr>
            <w:webHidden/>
          </w:rPr>
          <w:fldChar w:fldCharType="begin"/>
        </w:r>
        <w:r>
          <w:rPr>
            <w:webHidden/>
          </w:rPr>
          <w:instrText xml:space="preserve"> PAGEREF _Toc62808130 \h </w:instrText>
        </w:r>
        <w:r>
          <w:rPr>
            <w:webHidden/>
          </w:rPr>
        </w:r>
        <w:r>
          <w:rPr>
            <w:webHidden/>
          </w:rPr>
          <w:fldChar w:fldCharType="separate"/>
        </w:r>
        <w:r>
          <w:rPr>
            <w:webHidden/>
          </w:rPr>
          <w:t>78</w:t>
        </w:r>
        <w:r>
          <w:rPr>
            <w:webHidden/>
          </w:rPr>
          <w:fldChar w:fldCharType="end"/>
        </w:r>
      </w:hyperlink>
    </w:p>
    <w:p w14:paraId="163C5C3A" w14:textId="00A0B184" w:rsidR="00C9062D" w:rsidRDefault="00C9062D">
      <w:pPr>
        <w:pStyle w:val="TOC3"/>
        <w:rPr>
          <w:rFonts w:eastAsiaTheme="minorEastAsia" w:cstheme="minorBidi"/>
          <w:color w:val="auto"/>
          <w:sz w:val="24"/>
          <w:szCs w:val="24"/>
          <w:lang w:eastAsia="en-GB"/>
        </w:rPr>
      </w:pPr>
      <w:hyperlink w:anchor="_Toc62808131" w:history="1">
        <w:r w:rsidRPr="00126835">
          <w:rPr>
            <w:rStyle w:val="Hyperlink"/>
          </w:rPr>
          <w:t>Basis of Preparation</w:t>
        </w:r>
        <w:r>
          <w:rPr>
            <w:webHidden/>
          </w:rPr>
          <w:tab/>
        </w:r>
        <w:r>
          <w:rPr>
            <w:webHidden/>
          </w:rPr>
          <w:fldChar w:fldCharType="begin"/>
        </w:r>
        <w:r>
          <w:rPr>
            <w:webHidden/>
          </w:rPr>
          <w:instrText xml:space="preserve"> PAGEREF _Toc62808131 \h </w:instrText>
        </w:r>
        <w:r>
          <w:rPr>
            <w:webHidden/>
          </w:rPr>
        </w:r>
        <w:r>
          <w:rPr>
            <w:webHidden/>
          </w:rPr>
          <w:fldChar w:fldCharType="separate"/>
        </w:r>
        <w:r>
          <w:rPr>
            <w:webHidden/>
          </w:rPr>
          <w:t>78</w:t>
        </w:r>
        <w:r>
          <w:rPr>
            <w:webHidden/>
          </w:rPr>
          <w:fldChar w:fldCharType="end"/>
        </w:r>
      </w:hyperlink>
    </w:p>
    <w:p w14:paraId="24AAEB86" w14:textId="0D85CB70" w:rsidR="00C9062D" w:rsidRDefault="00C9062D">
      <w:pPr>
        <w:pStyle w:val="TOC3"/>
        <w:rPr>
          <w:rFonts w:eastAsiaTheme="minorEastAsia" w:cstheme="minorBidi"/>
          <w:color w:val="auto"/>
          <w:sz w:val="24"/>
          <w:szCs w:val="24"/>
          <w:lang w:eastAsia="en-GB"/>
        </w:rPr>
      </w:pPr>
      <w:hyperlink w:anchor="_Toc62808132" w:history="1">
        <w:r w:rsidRPr="00126835">
          <w:rPr>
            <w:rStyle w:val="Hyperlink"/>
          </w:rPr>
          <w:t>Compliance Information</w:t>
        </w:r>
        <w:r>
          <w:rPr>
            <w:webHidden/>
          </w:rPr>
          <w:tab/>
        </w:r>
        <w:r>
          <w:rPr>
            <w:webHidden/>
          </w:rPr>
          <w:fldChar w:fldCharType="begin"/>
        </w:r>
        <w:r>
          <w:rPr>
            <w:webHidden/>
          </w:rPr>
          <w:instrText xml:space="preserve"> PAGEREF _Toc62808132 \h </w:instrText>
        </w:r>
        <w:r>
          <w:rPr>
            <w:webHidden/>
          </w:rPr>
        </w:r>
        <w:r>
          <w:rPr>
            <w:webHidden/>
          </w:rPr>
          <w:fldChar w:fldCharType="separate"/>
        </w:r>
        <w:r>
          <w:rPr>
            <w:webHidden/>
          </w:rPr>
          <w:t>79</w:t>
        </w:r>
        <w:r>
          <w:rPr>
            <w:webHidden/>
          </w:rPr>
          <w:fldChar w:fldCharType="end"/>
        </w:r>
      </w:hyperlink>
    </w:p>
    <w:p w14:paraId="4C1A2DF9" w14:textId="3D176D77" w:rsidR="00C9062D" w:rsidRDefault="00C9062D">
      <w:pPr>
        <w:pStyle w:val="TOC2"/>
        <w:rPr>
          <w:rFonts w:eastAsiaTheme="minorEastAsia" w:cstheme="minorBidi"/>
          <w:color w:val="auto"/>
          <w:sz w:val="24"/>
          <w:szCs w:val="24"/>
          <w:lang w:eastAsia="en-GB"/>
        </w:rPr>
      </w:pPr>
      <w:hyperlink w:anchor="_Toc62808133" w:history="1">
        <w:r w:rsidRPr="00126835">
          <w:rPr>
            <w:rStyle w:val="Hyperlink"/>
          </w:rPr>
          <w:t>Note 2.</w:t>
        </w:r>
        <w:r>
          <w:rPr>
            <w:rFonts w:eastAsiaTheme="minorEastAsia" w:cstheme="minorBidi"/>
            <w:color w:val="auto"/>
            <w:sz w:val="24"/>
            <w:szCs w:val="24"/>
            <w:lang w:eastAsia="en-GB"/>
          </w:rPr>
          <w:tab/>
        </w:r>
        <w:r w:rsidRPr="00126835">
          <w:rPr>
            <w:rStyle w:val="Hyperlink"/>
          </w:rPr>
          <w:t>Funding Delivery of Our Services</w:t>
        </w:r>
        <w:r>
          <w:rPr>
            <w:webHidden/>
          </w:rPr>
          <w:tab/>
        </w:r>
        <w:r>
          <w:rPr>
            <w:webHidden/>
          </w:rPr>
          <w:fldChar w:fldCharType="begin"/>
        </w:r>
        <w:r>
          <w:rPr>
            <w:webHidden/>
          </w:rPr>
          <w:instrText xml:space="preserve"> PAGEREF _Toc62808133 \h </w:instrText>
        </w:r>
        <w:r>
          <w:rPr>
            <w:webHidden/>
          </w:rPr>
        </w:r>
        <w:r>
          <w:rPr>
            <w:webHidden/>
          </w:rPr>
          <w:fldChar w:fldCharType="separate"/>
        </w:r>
        <w:r>
          <w:rPr>
            <w:webHidden/>
          </w:rPr>
          <w:t>80</w:t>
        </w:r>
        <w:r>
          <w:rPr>
            <w:webHidden/>
          </w:rPr>
          <w:fldChar w:fldCharType="end"/>
        </w:r>
      </w:hyperlink>
    </w:p>
    <w:p w14:paraId="23628F70" w14:textId="3EC27B93" w:rsidR="00C9062D" w:rsidRDefault="00C9062D">
      <w:pPr>
        <w:pStyle w:val="TOC3"/>
        <w:rPr>
          <w:rFonts w:eastAsiaTheme="minorEastAsia" w:cstheme="minorBidi"/>
          <w:color w:val="auto"/>
          <w:sz w:val="24"/>
          <w:szCs w:val="24"/>
          <w:lang w:eastAsia="en-GB"/>
        </w:rPr>
      </w:pPr>
      <w:hyperlink w:anchor="_Toc62808134" w:history="1">
        <w:r w:rsidRPr="00126835">
          <w:rPr>
            <w:rStyle w:val="Hyperlink"/>
          </w:rPr>
          <w:t>Introduction</w:t>
        </w:r>
        <w:r>
          <w:rPr>
            <w:webHidden/>
          </w:rPr>
          <w:tab/>
        </w:r>
        <w:r>
          <w:rPr>
            <w:webHidden/>
          </w:rPr>
          <w:fldChar w:fldCharType="begin"/>
        </w:r>
        <w:r>
          <w:rPr>
            <w:webHidden/>
          </w:rPr>
          <w:instrText xml:space="preserve"> PAGEREF _Toc62808134 \h </w:instrText>
        </w:r>
        <w:r>
          <w:rPr>
            <w:webHidden/>
          </w:rPr>
        </w:r>
        <w:r>
          <w:rPr>
            <w:webHidden/>
          </w:rPr>
          <w:fldChar w:fldCharType="separate"/>
        </w:r>
        <w:r>
          <w:rPr>
            <w:webHidden/>
          </w:rPr>
          <w:t>80</w:t>
        </w:r>
        <w:r>
          <w:rPr>
            <w:webHidden/>
          </w:rPr>
          <w:fldChar w:fldCharType="end"/>
        </w:r>
      </w:hyperlink>
    </w:p>
    <w:p w14:paraId="17257755" w14:textId="579B7938" w:rsidR="00C9062D" w:rsidRDefault="00C9062D">
      <w:pPr>
        <w:pStyle w:val="TOC3"/>
        <w:rPr>
          <w:rFonts w:eastAsiaTheme="minorEastAsia" w:cstheme="minorBidi"/>
          <w:color w:val="auto"/>
          <w:sz w:val="24"/>
          <w:szCs w:val="24"/>
          <w:lang w:eastAsia="en-GB"/>
        </w:rPr>
      </w:pPr>
      <w:hyperlink w:anchor="_Toc62808135" w:history="1">
        <w:r w:rsidRPr="00126835">
          <w:rPr>
            <w:rStyle w:val="Hyperlink"/>
          </w:rPr>
          <w:t>Note 2.1 Summary of Income that Funds the Delivery of our Services</w:t>
        </w:r>
        <w:r>
          <w:rPr>
            <w:webHidden/>
          </w:rPr>
          <w:tab/>
        </w:r>
        <w:r>
          <w:rPr>
            <w:webHidden/>
          </w:rPr>
          <w:fldChar w:fldCharType="begin"/>
        </w:r>
        <w:r>
          <w:rPr>
            <w:webHidden/>
          </w:rPr>
          <w:instrText xml:space="preserve"> PAGEREF _Toc62808135 \h </w:instrText>
        </w:r>
        <w:r>
          <w:rPr>
            <w:webHidden/>
          </w:rPr>
        </w:r>
        <w:r>
          <w:rPr>
            <w:webHidden/>
          </w:rPr>
          <w:fldChar w:fldCharType="separate"/>
        </w:r>
        <w:r>
          <w:rPr>
            <w:webHidden/>
          </w:rPr>
          <w:t>80</w:t>
        </w:r>
        <w:r>
          <w:rPr>
            <w:webHidden/>
          </w:rPr>
          <w:fldChar w:fldCharType="end"/>
        </w:r>
      </w:hyperlink>
    </w:p>
    <w:p w14:paraId="135FC1D6" w14:textId="2FC4B2BA" w:rsidR="00C9062D" w:rsidRDefault="00C9062D">
      <w:pPr>
        <w:pStyle w:val="TOC3"/>
        <w:rPr>
          <w:rFonts w:eastAsiaTheme="minorEastAsia" w:cstheme="minorBidi"/>
          <w:color w:val="auto"/>
          <w:sz w:val="24"/>
          <w:szCs w:val="24"/>
          <w:lang w:eastAsia="en-GB"/>
        </w:rPr>
      </w:pPr>
      <w:hyperlink w:anchor="_Toc62808136" w:history="1">
        <w:r w:rsidRPr="00126835">
          <w:rPr>
            <w:rStyle w:val="Hyperlink"/>
          </w:rPr>
          <w:t>Special Appropriations</w:t>
        </w:r>
        <w:r>
          <w:rPr>
            <w:webHidden/>
          </w:rPr>
          <w:tab/>
        </w:r>
        <w:r>
          <w:rPr>
            <w:webHidden/>
          </w:rPr>
          <w:fldChar w:fldCharType="begin"/>
        </w:r>
        <w:r>
          <w:rPr>
            <w:webHidden/>
          </w:rPr>
          <w:instrText xml:space="preserve"> PAGEREF _Toc62808136 \h </w:instrText>
        </w:r>
        <w:r>
          <w:rPr>
            <w:webHidden/>
          </w:rPr>
        </w:r>
        <w:r>
          <w:rPr>
            <w:webHidden/>
          </w:rPr>
          <w:fldChar w:fldCharType="separate"/>
        </w:r>
        <w:r>
          <w:rPr>
            <w:webHidden/>
          </w:rPr>
          <w:t>80</w:t>
        </w:r>
        <w:r>
          <w:rPr>
            <w:webHidden/>
          </w:rPr>
          <w:fldChar w:fldCharType="end"/>
        </w:r>
      </w:hyperlink>
    </w:p>
    <w:p w14:paraId="5B9BECEE" w14:textId="7304C921" w:rsidR="00C9062D" w:rsidRDefault="00C9062D">
      <w:pPr>
        <w:pStyle w:val="TOC3"/>
        <w:rPr>
          <w:rFonts w:eastAsiaTheme="minorEastAsia" w:cstheme="minorBidi"/>
          <w:color w:val="auto"/>
          <w:sz w:val="24"/>
          <w:szCs w:val="24"/>
          <w:lang w:eastAsia="en-GB"/>
        </w:rPr>
      </w:pPr>
      <w:hyperlink w:anchor="_Toc62808137" w:history="1">
        <w:r w:rsidRPr="00126835">
          <w:rPr>
            <w:rStyle w:val="Hyperlink"/>
          </w:rPr>
          <w:t>Note 2.3 Summary of Compliance with Annual Parliamentary and Special Appropriations</w:t>
        </w:r>
        <w:r>
          <w:rPr>
            <w:webHidden/>
          </w:rPr>
          <w:tab/>
        </w:r>
        <w:r>
          <w:rPr>
            <w:webHidden/>
          </w:rPr>
          <w:fldChar w:fldCharType="begin"/>
        </w:r>
        <w:r>
          <w:rPr>
            <w:webHidden/>
          </w:rPr>
          <w:instrText xml:space="preserve"> PAGEREF _Toc62808137 \h </w:instrText>
        </w:r>
        <w:r>
          <w:rPr>
            <w:webHidden/>
          </w:rPr>
        </w:r>
        <w:r>
          <w:rPr>
            <w:webHidden/>
          </w:rPr>
          <w:fldChar w:fldCharType="separate"/>
        </w:r>
        <w:r>
          <w:rPr>
            <w:webHidden/>
          </w:rPr>
          <w:t>81</w:t>
        </w:r>
        <w:r>
          <w:rPr>
            <w:webHidden/>
          </w:rPr>
          <w:fldChar w:fldCharType="end"/>
        </w:r>
      </w:hyperlink>
    </w:p>
    <w:p w14:paraId="07DD5D87" w14:textId="14F7BC08" w:rsidR="00C9062D" w:rsidRDefault="00C9062D">
      <w:pPr>
        <w:pStyle w:val="TOC3"/>
        <w:rPr>
          <w:rFonts w:eastAsiaTheme="minorEastAsia" w:cstheme="minorBidi"/>
          <w:color w:val="auto"/>
          <w:sz w:val="24"/>
          <w:szCs w:val="24"/>
          <w:lang w:eastAsia="en-GB"/>
        </w:rPr>
      </w:pPr>
      <w:hyperlink w:anchor="_Toc62808138" w:history="1">
        <w:r w:rsidRPr="00126835">
          <w:rPr>
            <w:rStyle w:val="Hyperlink"/>
          </w:rPr>
          <w:t>Note 2.4 Income from Transactions</w:t>
        </w:r>
        <w:r>
          <w:rPr>
            <w:webHidden/>
          </w:rPr>
          <w:tab/>
        </w:r>
        <w:r>
          <w:rPr>
            <w:webHidden/>
          </w:rPr>
          <w:fldChar w:fldCharType="begin"/>
        </w:r>
        <w:r>
          <w:rPr>
            <w:webHidden/>
          </w:rPr>
          <w:instrText xml:space="preserve"> PAGEREF _Toc62808138 \h </w:instrText>
        </w:r>
        <w:r>
          <w:rPr>
            <w:webHidden/>
          </w:rPr>
        </w:r>
        <w:r>
          <w:rPr>
            <w:webHidden/>
          </w:rPr>
          <w:fldChar w:fldCharType="separate"/>
        </w:r>
        <w:r>
          <w:rPr>
            <w:webHidden/>
          </w:rPr>
          <w:t>83</w:t>
        </w:r>
        <w:r>
          <w:rPr>
            <w:webHidden/>
          </w:rPr>
          <w:fldChar w:fldCharType="end"/>
        </w:r>
      </w:hyperlink>
    </w:p>
    <w:p w14:paraId="5259A935" w14:textId="6E730BBA" w:rsidR="00C9062D" w:rsidRDefault="00C9062D">
      <w:pPr>
        <w:pStyle w:val="TOC3"/>
        <w:rPr>
          <w:rFonts w:eastAsiaTheme="minorEastAsia" w:cstheme="minorBidi"/>
          <w:color w:val="auto"/>
          <w:sz w:val="24"/>
          <w:szCs w:val="24"/>
          <w:lang w:eastAsia="en-GB"/>
        </w:rPr>
      </w:pPr>
      <w:hyperlink w:anchor="_Toc62808139" w:history="1">
        <w:r w:rsidRPr="00126835">
          <w:rPr>
            <w:rStyle w:val="Hyperlink"/>
          </w:rPr>
          <w:t>Note 2.5 Annotated Income Agreements</w:t>
        </w:r>
        <w:r>
          <w:rPr>
            <w:webHidden/>
          </w:rPr>
          <w:tab/>
        </w:r>
        <w:r>
          <w:rPr>
            <w:webHidden/>
          </w:rPr>
          <w:fldChar w:fldCharType="begin"/>
        </w:r>
        <w:r>
          <w:rPr>
            <w:webHidden/>
          </w:rPr>
          <w:instrText xml:space="preserve"> PAGEREF _Toc62808139 \h </w:instrText>
        </w:r>
        <w:r>
          <w:rPr>
            <w:webHidden/>
          </w:rPr>
        </w:r>
        <w:r>
          <w:rPr>
            <w:webHidden/>
          </w:rPr>
          <w:fldChar w:fldCharType="separate"/>
        </w:r>
        <w:r>
          <w:rPr>
            <w:webHidden/>
          </w:rPr>
          <w:t>84</w:t>
        </w:r>
        <w:r>
          <w:rPr>
            <w:webHidden/>
          </w:rPr>
          <w:fldChar w:fldCharType="end"/>
        </w:r>
      </w:hyperlink>
    </w:p>
    <w:p w14:paraId="54BD33B0" w14:textId="0D2CACEF" w:rsidR="00C9062D" w:rsidRDefault="00C9062D">
      <w:pPr>
        <w:pStyle w:val="TOC2"/>
        <w:rPr>
          <w:rFonts w:eastAsiaTheme="minorEastAsia" w:cstheme="minorBidi"/>
          <w:color w:val="auto"/>
          <w:sz w:val="24"/>
          <w:szCs w:val="24"/>
          <w:lang w:eastAsia="en-GB"/>
        </w:rPr>
      </w:pPr>
      <w:hyperlink w:anchor="_Toc62808140" w:history="1">
        <w:r w:rsidRPr="00126835">
          <w:rPr>
            <w:rStyle w:val="Hyperlink"/>
          </w:rPr>
          <w:t>Note 3.</w:t>
        </w:r>
        <w:r>
          <w:rPr>
            <w:rFonts w:eastAsiaTheme="minorEastAsia" w:cstheme="minorBidi"/>
            <w:color w:val="auto"/>
            <w:sz w:val="24"/>
            <w:szCs w:val="24"/>
            <w:lang w:eastAsia="en-GB"/>
          </w:rPr>
          <w:tab/>
        </w:r>
        <w:r w:rsidRPr="00126835">
          <w:rPr>
            <w:rStyle w:val="Hyperlink"/>
          </w:rPr>
          <w:t>The Cost of Delivering Services</w:t>
        </w:r>
        <w:r>
          <w:rPr>
            <w:webHidden/>
          </w:rPr>
          <w:tab/>
        </w:r>
        <w:r>
          <w:rPr>
            <w:webHidden/>
          </w:rPr>
          <w:fldChar w:fldCharType="begin"/>
        </w:r>
        <w:r>
          <w:rPr>
            <w:webHidden/>
          </w:rPr>
          <w:instrText xml:space="preserve"> PAGEREF _Toc62808140 \h </w:instrText>
        </w:r>
        <w:r>
          <w:rPr>
            <w:webHidden/>
          </w:rPr>
        </w:r>
        <w:r>
          <w:rPr>
            <w:webHidden/>
          </w:rPr>
          <w:fldChar w:fldCharType="separate"/>
        </w:r>
        <w:r>
          <w:rPr>
            <w:webHidden/>
          </w:rPr>
          <w:t>84</w:t>
        </w:r>
        <w:r>
          <w:rPr>
            <w:webHidden/>
          </w:rPr>
          <w:fldChar w:fldCharType="end"/>
        </w:r>
      </w:hyperlink>
    </w:p>
    <w:p w14:paraId="7974D42E" w14:textId="04E0B8ED" w:rsidR="00C9062D" w:rsidRDefault="00C9062D">
      <w:pPr>
        <w:pStyle w:val="TOC3"/>
        <w:rPr>
          <w:rFonts w:eastAsiaTheme="minorEastAsia" w:cstheme="minorBidi"/>
          <w:color w:val="auto"/>
          <w:sz w:val="24"/>
          <w:szCs w:val="24"/>
          <w:lang w:eastAsia="en-GB"/>
        </w:rPr>
      </w:pPr>
      <w:hyperlink w:anchor="_Toc62808141" w:history="1">
        <w:r w:rsidRPr="00126835">
          <w:rPr>
            <w:rStyle w:val="Hyperlink"/>
          </w:rPr>
          <w:t>Introduction</w:t>
        </w:r>
        <w:r>
          <w:rPr>
            <w:webHidden/>
          </w:rPr>
          <w:tab/>
        </w:r>
        <w:r>
          <w:rPr>
            <w:webHidden/>
          </w:rPr>
          <w:fldChar w:fldCharType="begin"/>
        </w:r>
        <w:r>
          <w:rPr>
            <w:webHidden/>
          </w:rPr>
          <w:instrText xml:space="preserve"> PAGEREF _Toc62808141 \h </w:instrText>
        </w:r>
        <w:r>
          <w:rPr>
            <w:webHidden/>
          </w:rPr>
        </w:r>
        <w:r>
          <w:rPr>
            <w:webHidden/>
          </w:rPr>
          <w:fldChar w:fldCharType="separate"/>
        </w:r>
        <w:r>
          <w:rPr>
            <w:webHidden/>
          </w:rPr>
          <w:t>84</w:t>
        </w:r>
        <w:r>
          <w:rPr>
            <w:webHidden/>
          </w:rPr>
          <w:fldChar w:fldCharType="end"/>
        </w:r>
      </w:hyperlink>
    </w:p>
    <w:p w14:paraId="11FCE279" w14:textId="766EB9C7" w:rsidR="00C9062D" w:rsidRDefault="00C9062D">
      <w:pPr>
        <w:pStyle w:val="TOC3"/>
        <w:rPr>
          <w:rFonts w:eastAsiaTheme="minorEastAsia" w:cstheme="minorBidi"/>
          <w:color w:val="auto"/>
          <w:sz w:val="24"/>
          <w:szCs w:val="24"/>
          <w:lang w:eastAsia="en-GB"/>
        </w:rPr>
      </w:pPr>
      <w:hyperlink w:anchor="_Toc62808142" w:history="1">
        <w:r w:rsidRPr="00126835">
          <w:rPr>
            <w:rStyle w:val="Hyperlink"/>
          </w:rPr>
          <w:t>Note 3.1 Expenses incurred in delivery of services</w:t>
        </w:r>
        <w:r>
          <w:rPr>
            <w:webHidden/>
          </w:rPr>
          <w:tab/>
        </w:r>
        <w:r>
          <w:rPr>
            <w:webHidden/>
          </w:rPr>
          <w:fldChar w:fldCharType="begin"/>
        </w:r>
        <w:r>
          <w:rPr>
            <w:webHidden/>
          </w:rPr>
          <w:instrText xml:space="preserve"> PAGEREF _Toc62808142 \h </w:instrText>
        </w:r>
        <w:r>
          <w:rPr>
            <w:webHidden/>
          </w:rPr>
        </w:r>
        <w:r>
          <w:rPr>
            <w:webHidden/>
          </w:rPr>
          <w:fldChar w:fldCharType="separate"/>
        </w:r>
        <w:r>
          <w:rPr>
            <w:webHidden/>
          </w:rPr>
          <w:t>84</w:t>
        </w:r>
        <w:r>
          <w:rPr>
            <w:webHidden/>
          </w:rPr>
          <w:fldChar w:fldCharType="end"/>
        </w:r>
      </w:hyperlink>
    </w:p>
    <w:p w14:paraId="2D88F5E1" w14:textId="59A9DAD2" w:rsidR="00C9062D" w:rsidRDefault="00C9062D">
      <w:pPr>
        <w:pStyle w:val="TOC3"/>
        <w:rPr>
          <w:rFonts w:eastAsiaTheme="minorEastAsia" w:cstheme="minorBidi"/>
          <w:color w:val="auto"/>
          <w:sz w:val="24"/>
          <w:szCs w:val="24"/>
          <w:lang w:eastAsia="en-GB"/>
        </w:rPr>
      </w:pPr>
      <w:hyperlink w:anchor="_Toc62808143" w:history="1">
        <w:r w:rsidRPr="00126835">
          <w:rPr>
            <w:rStyle w:val="Hyperlink"/>
          </w:rPr>
          <w:t>3.2 Grants and Other Transfers</w:t>
        </w:r>
        <w:r>
          <w:rPr>
            <w:webHidden/>
          </w:rPr>
          <w:tab/>
        </w:r>
        <w:r>
          <w:rPr>
            <w:webHidden/>
          </w:rPr>
          <w:fldChar w:fldCharType="begin"/>
        </w:r>
        <w:r>
          <w:rPr>
            <w:webHidden/>
          </w:rPr>
          <w:instrText xml:space="preserve"> PAGEREF _Toc62808143 \h </w:instrText>
        </w:r>
        <w:r>
          <w:rPr>
            <w:webHidden/>
          </w:rPr>
        </w:r>
        <w:r>
          <w:rPr>
            <w:webHidden/>
          </w:rPr>
          <w:fldChar w:fldCharType="separate"/>
        </w:r>
        <w:r>
          <w:rPr>
            <w:webHidden/>
          </w:rPr>
          <w:t>88</w:t>
        </w:r>
        <w:r>
          <w:rPr>
            <w:webHidden/>
          </w:rPr>
          <w:fldChar w:fldCharType="end"/>
        </w:r>
      </w:hyperlink>
    </w:p>
    <w:p w14:paraId="7A4D7BDF" w14:textId="57E07ECA" w:rsidR="00C9062D" w:rsidRDefault="00C9062D">
      <w:pPr>
        <w:pStyle w:val="TOC3"/>
        <w:rPr>
          <w:rFonts w:eastAsiaTheme="minorEastAsia" w:cstheme="minorBidi"/>
          <w:color w:val="auto"/>
          <w:sz w:val="24"/>
          <w:szCs w:val="24"/>
          <w:lang w:eastAsia="en-GB"/>
        </w:rPr>
      </w:pPr>
      <w:hyperlink w:anchor="_Toc62808144" w:history="1">
        <w:r w:rsidRPr="00126835">
          <w:rPr>
            <w:rStyle w:val="Hyperlink"/>
          </w:rPr>
          <w:t>3.3 Capital Asset Charge</w:t>
        </w:r>
        <w:r>
          <w:rPr>
            <w:webHidden/>
          </w:rPr>
          <w:tab/>
        </w:r>
        <w:r>
          <w:rPr>
            <w:webHidden/>
          </w:rPr>
          <w:fldChar w:fldCharType="begin"/>
        </w:r>
        <w:r>
          <w:rPr>
            <w:webHidden/>
          </w:rPr>
          <w:instrText xml:space="preserve"> PAGEREF _Toc62808144 \h </w:instrText>
        </w:r>
        <w:r>
          <w:rPr>
            <w:webHidden/>
          </w:rPr>
        </w:r>
        <w:r>
          <w:rPr>
            <w:webHidden/>
          </w:rPr>
          <w:fldChar w:fldCharType="separate"/>
        </w:r>
        <w:r>
          <w:rPr>
            <w:webHidden/>
          </w:rPr>
          <w:t>88</w:t>
        </w:r>
        <w:r>
          <w:rPr>
            <w:webHidden/>
          </w:rPr>
          <w:fldChar w:fldCharType="end"/>
        </w:r>
      </w:hyperlink>
    </w:p>
    <w:p w14:paraId="099610A0" w14:textId="56D55147" w:rsidR="00C9062D" w:rsidRDefault="00C9062D">
      <w:pPr>
        <w:pStyle w:val="TOC3"/>
        <w:rPr>
          <w:rFonts w:eastAsiaTheme="minorEastAsia" w:cstheme="minorBidi"/>
          <w:color w:val="auto"/>
          <w:sz w:val="24"/>
          <w:szCs w:val="24"/>
          <w:lang w:eastAsia="en-GB"/>
        </w:rPr>
      </w:pPr>
      <w:hyperlink w:anchor="_Toc62808145" w:history="1">
        <w:r w:rsidRPr="00126835">
          <w:rPr>
            <w:rStyle w:val="Hyperlink"/>
          </w:rPr>
          <w:t>3.4 Supplies and Services</w:t>
        </w:r>
        <w:r>
          <w:rPr>
            <w:webHidden/>
          </w:rPr>
          <w:tab/>
        </w:r>
        <w:r>
          <w:rPr>
            <w:webHidden/>
          </w:rPr>
          <w:fldChar w:fldCharType="begin"/>
        </w:r>
        <w:r>
          <w:rPr>
            <w:webHidden/>
          </w:rPr>
          <w:instrText xml:space="preserve"> PAGEREF _Toc62808145 \h </w:instrText>
        </w:r>
        <w:r>
          <w:rPr>
            <w:webHidden/>
          </w:rPr>
        </w:r>
        <w:r>
          <w:rPr>
            <w:webHidden/>
          </w:rPr>
          <w:fldChar w:fldCharType="separate"/>
        </w:r>
        <w:r>
          <w:rPr>
            <w:webHidden/>
          </w:rPr>
          <w:t>89</w:t>
        </w:r>
        <w:r>
          <w:rPr>
            <w:webHidden/>
          </w:rPr>
          <w:fldChar w:fldCharType="end"/>
        </w:r>
      </w:hyperlink>
    </w:p>
    <w:p w14:paraId="5D089248" w14:textId="17D7CDA4" w:rsidR="00C9062D" w:rsidRDefault="00C9062D">
      <w:pPr>
        <w:pStyle w:val="TOC2"/>
        <w:rPr>
          <w:rFonts w:eastAsiaTheme="minorEastAsia" w:cstheme="minorBidi"/>
          <w:color w:val="auto"/>
          <w:sz w:val="24"/>
          <w:szCs w:val="24"/>
          <w:lang w:eastAsia="en-GB"/>
        </w:rPr>
      </w:pPr>
      <w:hyperlink w:anchor="_Toc62808146" w:history="1">
        <w:r w:rsidRPr="00126835">
          <w:rPr>
            <w:rStyle w:val="Hyperlink"/>
          </w:rPr>
          <w:t>Note 4.</w:t>
        </w:r>
        <w:r>
          <w:rPr>
            <w:rFonts w:eastAsiaTheme="minorEastAsia" w:cstheme="minorBidi"/>
            <w:color w:val="auto"/>
            <w:sz w:val="24"/>
            <w:szCs w:val="24"/>
            <w:lang w:eastAsia="en-GB"/>
          </w:rPr>
          <w:tab/>
        </w:r>
        <w:r w:rsidRPr="00126835">
          <w:rPr>
            <w:rStyle w:val="Hyperlink"/>
          </w:rPr>
          <w:t>Disaggregated Financial Information by Output</w:t>
        </w:r>
        <w:r>
          <w:rPr>
            <w:webHidden/>
          </w:rPr>
          <w:tab/>
        </w:r>
        <w:r>
          <w:rPr>
            <w:webHidden/>
          </w:rPr>
          <w:fldChar w:fldCharType="begin"/>
        </w:r>
        <w:r>
          <w:rPr>
            <w:webHidden/>
          </w:rPr>
          <w:instrText xml:space="preserve"> PAGEREF _Toc62808146 \h </w:instrText>
        </w:r>
        <w:r>
          <w:rPr>
            <w:webHidden/>
          </w:rPr>
        </w:r>
        <w:r>
          <w:rPr>
            <w:webHidden/>
          </w:rPr>
          <w:fldChar w:fldCharType="separate"/>
        </w:r>
        <w:r>
          <w:rPr>
            <w:webHidden/>
          </w:rPr>
          <w:t>90</w:t>
        </w:r>
        <w:r>
          <w:rPr>
            <w:webHidden/>
          </w:rPr>
          <w:fldChar w:fldCharType="end"/>
        </w:r>
      </w:hyperlink>
    </w:p>
    <w:p w14:paraId="2CE0AAED" w14:textId="3A4BBB3F" w:rsidR="00C9062D" w:rsidRDefault="00C9062D">
      <w:pPr>
        <w:pStyle w:val="TOC3"/>
        <w:rPr>
          <w:rFonts w:eastAsiaTheme="minorEastAsia" w:cstheme="minorBidi"/>
          <w:color w:val="auto"/>
          <w:sz w:val="24"/>
          <w:szCs w:val="24"/>
          <w:lang w:eastAsia="en-GB"/>
        </w:rPr>
      </w:pPr>
      <w:hyperlink w:anchor="_Toc62808147" w:history="1">
        <w:r w:rsidRPr="00126835">
          <w:rPr>
            <w:rStyle w:val="Hyperlink"/>
          </w:rPr>
          <w:t>Introduction</w:t>
        </w:r>
        <w:r>
          <w:rPr>
            <w:webHidden/>
          </w:rPr>
          <w:tab/>
        </w:r>
        <w:r>
          <w:rPr>
            <w:webHidden/>
          </w:rPr>
          <w:fldChar w:fldCharType="begin"/>
        </w:r>
        <w:r>
          <w:rPr>
            <w:webHidden/>
          </w:rPr>
          <w:instrText xml:space="preserve"> PAGEREF _Toc62808147 \h </w:instrText>
        </w:r>
        <w:r>
          <w:rPr>
            <w:webHidden/>
          </w:rPr>
        </w:r>
        <w:r>
          <w:rPr>
            <w:webHidden/>
          </w:rPr>
          <w:fldChar w:fldCharType="separate"/>
        </w:r>
        <w:r>
          <w:rPr>
            <w:webHidden/>
          </w:rPr>
          <w:t>90</w:t>
        </w:r>
        <w:r>
          <w:rPr>
            <w:webHidden/>
          </w:rPr>
          <w:fldChar w:fldCharType="end"/>
        </w:r>
      </w:hyperlink>
    </w:p>
    <w:p w14:paraId="420A069C" w14:textId="0D27BCB4" w:rsidR="00C9062D" w:rsidRDefault="00C9062D">
      <w:pPr>
        <w:pStyle w:val="TOC3"/>
        <w:rPr>
          <w:rFonts w:eastAsiaTheme="minorEastAsia" w:cstheme="minorBidi"/>
          <w:color w:val="auto"/>
          <w:sz w:val="24"/>
          <w:szCs w:val="24"/>
          <w:lang w:eastAsia="en-GB"/>
        </w:rPr>
      </w:pPr>
      <w:hyperlink w:anchor="_Toc62808148" w:history="1">
        <w:r w:rsidRPr="00126835">
          <w:rPr>
            <w:rStyle w:val="Hyperlink"/>
          </w:rPr>
          <w:t>4.1 Court Services Victoria Outputs – Descriptions and Objectives</w:t>
        </w:r>
        <w:r>
          <w:rPr>
            <w:webHidden/>
          </w:rPr>
          <w:tab/>
        </w:r>
        <w:r>
          <w:rPr>
            <w:webHidden/>
          </w:rPr>
          <w:fldChar w:fldCharType="begin"/>
        </w:r>
        <w:r>
          <w:rPr>
            <w:webHidden/>
          </w:rPr>
          <w:instrText xml:space="preserve"> PAGEREF _Toc62808148 \h </w:instrText>
        </w:r>
        <w:r>
          <w:rPr>
            <w:webHidden/>
          </w:rPr>
        </w:r>
        <w:r>
          <w:rPr>
            <w:webHidden/>
          </w:rPr>
          <w:fldChar w:fldCharType="separate"/>
        </w:r>
        <w:r>
          <w:rPr>
            <w:webHidden/>
          </w:rPr>
          <w:t>90</w:t>
        </w:r>
        <w:r>
          <w:rPr>
            <w:webHidden/>
          </w:rPr>
          <w:fldChar w:fldCharType="end"/>
        </w:r>
      </w:hyperlink>
    </w:p>
    <w:p w14:paraId="15AC7793" w14:textId="2D203CDB" w:rsidR="00C9062D" w:rsidRDefault="00C9062D">
      <w:pPr>
        <w:pStyle w:val="TOC3"/>
        <w:rPr>
          <w:rFonts w:eastAsiaTheme="minorEastAsia" w:cstheme="minorBidi"/>
          <w:color w:val="auto"/>
          <w:sz w:val="24"/>
          <w:szCs w:val="24"/>
          <w:lang w:eastAsia="en-GB"/>
        </w:rPr>
      </w:pPr>
      <w:hyperlink w:anchor="_Toc62808149" w:history="1">
        <w:r w:rsidRPr="00126835">
          <w:rPr>
            <w:rStyle w:val="Hyperlink"/>
          </w:rPr>
          <w:t>4.2 Controlled Items</w:t>
        </w:r>
        <w:r>
          <w:rPr>
            <w:webHidden/>
          </w:rPr>
          <w:tab/>
        </w:r>
        <w:r>
          <w:rPr>
            <w:webHidden/>
          </w:rPr>
          <w:fldChar w:fldCharType="begin"/>
        </w:r>
        <w:r>
          <w:rPr>
            <w:webHidden/>
          </w:rPr>
          <w:instrText xml:space="preserve"> PAGEREF _Toc62808149 \h </w:instrText>
        </w:r>
        <w:r>
          <w:rPr>
            <w:webHidden/>
          </w:rPr>
        </w:r>
        <w:r>
          <w:rPr>
            <w:webHidden/>
          </w:rPr>
          <w:fldChar w:fldCharType="separate"/>
        </w:r>
        <w:r>
          <w:rPr>
            <w:webHidden/>
          </w:rPr>
          <w:t>91</w:t>
        </w:r>
        <w:r>
          <w:rPr>
            <w:webHidden/>
          </w:rPr>
          <w:fldChar w:fldCharType="end"/>
        </w:r>
      </w:hyperlink>
    </w:p>
    <w:p w14:paraId="14740145" w14:textId="2146E9EC" w:rsidR="00C9062D" w:rsidRDefault="00C9062D">
      <w:pPr>
        <w:pStyle w:val="TOC3"/>
        <w:rPr>
          <w:rFonts w:eastAsiaTheme="minorEastAsia" w:cstheme="minorBidi"/>
          <w:color w:val="auto"/>
          <w:sz w:val="24"/>
          <w:szCs w:val="24"/>
          <w:lang w:eastAsia="en-GB"/>
        </w:rPr>
      </w:pPr>
      <w:hyperlink w:anchor="_Toc62808150" w:history="1">
        <w:r w:rsidRPr="00126835">
          <w:rPr>
            <w:rStyle w:val="Hyperlink"/>
          </w:rPr>
          <w:t>4.3 Administered (Non-Controlled) Items for the Financial Year Ended 30 June 2020</w:t>
        </w:r>
        <w:r>
          <w:rPr>
            <w:webHidden/>
          </w:rPr>
          <w:tab/>
        </w:r>
        <w:r>
          <w:rPr>
            <w:webHidden/>
          </w:rPr>
          <w:fldChar w:fldCharType="begin"/>
        </w:r>
        <w:r>
          <w:rPr>
            <w:webHidden/>
          </w:rPr>
          <w:instrText xml:space="preserve"> PAGEREF _Toc62808150 \h </w:instrText>
        </w:r>
        <w:r>
          <w:rPr>
            <w:webHidden/>
          </w:rPr>
        </w:r>
        <w:r>
          <w:rPr>
            <w:webHidden/>
          </w:rPr>
          <w:fldChar w:fldCharType="separate"/>
        </w:r>
        <w:r>
          <w:rPr>
            <w:webHidden/>
          </w:rPr>
          <w:t>93</w:t>
        </w:r>
        <w:r>
          <w:rPr>
            <w:webHidden/>
          </w:rPr>
          <w:fldChar w:fldCharType="end"/>
        </w:r>
      </w:hyperlink>
    </w:p>
    <w:p w14:paraId="416176C1" w14:textId="28059B39" w:rsidR="00C9062D" w:rsidRDefault="00C9062D">
      <w:pPr>
        <w:pStyle w:val="TOC2"/>
        <w:rPr>
          <w:rFonts w:eastAsiaTheme="minorEastAsia" w:cstheme="minorBidi"/>
          <w:color w:val="auto"/>
          <w:sz w:val="24"/>
          <w:szCs w:val="24"/>
          <w:lang w:eastAsia="en-GB"/>
        </w:rPr>
      </w:pPr>
      <w:hyperlink w:anchor="_Toc62808151" w:history="1">
        <w:r w:rsidRPr="00126835">
          <w:rPr>
            <w:rStyle w:val="Hyperlink"/>
          </w:rPr>
          <w:t>Note 5.</w:t>
        </w:r>
        <w:r>
          <w:rPr>
            <w:rFonts w:eastAsiaTheme="minorEastAsia" w:cstheme="minorBidi"/>
            <w:color w:val="auto"/>
            <w:sz w:val="24"/>
            <w:szCs w:val="24"/>
            <w:lang w:eastAsia="en-GB"/>
          </w:rPr>
          <w:tab/>
        </w:r>
        <w:r w:rsidRPr="00126835">
          <w:rPr>
            <w:rStyle w:val="Hyperlink"/>
          </w:rPr>
          <w:t>Key Assets Available to Support Output Delivery</w:t>
        </w:r>
        <w:r>
          <w:rPr>
            <w:webHidden/>
          </w:rPr>
          <w:tab/>
        </w:r>
        <w:r>
          <w:rPr>
            <w:webHidden/>
          </w:rPr>
          <w:fldChar w:fldCharType="begin"/>
        </w:r>
        <w:r>
          <w:rPr>
            <w:webHidden/>
          </w:rPr>
          <w:instrText xml:space="preserve"> PAGEREF _Toc62808151 \h </w:instrText>
        </w:r>
        <w:r>
          <w:rPr>
            <w:webHidden/>
          </w:rPr>
        </w:r>
        <w:r>
          <w:rPr>
            <w:webHidden/>
          </w:rPr>
          <w:fldChar w:fldCharType="separate"/>
        </w:r>
        <w:r>
          <w:rPr>
            <w:webHidden/>
          </w:rPr>
          <w:t>95</w:t>
        </w:r>
        <w:r>
          <w:rPr>
            <w:webHidden/>
          </w:rPr>
          <w:fldChar w:fldCharType="end"/>
        </w:r>
      </w:hyperlink>
    </w:p>
    <w:p w14:paraId="531596EA" w14:textId="42101F13" w:rsidR="00C9062D" w:rsidRDefault="00C9062D">
      <w:pPr>
        <w:pStyle w:val="TOC3"/>
        <w:rPr>
          <w:rFonts w:eastAsiaTheme="minorEastAsia" w:cstheme="minorBidi"/>
          <w:color w:val="auto"/>
          <w:sz w:val="24"/>
          <w:szCs w:val="24"/>
          <w:lang w:eastAsia="en-GB"/>
        </w:rPr>
      </w:pPr>
      <w:hyperlink w:anchor="_Toc62808152" w:history="1">
        <w:r w:rsidRPr="00126835">
          <w:rPr>
            <w:rStyle w:val="Hyperlink"/>
          </w:rPr>
          <w:t>Introduction</w:t>
        </w:r>
        <w:r>
          <w:rPr>
            <w:webHidden/>
          </w:rPr>
          <w:tab/>
        </w:r>
        <w:r>
          <w:rPr>
            <w:webHidden/>
          </w:rPr>
          <w:fldChar w:fldCharType="begin"/>
        </w:r>
        <w:r>
          <w:rPr>
            <w:webHidden/>
          </w:rPr>
          <w:instrText xml:space="preserve"> PAGEREF _Toc62808152 \h </w:instrText>
        </w:r>
        <w:r>
          <w:rPr>
            <w:webHidden/>
          </w:rPr>
        </w:r>
        <w:r>
          <w:rPr>
            <w:webHidden/>
          </w:rPr>
          <w:fldChar w:fldCharType="separate"/>
        </w:r>
        <w:r>
          <w:rPr>
            <w:webHidden/>
          </w:rPr>
          <w:t>95</w:t>
        </w:r>
        <w:r>
          <w:rPr>
            <w:webHidden/>
          </w:rPr>
          <w:fldChar w:fldCharType="end"/>
        </w:r>
      </w:hyperlink>
    </w:p>
    <w:p w14:paraId="7E4B6FD0" w14:textId="607F5051" w:rsidR="00C9062D" w:rsidRDefault="00C9062D">
      <w:pPr>
        <w:pStyle w:val="TOC3"/>
        <w:rPr>
          <w:rFonts w:eastAsiaTheme="minorEastAsia" w:cstheme="minorBidi"/>
          <w:color w:val="auto"/>
          <w:sz w:val="24"/>
          <w:szCs w:val="24"/>
          <w:lang w:eastAsia="en-GB"/>
        </w:rPr>
      </w:pPr>
      <w:hyperlink w:anchor="_Toc62808153" w:history="1">
        <w:r w:rsidRPr="00126835">
          <w:rPr>
            <w:rStyle w:val="Hyperlink"/>
          </w:rPr>
          <w:t>Fair Value Measurement</w:t>
        </w:r>
        <w:r>
          <w:rPr>
            <w:webHidden/>
          </w:rPr>
          <w:tab/>
        </w:r>
        <w:r>
          <w:rPr>
            <w:webHidden/>
          </w:rPr>
          <w:fldChar w:fldCharType="begin"/>
        </w:r>
        <w:r>
          <w:rPr>
            <w:webHidden/>
          </w:rPr>
          <w:instrText xml:space="preserve"> PAGEREF _Toc62808153 \h </w:instrText>
        </w:r>
        <w:r>
          <w:rPr>
            <w:webHidden/>
          </w:rPr>
        </w:r>
        <w:r>
          <w:rPr>
            <w:webHidden/>
          </w:rPr>
          <w:fldChar w:fldCharType="separate"/>
        </w:r>
        <w:r>
          <w:rPr>
            <w:webHidden/>
          </w:rPr>
          <w:t>95</w:t>
        </w:r>
        <w:r>
          <w:rPr>
            <w:webHidden/>
          </w:rPr>
          <w:fldChar w:fldCharType="end"/>
        </w:r>
      </w:hyperlink>
    </w:p>
    <w:p w14:paraId="2F0D727A" w14:textId="201190E6" w:rsidR="00C9062D" w:rsidRDefault="00C9062D">
      <w:pPr>
        <w:pStyle w:val="TOC3"/>
        <w:rPr>
          <w:rFonts w:eastAsiaTheme="minorEastAsia" w:cstheme="minorBidi"/>
          <w:color w:val="auto"/>
          <w:sz w:val="24"/>
          <w:szCs w:val="24"/>
          <w:lang w:eastAsia="en-GB"/>
        </w:rPr>
      </w:pPr>
      <w:hyperlink w:anchor="_Toc62808154" w:history="1">
        <w:r w:rsidRPr="00126835">
          <w:rPr>
            <w:rStyle w:val="Hyperlink"/>
          </w:rPr>
          <w:t>5.1 Property, Plant and Equipment</w:t>
        </w:r>
        <w:r w:rsidRPr="00126835">
          <w:rPr>
            <w:rStyle w:val="Hyperlink"/>
            <w:vertAlign w:val="superscript"/>
          </w:rPr>
          <w:t>(1)</w:t>
        </w:r>
        <w:r>
          <w:rPr>
            <w:webHidden/>
          </w:rPr>
          <w:tab/>
        </w:r>
        <w:r>
          <w:rPr>
            <w:webHidden/>
          </w:rPr>
          <w:fldChar w:fldCharType="begin"/>
        </w:r>
        <w:r>
          <w:rPr>
            <w:webHidden/>
          </w:rPr>
          <w:instrText xml:space="preserve"> PAGEREF _Toc62808154 \h </w:instrText>
        </w:r>
        <w:r>
          <w:rPr>
            <w:webHidden/>
          </w:rPr>
        </w:r>
        <w:r>
          <w:rPr>
            <w:webHidden/>
          </w:rPr>
          <w:fldChar w:fldCharType="separate"/>
        </w:r>
        <w:r>
          <w:rPr>
            <w:webHidden/>
          </w:rPr>
          <w:t>95</w:t>
        </w:r>
        <w:r>
          <w:rPr>
            <w:webHidden/>
          </w:rPr>
          <w:fldChar w:fldCharType="end"/>
        </w:r>
      </w:hyperlink>
    </w:p>
    <w:p w14:paraId="31ED8C29" w14:textId="4628B867" w:rsidR="00C9062D" w:rsidRDefault="00C9062D">
      <w:pPr>
        <w:pStyle w:val="TOC3"/>
        <w:rPr>
          <w:rFonts w:eastAsiaTheme="minorEastAsia" w:cstheme="minorBidi"/>
          <w:color w:val="auto"/>
          <w:sz w:val="24"/>
          <w:szCs w:val="24"/>
          <w:lang w:eastAsia="en-GB"/>
        </w:rPr>
      </w:pPr>
      <w:hyperlink w:anchor="_Toc62808155" w:history="1">
        <w:r w:rsidRPr="00126835">
          <w:rPr>
            <w:rStyle w:val="Hyperlink"/>
          </w:rPr>
          <w:t>5.2</w:t>
        </w:r>
        <w:r>
          <w:rPr>
            <w:rFonts w:eastAsiaTheme="minorEastAsia" w:cstheme="minorBidi"/>
            <w:color w:val="auto"/>
            <w:sz w:val="24"/>
            <w:szCs w:val="24"/>
            <w:lang w:eastAsia="en-GB"/>
          </w:rPr>
          <w:tab/>
        </w:r>
        <w:r w:rsidRPr="00126835">
          <w:rPr>
            <w:rStyle w:val="Hyperlink"/>
          </w:rPr>
          <w:t>Intangible assets</w:t>
        </w:r>
        <w:r>
          <w:rPr>
            <w:webHidden/>
          </w:rPr>
          <w:tab/>
        </w:r>
        <w:r>
          <w:rPr>
            <w:webHidden/>
          </w:rPr>
          <w:fldChar w:fldCharType="begin"/>
        </w:r>
        <w:r>
          <w:rPr>
            <w:webHidden/>
          </w:rPr>
          <w:instrText xml:space="preserve"> PAGEREF _Toc62808155 \h </w:instrText>
        </w:r>
        <w:r>
          <w:rPr>
            <w:webHidden/>
          </w:rPr>
        </w:r>
        <w:r>
          <w:rPr>
            <w:webHidden/>
          </w:rPr>
          <w:fldChar w:fldCharType="separate"/>
        </w:r>
        <w:r>
          <w:rPr>
            <w:webHidden/>
          </w:rPr>
          <w:t>102</w:t>
        </w:r>
        <w:r>
          <w:rPr>
            <w:webHidden/>
          </w:rPr>
          <w:fldChar w:fldCharType="end"/>
        </w:r>
      </w:hyperlink>
    </w:p>
    <w:p w14:paraId="0126D292" w14:textId="44F1F81B" w:rsidR="00C9062D" w:rsidRDefault="00C9062D">
      <w:pPr>
        <w:pStyle w:val="TOC2"/>
        <w:rPr>
          <w:rFonts w:eastAsiaTheme="minorEastAsia" w:cstheme="minorBidi"/>
          <w:color w:val="auto"/>
          <w:sz w:val="24"/>
          <w:szCs w:val="24"/>
          <w:lang w:eastAsia="en-GB"/>
        </w:rPr>
      </w:pPr>
      <w:hyperlink w:anchor="_Toc62808156" w:history="1">
        <w:r w:rsidRPr="00126835">
          <w:rPr>
            <w:rStyle w:val="Hyperlink"/>
          </w:rPr>
          <w:t>Note 6.</w:t>
        </w:r>
        <w:r>
          <w:rPr>
            <w:rFonts w:eastAsiaTheme="minorEastAsia" w:cstheme="minorBidi"/>
            <w:color w:val="auto"/>
            <w:sz w:val="24"/>
            <w:szCs w:val="24"/>
            <w:lang w:eastAsia="en-GB"/>
          </w:rPr>
          <w:tab/>
        </w:r>
        <w:r w:rsidRPr="00126835">
          <w:rPr>
            <w:rStyle w:val="Hyperlink"/>
          </w:rPr>
          <w:t>Other Assets and Liabilities</w:t>
        </w:r>
        <w:r>
          <w:rPr>
            <w:webHidden/>
          </w:rPr>
          <w:tab/>
        </w:r>
        <w:r>
          <w:rPr>
            <w:webHidden/>
          </w:rPr>
          <w:fldChar w:fldCharType="begin"/>
        </w:r>
        <w:r>
          <w:rPr>
            <w:webHidden/>
          </w:rPr>
          <w:instrText xml:space="preserve"> PAGEREF _Toc62808156 \h </w:instrText>
        </w:r>
        <w:r>
          <w:rPr>
            <w:webHidden/>
          </w:rPr>
        </w:r>
        <w:r>
          <w:rPr>
            <w:webHidden/>
          </w:rPr>
          <w:fldChar w:fldCharType="separate"/>
        </w:r>
        <w:r>
          <w:rPr>
            <w:webHidden/>
          </w:rPr>
          <w:t>104</w:t>
        </w:r>
        <w:r>
          <w:rPr>
            <w:webHidden/>
          </w:rPr>
          <w:fldChar w:fldCharType="end"/>
        </w:r>
      </w:hyperlink>
    </w:p>
    <w:p w14:paraId="4968DE11" w14:textId="5C7F9BA4" w:rsidR="00C9062D" w:rsidRDefault="00C9062D">
      <w:pPr>
        <w:pStyle w:val="TOC3"/>
        <w:rPr>
          <w:rFonts w:eastAsiaTheme="minorEastAsia" w:cstheme="minorBidi"/>
          <w:color w:val="auto"/>
          <w:sz w:val="24"/>
          <w:szCs w:val="24"/>
          <w:lang w:eastAsia="en-GB"/>
        </w:rPr>
      </w:pPr>
      <w:hyperlink w:anchor="_Toc62808157" w:history="1">
        <w:r w:rsidRPr="00126835">
          <w:rPr>
            <w:rStyle w:val="Hyperlink"/>
          </w:rPr>
          <w:t>Introduction</w:t>
        </w:r>
        <w:r>
          <w:rPr>
            <w:webHidden/>
          </w:rPr>
          <w:tab/>
        </w:r>
        <w:r>
          <w:rPr>
            <w:webHidden/>
          </w:rPr>
          <w:fldChar w:fldCharType="begin"/>
        </w:r>
        <w:r>
          <w:rPr>
            <w:webHidden/>
          </w:rPr>
          <w:instrText xml:space="preserve"> PAGEREF _Toc62808157 \h </w:instrText>
        </w:r>
        <w:r>
          <w:rPr>
            <w:webHidden/>
          </w:rPr>
        </w:r>
        <w:r>
          <w:rPr>
            <w:webHidden/>
          </w:rPr>
          <w:fldChar w:fldCharType="separate"/>
        </w:r>
        <w:r>
          <w:rPr>
            <w:webHidden/>
          </w:rPr>
          <w:t>104</w:t>
        </w:r>
        <w:r>
          <w:rPr>
            <w:webHidden/>
          </w:rPr>
          <w:fldChar w:fldCharType="end"/>
        </w:r>
      </w:hyperlink>
    </w:p>
    <w:p w14:paraId="571C0067" w14:textId="6A8D92B0" w:rsidR="00C9062D" w:rsidRDefault="00C9062D">
      <w:pPr>
        <w:pStyle w:val="TOC3"/>
        <w:rPr>
          <w:rFonts w:eastAsiaTheme="minorEastAsia" w:cstheme="minorBidi"/>
          <w:color w:val="auto"/>
          <w:sz w:val="24"/>
          <w:szCs w:val="24"/>
          <w:lang w:eastAsia="en-GB"/>
        </w:rPr>
      </w:pPr>
      <w:hyperlink w:anchor="_Toc62808158" w:history="1">
        <w:r w:rsidRPr="00126835">
          <w:rPr>
            <w:rStyle w:val="Hyperlink"/>
          </w:rPr>
          <w:t>6.1 Receivables</w:t>
        </w:r>
        <w:r>
          <w:rPr>
            <w:webHidden/>
          </w:rPr>
          <w:tab/>
        </w:r>
        <w:r>
          <w:rPr>
            <w:webHidden/>
          </w:rPr>
          <w:fldChar w:fldCharType="begin"/>
        </w:r>
        <w:r>
          <w:rPr>
            <w:webHidden/>
          </w:rPr>
          <w:instrText xml:space="preserve"> PAGEREF _Toc62808158 \h </w:instrText>
        </w:r>
        <w:r>
          <w:rPr>
            <w:webHidden/>
          </w:rPr>
        </w:r>
        <w:r>
          <w:rPr>
            <w:webHidden/>
          </w:rPr>
          <w:fldChar w:fldCharType="separate"/>
        </w:r>
        <w:r>
          <w:rPr>
            <w:webHidden/>
          </w:rPr>
          <w:t>104</w:t>
        </w:r>
        <w:r>
          <w:rPr>
            <w:webHidden/>
          </w:rPr>
          <w:fldChar w:fldCharType="end"/>
        </w:r>
      </w:hyperlink>
    </w:p>
    <w:p w14:paraId="684846A2" w14:textId="335A24D9" w:rsidR="00C9062D" w:rsidRDefault="00C9062D">
      <w:pPr>
        <w:pStyle w:val="TOC3"/>
        <w:rPr>
          <w:rFonts w:eastAsiaTheme="minorEastAsia" w:cstheme="minorBidi"/>
          <w:color w:val="auto"/>
          <w:sz w:val="24"/>
          <w:szCs w:val="24"/>
          <w:lang w:eastAsia="en-GB"/>
        </w:rPr>
      </w:pPr>
      <w:hyperlink w:anchor="_Toc62808159" w:history="1">
        <w:r w:rsidRPr="00126835">
          <w:rPr>
            <w:rStyle w:val="Hyperlink"/>
          </w:rPr>
          <w:t>6.2 Payables</w:t>
        </w:r>
        <w:r>
          <w:rPr>
            <w:webHidden/>
          </w:rPr>
          <w:tab/>
        </w:r>
        <w:r>
          <w:rPr>
            <w:webHidden/>
          </w:rPr>
          <w:fldChar w:fldCharType="begin"/>
        </w:r>
        <w:r>
          <w:rPr>
            <w:webHidden/>
          </w:rPr>
          <w:instrText xml:space="preserve"> PAGEREF _Toc62808159 \h </w:instrText>
        </w:r>
        <w:r>
          <w:rPr>
            <w:webHidden/>
          </w:rPr>
        </w:r>
        <w:r>
          <w:rPr>
            <w:webHidden/>
          </w:rPr>
          <w:fldChar w:fldCharType="separate"/>
        </w:r>
        <w:r>
          <w:rPr>
            <w:webHidden/>
          </w:rPr>
          <w:t>105</w:t>
        </w:r>
        <w:r>
          <w:rPr>
            <w:webHidden/>
          </w:rPr>
          <w:fldChar w:fldCharType="end"/>
        </w:r>
      </w:hyperlink>
    </w:p>
    <w:p w14:paraId="37CA9F2D" w14:textId="79B57DE2" w:rsidR="00C9062D" w:rsidRDefault="00C9062D">
      <w:pPr>
        <w:pStyle w:val="TOC2"/>
        <w:rPr>
          <w:rFonts w:eastAsiaTheme="minorEastAsia" w:cstheme="minorBidi"/>
          <w:color w:val="auto"/>
          <w:sz w:val="24"/>
          <w:szCs w:val="24"/>
          <w:lang w:eastAsia="en-GB"/>
        </w:rPr>
      </w:pPr>
      <w:hyperlink w:anchor="_Toc62808160" w:history="1">
        <w:r w:rsidRPr="00126835">
          <w:rPr>
            <w:rStyle w:val="Hyperlink"/>
          </w:rPr>
          <w:t>Note 7.</w:t>
        </w:r>
        <w:r>
          <w:rPr>
            <w:rFonts w:eastAsiaTheme="minorEastAsia" w:cstheme="minorBidi"/>
            <w:color w:val="auto"/>
            <w:sz w:val="24"/>
            <w:szCs w:val="24"/>
            <w:lang w:eastAsia="en-GB"/>
          </w:rPr>
          <w:tab/>
        </w:r>
        <w:r w:rsidRPr="00126835">
          <w:rPr>
            <w:rStyle w:val="Hyperlink"/>
          </w:rPr>
          <w:t>Financing Our Operations</w:t>
        </w:r>
        <w:r>
          <w:rPr>
            <w:webHidden/>
          </w:rPr>
          <w:tab/>
        </w:r>
        <w:r>
          <w:rPr>
            <w:webHidden/>
          </w:rPr>
          <w:fldChar w:fldCharType="begin"/>
        </w:r>
        <w:r>
          <w:rPr>
            <w:webHidden/>
          </w:rPr>
          <w:instrText xml:space="preserve"> PAGEREF _Toc62808160 \h </w:instrText>
        </w:r>
        <w:r>
          <w:rPr>
            <w:webHidden/>
          </w:rPr>
        </w:r>
        <w:r>
          <w:rPr>
            <w:webHidden/>
          </w:rPr>
          <w:fldChar w:fldCharType="separate"/>
        </w:r>
        <w:r>
          <w:rPr>
            <w:webHidden/>
          </w:rPr>
          <w:t>106</w:t>
        </w:r>
        <w:r>
          <w:rPr>
            <w:webHidden/>
          </w:rPr>
          <w:fldChar w:fldCharType="end"/>
        </w:r>
      </w:hyperlink>
    </w:p>
    <w:p w14:paraId="73495185" w14:textId="5F24A8C1" w:rsidR="00C9062D" w:rsidRDefault="00C9062D">
      <w:pPr>
        <w:pStyle w:val="TOC3"/>
        <w:rPr>
          <w:rFonts w:eastAsiaTheme="minorEastAsia" w:cstheme="minorBidi"/>
          <w:color w:val="auto"/>
          <w:sz w:val="24"/>
          <w:szCs w:val="24"/>
          <w:lang w:eastAsia="en-GB"/>
        </w:rPr>
      </w:pPr>
      <w:hyperlink w:anchor="_Toc62808161" w:history="1">
        <w:r w:rsidRPr="00126835">
          <w:rPr>
            <w:rStyle w:val="Hyperlink"/>
          </w:rPr>
          <w:t>Introduction</w:t>
        </w:r>
        <w:r>
          <w:rPr>
            <w:webHidden/>
          </w:rPr>
          <w:tab/>
        </w:r>
        <w:r>
          <w:rPr>
            <w:webHidden/>
          </w:rPr>
          <w:fldChar w:fldCharType="begin"/>
        </w:r>
        <w:r>
          <w:rPr>
            <w:webHidden/>
          </w:rPr>
          <w:instrText xml:space="preserve"> PAGEREF _Toc62808161 \h </w:instrText>
        </w:r>
        <w:r>
          <w:rPr>
            <w:webHidden/>
          </w:rPr>
        </w:r>
        <w:r>
          <w:rPr>
            <w:webHidden/>
          </w:rPr>
          <w:fldChar w:fldCharType="separate"/>
        </w:r>
        <w:r>
          <w:rPr>
            <w:webHidden/>
          </w:rPr>
          <w:t>106</w:t>
        </w:r>
        <w:r>
          <w:rPr>
            <w:webHidden/>
          </w:rPr>
          <w:fldChar w:fldCharType="end"/>
        </w:r>
      </w:hyperlink>
    </w:p>
    <w:p w14:paraId="5EC942CA" w14:textId="5D145A58" w:rsidR="00C9062D" w:rsidRDefault="00C9062D">
      <w:pPr>
        <w:pStyle w:val="TOC3"/>
        <w:rPr>
          <w:rFonts w:eastAsiaTheme="minorEastAsia" w:cstheme="minorBidi"/>
          <w:color w:val="auto"/>
          <w:sz w:val="24"/>
          <w:szCs w:val="24"/>
          <w:lang w:eastAsia="en-GB"/>
        </w:rPr>
      </w:pPr>
      <w:hyperlink w:anchor="_Toc62808162" w:history="1">
        <w:r w:rsidRPr="00126835">
          <w:rPr>
            <w:rStyle w:val="Hyperlink"/>
          </w:rPr>
          <w:t>7.1 Lease Liabilities (Court Services Victoria as Lessee)</w:t>
        </w:r>
        <w:r>
          <w:rPr>
            <w:webHidden/>
          </w:rPr>
          <w:tab/>
        </w:r>
        <w:r>
          <w:rPr>
            <w:webHidden/>
          </w:rPr>
          <w:fldChar w:fldCharType="begin"/>
        </w:r>
        <w:r>
          <w:rPr>
            <w:webHidden/>
          </w:rPr>
          <w:instrText xml:space="preserve"> PAGEREF _Toc62808162 \h </w:instrText>
        </w:r>
        <w:r>
          <w:rPr>
            <w:webHidden/>
          </w:rPr>
        </w:r>
        <w:r>
          <w:rPr>
            <w:webHidden/>
          </w:rPr>
          <w:fldChar w:fldCharType="separate"/>
        </w:r>
        <w:r>
          <w:rPr>
            <w:webHidden/>
          </w:rPr>
          <w:t>106</w:t>
        </w:r>
        <w:r>
          <w:rPr>
            <w:webHidden/>
          </w:rPr>
          <w:fldChar w:fldCharType="end"/>
        </w:r>
      </w:hyperlink>
    </w:p>
    <w:p w14:paraId="6A1439BD" w14:textId="505D3690" w:rsidR="00C9062D" w:rsidRDefault="00C9062D">
      <w:pPr>
        <w:pStyle w:val="TOC3"/>
        <w:rPr>
          <w:rFonts w:eastAsiaTheme="minorEastAsia" w:cstheme="minorBidi"/>
          <w:color w:val="auto"/>
          <w:sz w:val="24"/>
          <w:szCs w:val="24"/>
          <w:lang w:eastAsia="en-GB"/>
        </w:rPr>
      </w:pPr>
      <w:hyperlink w:anchor="_Toc62808163" w:history="1">
        <w:r w:rsidRPr="00126835">
          <w:rPr>
            <w:rStyle w:val="Hyperlink"/>
          </w:rPr>
          <w:t>Separation of Lease and Non-Lease Components</w:t>
        </w:r>
        <w:r>
          <w:rPr>
            <w:webHidden/>
          </w:rPr>
          <w:tab/>
        </w:r>
        <w:r>
          <w:rPr>
            <w:webHidden/>
          </w:rPr>
          <w:fldChar w:fldCharType="begin"/>
        </w:r>
        <w:r>
          <w:rPr>
            <w:webHidden/>
          </w:rPr>
          <w:instrText xml:space="preserve"> PAGEREF _Toc62808163 \h </w:instrText>
        </w:r>
        <w:r>
          <w:rPr>
            <w:webHidden/>
          </w:rPr>
        </w:r>
        <w:r>
          <w:rPr>
            <w:webHidden/>
          </w:rPr>
          <w:fldChar w:fldCharType="separate"/>
        </w:r>
        <w:r>
          <w:rPr>
            <w:webHidden/>
          </w:rPr>
          <w:t>108</w:t>
        </w:r>
        <w:r>
          <w:rPr>
            <w:webHidden/>
          </w:rPr>
          <w:fldChar w:fldCharType="end"/>
        </w:r>
      </w:hyperlink>
    </w:p>
    <w:p w14:paraId="24F7F941" w14:textId="4C3781AD" w:rsidR="00C9062D" w:rsidRDefault="00C9062D">
      <w:pPr>
        <w:pStyle w:val="TOC3"/>
        <w:rPr>
          <w:rFonts w:eastAsiaTheme="minorEastAsia" w:cstheme="minorBidi"/>
          <w:color w:val="auto"/>
          <w:sz w:val="24"/>
          <w:szCs w:val="24"/>
          <w:lang w:eastAsia="en-GB"/>
        </w:rPr>
      </w:pPr>
      <w:hyperlink w:anchor="_Toc62808164" w:history="1">
        <w:r w:rsidRPr="00126835">
          <w:rPr>
            <w:rStyle w:val="Hyperlink"/>
          </w:rPr>
          <w:t>Recognition and Measurement of Leases as a Lessee (Under AASB 16  from 1 July 2019)</w:t>
        </w:r>
        <w:r>
          <w:rPr>
            <w:webHidden/>
          </w:rPr>
          <w:tab/>
        </w:r>
        <w:r>
          <w:rPr>
            <w:webHidden/>
          </w:rPr>
          <w:fldChar w:fldCharType="begin"/>
        </w:r>
        <w:r>
          <w:rPr>
            <w:webHidden/>
          </w:rPr>
          <w:instrText xml:space="preserve"> PAGEREF _Toc62808164 \h </w:instrText>
        </w:r>
        <w:r>
          <w:rPr>
            <w:webHidden/>
          </w:rPr>
        </w:r>
        <w:r>
          <w:rPr>
            <w:webHidden/>
          </w:rPr>
          <w:fldChar w:fldCharType="separate"/>
        </w:r>
        <w:r>
          <w:rPr>
            <w:webHidden/>
          </w:rPr>
          <w:t>108</w:t>
        </w:r>
        <w:r>
          <w:rPr>
            <w:webHidden/>
          </w:rPr>
          <w:fldChar w:fldCharType="end"/>
        </w:r>
      </w:hyperlink>
    </w:p>
    <w:p w14:paraId="5821F42D" w14:textId="76785FEB" w:rsidR="00C9062D" w:rsidRDefault="00C9062D">
      <w:pPr>
        <w:pStyle w:val="TOC3"/>
        <w:rPr>
          <w:rFonts w:eastAsiaTheme="minorEastAsia" w:cstheme="minorBidi"/>
          <w:color w:val="auto"/>
          <w:sz w:val="24"/>
          <w:szCs w:val="24"/>
          <w:lang w:eastAsia="en-GB"/>
        </w:rPr>
      </w:pPr>
      <w:hyperlink w:anchor="_Toc62808165" w:history="1">
        <w:r w:rsidRPr="00126835">
          <w:rPr>
            <w:rStyle w:val="Hyperlink"/>
          </w:rPr>
          <w:t>7.2 Cash Flow Information and Balances</w:t>
        </w:r>
        <w:r>
          <w:rPr>
            <w:webHidden/>
          </w:rPr>
          <w:tab/>
        </w:r>
        <w:r>
          <w:rPr>
            <w:webHidden/>
          </w:rPr>
          <w:fldChar w:fldCharType="begin"/>
        </w:r>
        <w:r>
          <w:rPr>
            <w:webHidden/>
          </w:rPr>
          <w:instrText xml:space="preserve"> PAGEREF _Toc62808165 \h </w:instrText>
        </w:r>
        <w:r>
          <w:rPr>
            <w:webHidden/>
          </w:rPr>
        </w:r>
        <w:r>
          <w:rPr>
            <w:webHidden/>
          </w:rPr>
          <w:fldChar w:fldCharType="separate"/>
        </w:r>
        <w:r>
          <w:rPr>
            <w:webHidden/>
          </w:rPr>
          <w:t>110</w:t>
        </w:r>
        <w:r>
          <w:rPr>
            <w:webHidden/>
          </w:rPr>
          <w:fldChar w:fldCharType="end"/>
        </w:r>
      </w:hyperlink>
    </w:p>
    <w:p w14:paraId="29A139B7" w14:textId="5E6C853E" w:rsidR="00C9062D" w:rsidRDefault="00C9062D">
      <w:pPr>
        <w:pStyle w:val="TOC3"/>
        <w:rPr>
          <w:rFonts w:eastAsiaTheme="minorEastAsia" w:cstheme="minorBidi"/>
          <w:color w:val="auto"/>
          <w:sz w:val="24"/>
          <w:szCs w:val="24"/>
          <w:lang w:eastAsia="en-GB"/>
        </w:rPr>
      </w:pPr>
      <w:hyperlink w:anchor="_Toc62808166" w:history="1">
        <w:r w:rsidRPr="00126835">
          <w:rPr>
            <w:rStyle w:val="Hyperlink"/>
          </w:rPr>
          <w:t>7.3 Trust Account Balances</w:t>
        </w:r>
        <w:r>
          <w:rPr>
            <w:webHidden/>
          </w:rPr>
          <w:tab/>
        </w:r>
        <w:r>
          <w:rPr>
            <w:webHidden/>
          </w:rPr>
          <w:fldChar w:fldCharType="begin"/>
        </w:r>
        <w:r>
          <w:rPr>
            <w:webHidden/>
          </w:rPr>
          <w:instrText xml:space="preserve"> PAGEREF _Toc62808166 \h </w:instrText>
        </w:r>
        <w:r>
          <w:rPr>
            <w:webHidden/>
          </w:rPr>
        </w:r>
        <w:r>
          <w:rPr>
            <w:webHidden/>
          </w:rPr>
          <w:fldChar w:fldCharType="separate"/>
        </w:r>
        <w:r>
          <w:rPr>
            <w:webHidden/>
          </w:rPr>
          <w:t>111</w:t>
        </w:r>
        <w:r>
          <w:rPr>
            <w:webHidden/>
          </w:rPr>
          <w:fldChar w:fldCharType="end"/>
        </w:r>
      </w:hyperlink>
    </w:p>
    <w:p w14:paraId="292FF361" w14:textId="62E8F54D" w:rsidR="00C9062D" w:rsidRDefault="00C9062D">
      <w:pPr>
        <w:pStyle w:val="TOC3"/>
        <w:rPr>
          <w:rFonts w:eastAsiaTheme="minorEastAsia" w:cstheme="minorBidi"/>
          <w:color w:val="auto"/>
          <w:sz w:val="24"/>
          <w:szCs w:val="24"/>
          <w:lang w:eastAsia="en-GB"/>
        </w:rPr>
      </w:pPr>
      <w:hyperlink w:anchor="_Toc62808167" w:history="1">
        <w:r w:rsidRPr="00126835">
          <w:rPr>
            <w:rStyle w:val="Hyperlink"/>
          </w:rPr>
          <w:t>7.4 Commitments for Expenditure</w:t>
        </w:r>
        <w:r>
          <w:rPr>
            <w:webHidden/>
          </w:rPr>
          <w:tab/>
        </w:r>
        <w:r>
          <w:rPr>
            <w:webHidden/>
          </w:rPr>
          <w:fldChar w:fldCharType="begin"/>
        </w:r>
        <w:r>
          <w:rPr>
            <w:webHidden/>
          </w:rPr>
          <w:instrText xml:space="preserve"> PAGEREF _Toc62808167 \h </w:instrText>
        </w:r>
        <w:r>
          <w:rPr>
            <w:webHidden/>
          </w:rPr>
        </w:r>
        <w:r>
          <w:rPr>
            <w:webHidden/>
          </w:rPr>
          <w:fldChar w:fldCharType="separate"/>
        </w:r>
        <w:r>
          <w:rPr>
            <w:webHidden/>
          </w:rPr>
          <w:t>114</w:t>
        </w:r>
        <w:r>
          <w:rPr>
            <w:webHidden/>
          </w:rPr>
          <w:fldChar w:fldCharType="end"/>
        </w:r>
      </w:hyperlink>
    </w:p>
    <w:p w14:paraId="2F98982C" w14:textId="7619D719" w:rsidR="00C9062D" w:rsidRDefault="00C9062D">
      <w:pPr>
        <w:pStyle w:val="TOC2"/>
        <w:rPr>
          <w:rFonts w:eastAsiaTheme="minorEastAsia" w:cstheme="minorBidi"/>
          <w:color w:val="auto"/>
          <w:sz w:val="24"/>
          <w:szCs w:val="24"/>
          <w:lang w:eastAsia="en-GB"/>
        </w:rPr>
      </w:pPr>
      <w:hyperlink w:anchor="_Toc62808168" w:history="1">
        <w:r w:rsidRPr="00126835">
          <w:rPr>
            <w:rStyle w:val="Hyperlink"/>
          </w:rPr>
          <w:t>Note 8.</w:t>
        </w:r>
        <w:r>
          <w:rPr>
            <w:rFonts w:eastAsiaTheme="minorEastAsia" w:cstheme="minorBidi"/>
            <w:color w:val="auto"/>
            <w:sz w:val="24"/>
            <w:szCs w:val="24"/>
            <w:lang w:eastAsia="en-GB"/>
          </w:rPr>
          <w:tab/>
        </w:r>
        <w:r w:rsidRPr="00126835">
          <w:rPr>
            <w:rStyle w:val="Hyperlink"/>
          </w:rPr>
          <w:t>Risks, Contingencies and Valuation Judgements</w:t>
        </w:r>
        <w:r>
          <w:rPr>
            <w:webHidden/>
          </w:rPr>
          <w:tab/>
        </w:r>
        <w:r>
          <w:rPr>
            <w:webHidden/>
          </w:rPr>
          <w:fldChar w:fldCharType="begin"/>
        </w:r>
        <w:r>
          <w:rPr>
            <w:webHidden/>
          </w:rPr>
          <w:instrText xml:space="preserve"> PAGEREF _Toc62808168 \h </w:instrText>
        </w:r>
        <w:r>
          <w:rPr>
            <w:webHidden/>
          </w:rPr>
        </w:r>
        <w:r>
          <w:rPr>
            <w:webHidden/>
          </w:rPr>
          <w:fldChar w:fldCharType="separate"/>
        </w:r>
        <w:r>
          <w:rPr>
            <w:webHidden/>
          </w:rPr>
          <w:t>115</w:t>
        </w:r>
        <w:r>
          <w:rPr>
            <w:webHidden/>
          </w:rPr>
          <w:fldChar w:fldCharType="end"/>
        </w:r>
      </w:hyperlink>
    </w:p>
    <w:p w14:paraId="0C1291DA" w14:textId="76B5122D" w:rsidR="00C9062D" w:rsidRDefault="00C9062D">
      <w:pPr>
        <w:pStyle w:val="TOC3"/>
        <w:rPr>
          <w:rFonts w:eastAsiaTheme="minorEastAsia" w:cstheme="minorBidi"/>
          <w:color w:val="auto"/>
          <w:sz w:val="24"/>
          <w:szCs w:val="24"/>
          <w:lang w:eastAsia="en-GB"/>
        </w:rPr>
      </w:pPr>
      <w:hyperlink w:anchor="_Toc62808169" w:history="1">
        <w:r w:rsidRPr="00126835">
          <w:rPr>
            <w:rStyle w:val="Hyperlink"/>
          </w:rPr>
          <w:t>Introduction</w:t>
        </w:r>
        <w:r>
          <w:rPr>
            <w:webHidden/>
          </w:rPr>
          <w:tab/>
        </w:r>
        <w:r>
          <w:rPr>
            <w:webHidden/>
          </w:rPr>
          <w:fldChar w:fldCharType="begin"/>
        </w:r>
        <w:r>
          <w:rPr>
            <w:webHidden/>
          </w:rPr>
          <w:instrText xml:space="preserve"> PAGEREF _Toc62808169 \h </w:instrText>
        </w:r>
        <w:r>
          <w:rPr>
            <w:webHidden/>
          </w:rPr>
        </w:r>
        <w:r>
          <w:rPr>
            <w:webHidden/>
          </w:rPr>
          <w:fldChar w:fldCharType="separate"/>
        </w:r>
        <w:r>
          <w:rPr>
            <w:webHidden/>
          </w:rPr>
          <w:t>115</w:t>
        </w:r>
        <w:r>
          <w:rPr>
            <w:webHidden/>
          </w:rPr>
          <w:fldChar w:fldCharType="end"/>
        </w:r>
      </w:hyperlink>
    </w:p>
    <w:p w14:paraId="3F71FEB5" w14:textId="25C187FD" w:rsidR="00C9062D" w:rsidRDefault="00C9062D">
      <w:pPr>
        <w:pStyle w:val="TOC3"/>
        <w:rPr>
          <w:rFonts w:eastAsiaTheme="minorEastAsia" w:cstheme="minorBidi"/>
          <w:color w:val="auto"/>
          <w:sz w:val="24"/>
          <w:szCs w:val="24"/>
          <w:lang w:eastAsia="en-GB"/>
        </w:rPr>
      </w:pPr>
      <w:hyperlink w:anchor="_Toc62808170" w:history="1">
        <w:r w:rsidRPr="00126835">
          <w:rPr>
            <w:rStyle w:val="Hyperlink"/>
          </w:rPr>
          <w:t>8.1 Financial Instruments Specific Disclosures</w:t>
        </w:r>
        <w:r>
          <w:rPr>
            <w:webHidden/>
          </w:rPr>
          <w:tab/>
        </w:r>
        <w:r>
          <w:rPr>
            <w:webHidden/>
          </w:rPr>
          <w:fldChar w:fldCharType="begin"/>
        </w:r>
        <w:r>
          <w:rPr>
            <w:webHidden/>
          </w:rPr>
          <w:instrText xml:space="preserve"> PAGEREF _Toc62808170 \h </w:instrText>
        </w:r>
        <w:r>
          <w:rPr>
            <w:webHidden/>
          </w:rPr>
        </w:r>
        <w:r>
          <w:rPr>
            <w:webHidden/>
          </w:rPr>
          <w:fldChar w:fldCharType="separate"/>
        </w:r>
        <w:r>
          <w:rPr>
            <w:webHidden/>
          </w:rPr>
          <w:t>115</w:t>
        </w:r>
        <w:r>
          <w:rPr>
            <w:webHidden/>
          </w:rPr>
          <w:fldChar w:fldCharType="end"/>
        </w:r>
      </w:hyperlink>
    </w:p>
    <w:p w14:paraId="13454D88" w14:textId="5371652B" w:rsidR="00C9062D" w:rsidRDefault="00C9062D">
      <w:pPr>
        <w:pStyle w:val="TOC3"/>
        <w:rPr>
          <w:rFonts w:eastAsiaTheme="minorEastAsia" w:cstheme="minorBidi"/>
          <w:color w:val="auto"/>
          <w:sz w:val="24"/>
          <w:szCs w:val="24"/>
          <w:lang w:eastAsia="en-GB"/>
        </w:rPr>
      </w:pPr>
      <w:hyperlink w:anchor="_Toc62808171" w:history="1">
        <w:r w:rsidRPr="00126835">
          <w:rPr>
            <w:rStyle w:val="Hyperlink"/>
          </w:rPr>
          <w:t>8.2 Contingent Assets and Contingent Liabilities</w:t>
        </w:r>
        <w:r>
          <w:rPr>
            <w:webHidden/>
          </w:rPr>
          <w:tab/>
        </w:r>
        <w:r>
          <w:rPr>
            <w:webHidden/>
          </w:rPr>
          <w:fldChar w:fldCharType="begin"/>
        </w:r>
        <w:r>
          <w:rPr>
            <w:webHidden/>
          </w:rPr>
          <w:instrText xml:space="preserve"> PAGEREF _Toc62808171 \h </w:instrText>
        </w:r>
        <w:r>
          <w:rPr>
            <w:webHidden/>
          </w:rPr>
        </w:r>
        <w:r>
          <w:rPr>
            <w:webHidden/>
          </w:rPr>
          <w:fldChar w:fldCharType="separate"/>
        </w:r>
        <w:r>
          <w:rPr>
            <w:webHidden/>
          </w:rPr>
          <w:t>122</w:t>
        </w:r>
        <w:r>
          <w:rPr>
            <w:webHidden/>
          </w:rPr>
          <w:fldChar w:fldCharType="end"/>
        </w:r>
      </w:hyperlink>
    </w:p>
    <w:p w14:paraId="64BC23D6" w14:textId="1BDF6F61" w:rsidR="00C9062D" w:rsidRDefault="00C9062D">
      <w:pPr>
        <w:pStyle w:val="TOC3"/>
        <w:rPr>
          <w:rFonts w:eastAsiaTheme="minorEastAsia" w:cstheme="minorBidi"/>
          <w:color w:val="auto"/>
          <w:sz w:val="24"/>
          <w:szCs w:val="24"/>
          <w:lang w:eastAsia="en-GB"/>
        </w:rPr>
      </w:pPr>
      <w:hyperlink w:anchor="_Toc62808172" w:history="1">
        <w:r w:rsidRPr="00126835">
          <w:rPr>
            <w:rStyle w:val="Hyperlink"/>
          </w:rPr>
          <w:t>8.3 Fair Value Determination</w:t>
        </w:r>
        <w:r>
          <w:rPr>
            <w:webHidden/>
          </w:rPr>
          <w:tab/>
        </w:r>
        <w:r>
          <w:rPr>
            <w:webHidden/>
          </w:rPr>
          <w:fldChar w:fldCharType="begin"/>
        </w:r>
        <w:r>
          <w:rPr>
            <w:webHidden/>
          </w:rPr>
          <w:instrText xml:space="preserve"> PAGEREF _Toc62808172 \h </w:instrText>
        </w:r>
        <w:r>
          <w:rPr>
            <w:webHidden/>
          </w:rPr>
        </w:r>
        <w:r>
          <w:rPr>
            <w:webHidden/>
          </w:rPr>
          <w:fldChar w:fldCharType="separate"/>
        </w:r>
        <w:r>
          <w:rPr>
            <w:webHidden/>
          </w:rPr>
          <w:t>124</w:t>
        </w:r>
        <w:r>
          <w:rPr>
            <w:webHidden/>
          </w:rPr>
          <w:fldChar w:fldCharType="end"/>
        </w:r>
      </w:hyperlink>
    </w:p>
    <w:p w14:paraId="20B7A2E2" w14:textId="61A634A3" w:rsidR="00C9062D" w:rsidRDefault="00C9062D">
      <w:pPr>
        <w:pStyle w:val="TOC2"/>
        <w:rPr>
          <w:rFonts w:eastAsiaTheme="minorEastAsia" w:cstheme="minorBidi"/>
          <w:color w:val="auto"/>
          <w:sz w:val="24"/>
          <w:szCs w:val="24"/>
          <w:lang w:eastAsia="en-GB"/>
        </w:rPr>
      </w:pPr>
      <w:hyperlink w:anchor="_Toc62808173" w:history="1">
        <w:r w:rsidRPr="00126835">
          <w:rPr>
            <w:rStyle w:val="Hyperlink"/>
          </w:rPr>
          <w:t>Note 9.</w:t>
        </w:r>
        <w:r>
          <w:rPr>
            <w:rFonts w:eastAsiaTheme="minorEastAsia" w:cstheme="minorBidi"/>
            <w:color w:val="auto"/>
            <w:sz w:val="24"/>
            <w:szCs w:val="24"/>
            <w:lang w:eastAsia="en-GB"/>
          </w:rPr>
          <w:tab/>
        </w:r>
        <w:r w:rsidRPr="00126835">
          <w:rPr>
            <w:rStyle w:val="Hyperlink"/>
          </w:rPr>
          <w:t>Other Disclosures</w:t>
        </w:r>
        <w:r>
          <w:rPr>
            <w:webHidden/>
          </w:rPr>
          <w:tab/>
        </w:r>
        <w:r>
          <w:rPr>
            <w:webHidden/>
          </w:rPr>
          <w:fldChar w:fldCharType="begin"/>
        </w:r>
        <w:r>
          <w:rPr>
            <w:webHidden/>
          </w:rPr>
          <w:instrText xml:space="preserve"> PAGEREF _Toc62808173 \h </w:instrText>
        </w:r>
        <w:r>
          <w:rPr>
            <w:webHidden/>
          </w:rPr>
        </w:r>
        <w:r>
          <w:rPr>
            <w:webHidden/>
          </w:rPr>
          <w:fldChar w:fldCharType="separate"/>
        </w:r>
        <w:r>
          <w:rPr>
            <w:webHidden/>
          </w:rPr>
          <w:t>127</w:t>
        </w:r>
        <w:r>
          <w:rPr>
            <w:webHidden/>
          </w:rPr>
          <w:fldChar w:fldCharType="end"/>
        </w:r>
      </w:hyperlink>
    </w:p>
    <w:p w14:paraId="3FF07F49" w14:textId="33058111" w:rsidR="00C9062D" w:rsidRDefault="00C9062D">
      <w:pPr>
        <w:pStyle w:val="TOC3"/>
        <w:rPr>
          <w:rFonts w:eastAsiaTheme="minorEastAsia" w:cstheme="minorBidi"/>
          <w:color w:val="auto"/>
          <w:sz w:val="24"/>
          <w:szCs w:val="24"/>
          <w:lang w:eastAsia="en-GB"/>
        </w:rPr>
      </w:pPr>
      <w:hyperlink w:anchor="_Toc62808174" w:history="1">
        <w:r w:rsidRPr="00126835">
          <w:rPr>
            <w:rStyle w:val="Hyperlink"/>
          </w:rPr>
          <w:t>Introduction</w:t>
        </w:r>
        <w:r>
          <w:rPr>
            <w:webHidden/>
          </w:rPr>
          <w:tab/>
        </w:r>
        <w:r>
          <w:rPr>
            <w:webHidden/>
          </w:rPr>
          <w:fldChar w:fldCharType="begin"/>
        </w:r>
        <w:r>
          <w:rPr>
            <w:webHidden/>
          </w:rPr>
          <w:instrText xml:space="preserve"> PAGEREF _Toc62808174 \h </w:instrText>
        </w:r>
        <w:r>
          <w:rPr>
            <w:webHidden/>
          </w:rPr>
        </w:r>
        <w:r>
          <w:rPr>
            <w:webHidden/>
          </w:rPr>
          <w:fldChar w:fldCharType="separate"/>
        </w:r>
        <w:r>
          <w:rPr>
            <w:webHidden/>
          </w:rPr>
          <w:t>127</w:t>
        </w:r>
        <w:r>
          <w:rPr>
            <w:webHidden/>
          </w:rPr>
          <w:fldChar w:fldCharType="end"/>
        </w:r>
      </w:hyperlink>
    </w:p>
    <w:p w14:paraId="084FDC6E" w14:textId="4E5DCD26" w:rsidR="00C9062D" w:rsidRDefault="00C9062D">
      <w:pPr>
        <w:pStyle w:val="TOC3"/>
        <w:rPr>
          <w:rFonts w:eastAsiaTheme="minorEastAsia" w:cstheme="minorBidi"/>
          <w:color w:val="auto"/>
          <w:sz w:val="24"/>
          <w:szCs w:val="24"/>
          <w:lang w:eastAsia="en-GB"/>
        </w:rPr>
      </w:pPr>
      <w:hyperlink w:anchor="_Toc62808175" w:history="1">
        <w:r w:rsidRPr="00126835">
          <w:rPr>
            <w:rStyle w:val="Hyperlink"/>
          </w:rPr>
          <w:t>9.1 Other Economic Flows Included in Net Result</w:t>
        </w:r>
        <w:r>
          <w:rPr>
            <w:webHidden/>
          </w:rPr>
          <w:tab/>
        </w:r>
        <w:r>
          <w:rPr>
            <w:webHidden/>
          </w:rPr>
          <w:fldChar w:fldCharType="begin"/>
        </w:r>
        <w:r>
          <w:rPr>
            <w:webHidden/>
          </w:rPr>
          <w:instrText xml:space="preserve"> PAGEREF _Toc62808175 \h </w:instrText>
        </w:r>
        <w:r>
          <w:rPr>
            <w:webHidden/>
          </w:rPr>
        </w:r>
        <w:r>
          <w:rPr>
            <w:webHidden/>
          </w:rPr>
          <w:fldChar w:fldCharType="separate"/>
        </w:r>
        <w:r>
          <w:rPr>
            <w:webHidden/>
          </w:rPr>
          <w:t>127</w:t>
        </w:r>
        <w:r>
          <w:rPr>
            <w:webHidden/>
          </w:rPr>
          <w:fldChar w:fldCharType="end"/>
        </w:r>
      </w:hyperlink>
    </w:p>
    <w:p w14:paraId="7AC81151" w14:textId="3F965C3B" w:rsidR="00C9062D" w:rsidRDefault="00C9062D">
      <w:pPr>
        <w:pStyle w:val="TOC3"/>
        <w:rPr>
          <w:rFonts w:eastAsiaTheme="minorEastAsia" w:cstheme="minorBidi"/>
          <w:color w:val="auto"/>
          <w:sz w:val="24"/>
          <w:szCs w:val="24"/>
          <w:lang w:eastAsia="en-GB"/>
        </w:rPr>
      </w:pPr>
      <w:hyperlink w:anchor="_Toc62808176" w:history="1">
        <w:r w:rsidRPr="00126835">
          <w:rPr>
            <w:rStyle w:val="Hyperlink"/>
          </w:rPr>
          <w:t>9.2 Ex-gratia Expenses</w:t>
        </w:r>
        <w:r>
          <w:rPr>
            <w:webHidden/>
          </w:rPr>
          <w:tab/>
        </w:r>
        <w:r>
          <w:rPr>
            <w:webHidden/>
          </w:rPr>
          <w:fldChar w:fldCharType="begin"/>
        </w:r>
        <w:r>
          <w:rPr>
            <w:webHidden/>
          </w:rPr>
          <w:instrText xml:space="preserve"> PAGEREF _Toc62808176 \h </w:instrText>
        </w:r>
        <w:r>
          <w:rPr>
            <w:webHidden/>
          </w:rPr>
        </w:r>
        <w:r>
          <w:rPr>
            <w:webHidden/>
          </w:rPr>
          <w:fldChar w:fldCharType="separate"/>
        </w:r>
        <w:r>
          <w:rPr>
            <w:webHidden/>
          </w:rPr>
          <w:t>128</w:t>
        </w:r>
        <w:r>
          <w:rPr>
            <w:webHidden/>
          </w:rPr>
          <w:fldChar w:fldCharType="end"/>
        </w:r>
      </w:hyperlink>
    </w:p>
    <w:p w14:paraId="684D5AD1" w14:textId="5474AF9D" w:rsidR="00C9062D" w:rsidRDefault="00C9062D">
      <w:pPr>
        <w:pStyle w:val="TOC3"/>
        <w:rPr>
          <w:rFonts w:eastAsiaTheme="minorEastAsia" w:cstheme="minorBidi"/>
          <w:color w:val="auto"/>
          <w:sz w:val="24"/>
          <w:szCs w:val="24"/>
          <w:lang w:eastAsia="en-GB"/>
        </w:rPr>
      </w:pPr>
      <w:hyperlink w:anchor="_Toc62808177" w:history="1">
        <w:r w:rsidRPr="00126835">
          <w:rPr>
            <w:rStyle w:val="Hyperlink"/>
          </w:rPr>
          <w:t>9.3 Responsible Persons</w:t>
        </w:r>
        <w:r>
          <w:rPr>
            <w:webHidden/>
          </w:rPr>
          <w:tab/>
        </w:r>
        <w:r>
          <w:rPr>
            <w:webHidden/>
          </w:rPr>
          <w:fldChar w:fldCharType="begin"/>
        </w:r>
        <w:r>
          <w:rPr>
            <w:webHidden/>
          </w:rPr>
          <w:instrText xml:space="preserve"> PAGEREF _Toc62808177 \h </w:instrText>
        </w:r>
        <w:r>
          <w:rPr>
            <w:webHidden/>
          </w:rPr>
        </w:r>
        <w:r>
          <w:rPr>
            <w:webHidden/>
          </w:rPr>
          <w:fldChar w:fldCharType="separate"/>
        </w:r>
        <w:r>
          <w:rPr>
            <w:webHidden/>
          </w:rPr>
          <w:t>128</w:t>
        </w:r>
        <w:r>
          <w:rPr>
            <w:webHidden/>
          </w:rPr>
          <w:fldChar w:fldCharType="end"/>
        </w:r>
      </w:hyperlink>
    </w:p>
    <w:p w14:paraId="7AA1F0A5" w14:textId="7833CA5E" w:rsidR="00C9062D" w:rsidRDefault="00C9062D">
      <w:pPr>
        <w:pStyle w:val="TOC3"/>
        <w:rPr>
          <w:rFonts w:eastAsiaTheme="minorEastAsia" w:cstheme="minorBidi"/>
          <w:color w:val="auto"/>
          <w:sz w:val="24"/>
          <w:szCs w:val="24"/>
          <w:lang w:eastAsia="en-GB"/>
        </w:rPr>
      </w:pPr>
      <w:hyperlink w:anchor="_Toc62808178" w:history="1">
        <w:r w:rsidRPr="00126835">
          <w:rPr>
            <w:rStyle w:val="Hyperlink"/>
          </w:rPr>
          <w:t>9.4 Remuneration of Executives</w:t>
        </w:r>
        <w:r>
          <w:rPr>
            <w:webHidden/>
          </w:rPr>
          <w:tab/>
        </w:r>
        <w:r>
          <w:rPr>
            <w:webHidden/>
          </w:rPr>
          <w:fldChar w:fldCharType="begin"/>
        </w:r>
        <w:r>
          <w:rPr>
            <w:webHidden/>
          </w:rPr>
          <w:instrText xml:space="preserve"> PAGEREF _Toc62808178 \h </w:instrText>
        </w:r>
        <w:r>
          <w:rPr>
            <w:webHidden/>
          </w:rPr>
        </w:r>
        <w:r>
          <w:rPr>
            <w:webHidden/>
          </w:rPr>
          <w:fldChar w:fldCharType="separate"/>
        </w:r>
        <w:r>
          <w:rPr>
            <w:webHidden/>
          </w:rPr>
          <w:t>129</w:t>
        </w:r>
        <w:r>
          <w:rPr>
            <w:webHidden/>
          </w:rPr>
          <w:fldChar w:fldCharType="end"/>
        </w:r>
      </w:hyperlink>
    </w:p>
    <w:p w14:paraId="3199D949" w14:textId="03EAB999" w:rsidR="00C9062D" w:rsidRDefault="00C9062D">
      <w:pPr>
        <w:pStyle w:val="TOC3"/>
        <w:rPr>
          <w:rFonts w:eastAsiaTheme="minorEastAsia" w:cstheme="minorBidi"/>
          <w:color w:val="auto"/>
          <w:sz w:val="24"/>
          <w:szCs w:val="24"/>
          <w:lang w:eastAsia="en-GB"/>
        </w:rPr>
      </w:pPr>
      <w:hyperlink w:anchor="_Toc62808179" w:history="1">
        <w:r w:rsidRPr="00126835">
          <w:rPr>
            <w:rStyle w:val="Hyperlink"/>
          </w:rPr>
          <w:t>9.5 Key Management Personnel</w:t>
        </w:r>
        <w:r>
          <w:rPr>
            <w:webHidden/>
          </w:rPr>
          <w:tab/>
        </w:r>
        <w:r>
          <w:rPr>
            <w:webHidden/>
          </w:rPr>
          <w:fldChar w:fldCharType="begin"/>
        </w:r>
        <w:r>
          <w:rPr>
            <w:webHidden/>
          </w:rPr>
          <w:instrText xml:space="preserve"> PAGEREF _Toc62808179 \h </w:instrText>
        </w:r>
        <w:r>
          <w:rPr>
            <w:webHidden/>
          </w:rPr>
        </w:r>
        <w:r>
          <w:rPr>
            <w:webHidden/>
          </w:rPr>
          <w:fldChar w:fldCharType="separate"/>
        </w:r>
        <w:r>
          <w:rPr>
            <w:webHidden/>
          </w:rPr>
          <w:t>130</w:t>
        </w:r>
        <w:r>
          <w:rPr>
            <w:webHidden/>
          </w:rPr>
          <w:fldChar w:fldCharType="end"/>
        </w:r>
      </w:hyperlink>
    </w:p>
    <w:p w14:paraId="76319C5C" w14:textId="3C8D9097" w:rsidR="00C9062D" w:rsidRDefault="00C9062D">
      <w:pPr>
        <w:pStyle w:val="TOC3"/>
        <w:rPr>
          <w:rFonts w:eastAsiaTheme="minorEastAsia" w:cstheme="minorBidi"/>
          <w:color w:val="auto"/>
          <w:sz w:val="24"/>
          <w:szCs w:val="24"/>
          <w:lang w:eastAsia="en-GB"/>
        </w:rPr>
      </w:pPr>
      <w:hyperlink w:anchor="_Toc62808180" w:history="1">
        <w:r w:rsidRPr="00126835">
          <w:rPr>
            <w:rStyle w:val="Hyperlink"/>
          </w:rPr>
          <w:t>9.6 Remuneration of Auditors</w:t>
        </w:r>
        <w:r>
          <w:rPr>
            <w:webHidden/>
          </w:rPr>
          <w:tab/>
        </w:r>
        <w:r>
          <w:rPr>
            <w:webHidden/>
          </w:rPr>
          <w:fldChar w:fldCharType="begin"/>
        </w:r>
        <w:r>
          <w:rPr>
            <w:webHidden/>
          </w:rPr>
          <w:instrText xml:space="preserve"> PAGEREF _Toc62808180 \h </w:instrText>
        </w:r>
        <w:r>
          <w:rPr>
            <w:webHidden/>
          </w:rPr>
        </w:r>
        <w:r>
          <w:rPr>
            <w:webHidden/>
          </w:rPr>
          <w:fldChar w:fldCharType="separate"/>
        </w:r>
        <w:r>
          <w:rPr>
            <w:webHidden/>
          </w:rPr>
          <w:t>131</w:t>
        </w:r>
        <w:r>
          <w:rPr>
            <w:webHidden/>
          </w:rPr>
          <w:fldChar w:fldCharType="end"/>
        </w:r>
      </w:hyperlink>
    </w:p>
    <w:p w14:paraId="68486344" w14:textId="1BED7F76" w:rsidR="00C9062D" w:rsidRDefault="00C9062D">
      <w:pPr>
        <w:pStyle w:val="TOC3"/>
        <w:rPr>
          <w:rFonts w:eastAsiaTheme="minorEastAsia" w:cstheme="minorBidi"/>
          <w:color w:val="auto"/>
          <w:sz w:val="24"/>
          <w:szCs w:val="24"/>
          <w:lang w:eastAsia="en-GB"/>
        </w:rPr>
      </w:pPr>
      <w:hyperlink w:anchor="_Toc62808181" w:history="1">
        <w:r w:rsidRPr="00126835">
          <w:rPr>
            <w:rStyle w:val="Hyperlink"/>
          </w:rPr>
          <w:t>9.7 Subsequent Events</w:t>
        </w:r>
        <w:r>
          <w:rPr>
            <w:webHidden/>
          </w:rPr>
          <w:tab/>
        </w:r>
        <w:r>
          <w:rPr>
            <w:webHidden/>
          </w:rPr>
          <w:fldChar w:fldCharType="begin"/>
        </w:r>
        <w:r>
          <w:rPr>
            <w:webHidden/>
          </w:rPr>
          <w:instrText xml:space="preserve"> PAGEREF _Toc62808181 \h </w:instrText>
        </w:r>
        <w:r>
          <w:rPr>
            <w:webHidden/>
          </w:rPr>
        </w:r>
        <w:r>
          <w:rPr>
            <w:webHidden/>
          </w:rPr>
          <w:fldChar w:fldCharType="separate"/>
        </w:r>
        <w:r>
          <w:rPr>
            <w:webHidden/>
          </w:rPr>
          <w:t>131</w:t>
        </w:r>
        <w:r>
          <w:rPr>
            <w:webHidden/>
          </w:rPr>
          <w:fldChar w:fldCharType="end"/>
        </w:r>
      </w:hyperlink>
    </w:p>
    <w:p w14:paraId="3C150CA2" w14:textId="05DA72CB" w:rsidR="00C9062D" w:rsidRDefault="00C9062D">
      <w:pPr>
        <w:pStyle w:val="TOC3"/>
        <w:rPr>
          <w:rFonts w:eastAsiaTheme="minorEastAsia" w:cstheme="minorBidi"/>
          <w:color w:val="auto"/>
          <w:sz w:val="24"/>
          <w:szCs w:val="24"/>
          <w:lang w:eastAsia="en-GB"/>
        </w:rPr>
      </w:pPr>
      <w:hyperlink w:anchor="_Toc62808182" w:history="1">
        <w:r w:rsidRPr="00126835">
          <w:rPr>
            <w:rStyle w:val="Hyperlink"/>
          </w:rPr>
          <w:t>9.8 Other Accounting Policies</w:t>
        </w:r>
        <w:r>
          <w:rPr>
            <w:webHidden/>
          </w:rPr>
          <w:tab/>
        </w:r>
        <w:r>
          <w:rPr>
            <w:webHidden/>
          </w:rPr>
          <w:fldChar w:fldCharType="begin"/>
        </w:r>
        <w:r>
          <w:rPr>
            <w:webHidden/>
          </w:rPr>
          <w:instrText xml:space="preserve"> PAGEREF _Toc62808182 \h </w:instrText>
        </w:r>
        <w:r>
          <w:rPr>
            <w:webHidden/>
          </w:rPr>
        </w:r>
        <w:r>
          <w:rPr>
            <w:webHidden/>
          </w:rPr>
          <w:fldChar w:fldCharType="separate"/>
        </w:r>
        <w:r>
          <w:rPr>
            <w:webHidden/>
          </w:rPr>
          <w:t>131</w:t>
        </w:r>
        <w:r>
          <w:rPr>
            <w:webHidden/>
          </w:rPr>
          <w:fldChar w:fldCharType="end"/>
        </w:r>
      </w:hyperlink>
    </w:p>
    <w:p w14:paraId="0E927008" w14:textId="04C55270" w:rsidR="00C9062D" w:rsidRDefault="00C9062D">
      <w:pPr>
        <w:pStyle w:val="TOC3"/>
        <w:rPr>
          <w:rFonts w:eastAsiaTheme="minorEastAsia" w:cstheme="minorBidi"/>
          <w:color w:val="auto"/>
          <w:sz w:val="24"/>
          <w:szCs w:val="24"/>
          <w:lang w:eastAsia="en-GB"/>
        </w:rPr>
      </w:pPr>
      <w:hyperlink w:anchor="_Toc62808183" w:history="1">
        <w:r w:rsidRPr="00126835">
          <w:rPr>
            <w:rStyle w:val="Hyperlink"/>
          </w:rPr>
          <w:t>9.9 Change in Accounting Policies</w:t>
        </w:r>
        <w:r>
          <w:rPr>
            <w:webHidden/>
          </w:rPr>
          <w:tab/>
        </w:r>
        <w:r>
          <w:rPr>
            <w:webHidden/>
          </w:rPr>
          <w:fldChar w:fldCharType="begin"/>
        </w:r>
        <w:r>
          <w:rPr>
            <w:webHidden/>
          </w:rPr>
          <w:instrText xml:space="preserve"> PAGEREF _Toc62808183 \h </w:instrText>
        </w:r>
        <w:r>
          <w:rPr>
            <w:webHidden/>
          </w:rPr>
        </w:r>
        <w:r>
          <w:rPr>
            <w:webHidden/>
          </w:rPr>
          <w:fldChar w:fldCharType="separate"/>
        </w:r>
        <w:r>
          <w:rPr>
            <w:webHidden/>
          </w:rPr>
          <w:t>132</w:t>
        </w:r>
        <w:r>
          <w:rPr>
            <w:webHidden/>
          </w:rPr>
          <w:fldChar w:fldCharType="end"/>
        </w:r>
      </w:hyperlink>
    </w:p>
    <w:p w14:paraId="22E099D5" w14:textId="1441FFE8" w:rsidR="00C9062D" w:rsidRDefault="00C9062D">
      <w:pPr>
        <w:pStyle w:val="TOC3"/>
        <w:rPr>
          <w:rFonts w:eastAsiaTheme="minorEastAsia" w:cstheme="minorBidi"/>
          <w:color w:val="auto"/>
          <w:sz w:val="24"/>
          <w:szCs w:val="24"/>
          <w:lang w:eastAsia="en-GB"/>
        </w:rPr>
      </w:pPr>
      <w:hyperlink w:anchor="_Toc62808184" w:history="1">
        <w:r w:rsidRPr="00126835">
          <w:rPr>
            <w:rStyle w:val="Hyperlink"/>
          </w:rPr>
          <w:t>9.10 Australian Accounting Standards Issued That Are Not Yet Effective</w:t>
        </w:r>
        <w:r>
          <w:rPr>
            <w:webHidden/>
          </w:rPr>
          <w:tab/>
        </w:r>
        <w:r>
          <w:rPr>
            <w:webHidden/>
          </w:rPr>
          <w:fldChar w:fldCharType="begin"/>
        </w:r>
        <w:r>
          <w:rPr>
            <w:webHidden/>
          </w:rPr>
          <w:instrText xml:space="preserve"> PAGEREF _Toc62808184 \h </w:instrText>
        </w:r>
        <w:r>
          <w:rPr>
            <w:webHidden/>
          </w:rPr>
        </w:r>
        <w:r>
          <w:rPr>
            <w:webHidden/>
          </w:rPr>
          <w:fldChar w:fldCharType="separate"/>
        </w:r>
        <w:r>
          <w:rPr>
            <w:webHidden/>
          </w:rPr>
          <w:t>134</w:t>
        </w:r>
        <w:r>
          <w:rPr>
            <w:webHidden/>
          </w:rPr>
          <w:fldChar w:fldCharType="end"/>
        </w:r>
      </w:hyperlink>
    </w:p>
    <w:p w14:paraId="1D7A3954" w14:textId="43D1430D" w:rsidR="00C9062D" w:rsidRDefault="00C9062D">
      <w:pPr>
        <w:pStyle w:val="TOC2"/>
        <w:rPr>
          <w:rFonts w:eastAsiaTheme="minorEastAsia" w:cstheme="minorBidi"/>
          <w:color w:val="auto"/>
          <w:sz w:val="24"/>
          <w:szCs w:val="24"/>
          <w:lang w:eastAsia="en-GB"/>
        </w:rPr>
      </w:pPr>
      <w:hyperlink w:anchor="_Toc62808185" w:history="1">
        <w:r w:rsidRPr="00126835">
          <w:rPr>
            <w:rStyle w:val="Hyperlink"/>
          </w:rPr>
          <w:t>Note 10.</w:t>
        </w:r>
        <w:r>
          <w:rPr>
            <w:rFonts w:eastAsiaTheme="minorEastAsia" w:cstheme="minorBidi"/>
            <w:color w:val="auto"/>
            <w:sz w:val="24"/>
            <w:szCs w:val="24"/>
            <w:lang w:eastAsia="en-GB"/>
          </w:rPr>
          <w:tab/>
        </w:r>
        <w:r w:rsidRPr="00126835">
          <w:rPr>
            <w:rStyle w:val="Hyperlink"/>
          </w:rPr>
          <w:t>Correction of a Prior Period Error</w:t>
        </w:r>
        <w:r>
          <w:rPr>
            <w:webHidden/>
          </w:rPr>
          <w:tab/>
        </w:r>
        <w:r>
          <w:rPr>
            <w:webHidden/>
          </w:rPr>
          <w:fldChar w:fldCharType="begin"/>
        </w:r>
        <w:r>
          <w:rPr>
            <w:webHidden/>
          </w:rPr>
          <w:instrText xml:space="preserve"> PAGEREF _Toc62808185 \h </w:instrText>
        </w:r>
        <w:r>
          <w:rPr>
            <w:webHidden/>
          </w:rPr>
        </w:r>
        <w:r>
          <w:rPr>
            <w:webHidden/>
          </w:rPr>
          <w:fldChar w:fldCharType="separate"/>
        </w:r>
        <w:r>
          <w:rPr>
            <w:webHidden/>
          </w:rPr>
          <w:t>135</w:t>
        </w:r>
        <w:r>
          <w:rPr>
            <w:webHidden/>
          </w:rPr>
          <w:fldChar w:fldCharType="end"/>
        </w:r>
      </w:hyperlink>
    </w:p>
    <w:p w14:paraId="74F600C9" w14:textId="48D047C1" w:rsidR="00C9062D" w:rsidRDefault="00C9062D">
      <w:pPr>
        <w:pStyle w:val="TOC3"/>
        <w:rPr>
          <w:rFonts w:eastAsiaTheme="minorEastAsia" w:cstheme="minorBidi"/>
          <w:color w:val="auto"/>
          <w:sz w:val="24"/>
          <w:szCs w:val="24"/>
          <w:lang w:eastAsia="en-GB"/>
        </w:rPr>
      </w:pPr>
      <w:hyperlink w:anchor="_Toc62808186" w:history="1">
        <w:r w:rsidRPr="00126835">
          <w:rPr>
            <w:rStyle w:val="Hyperlink"/>
          </w:rPr>
          <w:t>Depreciation of the County Court Public Private Partnership (PPP) Asset</w:t>
        </w:r>
        <w:r>
          <w:rPr>
            <w:webHidden/>
          </w:rPr>
          <w:tab/>
        </w:r>
        <w:r>
          <w:rPr>
            <w:webHidden/>
          </w:rPr>
          <w:fldChar w:fldCharType="begin"/>
        </w:r>
        <w:r>
          <w:rPr>
            <w:webHidden/>
          </w:rPr>
          <w:instrText xml:space="preserve"> PAGEREF _Toc62808186 \h </w:instrText>
        </w:r>
        <w:r>
          <w:rPr>
            <w:webHidden/>
          </w:rPr>
        </w:r>
        <w:r>
          <w:rPr>
            <w:webHidden/>
          </w:rPr>
          <w:fldChar w:fldCharType="separate"/>
        </w:r>
        <w:r>
          <w:rPr>
            <w:webHidden/>
          </w:rPr>
          <w:t>135</w:t>
        </w:r>
        <w:r>
          <w:rPr>
            <w:webHidden/>
          </w:rPr>
          <w:fldChar w:fldCharType="end"/>
        </w:r>
      </w:hyperlink>
    </w:p>
    <w:p w14:paraId="1C8924D8" w14:textId="43E03FEE" w:rsidR="00C9062D" w:rsidRDefault="00C9062D">
      <w:pPr>
        <w:pStyle w:val="TOC3"/>
        <w:rPr>
          <w:rFonts w:eastAsiaTheme="minorEastAsia" w:cstheme="minorBidi"/>
          <w:color w:val="auto"/>
          <w:sz w:val="24"/>
          <w:szCs w:val="24"/>
          <w:lang w:eastAsia="en-GB"/>
        </w:rPr>
      </w:pPr>
      <w:hyperlink w:anchor="_Toc62808187" w:history="1">
        <w:r w:rsidRPr="00126835">
          <w:rPr>
            <w:rStyle w:val="Hyperlink"/>
          </w:rPr>
          <w:t>10.1 Impact of Correction of an Error on the Comprehensive Operating Statement</w:t>
        </w:r>
        <w:r>
          <w:rPr>
            <w:webHidden/>
          </w:rPr>
          <w:tab/>
        </w:r>
        <w:r>
          <w:rPr>
            <w:webHidden/>
          </w:rPr>
          <w:fldChar w:fldCharType="begin"/>
        </w:r>
        <w:r>
          <w:rPr>
            <w:webHidden/>
          </w:rPr>
          <w:instrText xml:space="preserve"> PAGEREF _Toc62808187 \h </w:instrText>
        </w:r>
        <w:r>
          <w:rPr>
            <w:webHidden/>
          </w:rPr>
        </w:r>
        <w:r>
          <w:rPr>
            <w:webHidden/>
          </w:rPr>
          <w:fldChar w:fldCharType="separate"/>
        </w:r>
        <w:r>
          <w:rPr>
            <w:webHidden/>
          </w:rPr>
          <w:t>135</w:t>
        </w:r>
        <w:r>
          <w:rPr>
            <w:webHidden/>
          </w:rPr>
          <w:fldChar w:fldCharType="end"/>
        </w:r>
      </w:hyperlink>
    </w:p>
    <w:p w14:paraId="545735D4" w14:textId="7D87D8E3" w:rsidR="00C9062D" w:rsidRDefault="00C9062D">
      <w:pPr>
        <w:pStyle w:val="TOC3"/>
        <w:rPr>
          <w:rFonts w:eastAsiaTheme="minorEastAsia" w:cstheme="minorBidi"/>
          <w:color w:val="auto"/>
          <w:sz w:val="24"/>
          <w:szCs w:val="24"/>
          <w:lang w:eastAsia="en-GB"/>
        </w:rPr>
      </w:pPr>
      <w:hyperlink w:anchor="_Toc62808188" w:history="1">
        <w:r w:rsidRPr="00126835">
          <w:rPr>
            <w:rStyle w:val="Hyperlink"/>
          </w:rPr>
          <w:t>10.2 Impact of Correction of an Error on the Balance Sheet</w:t>
        </w:r>
        <w:r>
          <w:rPr>
            <w:webHidden/>
          </w:rPr>
          <w:tab/>
        </w:r>
        <w:r>
          <w:rPr>
            <w:webHidden/>
          </w:rPr>
          <w:fldChar w:fldCharType="begin"/>
        </w:r>
        <w:r>
          <w:rPr>
            <w:webHidden/>
          </w:rPr>
          <w:instrText xml:space="preserve"> PAGEREF _Toc62808188 \h </w:instrText>
        </w:r>
        <w:r>
          <w:rPr>
            <w:webHidden/>
          </w:rPr>
        </w:r>
        <w:r>
          <w:rPr>
            <w:webHidden/>
          </w:rPr>
          <w:fldChar w:fldCharType="separate"/>
        </w:r>
        <w:r>
          <w:rPr>
            <w:webHidden/>
          </w:rPr>
          <w:t>136</w:t>
        </w:r>
        <w:r>
          <w:rPr>
            <w:webHidden/>
          </w:rPr>
          <w:fldChar w:fldCharType="end"/>
        </w:r>
      </w:hyperlink>
    </w:p>
    <w:p w14:paraId="30B8EB2C" w14:textId="22FA52AB" w:rsidR="00C9062D" w:rsidRDefault="00C9062D">
      <w:pPr>
        <w:pStyle w:val="TOC2"/>
        <w:rPr>
          <w:rFonts w:eastAsiaTheme="minorEastAsia" w:cstheme="minorBidi"/>
          <w:color w:val="auto"/>
          <w:sz w:val="24"/>
          <w:szCs w:val="24"/>
          <w:lang w:eastAsia="en-GB"/>
        </w:rPr>
      </w:pPr>
      <w:hyperlink w:anchor="_Toc62808189" w:history="1">
        <w:r w:rsidRPr="00126835">
          <w:rPr>
            <w:rStyle w:val="Hyperlink"/>
          </w:rPr>
          <w:t>Note 11.</w:t>
        </w:r>
        <w:r>
          <w:rPr>
            <w:rFonts w:eastAsiaTheme="minorEastAsia" w:cstheme="minorBidi"/>
            <w:color w:val="auto"/>
            <w:sz w:val="24"/>
            <w:szCs w:val="24"/>
            <w:lang w:eastAsia="en-GB"/>
          </w:rPr>
          <w:tab/>
        </w:r>
        <w:r w:rsidRPr="00126835">
          <w:rPr>
            <w:rStyle w:val="Hyperlink"/>
          </w:rPr>
          <w:t>Glossary of Technical Terms and Style Conventions</w:t>
        </w:r>
        <w:r>
          <w:rPr>
            <w:webHidden/>
          </w:rPr>
          <w:tab/>
        </w:r>
        <w:r>
          <w:rPr>
            <w:webHidden/>
          </w:rPr>
          <w:fldChar w:fldCharType="begin"/>
        </w:r>
        <w:r>
          <w:rPr>
            <w:webHidden/>
          </w:rPr>
          <w:instrText xml:space="preserve"> PAGEREF _Toc62808189 \h </w:instrText>
        </w:r>
        <w:r>
          <w:rPr>
            <w:webHidden/>
          </w:rPr>
        </w:r>
        <w:r>
          <w:rPr>
            <w:webHidden/>
          </w:rPr>
          <w:fldChar w:fldCharType="separate"/>
        </w:r>
        <w:r>
          <w:rPr>
            <w:webHidden/>
          </w:rPr>
          <w:t>136</w:t>
        </w:r>
        <w:r>
          <w:rPr>
            <w:webHidden/>
          </w:rPr>
          <w:fldChar w:fldCharType="end"/>
        </w:r>
      </w:hyperlink>
    </w:p>
    <w:p w14:paraId="4122B2B4" w14:textId="5C8E5E17" w:rsidR="00C9062D" w:rsidRDefault="00C9062D">
      <w:pPr>
        <w:pStyle w:val="TOC3"/>
        <w:rPr>
          <w:rFonts w:eastAsiaTheme="minorEastAsia" w:cstheme="minorBidi"/>
          <w:color w:val="auto"/>
          <w:sz w:val="24"/>
          <w:szCs w:val="24"/>
          <w:lang w:eastAsia="en-GB"/>
        </w:rPr>
      </w:pPr>
      <w:hyperlink w:anchor="_Toc62808190" w:history="1">
        <w:r w:rsidRPr="00126835">
          <w:rPr>
            <w:rStyle w:val="Hyperlink"/>
          </w:rPr>
          <w:t>Style conventions</w:t>
        </w:r>
        <w:r>
          <w:rPr>
            <w:webHidden/>
          </w:rPr>
          <w:tab/>
        </w:r>
        <w:r>
          <w:rPr>
            <w:webHidden/>
          </w:rPr>
          <w:fldChar w:fldCharType="begin"/>
        </w:r>
        <w:r>
          <w:rPr>
            <w:webHidden/>
          </w:rPr>
          <w:instrText xml:space="preserve"> PAGEREF _Toc62808190 \h </w:instrText>
        </w:r>
        <w:r>
          <w:rPr>
            <w:webHidden/>
          </w:rPr>
        </w:r>
        <w:r>
          <w:rPr>
            <w:webHidden/>
          </w:rPr>
          <w:fldChar w:fldCharType="separate"/>
        </w:r>
        <w:r>
          <w:rPr>
            <w:webHidden/>
          </w:rPr>
          <w:t>140</w:t>
        </w:r>
        <w:r>
          <w:rPr>
            <w:webHidden/>
          </w:rPr>
          <w:fldChar w:fldCharType="end"/>
        </w:r>
      </w:hyperlink>
    </w:p>
    <w:p w14:paraId="6B2E7450" w14:textId="5FB97427" w:rsidR="00C9062D" w:rsidRDefault="00C9062D">
      <w:pPr>
        <w:pStyle w:val="TOC2"/>
        <w:rPr>
          <w:rFonts w:eastAsiaTheme="minorEastAsia" w:cstheme="minorBidi"/>
          <w:color w:val="auto"/>
          <w:sz w:val="24"/>
          <w:szCs w:val="24"/>
          <w:lang w:eastAsia="en-GB"/>
        </w:rPr>
      </w:pPr>
      <w:hyperlink w:anchor="_Toc62808191" w:history="1">
        <w:r w:rsidRPr="00126835">
          <w:rPr>
            <w:rStyle w:val="Hyperlink"/>
          </w:rPr>
          <w:t>Budgetary Reporting (BR)</w:t>
        </w:r>
        <w:r>
          <w:rPr>
            <w:webHidden/>
          </w:rPr>
          <w:tab/>
        </w:r>
        <w:r>
          <w:rPr>
            <w:webHidden/>
          </w:rPr>
          <w:fldChar w:fldCharType="begin"/>
        </w:r>
        <w:r>
          <w:rPr>
            <w:webHidden/>
          </w:rPr>
          <w:instrText xml:space="preserve"> PAGEREF _Toc62808191 \h </w:instrText>
        </w:r>
        <w:r>
          <w:rPr>
            <w:webHidden/>
          </w:rPr>
        </w:r>
        <w:r>
          <w:rPr>
            <w:webHidden/>
          </w:rPr>
          <w:fldChar w:fldCharType="separate"/>
        </w:r>
        <w:r>
          <w:rPr>
            <w:webHidden/>
          </w:rPr>
          <w:t>140</w:t>
        </w:r>
        <w:r>
          <w:rPr>
            <w:webHidden/>
          </w:rPr>
          <w:fldChar w:fldCharType="end"/>
        </w:r>
      </w:hyperlink>
    </w:p>
    <w:p w14:paraId="7031017E" w14:textId="48D6B46B" w:rsidR="00C9062D" w:rsidRDefault="00C9062D">
      <w:pPr>
        <w:pStyle w:val="TOC3"/>
        <w:rPr>
          <w:rFonts w:eastAsiaTheme="minorEastAsia" w:cstheme="minorBidi"/>
          <w:color w:val="auto"/>
          <w:sz w:val="24"/>
          <w:szCs w:val="24"/>
          <w:lang w:eastAsia="en-GB"/>
        </w:rPr>
      </w:pPr>
      <w:hyperlink w:anchor="_Toc62808192" w:history="1">
        <w:r w:rsidRPr="00126835">
          <w:rPr>
            <w:rStyle w:val="Hyperlink"/>
          </w:rPr>
          <w:t>Introduction</w:t>
        </w:r>
        <w:r>
          <w:rPr>
            <w:webHidden/>
          </w:rPr>
          <w:tab/>
        </w:r>
        <w:r>
          <w:rPr>
            <w:webHidden/>
          </w:rPr>
          <w:fldChar w:fldCharType="begin"/>
        </w:r>
        <w:r>
          <w:rPr>
            <w:webHidden/>
          </w:rPr>
          <w:instrText xml:space="preserve"> PAGEREF _Toc62808192 \h </w:instrText>
        </w:r>
        <w:r>
          <w:rPr>
            <w:webHidden/>
          </w:rPr>
        </w:r>
        <w:r>
          <w:rPr>
            <w:webHidden/>
          </w:rPr>
          <w:fldChar w:fldCharType="separate"/>
        </w:r>
        <w:r>
          <w:rPr>
            <w:webHidden/>
          </w:rPr>
          <w:t>140</w:t>
        </w:r>
        <w:r>
          <w:rPr>
            <w:webHidden/>
          </w:rPr>
          <w:fldChar w:fldCharType="end"/>
        </w:r>
      </w:hyperlink>
    </w:p>
    <w:p w14:paraId="23133649" w14:textId="655D2EB8" w:rsidR="00C9062D" w:rsidRDefault="00C9062D">
      <w:pPr>
        <w:pStyle w:val="TOC3"/>
        <w:rPr>
          <w:rFonts w:eastAsiaTheme="minorEastAsia" w:cstheme="minorBidi"/>
          <w:color w:val="auto"/>
          <w:sz w:val="24"/>
          <w:szCs w:val="24"/>
          <w:lang w:eastAsia="en-GB"/>
        </w:rPr>
      </w:pPr>
      <w:hyperlink w:anchor="_Toc62808193" w:history="1">
        <w:r w:rsidRPr="00126835">
          <w:rPr>
            <w:rStyle w:val="Hyperlink"/>
          </w:rPr>
          <w:t>BR1 Comprehensive Operating Statement  for the Financial Year Ended 30 June 2020</w:t>
        </w:r>
        <w:r>
          <w:rPr>
            <w:webHidden/>
          </w:rPr>
          <w:tab/>
        </w:r>
        <w:r>
          <w:rPr>
            <w:webHidden/>
          </w:rPr>
          <w:fldChar w:fldCharType="begin"/>
        </w:r>
        <w:r>
          <w:rPr>
            <w:webHidden/>
          </w:rPr>
          <w:instrText xml:space="preserve"> PAGEREF _Toc62808193 \h </w:instrText>
        </w:r>
        <w:r>
          <w:rPr>
            <w:webHidden/>
          </w:rPr>
        </w:r>
        <w:r>
          <w:rPr>
            <w:webHidden/>
          </w:rPr>
          <w:fldChar w:fldCharType="separate"/>
        </w:r>
        <w:r>
          <w:rPr>
            <w:webHidden/>
          </w:rPr>
          <w:t>141</w:t>
        </w:r>
        <w:r>
          <w:rPr>
            <w:webHidden/>
          </w:rPr>
          <w:fldChar w:fldCharType="end"/>
        </w:r>
      </w:hyperlink>
    </w:p>
    <w:p w14:paraId="33165D92" w14:textId="6CDBCFFB" w:rsidR="00C9062D" w:rsidRDefault="00C9062D">
      <w:pPr>
        <w:pStyle w:val="TOC3"/>
        <w:rPr>
          <w:rFonts w:eastAsiaTheme="minorEastAsia" w:cstheme="minorBidi"/>
          <w:color w:val="auto"/>
          <w:sz w:val="24"/>
          <w:szCs w:val="24"/>
          <w:lang w:eastAsia="en-GB"/>
        </w:rPr>
      </w:pPr>
      <w:hyperlink w:anchor="_Toc62808194" w:history="1">
        <w:r w:rsidRPr="00126835">
          <w:rPr>
            <w:rStyle w:val="Hyperlink"/>
          </w:rPr>
          <w:t>BR2 Balance Sheet as at 30 June 2020</w:t>
        </w:r>
        <w:r>
          <w:rPr>
            <w:webHidden/>
          </w:rPr>
          <w:tab/>
        </w:r>
        <w:r>
          <w:rPr>
            <w:webHidden/>
          </w:rPr>
          <w:fldChar w:fldCharType="begin"/>
        </w:r>
        <w:r>
          <w:rPr>
            <w:webHidden/>
          </w:rPr>
          <w:instrText xml:space="preserve"> PAGEREF _Toc62808194 \h </w:instrText>
        </w:r>
        <w:r>
          <w:rPr>
            <w:webHidden/>
          </w:rPr>
        </w:r>
        <w:r>
          <w:rPr>
            <w:webHidden/>
          </w:rPr>
          <w:fldChar w:fldCharType="separate"/>
        </w:r>
        <w:r>
          <w:rPr>
            <w:webHidden/>
          </w:rPr>
          <w:t>142</w:t>
        </w:r>
        <w:r>
          <w:rPr>
            <w:webHidden/>
          </w:rPr>
          <w:fldChar w:fldCharType="end"/>
        </w:r>
      </w:hyperlink>
    </w:p>
    <w:p w14:paraId="7C1075B7" w14:textId="3972FCEF" w:rsidR="00C9062D" w:rsidRDefault="00C9062D">
      <w:pPr>
        <w:pStyle w:val="TOC3"/>
        <w:rPr>
          <w:rFonts w:eastAsiaTheme="minorEastAsia" w:cstheme="minorBidi"/>
          <w:color w:val="auto"/>
          <w:sz w:val="24"/>
          <w:szCs w:val="24"/>
          <w:lang w:eastAsia="en-GB"/>
        </w:rPr>
      </w:pPr>
      <w:hyperlink w:anchor="_Toc62808195" w:history="1">
        <w:r w:rsidRPr="00126835">
          <w:rPr>
            <w:rStyle w:val="Hyperlink"/>
          </w:rPr>
          <w:t>BR3 Cash Flow Statement for the Financial Year Ended 30 June 2020</w:t>
        </w:r>
        <w:r>
          <w:rPr>
            <w:webHidden/>
          </w:rPr>
          <w:tab/>
        </w:r>
        <w:r>
          <w:rPr>
            <w:webHidden/>
          </w:rPr>
          <w:fldChar w:fldCharType="begin"/>
        </w:r>
        <w:r>
          <w:rPr>
            <w:webHidden/>
          </w:rPr>
          <w:instrText xml:space="preserve"> PAGEREF _Toc62808195 \h </w:instrText>
        </w:r>
        <w:r>
          <w:rPr>
            <w:webHidden/>
          </w:rPr>
        </w:r>
        <w:r>
          <w:rPr>
            <w:webHidden/>
          </w:rPr>
          <w:fldChar w:fldCharType="separate"/>
        </w:r>
        <w:r>
          <w:rPr>
            <w:webHidden/>
          </w:rPr>
          <w:t>143</w:t>
        </w:r>
        <w:r>
          <w:rPr>
            <w:webHidden/>
          </w:rPr>
          <w:fldChar w:fldCharType="end"/>
        </w:r>
      </w:hyperlink>
    </w:p>
    <w:p w14:paraId="1E80D8DB" w14:textId="1BD4D3DD" w:rsidR="00C9062D" w:rsidRDefault="00C9062D">
      <w:pPr>
        <w:pStyle w:val="TOC3"/>
        <w:rPr>
          <w:rFonts w:eastAsiaTheme="minorEastAsia" w:cstheme="minorBidi"/>
          <w:color w:val="auto"/>
          <w:sz w:val="24"/>
          <w:szCs w:val="24"/>
          <w:lang w:eastAsia="en-GB"/>
        </w:rPr>
      </w:pPr>
      <w:hyperlink w:anchor="_Toc62808196" w:history="1">
        <w:r w:rsidRPr="00126835">
          <w:rPr>
            <w:rStyle w:val="Hyperlink"/>
          </w:rPr>
          <w:t>BR4 Statement of Changes in Equity for the Financial Year Ended 30 June 2020</w:t>
        </w:r>
        <w:r>
          <w:rPr>
            <w:webHidden/>
          </w:rPr>
          <w:tab/>
        </w:r>
        <w:r>
          <w:rPr>
            <w:webHidden/>
          </w:rPr>
          <w:fldChar w:fldCharType="begin"/>
        </w:r>
        <w:r>
          <w:rPr>
            <w:webHidden/>
          </w:rPr>
          <w:instrText xml:space="preserve"> PAGEREF _Toc62808196 \h </w:instrText>
        </w:r>
        <w:r>
          <w:rPr>
            <w:webHidden/>
          </w:rPr>
        </w:r>
        <w:r>
          <w:rPr>
            <w:webHidden/>
          </w:rPr>
          <w:fldChar w:fldCharType="separate"/>
        </w:r>
        <w:r>
          <w:rPr>
            <w:webHidden/>
          </w:rPr>
          <w:t>144</w:t>
        </w:r>
        <w:r>
          <w:rPr>
            <w:webHidden/>
          </w:rPr>
          <w:fldChar w:fldCharType="end"/>
        </w:r>
      </w:hyperlink>
    </w:p>
    <w:p w14:paraId="500C0846" w14:textId="6FAD0720" w:rsidR="00C9062D" w:rsidRDefault="00C9062D">
      <w:pPr>
        <w:pStyle w:val="TOC3"/>
        <w:rPr>
          <w:rFonts w:eastAsiaTheme="minorEastAsia" w:cstheme="minorBidi"/>
          <w:color w:val="auto"/>
          <w:sz w:val="24"/>
          <w:szCs w:val="24"/>
          <w:lang w:eastAsia="en-GB"/>
        </w:rPr>
      </w:pPr>
      <w:hyperlink w:anchor="_Toc62808197" w:history="1">
        <w:r w:rsidRPr="00126835">
          <w:rPr>
            <w:rStyle w:val="Hyperlink"/>
          </w:rPr>
          <w:t>BR5 Administered Items</w:t>
        </w:r>
        <w:r>
          <w:rPr>
            <w:webHidden/>
          </w:rPr>
          <w:tab/>
        </w:r>
        <w:r>
          <w:rPr>
            <w:webHidden/>
          </w:rPr>
          <w:fldChar w:fldCharType="begin"/>
        </w:r>
        <w:r>
          <w:rPr>
            <w:webHidden/>
          </w:rPr>
          <w:instrText xml:space="preserve"> PAGEREF _Toc62808197 \h </w:instrText>
        </w:r>
        <w:r>
          <w:rPr>
            <w:webHidden/>
          </w:rPr>
        </w:r>
        <w:r>
          <w:rPr>
            <w:webHidden/>
          </w:rPr>
          <w:fldChar w:fldCharType="separate"/>
        </w:r>
        <w:r>
          <w:rPr>
            <w:webHidden/>
          </w:rPr>
          <w:t>145</w:t>
        </w:r>
        <w:r>
          <w:rPr>
            <w:webHidden/>
          </w:rPr>
          <w:fldChar w:fldCharType="end"/>
        </w:r>
      </w:hyperlink>
    </w:p>
    <w:p w14:paraId="78A6408A" w14:textId="061E15C9" w:rsidR="00C9062D" w:rsidRDefault="00C9062D">
      <w:pPr>
        <w:pStyle w:val="TOC1"/>
        <w:rPr>
          <w:rFonts w:eastAsiaTheme="minorEastAsia" w:cstheme="minorBidi"/>
          <w:b w:val="0"/>
          <w:color w:val="auto"/>
          <w:sz w:val="24"/>
          <w:szCs w:val="24"/>
          <w:lang w:eastAsia="en-GB"/>
        </w:rPr>
      </w:pPr>
      <w:hyperlink w:anchor="_Toc62808198" w:history="1">
        <w:r w:rsidRPr="00126835">
          <w:rPr>
            <w:rStyle w:val="Hyperlink"/>
          </w:rPr>
          <w:t>Glo</w:t>
        </w:r>
        <w:r w:rsidRPr="00126835">
          <w:rPr>
            <w:rStyle w:val="Hyperlink"/>
          </w:rPr>
          <w:t>s</w:t>
        </w:r>
        <w:r w:rsidRPr="00126835">
          <w:rPr>
            <w:rStyle w:val="Hyperlink"/>
          </w:rPr>
          <w:t>sary</w:t>
        </w:r>
        <w:r>
          <w:rPr>
            <w:webHidden/>
          </w:rPr>
          <w:tab/>
        </w:r>
        <w:r>
          <w:rPr>
            <w:webHidden/>
          </w:rPr>
          <w:fldChar w:fldCharType="begin"/>
        </w:r>
        <w:r>
          <w:rPr>
            <w:webHidden/>
          </w:rPr>
          <w:instrText xml:space="preserve"> PAGEREF _Toc62808198 \h </w:instrText>
        </w:r>
        <w:r>
          <w:rPr>
            <w:webHidden/>
          </w:rPr>
        </w:r>
        <w:r>
          <w:rPr>
            <w:webHidden/>
          </w:rPr>
          <w:fldChar w:fldCharType="separate"/>
        </w:r>
        <w:r>
          <w:rPr>
            <w:webHidden/>
          </w:rPr>
          <w:t>146</w:t>
        </w:r>
        <w:r>
          <w:rPr>
            <w:webHidden/>
          </w:rPr>
          <w:fldChar w:fldCharType="end"/>
        </w:r>
      </w:hyperlink>
    </w:p>
    <w:p w14:paraId="54A681DB" w14:textId="1D06E98B" w:rsidR="001A02D7" w:rsidRDefault="00B461C9" w:rsidP="005B4B4D">
      <w:pPr>
        <w:pStyle w:val="NoSpacing"/>
        <w:spacing w:before="360"/>
        <w:rPr>
          <w:rFonts w:eastAsia="Arial" w:cs="Times New Roman"/>
          <w:b/>
          <w:noProof/>
        </w:rPr>
        <w:sectPr w:rsidR="001A02D7" w:rsidSect="0087260D">
          <w:pgSz w:w="11907" w:h="16839"/>
          <w:pgMar w:top="1701" w:right="1134" w:bottom="1134" w:left="1134" w:header="567" w:footer="567" w:gutter="0"/>
          <w:cols w:space="720"/>
          <w:docGrid w:linePitch="299"/>
        </w:sectPr>
      </w:pPr>
      <w:r>
        <w:rPr>
          <w:rFonts w:eastAsia="Arial" w:cs="Times New Roman"/>
          <w:b/>
          <w:noProof/>
        </w:rPr>
        <w:fldChar w:fldCharType="end"/>
      </w:r>
    </w:p>
    <w:p w14:paraId="4C05E30C" w14:textId="78A45D91" w:rsidR="005B4B4D" w:rsidRPr="005B4B4D" w:rsidRDefault="005B4B4D" w:rsidP="005B4B4D">
      <w:pPr>
        <w:pStyle w:val="NoSpacing"/>
        <w:spacing w:before="360"/>
        <w:rPr>
          <w:noProof/>
          <w:lang w:val="en-US"/>
        </w:rPr>
      </w:pPr>
      <w:r w:rsidRPr="005B4B4D">
        <w:rPr>
          <w:noProof/>
          <w:lang w:val="en-US"/>
        </w:rPr>
        <w:t>Court</w:t>
      </w:r>
      <w:r w:rsidR="00B461C9">
        <w:rPr>
          <w:noProof/>
          <w:lang w:val="en-US"/>
        </w:rPr>
        <w:t xml:space="preserve"> </w:t>
      </w:r>
      <w:r w:rsidRPr="005B4B4D">
        <w:rPr>
          <w:noProof/>
          <w:lang w:val="en-US"/>
        </w:rPr>
        <w:t>Services</w:t>
      </w:r>
      <w:r>
        <w:rPr>
          <w:noProof/>
          <w:lang w:val="en-US"/>
        </w:rPr>
        <w:t xml:space="preserve"> </w:t>
      </w:r>
      <w:r w:rsidRPr="005B4B4D">
        <w:rPr>
          <w:noProof/>
          <w:lang w:val="en-US"/>
        </w:rPr>
        <w:t>Victoria</w:t>
      </w:r>
      <w:r>
        <w:rPr>
          <w:noProof/>
          <w:lang w:val="en-US"/>
        </w:rPr>
        <w:t xml:space="preserve"> </w:t>
      </w:r>
      <w:r w:rsidRPr="005B4B4D">
        <w:rPr>
          <w:noProof/>
          <w:lang w:val="en-US"/>
        </w:rPr>
        <w:t>acknowledges</w:t>
      </w:r>
      <w:r>
        <w:rPr>
          <w:noProof/>
          <w:lang w:val="en-US"/>
        </w:rPr>
        <w:t xml:space="preserve"> </w:t>
      </w:r>
      <w:r w:rsidRPr="005B4B4D">
        <w:rPr>
          <w:noProof/>
          <w:lang w:val="en-US"/>
        </w:rPr>
        <w:t>Aboriginal</w:t>
      </w:r>
      <w:r>
        <w:rPr>
          <w:noProof/>
          <w:lang w:val="en-US"/>
        </w:rPr>
        <w:t xml:space="preserve"> </w:t>
      </w:r>
      <w:r w:rsidRPr="005B4B4D">
        <w:rPr>
          <w:noProof/>
          <w:lang w:val="en-US"/>
        </w:rPr>
        <w:t>and</w:t>
      </w:r>
      <w:r>
        <w:rPr>
          <w:noProof/>
          <w:lang w:val="en-US"/>
        </w:rPr>
        <w:t xml:space="preserve"> </w:t>
      </w:r>
      <w:r w:rsidRPr="005B4B4D">
        <w:rPr>
          <w:noProof/>
          <w:lang w:val="en-US"/>
        </w:rPr>
        <w:t>Torres</w:t>
      </w:r>
      <w:r>
        <w:rPr>
          <w:noProof/>
          <w:lang w:val="en-US"/>
        </w:rPr>
        <w:t xml:space="preserve"> </w:t>
      </w:r>
      <w:r w:rsidRPr="005B4B4D">
        <w:rPr>
          <w:noProof/>
          <w:lang w:val="en-US"/>
        </w:rPr>
        <w:t>Strait</w:t>
      </w:r>
      <w:r>
        <w:rPr>
          <w:noProof/>
          <w:lang w:val="en-US"/>
        </w:rPr>
        <w:t xml:space="preserve"> </w:t>
      </w:r>
      <w:r w:rsidRPr="005B4B4D">
        <w:rPr>
          <w:noProof/>
          <w:lang w:val="en-US"/>
        </w:rPr>
        <w:t>Islander</w:t>
      </w:r>
      <w:r>
        <w:rPr>
          <w:noProof/>
          <w:lang w:val="en-US"/>
        </w:rPr>
        <w:t xml:space="preserve"> </w:t>
      </w:r>
      <w:r w:rsidRPr="005B4B4D">
        <w:rPr>
          <w:noProof/>
          <w:lang w:val="en-US"/>
        </w:rPr>
        <w:t>peoples</w:t>
      </w:r>
      <w:r>
        <w:rPr>
          <w:noProof/>
          <w:lang w:val="en-US"/>
        </w:rPr>
        <w:t xml:space="preserve"> </w:t>
      </w:r>
      <w:r w:rsidRPr="005B4B4D">
        <w:rPr>
          <w:noProof/>
          <w:lang w:val="en-US"/>
        </w:rPr>
        <w:t>as</w:t>
      </w:r>
      <w:r>
        <w:rPr>
          <w:noProof/>
          <w:lang w:val="en-US"/>
        </w:rPr>
        <w:t xml:space="preserve"> </w:t>
      </w:r>
      <w:r w:rsidRPr="005B4B4D">
        <w:rPr>
          <w:noProof/>
          <w:lang w:val="en-US"/>
        </w:rPr>
        <w:t>the</w:t>
      </w:r>
      <w:r>
        <w:rPr>
          <w:noProof/>
          <w:lang w:val="en-US"/>
        </w:rPr>
        <w:t xml:space="preserve"> </w:t>
      </w:r>
      <w:r w:rsidRPr="005B4B4D">
        <w:rPr>
          <w:noProof/>
          <w:lang w:val="en-US"/>
        </w:rPr>
        <w:t>First</w:t>
      </w:r>
      <w:r>
        <w:rPr>
          <w:noProof/>
          <w:lang w:val="en-US"/>
        </w:rPr>
        <w:t xml:space="preserve"> </w:t>
      </w:r>
      <w:r w:rsidRPr="005B4B4D">
        <w:rPr>
          <w:noProof/>
          <w:lang w:val="en-US"/>
        </w:rPr>
        <w:t>Peoples</w:t>
      </w:r>
      <w:r>
        <w:rPr>
          <w:noProof/>
          <w:lang w:val="en-US"/>
        </w:rPr>
        <w:t xml:space="preserve"> </w:t>
      </w:r>
      <w:r w:rsidRPr="005B4B4D">
        <w:rPr>
          <w:noProof/>
          <w:lang w:val="en-US"/>
        </w:rPr>
        <w:t>and</w:t>
      </w:r>
      <w:r>
        <w:rPr>
          <w:noProof/>
          <w:lang w:val="en-US"/>
        </w:rPr>
        <w:t xml:space="preserve"> </w:t>
      </w:r>
      <w:r w:rsidRPr="005B4B4D">
        <w:rPr>
          <w:noProof/>
          <w:lang w:val="en-US"/>
        </w:rPr>
        <w:t>Traditional</w:t>
      </w:r>
      <w:r>
        <w:rPr>
          <w:noProof/>
          <w:lang w:val="en-US"/>
        </w:rPr>
        <w:t xml:space="preserve"> </w:t>
      </w:r>
      <w:r w:rsidRPr="005B4B4D">
        <w:rPr>
          <w:noProof/>
          <w:lang w:val="en-US"/>
        </w:rPr>
        <w:t>Owners</w:t>
      </w:r>
      <w:r>
        <w:rPr>
          <w:noProof/>
          <w:lang w:val="en-US"/>
        </w:rPr>
        <w:t xml:space="preserve"> </w:t>
      </w:r>
      <w:r w:rsidRPr="005B4B4D">
        <w:rPr>
          <w:noProof/>
          <w:lang w:val="en-US"/>
        </w:rPr>
        <w:t>and</w:t>
      </w:r>
      <w:r>
        <w:rPr>
          <w:noProof/>
          <w:lang w:val="en-US"/>
        </w:rPr>
        <w:t xml:space="preserve"> </w:t>
      </w:r>
      <w:r w:rsidRPr="005B4B4D">
        <w:rPr>
          <w:noProof/>
          <w:lang w:val="en-US"/>
        </w:rPr>
        <w:t>Custodians</w:t>
      </w:r>
      <w:r>
        <w:rPr>
          <w:noProof/>
          <w:lang w:val="en-US"/>
        </w:rPr>
        <w:t xml:space="preserve"> </w:t>
      </w:r>
      <w:r w:rsidRPr="005B4B4D">
        <w:rPr>
          <w:noProof/>
          <w:lang w:val="en-US"/>
        </w:rPr>
        <w:t>of</w:t>
      </w:r>
      <w:r>
        <w:rPr>
          <w:noProof/>
          <w:lang w:val="en-US"/>
        </w:rPr>
        <w:t xml:space="preserve"> </w:t>
      </w:r>
      <w:r w:rsidRPr="005B4B4D">
        <w:rPr>
          <w:noProof/>
          <w:lang w:val="en-US"/>
        </w:rPr>
        <w:t>the</w:t>
      </w:r>
      <w:r>
        <w:rPr>
          <w:noProof/>
          <w:lang w:val="en-US"/>
        </w:rPr>
        <w:t xml:space="preserve"> </w:t>
      </w:r>
      <w:r w:rsidRPr="005B4B4D">
        <w:rPr>
          <w:noProof/>
          <w:lang w:val="en-US"/>
        </w:rPr>
        <w:t>land</w:t>
      </w:r>
      <w:r>
        <w:rPr>
          <w:noProof/>
          <w:lang w:val="en-US"/>
        </w:rPr>
        <w:t xml:space="preserve"> </w:t>
      </w:r>
      <w:r w:rsidRPr="005B4B4D">
        <w:rPr>
          <w:noProof/>
          <w:lang w:val="en-US"/>
        </w:rPr>
        <w:t>and</w:t>
      </w:r>
      <w:r>
        <w:rPr>
          <w:noProof/>
          <w:lang w:val="en-US"/>
        </w:rPr>
        <w:t xml:space="preserve"> </w:t>
      </w:r>
      <w:r w:rsidRPr="005B4B4D">
        <w:rPr>
          <w:noProof/>
          <w:lang w:val="en-US"/>
        </w:rPr>
        <w:t>waterways</w:t>
      </w:r>
      <w:r>
        <w:rPr>
          <w:noProof/>
          <w:lang w:val="en-US"/>
        </w:rPr>
        <w:t xml:space="preserve"> </w:t>
      </w:r>
      <w:r w:rsidRPr="005B4B4D">
        <w:rPr>
          <w:noProof/>
          <w:lang w:val="en-US"/>
        </w:rPr>
        <w:t>upon</w:t>
      </w:r>
      <w:r>
        <w:rPr>
          <w:noProof/>
          <w:lang w:val="en-US"/>
        </w:rPr>
        <w:t xml:space="preserve"> </w:t>
      </w:r>
      <w:r w:rsidRPr="005B4B4D">
        <w:rPr>
          <w:noProof/>
          <w:lang w:val="en-US"/>
        </w:rPr>
        <w:t>which</w:t>
      </w:r>
      <w:r>
        <w:rPr>
          <w:noProof/>
          <w:lang w:val="en-US"/>
        </w:rPr>
        <w:t xml:space="preserve"> </w:t>
      </w:r>
      <w:r w:rsidRPr="005B4B4D">
        <w:rPr>
          <w:noProof/>
          <w:lang w:val="en-US"/>
        </w:rPr>
        <w:t>our</w:t>
      </w:r>
      <w:r>
        <w:rPr>
          <w:noProof/>
          <w:lang w:val="en-US"/>
        </w:rPr>
        <w:t xml:space="preserve"> </w:t>
      </w:r>
      <w:r w:rsidRPr="005B4B4D">
        <w:rPr>
          <w:noProof/>
          <w:lang w:val="en-US"/>
        </w:rPr>
        <w:t>lives</w:t>
      </w:r>
      <w:r>
        <w:rPr>
          <w:noProof/>
          <w:lang w:val="en-US"/>
        </w:rPr>
        <w:t xml:space="preserve"> </w:t>
      </w:r>
      <w:r w:rsidRPr="005B4B4D">
        <w:rPr>
          <w:noProof/>
          <w:lang w:val="en-US"/>
        </w:rPr>
        <w:t>depend.</w:t>
      </w:r>
      <w:r>
        <w:rPr>
          <w:noProof/>
          <w:lang w:val="en-US"/>
        </w:rPr>
        <w:t xml:space="preserve"> </w:t>
      </w:r>
      <w:r w:rsidRPr="005B4B4D">
        <w:rPr>
          <w:noProof/>
          <w:lang w:val="en-US"/>
        </w:rPr>
        <w:t>Court</w:t>
      </w:r>
      <w:r>
        <w:rPr>
          <w:noProof/>
          <w:lang w:val="en-US"/>
        </w:rPr>
        <w:t xml:space="preserve"> </w:t>
      </w:r>
      <w:r w:rsidRPr="005B4B4D">
        <w:rPr>
          <w:noProof/>
          <w:lang w:val="en-US"/>
        </w:rPr>
        <w:t>Services</w:t>
      </w:r>
      <w:r>
        <w:rPr>
          <w:noProof/>
          <w:lang w:val="en-US"/>
        </w:rPr>
        <w:t xml:space="preserve"> </w:t>
      </w:r>
      <w:r w:rsidRPr="005B4B4D">
        <w:rPr>
          <w:noProof/>
          <w:lang w:val="en-US"/>
        </w:rPr>
        <w:t>Victoria</w:t>
      </w:r>
      <w:r>
        <w:rPr>
          <w:noProof/>
          <w:lang w:val="en-US"/>
        </w:rPr>
        <w:t xml:space="preserve"> </w:t>
      </w:r>
      <w:r w:rsidRPr="005B4B4D">
        <w:rPr>
          <w:noProof/>
          <w:lang w:val="en-US"/>
        </w:rPr>
        <w:t>acknowledges</w:t>
      </w:r>
      <w:r>
        <w:rPr>
          <w:noProof/>
          <w:lang w:val="en-US"/>
        </w:rPr>
        <w:t xml:space="preserve"> </w:t>
      </w:r>
      <w:r w:rsidRPr="005B4B4D">
        <w:rPr>
          <w:noProof/>
          <w:lang w:val="en-US"/>
        </w:rPr>
        <w:t>and</w:t>
      </w:r>
      <w:r>
        <w:rPr>
          <w:noProof/>
          <w:lang w:val="en-US"/>
        </w:rPr>
        <w:t xml:space="preserve"> </w:t>
      </w:r>
      <w:r w:rsidRPr="005B4B4D">
        <w:rPr>
          <w:noProof/>
          <w:lang w:val="en-US"/>
        </w:rPr>
        <w:t>pays</w:t>
      </w:r>
      <w:r>
        <w:rPr>
          <w:noProof/>
          <w:lang w:val="en-US"/>
        </w:rPr>
        <w:t xml:space="preserve"> </w:t>
      </w:r>
      <w:r w:rsidRPr="005B4B4D">
        <w:rPr>
          <w:noProof/>
          <w:lang w:val="en-US"/>
        </w:rPr>
        <w:t>respect</w:t>
      </w:r>
      <w:r>
        <w:rPr>
          <w:noProof/>
          <w:lang w:val="en-US"/>
        </w:rPr>
        <w:t xml:space="preserve"> </w:t>
      </w:r>
      <w:r w:rsidRPr="005B4B4D">
        <w:rPr>
          <w:noProof/>
          <w:lang w:val="en-US"/>
        </w:rPr>
        <w:t>to</w:t>
      </w:r>
      <w:r>
        <w:rPr>
          <w:noProof/>
          <w:lang w:val="en-US"/>
        </w:rPr>
        <w:t xml:space="preserve"> </w:t>
      </w:r>
      <w:r w:rsidRPr="005B4B4D">
        <w:rPr>
          <w:noProof/>
          <w:lang w:val="en-US"/>
        </w:rPr>
        <w:t>ancestors</w:t>
      </w:r>
      <w:r>
        <w:rPr>
          <w:noProof/>
          <w:lang w:val="en-US"/>
        </w:rPr>
        <w:t xml:space="preserve"> </w:t>
      </w:r>
      <w:r w:rsidRPr="005B4B4D">
        <w:rPr>
          <w:noProof/>
          <w:lang w:val="en-US"/>
        </w:rPr>
        <w:t>of</w:t>
      </w:r>
      <w:r>
        <w:rPr>
          <w:noProof/>
          <w:lang w:val="en-US"/>
        </w:rPr>
        <w:t xml:space="preserve"> </w:t>
      </w:r>
      <w:r w:rsidRPr="005B4B4D">
        <w:rPr>
          <w:noProof/>
          <w:lang w:val="en-US"/>
        </w:rPr>
        <w:t>this</w:t>
      </w:r>
      <w:r>
        <w:rPr>
          <w:noProof/>
          <w:lang w:val="en-US"/>
        </w:rPr>
        <w:t xml:space="preserve"> </w:t>
      </w:r>
      <w:r w:rsidRPr="005B4B4D">
        <w:rPr>
          <w:noProof/>
          <w:lang w:val="en-US"/>
        </w:rPr>
        <w:t>country,</w:t>
      </w:r>
      <w:r>
        <w:rPr>
          <w:noProof/>
          <w:lang w:val="en-US"/>
        </w:rPr>
        <w:t xml:space="preserve"> </w:t>
      </w:r>
      <w:r w:rsidRPr="005B4B4D">
        <w:rPr>
          <w:noProof/>
          <w:lang w:val="en-US"/>
        </w:rPr>
        <w:t>Elders,</w:t>
      </w:r>
      <w:r>
        <w:rPr>
          <w:noProof/>
          <w:lang w:val="en-US"/>
        </w:rPr>
        <w:t xml:space="preserve"> </w:t>
      </w:r>
      <w:r w:rsidRPr="005B4B4D">
        <w:rPr>
          <w:noProof/>
          <w:lang w:val="en-US"/>
        </w:rPr>
        <w:t>knowledge</w:t>
      </w:r>
      <w:r>
        <w:rPr>
          <w:noProof/>
          <w:lang w:val="en-US"/>
        </w:rPr>
        <w:t xml:space="preserve"> </w:t>
      </w:r>
      <w:r w:rsidRPr="005B4B4D">
        <w:rPr>
          <w:noProof/>
          <w:lang w:val="en-US"/>
        </w:rPr>
        <w:t>holders</w:t>
      </w:r>
      <w:r>
        <w:rPr>
          <w:noProof/>
          <w:lang w:val="en-US"/>
        </w:rPr>
        <w:t xml:space="preserve"> </w:t>
      </w:r>
      <w:r w:rsidRPr="005B4B4D">
        <w:rPr>
          <w:noProof/>
          <w:lang w:val="en-US"/>
        </w:rPr>
        <w:t>and</w:t>
      </w:r>
      <w:r>
        <w:rPr>
          <w:noProof/>
          <w:lang w:val="en-US"/>
        </w:rPr>
        <w:t xml:space="preserve"> </w:t>
      </w:r>
      <w:r w:rsidRPr="005B4B4D">
        <w:rPr>
          <w:noProof/>
          <w:lang w:val="en-US"/>
        </w:rPr>
        <w:t>leaders</w:t>
      </w:r>
      <w:r>
        <w:rPr>
          <w:noProof/>
          <w:lang w:val="en-US"/>
        </w:rPr>
        <w:t xml:space="preserve"> </w:t>
      </w:r>
      <w:r w:rsidRPr="005B4B4D">
        <w:rPr>
          <w:noProof/>
          <w:lang w:val="en-US"/>
        </w:rPr>
        <w:t>–</w:t>
      </w:r>
      <w:r>
        <w:rPr>
          <w:noProof/>
          <w:lang w:val="en-US"/>
        </w:rPr>
        <w:t xml:space="preserve"> </w:t>
      </w:r>
      <w:r w:rsidRPr="005B4B4D">
        <w:rPr>
          <w:noProof/>
          <w:lang w:val="en-US"/>
        </w:rPr>
        <w:t>past</w:t>
      </w:r>
      <w:r>
        <w:rPr>
          <w:noProof/>
          <w:lang w:val="en-US"/>
        </w:rPr>
        <w:t xml:space="preserve"> </w:t>
      </w:r>
      <w:r w:rsidRPr="005B4B4D">
        <w:rPr>
          <w:noProof/>
          <w:lang w:val="en-US"/>
        </w:rPr>
        <w:t>and</w:t>
      </w:r>
      <w:r>
        <w:rPr>
          <w:noProof/>
          <w:lang w:val="en-US"/>
        </w:rPr>
        <w:t xml:space="preserve"> </w:t>
      </w:r>
      <w:r w:rsidRPr="005B4B4D">
        <w:rPr>
          <w:noProof/>
          <w:lang w:val="en-US"/>
        </w:rPr>
        <w:t>present.</w:t>
      </w:r>
      <w:r>
        <w:rPr>
          <w:noProof/>
          <w:lang w:val="en-US"/>
        </w:rPr>
        <w:t xml:space="preserve"> </w:t>
      </w:r>
      <w:r w:rsidRPr="005B4B4D">
        <w:rPr>
          <w:noProof/>
          <w:lang w:val="en-US"/>
        </w:rPr>
        <w:t>Court</w:t>
      </w:r>
      <w:r>
        <w:rPr>
          <w:noProof/>
          <w:lang w:val="en-US"/>
        </w:rPr>
        <w:t xml:space="preserve"> </w:t>
      </w:r>
      <w:r w:rsidRPr="005B4B4D">
        <w:rPr>
          <w:noProof/>
          <w:lang w:val="en-US"/>
        </w:rPr>
        <w:t>Services</w:t>
      </w:r>
      <w:r>
        <w:rPr>
          <w:noProof/>
          <w:lang w:val="en-US"/>
        </w:rPr>
        <w:t xml:space="preserve"> </w:t>
      </w:r>
      <w:r w:rsidRPr="005B4B4D">
        <w:rPr>
          <w:noProof/>
          <w:lang w:val="en-US"/>
        </w:rPr>
        <w:t>Victoria</w:t>
      </w:r>
      <w:r>
        <w:rPr>
          <w:noProof/>
          <w:lang w:val="en-US"/>
        </w:rPr>
        <w:t xml:space="preserve"> </w:t>
      </w:r>
      <w:r w:rsidRPr="005B4B4D">
        <w:rPr>
          <w:noProof/>
          <w:lang w:val="en-US"/>
        </w:rPr>
        <w:t>extends</w:t>
      </w:r>
      <w:r>
        <w:rPr>
          <w:noProof/>
          <w:lang w:val="en-US"/>
        </w:rPr>
        <w:t xml:space="preserve"> </w:t>
      </w:r>
      <w:r w:rsidRPr="005B4B4D">
        <w:rPr>
          <w:noProof/>
          <w:lang w:val="en-US"/>
        </w:rPr>
        <w:t>that</w:t>
      </w:r>
      <w:r>
        <w:rPr>
          <w:noProof/>
          <w:lang w:val="en-US"/>
        </w:rPr>
        <w:t xml:space="preserve"> </w:t>
      </w:r>
      <w:r w:rsidRPr="005B4B4D">
        <w:rPr>
          <w:noProof/>
          <w:lang w:val="en-US"/>
        </w:rPr>
        <w:t>respect</w:t>
      </w:r>
      <w:r>
        <w:rPr>
          <w:noProof/>
          <w:lang w:val="en-US"/>
        </w:rPr>
        <w:t xml:space="preserve"> </w:t>
      </w:r>
      <w:r w:rsidRPr="005B4B4D">
        <w:rPr>
          <w:noProof/>
          <w:lang w:val="en-US"/>
        </w:rPr>
        <w:t>to</w:t>
      </w:r>
      <w:r>
        <w:rPr>
          <w:noProof/>
          <w:lang w:val="en-US"/>
        </w:rPr>
        <w:t xml:space="preserve"> </w:t>
      </w:r>
      <w:r w:rsidRPr="005B4B4D">
        <w:rPr>
          <w:noProof/>
          <w:lang w:val="en-US"/>
        </w:rPr>
        <w:t>all</w:t>
      </w:r>
      <w:r>
        <w:rPr>
          <w:noProof/>
          <w:lang w:val="en-US"/>
        </w:rPr>
        <w:t xml:space="preserve"> </w:t>
      </w:r>
      <w:r w:rsidRPr="005B4B4D">
        <w:rPr>
          <w:noProof/>
          <w:lang w:val="en-US"/>
        </w:rPr>
        <w:t>Aboriginal</w:t>
      </w:r>
      <w:r>
        <w:rPr>
          <w:noProof/>
          <w:lang w:val="en-US"/>
        </w:rPr>
        <w:t xml:space="preserve"> </w:t>
      </w:r>
      <w:r w:rsidRPr="005B4B4D">
        <w:rPr>
          <w:noProof/>
          <w:lang w:val="en-US"/>
        </w:rPr>
        <w:t>and</w:t>
      </w:r>
      <w:r>
        <w:rPr>
          <w:noProof/>
          <w:lang w:val="en-US"/>
        </w:rPr>
        <w:t xml:space="preserve"> </w:t>
      </w:r>
      <w:r w:rsidRPr="005B4B4D">
        <w:rPr>
          <w:noProof/>
          <w:lang w:val="en-US"/>
        </w:rPr>
        <w:t>Torres</w:t>
      </w:r>
      <w:r>
        <w:rPr>
          <w:noProof/>
          <w:lang w:val="en-US"/>
        </w:rPr>
        <w:t xml:space="preserve"> </w:t>
      </w:r>
      <w:r w:rsidRPr="005B4B4D">
        <w:rPr>
          <w:noProof/>
          <w:lang w:val="en-US"/>
        </w:rPr>
        <w:t>Strait</w:t>
      </w:r>
      <w:r>
        <w:rPr>
          <w:noProof/>
          <w:lang w:val="en-US"/>
        </w:rPr>
        <w:t xml:space="preserve"> </w:t>
      </w:r>
      <w:r w:rsidRPr="005B4B4D">
        <w:rPr>
          <w:noProof/>
          <w:lang w:val="en-US"/>
        </w:rPr>
        <w:t>Islander</w:t>
      </w:r>
      <w:r>
        <w:rPr>
          <w:noProof/>
          <w:lang w:val="en-US"/>
        </w:rPr>
        <w:t xml:space="preserve"> </w:t>
      </w:r>
      <w:r w:rsidRPr="005B4B4D">
        <w:rPr>
          <w:noProof/>
          <w:lang w:val="en-US"/>
        </w:rPr>
        <w:t>peoples.</w:t>
      </w:r>
    </w:p>
    <w:p w14:paraId="18E41B67" w14:textId="59115B9B" w:rsidR="005B4B4D" w:rsidRPr="005B4B4D" w:rsidRDefault="005B4B4D" w:rsidP="005B4B4D">
      <w:pPr>
        <w:pStyle w:val="BodyText"/>
        <w:rPr>
          <w:noProof/>
          <w:lang w:val="en-US"/>
        </w:rPr>
      </w:pPr>
      <w:r w:rsidRPr="005B4B4D">
        <w:rPr>
          <w:noProof/>
          <w:lang w:val="en-US"/>
        </w:rPr>
        <w:t>©</w:t>
      </w:r>
      <w:r>
        <w:rPr>
          <w:noProof/>
          <w:lang w:val="en-US"/>
        </w:rPr>
        <w:t xml:space="preserve"> </w:t>
      </w:r>
      <w:r w:rsidRPr="005B4B4D">
        <w:rPr>
          <w:noProof/>
          <w:lang w:val="en-US"/>
        </w:rPr>
        <w:t>Court</w:t>
      </w:r>
      <w:r>
        <w:rPr>
          <w:noProof/>
          <w:lang w:val="en-US"/>
        </w:rPr>
        <w:t xml:space="preserve"> </w:t>
      </w:r>
      <w:r w:rsidRPr="005B4B4D">
        <w:rPr>
          <w:noProof/>
          <w:lang w:val="en-US"/>
        </w:rPr>
        <w:t>Services</w:t>
      </w:r>
      <w:r>
        <w:rPr>
          <w:noProof/>
          <w:lang w:val="en-US"/>
        </w:rPr>
        <w:t xml:space="preserve"> </w:t>
      </w:r>
      <w:r w:rsidRPr="005B4B4D">
        <w:rPr>
          <w:noProof/>
          <w:lang w:val="en-US"/>
        </w:rPr>
        <w:t>Victoria</w:t>
      </w:r>
    </w:p>
    <w:p w14:paraId="2F5320BC" w14:textId="19B42D5E" w:rsidR="005B4B4D" w:rsidRPr="005B4B4D" w:rsidRDefault="005B4B4D" w:rsidP="005B4B4D">
      <w:pPr>
        <w:pStyle w:val="BodyText"/>
        <w:rPr>
          <w:noProof/>
          <w:lang w:val="en-US"/>
        </w:rPr>
      </w:pPr>
      <w:r w:rsidRPr="005B4B4D">
        <w:rPr>
          <w:noProof/>
          <w:lang w:val="en-US"/>
        </w:rPr>
        <w:t>This</w:t>
      </w:r>
      <w:r>
        <w:rPr>
          <w:noProof/>
          <w:lang w:val="en-US"/>
        </w:rPr>
        <w:t xml:space="preserve"> </w:t>
      </w:r>
      <w:r w:rsidRPr="005B4B4D">
        <w:rPr>
          <w:noProof/>
          <w:lang w:val="en-US"/>
        </w:rPr>
        <w:t>report</w:t>
      </w:r>
      <w:r>
        <w:rPr>
          <w:noProof/>
          <w:lang w:val="en-US"/>
        </w:rPr>
        <w:t xml:space="preserve"> </w:t>
      </w:r>
      <w:r w:rsidRPr="005B4B4D">
        <w:rPr>
          <w:noProof/>
          <w:lang w:val="en-US"/>
        </w:rPr>
        <w:t>is</w:t>
      </w:r>
      <w:r>
        <w:rPr>
          <w:noProof/>
          <w:lang w:val="en-US"/>
        </w:rPr>
        <w:t xml:space="preserve"> </w:t>
      </w:r>
      <w:r w:rsidRPr="005B4B4D">
        <w:rPr>
          <w:noProof/>
          <w:lang w:val="en-US"/>
        </w:rPr>
        <w:t>protected</w:t>
      </w:r>
      <w:r>
        <w:rPr>
          <w:noProof/>
          <w:lang w:val="en-US"/>
        </w:rPr>
        <w:t xml:space="preserve"> </w:t>
      </w:r>
      <w:r w:rsidRPr="005B4B4D">
        <w:rPr>
          <w:noProof/>
          <w:lang w:val="en-US"/>
        </w:rPr>
        <w:t>by</w:t>
      </w:r>
      <w:r>
        <w:rPr>
          <w:noProof/>
          <w:lang w:val="en-US"/>
        </w:rPr>
        <w:t xml:space="preserve"> </w:t>
      </w:r>
      <w:r w:rsidRPr="005B4B4D">
        <w:rPr>
          <w:noProof/>
          <w:lang w:val="en-US"/>
        </w:rPr>
        <w:t>copyright.</w:t>
      </w:r>
      <w:r>
        <w:rPr>
          <w:noProof/>
          <w:lang w:val="en-US"/>
        </w:rPr>
        <w:t xml:space="preserve"> </w:t>
      </w:r>
      <w:r w:rsidRPr="005B4B4D">
        <w:rPr>
          <w:noProof/>
          <w:lang w:val="en-US"/>
        </w:rPr>
        <w:t>Apart</w:t>
      </w:r>
      <w:r>
        <w:rPr>
          <w:noProof/>
          <w:lang w:val="en-US"/>
        </w:rPr>
        <w:t xml:space="preserve"> </w:t>
      </w:r>
      <w:r w:rsidRPr="005B4B4D">
        <w:rPr>
          <w:noProof/>
          <w:lang w:val="en-US"/>
        </w:rPr>
        <w:t>from</w:t>
      </w:r>
      <w:r>
        <w:rPr>
          <w:noProof/>
          <w:lang w:val="en-US"/>
        </w:rPr>
        <w:t xml:space="preserve"> </w:t>
      </w:r>
      <w:r w:rsidRPr="005B4B4D">
        <w:rPr>
          <w:noProof/>
          <w:lang w:val="en-US"/>
        </w:rPr>
        <w:t>any</w:t>
      </w:r>
      <w:r>
        <w:rPr>
          <w:noProof/>
          <w:lang w:val="en-US"/>
        </w:rPr>
        <w:t xml:space="preserve"> </w:t>
      </w:r>
      <w:r w:rsidRPr="005B4B4D">
        <w:rPr>
          <w:noProof/>
          <w:lang w:val="en-US"/>
        </w:rPr>
        <w:t>use</w:t>
      </w:r>
      <w:r>
        <w:rPr>
          <w:noProof/>
          <w:lang w:val="en-US"/>
        </w:rPr>
        <w:t xml:space="preserve"> </w:t>
      </w:r>
      <w:r w:rsidRPr="005B4B4D">
        <w:rPr>
          <w:noProof/>
          <w:lang w:val="en-US"/>
        </w:rPr>
        <w:t>permitted</w:t>
      </w:r>
      <w:r>
        <w:rPr>
          <w:noProof/>
          <w:lang w:val="en-US"/>
        </w:rPr>
        <w:t xml:space="preserve"> </w:t>
      </w:r>
      <w:r w:rsidRPr="005B4B4D">
        <w:rPr>
          <w:noProof/>
          <w:lang w:val="en-US"/>
        </w:rPr>
        <w:t>under</w:t>
      </w:r>
      <w:r>
        <w:rPr>
          <w:noProof/>
          <w:lang w:val="en-US"/>
        </w:rPr>
        <w:t xml:space="preserve"> </w:t>
      </w:r>
      <w:r w:rsidRPr="005B4B4D">
        <w:rPr>
          <w:noProof/>
          <w:lang w:val="en-US"/>
        </w:rPr>
        <w:t>the</w:t>
      </w:r>
      <w:r>
        <w:rPr>
          <w:noProof/>
          <w:lang w:val="en-US"/>
        </w:rPr>
        <w:t xml:space="preserve"> </w:t>
      </w:r>
      <w:r w:rsidRPr="005B4B4D">
        <w:rPr>
          <w:noProof/>
          <w:lang w:val="en-US"/>
        </w:rPr>
        <w:t>Copyright</w:t>
      </w:r>
      <w:r>
        <w:rPr>
          <w:noProof/>
          <w:lang w:val="en-US"/>
        </w:rPr>
        <w:t xml:space="preserve"> </w:t>
      </w:r>
      <w:r w:rsidRPr="005B4B4D">
        <w:rPr>
          <w:noProof/>
          <w:lang w:val="en-US"/>
        </w:rPr>
        <w:t>Act</w:t>
      </w:r>
      <w:r>
        <w:rPr>
          <w:noProof/>
          <w:lang w:val="en-US"/>
        </w:rPr>
        <w:t xml:space="preserve"> </w:t>
      </w:r>
      <w:r w:rsidRPr="005B4B4D">
        <w:rPr>
          <w:noProof/>
          <w:lang w:val="en-US"/>
        </w:rPr>
        <w:t>1968</w:t>
      </w:r>
      <w:r>
        <w:rPr>
          <w:noProof/>
          <w:lang w:val="en-US"/>
        </w:rPr>
        <w:t xml:space="preserve"> </w:t>
      </w:r>
      <w:r w:rsidRPr="005B4B4D">
        <w:rPr>
          <w:noProof/>
          <w:lang w:val="en-US"/>
        </w:rPr>
        <w:t>(Cth),</w:t>
      </w:r>
      <w:r>
        <w:rPr>
          <w:noProof/>
          <w:lang w:val="en-US"/>
        </w:rPr>
        <w:t xml:space="preserve"> </w:t>
      </w:r>
      <w:r w:rsidRPr="005B4B4D">
        <w:rPr>
          <w:noProof/>
          <w:lang w:val="en-US"/>
        </w:rPr>
        <w:t>all</w:t>
      </w:r>
      <w:r>
        <w:rPr>
          <w:noProof/>
          <w:lang w:val="en-US"/>
        </w:rPr>
        <w:t xml:space="preserve"> </w:t>
      </w:r>
      <w:r w:rsidRPr="005B4B4D">
        <w:rPr>
          <w:noProof/>
          <w:lang w:val="en-US"/>
        </w:rPr>
        <w:t>rights</w:t>
      </w:r>
      <w:r>
        <w:rPr>
          <w:noProof/>
          <w:lang w:val="en-US"/>
        </w:rPr>
        <w:t xml:space="preserve"> are </w:t>
      </w:r>
      <w:r w:rsidRPr="005B4B4D">
        <w:rPr>
          <w:noProof/>
          <w:lang w:val="en-US"/>
        </w:rPr>
        <w:t>reserved.</w:t>
      </w:r>
    </w:p>
    <w:p w14:paraId="7382A3C2" w14:textId="3F046E14" w:rsidR="005B4B4D" w:rsidRPr="005B4B4D" w:rsidRDefault="005B4B4D" w:rsidP="005B7EE4">
      <w:pPr>
        <w:pStyle w:val="BodyText"/>
        <w:rPr>
          <w:noProof/>
          <w:lang w:val="en-US"/>
        </w:rPr>
      </w:pPr>
      <w:r w:rsidRPr="005B4B4D">
        <w:rPr>
          <w:noProof/>
          <w:lang w:val="en-US"/>
        </w:rPr>
        <w:t>Court</w:t>
      </w:r>
      <w:r>
        <w:rPr>
          <w:noProof/>
          <w:lang w:val="en-US"/>
        </w:rPr>
        <w:t xml:space="preserve"> </w:t>
      </w:r>
      <w:r w:rsidRPr="005B4B4D">
        <w:rPr>
          <w:noProof/>
          <w:lang w:val="en-US"/>
        </w:rPr>
        <w:t>Services</w:t>
      </w:r>
      <w:r>
        <w:rPr>
          <w:noProof/>
          <w:lang w:val="en-US"/>
        </w:rPr>
        <w:t xml:space="preserve"> </w:t>
      </w:r>
      <w:r w:rsidRPr="005B4B4D">
        <w:rPr>
          <w:noProof/>
          <w:lang w:val="en-US"/>
        </w:rPr>
        <w:t>Victoria</w:t>
      </w:r>
      <w:r>
        <w:rPr>
          <w:noProof/>
          <w:lang w:val="en-US"/>
        </w:rPr>
        <w:t xml:space="preserve"> </w:t>
      </w:r>
      <w:r w:rsidRPr="005B4B4D">
        <w:rPr>
          <w:noProof/>
          <w:lang w:val="en-US"/>
        </w:rPr>
        <w:t>ISSN</w:t>
      </w:r>
      <w:r>
        <w:rPr>
          <w:noProof/>
          <w:lang w:val="en-US"/>
        </w:rPr>
        <w:t xml:space="preserve"> </w:t>
      </w:r>
      <w:r w:rsidRPr="005B4B4D">
        <w:rPr>
          <w:noProof/>
          <w:lang w:val="en-US"/>
        </w:rPr>
        <w:t>2205</w:t>
      </w:r>
      <w:r>
        <w:rPr>
          <w:noProof/>
          <w:lang w:val="en-US"/>
        </w:rPr>
        <w:t>-</w:t>
      </w:r>
      <w:r w:rsidRPr="005B4B4D">
        <w:rPr>
          <w:noProof/>
          <w:lang w:val="en-US"/>
        </w:rPr>
        <w:t>1090</w:t>
      </w:r>
      <w:r>
        <w:rPr>
          <w:noProof/>
          <w:lang w:val="en-US"/>
        </w:rPr>
        <w:t xml:space="preserve"> </w:t>
      </w:r>
      <w:r w:rsidRPr="005B4B4D">
        <w:rPr>
          <w:noProof/>
          <w:lang w:val="en-US"/>
        </w:rPr>
        <w:t>(Print)</w:t>
      </w:r>
      <w:r w:rsidR="005B7EE4">
        <w:rPr>
          <w:noProof/>
          <w:lang w:val="en-US"/>
        </w:rPr>
        <w:t xml:space="preserve"> </w:t>
      </w:r>
      <w:r w:rsidRPr="005B4B4D">
        <w:rPr>
          <w:noProof/>
          <w:lang w:val="en-US"/>
        </w:rPr>
        <w:t>Published</w:t>
      </w:r>
      <w:r>
        <w:rPr>
          <w:noProof/>
          <w:lang w:val="en-US"/>
        </w:rPr>
        <w:t xml:space="preserve"> </w:t>
      </w:r>
      <w:r w:rsidRPr="005B4B4D">
        <w:rPr>
          <w:noProof/>
          <w:lang w:val="en-US"/>
        </w:rPr>
        <w:t>by</w:t>
      </w:r>
      <w:r>
        <w:rPr>
          <w:noProof/>
          <w:lang w:val="en-US"/>
        </w:rPr>
        <w:t xml:space="preserve"> </w:t>
      </w:r>
      <w:r w:rsidRPr="005B4B4D">
        <w:rPr>
          <w:noProof/>
          <w:lang w:val="en-US"/>
        </w:rPr>
        <w:t>Court</w:t>
      </w:r>
      <w:r>
        <w:rPr>
          <w:noProof/>
          <w:lang w:val="en-US"/>
        </w:rPr>
        <w:t xml:space="preserve"> </w:t>
      </w:r>
      <w:r w:rsidRPr="005B4B4D">
        <w:rPr>
          <w:noProof/>
          <w:lang w:val="en-US"/>
        </w:rPr>
        <w:t>Services</w:t>
      </w:r>
      <w:r>
        <w:rPr>
          <w:noProof/>
          <w:lang w:val="en-US"/>
        </w:rPr>
        <w:t xml:space="preserve"> </w:t>
      </w:r>
      <w:r w:rsidRPr="005B4B4D">
        <w:rPr>
          <w:noProof/>
          <w:lang w:val="en-US"/>
        </w:rPr>
        <w:t>Victoria</w:t>
      </w:r>
    </w:p>
    <w:p w14:paraId="3F51CF64" w14:textId="47F088C9" w:rsidR="005B4B4D" w:rsidRPr="005B4B4D" w:rsidRDefault="005B4B4D" w:rsidP="005B7EE4">
      <w:pPr>
        <w:pStyle w:val="BodyText"/>
        <w:rPr>
          <w:noProof/>
          <w:lang w:val="en-US"/>
        </w:rPr>
      </w:pPr>
      <w:r w:rsidRPr="0000122A">
        <w:rPr>
          <w:noProof/>
          <w:lang w:val="en-US"/>
        </w:rPr>
        <w:t>December</w:t>
      </w:r>
      <w:r w:rsidR="005B7EE4" w:rsidRPr="0000122A">
        <w:rPr>
          <w:noProof/>
          <w:lang w:val="en-US"/>
        </w:rPr>
        <w:t xml:space="preserve"> </w:t>
      </w:r>
      <w:r w:rsidRPr="0000122A">
        <w:rPr>
          <w:noProof/>
          <w:lang w:val="en-US"/>
        </w:rPr>
        <w:t>2020</w:t>
      </w:r>
    </w:p>
    <w:p w14:paraId="408E0EC9" w14:textId="6E9EF6AA" w:rsidR="005B4B4D" w:rsidRPr="005B4B4D" w:rsidRDefault="005B7EE4" w:rsidP="005B7EE4">
      <w:pPr>
        <w:pStyle w:val="NoSpacing"/>
        <w:rPr>
          <w:noProof/>
          <w:lang w:val="en-US"/>
        </w:rPr>
      </w:pPr>
      <w:r w:rsidRPr="005B4B4D">
        <w:rPr>
          <w:noProof/>
          <w:lang w:val="en-US"/>
        </w:rPr>
        <w:t>Enquir</w:t>
      </w:r>
      <w:r w:rsidR="00B85A4F">
        <w:rPr>
          <w:noProof/>
          <w:lang w:val="en-US"/>
        </w:rPr>
        <w:t>i</w:t>
      </w:r>
      <w:r w:rsidRPr="005B4B4D">
        <w:rPr>
          <w:noProof/>
          <w:lang w:val="en-US"/>
        </w:rPr>
        <w:t>es</w:t>
      </w:r>
      <w:r>
        <w:rPr>
          <w:noProof/>
          <w:lang w:val="en-US"/>
        </w:rPr>
        <w:t>:</w:t>
      </w:r>
    </w:p>
    <w:p w14:paraId="24DA1E98" w14:textId="5EB5213A" w:rsidR="005B4B4D" w:rsidRPr="005B4B4D" w:rsidRDefault="00C9062D" w:rsidP="005B7EE4">
      <w:pPr>
        <w:pStyle w:val="NoSpacing"/>
        <w:rPr>
          <w:noProof/>
          <w:lang w:val="en-US"/>
        </w:rPr>
      </w:pPr>
      <w:hyperlink r:id="rId9" w:history="1">
        <w:r w:rsidR="005B4B4D" w:rsidRPr="00BE001F">
          <w:rPr>
            <w:rStyle w:val="Hyperlink"/>
            <w:noProof/>
            <w:lang w:val="en-US"/>
          </w:rPr>
          <w:t>Court</w:t>
        </w:r>
        <w:r w:rsidR="005B7EE4" w:rsidRPr="00BE001F">
          <w:rPr>
            <w:rStyle w:val="Hyperlink"/>
            <w:noProof/>
            <w:lang w:val="en-US"/>
          </w:rPr>
          <w:t xml:space="preserve"> </w:t>
        </w:r>
        <w:r w:rsidR="005B4B4D" w:rsidRPr="00BE001F">
          <w:rPr>
            <w:rStyle w:val="Hyperlink"/>
            <w:noProof/>
            <w:lang w:val="en-US"/>
          </w:rPr>
          <w:t>Services</w:t>
        </w:r>
        <w:r w:rsidR="005B7EE4" w:rsidRPr="00BE001F">
          <w:rPr>
            <w:rStyle w:val="Hyperlink"/>
            <w:noProof/>
            <w:lang w:val="en-US"/>
          </w:rPr>
          <w:t xml:space="preserve"> </w:t>
        </w:r>
        <w:r w:rsidR="005B4B4D" w:rsidRPr="00BE001F">
          <w:rPr>
            <w:rStyle w:val="Hyperlink"/>
            <w:noProof/>
            <w:lang w:val="en-US"/>
          </w:rPr>
          <w:t>Victoria</w:t>
        </w:r>
      </w:hyperlink>
    </w:p>
    <w:p w14:paraId="5ED4846F" w14:textId="3BF77B16" w:rsidR="005B4B4D" w:rsidRPr="005B4B4D" w:rsidRDefault="005B4B4D" w:rsidP="005B7EE4">
      <w:pPr>
        <w:pStyle w:val="NoSpacing"/>
        <w:rPr>
          <w:noProof/>
          <w:lang w:val="en-US"/>
        </w:rPr>
      </w:pPr>
      <w:r w:rsidRPr="005B4B4D">
        <w:rPr>
          <w:noProof/>
          <w:lang w:val="en-US"/>
        </w:rPr>
        <w:t>223</w:t>
      </w:r>
      <w:r w:rsidR="005B7EE4">
        <w:rPr>
          <w:noProof/>
          <w:lang w:val="en-US"/>
        </w:rPr>
        <w:t xml:space="preserve"> </w:t>
      </w:r>
      <w:r w:rsidRPr="005B4B4D">
        <w:rPr>
          <w:noProof/>
          <w:lang w:val="en-US"/>
        </w:rPr>
        <w:t>William</w:t>
      </w:r>
      <w:r w:rsidR="005B7EE4">
        <w:rPr>
          <w:noProof/>
          <w:lang w:val="en-US"/>
        </w:rPr>
        <w:t xml:space="preserve"> </w:t>
      </w:r>
      <w:r w:rsidRPr="005B4B4D">
        <w:rPr>
          <w:noProof/>
          <w:lang w:val="en-US"/>
        </w:rPr>
        <w:t>Street</w:t>
      </w:r>
    </w:p>
    <w:p w14:paraId="19E980A6" w14:textId="43B6B583" w:rsidR="005B4B4D" w:rsidRPr="005B4B4D" w:rsidRDefault="005B4B4D" w:rsidP="005B7EE4">
      <w:pPr>
        <w:pStyle w:val="NoSpacing"/>
        <w:rPr>
          <w:noProof/>
          <w:lang w:val="en-US"/>
        </w:rPr>
      </w:pPr>
      <w:r w:rsidRPr="005B4B4D">
        <w:rPr>
          <w:noProof/>
          <w:lang w:val="en-US"/>
        </w:rPr>
        <w:t>Melbourne</w:t>
      </w:r>
      <w:r w:rsidR="005B7EE4">
        <w:rPr>
          <w:noProof/>
          <w:lang w:val="en-US"/>
        </w:rPr>
        <w:t xml:space="preserve"> </w:t>
      </w:r>
      <w:r w:rsidRPr="005B4B4D">
        <w:rPr>
          <w:noProof/>
          <w:lang w:val="en-US"/>
        </w:rPr>
        <w:t>Vic</w:t>
      </w:r>
      <w:r w:rsidR="005B7EE4">
        <w:rPr>
          <w:noProof/>
          <w:lang w:val="en-US"/>
        </w:rPr>
        <w:t xml:space="preserve"> </w:t>
      </w:r>
      <w:r w:rsidRPr="005B4B4D">
        <w:rPr>
          <w:noProof/>
          <w:lang w:val="en-US"/>
        </w:rPr>
        <w:t>3000</w:t>
      </w:r>
    </w:p>
    <w:p w14:paraId="7504DAB3" w14:textId="0B1A7804" w:rsidR="005B4B4D" w:rsidRDefault="005B4B4D" w:rsidP="005B7EE4">
      <w:pPr>
        <w:pStyle w:val="NoSpacing"/>
        <w:rPr>
          <w:noProof/>
          <w:lang w:val="en-US"/>
        </w:rPr>
      </w:pPr>
      <w:r w:rsidRPr="005B4B4D">
        <w:rPr>
          <w:noProof/>
          <w:lang w:val="en-US"/>
        </w:rPr>
        <w:t>Email:</w:t>
      </w:r>
      <w:r w:rsidR="005B7EE4">
        <w:rPr>
          <w:noProof/>
          <w:lang w:val="en-US"/>
        </w:rPr>
        <w:t xml:space="preserve"> </w:t>
      </w:r>
      <w:hyperlink r:id="rId10" w:history="1">
        <w:r w:rsidR="001F32D1" w:rsidRPr="001F7654">
          <w:rPr>
            <w:rStyle w:val="Hyperlink"/>
          </w:rPr>
          <w:t>feedback</w:t>
        </w:r>
        <w:r w:rsidR="001F32D1" w:rsidRPr="001F7654">
          <w:rPr>
            <w:rStyle w:val="Hyperlink"/>
            <w:noProof/>
            <w:lang w:val="en-US"/>
          </w:rPr>
          <w:t>@courts.vic.gov.au</w:t>
        </w:r>
      </w:hyperlink>
    </w:p>
    <w:p w14:paraId="1DC07907" w14:textId="77777777" w:rsidR="001F32D1" w:rsidRPr="00662E71" w:rsidRDefault="001F32D1" w:rsidP="00662E71">
      <w:pPr>
        <w:pStyle w:val="BodyText"/>
        <w:pageBreakBefore/>
        <w:spacing w:before="600"/>
        <w:rPr>
          <w:rStyle w:val="Bold"/>
        </w:rPr>
      </w:pPr>
      <w:bookmarkStart w:id="0" w:name="RespBodDecl"/>
      <w:bookmarkStart w:id="1" w:name="RespBodyDeclheading"/>
      <w:r w:rsidRPr="00662E71">
        <w:rPr>
          <w:rStyle w:val="Bold"/>
        </w:rPr>
        <w:t>Responsible Body’s Declaration</w:t>
      </w:r>
      <w:bookmarkEnd w:id="0"/>
    </w:p>
    <w:bookmarkEnd w:id="1"/>
    <w:p w14:paraId="68365AE6" w14:textId="1F194EE4" w:rsidR="001F32D1" w:rsidRDefault="001F32D1" w:rsidP="001F32D1">
      <w:pPr>
        <w:pStyle w:val="BodyText"/>
      </w:pPr>
      <w:r>
        <w:t xml:space="preserve">In accordance with the </w:t>
      </w:r>
      <w:r w:rsidRPr="00BE001F">
        <w:rPr>
          <w:rStyle w:val="Italics"/>
        </w:rPr>
        <w:t>Financial Management Act 1994</w:t>
      </w:r>
      <w:r>
        <w:t xml:space="preserve"> and the </w:t>
      </w:r>
      <w:r w:rsidRPr="00BE001F">
        <w:rPr>
          <w:rStyle w:val="Italics"/>
        </w:rPr>
        <w:t>Court Services Victoria Act 2014</w:t>
      </w:r>
      <w:r>
        <w:t>, I am pleased to present the Court Services Victoria Annual Report for the year ending 30 June 2020.</w:t>
      </w:r>
    </w:p>
    <w:p w14:paraId="1B2BE2F6" w14:textId="4AC311EE" w:rsidR="001F32D1" w:rsidRDefault="001F32D1" w:rsidP="001F32D1">
      <w:pPr>
        <w:pStyle w:val="NoSpacing"/>
      </w:pPr>
      <w:r>
        <w:t>The Honourable Chief Justice Mary Anne Ferguson</w:t>
      </w:r>
    </w:p>
    <w:p w14:paraId="6D5C9CAE" w14:textId="413C68B8" w:rsidR="00B21199" w:rsidRPr="00F70286" w:rsidRDefault="001F32D1" w:rsidP="00F70286">
      <w:pPr>
        <w:pStyle w:val="NoSpacing"/>
      </w:pPr>
      <w:r>
        <w:t>Chair of the Courts Council</w:t>
      </w:r>
    </w:p>
    <w:p w14:paraId="7C30DF75" w14:textId="54307E13" w:rsidR="004B6BAC" w:rsidRPr="007A0D86" w:rsidRDefault="004F5399" w:rsidP="005A746E">
      <w:pPr>
        <w:pStyle w:val="Heading1"/>
      </w:pPr>
      <w:bookmarkStart w:id="2" w:name="_Toc62808022"/>
      <w:r>
        <w:t>Message f</w:t>
      </w:r>
      <w:r w:rsidR="004B6BAC" w:rsidRPr="007A0D86">
        <w:t xml:space="preserve">rom </w:t>
      </w:r>
      <w:r w:rsidR="00E952AB">
        <w:t>the</w:t>
      </w:r>
      <w:r w:rsidR="004B6BAC" w:rsidRPr="007A0D86">
        <w:t xml:space="preserve"> Chair</w:t>
      </w:r>
      <w:bookmarkEnd w:id="2"/>
    </w:p>
    <w:p w14:paraId="752151C3" w14:textId="78A56497" w:rsidR="00F70286" w:rsidRDefault="00F70286" w:rsidP="00F70286">
      <w:pPr>
        <w:pStyle w:val="BodyText"/>
      </w:pPr>
      <w:r>
        <w:t>It is with pleasure that I present the sixth annual report of Court Services Victoria (CSV).</w:t>
      </w:r>
    </w:p>
    <w:p w14:paraId="5A51FE52" w14:textId="696F4813" w:rsidR="00F70286" w:rsidRDefault="00F70286" w:rsidP="00F70286">
      <w:pPr>
        <w:pStyle w:val="BodyText"/>
      </w:pPr>
      <w:r>
        <w:t xml:space="preserve">The Annual Report is being finalised and published later than usual as a result of the coronavirus (COVID-19) pandemic. While the pandemic’s effects were only felt in the last four months of the reporting period, this report reflects the ongoing implications of the pandemic and </w:t>
      </w:r>
      <w:r w:rsidR="009B1462">
        <w:t>Court Services Victoria</w:t>
      </w:r>
      <w:r>
        <w:t>’s response to it.</w:t>
      </w:r>
    </w:p>
    <w:p w14:paraId="18C4D7CD" w14:textId="7384D69C" w:rsidR="00F70286" w:rsidRDefault="00F70286" w:rsidP="00F70286">
      <w:pPr>
        <w:pStyle w:val="BodyText"/>
      </w:pPr>
      <w:r>
        <w:t>Coronavirus (COVID-19) profoundly impacted the operations of the Victorian courts and the Victorian Civil and Administrative Tribunal (VCAT). The speed with which we were able to meet this challenge was in part made possible by the improved governance and capability we had been developing before its onset.</w:t>
      </w:r>
    </w:p>
    <w:p w14:paraId="6D90DE55" w14:textId="33F7DCD7" w:rsidR="00F70286" w:rsidRDefault="00F70286" w:rsidP="00F70286">
      <w:pPr>
        <w:pStyle w:val="BodyText"/>
      </w:pPr>
      <w:r>
        <w:t xml:space="preserve">Throughout 2019-20, </w:t>
      </w:r>
      <w:r w:rsidR="009B1462">
        <w:t>Court Services Victoria</w:t>
      </w:r>
      <w:r>
        <w:t xml:space="preserve"> initiated many of the recommendations from Courts Council’s Governance and Strategic Directions Review to strengthen governance and capability. </w:t>
      </w:r>
      <w:r w:rsidR="009B1462">
        <w:t>Court Services Victoria</w:t>
      </w:r>
      <w:r>
        <w:t xml:space="preserve"> pursued opportunities to streamline service delivery, reduce duplication and implement service improvements to become more effective, efficient and improve financial sustainability. A key focus area in implementing service improvements has been in supporting the courts and </w:t>
      </w:r>
      <w:r w:rsidR="00A10DBB">
        <w:t>Victorian Civil and Administrative Tribunal</w:t>
      </w:r>
      <w:r>
        <w:t xml:space="preserve"> with the rapid uptake of technology.</w:t>
      </w:r>
    </w:p>
    <w:p w14:paraId="28B9D03C" w14:textId="05F2AD00" w:rsidR="00F70286" w:rsidRDefault="00F70286" w:rsidP="00F70286">
      <w:pPr>
        <w:pStyle w:val="BodyText"/>
      </w:pPr>
      <w:r>
        <w:t xml:space="preserve">During the pandemic, measures to protect the health and wellbeing of staff and court and </w:t>
      </w:r>
      <w:r w:rsidR="00A10DBB">
        <w:t>Victorian Civil and Administrative Tribunal</w:t>
      </w:r>
      <w:r>
        <w:t xml:space="preserve"> users, and to play our part in avoiding the spread of the virus in the community, were implemented as our highest priority and adapted with the developing public health advice. In addition, the courts and </w:t>
      </w:r>
      <w:r w:rsidR="00A10DBB">
        <w:t>Victorian Civil and Administrative Tribunal</w:t>
      </w:r>
      <w:r>
        <w:t xml:space="preserve"> dramatically changed the way they operated during this time by moving from in-person to audio and video hearings, and digital document management. This enabled all jurisdictions to remain operational and continue to deliver justice. Our use of technology was not new, but the pandemic required a rapid and effective transition to online digital hearings on an unprecedented scale. This was achieved at pace. Its delivery was remarkable, demonstrating the power of technology and how critical it is to enable innovation and to improve service delivery.</w:t>
      </w:r>
    </w:p>
    <w:p w14:paraId="76D2021A" w14:textId="1B85F5D3" w:rsidR="00F70286" w:rsidRDefault="009B1462" w:rsidP="00F70286">
      <w:pPr>
        <w:pStyle w:val="BodyText"/>
      </w:pPr>
      <w:r>
        <w:t>Court Services Victoria</w:t>
      </w:r>
      <w:r w:rsidR="00F70286">
        <w:t xml:space="preserve"> currently supports seventy-five separate buildings in sixty-six locations across Victoria. Forty-one per cent of the buildings are over fifty years old and fifty per cent are single court rooms. Against that background, innovation and improved service delivery concepts have been used to frame the development of </w:t>
      </w:r>
      <w:r>
        <w:t>Court Services Victoria</w:t>
      </w:r>
      <w:r w:rsidR="00F70286">
        <w:t xml:space="preserve">’s second Strategic Asset Plan (SAP2). SAP2 began development in 2018 and will be finalised in late 2021. It is a significant body of work providing a framework that will aid Courts Council and </w:t>
      </w:r>
      <w:r>
        <w:t>Court Services Victoria</w:t>
      </w:r>
      <w:r w:rsidR="00F70286">
        <w:t xml:space="preserve"> in our endeavours to optimise our buildings for the use of technology, to simplify access to justice through integrated, user-centric solutions and to provide safer, suitable, people-centred venues. Notably, SAP2 will leverage lessons learned from how we supported the delivery of justice during coronavirus (COVID-19).</w:t>
      </w:r>
    </w:p>
    <w:p w14:paraId="7349B10C" w14:textId="3715B293" w:rsidR="00F70286" w:rsidRDefault="00F70286" w:rsidP="00F70286">
      <w:pPr>
        <w:pStyle w:val="BodyText"/>
      </w:pPr>
      <w:r>
        <w:t xml:space="preserve">The courts and </w:t>
      </w:r>
      <w:r w:rsidR="00A10DBB">
        <w:t>Victorian Civil and Administrative Tribunal</w:t>
      </w:r>
      <w:r>
        <w:t>, whether the physical court or hearing room or the digital space, are important public venues. They are where justice is delivered; workplaces for judicial officers, staff, lawyers and others; and they embody community values about justice and access to it.</w:t>
      </w:r>
    </w:p>
    <w:p w14:paraId="5F4F776C" w14:textId="5DDB6E56" w:rsidR="00F70286" w:rsidRDefault="009B1462" w:rsidP="00F70286">
      <w:pPr>
        <w:pStyle w:val="BodyText"/>
      </w:pPr>
      <w:r>
        <w:t>Court Services Victoria</w:t>
      </w:r>
      <w:r w:rsidR="00F70286">
        <w:t xml:space="preserve"> has put this philosophy into practice in the new court complex being built in Bendigo. Building designs have been finalised and operational planning has begun. The future Bendigo Law Court will be a distinctive civic presence, with a design that is strongly informed by the cultural imagery and knowledge of the </w:t>
      </w:r>
      <w:proofErr w:type="spellStart"/>
      <w:r w:rsidR="00F70286">
        <w:t>Dja</w:t>
      </w:r>
      <w:proofErr w:type="spellEnd"/>
      <w:r w:rsidR="00F70286">
        <w:t xml:space="preserve"> </w:t>
      </w:r>
      <w:proofErr w:type="spellStart"/>
      <w:r w:rsidR="00F70286">
        <w:t>Dja</w:t>
      </w:r>
      <w:proofErr w:type="spellEnd"/>
      <w:r w:rsidR="00F70286">
        <w:t xml:space="preserve"> Wurrung, the Traditional Owners of the land on which Bendigo is built. The court also takes design inspiration from the striking spires and towers of Bendigo’s skyline, reflective of Bendigo’s goldrush heritage.</w:t>
      </w:r>
    </w:p>
    <w:p w14:paraId="3749BA68" w14:textId="0BA31F86" w:rsidR="00F70286" w:rsidRDefault="00F70286" w:rsidP="00F70286">
      <w:pPr>
        <w:pStyle w:val="BodyText"/>
      </w:pPr>
      <w:r>
        <w:t xml:space="preserve">The Bendigo Law Courts development is embedding technology in its design to simplify access to justice through integrated, user-centric solutions. The Case Management System Project is also on track to deliver a modern integrated system for the Magistrates’ and Children’s Courts, and it embraces a similar design intent. Both are focussed on delivering a better experience for those who use our </w:t>
      </w:r>
      <w:proofErr w:type="gramStart"/>
      <w:r>
        <w:t>services, and</w:t>
      </w:r>
      <w:proofErr w:type="gramEnd"/>
      <w:r>
        <w:t xml:space="preserve"> using technology to work better and smarter. </w:t>
      </w:r>
      <w:r w:rsidR="009B1462">
        <w:t>Court Services Victoria</w:t>
      </w:r>
      <w:r>
        <w:t xml:space="preserve"> is building a modern system for administering justice.</w:t>
      </w:r>
    </w:p>
    <w:p w14:paraId="11349464" w14:textId="350B0D2C" w:rsidR="00F70286" w:rsidRDefault="00F70286" w:rsidP="00F70286">
      <w:pPr>
        <w:pStyle w:val="BodyText"/>
      </w:pPr>
      <w:r>
        <w:t xml:space="preserve">Substantial work was also undertaken during the year to develop a new Strategic Plan for </w:t>
      </w:r>
      <w:r w:rsidR="009B1462">
        <w:t>Court Services Victoria</w:t>
      </w:r>
      <w:r>
        <w:t xml:space="preserve">. While not completed during the reporting period, the Strategic Plan was approved by Courts Council in September 2020. It sets out our commitment that the courts and </w:t>
      </w:r>
      <w:r w:rsidR="00A10DBB">
        <w:t>Victorian Civil and Administrative Tribunal</w:t>
      </w:r>
      <w:r>
        <w:t xml:space="preserve">, supported by </w:t>
      </w:r>
      <w:r w:rsidR="009B1462">
        <w:t>Court Services Victoria</w:t>
      </w:r>
      <w:r>
        <w:t>, will continue to deliver justice effectively and efficiently, and pursue innovative approaches to justice into the future, supported by collaborative leadership and excellence in court administration.</w:t>
      </w:r>
    </w:p>
    <w:p w14:paraId="3A838079" w14:textId="54D2D7A0" w:rsidR="00F70286" w:rsidRDefault="00F70286" w:rsidP="00F70286">
      <w:pPr>
        <w:pStyle w:val="BodyText"/>
      </w:pPr>
      <w:r>
        <w:t xml:space="preserve">The plan connects the courts, </w:t>
      </w:r>
      <w:r w:rsidR="00A10DBB">
        <w:t>Victorian Civil and Administrative Tribunal</w:t>
      </w:r>
      <w:r>
        <w:t xml:space="preserve"> and </w:t>
      </w:r>
      <w:r w:rsidR="009B1462">
        <w:t>Court Services Victoria</w:t>
      </w:r>
      <w:r>
        <w:t xml:space="preserve"> though a Courts Group framework, while recognising and continuing to maintain the independence of each. It is in many ways an integrated strategic plan for Victoria’s courts, tribunals and </w:t>
      </w:r>
      <w:r w:rsidR="009B1462">
        <w:t>Court Services Victoria</w:t>
      </w:r>
      <w:r>
        <w:t>. In the main, it was developed during the peak of the pandemic. It is informed by the effective collaboration of the Courts’ Group and unity of purpose that was even more important during that time.</w:t>
      </w:r>
    </w:p>
    <w:p w14:paraId="4FB268DA" w14:textId="3EF184AA" w:rsidR="00F70286" w:rsidRDefault="00F70286" w:rsidP="00F70286">
      <w:pPr>
        <w:pStyle w:val="BodyText"/>
      </w:pPr>
      <w:r>
        <w:t xml:space="preserve">I’m pleased that this Annual Report is being published alongside the </w:t>
      </w:r>
      <w:r w:rsidR="009B1462">
        <w:t>Court Services Victoria</w:t>
      </w:r>
      <w:r>
        <w:t xml:space="preserve"> Strategic Plan 20202025, as both set out a clear pathway for </w:t>
      </w:r>
      <w:r w:rsidR="009B1462">
        <w:t>Court Services Victoria</w:t>
      </w:r>
      <w:r>
        <w:t xml:space="preserve"> over the coming months and years.</w:t>
      </w:r>
    </w:p>
    <w:p w14:paraId="0C6D14EC" w14:textId="49D52C81" w:rsidR="009A06C1" w:rsidRDefault="009A06C1" w:rsidP="009A06C1">
      <w:pPr>
        <w:pStyle w:val="Heading2"/>
      </w:pPr>
      <w:bookmarkStart w:id="3" w:name="_Toc62808023"/>
      <w:r>
        <w:t>Acknowledgements</w:t>
      </w:r>
      <w:bookmarkEnd w:id="3"/>
    </w:p>
    <w:p w14:paraId="22FB941C" w14:textId="748C26FB" w:rsidR="009A06C1" w:rsidRDefault="009A06C1" w:rsidP="009A06C1">
      <w:pPr>
        <w:pStyle w:val="BodyText"/>
      </w:pPr>
      <w:r>
        <w:t>Our Chief Executive Officer, Louise Anderson, has provided outstanding support to Courts Council during the past year. She has demonstrated excellent leadership in her role as CEO.</w:t>
      </w:r>
    </w:p>
    <w:p w14:paraId="51CC0278" w14:textId="1C6C1169" w:rsidR="009A06C1" w:rsidRDefault="009A06C1" w:rsidP="009A06C1">
      <w:pPr>
        <w:pStyle w:val="BodyText"/>
      </w:pPr>
      <w:r>
        <w:t xml:space="preserve">In this most challenging of years, the </w:t>
      </w:r>
      <w:r w:rsidR="009B1462">
        <w:t>Court Services Victoria</w:t>
      </w:r>
      <w:r>
        <w:t xml:space="preserve"> executive group and staff have demonstrated continued commitment and support to Victoria’s courts, </w:t>
      </w:r>
      <w:r w:rsidR="00A10DBB">
        <w:t>Victorian Civil and Administrative Tribunal</w:t>
      </w:r>
      <w:r>
        <w:t>, the Judicial College and the Judicial Commission. I thank them for their extraordinary efforts and dedication in the past year.</w:t>
      </w:r>
    </w:p>
    <w:p w14:paraId="386D9C44" w14:textId="77777777" w:rsidR="009A06C1" w:rsidRDefault="009A06C1" w:rsidP="009A06C1">
      <w:pPr>
        <w:pStyle w:val="BodyText"/>
      </w:pPr>
      <w:r>
        <w:t>I also extend my thanks to all Portfolio Committee members. Courts Council is extremely grateful for your contribution to the delivery of quality and accessible justice across our community.</w:t>
      </w:r>
    </w:p>
    <w:p w14:paraId="301DDDE5" w14:textId="0C40EB3C" w:rsidR="009A06C1" w:rsidRDefault="009A06C1" w:rsidP="009A06C1">
      <w:pPr>
        <w:pStyle w:val="BodyText"/>
      </w:pPr>
      <w:r>
        <w:t>I would also like to welcome to Courts Council, Judge Lisa Hannan and Judge John Cain, and thank outgoing members Judge Peter Lauritsen and Acting State Coroner Caitlin English for their commitment to our work. My thanks go to all Council members for their diligence, enthusiasm and foresight. It is my great pleasure to work with them.</w:t>
      </w:r>
    </w:p>
    <w:p w14:paraId="04D66E1D" w14:textId="77777777" w:rsidR="009A06C1" w:rsidRDefault="009A06C1" w:rsidP="009A06C1">
      <w:pPr>
        <w:pStyle w:val="NoSpacing"/>
      </w:pPr>
      <w:r>
        <w:t>The Honourable Anne Ferguson</w:t>
      </w:r>
    </w:p>
    <w:p w14:paraId="314B12CC" w14:textId="1C454BD8" w:rsidR="009A06C1" w:rsidRDefault="009A06C1" w:rsidP="009A06C1">
      <w:pPr>
        <w:pStyle w:val="NoSpacing"/>
      </w:pPr>
      <w:r>
        <w:t>Chief Justice of the Supreme Court of Victoria</w:t>
      </w:r>
    </w:p>
    <w:p w14:paraId="64FCBC0D" w14:textId="3FAC0B24" w:rsidR="00F70286" w:rsidRDefault="009A06C1" w:rsidP="009A06C1">
      <w:pPr>
        <w:pStyle w:val="NoSpacing"/>
      </w:pPr>
      <w:r>
        <w:t>Chair of the Courts Council</w:t>
      </w:r>
    </w:p>
    <w:p w14:paraId="7CA3AAAA" w14:textId="25A8DF66" w:rsidR="004B6BAC" w:rsidRPr="007A0D86" w:rsidRDefault="004F5399" w:rsidP="001B4ACB">
      <w:pPr>
        <w:pStyle w:val="Heading1"/>
        <w:spacing w:after="120"/>
      </w:pPr>
      <w:bookmarkStart w:id="4" w:name="_Toc62808024"/>
      <w:r>
        <w:t>Message f</w:t>
      </w:r>
      <w:r w:rsidR="004B6BAC" w:rsidRPr="007A0D86">
        <w:t xml:space="preserve">rom </w:t>
      </w:r>
      <w:r w:rsidR="00E952AB">
        <w:t>the</w:t>
      </w:r>
      <w:r w:rsidR="004B6BAC" w:rsidRPr="007A0D86">
        <w:t xml:space="preserve"> </w:t>
      </w:r>
      <w:r w:rsidR="00E57EEE">
        <w:t>Chief Executive Officer</w:t>
      </w:r>
      <w:bookmarkEnd w:id="4"/>
    </w:p>
    <w:p w14:paraId="75BF0CF4" w14:textId="0A357CB7" w:rsidR="00BA2BD9" w:rsidRDefault="00BA2BD9" w:rsidP="00891899">
      <w:pPr>
        <w:pStyle w:val="BodyText"/>
        <w:spacing w:before="120" w:after="120" w:line="260" w:lineRule="atLeast"/>
      </w:pPr>
      <w:r>
        <w:t>Courts Services Victoria’s Annual Report for 2019-20 is an integral part of our accountability to government, the Victorian Courts Group and the Victorian community. It sets out our achievements, performance information, strategic outlook, financial position, and provides information on our workforce and responsibilities as an employer.</w:t>
      </w:r>
    </w:p>
    <w:p w14:paraId="5BB9C18C" w14:textId="77A0D72D" w:rsidR="00BA2BD9" w:rsidRDefault="009B1462" w:rsidP="00891899">
      <w:pPr>
        <w:pStyle w:val="BodyText"/>
        <w:spacing w:before="120" w:after="120" w:line="260" w:lineRule="atLeast"/>
      </w:pPr>
      <w:r>
        <w:t>Court Services Victoria</w:t>
      </w:r>
      <w:r w:rsidR="00BA2BD9">
        <w:t xml:space="preserve"> comprises more than 2,200 people within the Courts Group and the administrative and corporate centre, who together support the Victorian courts and </w:t>
      </w:r>
      <w:r w:rsidR="00A10DBB">
        <w:t>Victorian Civil and Administrative Tribunal</w:t>
      </w:r>
      <w:r w:rsidR="00BA2BD9">
        <w:t xml:space="preserve"> to deliver justice to the Victorian community. Its ability to do this was tested significantly during the latter part of the reporting period with the declaration of a global pandemic in March 2020. There were challenges, many unprecedented, and important lessons learnt, but the strategic investments, strengthened governance and capability and confidence to be an agile service provider, positioned </w:t>
      </w:r>
      <w:r>
        <w:t>Court Services Victoria</w:t>
      </w:r>
      <w:r w:rsidR="00BA2BD9">
        <w:t xml:space="preserve"> well.</w:t>
      </w:r>
    </w:p>
    <w:p w14:paraId="13087551" w14:textId="7593FBCF" w:rsidR="00BA2BD9" w:rsidRDefault="00BA2BD9" w:rsidP="00891899">
      <w:pPr>
        <w:pStyle w:val="BodyText"/>
        <w:spacing w:before="120" w:after="120" w:line="260" w:lineRule="atLeast"/>
      </w:pPr>
      <w:r>
        <w:t xml:space="preserve">This Annual Report sets out how </w:t>
      </w:r>
      <w:r w:rsidR="009B1462">
        <w:t>Court Services Victoria</w:t>
      </w:r>
      <w:r>
        <w:t xml:space="preserve"> is advancing to implement smarter, more efficient ways of working to improve the delivery of shared services. It emphasises our clear and overriding objective to support the independence of the courts and </w:t>
      </w:r>
      <w:r w:rsidR="00A10DBB">
        <w:t>Victorian Civil and Administrative Tribunal</w:t>
      </w:r>
      <w:r>
        <w:t>, through effective financial management, innovative use of technology, and forward-looking strategic leadership at all levels.</w:t>
      </w:r>
    </w:p>
    <w:p w14:paraId="0255B7EC" w14:textId="77777777" w:rsidR="00BA2BD9" w:rsidRDefault="00BA2BD9" w:rsidP="00891899">
      <w:pPr>
        <w:pStyle w:val="BodyText"/>
        <w:spacing w:before="120" w:after="120" w:line="260" w:lineRule="atLeast"/>
      </w:pPr>
      <w:r>
        <w:t xml:space="preserve">The financial year that has passed has confirmed the importance of leadership, of values and of culture. The Courts Executive was established during the reporting period and delivered effective and agile governance, coming to the fore during coronavirus (COVID-19). With my executive colleagues, we rapidly implemented technology across the Courts Group to support remote delivery of </w:t>
      </w:r>
      <w:proofErr w:type="gramStart"/>
      <w:r>
        <w:t>justice, and</w:t>
      </w:r>
      <w:proofErr w:type="gramEnd"/>
      <w:r>
        <w:t xml:space="preserve"> put in place wellbeing initiatives to support the health and productivity of an almost 100 per cent remote workforce. We swiftly transitioned to operate effectively in the pandemic.</w:t>
      </w:r>
    </w:p>
    <w:p w14:paraId="7BDC2D39" w14:textId="24989521" w:rsidR="00BA2BD9" w:rsidRDefault="00BA2BD9" w:rsidP="00891899">
      <w:pPr>
        <w:pStyle w:val="BodyText"/>
        <w:spacing w:before="120" w:after="120" w:line="260" w:lineRule="atLeast"/>
      </w:pPr>
      <w:r>
        <w:t xml:space="preserve">It was also a year that put into sharp focus the need to develop true partnerships – whether working with government on how best to support the administration of justice in Victoria, or </w:t>
      </w:r>
      <w:r w:rsidR="009B1462">
        <w:t>Court Services Victoria</w:t>
      </w:r>
      <w:r>
        <w:t xml:space="preserve"> and the jurisdictions coming together as the Courts Executive to demonstrate collective leadership in respect of strategic planning, reviewing service delivery, exchanging knowledge, and promoting sustainability of operations. </w:t>
      </w:r>
    </w:p>
    <w:p w14:paraId="157ECB42" w14:textId="61BE98DD" w:rsidR="00BA2BD9" w:rsidRDefault="00BA2BD9" w:rsidP="00891899">
      <w:pPr>
        <w:pStyle w:val="BodyText"/>
        <w:spacing w:before="120" w:after="120" w:line="260" w:lineRule="atLeast"/>
      </w:pPr>
      <w:r>
        <w:t xml:space="preserve">Over the reporting period I welcomed new members of the executive and farewelled others, and I thank all who supported the work of </w:t>
      </w:r>
      <w:r w:rsidR="009B1462">
        <w:t>Court Services Victoria</w:t>
      </w:r>
      <w:r>
        <w:t xml:space="preserve"> throughout this time. The professionalism and ‘can do’ attitude of all executives, along with their capable and dedicated staff, places </w:t>
      </w:r>
      <w:r w:rsidR="009B1462">
        <w:t>Court Services Victoria</w:t>
      </w:r>
      <w:r>
        <w:t xml:space="preserve"> in a strong position to continue to deliver value to the Courts Group over coming years.</w:t>
      </w:r>
    </w:p>
    <w:p w14:paraId="0ED1BFC9" w14:textId="2CDEF15D" w:rsidR="00BA2BD9" w:rsidRDefault="00BA2BD9" w:rsidP="00891899">
      <w:pPr>
        <w:pStyle w:val="BodyText"/>
        <w:spacing w:before="120" w:after="120" w:line="260" w:lineRule="atLeast"/>
      </w:pPr>
      <w:r>
        <w:t xml:space="preserve">This is only made stronger by considered and strategic stewardship of the Chief Justice, the Honourable Anne Ferguson, and Courts Council. I look forward to supporting Courts Council and leading </w:t>
      </w:r>
      <w:r w:rsidR="009B1462">
        <w:t>Court Services Victoria</w:t>
      </w:r>
      <w:r>
        <w:t xml:space="preserve"> in 2021 to embed what we have learnt, and continue to build a safe, respectful and highly effective culture.</w:t>
      </w:r>
    </w:p>
    <w:p w14:paraId="5463911A" w14:textId="13A52EED" w:rsidR="00BA2BD9" w:rsidRDefault="00BA2BD9" w:rsidP="00891899">
      <w:pPr>
        <w:pStyle w:val="NoSpacing"/>
        <w:spacing w:before="120" w:after="120" w:line="260" w:lineRule="atLeast"/>
      </w:pPr>
      <w:r>
        <w:t>Louise Anderson</w:t>
      </w:r>
    </w:p>
    <w:p w14:paraId="1ECFE127" w14:textId="0AC262CF" w:rsidR="00BA2BD9" w:rsidRDefault="00BA2BD9" w:rsidP="00891899">
      <w:pPr>
        <w:pStyle w:val="NoSpacing"/>
        <w:spacing w:before="120" w:after="120" w:line="260" w:lineRule="atLeast"/>
      </w:pPr>
      <w:r>
        <w:t>Chief Executive Officer</w:t>
      </w:r>
    </w:p>
    <w:p w14:paraId="3BB049EA" w14:textId="59C46040" w:rsidR="00BA2BD9" w:rsidRDefault="00BA2BD9" w:rsidP="001B4ACB">
      <w:pPr>
        <w:pStyle w:val="PullOutBoxBodyText"/>
      </w:pPr>
      <w:r>
        <w:t xml:space="preserve">“This Annual Report sets out how </w:t>
      </w:r>
      <w:r w:rsidR="009B1462">
        <w:t>Court Services Victoria</w:t>
      </w:r>
      <w:r>
        <w:t xml:space="preserve"> is advancing to implement smarter, more efficient ways of working to improve the delivery of shared services. It emphasises our clear and overriding objective to support the independence of the courts and </w:t>
      </w:r>
      <w:r w:rsidR="00A10DBB">
        <w:t>Victorian Civil and Administrative Tribunal</w:t>
      </w:r>
      <w:r>
        <w:t>, through effective financial management, innovative use of technology, and forward-looking strategic leadership at all levels.”</w:t>
      </w:r>
    </w:p>
    <w:p w14:paraId="49A54AB0" w14:textId="77777777" w:rsidR="004B6BAC" w:rsidRPr="007A0D86" w:rsidRDefault="004B6BAC" w:rsidP="005A746E">
      <w:pPr>
        <w:pStyle w:val="Heading1"/>
      </w:pPr>
      <w:bookmarkStart w:id="5" w:name="_Toc62808025"/>
      <w:r w:rsidRPr="007A0D86">
        <w:t>Section 1: Governance and Organisational Structure</w:t>
      </w:r>
      <w:bookmarkEnd w:id="5"/>
    </w:p>
    <w:p w14:paraId="456C0C70" w14:textId="2E6D4732" w:rsidR="00E952AB" w:rsidRDefault="004B6BAC" w:rsidP="004B6BAC">
      <w:pPr>
        <w:pStyle w:val="Heading2"/>
      </w:pPr>
      <w:bookmarkStart w:id="6" w:name="_Ref22639603"/>
      <w:bookmarkStart w:id="7" w:name="_Toc62808026"/>
      <w:r w:rsidRPr="007A0D86">
        <w:t>About Court Services Victoria</w:t>
      </w:r>
      <w:bookmarkEnd w:id="6"/>
      <w:bookmarkEnd w:id="7"/>
    </w:p>
    <w:p w14:paraId="6B3EA99D" w14:textId="6A9EE76B" w:rsidR="00565013" w:rsidRDefault="00565013" w:rsidP="00565013">
      <w:pPr>
        <w:pStyle w:val="BodyText"/>
      </w:pPr>
      <w:r>
        <w:t xml:space="preserve">Court Services Victoria (CSV) was established under the </w:t>
      </w:r>
      <w:r w:rsidRPr="004B782F">
        <w:rPr>
          <w:rStyle w:val="Italics"/>
        </w:rPr>
        <w:t>Court Services Victoria Act (2014)</w:t>
      </w:r>
      <w:r>
        <w:t xml:space="preserve"> on 1 July 2014. The object of the </w:t>
      </w:r>
      <w:r w:rsidR="009B1462">
        <w:t>Court Services Victoria</w:t>
      </w:r>
      <w:r>
        <w:t xml:space="preserve"> Act is to ‘support judicial independence in the administration of justice in Victoria’. The function of </w:t>
      </w:r>
      <w:r w:rsidR="009B1462">
        <w:t>Court Services Victoria</w:t>
      </w:r>
      <w:r>
        <w:t xml:space="preserve"> is to provide the administrative services and facilities necessary or desirable to support the jurisdictions.</w:t>
      </w:r>
    </w:p>
    <w:p w14:paraId="315102C9" w14:textId="232C5AFE" w:rsidR="00565013" w:rsidRDefault="00565013" w:rsidP="00565013">
      <w:pPr>
        <w:pStyle w:val="BodyText"/>
      </w:pPr>
      <w:r>
        <w:t xml:space="preserve">Victoria’s Supreme, County, Magistrates’, Children’s and Coroners courts, the Victorian Civil and Administrative Tribunal (VCAT), the Judicial College of Victoria (College) and the Judicial Commission of Victoria (Commission), and </w:t>
      </w:r>
      <w:r w:rsidR="009B1462">
        <w:t>Court Services Victoria</w:t>
      </w:r>
      <w:r>
        <w:t xml:space="preserve"> are referred to in this Annual Report as the ‘Courts Group’.</w:t>
      </w:r>
    </w:p>
    <w:p w14:paraId="3D0F3E69" w14:textId="09918440" w:rsidR="00565013" w:rsidRDefault="00565013" w:rsidP="00565013">
      <w:pPr>
        <w:pStyle w:val="BodyText"/>
      </w:pPr>
      <w:r>
        <w:t xml:space="preserve">The Courts Group essentially constitutes the judicial branch of Victoria’s system of democratic government. Courts Council is the governing body of </w:t>
      </w:r>
      <w:r w:rsidR="009B1462">
        <w:t>Court Services Victoria</w:t>
      </w:r>
      <w:r>
        <w:t xml:space="preserve"> – it directs strategy, governance and risk management – and it is the foremost decision-making body of the Courts Group. With these arrangements in place, Victoria has a self-administered courts system.</w:t>
      </w:r>
    </w:p>
    <w:p w14:paraId="4820D07B" w14:textId="304B27B9" w:rsidR="00565013" w:rsidRDefault="00565013" w:rsidP="00565013">
      <w:pPr>
        <w:pStyle w:val="BodyText"/>
      </w:pPr>
      <w:r>
        <w:t xml:space="preserve">In performing its functions, </w:t>
      </w:r>
      <w:r w:rsidR="009B1462">
        <w:t>Court Services Victoria</w:t>
      </w:r>
      <w:r>
        <w:t xml:space="preserve"> serves the Victorian community through the efficient and effective delivery of court and tribunal services, thereby supporting Victoria’s system of responsible government and the rule of law.</w:t>
      </w:r>
    </w:p>
    <w:p w14:paraId="5DD9E8AC" w14:textId="5D8E0B35" w:rsidR="00565013" w:rsidRDefault="00565013" w:rsidP="00565013">
      <w:pPr>
        <w:pStyle w:val="BodyText"/>
      </w:pPr>
      <w:r>
        <w:t xml:space="preserve">The substantive work of the courts, </w:t>
      </w:r>
      <w:r w:rsidR="00A10DBB">
        <w:t>Victorian Civil and Administrative Tribunal</w:t>
      </w:r>
      <w:r>
        <w:t>, College, and Commission is available in the separate Annual Report of each entity.</w:t>
      </w:r>
    </w:p>
    <w:p w14:paraId="78213B57" w14:textId="74339D2C" w:rsidR="00565013" w:rsidRDefault="00565013" w:rsidP="00565013">
      <w:pPr>
        <w:pStyle w:val="Heading3"/>
      </w:pPr>
      <w:bookmarkStart w:id="8" w:name="_Ref61894339"/>
      <w:bookmarkStart w:id="9" w:name="_Toc62808027"/>
      <w:r>
        <w:t>Establishment and Ministerial Powers</w:t>
      </w:r>
      <w:bookmarkEnd w:id="8"/>
      <w:bookmarkEnd w:id="9"/>
    </w:p>
    <w:p w14:paraId="030C1237" w14:textId="2685DF75" w:rsidR="00565013" w:rsidRDefault="00565013" w:rsidP="00565013">
      <w:pPr>
        <w:pStyle w:val="BodyText"/>
      </w:pPr>
      <w:r>
        <w:t xml:space="preserve">The Courts Council appoints the Chief Executive Officer </w:t>
      </w:r>
      <w:r w:rsidR="009B1462">
        <w:t>Court Services Victoria</w:t>
      </w:r>
      <w:r>
        <w:t xml:space="preserve"> to lead the functions of </w:t>
      </w:r>
      <w:r w:rsidR="009B1462">
        <w:t>Court Services Victoria</w:t>
      </w:r>
      <w:r>
        <w:t xml:space="preserve"> consistent with the governance, strategy, plans, procedures and policies of the Courts Council. The Chief Executive Officer </w:t>
      </w:r>
      <w:r w:rsidR="009B1462">
        <w:t>Court Services Victoria</w:t>
      </w:r>
      <w:r>
        <w:t xml:space="preserve"> is the accountable officer under Section 42 of the </w:t>
      </w:r>
      <w:r w:rsidRPr="004B782F">
        <w:rPr>
          <w:rStyle w:val="Italics"/>
        </w:rPr>
        <w:t>Financial Management</w:t>
      </w:r>
      <w:r w:rsidR="00AA2905" w:rsidRPr="004B782F">
        <w:rPr>
          <w:rStyle w:val="Italics"/>
        </w:rPr>
        <w:t xml:space="preserve"> </w:t>
      </w:r>
      <w:r w:rsidRPr="004B782F">
        <w:rPr>
          <w:rStyle w:val="Italics"/>
        </w:rPr>
        <w:t>Act 1994</w:t>
      </w:r>
      <w:r>
        <w:t xml:space="preserve"> responsible for financial management compliance, planning and reporting of </w:t>
      </w:r>
      <w:r w:rsidR="009B1462">
        <w:t>Court Services Victoria</w:t>
      </w:r>
      <w:r>
        <w:t xml:space="preserve">. The Chief Executive Officer </w:t>
      </w:r>
      <w:r w:rsidR="009B1462">
        <w:t>Court Services Victoria</w:t>
      </w:r>
      <w:r>
        <w:t xml:space="preserve"> also has the rights, powers and authorities of a public service body head, on behalf of the Crown, for employees of </w:t>
      </w:r>
      <w:r w:rsidR="009B1462">
        <w:t>Court Services Victoria</w:t>
      </w:r>
      <w:r>
        <w:t xml:space="preserve">. The Chief Executive Officer </w:t>
      </w:r>
      <w:r w:rsidR="009B1462">
        <w:t>Court Services Victoria</w:t>
      </w:r>
      <w:r>
        <w:t xml:space="preserve"> is the employer of all staff members within the Courts Group.</w:t>
      </w:r>
    </w:p>
    <w:p w14:paraId="2A9A0C6D" w14:textId="1048E22D" w:rsidR="00565013" w:rsidRDefault="00565013" w:rsidP="00565013">
      <w:pPr>
        <w:pStyle w:val="BodyText"/>
      </w:pPr>
      <w:r>
        <w:t xml:space="preserve">The Courts Council on the nomination of the relevant head of jurisdiction appoints Chief Executive Officers for each court and </w:t>
      </w:r>
      <w:r w:rsidR="00A10DBB">
        <w:t>Victorian Civil and Administrative Tribunal</w:t>
      </w:r>
      <w:r>
        <w:t>. Chief Executive Officers ensure that appropriate supports are provided to their jurisdictions and are responsible directly to their Head of Jurisdiction in relation to those operations.</w:t>
      </w:r>
    </w:p>
    <w:p w14:paraId="69D869B9" w14:textId="6BD68501" w:rsidR="00565013" w:rsidRDefault="00565013" w:rsidP="00565013">
      <w:pPr>
        <w:pStyle w:val="BodyText"/>
      </w:pPr>
      <w:r>
        <w:t xml:space="preserve">The jurisdiction Chief Executive Officers exercise delegated authority necessary to assist the Head of Jurisdiction in the administration of the jurisdiction, and to support the effective and efficient operations of </w:t>
      </w:r>
      <w:r w:rsidR="009B1462">
        <w:t>Court Services Victoria</w:t>
      </w:r>
      <w:r>
        <w:t>.</w:t>
      </w:r>
    </w:p>
    <w:p w14:paraId="12EF2AF1" w14:textId="24D1799A" w:rsidR="00AA2905" w:rsidRDefault="00AA2905" w:rsidP="00AA2905">
      <w:pPr>
        <w:pStyle w:val="BodyText"/>
      </w:pPr>
      <w:r>
        <w:t xml:space="preserve">The Chief Executive Officer of the Judicial College and the Director of the Judicial Commission are appointed by the </w:t>
      </w:r>
      <w:r w:rsidR="009B1462">
        <w:t>Court Services Victoria</w:t>
      </w:r>
      <w:r>
        <w:t xml:space="preserve"> Chief Executive Officer, pursuant to nomination by the respective Boards of the College and the Commission.</w:t>
      </w:r>
    </w:p>
    <w:p w14:paraId="7DC8C8AF" w14:textId="510F91EA" w:rsidR="00AA2905" w:rsidRDefault="009B1462" w:rsidP="00AA2905">
      <w:pPr>
        <w:pStyle w:val="BodyText"/>
      </w:pPr>
      <w:r>
        <w:t>Court Services Victoria</w:t>
      </w:r>
      <w:r w:rsidR="00AA2905">
        <w:t xml:space="preserve"> receives a direct appropriation from the parliament to enable it to carry out its functions and manage its own budget. The </w:t>
      </w:r>
      <w:r>
        <w:t>Court Services Victoria</w:t>
      </w:r>
      <w:r w:rsidR="00AA2905">
        <w:t xml:space="preserve"> Chief Executive Officer is the Accountable Officer for the Courts’ appropriation, and the Courts Council is the Responsible Body.</w:t>
      </w:r>
    </w:p>
    <w:p w14:paraId="392CCD28" w14:textId="68E24529" w:rsidR="00AA2905" w:rsidRDefault="009B1462" w:rsidP="00AA2905">
      <w:pPr>
        <w:pStyle w:val="BodyText"/>
      </w:pPr>
      <w:r>
        <w:t>Court Services Victoria</w:t>
      </w:r>
      <w:r w:rsidR="00AA2905">
        <w:t xml:space="preserve"> has accountabilities to both the parliament and the executive for the way in which it carries out its operations within its allocated budget.</w:t>
      </w:r>
    </w:p>
    <w:p w14:paraId="36A00F70" w14:textId="00AAECE6" w:rsidR="00565013" w:rsidRDefault="00AA2905" w:rsidP="00AA2905">
      <w:pPr>
        <w:pStyle w:val="BodyText"/>
      </w:pPr>
      <w:r>
        <w:t xml:space="preserve">The Attorney-General is the relevant Victorian Minister with portfolio responsibility for </w:t>
      </w:r>
      <w:r w:rsidR="009B1462">
        <w:t>Court Services Victoria</w:t>
      </w:r>
      <w:r>
        <w:t xml:space="preserve">. The Attorney-General’s statutory powers with respect to </w:t>
      </w:r>
      <w:r w:rsidR="009B1462">
        <w:t>Court Services Victoria</w:t>
      </w:r>
      <w:r>
        <w:t xml:space="preserve"> are budget approval, agreement to allocation statements, and recommending the vesting of Crown Land to </w:t>
      </w:r>
      <w:r w:rsidR="009B1462">
        <w:t>Court Services Victoria</w:t>
      </w:r>
      <w:r>
        <w:t>.</w:t>
      </w:r>
    </w:p>
    <w:p w14:paraId="55B163C7" w14:textId="587933D5" w:rsidR="004B6BAC" w:rsidRDefault="004B6BAC" w:rsidP="004B6BAC">
      <w:pPr>
        <w:pStyle w:val="Heading3"/>
      </w:pPr>
      <w:bookmarkStart w:id="10" w:name="_Ref22639729"/>
      <w:bookmarkStart w:id="11" w:name="_Toc62808028"/>
      <w:r w:rsidRPr="003D2FF4">
        <w:t>Governance Structure</w:t>
      </w:r>
      <w:bookmarkEnd w:id="10"/>
      <w:bookmarkEnd w:id="11"/>
    </w:p>
    <w:p w14:paraId="1DFFB39A" w14:textId="5F64D41E" w:rsidR="005F67D1" w:rsidRPr="004B782F" w:rsidRDefault="004B782F" w:rsidP="004B782F">
      <w:r>
        <w:rPr>
          <w:noProof/>
        </w:rPr>
        <w:drawing>
          <wp:inline distT="0" distB="0" distL="0" distR="0" wp14:anchorId="3A2A5E9D" wp14:editId="3D53FFFF">
            <wp:extent cx="5400000" cy="5817600"/>
            <wp:effectExtent l="0" t="0" r="0" b="0"/>
            <wp:docPr id="3" name="Picture 3" descr="A diagram showing the Governance structure. Reporting directly to the Courts Council is the Audit and Risk Portfolio Committee; Strategic Planning, Infrastructure and Services Portfolio Committee; Finance Portfolio Committee; and the Human Resources Portfolio Committee. Reporting to these four committees is the Information Technology Portfolio Committee; Courts Koori Portfolio Committee;  and the Executive Remuneration Committee. Also reporting directly to the Courts Council is the CSV Chief Executive Officer. Reporting to the CSV Chief Executive Officer is the Court, VCAT and College CEO's, and Commission Director, and reporting to this position is the Board of the Judicial Commission of Victoria; Board of the Judicial College of Victoria; and the Heads of Jurisdictions. The following positions also report directly to the CSV Chief Executive Officer: Chief Operating Officer; Finance and Governance - Chief Corporate Officer; Performance and Planning - Director; and Major Projects - Director. The following positions report to the Chief Operating Officer: Assets Planning and Management - Executive Director; Information Technology Services - Chief Information Officer; and People and Culture - 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showing the Governance structure. Reporting directly to the Courts Council is the Audit and Risk Portfolio Committee; Strategic Planning, Infrastructure and Services Portfolio Committee; Finance Portfolio Committee; and the Human Resources Portfolio Committee. Reporting to these four committees is the Information Technology Portfolio Committee; Courts Koori Portfolio Committee;  and the Executive Remuneration Committee. Also reporting directly to the Courts Council is the CSV Chief Executive Officer. Reporting to the CSV Chief Executive Officer is the Court, VCAT and College CEO's, and Commission Director, and reporting to this position is the Board of the Judicial Commission of Victoria; Board of the Judicial College of Victoria; and the Heads of Jurisdictions. The following positions also report directly to the CSV Chief Executive Officer: Chief Operating Officer; Finance and Governance - Chief Corporate Officer; Performance and Planning - Director; and Major Projects - Director. The following positions report to the Chief Operating Officer: Assets Planning and Management - Executive Director; Information Technology Services - Chief Information Officer; and People and Culture - Executive Directo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0" cy="5817600"/>
                    </a:xfrm>
                    <a:prstGeom prst="rect">
                      <a:avLst/>
                    </a:prstGeom>
                  </pic:spPr>
                </pic:pic>
              </a:graphicData>
            </a:graphic>
          </wp:inline>
        </w:drawing>
      </w:r>
    </w:p>
    <w:p w14:paraId="5D123A90" w14:textId="77777777" w:rsidR="004B6BAC" w:rsidRPr="007A0D86" w:rsidRDefault="004B6BAC" w:rsidP="004B6BAC">
      <w:pPr>
        <w:pStyle w:val="Heading2"/>
      </w:pPr>
      <w:bookmarkStart w:id="12" w:name="_Toc62808029"/>
      <w:r w:rsidRPr="007A0D86">
        <w:t>Governing Body</w:t>
      </w:r>
      <w:bookmarkEnd w:id="12"/>
    </w:p>
    <w:p w14:paraId="4DD24A27" w14:textId="77777777" w:rsidR="00E952AB" w:rsidRDefault="004B6BAC" w:rsidP="004B6BAC">
      <w:pPr>
        <w:pStyle w:val="Heading3"/>
      </w:pPr>
      <w:bookmarkStart w:id="13" w:name="_Toc62808030"/>
      <w:r w:rsidRPr="007A0D86">
        <w:t>Courts Council</w:t>
      </w:r>
      <w:bookmarkEnd w:id="13"/>
    </w:p>
    <w:p w14:paraId="020A95CA" w14:textId="468BE95F" w:rsidR="00B71535" w:rsidRDefault="00B71535" w:rsidP="00B71535">
      <w:pPr>
        <w:pStyle w:val="BodyText"/>
      </w:pPr>
      <w:r>
        <w:t xml:space="preserve">The </w:t>
      </w:r>
      <w:r w:rsidR="009B1462">
        <w:t>Court Services Victoria</w:t>
      </w:r>
      <w:r>
        <w:t xml:space="preserve"> governing body is the Courts Council. It is chaired by the Chief Justice of the Supreme Court of Victoria and consists of the six Heads of Jurisdiction and up to two non-judicial members appointed by the Heads of Jurisdiction. As </w:t>
      </w:r>
      <w:proofErr w:type="gramStart"/>
      <w:r>
        <w:t>at</w:t>
      </w:r>
      <w:proofErr w:type="gramEnd"/>
      <w:r>
        <w:t xml:space="preserve"> 30 June 2020, the Courts Council had one non-judicial appointed member.</w:t>
      </w:r>
    </w:p>
    <w:p w14:paraId="5F9E170D" w14:textId="4C1EB538" w:rsidR="00B71535" w:rsidRDefault="00B71535" w:rsidP="00B71535">
      <w:pPr>
        <w:pStyle w:val="BodyText"/>
      </w:pPr>
      <w:r>
        <w:t xml:space="preserve">The Courts Council is responsible for the general direction and superintendence of </w:t>
      </w:r>
      <w:r w:rsidR="009B1462">
        <w:t>Court Services Victoria</w:t>
      </w:r>
      <w:r>
        <w:t xml:space="preserve"> </w:t>
      </w:r>
      <w:proofErr w:type="gramStart"/>
      <w:r>
        <w:t>and,</w:t>
      </w:r>
      <w:proofErr w:type="gramEnd"/>
      <w:r>
        <w:t xml:space="preserve"> subject to the </w:t>
      </w:r>
      <w:r w:rsidR="009B1462">
        <w:t>Court Services Victoria</w:t>
      </w:r>
      <w:r>
        <w:t xml:space="preserve"> Act, may perform the functions and exercise the powers of </w:t>
      </w:r>
      <w:r w:rsidR="009B1462">
        <w:t>Court Services Victoria</w:t>
      </w:r>
      <w:r>
        <w:t>. In addition, the Courts Council has the following functions and powers.</w:t>
      </w:r>
    </w:p>
    <w:p w14:paraId="548650BC" w14:textId="13802277" w:rsidR="00B71535" w:rsidRDefault="00B71535" w:rsidP="00970B28">
      <w:pPr>
        <w:pStyle w:val="ListBullet"/>
      </w:pPr>
      <w:r>
        <w:t xml:space="preserve">To direct the strategy, governance and risk management of </w:t>
      </w:r>
      <w:r w:rsidR="009B1462">
        <w:t>Court Services Victoria</w:t>
      </w:r>
      <w:r>
        <w:t>.</w:t>
      </w:r>
    </w:p>
    <w:p w14:paraId="3FD40F05" w14:textId="458B5B43" w:rsidR="00B71535" w:rsidRDefault="00B71535" w:rsidP="00B71535">
      <w:pPr>
        <w:pStyle w:val="ListBullet"/>
      </w:pPr>
      <w:r>
        <w:t xml:space="preserve">To appoint the </w:t>
      </w:r>
      <w:r w:rsidR="009B1462">
        <w:t>Court Services Victoria</w:t>
      </w:r>
      <w:r>
        <w:t xml:space="preserve"> Chief Executive Officer.</w:t>
      </w:r>
    </w:p>
    <w:p w14:paraId="70243F05" w14:textId="16E7E785" w:rsidR="00B71535" w:rsidRDefault="00B71535" w:rsidP="00970B28">
      <w:pPr>
        <w:pStyle w:val="ListBullet"/>
      </w:pPr>
      <w:r>
        <w:t>To appoint the Chief Executive Officer for each jurisdiction on the recommendation of the relevant Head of Jurisdiction.</w:t>
      </w:r>
    </w:p>
    <w:p w14:paraId="152D6DC1" w14:textId="374F3A7B" w:rsidR="00B71535" w:rsidRDefault="00B71535" w:rsidP="00970B28">
      <w:pPr>
        <w:pStyle w:val="ListBullet"/>
      </w:pPr>
      <w:r>
        <w:t xml:space="preserve">Any other functions that are conferred on the Courts Council by the </w:t>
      </w:r>
      <w:r w:rsidR="009B1462">
        <w:t>Court Services Victoria</w:t>
      </w:r>
      <w:r>
        <w:t xml:space="preserve"> Act, or any other Act.</w:t>
      </w:r>
    </w:p>
    <w:p w14:paraId="1D3E63F3" w14:textId="14EB243B" w:rsidR="004B6BAC" w:rsidRDefault="004B6BAC" w:rsidP="004B6BAC">
      <w:pPr>
        <w:pStyle w:val="Heading3"/>
      </w:pPr>
      <w:bookmarkStart w:id="14" w:name="_Toc62808031"/>
      <w:r w:rsidRPr="00DB7AAA">
        <w:t>Courts Council Members</w:t>
      </w:r>
      <w:bookmarkEnd w:id="14"/>
    </w:p>
    <w:p w14:paraId="7D2CDE27" w14:textId="37BF0AE5" w:rsidR="000934C7" w:rsidRPr="00374EA3" w:rsidRDefault="000934C7" w:rsidP="000934C7">
      <w:pPr>
        <w:keepNext/>
      </w:pPr>
      <w:r w:rsidRPr="00576FAB">
        <w:rPr>
          <w:noProof/>
        </w:rPr>
        <w:drawing>
          <wp:inline distT="0" distB="0" distL="0" distR="0" wp14:anchorId="1EFD798D" wp14:editId="746F8DC7">
            <wp:extent cx="1552575" cy="1552575"/>
            <wp:effectExtent l="0" t="0" r="9525" b="9525"/>
            <wp:docPr id="109" name="Picture 109" descr="A photograph of The Honourable Chief Justice Anne Fergu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hotograph of The Honourable Chief Justice Anne Ferguson.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a:noFill/>
                    </a:ln>
                  </pic:spPr>
                </pic:pic>
              </a:graphicData>
            </a:graphic>
          </wp:inline>
        </w:drawing>
      </w:r>
    </w:p>
    <w:p w14:paraId="3362842E" w14:textId="77777777" w:rsidR="00E952AB" w:rsidRDefault="004B6BAC" w:rsidP="000934C7">
      <w:pPr>
        <w:pStyle w:val="BodyText"/>
      </w:pPr>
      <w:r w:rsidRPr="000934C7">
        <w:t>Chief Justice of the Supreme Court of Victoria</w:t>
      </w:r>
    </w:p>
    <w:p w14:paraId="64162548" w14:textId="5C039190" w:rsidR="00961048" w:rsidRDefault="00961048" w:rsidP="00961048">
      <w:pPr>
        <w:pStyle w:val="BodyText"/>
      </w:pPr>
      <w:r>
        <w:t>The Honourable Chief Justice Anne Ferguson was first appointed as a judge of the Supreme Court of Victoria in 2010, and subsequently appointed Chief Justice on 2 October 2017.</w:t>
      </w:r>
    </w:p>
    <w:p w14:paraId="654D7724" w14:textId="3B71C8CA" w:rsidR="000934C7" w:rsidRPr="00374EA3" w:rsidRDefault="000934C7" w:rsidP="000934C7">
      <w:pPr>
        <w:pStyle w:val="BodyText"/>
      </w:pPr>
      <w:r w:rsidRPr="00576FAB">
        <w:rPr>
          <w:noProof/>
        </w:rPr>
        <w:drawing>
          <wp:inline distT="0" distB="0" distL="0" distR="0" wp14:anchorId="73036BDA" wp14:editId="4CD9AC48">
            <wp:extent cx="1552575" cy="1552575"/>
            <wp:effectExtent l="0" t="0" r="9525" b="9525"/>
            <wp:docPr id="110" name="Picture 110" descr="A photograph of The Honourable Justice Peter Ki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photograph of The Honourable Justice Peter Kidd.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a:noFill/>
                    </a:ln>
                  </pic:spPr>
                </pic:pic>
              </a:graphicData>
            </a:graphic>
          </wp:inline>
        </w:drawing>
      </w:r>
    </w:p>
    <w:p w14:paraId="27736B93" w14:textId="77777777" w:rsidR="00E952AB" w:rsidRDefault="004B6BAC" w:rsidP="000934C7">
      <w:pPr>
        <w:pStyle w:val="BodyText"/>
      </w:pPr>
      <w:r w:rsidRPr="007A0D86">
        <w:t>Chief Judge of the County Court of Victoria</w:t>
      </w:r>
    </w:p>
    <w:p w14:paraId="182ABCB0" w14:textId="6D2EC329" w:rsidR="00961048" w:rsidRDefault="00961048" w:rsidP="00961048">
      <w:pPr>
        <w:pStyle w:val="BodyText"/>
      </w:pPr>
      <w:r>
        <w:t>The Honourable Justice Peter Kidd was appointed Chief Judge of the County Court of Victoria in September 2015.</w:t>
      </w:r>
    </w:p>
    <w:p w14:paraId="31195AA4" w14:textId="737D28B1" w:rsidR="000934C7" w:rsidRPr="00374EA3" w:rsidRDefault="000934C7" w:rsidP="000934C7">
      <w:pPr>
        <w:keepNext/>
      </w:pPr>
      <w:r w:rsidRPr="009566D4">
        <w:rPr>
          <w:noProof/>
        </w:rPr>
        <w:drawing>
          <wp:inline distT="0" distB="0" distL="0" distR="0" wp14:anchorId="1FB30025" wp14:editId="6024322B">
            <wp:extent cx="1541780" cy="1541780"/>
            <wp:effectExtent l="0" t="0" r="1270" b="1270"/>
            <wp:docPr id="111" name="Picture 111" descr="A photograph of Her Honour Judge Lisa Hann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A photograph of Her Honour Judge Lisa Hannan.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41780" cy="1541780"/>
                    </a:xfrm>
                    <a:prstGeom prst="rect">
                      <a:avLst/>
                    </a:prstGeom>
                    <a:noFill/>
                    <a:ln>
                      <a:noFill/>
                    </a:ln>
                  </pic:spPr>
                </pic:pic>
              </a:graphicData>
            </a:graphic>
          </wp:inline>
        </w:drawing>
      </w:r>
    </w:p>
    <w:p w14:paraId="76940395" w14:textId="1178469F" w:rsidR="004B6BAC" w:rsidRPr="007A0D86" w:rsidRDefault="004B6BAC" w:rsidP="000934C7">
      <w:pPr>
        <w:pStyle w:val="BodyText"/>
      </w:pPr>
      <w:r w:rsidRPr="007A0D86">
        <w:t>Chief Magistrate of the Magistrates’ Court of Victoria</w:t>
      </w:r>
    </w:p>
    <w:p w14:paraId="2A713EBD" w14:textId="33AC1CD5" w:rsidR="003B60CD" w:rsidRDefault="003B60CD" w:rsidP="003B60CD">
      <w:pPr>
        <w:pStyle w:val="BodyText"/>
      </w:pPr>
      <w:r>
        <w:t>Her Honour Judge Lisa Hannan commenced in the role of Chief Magistrate on 17 November 2019, having served for eight years as a Magistrate and Coroner, and 13 years as a County Court Judge. His Honour Judge Peter Lauritsen was Chief Magistrate until 17 November 2019.</w:t>
      </w:r>
    </w:p>
    <w:p w14:paraId="04973760" w14:textId="4E4FA0C9" w:rsidR="000934C7" w:rsidRDefault="000934C7" w:rsidP="000934C7">
      <w:r w:rsidRPr="00576FAB">
        <w:rPr>
          <w:noProof/>
        </w:rPr>
        <w:drawing>
          <wp:inline distT="0" distB="0" distL="0" distR="0" wp14:anchorId="203DF971" wp14:editId="5582F86D">
            <wp:extent cx="1547850" cy="1541780"/>
            <wp:effectExtent l="0" t="0" r="0" b="1270"/>
            <wp:docPr id="112" name="Picture 112" descr="A photograph of The Honourable Justice Michelle Quig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A photograph of The Honourable Justice Michelle Quigley. "/>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47850" cy="1541780"/>
                    </a:xfrm>
                    <a:prstGeom prst="rect">
                      <a:avLst/>
                    </a:prstGeom>
                    <a:noFill/>
                    <a:ln>
                      <a:noFill/>
                    </a:ln>
                  </pic:spPr>
                </pic:pic>
              </a:graphicData>
            </a:graphic>
          </wp:inline>
        </w:drawing>
      </w:r>
    </w:p>
    <w:p w14:paraId="04DC0966" w14:textId="77777777" w:rsidR="00E952AB" w:rsidRDefault="004B6BAC" w:rsidP="000934C7">
      <w:pPr>
        <w:pStyle w:val="BodyText"/>
      </w:pPr>
      <w:r w:rsidRPr="007A0D86">
        <w:t>President, Victorian Civil and Administrative Tribunal</w:t>
      </w:r>
    </w:p>
    <w:p w14:paraId="6EB48081" w14:textId="74FB429E" w:rsidR="003B60CD" w:rsidRDefault="003B60CD" w:rsidP="003B60CD">
      <w:pPr>
        <w:pStyle w:val="BodyText"/>
      </w:pPr>
      <w:r>
        <w:t xml:space="preserve">The Honourable Justice Michelle Quigley was appointed as a Judge of the Supreme Court of Victoria in </w:t>
      </w:r>
      <w:proofErr w:type="gramStart"/>
      <w:r>
        <w:t>December 2017, and</w:t>
      </w:r>
      <w:proofErr w:type="gramEnd"/>
      <w:r>
        <w:t xml:space="preserve"> appointed as President of the Victorian Civil and Administrative Tribunal on 1 June 2018.</w:t>
      </w:r>
    </w:p>
    <w:p w14:paraId="404C0EB4" w14:textId="5A1C22C7" w:rsidR="000934C7" w:rsidRPr="007A0D86" w:rsidRDefault="000934C7" w:rsidP="004B6BAC">
      <w:pPr>
        <w:pStyle w:val="BodyText"/>
      </w:pPr>
      <w:r w:rsidRPr="00232CDA">
        <w:rPr>
          <w:noProof/>
        </w:rPr>
        <w:drawing>
          <wp:inline distT="0" distB="0" distL="0" distR="0" wp14:anchorId="2F40A525" wp14:editId="66D151B0">
            <wp:extent cx="1548384" cy="1548384"/>
            <wp:effectExtent l="0" t="0" r="0" b="0"/>
            <wp:docPr id="113" name="Picture 113" descr="A photograph of His Honour Judge John C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A photograph of His Honour Judge John Cain. "/>
                    <pic:cNvPicPr/>
                  </pic:nvPicPr>
                  <pic:blipFill>
                    <a:blip r:embed="rId16">
                      <a:extLst>
                        <a:ext uri="{28A0092B-C50C-407E-A947-70E740481C1C}">
                          <a14:useLocalDpi xmlns:a14="http://schemas.microsoft.com/office/drawing/2010/main" val="0"/>
                        </a:ext>
                      </a:extLst>
                    </a:blip>
                    <a:stretch>
                      <a:fillRect/>
                    </a:stretch>
                  </pic:blipFill>
                  <pic:spPr>
                    <a:xfrm>
                      <a:off x="0" y="0"/>
                      <a:ext cx="1548384" cy="1548384"/>
                    </a:xfrm>
                    <a:prstGeom prst="rect">
                      <a:avLst/>
                    </a:prstGeom>
                  </pic:spPr>
                </pic:pic>
              </a:graphicData>
            </a:graphic>
          </wp:inline>
        </w:drawing>
      </w:r>
    </w:p>
    <w:p w14:paraId="394337F5" w14:textId="77777777" w:rsidR="004B6BAC" w:rsidRPr="007A0D86" w:rsidRDefault="004B6BAC" w:rsidP="000934C7">
      <w:pPr>
        <w:pStyle w:val="BodyText"/>
      </w:pPr>
      <w:r w:rsidRPr="007A0D86">
        <w:t>State Coroner, Coroners Court of Victoria</w:t>
      </w:r>
    </w:p>
    <w:p w14:paraId="4E839E78" w14:textId="26B5E675" w:rsidR="003B60CD" w:rsidRDefault="003B60CD" w:rsidP="003B60CD">
      <w:pPr>
        <w:pStyle w:val="BodyText"/>
      </w:pPr>
      <w:r>
        <w:t>His Honour Judge John Cain was appointed as a Judge of the County Court of Victoria and State Coroner on 2 December 2019. Her Honour Coroner Caitlin English was Acting State Coroner from 16 April 2019 to 1 December 2019.</w:t>
      </w:r>
    </w:p>
    <w:p w14:paraId="0B12F43C" w14:textId="2D19BEC8" w:rsidR="009F62B5" w:rsidRPr="00374EA3" w:rsidRDefault="009F62B5" w:rsidP="009F62B5">
      <w:r w:rsidRPr="007D1677">
        <w:rPr>
          <w:noProof/>
        </w:rPr>
        <w:drawing>
          <wp:inline distT="0" distB="0" distL="0" distR="0" wp14:anchorId="0CF0C06E" wp14:editId="6C28E5E5">
            <wp:extent cx="1541780" cy="1541780"/>
            <wp:effectExtent l="0" t="0" r="1270" b="1270"/>
            <wp:docPr id="114" name="Picture 114" descr="A photograph of Her Honour Judge Amanda Cha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A photograph of Her Honour Judge Amanda Chambers "/>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41780" cy="1541780"/>
                    </a:xfrm>
                    <a:prstGeom prst="rect">
                      <a:avLst/>
                    </a:prstGeom>
                    <a:noFill/>
                    <a:ln>
                      <a:noFill/>
                    </a:ln>
                  </pic:spPr>
                </pic:pic>
              </a:graphicData>
            </a:graphic>
          </wp:inline>
        </w:drawing>
      </w:r>
    </w:p>
    <w:p w14:paraId="37C5ADEB" w14:textId="77777777" w:rsidR="004B6BAC" w:rsidRPr="007A0D86" w:rsidRDefault="004B6BAC" w:rsidP="009F62B5">
      <w:pPr>
        <w:pStyle w:val="BodyText"/>
      </w:pPr>
      <w:r w:rsidRPr="007A0D86">
        <w:t>President of the Children’s Court of Victoria</w:t>
      </w:r>
    </w:p>
    <w:p w14:paraId="0C409C18" w14:textId="1957E3F1" w:rsidR="003B60CD" w:rsidRDefault="003B60CD" w:rsidP="003B60CD">
      <w:pPr>
        <w:pStyle w:val="BodyText"/>
      </w:pPr>
      <w:r>
        <w:t>Her Honour Judge Amanda Chambers was appointed as a judge of the County Court of Victoria and President of the Children’s Court of Victoria on 9 June 2015.</w:t>
      </w:r>
    </w:p>
    <w:p w14:paraId="42704D7E" w14:textId="5D59F27F" w:rsidR="009F62B5" w:rsidRDefault="009F62B5" w:rsidP="009F62B5">
      <w:pPr>
        <w:pStyle w:val="BodyText"/>
      </w:pPr>
      <w:r w:rsidRPr="007D1677">
        <w:rPr>
          <w:noProof/>
        </w:rPr>
        <w:drawing>
          <wp:inline distT="0" distB="0" distL="0" distR="0" wp14:anchorId="01EB7EE8" wp14:editId="4C9AC7F4">
            <wp:extent cx="1552575" cy="1540397"/>
            <wp:effectExtent l="0" t="0" r="0" b="3175"/>
            <wp:docPr id="115" name="Picture 115" descr="A photograph of Doctor Philip Williams 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A photograph of Doctor Philip Williams AM. "/>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52575" cy="1540397"/>
                    </a:xfrm>
                    <a:prstGeom prst="rect">
                      <a:avLst/>
                    </a:prstGeom>
                    <a:noFill/>
                    <a:ln>
                      <a:noFill/>
                    </a:ln>
                  </pic:spPr>
                </pic:pic>
              </a:graphicData>
            </a:graphic>
          </wp:inline>
        </w:drawing>
      </w:r>
    </w:p>
    <w:p w14:paraId="68A931B2" w14:textId="499D8AE3" w:rsidR="004B6BAC" w:rsidRPr="007A0D86" w:rsidRDefault="004B6BAC" w:rsidP="00356776">
      <w:pPr>
        <w:pStyle w:val="Heading4"/>
      </w:pPr>
      <w:r w:rsidRPr="007A0D86">
        <w:t>Independent Member</w:t>
      </w:r>
    </w:p>
    <w:p w14:paraId="61A6CB4C" w14:textId="62D7D368" w:rsidR="000877A8" w:rsidRDefault="000877A8" w:rsidP="000877A8">
      <w:pPr>
        <w:pStyle w:val="BodyText"/>
      </w:pPr>
      <w:r>
        <w:t xml:space="preserve">Dr Philip Williams AM </w:t>
      </w:r>
      <w:proofErr w:type="gramStart"/>
      <w:r>
        <w:t>heads</w:t>
      </w:r>
      <w:proofErr w:type="gramEnd"/>
      <w:r>
        <w:t xml:space="preserve"> the legal and competition team of Frontier Economics (Australia). Dr Williams’ area of expertise is the relationship between economics and the law, and he is a co-author of The Australasian Institute of Judicial Administration’s Report on Court Governance.</w:t>
      </w:r>
    </w:p>
    <w:p w14:paraId="3475F0D3" w14:textId="77777777" w:rsidR="00E952AB" w:rsidRDefault="004B6BAC" w:rsidP="00AD6289">
      <w:pPr>
        <w:pStyle w:val="Heading3"/>
      </w:pPr>
      <w:bookmarkStart w:id="15" w:name="_Toc62808032"/>
      <w:r w:rsidRPr="007A0D86">
        <w:t>Committees</w:t>
      </w:r>
      <w:bookmarkEnd w:id="15"/>
    </w:p>
    <w:p w14:paraId="10EF6F8F" w14:textId="4C1D6DE0" w:rsidR="000877A8" w:rsidRDefault="000877A8" w:rsidP="000877A8">
      <w:pPr>
        <w:pStyle w:val="BodyText"/>
      </w:pPr>
      <w:r>
        <w:t xml:space="preserve">The Courts Council is supported by seven standing committees. These committees are judicially led, an important feature of </w:t>
      </w:r>
      <w:r w:rsidR="009B1462">
        <w:t>Court Services Victoria</w:t>
      </w:r>
      <w:r>
        <w:t>’s governance and operating structure.</w:t>
      </w:r>
    </w:p>
    <w:p w14:paraId="2B86F05A" w14:textId="3010F083" w:rsidR="000877A8" w:rsidRDefault="000877A8" w:rsidP="000877A8">
      <w:pPr>
        <w:pStyle w:val="BodyText"/>
      </w:pPr>
      <w:r>
        <w:t xml:space="preserve">Each committee considers a range of issues pivotal to </w:t>
      </w:r>
      <w:r w:rsidR="009B1462">
        <w:t>Court Services Victoria</w:t>
      </w:r>
      <w:r>
        <w:t>’s operations and meet regularly, except for the Executive Remuneration Committee that meets as and when required.</w:t>
      </w:r>
    </w:p>
    <w:p w14:paraId="50CF319C" w14:textId="77777777" w:rsidR="00E952AB" w:rsidRDefault="004B6BAC" w:rsidP="00356776">
      <w:pPr>
        <w:pStyle w:val="Heading4"/>
      </w:pPr>
      <w:r w:rsidRPr="007A0D86">
        <w:t xml:space="preserve">Audit </w:t>
      </w:r>
      <w:r w:rsidR="005F68BF">
        <w:t>and</w:t>
      </w:r>
      <w:r w:rsidRPr="007A0D86">
        <w:t xml:space="preserve"> Risk Portfolio Committee</w:t>
      </w:r>
    </w:p>
    <w:p w14:paraId="40416B7A" w14:textId="4801EE13" w:rsidR="000877A8" w:rsidRDefault="000877A8" w:rsidP="000877A8">
      <w:pPr>
        <w:pStyle w:val="BodyText"/>
      </w:pPr>
      <w:r>
        <w:t xml:space="preserve">The Audit and Risk Portfolio Committee assists the Council to fulfil its governance responsibilities and obligations in relation to financial reporting and accuracy of the </w:t>
      </w:r>
      <w:r w:rsidR="009B1462">
        <w:t>Court Services Victoria</w:t>
      </w:r>
      <w:r>
        <w:t xml:space="preserve"> Financial Statements. The Committee also advises on risk management; the development of the internal audit annual program; internal control functions; external audit; and ensures the financial systems and processes of </w:t>
      </w:r>
      <w:r w:rsidR="009B1462">
        <w:t>Court Services Victoria</w:t>
      </w:r>
      <w:r>
        <w:t xml:space="preserve"> are consistent with the requirements of the </w:t>
      </w:r>
      <w:r w:rsidRPr="001D1DC2">
        <w:rPr>
          <w:rStyle w:val="Italics"/>
        </w:rPr>
        <w:t>Financial Management Act 1994</w:t>
      </w:r>
      <w:r>
        <w:t xml:space="preserve">, the </w:t>
      </w:r>
      <w:r w:rsidRPr="001D1DC2">
        <w:rPr>
          <w:rStyle w:val="Italics"/>
        </w:rPr>
        <w:t>Audit Act 1994</w:t>
      </w:r>
      <w:r>
        <w:t>, and other legislation and prescribed requirements.</w:t>
      </w:r>
    </w:p>
    <w:p w14:paraId="09E83258" w14:textId="4D2505DC" w:rsidR="000877A8" w:rsidRDefault="000877A8" w:rsidP="001B4ACB">
      <w:pPr>
        <w:pStyle w:val="BodyText"/>
        <w:keepNext/>
      </w:pPr>
      <w:r>
        <w:t xml:space="preserve">In accordance with the Financial Reporting Directions under the </w:t>
      </w:r>
      <w:r w:rsidRPr="001D1DC2">
        <w:rPr>
          <w:rStyle w:val="Italics"/>
        </w:rPr>
        <w:t>Financial Management Act</w:t>
      </w:r>
      <w:r>
        <w:t>, the members of the committee during the 2019-20 financial year were:</w:t>
      </w:r>
    </w:p>
    <w:p w14:paraId="510ADC59" w14:textId="77777777" w:rsidR="000877A8" w:rsidRDefault="000877A8" w:rsidP="001B4ACB">
      <w:pPr>
        <w:pStyle w:val="ListBullet"/>
        <w:keepNext/>
      </w:pPr>
      <w:r>
        <w:t>Stewart Leslie, Chair, Independent Member</w:t>
      </w:r>
    </w:p>
    <w:p w14:paraId="128E9551" w14:textId="2EAB1451" w:rsidR="000877A8" w:rsidRDefault="000877A8" w:rsidP="001B4ACB">
      <w:pPr>
        <w:pStyle w:val="ListBullet"/>
        <w:keepNext/>
      </w:pPr>
      <w:r>
        <w:t>Dr Philip Williams, Independent Member, Courts Council</w:t>
      </w:r>
    </w:p>
    <w:p w14:paraId="27EC7C8D" w14:textId="35A0ED84" w:rsidR="000877A8" w:rsidRDefault="000877A8" w:rsidP="00970B28">
      <w:pPr>
        <w:pStyle w:val="ListBullet"/>
      </w:pPr>
      <w:r>
        <w:t>Justice Michael McDonald, Supreme Court of Victoria</w:t>
      </w:r>
    </w:p>
    <w:p w14:paraId="746D2A4C" w14:textId="3B0750CB" w:rsidR="000877A8" w:rsidRDefault="000877A8" w:rsidP="00970B28">
      <w:pPr>
        <w:pStyle w:val="ListBullet"/>
      </w:pPr>
      <w:r>
        <w:t xml:space="preserve">Judge Philip </w:t>
      </w:r>
      <w:proofErr w:type="spellStart"/>
      <w:r>
        <w:t>Ginnane</w:t>
      </w:r>
      <w:proofErr w:type="spellEnd"/>
      <w:r>
        <w:t>, County Court of Victoria</w:t>
      </w:r>
    </w:p>
    <w:p w14:paraId="67D12122" w14:textId="509CA5EB" w:rsidR="000877A8" w:rsidRDefault="000877A8" w:rsidP="00970B28">
      <w:pPr>
        <w:pStyle w:val="ListBullet"/>
      </w:pPr>
      <w:r>
        <w:t>Magistrate Phillip Goldberg, Magistrates’ Court of Victoria</w:t>
      </w:r>
    </w:p>
    <w:p w14:paraId="276A5F0B" w14:textId="4BC88836" w:rsidR="000877A8" w:rsidRDefault="000877A8" w:rsidP="00970B28">
      <w:pPr>
        <w:pStyle w:val="ListBullet"/>
      </w:pPr>
      <w:r>
        <w:t>Elizabeth Camilleri, Independent Member</w:t>
      </w:r>
    </w:p>
    <w:p w14:paraId="27C4BF56" w14:textId="1858427B" w:rsidR="000877A8" w:rsidRDefault="000877A8" w:rsidP="00970B28">
      <w:pPr>
        <w:pStyle w:val="ListBullet"/>
      </w:pPr>
      <w:r>
        <w:t>Susan Friend, Independent Member (Appointed August 2019)</w:t>
      </w:r>
    </w:p>
    <w:p w14:paraId="5D601980" w14:textId="77777777" w:rsidR="00E952AB" w:rsidRDefault="004B6BAC" w:rsidP="00356776">
      <w:pPr>
        <w:pStyle w:val="Heading4"/>
      </w:pPr>
      <w:r w:rsidRPr="007A0D86">
        <w:t>Courts Koori Portfolio Committee</w:t>
      </w:r>
    </w:p>
    <w:p w14:paraId="785DE266" w14:textId="397F56D5" w:rsidR="00970B28" w:rsidRDefault="00970B28" w:rsidP="00970B28">
      <w:pPr>
        <w:pStyle w:val="BodyText"/>
      </w:pPr>
      <w:r>
        <w:t>The Courts Koori Portfolio Committee advises the Courts Council on Indigenous issues, assists jurisdictions with issues relating to Indigenous justice, and recognises the importance that Indigenous communities and stakeholders have in the delivery of Indigenous justice.</w:t>
      </w:r>
    </w:p>
    <w:p w14:paraId="15621C8F" w14:textId="3F9DB5AF" w:rsidR="00970B28" w:rsidRDefault="00970B28" w:rsidP="00970B28">
      <w:pPr>
        <w:pStyle w:val="Heading4"/>
      </w:pPr>
      <w:r>
        <w:t>Executive Remuneration Committee</w:t>
      </w:r>
    </w:p>
    <w:p w14:paraId="18257096" w14:textId="4DDF9944" w:rsidR="00970B28" w:rsidRDefault="00970B28" w:rsidP="00970B28">
      <w:pPr>
        <w:pStyle w:val="BodyText"/>
      </w:pPr>
      <w:r>
        <w:t>The Executive Remuneration Committee meets as required to consider matters relating to executive remuneration, performance and governance for the assessment and approval of executive salaries, terms and conditions.</w:t>
      </w:r>
    </w:p>
    <w:p w14:paraId="6F5CEA8E" w14:textId="708283FC" w:rsidR="00970B28" w:rsidRDefault="00970B28" w:rsidP="00970B28">
      <w:pPr>
        <w:pStyle w:val="Heading4"/>
      </w:pPr>
      <w:r>
        <w:t>Finance Portfolio Committee</w:t>
      </w:r>
    </w:p>
    <w:p w14:paraId="0C47807D" w14:textId="4EDE7789" w:rsidR="00970B28" w:rsidRDefault="00970B28" w:rsidP="00970B28">
      <w:pPr>
        <w:pStyle w:val="BodyText"/>
      </w:pPr>
      <w:r>
        <w:t xml:space="preserve">The Finance Portfolio Committee supports and advises the Courts Council on issues affecting financial sustainability, strategy and performance, and to assist it in fulfilling its fiduciary responsibilities and obligations. It also advises Council on matters relating to the </w:t>
      </w:r>
      <w:r w:rsidR="009B1462">
        <w:t>Court Services Victoria</w:t>
      </w:r>
      <w:r>
        <w:t xml:space="preserve"> budget and financial risk management, reviewing operating and capital budgets and monitoring performance against budget.</w:t>
      </w:r>
    </w:p>
    <w:p w14:paraId="0E0FC673" w14:textId="14836358" w:rsidR="00970B28" w:rsidRDefault="00970B28" w:rsidP="00970B28">
      <w:pPr>
        <w:pStyle w:val="Heading4"/>
      </w:pPr>
      <w:r>
        <w:t>Human Resources Portfolio Committee</w:t>
      </w:r>
    </w:p>
    <w:p w14:paraId="15DAD336" w14:textId="60A941E4" w:rsidR="00970B28" w:rsidRDefault="00970B28" w:rsidP="00970B28">
      <w:pPr>
        <w:pStyle w:val="BodyText"/>
      </w:pPr>
      <w:r>
        <w:t xml:space="preserve">The Human Resources Portfolio Committee assists the Courts Council by overseeing the development of human resources policies and strategies that support best practice human resource planning and management in </w:t>
      </w:r>
      <w:r w:rsidR="009B1462">
        <w:t>Court Services Victoria</w:t>
      </w:r>
      <w:r>
        <w:t>.</w:t>
      </w:r>
    </w:p>
    <w:p w14:paraId="2F2B084B" w14:textId="3C259F71" w:rsidR="00970B28" w:rsidRDefault="00970B28" w:rsidP="00970B28">
      <w:pPr>
        <w:pStyle w:val="Heading4"/>
      </w:pPr>
      <w:r>
        <w:t>Information Technology Portfolio Committee</w:t>
      </w:r>
    </w:p>
    <w:p w14:paraId="6000F8B6" w14:textId="48D5EDFC" w:rsidR="00970B28" w:rsidRDefault="00970B28" w:rsidP="00970B28">
      <w:pPr>
        <w:pStyle w:val="BodyText"/>
      </w:pPr>
      <w:r>
        <w:t xml:space="preserve">The Information Technology Portfolio Committee oversees the development of information technology strategies and initiatives to support the independent operation of Victoria’s courts and </w:t>
      </w:r>
      <w:proofErr w:type="gramStart"/>
      <w:r>
        <w:t>tribunals, and</w:t>
      </w:r>
      <w:proofErr w:type="gramEnd"/>
      <w:r>
        <w:t xml:space="preserve"> focuses on the identification and development of multijurisdictional policies, strategic initiatives, solutions, and services to benefit all jurisdictions.</w:t>
      </w:r>
    </w:p>
    <w:p w14:paraId="42E629FE" w14:textId="1855EA5C" w:rsidR="00970B28" w:rsidRDefault="00970B28" w:rsidP="00970B28">
      <w:pPr>
        <w:pStyle w:val="Heading4"/>
      </w:pPr>
      <w:r>
        <w:t xml:space="preserve">Strategic Planning, Infrastructure </w:t>
      </w:r>
      <w:proofErr w:type="gramStart"/>
      <w:r>
        <w:t>And</w:t>
      </w:r>
      <w:proofErr w:type="gramEnd"/>
      <w:r>
        <w:t xml:space="preserve"> Services Portfolio Committee</w:t>
      </w:r>
    </w:p>
    <w:p w14:paraId="1C370ED1" w14:textId="7673D041" w:rsidR="00970B28" w:rsidRDefault="00970B28" w:rsidP="00970B28">
      <w:pPr>
        <w:pStyle w:val="BodyText"/>
      </w:pPr>
      <w:r>
        <w:t>The Strategic Planning, Infrastructure and Services Portfolio Committee assists the Courts Council in the strategic planning, development and oversight of courts and tribunals infrastructure and services for Victoria.</w:t>
      </w:r>
    </w:p>
    <w:p w14:paraId="5A8F000F" w14:textId="59F6C019" w:rsidR="00970B28" w:rsidRDefault="00970B28" w:rsidP="001871F9">
      <w:pPr>
        <w:pStyle w:val="Heading3"/>
      </w:pPr>
      <w:bookmarkStart w:id="16" w:name="_Toc62808033"/>
      <w:r>
        <w:t>Senior Executive</w:t>
      </w:r>
      <w:bookmarkEnd w:id="16"/>
    </w:p>
    <w:p w14:paraId="59ED24ED" w14:textId="1FEC0CCB" w:rsidR="00970B28" w:rsidRDefault="00970B28" w:rsidP="001871F9">
      <w:pPr>
        <w:pStyle w:val="Heading4"/>
      </w:pPr>
      <w:r>
        <w:t>Court Services Victoria Chief Executive Officer</w:t>
      </w:r>
    </w:p>
    <w:p w14:paraId="69A7C627" w14:textId="50BF1741" w:rsidR="00970B28" w:rsidRPr="007D1677" w:rsidRDefault="00970B28" w:rsidP="001871F9">
      <w:pPr>
        <w:pStyle w:val="BodyText"/>
        <w:keepNext/>
        <w:rPr>
          <w:rStyle w:val="Italics"/>
        </w:rPr>
      </w:pPr>
      <w:r>
        <w:t xml:space="preserve">Louise Anderson is the </w:t>
      </w:r>
      <w:r w:rsidR="009B1462">
        <w:t>Court Services Victoria</w:t>
      </w:r>
      <w:r>
        <w:t xml:space="preserve"> Chief Executive Officer, appointed by the Courts Council under section 22 of the </w:t>
      </w:r>
      <w:r w:rsidRPr="007D1677">
        <w:rPr>
          <w:rStyle w:val="Italics"/>
        </w:rPr>
        <w:t>Court Services Victoria Act.</w:t>
      </w:r>
    </w:p>
    <w:p w14:paraId="64A28D6C" w14:textId="4D718F54" w:rsidR="00970B28" w:rsidRDefault="00970B28" w:rsidP="00970B28">
      <w:pPr>
        <w:pStyle w:val="BodyText"/>
      </w:pPr>
      <w:r>
        <w:t xml:space="preserve">Her functions and powers include the management of the support services and functions of </w:t>
      </w:r>
      <w:r w:rsidR="009B1462">
        <w:t>Court Services Victoria</w:t>
      </w:r>
      <w:r>
        <w:t xml:space="preserve"> in accordance with the strategy, plan, procedures and functions of the Courts Council. The </w:t>
      </w:r>
      <w:r w:rsidR="009B1462">
        <w:t>Court Services Victoria</w:t>
      </w:r>
      <w:r>
        <w:t xml:space="preserve"> Chief Executive Officer is also responsible for the appointment and management of </w:t>
      </w:r>
      <w:r w:rsidR="009B1462">
        <w:t>Court Services Victoria</w:t>
      </w:r>
      <w:r>
        <w:t xml:space="preserve"> staff (other than the appointment of the jurisdiction Chief Executive Officers).</w:t>
      </w:r>
    </w:p>
    <w:p w14:paraId="4B184299" w14:textId="5C33EF18" w:rsidR="00970B28" w:rsidRDefault="00970B28" w:rsidP="00970B28">
      <w:pPr>
        <w:pStyle w:val="Heading4"/>
      </w:pPr>
      <w:r>
        <w:t>Operational Divisions</w:t>
      </w:r>
    </w:p>
    <w:p w14:paraId="63C25A06" w14:textId="0CF8AE17" w:rsidR="00970B28" w:rsidRDefault="009B1462" w:rsidP="00970B28">
      <w:pPr>
        <w:pStyle w:val="BodyText"/>
      </w:pPr>
      <w:r>
        <w:t>Court Services Victoria</w:t>
      </w:r>
      <w:r w:rsidR="00970B28">
        <w:t xml:space="preserve"> supports the operations of the courts, </w:t>
      </w:r>
      <w:r w:rsidR="00A10DBB">
        <w:t>Victorian Civil and Administrative Tribunal</w:t>
      </w:r>
      <w:r w:rsidR="00970B28">
        <w:t>, the College and the Commission through:</w:t>
      </w:r>
    </w:p>
    <w:p w14:paraId="6A0CE8F0" w14:textId="22095F07" w:rsidR="00970B28" w:rsidRDefault="00970B28" w:rsidP="00970B28">
      <w:pPr>
        <w:pStyle w:val="ListBullet"/>
      </w:pPr>
      <w:r>
        <w:t>Facilitating the planning and provision of facilities and infrastructure through Asset Planning and Management</w:t>
      </w:r>
    </w:p>
    <w:p w14:paraId="2142104D" w14:textId="1BF5B657" w:rsidR="00970B28" w:rsidRDefault="00970B28" w:rsidP="00970B28">
      <w:pPr>
        <w:pStyle w:val="ListBullet"/>
      </w:pPr>
      <w:r>
        <w:t>Compliance and best practice in Finance and Governance</w:t>
      </w:r>
    </w:p>
    <w:p w14:paraId="5E91C77B" w14:textId="12A841EC" w:rsidR="00970B28" w:rsidRDefault="00970B28" w:rsidP="00970B28">
      <w:pPr>
        <w:pStyle w:val="ListBullet"/>
      </w:pPr>
      <w:r>
        <w:t>Innovative and effective technology through Information Technology Services</w:t>
      </w:r>
    </w:p>
    <w:p w14:paraId="199EB432" w14:textId="6539F0DC" w:rsidR="00970B28" w:rsidRDefault="00970B28" w:rsidP="00970B28">
      <w:pPr>
        <w:pStyle w:val="ListBullet"/>
      </w:pPr>
      <w:r>
        <w:t>Delivery of Major Projects</w:t>
      </w:r>
    </w:p>
    <w:p w14:paraId="0526A76B" w14:textId="7D277F0F" w:rsidR="00970B28" w:rsidRDefault="00970B28" w:rsidP="00970B28">
      <w:pPr>
        <w:pStyle w:val="ListBullet"/>
      </w:pPr>
      <w:r>
        <w:t>Workforce engagement and support through People and Culture</w:t>
      </w:r>
    </w:p>
    <w:p w14:paraId="44E04821" w14:textId="30E6BC62" w:rsidR="00970B28" w:rsidRDefault="00970B28" w:rsidP="00970B28">
      <w:pPr>
        <w:pStyle w:val="ListBullet"/>
      </w:pPr>
      <w:r>
        <w:t>Strategic planning and integration through Performance and Planning</w:t>
      </w:r>
    </w:p>
    <w:p w14:paraId="43EBB80C" w14:textId="2B786FB8" w:rsidR="004B6BAC" w:rsidRPr="007A0D86" w:rsidRDefault="00E952AB" w:rsidP="004B6BAC">
      <w:pPr>
        <w:pStyle w:val="BodyText"/>
      </w:pPr>
      <w:r>
        <w:t>The</w:t>
      </w:r>
      <w:r w:rsidR="004B6BAC" w:rsidRPr="007A0D86">
        <w:t xml:space="preserve"> Senior Executives, as </w:t>
      </w:r>
      <w:proofErr w:type="gramStart"/>
      <w:r w:rsidR="004B6BAC" w:rsidRPr="007A0D86">
        <w:t>at</w:t>
      </w:r>
      <w:proofErr w:type="gramEnd"/>
      <w:r w:rsidR="004B6BAC" w:rsidRPr="007A0D86">
        <w:t xml:space="preserve"> 30 June </w:t>
      </w:r>
      <w:r w:rsidR="00FB3FE1">
        <w:t>2020</w:t>
      </w:r>
      <w:r w:rsidR="004B6BAC" w:rsidRPr="007A0D86">
        <w:t>, who have a leadership role in respect of the delivery of these services are.</w:t>
      </w:r>
    </w:p>
    <w:p w14:paraId="45008936" w14:textId="7D73F05B" w:rsidR="004B6BAC" w:rsidRDefault="004B6BAC" w:rsidP="004B6BAC">
      <w:pPr>
        <w:pStyle w:val="BodyText"/>
      </w:pPr>
      <w:r w:rsidRPr="007A0D86">
        <w:rPr>
          <w:noProof/>
        </w:rPr>
        <w:drawing>
          <wp:inline distT="0" distB="0" distL="0" distR="0" wp14:anchorId="781E48E7" wp14:editId="2BBD60DB">
            <wp:extent cx="1260240" cy="1260240"/>
            <wp:effectExtent l="0" t="0" r="0" b="0"/>
            <wp:docPr id="21" name="image15.png" descr="A photograph of Justin Bree, Chief Information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9">
                      <a:extLst>
                        <a:ext uri="{28A0092B-C50C-407E-A947-70E740481C1C}">
                          <a14:useLocalDpi xmlns:a14="http://schemas.microsoft.com/office/drawing/2010/main" val="0"/>
                        </a:ext>
                      </a:extLst>
                    </a:blip>
                    <a:stretch>
                      <a:fillRect/>
                    </a:stretch>
                  </pic:blipFill>
                  <pic:spPr>
                    <a:xfrm>
                      <a:off x="0" y="0"/>
                      <a:ext cx="1260240" cy="1260240"/>
                    </a:xfrm>
                    <a:prstGeom prst="rect">
                      <a:avLst/>
                    </a:prstGeom>
                  </pic:spPr>
                </pic:pic>
              </a:graphicData>
            </a:graphic>
          </wp:inline>
        </w:drawing>
      </w:r>
    </w:p>
    <w:p w14:paraId="59DF17D8" w14:textId="729211F5" w:rsidR="004B6BAC" w:rsidRPr="007A0D86" w:rsidRDefault="004B6BAC" w:rsidP="004B6BAC">
      <w:pPr>
        <w:pStyle w:val="BodyText"/>
      </w:pPr>
      <w:r w:rsidRPr="007A0D86">
        <w:t>Justin Bree</w:t>
      </w:r>
      <w:r w:rsidR="00FA1A25">
        <w:t xml:space="preserve">, </w:t>
      </w:r>
      <w:r w:rsidRPr="007A0D86">
        <w:t>Chief Information Officer</w:t>
      </w:r>
    </w:p>
    <w:p w14:paraId="5EA29867" w14:textId="77777777" w:rsidR="004B6BAC" w:rsidRPr="007A0D86" w:rsidRDefault="004B6BAC" w:rsidP="004B6BAC">
      <w:pPr>
        <w:pStyle w:val="BodyText"/>
      </w:pPr>
      <w:r w:rsidRPr="007A0D86">
        <w:rPr>
          <w:noProof/>
        </w:rPr>
        <w:drawing>
          <wp:inline distT="0" distB="0" distL="0" distR="0" wp14:anchorId="3A811703" wp14:editId="76B97165">
            <wp:extent cx="1267968" cy="1267968"/>
            <wp:effectExtent l="0" t="0" r="8890" b="8890"/>
            <wp:docPr id="25" name="image17.png" descr="A photograph of Michael Carroll, Director, Major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7.png" descr="A photograph of Michael Carroll, Director, Major Projects."/>
                    <pic:cNvPicPr/>
                  </pic:nvPicPr>
                  <pic:blipFill>
                    <a:blip r:embed="rId20">
                      <a:extLst>
                        <a:ext uri="{28A0092B-C50C-407E-A947-70E740481C1C}">
                          <a14:useLocalDpi xmlns:a14="http://schemas.microsoft.com/office/drawing/2010/main" val="0"/>
                        </a:ext>
                      </a:extLst>
                    </a:blip>
                    <a:stretch>
                      <a:fillRect/>
                    </a:stretch>
                  </pic:blipFill>
                  <pic:spPr>
                    <a:xfrm>
                      <a:off x="0" y="0"/>
                      <a:ext cx="1267968" cy="1267968"/>
                    </a:xfrm>
                    <a:prstGeom prst="rect">
                      <a:avLst/>
                    </a:prstGeom>
                  </pic:spPr>
                </pic:pic>
              </a:graphicData>
            </a:graphic>
          </wp:inline>
        </w:drawing>
      </w:r>
    </w:p>
    <w:p w14:paraId="67E0A977" w14:textId="4841ABDD" w:rsidR="004B6BAC" w:rsidRPr="007A0D86" w:rsidRDefault="004B6BAC" w:rsidP="004B6BAC">
      <w:pPr>
        <w:pStyle w:val="BodyText"/>
      </w:pPr>
      <w:r w:rsidRPr="007A0D86">
        <w:t>Michael Carroll</w:t>
      </w:r>
      <w:r w:rsidR="00FA1A25">
        <w:t xml:space="preserve">, </w:t>
      </w:r>
      <w:r w:rsidRPr="007A0D86">
        <w:t>Director, Major Projects</w:t>
      </w:r>
    </w:p>
    <w:p w14:paraId="30D221EF" w14:textId="709F6117" w:rsidR="004B6BAC" w:rsidRDefault="004B6BAC" w:rsidP="004B6BAC">
      <w:pPr>
        <w:pStyle w:val="BodyText"/>
      </w:pPr>
      <w:r w:rsidRPr="00163DD9">
        <w:rPr>
          <w:noProof/>
        </w:rPr>
        <w:drawing>
          <wp:inline distT="0" distB="0" distL="0" distR="0" wp14:anchorId="4DFF4E81" wp14:editId="7FD0B31D">
            <wp:extent cx="1254156" cy="1254156"/>
            <wp:effectExtent l="0" t="0" r="3175" b="3175"/>
            <wp:docPr id="27" name="image18.png" descr="A photograph of Fiona Chamberlain, Chief Operating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8.png" descr="A photograph of Fiona Chamberlain, Chief Operating Officer."/>
                    <pic:cNvPicPr/>
                  </pic:nvPicPr>
                  <pic:blipFill>
                    <a:blip r:embed="rId21">
                      <a:extLst>
                        <a:ext uri="{28A0092B-C50C-407E-A947-70E740481C1C}">
                          <a14:useLocalDpi xmlns:a14="http://schemas.microsoft.com/office/drawing/2010/main" val="0"/>
                        </a:ext>
                      </a:extLst>
                    </a:blip>
                    <a:stretch>
                      <a:fillRect/>
                    </a:stretch>
                  </pic:blipFill>
                  <pic:spPr>
                    <a:xfrm>
                      <a:off x="0" y="0"/>
                      <a:ext cx="1254156" cy="1254156"/>
                    </a:xfrm>
                    <a:prstGeom prst="rect">
                      <a:avLst/>
                    </a:prstGeom>
                  </pic:spPr>
                </pic:pic>
              </a:graphicData>
            </a:graphic>
          </wp:inline>
        </w:drawing>
      </w:r>
    </w:p>
    <w:p w14:paraId="47E81EC7" w14:textId="36240C6F" w:rsidR="004B6BAC" w:rsidRPr="007A0D86" w:rsidRDefault="00FB3FE1" w:rsidP="004B6BAC">
      <w:pPr>
        <w:pStyle w:val="BodyText"/>
      </w:pPr>
      <w:r w:rsidRPr="00163DD9">
        <w:t>Fiona Chamberlain</w:t>
      </w:r>
      <w:r w:rsidR="00FA1A25" w:rsidRPr="00163DD9">
        <w:t xml:space="preserve">, </w:t>
      </w:r>
      <w:r w:rsidR="004B6BAC" w:rsidRPr="00163DD9">
        <w:t xml:space="preserve">Chief </w:t>
      </w:r>
      <w:r w:rsidRPr="00163DD9">
        <w:t>Operating Officer (see</w:t>
      </w:r>
      <w:r w:rsidR="008321EF">
        <w:t xml:space="preserve"> </w:t>
      </w:r>
      <w:hyperlink w:anchor="Photonote1" w:history="1">
        <w:r w:rsidR="008321EF" w:rsidRPr="00041A3E">
          <w:rPr>
            <w:rStyle w:val="Hyperlink"/>
          </w:rPr>
          <w:t>note 1</w:t>
        </w:r>
      </w:hyperlink>
      <w:r w:rsidRPr="00163DD9">
        <w:t>)</w:t>
      </w:r>
    </w:p>
    <w:p w14:paraId="005CDE64" w14:textId="221F6563" w:rsidR="00FA1A25" w:rsidRDefault="00FA1A25" w:rsidP="004B6BAC">
      <w:pPr>
        <w:pStyle w:val="BodyText"/>
      </w:pPr>
      <w:r w:rsidRPr="00EF6CF2">
        <w:rPr>
          <w:noProof/>
        </w:rPr>
        <w:drawing>
          <wp:inline distT="0" distB="0" distL="0" distR="0" wp14:anchorId="0C5AA21F" wp14:editId="622A296D">
            <wp:extent cx="1257287" cy="1257287"/>
            <wp:effectExtent l="0" t="0" r="635" b="635"/>
            <wp:docPr id="23" name="image16.png" descr="A photograph of Salvatore Costanzo, Chief Financ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png" descr="A photograph of Salvatore Costanzo, Chief Finance Officer."/>
                    <pic:cNvPicPr/>
                  </pic:nvPicPr>
                  <pic:blipFill>
                    <a:blip r:embed="rId22">
                      <a:extLst>
                        <a:ext uri="{28A0092B-C50C-407E-A947-70E740481C1C}">
                          <a14:useLocalDpi xmlns:a14="http://schemas.microsoft.com/office/drawing/2010/main" val="0"/>
                        </a:ext>
                      </a:extLst>
                    </a:blip>
                    <a:stretch>
                      <a:fillRect/>
                    </a:stretch>
                  </pic:blipFill>
                  <pic:spPr>
                    <a:xfrm>
                      <a:off x="0" y="0"/>
                      <a:ext cx="1257287" cy="1257287"/>
                    </a:xfrm>
                    <a:prstGeom prst="rect">
                      <a:avLst/>
                    </a:prstGeom>
                  </pic:spPr>
                </pic:pic>
              </a:graphicData>
            </a:graphic>
          </wp:inline>
        </w:drawing>
      </w:r>
    </w:p>
    <w:p w14:paraId="076592A9" w14:textId="75B97B30" w:rsidR="004B6BAC" w:rsidRPr="007A0D86" w:rsidRDefault="00FB3FE1" w:rsidP="00FB3FE1">
      <w:pPr>
        <w:pStyle w:val="BodyText"/>
      </w:pPr>
      <w:r>
        <w:t>Salvatore Costanzo, Chief Finance Officer</w:t>
      </w:r>
    </w:p>
    <w:p w14:paraId="267CA458" w14:textId="12E7748F" w:rsidR="004B6BAC" w:rsidRDefault="004B6BAC" w:rsidP="004B6BAC">
      <w:pPr>
        <w:pStyle w:val="BodyText"/>
      </w:pPr>
      <w:r w:rsidRPr="007A0D86">
        <w:rPr>
          <w:noProof/>
        </w:rPr>
        <w:drawing>
          <wp:inline distT="0" distB="0" distL="0" distR="0" wp14:anchorId="52754EAC" wp14:editId="56E98828">
            <wp:extent cx="1254156" cy="1254156"/>
            <wp:effectExtent l="0" t="0" r="3175" b="3175"/>
            <wp:docPr id="31" name="image20.png" descr="A photograph of Marion van Rooden, Chief Corporat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0.png" descr="A photograph of Marion van Rooden, Chief Corporate Officer."/>
                    <pic:cNvPicPr/>
                  </pic:nvPicPr>
                  <pic:blipFill>
                    <a:blip r:embed="rId23">
                      <a:extLst>
                        <a:ext uri="{28A0092B-C50C-407E-A947-70E740481C1C}">
                          <a14:useLocalDpi xmlns:a14="http://schemas.microsoft.com/office/drawing/2010/main" val="0"/>
                        </a:ext>
                      </a:extLst>
                    </a:blip>
                    <a:stretch>
                      <a:fillRect/>
                    </a:stretch>
                  </pic:blipFill>
                  <pic:spPr>
                    <a:xfrm>
                      <a:off x="0" y="0"/>
                      <a:ext cx="1254156" cy="1254156"/>
                    </a:xfrm>
                    <a:prstGeom prst="rect">
                      <a:avLst/>
                    </a:prstGeom>
                  </pic:spPr>
                </pic:pic>
              </a:graphicData>
            </a:graphic>
          </wp:inline>
        </w:drawing>
      </w:r>
    </w:p>
    <w:p w14:paraId="68A5EE5A" w14:textId="729E920E" w:rsidR="004B6BAC" w:rsidRPr="008321EF" w:rsidRDefault="004B6BAC" w:rsidP="004B6BAC">
      <w:pPr>
        <w:pStyle w:val="BodyText"/>
      </w:pPr>
      <w:r w:rsidRPr="008321EF">
        <w:t xml:space="preserve">Marion van </w:t>
      </w:r>
      <w:proofErr w:type="spellStart"/>
      <w:r w:rsidRPr="008321EF">
        <w:t>Rooden</w:t>
      </w:r>
      <w:proofErr w:type="spellEnd"/>
      <w:r w:rsidR="00FA1A25" w:rsidRPr="008321EF">
        <w:t xml:space="preserve">, </w:t>
      </w:r>
      <w:r w:rsidRPr="008321EF">
        <w:t>Chief Corporate Officer</w:t>
      </w:r>
    </w:p>
    <w:p w14:paraId="39731BCD" w14:textId="5D568E94" w:rsidR="00FB3FE1" w:rsidRPr="008321EF" w:rsidRDefault="00FB3FE1" w:rsidP="00FB3FE1">
      <w:pPr>
        <w:pStyle w:val="BodyText"/>
      </w:pPr>
      <w:proofErr w:type="spellStart"/>
      <w:r w:rsidRPr="008321EF">
        <w:t>Voula</w:t>
      </w:r>
      <w:proofErr w:type="spellEnd"/>
      <w:r w:rsidRPr="008321EF">
        <w:t xml:space="preserve"> Haig, Acting Executive Director People and Culture (see</w:t>
      </w:r>
      <w:r w:rsidR="008321EF">
        <w:t xml:space="preserve"> </w:t>
      </w:r>
      <w:hyperlink w:anchor="Photonote2" w:history="1">
        <w:r w:rsidR="008321EF" w:rsidRPr="00041A3E">
          <w:rPr>
            <w:rStyle w:val="Hyperlink"/>
          </w:rPr>
          <w:t>note 2</w:t>
        </w:r>
      </w:hyperlink>
      <w:r w:rsidRPr="008321EF">
        <w:t>)</w:t>
      </w:r>
    </w:p>
    <w:p w14:paraId="48560671" w14:textId="5E8C369F" w:rsidR="00FB3FE1" w:rsidRDefault="00FB3FE1" w:rsidP="00FB3FE1">
      <w:pPr>
        <w:pStyle w:val="BodyText"/>
      </w:pPr>
      <w:r w:rsidRPr="008321EF">
        <w:t>Bill O’Connor, Director Performance and Planning (see</w:t>
      </w:r>
      <w:r w:rsidR="00EF658E">
        <w:t xml:space="preserve"> </w:t>
      </w:r>
      <w:hyperlink w:anchor="Photonote3" w:history="1">
        <w:r w:rsidR="00EF658E" w:rsidRPr="00041A3E">
          <w:rPr>
            <w:rStyle w:val="Hyperlink"/>
          </w:rPr>
          <w:t>note 3</w:t>
        </w:r>
      </w:hyperlink>
      <w:r w:rsidRPr="008321EF">
        <w:t>)</w:t>
      </w:r>
    </w:p>
    <w:p w14:paraId="66B98B38" w14:textId="77777777" w:rsidR="00C5027F" w:rsidRDefault="00C5027F" w:rsidP="00C5027F">
      <w:pPr>
        <w:pStyle w:val="NotesText"/>
      </w:pPr>
      <w:r>
        <w:t>Notes:</w:t>
      </w:r>
    </w:p>
    <w:p w14:paraId="737D0C86" w14:textId="6C080749" w:rsidR="00C5027F" w:rsidRDefault="00C5027F" w:rsidP="006A099C">
      <w:pPr>
        <w:pStyle w:val="NotesNumberedList"/>
      </w:pPr>
      <w:bookmarkStart w:id="17" w:name="Photonote1"/>
      <w:bookmarkEnd w:id="17"/>
      <w:r>
        <w:t>Fiona Chamberlain commenced as Chief Operating Officer on 2 December 2019.</w:t>
      </w:r>
      <w:r w:rsidR="00B85A4F">
        <w:br/>
      </w:r>
      <w:r>
        <w:t>Marlene Morison was the Executive Director Asset Planning and Management to 27 September 2019.</w:t>
      </w:r>
    </w:p>
    <w:p w14:paraId="1F567288" w14:textId="1C0F0518" w:rsidR="00C5027F" w:rsidRDefault="00C5027F" w:rsidP="00C5027F">
      <w:pPr>
        <w:pStyle w:val="NotesNumberedList"/>
      </w:pPr>
      <w:bookmarkStart w:id="18" w:name="Photonote2"/>
      <w:bookmarkEnd w:id="18"/>
      <w:r>
        <w:t>Alicia Goddard was the Executive Director of People and Culture to 31 January 2020.</w:t>
      </w:r>
    </w:p>
    <w:p w14:paraId="31B5AAFE" w14:textId="776C35AF" w:rsidR="00C5027F" w:rsidRPr="007A0D86" w:rsidRDefault="00C5027F" w:rsidP="00C5027F">
      <w:pPr>
        <w:pStyle w:val="NotesNumberedList"/>
      </w:pPr>
      <w:bookmarkStart w:id="19" w:name="Photonote3"/>
      <w:bookmarkEnd w:id="19"/>
      <w:r>
        <w:t>Bill O’Connor commenced as Director Performance and Planning on 27 September 2019.</w:t>
      </w:r>
    </w:p>
    <w:p w14:paraId="19E00E6F" w14:textId="77777777" w:rsidR="00E952AB" w:rsidRDefault="004B6BAC" w:rsidP="00356776">
      <w:pPr>
        <w:pStyle w:val="Heading4"/>
      </w:pPr>
      <w:r w:rsidRPr="007A0D86">
        <w:t>Jurisdiction Chief Executive Officers</w:t>
      </w:r>
    </w:p>
    <w:p w14:paraId="5232AFB9" w14:textId="15A748F8" w:rsidR="00FB3FE1" w:rsidRDefault="00FB3FE1" w:rsidP="00FB3FE1">
      <w:pPr>
        <w:pStyle w:val="BodyText"/>
      </w:pPr>
      <w:r>
        <w:t>Each of the CEOs oversees the administration of their jurisdiction and provides support to their Head of Jurisdiction.</w:t>
      </w:r>
    </w:p>
    <w:p w14:paraId="089E9DDE" w14:textId="43AC41F7" w:rsidR="00FB3FE1" w:rsidRDefault="00FB3FE1" w:rsidP="00FB3FE1">
      <w:pPr>
        <w:pStyle w:val="BodyText"/>
      </w:pPr>
      <w:r>
        <w:t xml:space="preserve">They come together with the </w:t>
      </w:r>
      <w:r w:rsidR="009B1462">
        <w:t>Court Services Victoria</w:t>
      </w:r>
      <w:r>
        <w:t xml:space="preserve"> CEO and senior executives as the Courts Executive, to focus collaboratively on the delivery of strategy, quality administration, and continuous improvement.</w:t>
      </w:r>
    </w:p>
    <w:p w14:paraId="2A231C62" w14:textId="47F1AD92" w:rsidR="00FB3FE1" w:rsidRDefault="00FB3FE1" w:rsidP="001871F9">
      <w:pPr>
        <w:pStyle w:val="BodyText"/>
        <w:keepNext/>
      </w:pPr>
      <w:r>
        <w:t xml:space="preserve">The Chief Executive Officers, as </w:t>
      </w:r>
      <w:proofErr w:type="gramStart"/>
      <w:r>
        <w:t>at</w:t>
      </w:r>
      <w:proofErr w:type="gramEnd"/>
      <w:r>
        <w:t xml:space="preserve"> 30 June 2020, are listed below.</w:t>
      </w:r>
    </w:p>
    <w:p w14:paraId="4BA29050" w14:textId="2FD57256" w:rsidR="004B6BAC" w:rsidRPr="007A0D86" w:rsidRDefault="004B6BAC" w:rsidP="004B6BAC">
      <w:pPr>
        <w:pStyle w:val="BodyText"/>
      </w:pPr>
      <w:r w:rsidRPr="007A0D86">
        <w:rPr>
          <w:noProof/>
        </w:rPr>
        <w:drawing>
          <wp:inline distT="0" distB="0" distL="0" distR="0" wp14:anchorId="40DEE550" wp14:editId="18F53FE9">
            <wp:extent cx="1254144" cy="1254144"/>
            <wp:effectExtent l="0" t="0" r="3175" b="3175"/>
            <wp:docPr id="33" name="image21.png" descr="A photograph of Matt Hall, 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1.png" descr="A photograph of Matt Hall, Supreme Court of Victoria."/>
                    <pic:cNvPicPr/>
                  </pic:nvPicPr>
                  <pic:blipFill>
                    <a:blip r:embed="rId24">
                      <a:extLst>
                        <a:ext uri="{28A0092B-C50C-407E-A947-70E740481C1C}">
                          <a14:useLocalDpi xmlns:a14="http://schemas.microsoft.com/office/drawing/2010/main" val="0"/>
                        </a:ext>
                      </a:extLst>
                    </a:blip>
                    <a:stretch>
                      <a:fillRect/>
                    </a:stretch>
                  </pic:blipFill>
                  <pic:spPr>
                    <a:xfrm>
                      <a:off x="0" y="0"/>
                      <a:ext cx="1254144" cy="1254144"/>
                    </a:xfrm>
                    <a:prstGeom prst="rect">
                      <a:avLst/>
                    </a:prstGeom>
                  </pic:spPr>
                </pic:pic>
              </a:graphicData>
            </a:graphic>
          </wp:inline>
        </w:drawing>
      </w:r>
    </w:p>
    <w:p w14:paraId="77CCF608" w14:textId="67846059" w:rsidR="004B6BAC" w:rsidRPr="007A0D86" w:rsidRDefault="004B6BAC" w:rsidP="004B6BAC">
      <w:pPr>
        <w:pStyle w:val="BodyText"/>
      </w:pPr>
      <w:r w:rsidRPr="007A0D86">
        <w:t>Matt Hall</w:t>
      </w:r>
      <w:r w:rsidR="00C648AC">
        <w:t xml:space="preserve">, </w:t>
      </w:r>
      <w:r w:rsidRPr="007A0D86">
        <w:t>Supreme Court of Victoria</w:t>
      </w:r>
    </w:p>
    <w:p w14:paraId="0D0775EA" w14:textId="2FA1BAEE" w:rsidR="004B6BAC" w:rsidRPr="007A0D86" w:rsidRDefault="004B6BAC" w:rsidP="004B6BAC">
      <w:pPr>
        <w:pStyle w:val="BodyText"/>
      </w:pPr>
      <w:r w:rsidRPr="008321EF">
        <w:rPr>
          <w:noProof/>
        </w:rPr>
        <w:drawing>
          <wp:inline distT="0" distB="0" distL="0" distR="0" wp14:anchorId="4949D7F1" wp14:editId="2FF3ACE3">
            <wp:extent cx="1242155" cy="1242155"/>
            <wp:effectExtent l="0" t="0" r="0" b="0"/>
            <wp:docPr id="37" name="image23.png" descr="A photograph of Daniel Caporale, County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3.png" descr="A photograph of Daniel Caporale, County Court of Victoria."/>
                    <pic:cNvPicPr/>
                  </pic:nvPicPr>
                  <pic:blipFill>
                    <a:blip r:embed="rId25">
                      <a:extLst>
                        <a:ext uri="{28A0092B-C50C-407E-A947-70E740481C1C}">
                          <a14:useLocalDpi xmlns:a14="http://schemas.microsoft.com/office/drawing/2010/main" val="0"/>
                        </a:ext>
                      </a:extLst>
                    </a:blip>
                    <a:stretch>
                      <a:fillRect/>
                    </a:stretch>
                  </pic:blipFill>
                  <pic:spPr>
                    <a:xfrm>
                      <a:off x="0" y="0"/>
                      <a:ext cx="1242155" cy="1242155"/>
                    </a:xfrm>
                    <a:prstGeom prst="rect">
                      <a:avLst/>
                    </a:prstGeom>
                  </pic:spPr>
                </pic:pic>
              </a:graphicData>
            </a:graphic>
          </wp:inline>
        </w:drawing>
      </w:r>
    </w:p>
    <w:p w14:paraId="427DE3F2" w14:textId="07C983AE" w:rsidR="00FB3FE1" w:rsidRDefault="00E12B7A" w:rsidP="00E12B7A">
      <w:pPr>
        <w:pStyle w:val="BodyText"/>
      </w:pPr>
      <w:r>
        <w:t xml:space="preserve">Daniel </w:t>
      </w:r>
      <w:proofErr w:type="spellStart"/>
      <w:r>
        <w:t>Caporale</w:t>
      </w:r>
      <w:proofErr w:type="spellEnd"/>
      <w:r>
        <w:t>, County Court of Victoria (see</w:t>
      </w:r>
      <w:r w:rsidR="00EA14A4">
        <w:t xml:space="preserve"> </w:t>
      </w:r>
      <w:hyperlink w:anchor="Photonote4" w:history="1">
        <w:r w:rsidR="00EA14A4" w:rsidRPr="00041A3E">
          <w:rPr>
            <w:rStyle w:val="Hyperlink"/>
          </w:rPr>
          <w:t>note 1</w:t>
        </w:r>
      </w:hyperlink>
      <w:r>
        <w:t>)</w:t>
      </w:r>
    </w:p>
    <w:p w14:paraId="0EC1A3E5" w14:textId="349FFBF3" w:rsidR="00D45E5B" w:rsidRDefault="004B6BAC" w:rsidP="004B6BAC">
      <w:pPr>
        <w:pStyle w:val="BodyText"/>
      </w:pPr>
      <w:r w:rsidRPr="008321EF">
        <w:rPr>
          <w:noProof/>
        </w:rPr>
        <w:drawing>
          <wp:inline distT="0" distB="0" distL="0" distR="0" wp14:anchorId="39E52540" wp14:editId="10694A6E">
            <wp:extent cx="1247774" cy="1247774"/>
            <wp:effectExtent l="0" t="0" r="0" b="0"/>
            <wp:docPr id="39" name="image24.png" descr="A photograph of Elissa Scott, Acting Chief Executive Officer Magist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4.png" descr="A photograph of Elissa Scott, Acting Chief Executive Officer Magistrates’."/>
                    <pic:cNvPicPr/>
                  </pic:nvPicPr>
                  <pic:blipFill>
                    <a:blip r:embed="rId26">
                      <a:extLst>
                        <a:ext uri="{28A0092B-C50C-407E-A947-70E740481C1C}">
                          <a14:useLocalDpi xmlns:a14="http://schemas.microsoft.com/office/drawing/2010/main" val="0"/>
                        </a:ext>
                      </a:extLst>
                    </a:blip>
                    <a:stretch>
                      <a:fillRect/>
                    </a:stretch>
                  </pic:blipFill>
                  <pic:spPr>
                    <a:xfrm>
                      <a:off x="0" y="0"/>
                      <a:ext cx="1247774" cy="1247774"/>
                    </a:xfrm>
                    <a:prstGeom prst="rect">
                      <a:avLst/>
                    </a:prstGeom>
                  </pic:spPr>
                </pic:pic>
              </a:graphicData>
            </a:graphic>
          </wp:inline>
        </w:drawing>
      </w:r>
    </w:p>
    <w:p w14:paraId="1A4AE63D" w14:textId="19534B63" w:rsidR="00E12B7A" w:rsidRDefault="00E12B7A" w:rsidP="00E12B7A">
      <w:pPr>
        <w:pStyle w:val="BodyText"/>
      </w:pPr>
      <w:r>
        <w:t>Elissa Scott, Acting Chief Executive Officer Magistrates’, Court of Victoria (see</w:t>
      </w:r>
      <w:r w:rsidR="00EA14A4">
        <w:t xml:space="preserve"> </w:t>
      </w:r>
      <w:hyperlink w:anchor="Photenote5" w:history="1">
        <w:r w:rsidR="00EA14A4" w:rsidRPr="00041A3E">
          <w:rPr>
            <w:rStyle w:val="Hyperlink"/>
          </w:rPr>
          <w:t>note 2</w:t>
        </w:r>
      </w:hyperlink>
      <w:r>
        <w:t>)</w:t>
      </w:r>
    </w:p>
    <w:p w14:paraId="332793B9" w14:textId="0A51D167" w:rsidR="00C648AC" w:rsidRDefault="00C648AC" w:rsidP="004B6BAC">
      <w:pPr>
        <w:pStyle w:val="BodyText"/>
      </w:pPr>
      <w:r>
        <w:rPr>
          <w:noProof/>
        </w:rPr>
        <w:drawing>
          <wp:inline distT="0" distB="0" distL="0" distR="0" wp14:anchorId="7FDB0480" wp14:editId="52564157">
            <wp:extent cx="1261872" cy="1261872"/>
            <wp:effectExtent l="0" t="0" r="0" b="0"/>
            <wp:docPr id="116" name="Picture 116" descr="A photograph of Simon McDonald, Children’s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A photograph of Simon McDonald, Children’s Court of Victoria."/>
                    <pic:cNvPicPr/>
                  </pic:nvPicPr>
                  <pic:blipFill>
                    <a:blip r:embed="rId27">
                      <a:extLst>
                        <a:ext uri="{28A0092B-C50C-407E-A947-70E740481C1C}">
                          <a14:useLocalDpi xmlns:a14="http://schemas.microsoft.com/office/drawing/2010/main" val="0"/>
                        </a:ext>
                      </a:extLst>
                    </a:blip>
                    <a:stretch>
                      <a:fillRect/>
                    </a:stretch>
                  </pic:blipFill>
                  <pic:spPr>
                    <a:xfrm>
                      <a:off x="0" y="0"/>
                      <a:ext cx="1261872" cy="1261872"/>
                    </a:xfrm>
                    <a:prstGeom prst="rect">
                      <a:avLst/>
                    </a:prstGeom>
                  </pic:spPr>
                </pic:pic>
              </a:graphicData>
            </a:graphic>
          </wp:inline>
        </w:drawing>
      </w:r>
    </w:p>
    <w:p w14:paraId="695E345A" w14:textId="175CBEA3" w:rsidR="004B6BAC" w:rsidRPr="007A0D86" w:rsidRDefault="004B6BAC" w:rsidP="004B6BAC">
      <w:pPr>
        <w:pStyle w:val="BodyText"/>
      </w:pPr>
      <w:r w:rsidRPr="007A0D86">
        <w:t>Simon McDonald</w:t>
      </w:r>
      <w:r w:rsidR="00C648AC">
        <w:t xml:space="preserve">, </w:t>
      </w:r>
      <w:r w:rsidRPr="007A0D86">
        <w:t>Children’s Court of Victoria</w:t>
      </w:r>
    </w:p>
    <w:p w14:paraId="5E0B543C" w14:textId="77777777" w:rsidR="004B6BAC" w:rsidRPr="007A0D86" w:rsidRDefault="004B6BAC" w:rsidP="004B6BAC">
      <w:pPr>
        <w:pStyle w:val="BodyText"/>
      </w:pPr>
      <w:r w:rsidRPr="007A0D86">
        <w:rPr>
          <w:noProof/>
        </w:rPr>
        <w:drawing>
          <wp:inline distT="0" distB="0" distL="0" distR="0" wp14:anchorId="7FD724F3" wp14:editId="5036C028">
            <wp:extent cx="1254156" cy="1254156"/>
            <wp:effectExtent l="0" t="0" r="3175" b="3175"/>
            <wp:docPr id="41" name="image25.png" descr="A photograph of Carolyn Gale, Coroners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5.png" descr="A photograph of Carolyn Gale, Coroners Court of Victoria."/>
                    <pic:cNvPicPr/>
                  </pic:nvPicPr>
                  <pic:blipFill>
                    <a:blip r:embed="rId28">
                      <a:extLst>
                        <a:ext uri="{28A0092B-C50C-407E-A947-70E740481C1C}">
                          <a14:useLocalDpi xmlns:a14="http://schemas.microsoft.com/office/drawing/2010/main" val="0"/>
                        </a:ext>
                      </a:extLst>
                    </a:blip>
                    <a:stretch>
                      <a:fillRect/>
                    </a:stretch>
                  </pic:blipFill>
                  <pic:spPr>
                    <a:xfrm>
                      <a:off x="0" y="0"/>
                      <a:ext cx="1254156" cy="1254156"/>
                    </a:xfrm>
                    <a:prstGeom prst="rect">
                      <a:avLst/>
                    </a:prstGeom>
                  </pic:spPr>
                </pic:pic>
              </a:graphicData>
            </a:graphic>
          </wp:inline>
        </w:drawing>
      </w:r>
    </w:p>
    <w:p w14:paraId="106B87F1" w14:textId="06E80B2A" w:rsidR="004B6BAC" w:rsidRDefault="004B6BAC" w:rsidP="004B6BAC">
      <w:pPr>
        <w:pStyle w:val="BodyText"/>
      </w:pPr>
      <w:r w:rsidRPr="007A0D86">
        <w:t>Carolyn Gale</w:t>
      </w:r>
      <w:r w:rsidR="00C648AC">
        <w:t xml:space="preserve">, </w:t>
      </w:r>
      <w:r w:rsidRPr="007A0D86">
        <w:t>Coroners Court of Victoria</w:t>
      </w:r>
    </w:p>
    <w:p w14:paraId="4D8B13E8" w14:textId="77777777" w:rsidR="00996B2E" w:rsidRDefault="00996B2E" w:rsidP="00996B2E">
      <w:pPr>
        <w:pStyle w:val="BodyText"/>
      </w:pPr>
      <w:r w:rsidRPr="007A0D86">
        <w:rPr>
          <w:noProof/>
        </w:rPr>
        <w:drawing>
          <wp:inline distT="0" distB="0" distL="0" distR="0" wp14:anchorId="4BC82861" wp14:editId="7A269FFB">
            <wp:extent cx="1231431" cy="1231431"/>
            <wp:effectExtent l="0" t="0" r="6985" b="6985"/>
            <wp:docPr id="45" name="image27.png" descr="A photograph of Mary Amiridis, Victorian Civil and Administrative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7.png" descr="A photograph of Mary Amiridis, Victorian Civil and Administrative Tribunal."/>
                    <pic:cNvPicPr/>
                  </pic:nvPicPr>
                  <pic:blipFill>
                    <a:blip r:embed="rId29">
                      <a:extLst>
                        <a:ext uri="{28A0092B-C50C-407E-A947-70E740481C1C}">
                          <a14:useLocalDpi xmlns:a14="http://schemas.microsoft.com/office/drawing/2010/main" val="0"/>
                        </a:ext>
                      </a:extLst>
                    </a:blip>
                    <a:stretch>
                      <a:fillRect/>
                    </a:stretch>
                  </pic:blipFill>
                  <pic:spPr>
                    <a:xfrm>
                      <a:off x="0" y="0"/>
                      <a:ext cx="1231431" cy="1231431"/>
                    </a:xfrm>
                    <a:prstGeom prst="rect">
                      <a:avLst/>
                    </a:prstGeom>
                  </pic:spPr>
                </pic:pic>
              </a:graphicData>
            </a:graphic>
          </wp:inline>
        </w:drawing>
      </w:r>
    </w:p>
    <w:p w14:paraId="6B879767" w14:textId="1E132BE7" w:rsidR="00996B2E" w:rsidRPr="007A0D86" w:rsidRDefault="00996B2E" w:rsidP="00996B2E">
      <w:pPr>
        <w:pStyle w:val="BodyText"/>
      </w:pPr>
      <w:r w:rsidRPr="007A0D86">
        <w:t xml:space="preserve">Mary </w:t>
      </w:r>
      <w:proofErr w:type="spellStart"/>
      <w:r w:rsidRPr="007A0D86">
        <w:t>Amiridis</w:t>
      </w:r>
      <w:proofErr w:type="spellEnd"/>
      <w:r>
        <w:t xml:space="preserve">, </w:t>
      </w:r>
      <w:r w:rsidRPr="007A0D86">
        <w:t>Victorian Civil and Administrative Tribunal</w:t>
      </w:r>
    </w:p>
    <w:p w14:paraId="084ADDD4" w14:textId="77777777" w:rsidR="004B6BAC" w:rsidRPr="007A0D86" w:rsidRDefault="004B6BAC" w:rsidP="004B6BAC">
      <w:pPr>
        <w:pStyle w:val="BodyText"/>
      </w:pPr>
      <w:r w:rsidRPr="007A0D86">
        <w:rPr>
          <w:noProof/>
        </w:rPr>
        <w:drawing>
          <wp:inline distT="0" distB="0" distL="0" distR="0" wp14:anchorId="65285104" wp14:editId="5187DF2F">
            <wp:extent cx="1254156" cy="1254156"/>
            <wp:effectExtent l="0" t="0" r="3175" b="3175"/>
            <wp:docPr id="43" name="image26.png" descr="A photograph of Samantha Burchell, Judicial College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6.png" descr="A photograph of Samantha Burchell, Judicial College of Victoria."/>
                    <pic:cNvPicPr/>
                  </pic:nvPicPr>
                  <pic:blipFill>
                    <a:blip r:embed="rId30">
                      <a:extLst>
                        <a:ext uri="{28A0092B-C50C-407E-A947-70E740481C1C}">
                          <a14:useLocalDpi xmlns:a14="http://schemas.microsoft.com/office/drawing/2010/main" val="0"/>
                        </a:ext>
                      </a:extLst>
                    </a:blip>
                    <a:stretch>
                      <a:fillRect/>
                    </a:stretch>
                  </pic:blipFill>
                  <pic:spPr>
                    <a:xfrm>
                      <a:off x="0" y="0"/>
                      <a:ext cx="1254156" cy="1254156"/>
                    </a:xfrm>
                    <a:prstGeom prst="rect">
                      <a:avLst/>
                    </a:prstGeom>
                  </pic:spPr>
                </pic:pic>
              </a:graphicData>
            </a:graphic>
          </wp:inline>
        </w:drawing>
      </w:r>
    </w:p>
    <w:p w14:paraId="3FDF66BF" w14:textId="64418367" w:rsidR="004B6BAC" w:rsidRPr="007A0D86" w:rsidRDefault="004B6BAC" w:rsidP="004B6BAC">
      <w:pPr>
        <w:pStyle w:val="BodyText"/>
      </w:pPr>
      <w:r w:rsidRPr="007A0D86">
        <w:t>Samantha Burchell</w:t>
      </w:r>
      <w:r w:rsidR="008B75BC">
        <w:t xml:space="preserve">, </w:t>
      </w:r>
      <w:r w:rsidRPr="007A0D86">
        <w:t>Judicial College of Victoria</w:t>
      </w:r>
    </w:p>
    <w:p w14:paraId="2AC1B8F8" w14:textId="32EE96EE" w:rsidR="00996B2E" w:rsidRDefault="00996B2E" w:rsidP="00996B2E">
      <w:pPr>
        <w:pStyle w:val="BodyText"/>
      </w:pPr>
      <w:r>
        <w:t>Alexis Eddy, Director Judicial Commission of Victoria (see</w:t>
      </w:r>
      <w:r w:rsidR="00EA14A4">
        <w:t xml:space="preserve"> </w:t>
      </w:r>
      <w:hyperlink w:anchor="Photonote6" w:history="1">
        <w:r w:rsidR="00EA14A4" w:rsidRPr="00041A3E">
          <w:rPr>
            <w:rStyle w:val="Hyperlink"/>
          </w:rPr>
          <w:t>note 3</w:t>
        </w:r>
      </w:hyperlink>
      <w:r>
        <w:t>)</w:t>
      </w:r>
    </w:p>
    <w:p w14:paraId="3C390307" w14:textId="77777777" w:rsidR="004B6BAC" w:rsidRPr="007A0D86" w:rsidRDefault="004B6BAC" w:rsidP="004B6BAC">
      <w:pPr>
        <w:pStyle w:val="NotesText"/>
      </w:pPr>
      <w:r w:rsidRPr="007A0D86">
        <w:t>Notes:</w:t>
      </w:r>
    </w:p>
    <w:p w14:paraId="36104FD4" w14:textId="5B335E41" w:rsidR="008321EF" w:rsidRDefault="008321EF" w:rsidP="00F110E7">
      <w:pPr>
        <w:pStyle w:val="NotesNumberedList"/>
        <w:numPr>
          <w:ilvl w:val="0"/>
          <w:numId w:val="47"/>
        </w:numPr>
      </w:pPr>
      <w:bookmarkStart w:id="20" w:name="Photonote4"/>
      <w:bookmarkStart w:id="21" w:name="Note1KNegri"/>
      <w:bookmarkEnd w:id="20"/>
      <w:r>
        <w:t xml:space="preserve">Fiona Chamberlain was Chief Executive Officer County Court of Victoria, until 29 November 2019. Bradley </w:t>
      </w:r>
      <w:proofErr w:type="spellStart"/>
      <w:r>
        <w:t>Medcroft</w:t>
      </w:r>
      <w:proofErr w:type="spellEnd"/>
      <w:r>
        <w:t xml:space="preserve"> was Acting Chief Executive Officer County Court of Victoria from 2 December 2019 to 28 February 2020.</w:t>
      </w:r>
    </w:p>
    <w:p w14:paraId="2AD33EF9" w14:textId="0AD93599" w:rsidR="008321EF" w:rsidRDefault="008321EF" w:rsidP="008321EF">
      <w:pPr>
        <w:pStyle w:val="NotesNumberedList"/>
      </w:pPr>
      <w:bookmarkStart w:id="22" w:name="Photenote5"/>
      <w:bookmarkEnd w:id="22"/>
      <w:r>
        <w:t xml:space="preserve">Andrew </w:t>
      </w:r>
      <w:proofErr w:type="spellStart"/>
      <w:r>
        <w:t>Tenni</w:t>
      </w:r>
      <w:proofErr w:type="spellEnd"/>
      <w:r>
        <w:t xml:space="preserve"> was Chief Executive Officer, Magistrates’ Court of Victoria, until 21 February 2020.</w:t>
      </w:r>
    </w:p>
    <w:p w14:paraId="6AFEA999" w14:textId="1FDB2B98" w:rsidR="008321EF" w:rsidRDefault="008321EF" w:rsidP="008321EF">
      <w:pPr>
        <w:pStyle w:val="NotesNumberedList"/>
      </w:pPr>
      <w:bookmarkStart w:id="23" w:name="Photonote6"/>
      <w:bookmarkEnd w:id="23"/>
      <w:r>
        <w:t>Jacqueline Harrop was the Acting Director of the Judicial Commission of Victoria until 16 October 2019.</w:t>
      </w:r>
    </w:p>
    <w:p w14:paraId="6C90C9D6" w14:textId="36B2248E" w:rsidR="004B6BAC" w:rsidRPr="007A0D86" w:rsidRDefault="004B6BAC" w:rsidP="005A746E">
      <w:pPr>
        <w:pStyle w:val="Heading1"/>
      </w:pPr>
      <w:bookmarkStart w:id="24" w:name="Section2"/>
      <w:bookmarkStart w:id="25" w:name="_Ref22639669"/>
      <w:bookmarkStart w:id="26" w:name="_Toc62808034"/>
      <w:bookmarkEnd w:id="21"/>
      <w:r w:rsidRPr="007A0D86">
        <w:t xml:space="preserve">Section </w:t>
      </w:r>
      <w:r w:rsidR="004A2FA2">
        <w:t>2</w:t>
      </w:r>
      <w:bookmarkEnd w:id="24"/>
      <w:r w:rsidR="004A2FA2">
        <w:t>: Year i</w:t>
      </w:r>
      <w:r w:rsidRPr="007A0D86">
        <w:t>n Review</w:t>
      </w:r>
      <w:bookmarkEnd w:id="25"/>
      <w:bookmarkEnd w:id="26"/>
    </w:p>
    <w:p w14:paraId="38BBA80A" w14:textId="2D5326DB" w:rsidR="0087260D" w:rsidRDefault="009B1462" w:rsidP="0087260D">
      <w:r>
        <w:t>Court Services Victoria</w:t>
      </w:r>
      <w:r w:rsidR="0087260D">
        <w:t xml:space="preserve"> is charged with the delivery of efficient and effective corporate services to the Courts Group. It discharges this accountability through:</w:t>
      </w:r>
    </w:p>
    <w:p w14:paraId="122A6213" w14:textId="5A7B45A3" w:rsidR="0087260D" w:rsidRDefault="0087260D" w:rsidP="0087260D">
      <w:pPr>
        <w:pStyle w:val="ListBullet"/>
      </w:pPr>
      <w:r>
        <w:t>An engaged and productive workforce</w:t>
      </w:r>
    </w:p>
    <w:p w14:paraId="7F012F97" w14:textId="119DFC8F" w:rsidR="0087260D" w:rsidRDefault="0087260D" w:rsidP="0087260D">
      <w:pPr>
        <w:pStyle w:val="ListBullet"/>
      </w:pPr>
      <w:r>
        <w:t>An ethical, healthy and safe workplace</w:t>
      </w:r>
    </w:p>
    <w:p w14:paraId="6B8BB900" w14:textId="7475E4EA" w:rsidR="0087260D" w:rsidRDefault="0087260D" w:rsidP="0087260D">
      <w:pPr>
        <w:pStyle w:val="ListBullet"/>
      </w:pPr>
      <w:r>
        <w:t>Good governance following the requirements of the Victorian Public Sector</w:t>
      </w:r>
    </w:p>
    <w:p w14:paraId="6A452CA9" w14:textId="1B93632D" w:rsidR="0087260D" w:rsidRDefault="0087260D" w:rsidP="0087260D">
      <w:pPr>
        <w:pStyle w:val="ListBullet"/>
      </w:pPr>
      <w:r>
        <w:t>Sound financial management and future sustainability</w:t>
      </w:r>
    </w:p>
    <w:p w14:paraId="7ACF2C61" w14:textId="427D64FD" w:rsidR="0087260D" w:rsidRDefault="0087260D" w:rsidP="0087260D">
      <w:pPr>
        <w:pStyle w:val="ListBullet"/>
      </w:pPr>
      <w:r>
        <w:t>User focussed and innovative information technology systems</w:t>
      </w:r>
    </w:p>
    <w:p w14:paraId="481D23EB" w14:textId="3C25B43D" w:rsidR="0087260D" w:rsidRDefault="0087260D" w:rsidP="0087260D">
      <w:pPr>
        <w:pStyle w:val="ListBullet"/>
      </w:pPr>
      <w:r>
        <w:t>Provision of key infrastructure for the delivery of justice</w:t>
      </w:r>
    </w:p>
    <w:p w14:paraId="0D805A96" w14:textId="28343CA5" w:rsidR="0087260D" w:rsidRDefault="0087260D" w:rsidP="0087260D">
      <w:pPr>
        <w:pStyle w:val="BodyText"/>
      </w:pPr>
      <w:r>
        <w:t xml:space="preserve">During 2019-20, </w:t>
      </w:r>
      <w:r w:rsidR="009B1462">
        <w:t>Court Services Victoria</w:t>
      </w:r>
      <w:r>
        <w:t xml:space="preserve"> continued to operate consistently with the </w:t>
      </w:r>
      <w:r w:rsidR="009B1462">
        <w:t>Court Services Victoria</w:t>
      </w:r>
      <w:r>
        <w:t xml:space="preserve"> Corporate Plan 2018-2022. This ‘Year in review’ section details performance highlights of each operational area within </w:t>
      </w:r>
      <w:r w:rsidR="009B1462">
        <w:t>Court Services Victoria</w:t>
      </w:r>
      <w:r>
        <w:t xml:space="preserve">’s corporate centre against the four strategic priorities of the </w:t>
      </w:r>
      <w:r w:rsidR="009B1462">
        <w:t>Court Services Victoria</w:t>
      </w:r>
      <w:r>
        <w:t xml:space="preserve"> Corporate Plan. Achievements against performance measures are reported under Output Performance.</w:t>
      </w:r>
    </w:p>
    <w:p w14:paraId="1AB34636" w14:textId="37884D9D" w:rsidR="0087260D" w:rsidRDefault="0087260D" w:rsidP="0087260D">
      <w:pPr>
        <w:pStyle w:val="BodyText"/>
      </w:pPr>
      <w:r>
        <w:t>The strategic priorities are:</w:t>
      </w:r>
    </w:p>
    <w:p w14:paraId="6A995351" w14:textId="2CBD1BF5" w:rsidR="0087260D" w:rsidRDefault="0087260D" w:rsidP="0087260D">
      <w:pPr>
        <w:pStyle w:val="ListBullet"/>
      </w:pPr>
      <w:r>
        <w:t>Judicial independence</w:t>
      </w:r>
    </w:p>
    <w:p w14:paraId="171E3221" w14:textId="7B0286DA" w:rsidR="0087260D" w:rsidRDefault="0087260D" w:rsidP="0087260D">
      <w:pPr>
        <w:pStyle w:val="ListBullet"/>
      </w:pPr>
      <w:r>
        <w:t>Support the administration of justice</w:t>
      </w:r>
    </w:p>
    <w:p w14:paraId="7C75DE72" w14:textId="54043C90" w:rsidR="0087260D" w:rsidRDefault="0087260D" w:rsidP="0087260D">
      <w:pPr>
        <w:pStyle w:val="ListBullet"/>
      </w:pPr>
      <w:r>
        <w:t>Responsible management and accountability</w:t>
      </w:r>
    </w:p>
    <w:p w14:paraId="341B71CA" w14:textId="7BFD97C6" w:rsidR="0087260D" w:rsidRDefault="0087260D" w:rsidP="0087260D">
      <w:pPr>
        <w:pStyle w:val="ListBullet"/>
      </w:pPr>
      <w:r>
        <w:t>Excellence in court, tribunal and judicial support</w:t>
      </w:r>
    </w:p>
    <w:p w14:paraId="445209DB" w14:textId="60E6B507" w:rsidR="0087260D" w:rsidRDefault="0087260D" w:rsidP="00041A3E">
      <w:pPr>
        <w:pStyle w:val="Heading2"/>
      </w:pPr>
      <w:bookmarkStart w:id="27" w:name="_Toc62808035"/>
      <w:r w:rsidRPr="0087260D">
        <w:t xml:space="preserve">Response to </w:t>
      </w:r>
      <w:r>
        <w:t>C</w:t>
      </w:r>
      <w:r w:rsidRPr="0087260D">
        <w:t>oronavirus (</w:t>
      </w:r>
      <w:r>
        <w:t>COVID</w:t>
      </w:r>
      <w:r w:rsidRPr="0087260D">
        <w:t>-19)</w:t>
      </w:r>
      <w:bookmarkEnd w:id="27"/>
    </w:p>
    <w:p w14:paraId="4C7439EA" w14:textId="012C3646" w:rsidR="0087260D" w:rsidRDefault="0087260D" w:rsidP="00041A3E">
      <w:pPr>
        <w:pStyle w:val="BodyText"/>
      </w:pPr>
      <w:r>
        <w:t>On 11 March 2020, the World Health Organisation declared the SARS-CoV2 Virus (COVID-19) a global pandemic, with countries around the world declaring a range of lockdowns and public health measures to protect populations. As part of these measures, the Victorian Government declared a State of Emergency and announced restrictions that included closure of non-essential businesses and the advice for employees to work from home from 25 March 2020.</w:t>
      </w:r>
    </w:p>
    <w:p w14:paraId="3D219CA7" w14:textId="37B0FFE3" w:rsidR="0087260D" w:rsidRDefault="0087260D" w:rsidP="00041A3E">
      <w:pPr>
        <w:pStyle w:val="BodyText"/>
      </w:pPr>
      <w:r>
        <w:t>The Courts Group have a clear and important responsibility to administer justice fairly, transparently, impartially and with integrity. In doing so they play a key role in promoting the safety and security of Victorian communities and contribute to our social cohesiveness and economic prosperity. Since early 2020, Australia has been affected by one of the greatest social and economic disruptions in modern history. Coronavirus (COVID-19) has rapidly swept across the globe, placing pressure on government services, constraining the movement of people and goods, and having a major economic impact.</w:t>
      </w:r>
    </w:p>
    <w:p w14:paraId="126DDB30" w14:textId="36508306" w:rsidR="0087260D" w:rsidRDefault="0087260D" w:rsidP="00041A3E">
      <w:pPr>
        <w:pStyle w:val="BodyText"/>
      </w:pPr>
      <w:r>
        <w:t xml:space="preserve">The coronavirus (COVID-19) crisis has significantly impacted on the operations and throughput of the courts. The Courts Group moved quickly to leverage investments previously made in our modernisation, and rapidly transitioned to remote operations facilitated through technology. </w:t>
      </w:r>
      <w:r w:rsidR="009B1462">
        <w:t>Court Services Victoria</w:t>
      </w:r>
      <w:r>
        <w:t xml:space="preserve"> made swift, but well considered, changes to practice, procedure and operating models to ensure that justice continued to be delivered in the coronavirus (COVID-19) environment. </w:t>
      </w:r>
      <w:r w:rsidR="009B1462">
        <w:t>Court Services Victoria</w:t>
      </w:r>
      <w:r>
        <w:t>’s response efforts focussed on:</w:t>
      </w:r>
    </w:p>
    <w:p w14:paraId="1B7E829A" w14:textId="32673412" w:rsidR="0087260D" w:rsidRDefault="0087260D" w:rsidP="00041A3E">
      <w:pPr>
        <w:pStyle w:val="ListBullet"/>
      </w:pPr>
      <w:r>
        <w:t>ensuring court user, judicial officer and staff safety</w:t>
      </w:r>
    </w:p>
    <w:p w14:paraId="5F651055" w14:textId="16AB7D66" w:rsidR="0087260D" w:rsidRDefault="0087260D" w:rsidP="00041A3E">
      <w:pPr>
        <w:pStyle w:val="ListBullet"/>
      </w:pPr>
      <w:r>
        <w:t>continuing to hear priority matters</w:t>
      </w:r>
    </w:p>
    <w:p w14:paraId="4330642C" w14:textId="5B4C247C" w:rsidR="0087260D" w:rsidRDefault="0087260D" w:rsidP="00041A3E">
      <w:pPr>
        <w:pStyle w:val="ListBullet"/>
      </w:pPr>
      <w:r>
        <w:t>using technology to enable remote hearings</w:t>
      </w:r>
    </w:p>
    <w:p w14:paraId="327FB6EA" w14:textId="7A9E2235" w:rsidR="0087260D" w:rsidRDefault="0087260D" w:rsidP="00041A3E">
      <w:pPr>
        <w:pStyle w:val="ListBullet"/>
      </w:pPr>
      <w:r>
        <w:t>engaging with court users and the justice sector.</w:t>
      </w:r>
    </w:p>
    <w:p w14:paraId="799AB1F1" w14:textId="0DC4864E" w:rsidR="001E380A" w:rsidRDefault="0087260D" w:rsidP="00041A3E">
      <w:pPr>
        <w:pStyle w:val="BodyText"/>
      </w:pPr>
      <w:r>
        <w:t xml:space="preserve">All courts and </w:t>
      </w:r>
      <w:r w:rsidR="00A10DBB">
        <w:t>Victorian Civil and Administrative Tribunal</w:t>
      </w:r>
      <w:r>
        <w:t xml:space="preserve"> remained open, and measures were introduced to reduce the movement of people to and from court venues, decreasing the need for physical attendances and minimising transportation of prisoners. The courts and </w:t>
      </w:r>
      <w:r w:rsidR="00A10DBB">
        <w:t>Victorian Civil and Administrative Tribunal</w:t>
      </w:r>
      <w:r>
        <w:t xml:space="preserve"> conducted hearings remotely wherever possible, using video and/or telephone conferencing technology. Only matters of urgency or priority were conducted onsite, </w:t>
      </w:r>
      <w:r w:rsidR="001E380A">
        <w:t>and only where there was no reasonable alternative.</w:t>
      </w:r>
    </w:p>
    <w:p w14:paraId="73B0BD82" w14:textId="4C494EB0" w:rsidR="001E380A" w:rsidRDefault="001E380A" w:rsidP="00041A3E">
      <w:pPr>
        <w:pStyle w:val="BodyText"/>
      </w:pPr>
      <w:r>
        <w:t xml:space="preserve">An extensive range of hygiene and physical distancing measures were put in place across </w:t>
      </w:r>
      <w:r w:rsidR="009B1462">
        <w:t>Court Services Victoria</w:t>
      </w:r>
      <w:r>
        <w:t xml:space="preserve"> locations to protect the health of court users, judicial officers and staff, including:</w:t>
      </w:r>
    </w:p>
    <w:p w14:paraId="5E6311FF" w14:textId="511193DE" w:rsidR="001E380A" w:rsidRDefault="001E380A" w:rsidP="00041A3E">
      <w:pPr>
        <w:pStyle w:val="ListBullet"/>
      </w:pPr>
      <w:r>
        <w:t>increased general and ‘deep’ cleaning</w:t>
      </w:r>
    </w:p>
    <w:p w14:paraId="19B64186" w14:textId="19D51133" w:rsidR="001E380A" w:rsidRDefault="001E380A" w:rsidP="00041A3E">
      <w:pPr>
        <w:pStyle w:val="ListBullet"/>
      </w:pPr>
      <w:r>
        <w:t>installation of hand sanitisers</w:t>
      </w:r>
    </w:p>
    <w:p w14:paraId="7FFC7C01" w14:textId="05ABEF7B" w:rsidR="001E380A" w:rsidRDefault="001E380A" w:rsidP="00041A3E">
      <w:pPr>
        <w:pStyle w:val="ListBullet"/>
      </w:pPr>
      <w:r>
        <w:t>physical distancing and hygiene signage and decals</w:t>
      </w:r>
    </w:p>
    <w:p w14:paraId="142E39C3" w14:textId="453D8115" w:rsidR="001E380A" w:rsidRDefault="001E380A" w:rsidP="00041A3E">
      <w:pPr>
        <w:pStyle w:val="ListBullet"/>
      </w:pPr>
      <w:r>
        <w:t>provision of face masks</w:t>
      </w:r>
    </w:p>
    <w:p w14:paraId="4C6AAA02" w14:textId="07461C23" w:rsidR="001E380A" w:rsidRDefault="001E380A" w:rsidP="00041A3E">
      <w:pPr>
        <w:pStyle w:val="ListBullet"/>
      </w:pPr>
      <w:r>
        <w:t>installation of hygiene screens</w:t>
      </w:r>
    </w:p>
    <w:p w14:paraId="76FCFDC9" w14:textId="640D6A7E" w:rsidR="001E380A" w:rsidRDefault="001E380A" w:rsidP="00041A3E">
      <w:pPr>
        <w:pStyle w:val="ListBullet"/>
      </w:pPr>
      <w:r>
        <w:t>implementation of a QR code visitor registration system.</w:t>
      </w:r>
    </w:p>
    <w:p w14:paraId="65CAAB12" w14:textId="7FF3833F" w:rsidR="001E380A" w:rsidRDefault="009B1462" w:rsidP="00041A3E">
      <w:pPr>
        <w:pStyle w:val="BodyText"/>
      </w:pPr>
      <w:r>
        <w:t>Court Services Victoria</w:t>
      </w:r>
      <w:r w:rsidR="001E380A">
        <w:t xml:space="preserve"> also undertook detailed spatial assessments across the courts to inform physical distance planning in anticipation of a return to higher levels of in-person appearances.</w:t>
      </w:r>
    </w:p>
    <w:p w14:paraId="5620C761" w14:textId="4302BF60" w:rsidR="001E380A" w:rsidRDefault="009B1462" w:rsidP="00041A3E">
      <w:pPr>
        <w:pStyle w:val="BodyText"/>
      </w:pPr>
      <w:r>
        <w:t>Court Services Victoria</w:t>
      </w:r>
      <w:r w:rsidR="001E380A">
        <w:t xml:space="preserve"> worked quickly to ensure all staff and contractors had access to the right information and support programs. Additional IT hardware and software was deployed to enable staff to work remotely, or if in person, appropriately distanced.</w:t>
      </w:r>
    </w:p>
    <w:p w14:paraId="125A942F" w14:textId="15C5A046" w:rsidR="001E380A" w:rsidRDefault="001E380A" w:rsidP="00041A3E">
      <w:pPr>
        <w:pStyle w:val="BodyText"/>
      </w:pPr>
      <w:r>
        <w:t>The Courts Group made rapid, but well considered, changes to practice, procedure and operating models to ensure that justice continued to be delivered in the coronavirus (COVID-19) environment. Technology was a key enabler for the Courts Group response to coronavirus (COVID-19). Technology enabled adaption of courts and tribunal processes, and for judicial officers and staff to do their work in changing circumstances.</w:t>
      </w:r>
    </w:p>
    <w:p w14:paraId="4E70E9AF" w14:textId="15D6E4C7" w:rsidR="001E380A" w:rsidRDefault="001E380A" w:rsidP="00041A3E">
      <w:pPr>
        <w:pStyle w:val="BodyText"/>
      </w:pPr>
      <w:r>
        <w:t xml:space="preserve">The response to coronavirus (COVID-19) has been led by Courts Council, with </w:t>
      </w:r>
      <w:proofErr w:type="gramStart"/>
      <w:r>
        <w:t>day to day</w:t>
      </w:r>
      <w:proofErr w:type="gramEnd"/>
      <w:r>
        <w:t xml:space="preserve"> operational direction being guided by the </w:t>
      </w:r>
      <w:r w:rsidR="009B1462">
        <w:t>Court Services Victoria</w:t>
      </w:r>
      <w:r>
        <w:t xml:space="preserve"> Emergency Management Team (EMT), comprised of all Courts Group CEOs, and chaired by the </w:t>
      </w:r>
      <w:r w:rsidR="009B1462">
        <w:t>Court Services Victoria</w:t>
      </w:r>
      <w:r>
        <w:t xml:space="preserve"> CEO.</w:t>
      </w:r>
    </w:p>
    <w:p w14:paraId="5D22788B" w14:textId="47E7D09F" w:rsidR="001E380A" w:rsidRDefault="009B1462" w:rsidP="00041A3E">
      <w:pPr>
        <w:pStyle w:val="BodyText"/>
      </w:pPr>
      <w:r>
        <w:t>Court Services Victoria</w:t>
      </w:r>
      <w:r w:rsidR="001E380A">
        <w:t xml:space="preserve">’s </w:t>
      </w:r>
      <w:r>
        <w:t>Emergency Management Team</w:t>
      </w:r>
      <w:r w:rsidR="001E380A">
        <w:t xml:space="preserve"> first met on 28 February 2020 to commence consideration of necessary actions, and to initiate the detailed planning required for a whole Courts Group response to the pandemic. The </w:t>
      </w:r>
      <w:r>
        <w:t>Emergency Management Team</w:t>
      </w:r>
      <w:r w:rsidR="001E380A">
        <w:t xml:space="preserve"> will continue to provide this leadership throughout the duration of the pandemic.</w:t>
      </w:r>
    </w:p>
    <w:p w14:paraId="57826355" w14:textId="6359502F" w:rsidR="004B6BAC" w:rsidRDefault="004B6BAC" w:rsidP="001871F9">
      <w:pPr>
        <w:pStyle w:val="Heading2"/>
        <w:keepNext w:val="0"/>
        <w:pageBreakBefore/>
      </w:pPr>
      <w:bookmarkStart w:id="28" w:name="_Toc62808036"/>
      <w:r w:rsidRPr="007A0D86">
        <w:t>Judicial Independence</w:t>
      </w:r>
      <w:bookmarkEnd w:id="28"/>
    </w:p>
    <w:p w14:paraId="0E367FF3" w14:textId="2DCF7860" w:rsidR="001E380A" w:rsidRDefault="001E380A" w:rsidP="001871F9">
      <w:pPr>
        <w:pStyle w:val="BodyText"/>
      </w:pPr>
      <w:r>
        <w:t xml:space="preserve">Fair, accessible and efficient courts and tribunals contribute to public trust and confidence in the justice system. </w:t>
      </w:r>
      <w:r w:rsidR="009B1462">
        <w:t>Court Services Victoria</w:t>
      </w:r>
      <w:r>
        <w:t xml:space="preserve">’s role in enabling this is through the delivery of efficient and effective court and tribunal services as well as supporting Courts Council in the governance and strategy of </w:t>
      </w:r>
      <w:r w:rsidR="009B1462">
        <w:t>Court Services Victoria</w:t>
      </w:r>
      <w:r>
        <w:t>.</w:t>
      </w:r>
    </w:p>
    <w:p w14:paraId="52A53C91" w14:textId="29A06B98" w:rsidR="001E380A" w:rsidRDefault="009B1462" w:rsidP="001871F9">
      <w:pPr>
        <w:pStyle w:val="BodyText"/>
      </w:pPr>
      <w:r>
        <w:t>Court Services Victoria</w:t>
      </w:r>
      <w:r w:rsidR="001E380A">
        <w:t>’s purpose is to ‘support judicial independence in the administration of justice in Victoria’ by providing expert and administrative support to the Courts Group. This support includes financial and asset management, human resources, procurement, information and communication technology, and some professional services.</w:t>
      </w:r>
    </w:p>
    <w:p w14:paraId="745FE534" w14:textId="32DF7C60" w:rsidR="001E380A" w:rsidRDefault="001E380A" w:rsidP="001E380A">
      <w:pPr>
        <w:pStyle w:val="BodyText"/>
      </w:pPr>
      <w:r>
        <w:t xml:space="preserve">In line with the strategic imperatives of Courts Council, services are provided by </w:t>
      </w:r>
      <w:r w:rsidR="009B1462">
        <w:t>Court Services Victoria</w:t>
      </w:r>
      <w:r>
        <w:t xml:space="preserve"> in ways that enable an independent, sustainable, joined-up Courts Group that promotes delivery integration around court users, promotes collaboration to improve quality and economy, and reduces duplication, fragmentation and waste across Courts Group.</w:t>
      </w:r>
    </w:p>
    <w:p w14:paraId="74660372" w14:textId="3CCF4FA7" w:rsidR="001E380A" w:rsidRDefault="001E380A" w:rsidP="001E380A">
      <w:pPr>
        <w:pStyle w:val="BodyText"/>
      </w:pPr>
      <w:r>
        <w:t xml:space="preserve">Administrative services provision is largely centralised in the Courts Group within </w:t>
      </w:r>
      <w:r w:rsidR="009B1462">
        <w:t>Court Services Victoria</w:t>
      </w:r>
      <w:r>
        <w:t xml:space="preserve">, to achieve an efficient and accessible array of administrative and professional capabilities in order to satisfy the needs of the jurisdictions. These services also exist to lesser extents within each jurisdiction, based on the unique needs of each entity, and there is workable distinction between the administrative activities of jurisdictions and </w:t>
      </w:r>
      <w:r w:rsidR="009B1462">
        <w:t>Court Services Victoria</w:t>
      </w:r>
      <w:r>
        <w:t xml:space="preserve"> (so as to avoid duplication). Increasingly, in addition to engaging </w:t>
      </w:r>
      <w:r w:rsidR="009B1462">
        <w:t>Court Services Victoria</w:t>
      </w:r>
      <w:r>
        <w:t xml:space="preserve">’s administrative services, jurisdictions draw on </w:t>
      </w:r>
      <w:r w:rsidR="009B1462">
        <w:t>Court Services Victoria</w:t>
      </w:r>
      <w:r>
        <w:t xml:space="preserve"> for specialist expertise and to provide surge capacity (</w:t>
      </w:r>
      <w:proofErr w:type="gramStart"/>
      <w:r>
        <w:t>i.e.</w:t>
      </w:r>
      <w:proofErr w:type="gramEnd"/>
      <w:r>
        <w:t xml:space="preserve"> additional administrative support during the coronavirus (COVID-19) pandemic).</w:t>
      </w:r>
    </w:p>
    <w:p w14:paraId="23EB5D7E" w14:textId="321B8281" w:rsidR="001E380A" w:rsidRDefault="001E380A" w:rsidP="001E380A">
      <w:pPr>
        <w:pStyle w:val="Heading3"/>
      </w:pPr>
      <w:bookmarkStart w:id="29" w:name="_Toc62808037"/>
      <w:r>
        <w:t>Governance and Strategic Directions Review</w:t>
      </w:r>
      <w:bookmarkEnd w:id="29"/>
    </w:p>
    <w:p w14:paraId="3476A44F" w14:textId="7A96B426" w:rsidR="001E380A" w:rsidRDefault="001E380A" w:rsidP="001E380A">
      <w:pPr>
        <w:pStyle w:val="BodyText"/>
      </w:pPr>
      <w:r>
        <w:t>In early 2019, Courts Council conducted a Governance and Strategic Directions Review which resulted in a number of agreements including to:</w:t>
      </w:r>
    </w:p>
    <w:p w14:paraId="4265A8F1" w14:textId="3D818D54" w:rsidR="001E380A" w:rsidRDefault="001E380A" w:rsidP="007C3867">
      <w:pPr>
        <w:pStyle w:val="ListBullet"/>
      </w:pPr>
      <w:r>
        <w:t>develop a suite of strategic direction to replace the current strategic plan</w:t>
      </w:r>
    </w:p>
    <w:p w14:paraId="510EFE0A" w14:textId="09068F22" w:rsidR="001E380A" w:rsidRDefault="001E380A" w:rsidP="001E380A">
      <w:pPr>
        <w:pStyle w:val="ListBullet"/>
      </w:pPr>
      <w:r>
        <w:t>drive corporate service delivery reform</w:t>
      </w:r>
    </w:p>
    <w:p w14:paraId="4734B354" w14:textId="7BC79E57" w:rsidR="001E380A" w:rsidRDefault="001E380A" w:rsidP="001E380A">
      <w:pPr>
        <w:pStyle w:val="ListBullet"/>
      </w:pPr>
      <w:r>
        <w:t>review the Portfolio Committee structure.</w:t>
      </w:r>
    </w:p>
    <w:p w14:paraId="4E305193" w14:textId="53E477C7" w:rsidR="001E380A" w:rsidRDefault="001E380A" w:rsidP="001E380A">
      <w:pPr>
        <w:pStyle w:val="BodyText"/>
      </w:pPr>
      <w:r>
        <w:t xml:space="preserve">To support the achievement of these agreements, </w:t>
      </w:r>
      <w:r w:rsidR="009B1462">
        <w:t>Court Services Victoria</w:t>
      </w:r>
      <w:r>
        <w:t xml:space="preserve"> Senior Executives and jurisdiction CEOs established the Courts Executive – which, amongst other things, focusses on corporate services reform strategy necessary to improve the delivery of corporate services and remove duplication for each of the four high priority corporate services – Asset Planning and Management, People and Culture, Finance, and Information Technology Services.</w:t>
      </w:r>
    </w:p>
    <w:p w14:paraId="21BC5F85" w14:textId="1F8AF38E" w:rsidR="001E380A" w:rsidRDefault="001E380A" w:rsidP="001E380A">
      <w:pPr>
        <w:pStyle w:val="BodyText"/>
      </w:pPr>
      <w:r>
        <w:t>Significant steps have been taken to deliver against these agreements, including:</w:t>
      </w:r>
    </w:p>
    <w:p w14:paraId="5DA4D963" w14:textId="4B5FF5CC" w:rsidR="001E380A" w:rsidRDefault="001E380A" w:rsidP="007C3867">
      <w:pPr>
        <w:pStyle w:val="ListBullet"/>
      </w:pPr>
      <w:r>
        <w:t>The establishment of Practice Leadership Groups (PLG) for human resources, information technology, and asset and facilities management to solve common problems, reduce duplication of effort across the Courts Group, increase professional capability and achieve integration of administrative services delivery. The PLGs have so far proven effective for managing corporate support to courts through the pandemic. For example, the HR PLG enabled the rapid development and implementation of measures through the pandemic to keep people safe and well in their workplaces – in the office and at home – and help them adapt to changed living conditions.</w:t>
      </w:r>
    </w:p>
    <w:p w14:paraId="1BD189EE" w14:textId="0CC72454" w:rsidR="001E380A" w:rsidRDefault="001E380A" w:rsidP="007C3867">
      <w:pPr>
        <w:pStyle w:val="ListBullet"/>
      </w:pPr>
      <w:r>
        <w:t>Supporting jurisdictions with the rapid uptake of digital technology during coronavirus (COVID-19) including:</w:t>
      </w:r>
    </w:p>
    <w:p w14:paraId="6BBB5187" w14:textId="706B5BF3" w:rsidR="001E380A" w:rsidRDefault="001E380A" w:rsidP="007C3867">
      <w:pPr>
        <w:pStyle w:val="ListBullet2"/>
      </w:pPr>
      <w:r>
        <w:t xml:space="preserve">Set-up Microsoft TEAMS for all courts and </w:t>
      </w:r>
      <w:r w:rsidR="00A10DBB">
        <w:t>Victorian Civil and Administrative Tribunal</w:t>
      </w:r>
      <w:r>
        <w:t>.</w:t>
      </w:r>
    </w:p>
    <w:p w14:paraId="3667FFF4" w14:textId="23187A2D" w:rsidR="001E380A" w:rsidRDefault="001E380A" w:rsidP="007C3867">
      <w:pPr>
        <w:pStyle w:val="ListBullet2"/>
      </w:pPr>
      <w:r>
        <w:t>Deployed at-scale teleconferencing, working at home, and audio/video conferencing solutions.</w:t>
      </w:r>
    </w:p>
    <w:p w14:paraId="0F2F5696" w14:textId="3001E363" w:rsidR="001E380A" w:rsidRDefault="001E380A" w:rsidP="007C3867">
      <w:pPr>
        <w:pStyle w:val="ListBullet2"/>
      </w:pPr>
      <w:r>
        <w:t>Integrated audio/video conferencing solution (WebEx) with Corrections.</w:t>
      </w:r>
    </w:p>
    <w:p w14:paraId="35F8A65A" w14:textId="63201796" w:rsidR="001E380A" w:rsidRDefault="001E380A" w:rsidP="007C3867">
      <w:pPr>
        <w:pStyle w:val="ListBullet"/>
      </w:pPr>
      <w:r>
        <w:t>Restructuring the Finance Team, which involved the appointment of a Director of Finance and the creation of four functions each led by a manager with clear accountabilities to the Chief Finance Officer.</w:t>
      </w:r>
    </w:p>
    <w:p w14:paraId="26E62879" w14:textId="2A7E8665" w:rsidR="001E380A" w:rsidRDefault="001E380A" w:rsidP="007C3867">
      <w:pPr>
        <w:pStyle w:val="ListBullet"/>
      </w:pPr>
      <w:r>
        <w:t>Restructure of Asset Planning and Management into the Built Environment Division including:</w:t>
      </w:r>
    </w:p>
    <w:p w14:paraId="05908959" w14:textId="0BDC2A0C" w:rsidR="001E380A" w:rsidRDefault="001E380A" w:rsidP="007C3867">
      <w:pPr>
        <w:pStyle w:val="ListBullet2"/>
      </w:pPr>
      <w:r>
        <w:t>Establishment of the Design and Sustainable Planning team which provides jurisdictions with a resource to assist in problem definition and development of capital works solutions and business cases.</w:t>
      </w:r>
    </w:p>
    <w:p w14:paraId="353E9D53" w14:textId="4B68BEF6" w:rsidR="001E380A" w:rsidRDefault="001E380A" w:rsidP="007C3867">
      <w:pPr>
        <w:pStyle w:val="ListBullet2"/>
      </w:pPr>
      <w:r>
        <w:t xml:space="preserve">Implementation of the Courts Asset Information Management System (CAIMS) which enhances the ability to track and manage responses to maintenance </w:t>
      </w:r>
      <w:proofErr w:type="gramStart"/>
      <w:r>
        <w:t>requests, and</w:t>
      </w:r>
      <w:proofErr w:type="gramEnd"/>
      <w:r>
        <w:t xml:space="preserve"> plan preventative maintenance of court buildings.</w:t>
      </w:r>
    </w:p>
    <w:p w14:paraId="5359E4ED" w14:textId="238D470F" w:rsidR="001E380A" w:rsidRDefault="009B1462" w:rsidP="001E380A">
      <w:pPr>
        <w:pStyle w:val="Heading3"/>
      </w:pPr>
      <w:bookmarkStart w:id="30" w:name="_Toc62808038"/>
      <w:r>
        <w:t>Court Services Victoria</w:t>
      </w:r>
      <w:r w:rsidR="001E380A">
        <w:t xml:space="preserve"> Strategic Plan 2020 – 2025</w:t>
      </w:r>
      <w:bookmarkEnd w:id="30"/>
    </w:p>
    <w:p w14:paraId="0CEAC0E0" w14:textId="5A20E4E7" w:rsidR="001E380A" w:rsidRDefault="001E380A" w:rsidP="001E380A">
      <w:pPr>
        <w:pStyle w:val="BodyText"/>
      </w:pPr>
      <w:r>
        <w:t xml:space="preserve">Courts Council approved a new three-year Strategic Plan on 24 September 2020 which provides an overview of </w:t>
      </w:r>
      <w:r w:rsidR="009B1462">
        <w:t>Court Services Victoria</w:t>
      </w:r>
      <w:r>
        <w:t>, identifies its operating environment and establishes priorities with actions. The draft plan was developed through a consultative process by the Courts Executive.</w:t>
      </w:r>
    </w:p>
    <w:p w14:paraId="63D271AE" w14:textId="74CCA28A" w:rsidR="001E380A" w:rsidRDefault="001E380A" w:rsidP="001E380A">
      <w:pPr>
        <w:pStyle w:val="BodyText"/>
      </w:pPr>
      <w:r>
        <w:t>While not approved until outside the current reporting period, substantial work was undertaken to consult with key stakeholders on the draft plan during 2019-20.</w:t>
      </w:r>
    </w:p>
    <w:p w14:paraId="5C11B10F" w14:textId="6AA7BB1B" w:rsidR="001E380A" w:rsidRDefault="001E380A" w:rsidP="001E380A">
      <w:pPr>
        <w:pStyle w:val="BodyText"/>
      </w:pPr>
      <w:r>
        <w:t xml:space="preserve">The key priorities and action included in the </w:t>
      </w:r>
      <w:r w:rsidR="009B1462">
        <w:t>Court Services Victoria</w:t>
      </w:r>
      <w:r>
        <w:t xml:space="preserve"> Strategic Plan 2020 – 2025 will form the basis of reporting in the </w:t>
      </w:r>
      <w:r w:rsidR="009B1462">
        <w:t>Court Services Victoria</w:t>
      </w:r>
      <w:r>
        <w:t xml:space="preserve"> Annual Report 2020-2021.</w:t>
      </w:r>
    </w:p>
    <w:p w14:paraId="3E023D68" w14:textId="753AA9CA" w:rsidR="00D415A3" w:rsidRDefault="00D415A3" w:rsidP="00D415A3">
      <w:pPr>
        <w:pStyle w:val="Heading2"/>
      </w:pPr>
      <w:bookmarkStart w:id="31" w:name="_Toc62808039"/>
      <w:r w:rsidRPr="00D415A3">
        <w:t xml:space="preserve">Support </w:t>
      </w:r>
      <w:r>
        <w:t>t</w:t>
      </w:r>
      <w:r w:rsidRPr="00D415A3">
        <w:t xml:space="preserve">he Administration </w:t>
      </w:r>
      <w:r>
        <w:t>o</w:t>
      </w:r>
      <w:r w:rsidRPr="00D415A3">
        <w:t>f Justice</w:t>
      </w:r>
      <w:bookmarkEnd w:id="31"/>
    </w:p>
    <w:p w14:paraId="29075A3D" w14:textId="61FC160F" w:rsidR="00D415A3" w:rsidRDefault="00D415A3" w:rsidP="00D415A3">
      <w:pPr>
        <w:pStyle w:val="BodyText"/>
      </w:pPr>
      <w:r>
        <w:t>Court Services Victoria contributes to the effective and efficient administration of the justice system in Victoria, in a number of ways, including focussing on:</w:t>
      </w:r>
    </w:p>
    <w:p w14:paraId="1A1DAF54" w14:textId="4947126E" w:rsidR="00D415A3" w:rsidRDefault="00D415A3" w:rsidP="007C3867">
      <w:pPr>
        <w:pStyle w:val="ListBullet"/>
      </w:pPr>
      <w:r>
        <w:t>Its people and its culture</w:t>
      </w:r>
    </w:p>
    <w:p w14:paraId="7FDBE2D5" w14:textId="1F564B32" w:rsidR="00D415A3" w:rsidRDefault="00D415A3" w:rsidP="007C3867">
      <w:pPr>
        <w:pStyle w:val="ListBullet"/>
      </w:pPr>
      <w:r>
        <w:t>Court users and the community</w:t>
      </w:r>
    </w:p>
    <w:p w14:paraId="7C92D9C6" w14:textId="10106EB9" w:rsidR="00D415A3" w:rsidRDefault="00D415A3" w:rsidP="007C3867">
      <w:pPr>
        <w:pStyle w:val="ListBullet"/>
      </w:pPr>
      <w:r>
        <w:t>Collaborative service and infrastructure planning and design</w:t>
      </w:r>
    </w:p>
    <w:p w14:paraId="28B96C61" w14:textId="44541CEC" w:rsidR="00D415A3" w:rsidRDefault="007C3867" w:rsidP="007C3867">
      <w:pPr>
        <w:pStyle w:val="ListBullet"/>
      </w:pPr>
      <w:r>
        <w:t>I</w:t>
      </w:r>
      <w:r w:rsidR="00D415A3">
        <w:t>nnovative service delivery</w:t>
      </w:r>
    </w:p>
    <w:p w14:paraId="6C7F8AFE" w14:textId="30EC2B80" w:rsidR="00D415A3" w:rsidRDefault="007C3867" w:rsidP="007C3867">
      <w:pPr>
        <w:pStyle w:val="Heading3"/>
      </w:pPr>
      <w:bookmarkStart w:id="32" w:name="_Toc62808040"/>
      <w:r>
        <w:t>People and Culture</w:t>
      </w:r>
      <w:bookmarkEnd w:id="32"/>
    </w:p>
    <w:p w14:paraId="4FC9E166" w14:textId="0E6E8349" w:rsidR="00D415A3" w:rsidRDefault="00D415A3" w:rsidP="00D415A3">
      <w:pPr>
        <w:pStyle w:val="BodyText"/>
      </w:pPr>
      <w:r>
        <w:t xml:space="preserve">People and Culture provides strategic and innovative solutions to deliver on workforce development and reform, workplace culture, and the operational management of people across </w:t>
      </w:r>
      <w:r w:rsidR="009B1462">
        <w:t>Court Services Victoria</w:t>
      </w:r>
      <w:r>
        <w:t>. The team promotes best practice and continuous improvement in people management with effective service delivery enabled through responsive relationships and collaborative solutions.</w:t>
      </w:r>
    </w:p>
    <w:p w14:paraId="03EBBEEE" w14:textId="2ED9EFE9" w:rsidR="00D415A3" w:rsidRDefault="00D415A3" w:rsidP="00D415A3">
      <w:pPr>
        <w:pStyle w:val="BodyText"/>
      </w:pPr>
      <w:r>
        <w:t>People and Culture’s business plan is aligned to the strategic agenda set by Courts Council and based on the needs of each jurisdiction as identified through effective ongoing consultation. The Human Resources Portfolio Committee provides governance and oversights strategic initiatives.</w:t>
      </w:r>
    </w:p>
    <w:p w14:paraId="06086E81" w14:textId="403CAF8C" w:rsidR="00D415A3" w:rsidRDefault="007C3867" w:rsidP="001871F9">
      <w:pPr>
        <w:pStyle w:val="Heading3"/>
        <w:keepNext w:val="0"/>
      </w:pPr>
      <w:bookmarkStart w:id="33" w:name="_Toc62808041"/>
      <w:r>
        <w:t>Health, Safety and Wellbeing</w:t>
      </w:r>
      <w:bookmarkEnd w:id="33"/>
    </w:p>
    <w:p w14:paraId="664F4A71" w14:textId="1CC4E254" w:rsidR="00D415A3" w:rsidRDefault="009B1462" w:rsidP="001871F9">
      <w:pPr>
        <w:pStyle w:val="BodyText"/>
      </w:pPr>
      <w:r>
        <w:t>Court Services Victoria</w:t>
      </w:r>
      <w:r w:rsidR="00D415A3">
        <w:t xml:space="preserve"> is committed to ensuring all its employees remain safe and healthy at </w:t>
      </w:r>
      <w:proofErr w:type="gramStart"/>
      <w:r w:rsidR="00D415A3">
        <w:t>work, and</w:t>
      </w:r>
      <w:proofErr w:type="gramEnd"/>
      <w:r w:rsidR="00D415A3">
        <w:t xml:space="preserve"> promotes a positive preventative safety culture across all jurisdictions. It continues to develop wholistic strategies and initiatives to improve the health safety and wellbeing of employees and to ensure access to information. The organisation engages and consults with court users to work together to create an understanding of the changing nature of the environment and to implement systems and create workplaces that minimise risks to health and safety.</w:t>
      </w:r>
    </w:p>
    <w:p w14:paraId="6BA3E0EA" w14:textId="47622E02" w:rsidR="00D415A3" w:rsidRDefault="00D415A3" w:rsidP="00D415A3">
      <w:pPr>
        <w:pStyle w:val="BodyText"/>
      </w:pPr>
      <w:r>
        <w:t xml:space="preserve">During 2019-20, </w:t>
      </w:r>
      <w:r w:rsidR="009B1462">
        <w:t>Court Services Victoria</w:t>
      </w:r>
      <w:r>
        <w:t xml:space="preserve"> promoted several healthy workplace initiatives, conducted awareness programs and provided targeted and strategic occupational health and safety (OH&amp;S) professional development activities.</w:t>
      </w:r>
    </w:p>
    <w:p w14:paraId="19E6159D" w14:textId="3E76A2E1" w:rsidR="00D415A3" w:rsidRDefault="00D415A3" w:rsidP="00D415A3">
      <w:pPr>
        <w:pStyle w:val="BodyText"/>
      </w:pPr>
      <w:r>
        <w:t xml:space="preserve">Each jurisdiction continued to implement their own tailored health, safety and wellbeing initiatives in conjunction with </w:t>
      </w:r>
      <w:r w:rsidR="009B1462">
        <w:t>Court Services Victoria</w:t>
      </w:r>
      <w:r>
        <w:t>-wide initiatives. The organisation enhanced its wellbeing offerings significantly during 2019-20 in order to support its staff during the coronavirus (COVID-19) pandemic. Key initiatives introduced include regular communications; health and wellbeing webinars; mindfulness sessions; a dedicated People and Wellbeing Hub on the intranet; and pulse check surveys.</w:t>
      </w:r>
    </w:p>
    <w:p w14:paraId="200F7D8A" w14:textId="6438D417" w:rsidR="00D415A3" w:rsidRDefault="009B1462" w:rsidP="00D415A3">
      <w:pPr>
        <w:pStyle w:val="BodyText"/>
      </w:pPr>
      <w:r>
        <w:t>Court Services Victoria</w:t>
      </w:r>
      <w:r w:rsidR="00D415A3">
        <w:t xml:space="preserve"> completed a two-year initiative to provide vicarious trauma professional development workshops. The workshops included Introduction to Vicarious Trauma and Self-Care; Vicarious Trauma and Self-Care for Advanced Practitioners; Vicarious Trauma and Self-Care for Leaders; and Vicarious Trauma and Self-Care for Koori staff. Future professional development to include the continued building of capability is being considered based on the evaluation of the two-year program.</w:t>
      </w:r>
    </w:p>
    <w:p w14:paraId="2C22DB91" w14:textId="0824258A" w:rsidR="00D415A3" w:rsidRDefault="00D415A3" w:rsidP="00D415A3">
      <w:pPr>
        <w:pStyle w:val="BodyText"/>
      </w:pPr>
      <w:r>
        <w:t xml:space="preserve">To further strengthen </w:t>
      </w:r>
      <w:r w:rsidR="009B1462">
        <w:t>Court Services Victoria</w:t>
      </w:r>
      <w:r>
        <w:t xml:space="preserve">’s health and safety governance, the Workplace Health and Safety Sub-Committee (WHSS) was established during 2019-20. As a sub-committee of the Audit and Risk Portfolio Committee, the WHSS is responsible for strategic oversight and monitoring the implementation and maintenance of a co-ordinated, collaborative and systematic approach to workplace health and safety across </w:t>
      </w:r>
      <w:r w:rsidR="009B1462">
        <w:t>Court Services Victoria</w:t>
      </w:r>
      <w:r>
        <w:t>. The remit of the WHSS involves close collaboration with the Human Resources Portfolio Committee to ensure its activities reflect workplace strategy and objectives.</w:t>
      </w:r>
    </w:p>
    <w:p w14:paraId="63B56F2A" w14:textId="6CBC4121" w:rsidR="007C3867" w:rsidRDefault="007C3867" w:rsidP="007C3867">
      <w:pPr>
        <w:pStyle w:val="BodyText"/>
      </w:pPr>
      <w:r>
        <w:t xml:space="preserve">The inaugural meeting of the WHSS was held on 12 October 2019 where committee members were </w:t>
      </w:r>
      <w:proofErr w:type="gramStart"/>
      <w:r>
        <w:t>inducted</w:t>
      </w:r>
      <w:proofErr w:type="gramEnd"/>
      <w:r>
        <w:t xml:space="preserve"> and terms of reference endorsed.</w:t>
      </w:r>
    </w:p>
    <w:p w14:paraId="00D28BC7" w14:textId="1DC5A1FA" w:rsidR="007C3867" w:rsidRDefault="009B1462" w:rsidP="007C3867">
      <w:pPr>
        <w:pStyle w:val="BodyText"/>
      </w:pPr>
      <w:r>
        <w:t>Court Services Victoria</w:t>
      </w:r>
      <w:r w:rsidR="007C3867">
        <w:t xml:space="preserve"> continued its annual program to offer influenza vaccinations to the judiciary and employees. During the 2019-20 financial year, there was an increase of 11.6% of judicial officers and employees taking the opportunity to have an influenza vaccination provided by </w:t>
      </w:r>
      <w:r>
        <w:t>Court Services Victoria</w:t>
      </w:r>
      <w:r w:rsidR="007C3867">
        <w:t>.</w:t>
      </w:r>
    </w:p>
    <w:p w14:paraId="6D351BB7" w14:textId="7FCBC85C" w:rsidR="007C3867" w:rsidRDefault="007C3867" w:rsidP="007C3867">
      <w:pPr>
        <w:pStyle w:val="BodyText"/>
      </w:pPr>
      <w:r>
        <w:t>During 2019-20, a project to develop ergonomic videos to assist staff to effectively set up their workstation to minimise the risk of musculoskeletal injury was completed. These videos were particularly useful when staff were required to relocate and work remotely due to the coronavirus (COVID-19) pandemic.</w:t>
      </w:r>
    </w:p>
    <w:p w14:paraId="11C75704" w14:textId="37C58252" w:rsidR="007C3867" w:rsidRDefault="007C3867" w:rsidP="007C3867">
      <w:pPr>
        <w:pStyle w:val="Heading3"/>
      </w:pPr>
      <w:bookmarkStart w:id="34" w:name="_Toc62808042"/>
      <w:r>
        <w:t>Aboriginal Justice Agreement 4</w:t>
      </w:r>
      <w:bookmarkEnd w:id="34"/>
    </w:p>
    <w:p w14:paraId="68A742AD" w14:textId="3B9628E2" w:rsidR="007C3867" w:rsidRDefault="007C3867" w:rsidP="007C3867">
      <w:pPr>
        <w:pStyle w:val="BodyText"/>
      </w:pPr>
      <w:r>
        <w:t xml:space="preserve">During 2019-20, </w:t>
      </w:r>
      <w:r w:rsidR="009B1462">
        <w:t>Court Services Victoria</w:t>
      </w:r>
      <w:r>
        <w:t xml:space="preserve"> continued to implement initiatives funded through the Aboriginal Justice Agreement 4, including these significant developments across courts and </w:t>
      </w:r>
      <w:r w:rsidR="00A10DBB">
        <w:t>Victorian Civil and Administrative Tribunal</w:t>
      </w:r>
      <w:r>
        <w:t>:</w:t>
      </w:r>
    </w:p>
    <w:p w14:paraId="65793EEA" w14:textId="202CDAE6" w:rsidR="007C3867" w:rsidRDefault="007C3867" w:rsidP="007C3867">
      <w:pPr>
        <w:pStyle w:val="ListBullet"/>
      </w:pPr>
      <w:r>
        <w:t>Employment of a Koori Family Engagement Officer at the Coroners Court to case manage Koori coronial cases to better assist and improve the experience of Koori families and ensure culturally appropriate practices.</w:t>
      </w:r>
    </w:p>
    <w:p w14:paraId="03D851BE" w14:textId="0CD1F868" w:rsidR="007C3867" w:rsidRDefault="007C3867" w:rsidP="007C3867">
      <w:pPr>
        <w:pStyle w:val="ListBullet"/>
      </w:pPr>
      <w:r>
        <w:t xml:space="preserve">Strengthen service levels and ensure the unmet demands of </w:t>
      </w:r>
      <w:proofErr w:type="spellStart"/>
      <w:r>
        <w:t>Koories</w:t>
      </w:r>
      <w:proofErr w:type="spellEnd"/>
      <w:r>
        <w:t xml:space="preserve"> accessing the Koori VOCAT List.</w:t>
      </w:r>
    </w:p>
    <w:p w14:paraId="36C03F1A" w14:textId="67F46462" w:rsidR="007C3867" w:rsidRDefault="007C3867" w:rsidP="007C3867">
      <w:pPr>
        <w:pStyle w:val="ListBullet"/>
      </w:pPr>
      <w:r>
        <w:t xml:space="preserve">Recruitment of two Koori Engagement Officers and an Administration Support Officer at </w:t>
      </w:r>
      <w:r w:rsidR="00A10DBB">
        <w:t>Victorian Civil and Administrative Tribunal</w:t>
      </w:r>
      <w:r>
        <w:t>, along with the launch of a Koori Hearing room at Oakleigh.</w:t>
      </w:r>
    </w:p>
    <w:p w14:paraId="2AA655E5" w14:textId="467A1A85" w:rsidR="00D415A3" w:rsidRDefault="007C3867" w:rsidP="007C3867">
      <w:pPr>
        <w:pStyle w:val="ListBullet"/>
      </w:pPr>
      <w:r>
        <w:t>Expansion of County Koori Court to Warrnambool and Geelong, and the Magistrates’ Koori Court in Dandenong and Heidelberg, including a Koori Engagement Officer for the Grampians region.</w:t>
      </w:r>
    </w:p>
    <w:p w14:paraId="3B72EA3B" w14:textId="763C0F49" w:rsidR="007C3867" w:rsidRDefault="007C3867" w:rsidP="007C3867">
      <w:pPr>
        <w:pStyle w:val="Heading3"/>
      </w:pPr>
      <w:bookmarkStart w:id="35" w:name="_Toc62808043"/>
      <w:r>
        <w:t>Koori Programs and Initiatives</w:t>
      </w:r>
      <w:bookmarkEnd w:id="35"/>
    </w:p>
    <w:p w14:paraId="1D245ABC" w14:textId="36024901" w:rsidR="007C3867" w:rsidRDefault="007C3867" w:rsidP="007C3867">
      <w:pPr>
        <w:pStyle w:val="BodyText"/>
      </w:pPr>
      <w:r>
        <w:t xml:space="preserve">The Koori Programs and Initiatives team maintains organisational focus on contemporary approaches responding to all Koori matters across courts and </w:t>
      </w:r>
      <w:r w:rsidR="00A10DBB">
        <w:t>Victorian Civil and Administrative Tribunal</w:t>
      </w:r>
      <w:r>
        <w:t xml:space="preserve">, </w:t>
      </w:r>
      <w:proofErr w:type="spellStart"/>
      <w:r>
        <w:t>Koories</w:t>
      </w:r>
      <w:proofErr w:type="spellEnd"/>
      <w:r>
        <w:t xml:space="preserve"> accessing and using the criminal and civil court system, </w:t>
      </w:r>
      <w:r w:rsidR="009B1462">
        <w:t>Court Services Victoria</w:t>
      </w:r>
      <w:r>
        <w:t xml:space="preserve"> Koori Staff and the Koori community. The centralised role and function of the unit provides a central point of contact for external stakeholders, Koori community and community organisations. Collaborating across the jurisdictions, the Koori Programs and Initiatives team is responsible for coordinating the strategic development and delivery of Victoria’s Koori justice policies and programs.</w:t>
      </w:r>
    </w:p>
    <w:p w14:paraId="16B99380" w14:textId="718488B7" w:rsidR="007C3867" w:rsidRDefault="009B1462" w:rsidP="007C3867">
      <w:pPr>
        <w:pStyle w:val="Heading3"/>
      </w:pPr>
      <w:bookmarkStart w:id="36" w:name="_Toc62808044"/>
      <w:r>
        <w:t>Court Services Victoria</w:t>
      </w:r>
      <w:r w:rsidR="007C3867">
        <w:t xml:space="preserve"> Self-determination Plan</w:t>
      </w:r>
      <w:bookmarkEnd w:id="36"/>
    </w:p>
    <w:p w14:paraId="2F1A99A9" w14:textId="6A671A1B" w:rsidR="007C3867" w:rsidRDefault="007C3867" w:rsidP="007C3867">
      <w:pPr>
        <w:pStyle w:val="BodyText"/>
      </w:pPr>
      <w:r>
        <w:t xml:space="preserve">Consultation was conducted to draft a </w:t>
      </w:r>
      <w:r w:rsidR="009B1462">
        <w:t>Court Services Victoria</w:t>
      </w:r>
      <w:r>
        <w:t xml:space="preserve"> Self-determination Plan, which has encouraged and supported Victorian courts and </w:t>
      </w:r>
      <w:r w:rsidR="00A10DBB">
        <w:t>Victorian Civil and Administrative Tribunal</w:t>
      </w:r>
      <w:r>
        <w:t xml:space="preserve"> to establish plans to build culturally aware and inclusive court environments for Koori Staff, Koori agencies and the Koori community across Victoria, replacing the Koori Inclusion Action Plan (2016-2019).</w:t>
      </w:r>
    </w:p>
    <w:p w14:paraId="3888B483" w14:textId="7F91F154" w:rsidR="00D415A3" w:rsidRDefault="007C3867" w:rsidP="007C3867">
      <w:pPr>
        <w:pStyle w:val="BodyText"/>
      </w:pPr>
      <w:r>
        <w:t xml:space="preserve">The </w:t>
      </w:r>
      <w:r w:rsidR="009B1462">
        <w:t>Court Services Victoria</w:t>
      </w:r>
      <w:r>
        <w:t xml:space="preserve"> Self-determination Plan aims to address the over-representation of </w:t>
      </w:r>
      <w:proofErr w:type="spellStart"/>
      <w:r>
        <w:t>Koories</w:t>
      </w:r>
      <w:proofErr w:type="spellEnd"/>
      <w:r>
        <w:t xml:space="preserve"> in the criminal justice system and to improve access to civil justice by building cultural awareness and cultural competency. The Plan’s objectives also include the development of greater respect and understanding of cultural values, traditions and customs which underpin the essence of our Koori workforce and the Koori community who access </w:t>
      </w:r>
      <w:r w:rsidR="009B1462">
        <w:t>Court Services Victoria</w:t>
      </w:r>
      <w:r>
        <w:t xml:space="preserve"> services.</w:t>
      </w:r>
    </w:p>
    <w:p w14:paraId="1412115C" w14:textId="09F74958" w:rsidR="007C3867" w:rsidRDefault="007C3867" w:rsidP="007C3867">
      <w:pPr>
        <w:pStyle w:val="Heading3"/>
      </w:pPr>
      <w:bookmarkStart w:id="37" w:name="_Toc62808045"/>
      <w:r>
        <w:t>Koori Employment Plan</w:t>
      </w:r>
      <w:bookmarkEnd w:id="37"/>
    </w:p>
    <w:p w14:paraId="58BB82F2" w14:textId="513FC6EF" w:rsidR="007C3867" w:rsidRDefault="009B1462" w:rsidP="007C3867">
      <w:pPr>
        <w:pStyle w:val="BodyText"/>
      </w:pPr>
      <w:r>
        <w:t>Court Services Victoria</w:t>
      </w:r>
      <w:r w:rsidR="007C3867">
        <w:t xml:space="preserve"> is committed to attracting, developing and retaining Koori talent. In line with the Victorian Government’s Barring </w:t>
      </w:r>
      <w:proofErr w:type="spellStart"/>
      <w:r w:rsidR="007C3867">
        <w:t>Djinang</w:t>
      </w:r>
      <w:proofErr w:type="spellEnd"/>
      <w:r w:rsidR="007C3867">
        <w:t xml:space="preserve"> Aboriginal Employment Strategy, </w:t>
      </w:r>
      <w:r>
        <w:t>Court Services Victoria</w:t>
      </w:r>
      <w:r w:rsidR="007C3867">
        <w:t xml:space="preserve"> led the review and development of the 2020-2024 Koori Employment Plan pledging to work towards a three per cent Koori employment rate across the organisation.</w:t>
      </w:r>
    </w:p>
    <w:p w14:paraId="629CA779" w14:textId="176691A5" w:rsidR="007C3867" w:rsidRDefault="007C3867" w:rsidP="007C3867">
      <w:pPr>
        <w:pStyle w:val="BodyText"/>
      </w:pPr>
      <w:r>
        <w:t xml:space="preserve">In June 2020, 54 staff identified as Aboriginal and/or Torres Strait Islander, representing a 2.09 per cent Koori employment rate across </w:t>
      </w:r>
      <w:r w:rsidR="009B1462">
        <w:t>Court Services Victoria</w:t>
      </w:r>
      <w:r>
        <w:t xml:space="preserve">. This percentage excludes Elders and Respected Persons (ERPs), as </w:t>
      </w:r>
      <w:r w:rsidR="009B1462">
        <w:t>Elders and Respected Persons</w:t>
      </w:r>
      <w:r>
        <w:t xml:space="preserve"> are casual </w:t>
      </w:r>
      <w:r w:rsidR="009B1462">
        <w:t>Court Services Victoria</w:t>
      </w:r>
      <w:r>
        <w:t xml:space="preserve"> employees and not counted in the full-time equivalent figures which build the basis for employment rate calculations. If </w:t>
      </w:r>
      <w:r w:rsidR="009B1462">
        <w:t>Elders and Respected Persons</w:t>
      </w:r>
      <w:r>
        <w:t xml:space="preserve"> were included in the Koori employment figures, the </w:t>
      </w:r>
      <w:r w:rsidR="009B1462">
        <w:t>Court Services Victoria</w:t>
      </w:r>
      <w:r>
        <w:t xml:space="preserve"> rate would rise to over five per cent. The </w:t>
      </w:r>
      <w:r w:rsidR="009B1462">
        <w:t>Elders and Respected Persons</w:t>
      </w:r>
      <w:r>
        <w:t xml:space="preserve"> play a vital role across all Koori programs, most importantly through their role and participation in the Koori Courts.</w:t>
      </w:r>
    </w:p>
    <w:p w14:paraId="1D3225B7" w14:textId="75A50DED" w:rsidR="007C3867" w:rsidRDefault="007C3867" w:rsidP="007C3867">
      <w:pPr>
        <w:pStyle w:val="BodyText"/>
      </w:pPr>
      <w:r>
        <w:t>Building on the previous Koori Employment Plan (2016-2019), the renewed plan outlines these focus areas that have been developed through direct Koori staff feedback and extensive consultations:</w:t>
      </w:r>
    </w:p>
    <w:p w14:paraId="27DDAC28" w14:textId="06774B21" w:rsidR="007C3867" w:rsidRDefault="007C3867" w:rsidP="007C3867">
      <w:pPr>
        <w:pStyle w:val="ListBullet"/>
      </w:pPr>
      <w:r>
        <w:t>Koori attraction and recruitment</w:t>
      </w:r>
    </w:p>
    <w:p w14:paraId="7E2249BA" w14:textId="3F441861" w:rsidR="007C3867" w:rsidRDefault="007C3867" w:rsidP="007C3867">
      <w:pPr>
        <w:pStyle w:val="ListBullet"/>
      </w:pPr>
      <w:r>
        <w:t>Progressive career experiences</w:t>
      </w:r>
    </w:p>
    <w:p w14:paraId="0473648D" w14:textId="10C171D8" w:rsidR="007C3867" w:rsidRDefault="007C3867" w:rsidP="007C3867">
      <w:pPr>
        <w:pStyle w:val="ListBullet"/>
      </w:pPr>
      <w:r>
        <w:t>Cultural safety</w:t>
      </w:r>
    </w:p>
    <w:p w14:paraId="59E531FD" w14:textId="6FA3852B" w:rsidR="007C3867" w:rsidRDefault="007C3867" w:rsidP="007C3867">
      <w:pPr>
        <w:pStyle w:val="ListBullet"/>
      </w:pPr>
      <w:r>
        <w:t>Support for Koori Staff</w:t>
      </w:r>
    </w:p>
    <w:p w14:paraId="48BB9CAA" w14:textId="0672F3BA" w:rsidR="007C3867" w:rsidRDefault="007C3867" w:rsidP="007C3867">
      <w:pPr>
        <w:pStyle w:val="ListBullet"/>
      </w:pPr>
      <w:r>
        <w:t>Central oversight and governance</w:t>
      </w:r>
    </w:p>
    <w:p w14:paraId="6075F2DB" w14:textId="6C8010EC" w:rsidR="007C3867" w:rsidRDefault="007C3867" w:rsidP="007C3867">
      <w:pPr>
        <w:pStyle w:val="Heading3"/>
      </w:pPr>
      <w:bookmarkStart w:id="38" w:name="_Toc62808046"/>
      <w:r>
        <w:t>Koori Specific Training</w:t>
      </w:r>
      <w:bookmarkEnd w:id="38"/>
    </w:p>
    <w:p w14:paraId="75749308" w14:textId="4D27D02A" w:rsidR="00D415A3" w:rsidRDefault="009B1462" w:rsidP="007C3867">
      <w:pPr>
        <w:pStyle w:val="BodyText"/>
      </w:pPr>
      <w:r>
        <w:t>Court Services Victoria</w:t>
      </w:r>
      <w:r w:rsidR="007C3867">
        <w:t xml:space="preserve"> places a strong focus on delivering culturally appropriate and wellbeing-based programs for the Koori workforce. In 2020, the Koori Programs and Initiatives team established a culturally specific support program for all Koori Staff and </w:t>
      </w:r>
      <w:r>
        <w:t>Elders and Respected Persons</w:t>
      </w:r>
      <w:r w:rsidR="007C3867">
        <w:t xml:space="preserve"> which encompasses cultural debriefing.</w:t>
      </w:r>
    </w:p>
    <w:p w14:paraId="155803B9" w14:textId="3D0A5B9F" w:rsidR="007C3867" w:rsidRDefault="007C3867" w:rsidP="007C3867">
      <w:pPr>
        <w:pStyle w:val="Heading3"/>
      </w:pPr>
      <w:bookmarkStart w:id="39" w:name="_Toc62808047"/>
      <w:r>
        <w:t xml:space="preserve">Koori Cultural </w:t>
      </w:r>
      <w:r w:rsidR="00AD6289">
        <w:t>A</w:t>
      </w:r>
      <w:r>
        <w:t>wareness Training</w:t>
      </w:r>
      <w:bookmarkEnd w:id="39"/>
    </w:p>
    <w:p w14:paraId="6173C00F" w14:textId="77777777" w:rsidR="007C3867" w:rsidRDefault="007C3867" w:rsidP="007C3867">
      <w:pPr>
        <w:pStyle w:val="BodyText"/>
      </w:pPr>
      <w:r>
        <w:t>Building a workplace that is culturally aware of Koori history and the challenges of the Koori community is fundamental to secure the retention of Koori staff and the provision of a culturally safe service to Koori community.</w:t>
      </w:r>
    </w:p>
    <w:p w14:paraId="5F224039" w14:textId="5BD40A81" w:rsidR="007C3867" w:rsidRDefault="007C3867" w:rsidP="007C3867">
      <w:pPr>
        <w:pStyle w:val="BodyText"/>
      </w:pPr>
      <w:r>
        <w:t xml:space="preserve">A program of cultural awareness training was designed and delivered to staff and those engaging directly with the Koori community, with nine sessions delivered in 2019-20. The Koori Employment Plan highlights that the participation in cultural awareness training is low. In response to this, work is being undertaken to implement a cultural component into the </w:t>
      </w:r>
      <w:r w:rsidR="009B1462">
        <w:t>Court Services Victoria</w:t>
      </w:r>
      <w:r>
        <w:t xml:space="preserve"> Induction program.</w:t>
      </w:r>
    </w:p>
    <w:p w14:paraId="5AB25738" w14:textId="781714F2" w:rsidR="007C3867" w:rsidRDefault="007C3867" w:rsidP="007C3867">
      <w:pPr>
        <w:pStyle w:val="Heading3"/>
      </w:pPr>
      <w:bookmarkStart w:id="40" w:name="_Toc62808048"/>
      <w:r>
        <w:t>Aboriginal Justice Forum Responsibilities</w:t>
      </w:r>
      <w:bookmarkEnd w:id="40"/>
    </w:p>
    <w:p w14:paraId="3B219492" w14:textId="7B395B75" w:rsidR="007C3867" w:rsidRDefault="007C3867" w:rsidP="007C3867">
      <w:pPr>
        <w:pStyle w:val="BodyText"/>
      </w:pPr>
      <w:r>
        <w:t xml:space="preserve">As the peak coordinating body responsible for overseeing the development, implementation and direction of the Burra </w:t>
      </w:r>
      <w:proofErr w:type="spellStart"/>
      <w:r>
        <w:t>Lotjpa</w:t>
      </w:r>
      <w:proofErr w:type="spellEnd"/>
      <w:r>
        <w:t xml:space="preserve"> </w:t>
      </w:r>
      <w:proofErr w:type="spellStart"/>
      <w:r>
        <w:t>Dunguludja</w:t>
      </w:r>
      <w:proofErr w:type="spellEnd"/>
      <w:r>
        <w:t xml:space="preserve"> (Victorian Aboriginal Justice Agreement), the Aboriginal Justice Forum brings together leaders of the Aboriginal Community and senior representatives of the courts, justice, health, human services, and education departments, and Aboriginal Victoria (within the Department of the Premier and Cabinet).</w:t>
      </w:r>
    </w:p>
    <w:p w14:paraId="388A9598" w14:textId="56E3A290" w:rsidR="007C3867" w:rsidRDefault="009B1462" w:rsidP="007C3867">
      <w:pPr>
        <w:pStyle w:val="BodyText"/>
      </w:pPr>
      <w:r>
        <w:t>Court Services Victoria</w:t>
      </w:r>
      <w:r w:rsidR="007C3867">
        <w:t xml:space="preserve"> is represented by judicial officers from the County, Magistrates’ and Children’s Courts. The Koori Programs and Initiatives team undertakes </w:t>
      </w:r>
      <w:proofErr w:type="spellStart"/>
      <w:r w:rsidR="007C3867">
        <w:t>statewide</w:t>
      </w:r>
      <w:proofErr w:type="spellEnd"/>
      <w:r w:rsidR="007C3867">
        <w:t xml:space="preserve"> coordination for the jurisdictions in response to requests from the Aboriginal Justice Forum.</w:t>
      </w:r>
    </w:p>
    <w:p w14:paraId="1DF08B11" w14:textId="5E045106" w:rsidR="007C3867" w:rsidRDefault="007C3867" w:rsidP="007C3867">
      <w:pPr>
        <w:pStyle w:val="Heading3"/>
      </w:pPr>
      <w:bookmarkStart w:id="41" w:name="_Toc62808049"/>
      <w:r>
        <w:t>Victorian Government Reporting Service</w:t>
      </w:r>
      <w:bookmarkEnd w:id="41"/>
    </w:p>
    <w:p w14:paraId="2294E467" w14:textId="56C07D80" w:rsidR="00105DB1" w:rsidRDefault="007C3867" w:rsidP="00105DB1">
      <w:pPr>
        <w:pStyle w:val="BodyText"/>
      </w:pPr>
      <w:r>
        <w:t xml:space="preserve">The Victorian Government Reporting Service (VGRS) supports the courts, particularly for criminal trials, by ensuring that the court and the involved parties have timely access to an accurate record of court proceedings. During 2019-20, the </w:t>
      </w:r>
      <w:r w:rsidR="00A10DBB">
        <w:t>Victorian Government Reporting Service</w:t>
      </w:r>
      <w:r>
        <w:t xml:space="preserve"> continued to manage a significant demand </w:t>
      </w:r>
      <w:r w:rsidR="00105DB1">
        <w:t>for recording and transcript services, with approximately 25,758 matters dealt with. Nearly half, 12,738 of these matters were transcribed for the courts and court users. The remaining 13,020 matters were only recorded as there was no requirement for a produced transcript.</w:t>
      </w:r>
    </w:p>
    <w:p w14:paraId="44B08CC0" w14:textId="32B9CF64" w:rsidR="00105DB1" w:rsidRDefault="00105DB1" w:rsidP="00105DB1">
      <w:pPr>
        <w:pStyle w:val="BodyText"/>
      </w:pPr>
      <w:r>
        <w:t xml:space="preserve">The </w:t>
      </w:r>
      <w:r w:rsidR="00A10DBB">
        <w:t>Victorian Government Reporting Service</w:t>
      </w:r>
      <w:r>
        <w:t xml:space="preserve"> also had to adapt to recording and transcribing matters utilising different technologies in response to the coronavirus (COVID-19) pandemic and matters being heard remotely, managing approximately 513 video conferencing matters.</w:t>
      </w:r>
    </w:p>
    <w:p w14:paraId="44148481" w14:textId="64ED780F" w:rsidR="00105DB1" w:rsidRDefault="00105DB1" w:rsidP="00105DB1">
      <w:pPr>
        <w:pStyle w:val="Heading3"/>
      </w:pPr>
      <w:bookmarkStart w:id="42" w:name="_Toc62808050"/>
      <w:r>
        <w:t>Court Security Model</w:t>
      </w:r>
      <w:bookmarkEnd w:id="42"/>
    </w:p>
    <w:p w14:paraId="092B0219" w14:textId="5A5E2FA5" w:rsidR="00105DB1" w:rsidRDefault="00105DB1" w:rsidP="00105DB1">
      <w:pPr>
        <w:pStyle w:val="BodyText"/>
      </w:pPr>
      <w:r>
        <w:t>Court Security Officers (CSOs) continue to play an integral role in the safety and security of the court environment through their presence and management of entry points to court venues: detecting and eliminating prohibited and offensive weapons from entering courts venues; de-escalation of incidents; and escorting of vulnerable family violence applicants to vehicles.</w:t>
      </w:r>
    </w:p>
    <w:p w14:paraId="0B31E5CA" w14:textId="397EC35B" w:rsidR="00105DB1" w:rsidRDefault="00105DB1" w:rsidP="00105DB1">
      <w:pPr>
        <w:pStyle w:val="BodyText"/>
      </w:pPr>
      <w:r>
        <w:t xml:space="preserve">The development of a </w:t>
      </w:r>
      <w:r w:rsidR="009B1462">
        <w:t>Court Services Victoria</w:t>
      </w:r>
      <w:r>
        <w:t xml:space="preserve"> Security Framework, Standards, and a suite of policies and procedures help to further strengthen the security environment. These foundational security documents:</w:t>
      </w:r>
    </w:p>
    <w:p w14:paraId="54DAB9F9" w14:textId="2D836FD0" w:rsidR="00105DB1" w:rsidRDefault="00105DB1" w:rsidP="00DB1CB7">
      <w:pPr>
        <w:pStyle w:val="ListBullet"/>
      </w:pPr>
      <w:r>
        <w:t>align with relevant international and Australian industry standards</w:t>
      </w:r>
    </w:p>
    <w:p w14:paraId="12675B0F" w14:textId="2FDEE100" w:rsidR="00105DB1" w:rsidRDefault="00105DB1" w:rsidP="00DB1CB7">
      <w:pPr>
        <w:pStyle w:val="ListBullet"/>
      </w:pPr>
      <w:r>
        <w:t>conform with relevant Victorian and Commonwealth legislation and regulations</w:t>
      </w:r>
    </w:p>
    <w:p w14:paraId="3CECB993" w14:textId="3E625441" w:rsidR="00105DB1" w:rsidRDefault="00105DB1" w:rsidP="00DB1CB7">
      <w:pPr>
        <w:pStyle w:val="ListBullet"/>
      </w:pPr>
      <w:r>
        <w:t>reflect best practice protocols recommended by bodies such as the Victorian Auditor-General’s Office, the Victorian Ombudsman and the Victorian Commissioner for Privacy and Data Protection and</w:t>
      </w:r>
    </w:p>
    <w:p w14:paraId="465D9167" w14:textId="4585D86F" w:rsidR="00105DB1" w:rsidRDefault="00105DB1" w:rsidP="00DB1CB7">
      <w:pPr>
        <w:pStyle w:val="ListBullet"/>
      </w:pPr>
      <w:r>
        <w:t>align with the Australian Government’s Protective Security Policy Framework.</w:t>
      </w:r>
    </w:p>
    <w:p w14:paraId="782891A2" w14:textId="35C94C5D" w:rsidR="00105DB1" w:rsidRDefault="00105DB1" w:rsidP="00105DB1">
      <w:pPr>
        <w:pStyle w:val="BodyText"/>
      </w:pPr>
      <w:r>
        <w:t xml:space="preserve">The </w:t>
      </w:r>
      <w:r w:rsidR="009B1462">
        <w:t>Court Services Victoria</w:t>
      </w:r>
      <w:r>
        <w:t xml:space="preserve"> Security Framework promotes operational and policy consistency across jurisdictions and sites, as well as a robust security culture across </w:t>
      </w:r>
      <w:r w:rsidR="009B1462">
        <w:t>Court Services Victoria</w:t>
      </w:r>
      <w:r>
        <w:t xml:space="preserve"> to ensure the safety and security of </w:t>
      </w:r>
      <w:r w:rsidR="009B1462">
        <w:t>Court Services Victoria</w:t>
      </w:r>
      <w:r>
        <w:t xml:space="preserve">’s people, information and assets. The Security Standards are aligned with the Framework to outline best practice requirements for the provision of operational, physical and electronic security systems at all </w:t>
      </w:r>
      <w:r w:rsidR="009B1462">
        <w:t>Court Services Victoria</w:t>
      </w:r>
      <w:r>
        <w:t xml:space="preserve"> facilities. The policies and procedures contain high-level principles and requirements and set the directional tone of security practice in </w:t>
      </w:r>
      <w:r w:rsidR="009B1462">
        <w:t>Court Services Victoria</w:t>
      </w:r>
      <w:r>
        <w:t>.</w:t>
      </w:r>
    </w:p>
    <w:p w14:paraId="27658CAE" w14:textId="4385737F" w:rsidR="00105DB1" w:rsidRDefault="00105DB1" w:rsidP="00105DB1">
      <w:pPr>
        <w:pStyle w:val="BodyText"/>
      </w:pPr>
      <w:r>
        <w:t>A comprehensive security assessment has commenced to determine the level of adherence of each site against the new Standards. The outcome of the security assessment will be used to prioritise security works across the state.</w:t>
      </w:r>
    </w:p>
    <w:p w14:paraId="158EE139" w14:textId="348A84C7" w:rsidR="00105DB1" w:rsidRDefault="00105DB1" w:rsidP="00105DB1">
      <w:pPr>
        <w:pStyle w:val="BodyText"/>
      </w:pPr>
      <w:r>
        <w:t>This effort is reinforced by a program to replace obsolete and outdated security entrance equipment. A thorough review of equipment at every security entrance across the state was undertaken to understand the type and model of equipment in each location as well as the maintenance history to inform the replacement program.</w:t>
      </w:r>
    </w:p>
    <w:p w14:paraId="2563145C" w14:textId="4D9BBC8F" w:rsidR="00105DB1" w:rsidRDefault="00105DB1" w:rsidP="00105DB1">
      <w:pPr>
        <w:pStyle w:val="Heading3"/>
      </w:pPr>
      <w:bookmarkStart w:id="43" w:name="_Toc62808051"/>
      <w:r>
        <w:t>2019–20 Victorian Fire Season</w:t>
      </w:r>
      <w:bookmarkEnd w:id="43"/>
    </w:p>
    <w:p w14:paraId="07EBA952" w14:textId="35B68C17" w:rsidR="00105DB1" w:rsidRDefault="00105DB1" w:rsidP="00105DB1">
      <w:pPr>
        <w:pStyle w:val="BodyText"/>
      </w:pPr>
      <w:r>
        <w:t xml:space="preserve">The </w:t>
      </w:r>
      <w:r w:rsidR="009B1462">
        <w:t>Court Services Victoria</w:t>
      </w:r>
      <w:r>
        <w:t xml:space="preserve"> </w:t>
      </w:r>
      <w:r w:rsidR="009B1462">
        <w:t>Emergency Management Team</w:t>
      </w:r>
      <w:r>
        <w:t xml:space="preserve"> was convened on 25 November 2019 in response to the Code Red bushfires declaration to ensure that the Courts Group were prepared for and briefed on impacts associated with the bushfires. With a role in monitoring and coordination across </w:t>
      </w:r>
      <w:r w:rsidR="009B1462">
        <w:t>Court Services Victoria</w:t>
      </w:r>
      <w:r>
        <w:t>, the Security and Emergency Management Group (SEMG) provided:</w:t>
      </w:r>
    </w:p>
    <w:p w14:paraId="70F919BB" w14:textId="331CD2C8" w:rsidR="00105DB1" w:rsidRDefault="00105DB1" w:rsidP="00DB1CB7">
      <w:pPr>
        <w:pStyle w:val="ListBullet"/>
      </w:pPr>
      <w:r>
        <w:t>direct support to the Courts Group with Emergency Management Plans</w:t>
      </w:r>
    </w:p>
    <w:p w14:paraId="4E4F08D8" w14:textId="24A01617" w:rsidR="00105DB1" w:rsidRDefault="00105DB1" w:rsidP="00DB1CB7">
      <w:pPr>
        <w:pStyle w:val="ListBullet"/>
      </w:pPr>
      <w:r>
        <w:t>participated in State Emergency Management Team Planning/Preparedness meetings</w:t>
      </w:r>
    </w:p>
    <w:p w14:paraId="4D9C3BA5" w14:textId="1CF721F2" w:rsidR="00105DB1" w:rsidRDefault="00105DB1" w:rsidP="00DB1CB7">
      <w:pPr>
        <w:pStyle w:val="ListBullet"/>
      </w:pPr>
      <w:r>
        <w:t>lead the Sub-Planning Team, preparing two reports daily on the fires and the possible issues to support the jurisdictions with the planning and preparedness to respond to the fires, heat and smoke alerts.</w:t>
      </w:r>
    </w:p>
    <w:p w14:paraId="36B01BAB" w14:textId="3CFB65BF" w:rsidR="00105DB1" w:rsidRDefault="00105DB1" w:rsidP="00105DB1">
      <w:pPr>
        <w:pStyle w:val="BodyText"/>
      </w:pPr>
      <w:r>
        <w:t xml:space="preserve">To embed the processes and responsibilities as prescribed in </w:t>
      </w:r>
      <w:r w:rsidR="009B1462">
        <w:t>Court Services Victoria</w:t>
      </w:r>
      <w:r>
        <w:t xml:space="preserve"> Bushfire and Code Red Preparedness Policy, SEMG also facilitated delivery of the Australasian Inter-Service Incident Management System (AIIMS) training for the </w:t>
      </w:r>
      <w:r w:rsidR="009B1462">
        <w:t>Court Services Victoria</w:t>
      </w:r>
      <w:r>
        <w:t xml:space="preserve"> </w:t>
      </w:r>
      <w:r w:rsidR="009B1462">
        <w:t>Emergency Management Team</w:t>
      </w:r>
      <w:r>
        <w:t>.</w:t>
      </w:r>
    </w:p>
    <w:p w14:paraId="1C639469" w14:textId="1E7D6503" w:rsidR="007C3867" w:rsidRDefault="00105DB1" w:rsidP="00105DB1">
      <w:pPr>
        <w:pStyle w:val="Heading2"/>
      </w:pPr>
      <w:bookmarkStart w:id="44" w:name="_Toc62808052"/>
      <w:r>
        <w:t>Responsible Management and Accountability</w:t>
      </w:r>
      <w:bookmarkEnd w:id="44"/>
    </w:p>
    <w:p w14:paraId="0595EE63" w14:textId="10F6D834" w:rsidR="00105DB1" w:rsidRDefault="009B1462" w:rsidP="00105DB1">
      <w:pPr>
        <w:pStyle w:val="BodyText"/>
      </w:pPr>
      <w:r>
        <w:t>Court Services Victoria</w:t>
      </w:r>
      <w:r w:rsidR="00105DB1">
        <w:t xml:space="preserve"> delivers high quality administrative services and facilities for jurisdictions, the College and the Commission. </w:t>
      </w:r>
      <w:r>
        <w:t>Court Services Victoria</w:t>
      </w:r>
      <w:r w:rsidR="00105DB1">
        <w:t xml:space="preserve"> is transparent and accountable in managing and delivering these services.</w:t>
      </w:r>
    </w:p>
    <w:p w14:paraId="63E6EE21" w14:textId="4C7A59E0" w:rsidR="00105DB1" w:rsidRDefault="00105DB1" w:rsidP="00105DB1">
      <w:pPr>
        <w:pStyle w:val="Heading3"/>
      </w:pPr>
      <w:bookmarkStart w:id="45" w:name="_Toc62808053"/>
      <w:r>
        <w:t>Integrity Framework</w:t>
      </w:r>
      <w:bookmarkEnd w:id="45"/>
    </w:p>
    <w:p w14:paraId="79550D3A" w14:textId="0F101B04" w:rsidR="00105DB1" w:rsidRDefault="00105DB1" w:rsidP="00105DB1">
      <w:pPr>
        <w:pStyle w:val="BodyText"/>
      </w:pPr>
      <w:r>
        <w:t xml:space="preserve">Since Courts Council’s approval of </w:t>
      </w:r>
      <w:r w:rsidR="009B1462">
        <w:t>Court Services Victoria</w:t>
      </w:r>
      <w:r>
        <w:t xml:space="preserve">’s inaugural Integrity Framework in May 2018, </w:t>
      </w:r>
      <w:r w:rsidR="009B1462">
        <w:t>Court Services Victoria</w:t>
      </w:r>
      <w:r>
        <w:t xml:space="preserve"> has strengthened and made internal fraud and corruption control systems more transparent under the </w:t>
      </w:r>
      <w:r w:rsidRPr="004344CC">
        <w:rPr>
          <w:rStyle w:val="Italics"/>
        </w:rPr>
        <w:t xml:space="preserve">Integrity </w:t>
      </w:r>
      <w:proofErr w:type="gramStart"/>
      <w:r w:rsidRPr="004344CC">
        <w:rPr>
          <w:rStyle w:val="Italics"/>
        </w:rPr>
        <w:t>At</w:t>
      </w:r>
      <w:proofErr w:type="gramEnd"/>
      <w:r w:rsidRPr="004344CC">
        <w:rPr>
          <w:rStyle w:val="Italics"/>
        </w:rPr>
        <w:t xml:space="preserve"> Work</w:t>
      </w:r>
      <w:r>
        <w:t xml:space="preserve"> program.</w:t>
      </w:r>
    </w:p>
    <w:p w14:paraId="594C94F6" w14:textId="6C288E37" w:rsidR="00105DB1" w:rsidRDefault="00105DB1" w:rsidP="00105DB1">
      <w:pPr>
        <w:pStyle w:val="BodyText"/>
      </w:pPr>
      <w:r w:rsidRPr="004344CC">
        <w:rPr>
          <w:rStyle w:val="Italics"/>
        </w:rPr>
        <w:t xml:space="preserve">Integrity </w:t>
      </w:r>
      <w:proofErr w:type="gramStart"/>
      <w:r w:rsidRPr="004344CC">
        <w:rPr>
          <w:rStyle w:val="Italics"/>
        </w:rPr>
        <w:t>At</w:t>
      </w:r>
      <w:proofErr w:type="gramEnd"/>
      <w:r w:rsidRPr="004344CC">
        <w:rPr>
          <w:rStyle w:val="Italics"/>
        </w:rPr>
        <w:t xml:space="preserve"> Work</w:t>
      </w:r>
      <w:r>
        <w:t xml:space="preserve"> enhances </w:t>
      </w:r>
      <w:r w:rsidR="009B1462">
        <w:t>Court Services Victoria</w:t>
      </w:r>
      <w:r>
        <w:t xml:space="preserve">’s many prevention, detection and response mechanisms, resulting in the development of the Integrity Framework Action (Control) Plan for 2018-19. The Control Plan also guided </w:t>
      </w:r>
      <w:r w:rsidR="009B1462">
        <w:t>Court Services Victoria</w:t>
      </w:r>
      <w:r>
        <w:t>’s activities in 2019-20, supporting jurisdictional enhancements to robust integrity systems and contributing to communication on ethical and professional practises for staff.</w:t>
      </w:r>
    </w:p>
    <w:p w14:paraId="69FB8E03" w14:textId="57C4423D" w:rsidR="00105DB1" w:rsidRDefault="00105DB1" w:rsidP="00105DB1">
      <w:pPr>
        <w:pStyle w:val="BodyText"/>
      </w:pPr>
      <w:r>
        <w:t>Key achievements in 2019-20 include:</w:t>
      </w:r>
    </w:p>
    <w:p w14:paraId="58F18A96" w14:textId="63B90E58" w:rsidR="00105DB1" w:rsidRDefault="00105DB1" w:rsidP="00DB1CB7">
      <w:pPr>
        <w:pStyle w:val="ListBullet"/>
      </w:pPr>
      <w:r>
        <w:t xml:space="preserve">Completing </w:t>
      </w:r>
      <w:r w:rsidR="009B1462">
        <w:t>Court Services Victoria</w:t>
      </w:r>
      <w:r>
        <w:t>’s first jurisdiction wide fraud and corruption risk assessment, raising the profile of jurisdictional and business level accountabilities for key integrity risks now embedded in operational risk registers.</w:t>
      </w:r>
    </w:p>
    <w:p w14:paraId="19BD4A06" w14:textId="1A379C2B" w:rsidR="007C3867" w:rsidRDefault="00105DB1" w:rsidP="00DB1CB7">
      <w:pPr>
        <w:pStyle w:val="ListBullet"/>
      </w:pPr>
      <w:r>
        <w:t>Completing the first biennial review of the Integrity Framework, ensuring workforce accessibility and organisational readiness to respond to the changing Australian Standard for Fraud and Corruption Control scheduled for 2020-21.</w:t>
      </w:r>
    </w:p>
    <w:p w14:paraId="7AB59BAE" w14:textId="004C9022" w:rsidR="00105DB1" w:rsidRDefault="00105DB1" w:rsidP="00105DB1">
      <w:pPr>
        <w:pStyle w:val="Heading3"/>
      </w:pPr>
      <w:bookmarkStart w:id="46" w:name="_Toc62808054"/>
      <w:r>
        <w:t>Data and Reporting</w:t>
      </w:r>
      <w:bookmarkEnd w:id="46"/>
    </w:p>
    <w:p w14:paraId="471CA53F" w14:textId="034A1106" w:rsidR="00105DB1" w:rsidRDefault="00105DB1" w:rsidP="00105DB1">
      <w:pPr>
        <w:pStyle w:val="BodyText"/>
      </w:pPr>
      <w:r>
        <w:t xml:space="preserve">Managing </w:t>
      </w:r>
      <w:r w:rsidR="009B1462">
        <w:t>Court Services Victoria</w:t>
      </w:r>
      <w:r>
        <w:t xml:space="preserve">’s data warehouse and coordinating a range of reporting activities is a core function for </w:t>
      </w:r>
      <w:r w:rsidR="009B1462">
        <w:t>Court Services Victoria</w:t>
      </w:r>
      <w:r>
        <w:t>. The data warehouse hosts more than 1.4 billion records and provides business intelligence tools to the jurisdictions that enable access to this data, with 163 active users registered.</w:t>
      </w:r>
    </w:p>
    <w:p w14:paraId="40DECCF1" w14:textId="689D5464" w:rsidR="00105DB1" w:rsidRDefault="009B1462" w:rsidP="00105DB1">
      <w:pPr>
        <w:pStyle w:val="BodyText"/>
      </w:pPr>
      <w:r>
        <w:t>Court Services Victoria</w:t>
      </w:r>
      <w:r w:rsidR="00105DB1">
        <w:t xml:space="preserve"> responded to 115 ad hoc requests for data, as well as coordinating the delivery of significant datasets to the Productivity Commission for the annual Report on Government Services, the Sentencing Advisory Council and the Australian Bureau of Statistics.</w:t>
      </w:r>
    </w:p>
    <w:p w14:paraId="3E6909CD" w14:textId="4090F417" w:rsidR="00105DB1" w:rsidRDefault="00105DB1" w:rsidP="00105DB1">
      <w:pPr>
        <w:pStyle w:val="Heading3"/>
      </w:pPr>
      <w:bookmarkStart w:id="47" w:name="_Toc62808055"/>
      <w:r>
        <w:t>Risk and Audit</w:t>
      </w:r>
      <w:bookmarkEnd w:id="47"/>
    </w:p>
    <w:p w14:paraId="4B7FD204" w14:textId="6ED6DB48" w:rsidR="00105DB1" w:rsidRDefault="009B1462" w:rsidP="00105DB1">
      <w:pPr>
        <w:pStyle w:val="BodyText"/>
      </w:pPr>
      <w:r>
        <w:t>Court Services Victoria</w:t>
      </w:r>
      <w:r w:rsidR="00105DB1">
        <w:t xml:space="preserve">’s Risk, Audit and Insurance function supports the Courts Council to execute its responsibilities to direct the management of </w:t>
      </w:r>
      <w:r>
        <w:t>Court Services Victoria</w:t>
      </w:r>
      <w:r w:rsidR="00105DB1">
        <w:t xml:space="preserve"> risk, supporting the organisation to achieve its objectives. It also manages the delivery of the internal audit </w:t>
      </w:r>
      <w:proofErr w:type="gramStart"/>
      <w:r w:rsidR="00105DB1">
        <w:t>program, and</w:t>
      </w:r>
      <w:proofErr w:type="gramEnd"/>
      <w:r w:rsidR="00105DB1">
        <w:t xml:space="preserve"> assists jurisdictions with the identification and management of risk, building a culture where risk management is embedded in our day to day activities. Building a positive risk culture, one that is shared and well understood across </w:t>
      </w:r>
      <w:r>
        <w:t>Court Services Victoria</w:t>
      </w:r>
      <w:r w:rsidR="00105DB1">
        <w:t>, is integral to effective risk identification and management.</w:t>
      </w:r>
    </w:p>
    <w:p w14:paraId="01A8D007" w14:textId="7B83A613" w:rsidR="00105DB1" w:rsidRDefault="00105DB1" w:rsidP="001871F9">
      <w:pPr>
        <w:pStyle w:val="BodyText"/>
        <w:keepNext/>
      </w:pPr>
      <w:r>
        <w:t>Key achievements for 2019-20 include:</w:t>
      </w:r>
    </w:p>
    <w:p w14:paraId="19C9F46E" w14:textId="3F70475B" w:rsidR="00105DB1" w:rsidRDefault="00105DB1" w:rsidP="00DB1CB7">
      <w:pPr>
        <w:pStyle w:val="ListBullet"/>
      </w:pPr>
      <w:r>
        <w:t>Completing the transition to a new internal audit services provider.</w:t>
      </w:r>
    </w:p>
    <w:p w14:paraId="717B1913" w14:textId="06721C3F" w:rsidR="00105DB1" w:rsidRDefault="00105DB1" w:rsidP="00DB1CB7">
      <w:pPr>
        <w:pStyle w:val="ListBullet"/>
      </w:pPr>
      <w:r>
        <w:t xml:space="preserve">Facilitating the 2019-20 internal audit program, which included review of </w:t>
      </w:r>
      <w:r w:rsidR="009B1462">
        <w:t>Court Services Victoria</w:t>
      </w:r>
      <w:r>
        <w:t xml:space="preserve">’s Asset Management Accountability Framework; </w:t>
      </w:r>
      <w:r w:rsidR="009B1462">
        <w:t>Court Services Victoria</w:t>
      </w:r>
      <w:r>
        <w:t xml:space="preserve">’s management of Audit Actions; Procurement Compliance; and </w:t>
      </w:r>
      <w:r w:rsidR="009B1462">
        <w:t>Court Services Victoria</w:t>
      </w:r>
      <w:r>
        <w:t>’s compliance with the Standing Directions of the Minister for Finance.</w:t>
      </w:r>
    </w:p>
    <w:p w14:paraId="575E506F" w14:textId="6D23B891" w:rsidR="00105DB1" w:rsidRDefault="00105DB1" w:rsidP="00DB1CB7">
      <w:pPr>
        <w:pStyle w:val="ListBullet"/>
      </w:pPr>
      <w:r>
        <w:t xml:space="preserve">Identifying and managing key organisational risks most likely to impact achievement of </w:t>
      </w:r>
      <w:r w:rsidR="009B1462">
        <w:t>Court Services Victoria</w:t>
      </w:r>
      <w:r>
        <w:t>’s strategic objectives.</w:t>
      </w:r>
    </w:p>
    <w:p w14:paraId="364C7A5B" w14:textId="75B33A69" w:rsidR="00105DB1" w:rsidRDefault="00105DB1" w:rsidP="00DB1CB7">
      <w:pPr>
        <w:pStyle w:val="ListBullet"/>
      </w:pPr>
      <w:r>
        <w:t xml:space="preserve">Conducted a review of </w:t>
      </w:r>
      <w:r w:rsidR="009B1462">
        <w:t>Court Services Victoria</w:t>
      </w:r>
      <w:r>
        <w:t>’s Risk Management Policy and Risk Management Framework to ensure regulatory and best practice requirements are met, applying the international risk management standard.</w:t>
      </w:r>
    </w:p>
    <w:p w14:paraId="4DDD40A3" w14:textId="3A3F1B2E" w:rsidR="00105DB1" w:rsidRDefault="00105DB1" w:rsidP="00DB1CB7">
      <w:pPr>
        <w:pStyle w:val="ListBullet"/>
      </w:pPr>
      <w:r>
        <w:t xml:space="preserve">Conducted a risk assessment of arrangements implemented during the coronavirus (COVID-19) pandemic to ensure continuation of critical services for </w:t>
      </w:r>
      <w:r w:rsidR="009B1462">
        <w:t>Court Services Victoria</w:t>
      </w:r>
      <w:r>
        <w:t>.</w:t>
      </w:r>
    </w:p>
    <w:p w14:paraId="3C058D29" w14:textId="7B6A814E" w:rsidR="00105DB1" w:rsidRDefault="00105DB1" w:rsidP="00105DB1">
      <w:pPr>
        <w:pStyle w:val="Heading3"/>
      </w:pPr>
      <w:bookmarkStart w:id="48" w:name="_Toc62808056"/>
      <w:r>
        <w:t>Finance Services</w:t>
      </w:r>
      <w:bookmarkEnd w:id="48"/>
    </w:p>
    <w:p w14:paraId="231F409C" w14:textId="0DE0DEEF" w:rsidR="00105DB1" w:rsidRDefault="00105DB1" w:rsidP="00105DB1">
      <w:pPr>
        <w:pStyle w:val="BodyText"/>
      </w:pPr>
      <w:r>
        <w:t>The jurisdictions, the College and the Commission are separately provided appropriation by Parliament. Finance Services works collaboratively with the jurisdictions to ensure a consistent and coordinated approach to financial services, including the development of budgets to support the delivery of services and facilities.</w:t>
      </w:r>
    </w:p>
    <w:p w14:paraId="385C4290" w14:textId="5CEBB915" w:rsidR="00105DB1" w:rsidRDefault="00105DB1" w:rsidP="00105DB1">
      <w:pPr>
        <w:pStyle w:val="BodyText"/>
      </w:pPr>
      <w:r>
        <w:t>Key achievements of Finance Services during 2019-20 include:</w:t>
      </w:r>
    </w:p>
    <w:p w14:paraId="2D888383" w14:textId="56A634C0" w:rsidR="00105DB1" w:rsidRDefault="00105DB1" w:rsidP="00DB1CB7">
      <w:pPr>
        <w:pStyle w:val="ListBullet"/>
      </w:pPr>
      <w:r>
        <w:t>Approval of the 2019-20 budget within legislative timeframes.</w:t>
      </w:r>
    </w:p>
    <w:p w14:paraId="267694DA" w14:textId="5650B3A7" w:rsidR="00105DB1" w:rsidRDefault="00105DB1" w:rsidP="00DB1CB7">
      <w:pPr>
        <w:pStyle w:val="ListBullet"/>
      </w:pPr>
      <w:r>
        <w:t xml:space="preserve">Unqualified financial audit reports for </w:t>
      </w:r>
      <w:r w:rsidR="009B1462">
        <w:t>Court Services Victoria</w:t>
      </w:r>
      <w:r>
        <w:t xml:space="preserve"> and the Commission for the year ending 30 June 2020.</w:t>
      </w:r>
    </w:p>
    <w:p w14:paraId="631BD953" w14:textId="250137A1" w:rsidR="00105DB1" w:rsidRDefault="00105DB1" w:rsidP="00DB1CB7">
      <w:pPr>
        <w:pStyle w:val="ListBullet"/>
      </w:pPr>
      <w:r>
        <w:t>Compliance with applicable finance Standing Directions as issued by the Assistant Treasurer.</w:t>
      </w:r>
    </w:p>
    <w:p w14:paraId="6D5EEA2E" w14:textId="03C511F4" w:rsidR="00105DB1" w:rsidRDefault="00105DB1" w:rsidP="00DB1CB7">
      <w:pPr>
        <w:pStyle w:val="ListBullet"/>
      </w:pPr>
      <w:r>
        <w:t xml:space="preserve">Implementation of a revised team structure to better align the work of finance services with the needs of the courts and </w:t>
      </w:r>
      <w:r w:rsidR="00A10DBB">
        <w:t>Victorian Civil and Administrative Tribunal</w:t>
      </w:r>
      <w:r>
        <w:t>.</w:t>
      </w:r>
    </w:p>
    <w:p w14:paraId="7621F766" w14:textId="457176BC" w:rsidR="00105DB1" w:rsidRDefault="00105DB1" w:rsidP="00105DB1">
      <w:pPr>
        <w:pStyle w:val="Heading3"/>
      </w:pPr>
      <w:bookmarkStart w:id="49" w:name="_Toc62808057"/>
      <w:r>
        <w:t>Procurement</w:t>
      </w:r>
      <w:bookmarkEnd w:id="49"/>
    </w:p>
    <w:p w14:paraId="7AD3D909" w14:textId="00245B31" w:rsidR="00105DB1" w:rsidRDefault="00105DB1" w:rsidP="00105DB1">
      <w:pPr>
        <w:pStyle w:val="BodyText"/>
      </w:pPr>
      <w:r>
        <w:t xml:space="preserve">The Procurement group supports jurisdictions and </w:t>
      </w:r>
      <w:r w:rsidR="009B1462">
        <w:t>Court Services Victoria</w:t>
      </w:r>
      <w:r>
        <w:t xml:space="preserve"> to purchase assets, goods and services, construction works and services consistent with legislation and Government Supply Policy.</w:t>
      </w:r>
    </w:p>
    <w:p w14:paraId="5BF89EE4" w14:textId="383331B3" w:rsidR="00105DB1" w:rsidRDefault="00105DB1" w:rsidP="00105DB1">
      <w:pPr>
        <w:pStyle w:val="BodyText"/>
      </w:pPr>
      <w:r>
        <w:t>During 2019-20, the Procurement group has continued to progress the multi-year Procurement Improvement Program, including:</w:t>
      </w:r>
    </w:p>
    <w:p w14:paraId="1B98A931" w14:textId="4A25D981" w:rsidR="00105DB1" w:rsidRDefault="00105DB1" w:rsidP="00DB1CB7">
      <w:pPr>
        <w:pStyle w:val="ListBullet"/>
      </w:pPr>
      <w:r>
        <w:t>Commenced development of a Social Procurement Strategy.</w:t>
      </w:r>
    </w:p>
    <w:p w14:paraId="6C2F2D8F" w14:textId="0BBE7822" w:rsidR="00105DB1" w:rsidRDefault="00105DB1" w:rsidP="00DB1CB7">
      <w:pPr>
        <w:pStyle w:val="ListBullet"/>
      </w:pPr>
      <w:r>
        <w:t>Continued e-Sourcing technology project to deliver a streamlined, efficient and fully enabled source to contract system.</w:t>
      </w:r>
    </w:p>
    <w:p w14:paraId="24F6BD64" w14:textId="106955B4" w:rsidR="00105DB1" w:rsidRDefault="00105DB1" w:rsidP="00DB1CB7">
      <w:pPr>
        <w:pStyle w:val="ListBullet"/>
      </w:pPr>
      <w:r>
        <w:t>Commenced development of an enhanced governance and policy framework designed to establish an efficient and streamlined procurement function.</w:t>
      </w:r>
    </w:p>
    <w:p w14:paraId="461DDE7A" w14:textId="2CB7E540" w:rsidR="00105DB1" w:rsidRDefault="00105DB1" w:rsidP="00DB1CB7">
      <w:pPr>
        <w:pStyle w:val="ListBullet"/>
      </w:pPr>
      <w:r>
        <w:t>Progressed development of a training and development program.</w:t>
      </w:r>
    </w:p>
    <w:p w14:paraId="02ECCB16" w14:textId="1D26794A" w:rsidR="00105DB1" w:rsidRDefault="00105DB1" w:rsidP="00105DB1">
      <w:pPr>
        <w:pStyle w:val="Heading3"/>
      </w:pPr>
      <w:bookmarkStart w:id="50" w:name="_Toc62808058"/>
      <w:r>
        <w:t>Legal and Governance</w:t>
      </w:r>
      <w:bookmarkEnd w:id="50"/>
    </w:p>
    <w:p w14:paraId="7E822891" w14:textId="6BAD1C38" w:rsidR="00105DB1" w:rsidRDefault="00105DB1" w:rsidP="00105DB1">
      <w:pPr>
        <w:pStyle w:val="BodyText"/>
      </w:pPr>
      <w:r>
        <w:t xml:space="preserve">The Legal and Governance team provides a broad range of corporate in-house legal services to </w:t>
      </w:r>
      <w:r w:rsidR="009B1462">
        <w:t>Court Services Victoria</w:t>
      </w:r>
      <w:r>
        <w:t xml:space="preserve">, Victoria’s courts and </w:t>
      </w:r>
      <w:r w:rsidR="00A10DBB">
        <w:t>Victorian Civil and Administrative Tribunal</w:t>
      </w:r>
      <w:r>
        <w:t xml:space="preserve">, as well as the Judicial College and Judicial Commission. The team supports </w:t>
      </w:r>
      <w:r w:rsidR="009B1462">
        <w:t>Court Services Victoria</w:t>
      </w:r>
      <w:r>
        <w:t xml:space="preserve"> in fulfilling its statutory and compliance obligations, and in relation to internal governance.</w:t>
      </w:r>
    </w:p>
    <w:p w14:paraId="3878634A" w14:textId="38F34AF4" w:rsidR="009261DF" w:rsidRDefault="009261DF" w:rsidP="009261DF">
      <w:pPr>
        <w:pStyle w:val="Heading3"/>
      </w:pPr>
      <w:bookmarkStart w:id="51" w:name="_Toc62808059"/>
      <w:r>
        <w:t>Courts Asset Information Management System</w:t>
      </w:r>
      <w:bookmarkEnd w:id="51"/>
    </w:p>
    <w:p w14:paraId="3AB17FCD" w14:textId="03DEB400" w:rsidR="009261DF" w:rsidRDefault="009261DF" w:rsidP="009261DF">
      <w:pPr>
        <w:pStyle w:val="BodyText"/>
      </w:pPr>
      <w:r>
        <w:t xml:space="preserve">During 2019-20, </w:t>
      </w:r>
      <w:r w:rsidR="009B1462">
        <w:t>Court Services Victoria</w:t>
      </w:r>
      <w:r>
        <w:t xml:space="preserve"> implemented the Courts Asset Information Management System (CAIMS). </w:t>
      </w:r>
      <w:r w:rsidR="009B1462">
        <w:t>Courts Asset Information Management System</w:t>
      </w:r>
      <w:r>
        <w:t xml:space="preserve"> is a cloud-based central asset management tool which provides </w:t>
      </w:r>
      <w:r w:rsidR="009B1462">
        <w:t>Court Services Victoria</w:t>
      </w:r>
      <w:r>
        <w:t xml:space="preserve"> with better lifecycle management including streamlining the process for reactive, preventative and strategic asset maintenance.</w:t>
      </w:r>
    </w:p>
    <w:p w14:paraId="1574C3E9" w14:textId="5C0EA3CD" w:rsidR="00105DB1" w:rsidRDefault="009B1462" w:rsidP="009261DF">
      <w:pPr>
        <w:pStyle w:val="BodyText"/>
      </w:pPr>
      <w:r>
        <w:t>Courts Asset Information Management System</w:t>
      </w:r>
      <w:r w:rsidR="009261DF">
        <w:t xml:space="preserve"> also includes a contractor management tool which enables </w:t>
      </w:r>
      <w:r>
        <w:t>Court Services Victoria</w:t>
      </w:r>
      <w:r w:rsidR="009261DF">
        <w:t xml:space="preserve"> to centrally capture contractor compliances including insurances, OHS inductions and other legal obligations. It also allows </w:t>
      </w:r>
      <w:r>
        <w:t>Court Services Victoria</w:t>
      </w:r>
      <w:r w:rsidR="009261DF">
        <w:t xml:space="preserve"> to issue broadcast communications and instructions from within the tool, including material related to coronavirus (COVID-19).</w:t>
      </w:r>
    </w:p>
    <w:p w14:paraId="2A6876BD" w14:textId="665CDD11" w:rsidR="009261DF" w:rsidRDefault="009261DF" w:rsidP="009261DF">
      <w:pPr>
        <w:pStyle w:val="Heading3"/>
      </w:pPr>
      <w:bookmarkStart w:id="52" w:name="_Toc62808060"/>
      <w:r>
        <w:t>Asset Management Accountability Framework</w:t>
      </w:r>
      <w:bookmarkEnd w:id="52"/>
    </w:p>
    <w:p w14:paraId="4F231FB8" w14:textId="2051D86A" w:rsidR="009261DF" w:rsidRDefault="009B1462" w:rsidP="009261DF">
      <w:pPr>
        <w:pStyle w:val="BodyText"/>
      </w:pPr>
      <w:r>
        <w:t>Court Services Victoria</w:t>
      </w:r>
      <w:r w:rsidR="009261DF">
        <w:t xml:space="preserve"> is required to comply with the Victorian Government Asset Management Accountability Framework (AMAF). </w:t>
      </w:r>
      <w:r>
        <w:t>Court Services Victoria</w:t>
      </w:r>
      <w:r w:rsidR="009261DF">
        <w:t xml:space="preserve"> embeds the principles of AMAF in the whole of its lifecycle asset management system.</w:t>
      </w:r>
    </w:p>
    <w:p w14:paraId="68D937A6" w14:textId="6C35A03B" w:rsidR="009261DF" w:rsidRDefault="009261DF" w:rsidP="009261DF">
      <w:pPr>
        <w:pStyle w:val="BodyText"/>
      </w:pPr>
      <w:r>
        <w:t xml:space="preserve">In 2019-20, </w:t>
      </w:r>
      <w:r w:rsidR="009B1462">
        <w:t>Court Services Victoria</w:t>
      </w:r>
      <w:r>
        <w:t xml:space="preserve"> conducted an Asset Management System maturity assessment of its asset portfolio using the AMAF requirements as a benchmark. The results of the assessment show that </w:t>
      </w:r>
      <w:r w:rsidR="009B1462">
        <w:t>Court Services Victoria</w:t>
      </w:r>
      <w:r>
        <w:t xml:space="preserve"> has made significant progress across almost all of the AMAF requirements during the past twelve months.</w:t>
      </w:r>
    </w:p>
    <w:p w14:paraId="517D18CC" w14:textId="1950A6F8" w:rsidR="009261DF" w:rsidRDefault="009B1462" w:rsidP="009261DF">
      <w:pPr>
        <w:pStyle w:val="BodyText"/>
      </w:pPr>
      <w:r>
        <w:t>Court Services Victoria</w:t>
      </w:r>
      <w:r w:rsidR="009261DF">
        <w:t xml:space="preserve"> has in place a roadmap of activities for 2020-21 which will continue to drive benefits across the organisation as it continues to embed an Asset Management culture across the organisation.</w:t>
      </w:r>
    </w:p>
    <w:p w14:paraId="19221928" w14:textId="38F47156" w:rsidR="00105DB1" w:rsidRDefault="009261DF" w:rsidP="009261DF">
      <w:pPr>
        <w:pStyle w:val="Heading2"/>
      </w:pPr>
      <w:bookmarkStart w:id="53" w:name="_Toc62808061"/>
      <w:r>
        <w:t>Excellence in Court, Tribunal and Judicial Support Services</w:t>
      </w:r>
      <w:bookmarkEnd w:id="53"/>
    </w:p>
    <w:p w14:paraId="109562CC" w14:textId="00B76FBF" w:rsidR="009261DF" w:rsidRDefault="009261DF" w:rsidP="009261DF">
      <w:pPr>
        <w:pStyle w:val="BodyText"/>
      </w:pPr>
      <w:r>
        <w:t>Excellence in court, tribunal and judicial support services is evidenced by the delivery of accessible and appropriate services and investment to deliver courts that are safe, easy to access, and comfortable. This requires fit for purpose technology including electronic filing and video conferencing, highly capable and professional administrative staff, and sound, proactive fiscal management.</w:t>
      </w:r>
    </w:p>
    <w:p w14:paraId="53EE0174" w14:textId="4BA407EC" w:rsidR="009261DF" w:rsidRDefault="009261DF" w:rsidP="009261DF">
      <w:pPr>
        <w:pStyle w:val="Heading3"/>
      </w:pPr>
      <w:bookmarkStart w:id="54" w:name="_Toc62808062"/>
      <w:r>
        <w:t>Case Management System Project</w:t>
      </w:r>
      <w:bookmarkEnd w:id="54"/>
    </w:p>
    <w:p w14:paraId="6A6DD3C7" w14:textId="2B1BCD1D" w:rsidR="009261DF" w:rsidRDefault="009261DF" w:rsidP="009261DF">
      <w:pPr>
        <w:pStyle w:val="BodyText"/>
      </w:pPr>
      <w:r>
        <w:t xml:space="preserve">The 2017-18 State Budget provided </w:t>
      </w:r>
      <w:r w:rsidR="009B1462">
        <w:t>Court Services Victoria</w:t>
      </w:r>
      <w:r>
        <w:t xml:space="preserve"> with $89.2 million for a modern case management system for the Magistrates’ Court and Children’s Court. This was part of the whole of government response to the Royal Commission into Family Violence.</w:t>
      </w:r>
    </w:p>
    <w:p w14:paraId="4AC38282" w14:textId="4D94CED6" w:rsidR="009261DF" w:rsidRDefault="009261DF" w:rsidP="009261DF">
      <w:pPr>
        <w:pStyle w:val="BodyText"/>
      </w:pPr>
      <w:r>
        <w:t xml:space="preserve">The project has made significant progress with Journal Technologies appointed as </w:t>
      </w:r>
      <w:r w:rsidR="009B1462">
        <w:t>Court Services Victoria</w:t>
      </w:r>
      <w:r>
        <w:t>’s technology partner in July 2019.</w:t>
      </w:r>
    </w:p>
    <w:p w14:paraId="332228C4" w14:textId="24FAAED8" w:rsidR="009261DF" w:rsidRDefault="009261DF" w:rsidP="009261DF">
      <w:pPr>
        <w:pStyle w:val="BodyText"/>
      </w:pPr>
      <w:r>
        <w:t>The initial focus has been on designing and configuring the first two major stages of the project – civil and child protection. A number of early solution elements such as court orders have been built, with successful demonstrations of the ‘proof of concept’ being made to court staff.</w:t>
      </w:r>
    </w:p>
    <w:p w14:paraId="0228F5E2" w14:textId="4A678816" w:rsidR="009261DF" w:rsidRDefault="009261DF" w:rsidP="009261DF">
      <w:pPr>
        <w:pStyle w:val="BodyText"/>
      </w:pPr>
      <w:r>
        <w:t xml:space="preserve">More than 25 million court records have been validated and successfully migrated from the old court management system, </w:t>
      </w:r>
      <w:proofErr w:type="spellStart"/>
      <w:r>
        <w:t>Courtlink</w:t>
      </w:r>
      <w:proofErr w:type="spellEnd"/>
      <w:r>
        <w:t>, to the new platform, while current interactions with external stakeholders have been mapped to inform future process design.</w:t>
      </w:r>
    </w:p>
    <w:p w14:paraId="7CAA6B81" w14:textId="18E3697E" w:rsidR="009261DF" w:rsidRDefault="009261DF" w:rsidP="009261DF">
      <w:pPr>
        <w:pStyle w:val="BodyText"/>
      </w:pPr>
      <w:r>
        <w:t>In response to the coronavirus (COVID-19) pandemic, the Magistrates’ Court requested the delivery of key elements including electronic document exchange, online payments and automated notifications be brought forward to the second quarter of the 2020-21.</w:t>
      </w:r>
    </w:p>
    <w:p w14:paraId="644C3D0E" w14:textId="5A203EAE" w:rsidR="009261DF" w:rsidRDefault="009261DF" w:rsidP="009261DF">
      <w:pPr>
        <w:pStyle w:val="BodyText"/>
      </w:pPr>
      <w:r>
        <w:t>The pandemic has not impacted the delivery schedule, and the project is on target to be completed by 2022.</w:t>
      </w:r>
    </w:p>
    <w:p w14:paraId="35D928F7" w14:textId="4FEF4C13" w:rsidR="009261DF" w:rsidRDefault="009261DF" w:rsidP="009261DF">
      <w:pPr>
        <w:pStyle w:val="Heading3"/>
      </w:pPr>
      <w:bookmarkStart w:id="55" w:name="_Toc62808063"/>
      <w:r>
        <w:t>Safe, Secure and Sustainable Courts and Tribunals</w:t>
      </w:r>
      <w:bookmarkEnd w:id="55"/>
    </w:p>
    <w:p w14:paraId="07EF765E" w14:textId="1B4579B2" w:rsidR="009261DF" w:rsidRDefault="009261DF" w:rsidP="009261DF">
      <w:pPr>
        <w:pStyle w:val="BodyText"/>
      </w:pPr>
      <w:r>
        <w:t xml:space="preserve">During 2019-20, </w:t>
      </w:r>
      <w:r w:rsidR="009B1462">
        <w:t>Court Services Victoria</w:t>
      </w:r>
      <w:r>
        <w:t xml:space="preserve"> continued to deliver a program of planned asset upgrade works focussed on improving safety, security and sustainability of court assets across Victoria. This included essential service maintenance works to court fire suppression systems, upgrades and maintenance to building heating and cooling systems, upgrades to security systems, and replacement of furniture and furnishings.</w:t>
      </w:r>
    </w:p>
    <w:p w14:paraId="068A8396" w14:textId="696D5581" w:rsidR="009261DF" w:rsidRDefault="009261DF" w:rsidP="009261DF">
      <w:pPr>
        <w:pStyle w:val="BodyText"/>
      </w:pPr>
      <w:r>
        <w:t xml:space="preserve">As part of its obligations under the Victorian Government Asset Management Accountability Framework, </w:t>
      </w:r>
      <w:r w:rsidR="009B1462">
        <w:t>Court Services Victoria</w:t>
      </w:r>
      <w:r>
        <w:t xml:space="preserve"> has developed a rolling 4-year plan of asset maintenance, upgrades and renewals across the portfolio. This allows </w:t>
      </w:r>
      <w:r w:rsidR="009B1462">
        <w:t>Court Services Victoria</w:t>
      </w:r>
      <w:r>
        <w:t xml:space="preserve"> to apply a medium and long-term strategic lens to its asset portfolio, and plan budgets accordingly.</w:t>
      </w:r>
    </w:p>
    <w:p w14:paraId="51EB7218" w14:textId="54EEBB88" w:rsidR="009261DF" w:rsidRDefault="009261DF" w:rsidP="009261DF">
      <w:pPr>
        <w:pStyle w:val="Heading3"/>
      </w:pPr>
      <w:bookmarkStart w:id="56" w:name="_Toc62808064"/>
      <w:r>
        <w:t>Design and Development of Specialist Court Facilities</w:t>
      </w:r>
      <w:bookmarkEnd w:id="56"/>
    </w:p>
    <w:p w14:paraId="2F05BA49" w14:textId="29617A3E" w:rsidR="009261DF" w:rsidRDefault="009261DF" w:rsidP="009261DF">
      <w:pPr>
        <w:pStyle w:val="BodyText"/>
      </w:pPr>
      <w:r>
        <w:t xml:space="preserve">The </w:t>
      </w:r>
      <w:r w:rsidR="009B1462">
        <w:t>Court Services Victoria</w:t>
      </w:r>
      <w:r>
        <w:t xml:space="preserve"> Infrastructure Operations and Delivery unit undertook capital works to deliver a range of projects aimed at supporting the rollout of specialist court facilities including:</w:t>
      </w:r>
    </w:p>
    <w:p w14:paraId="01C6EA43" w14:textId="31AEF249" w:rsidR="009261DF" w:rsidRDefault="009261DF" w:rsidP="00DB1CB7">
      <w:pPr>
        <w:pStyle w:val="ListBullet"/>
      </w:pPr>
      <w:r>
        <w:t xml:space="preserve">Completion of works to support the recommendations from the Royal Commission into Family Violence, including accommodation for staff and support agencies, creating safe waiting areas, interview rooms, discrete entries and separate pathways. In 2019-20, </w:t>
      </w:r>
      <w:r w:rsidR="009B1462">
        <w:t>Court Services Victoria</w:t>
      </w:r>
      <w:r>
        <w:t xml:space="preserve"> completed projects at Shepparton, Ballarat and Moorabbin, and commenced construction at Frankston and Heidelberg.</w:t>
      </w:r>
    </w:p>
    <w:p w14:paraId="5BAA2D3E" w14:textId="1E964B25" w:rsidR="009261DF" w:rsidRDefault="009261DF" w:rsidP="00DB1CB7">
      <w:pPr>
        <w:pStyle w:val="ListBullet"/>
      </w:pPr>
      <w:r>
        <w:t>Works to support Youth Justice Reforms in the Children’s Court including construction of additional courtrooms and associated public spaces in the Melbourne CBD, and commencement of development of a Children’s Court facility in Dandenong.</w:t>
      </w:r>
    </w:p>
    <w:p w14:paraId="50E5549A" w14:textId="77777777" w:rsidR="009261DF" w:rsidRDefault="009261DF" w:rsidP="00DB1CB7">
      <w:pPr>
        <w:pStyle w:val="ListBullet"/>
      </w:pPr>
      <w:r>
        <w:t>Completed works to support specialist Koori Family Violence services at Mildura.</w:t>
      </w:r>
    </w:p>
    <w:p w14:paraId="7643D5B2" w14:textId="31578943" w:rsidR="009261DF" w:rsidRDefault="009261DF" w:rsidP="00DB1CB7">
      <w:pPr>
        <w:pStyle w:val="ListBullet"/>
      </w:pPr>
      <w:r>
        <w:t>Commenced development of a premises for the Drug Court in Dandenong.</w:t>
      </w:r>
    </w:p>
    <w:p w14:paraId="54691276" w14:textId="5828A121" w:rsidR="009261DF" w:rsidRDefault="009261DF" w:rsidP="00DB1CB7">
      <w:pPr>
        <w:pStyle w:val="ListBullet"/>
      </w:pPr>
      <w:r>
        <w:t xml:space="preserve">Delivered the first of three community-based venues for </w:t>
      </w:r>
      <w:r w:rsidR="00A10DBB">
        <w:t>Victorian Civil and Administrative Tribunal</w:t>
      </w:r>
      <w:r>
        <w:t>, including the tribunal’s first Koori hearing room.</w:t>
      </w:r>
    </w:p>
    <w:p w14:paraId="4546AF45" w14:textId="4701F8F0" w:rsidR="009261DF" w:rsidRDefault="009261DF" w:rsidP="009261DF">
      <w:pPr>
        <w:pStyle w:val="Heading3"/>
      </w:pPr>
      <w:bookmarkStart w:id="57" w:name="_Toc62808065"/>
      <w:r>
        <w:t>Bendigo Law Court Development</w:t>
      </w:r>
      <w:bookmarkEnd w:id="57"/>
    </w:p>
    <w:p w14:paraId="6DB57A70" w14:textId="716FD001" w:rsidR="009261DF" w:rsidRDefault="009261DF" w:rsidP="009261DF">
      <w:pPr>
        <w:pStyle w:val="BodyText"/>
      </w:pPr>
      <w:r>
        <w:t>The delivery of a future court that places the needs of Bendigo’s court users at the centre of its operations is well advanced. Building designs have been finalised and operational planning has commenced.</w:t>
      </w:r>
    </w:p>
    <w:p w14:paraId="38069CC5" w14:textId="5B3F768A" w:rsidR="009261DF" w:rsidRDefault="009261DF" w:rsidP="009261DF">
      <w:pPr>
        <w:pStyle w:val="BodyText"/>
      </w:pPr>
      <w:r>
        <w:t xml:space="preserve">The future Bendigo Law Court will be a distinctive civic presence, with a design that is strongly informed by the cultural imagery and knowledge of the </w:t>
      </w:r>
      <w:proofErr w:type="spellStart"/>
      <w:r>
        <w:t>Dja</w:t>
      </w:r>
      <w:proofErr w:type="spellEnd"/>
      <w:r>
        <w:t xml:space="preserve"> </w:t>
      </w:r>
      <w:proofErr w:type="spellStart"/>
      <w:r>
        <w:t>Dja</w:t>
      </w:r>
      <w:proofErr w:type="spellEnd"/>
      <w:r>
        <w:t xml:space="preserve"> Wurrung, Bendigo’s Traditional Owners. The court also takes design inspiration from the striking spires and towers of Bendigo’s skyline, as well as more modest expressions of Bendigo’s built architectural heritage.</w:t>
      </w:r>
    </w:p>
    <w:p w14:paraId="42F1723C" w14:textId="7F701553" w:rsidR="009261DF" w:rsidRDefault="009261DF" w:rsidP="009261DF">
      <w:pPr>
        <w:pStyle w:val="BodyText"/>
      </w:pPr>
      <w:r>
        <w:t>The future court is designed for zero net carbon emissions and will be digitally enabled to ensure those who work in court can make the best use of current and future technological innovations.</w:t>
      </w:r>
    </w:p>
    <w:p w14:paraId="45D5F6CC" w14:textId="2F2F13BB" w:rsidR="009261DF" w:rsidRDefault="009261DF" w:rsidP="009261DF">
      <w:pPr>
        <w:pStyle w:val="BodyText"/>
      </w:pPr>
      <w:r>
        <w:t xml:space="preserve">An important aim for </w:t>
      </w:r>
      <w:r w:rsidR="009B1462">
        <w:t>Court Services Victoria</w:t>
      </w:r>
      <w:r>
        <w:t xml:space="preserve"> is to design the court with, rather than for its users. A user-centred design approach was used to engage 145 stakeholders to June 2020 in progressively developing, testing and enhancing the building design. Those who contributed to this process included judicial officers and staff of the five jurisdictions that will operate in the future Bendigo court, as well as external agencies and community organisations.</w:t>
      </w:r>
    </w:p>
    <w:p w14:paraId="3CF4F015" w14:textId="6EB95D67" w:rsidR="009261DF" w:rsidRDefault="009261DF" w:rsidP="009261DF">
      <w:pPr>
        <w:pStyle w:val="BodyText"/>
      </w:pPr>
      <w:r>
        <w:t>The final round of engagements was successfully delivered online in response to the coronavirus (COVID-19) pandemic, including via a virtual reality walk-through approach to courtroom prototyping.</w:t>
      </w:r>
    </w:p>
    <w:p w14:paraId="26AB637B" w14:textId="425BEC67" w:rsidR="009261DF" w:rsidRDefault="009261DF" w:rsidP="009261DF">
      <w:pPr>
        <w:pStyle w:val="BodyText"/>
      </w:pPr>
      <w:r>
        <w:t>Development of the future court’s service model, which will define the range of services offered, who will deliver them, and the key activities and processes, commenced in May 2020. This work is vital to ensuring the court operates efficiently and that the intended benefits of the development to the community and those who work in court are realised.</w:t>
      </w:r>
    </w:p>
    <w:p w14:paraId="01913882" w14:textId="4FE76AE8" w:rsidR="009261DF" w:rsidRDefault="009261DF" w:rsidP="009261DF">
      <w:pPr>
        <w:pStyle w:val="BodyText"/>
      </w:pPr>
      <w:r>
        <w:t>A tender for the early works (site preparation and basement excavation) was released in June 2020 and preparation for the main works (building construction) tender completed. The development is on schedule for completion in December 2022.</w:t>
      </w:r>
    </w:p>
    <w:p w14:paraId="3B318CFF" w14:textId="3C74EC84" w:rsidR="009261DF" w:rsidRDefault="009261DF" w:rsidP="009261DF">
      <w:pPr>
        <w:pStyle w:val="Heading3"/>
      </w:pPr>
      <w:bookmarkStart w:id="58" w:name="_Toc62808066"/>
      <w:r>
        <w:t>Strategic Asset Plan</w:t>
      </w:r>
      <w:bookmarkEnd w:id="58"/>
    </w:p>
    <w:p w14:paraId="62309097" w14:textId="026E1EE0" w:rsidR="009261DF" w:rsidRDefault="009B1462" w:rsidP="009261DF">
      <w:pPr>
        <w:pStyle w:val="BodyText"/>
      </w:pPr>
      <w:r>
        <w:t>Court Services Victoria</w:t>
      </w:r>
      <w:r w:rsidR="009261DF">
        <w:t xml:space="preserve"> is finalising its next generation Strategic Asset Plan to assist jurisdictions to respond to the increasing pressure on their facilities and provide analysis to enable them to plan for future infrastructure needs.</w:t>
      </w:r>
    </w:p>
    <w:p w14:paraId="3F4BFF69" w14:textId="1068399E" w:rsidR="009261DF" w:rsidRDefault="009261DF" w:rsidP="009261DF">
      <w:pPr>
        <w:pStyle w:val="BodyText"/>
      </w:pPr>
      <w:r>
        <w:t xml:space="preserve">When complete, the Strategic Asset Plan will provide a </w:t>
      </w:r>
      <w:proofErr w:type="spellStart"/>
      <w:r>
        <w:t>statewide</w:t>
      </w:r>
      <w:proofErr w:type="spellEnd"/>
      <w:r>
        <w:t xml:space="preserve"> asset strategy that identifies options for future court service delivery models, sector-wide demand modelling and multi-jurisdictional sharing of functions and assets across the central business district, metropolitan and regional courts.</w:t>
      </w:r>
    </w:p>
    <w:p w14:paraId="7DE26D6D" w14:textId="1B815755" w:rsidR="009261DF" w:rsidRDefault="009261DF" w:rsidP="009261DF">
      <w:pPr>
        <w:pStyle w:val="BodyText"/>
      </w:pPr>
      <w:r>
        <w:t>Given the potential impact of the coronavirus (COVID-19) pandemic on court assets, the plan will also provide an initial analysis and consider how the pandemic might impact long term planning for court assets.</w:t>
      </w:r>
    </w:p>
    <w:p w14:paraId="383C4817" w14:textId="3858F863" w:rsidR="009261DF" w:rsidRDefault="009261DF" w:rsidP="001871F9">
      <w:pPr>
        <w:pStyle w:val="Heading3"/>
        <w:keepNext w:val="0"/>
        <w:pageBreakBefore/>
      </w:pPr>
      <w:bookmarkStart w:id="59" w:name="_Toc62808067"/>
      <w:r>
        <w:t>Property Transactions</w:t>
      </w:r>
      <w:bookmarkEnd w:id="59"/>
    </w:p>
    <w:p w14:paraId="723BBA5E" w14:textId="3A10F05F" w:rsidR="009261DF" w:rsidRDefault="009261DF" w:rsidP="001871F9">
      <w:pPr>
        <w:pStyle w:val="BodyText"/>
      </w:pPr>
      <w:r>
        <w:t xml:space="preserve">A lease and fit out for the community-based </w:t>
      </w:r>
      <w:r w:rsidR="00A10DBB">
        <w:t>Victorian Civil and Administrative Tribunal</w:t>
      </w:r>
      <w:r>
        <w:t xml:space="preserve"> venue at Oakleigh was completed. New sites for Bundoora and Frankston where </w:t>
      </w:r>
      <w:proofErr w:type="gramStart"/>
      <w:r>
        <w:t>secured, and</w:t>
      </w:r>
      <w:proofErr w:type="gramEnd"/>
      <w:r>
        <w:t xml:space="preserve"> fit out was commenced at both venues. The project aims to relocate </w:t>
      </w:r>
      <w:r w:rsidR="00A10DBB">
        <w:t>Victorian Civil and Administrative Tribunal</w:t>
      </w:r>
      <w:r>
        <w:t xml:space="preserve"> hearings to support the expansion of family violence programs at Moorabbin, Frankston and Heidelberg Courts.</w:t>
      </w:r>
    </w:p>
    <w:p w14:paraId="5045E84F" w14:textId="77777777" w:rsidR="009261DF" w:rsidRDefault="009261DF" w:rsidP="009261DF">
      <w:pPr>
        <w:pStyle w:val="BodyText"/>
      </w:pPr>
      <w:r>
        <w:t xml:space="preserve">A lease for a new site for the Dandenong Drug Court was </w:t>
      </w:r>
      <w:proofErr w:type="gramStart"/>
      <w:r>
        <w:t>secured, and</w:t>
      </w:r>
      <w:proofErr w:type="gramEnd"/>
      <w:r>
        <w:t xml:space="preserve"> fit out was commenced.</w:t>
      </w:r>
    </w:p>
    <w:p w14:paraId="40A06C64" w14:textId="4EF49E2B" w:rsidR="009261DF" w:rsidRDefault="009261DF" w:rsidP="009261DF">
      <w:pPr>
        <w:pStyle w:val="Heading3"/>
      </w:pPr>
      <w:bookmarkStart w:id="60" w:name="_Toc62808068"/>
      <w:r>
        <w:t>Design and Sustainable Planning</w:t>
      </w:r>
      <w:bookmarkEnd w:id="60"/>
    </w:p>
    <w:p w14:paraId="0F3C5FF0" w14:textId="6FA71F41" w:rsidR="009261DF" w:rsidRDefault="009B1462" w:rsidP="009261DF">
      <w:pPr>
        <w:pStyle w:val="BodyText"/>
      </w:pPr>
      <w:r>
        <w:t>Court Services Victoria</w:t>
      </w:r>
      <w:r w:rsidR="009261DF">
        <w:t xml:space="preserve"> established the Design and Sustainable Planning unit in 2019-20. The unit includes architects, planners and sustainability experts that are critical to conceptualise new or improved assets. They develop the court usage benchmarking, needs analysis, project brief, architectural concept and preliminary project costing.</w:t>
      </w:r>
    </w:p>
    <w:p w14:paraId="65C7C393" w14:textId="470F1B78" w:rsidR="009261DF" w:rsidRDefault="009261DF" w:rsidP="009261DF">
      <w:pPr>
        <w:pStyle w:val="BodyText"/>
      </w:pPr>
      <w:r>
        <w:t>This team’s key value is in their technical expertise and deep knowledge of court operations and functionality, and this experience is being used to develop a Courts Design Guide. Part of their role is to ensure compliance with the Climate Change</w:t>
      </w:r>
      <w:r w:rsidR="00B85A4F">
        <w:t xml:space="preserve"> </w:t>
      </w:r>
      <w:r>
        <w:t>Act which requires all government entities to reach Zero Net Emissions by 2050, as well as yearly compliance reporting against overall emissions.</w:t>
      </w:r>
    </w:p>
    <w:p w14:paraId="3BA6DDDB" w14:textId="57BB6120" w:rsidR="009261DF" w:rsidRDefault="009261DF" w:rsidP="009261DF">
      <w:pPr>
        <w:pStyle w:val="Heading3"/>
      </w:pPr>
      <w:bookmarkStart w:id="61" w:name="_Toc62808069"/>
      <w:r>
        <w:t>Learning and Development</w:t>
      </w:r>
      <w:bookmarkEnd w:id="61"/>
    </w:p>
    <w:p w14:paraId="765DE234" w14:textId="7F12E99E" w:rsidR="009261DF" w:rsidRDefault="009261DF" w:rsidP="009261DF">
      <w:pPr>
        <w:pStyle w:val="BodyText"/>
      </w:pPr>
      <w:r>
        <w:t xml:space="preserve">During 2019-20, </w:t>
      </w:r>
      <w:r w:rsidR="009B1462">
        <w:t>Court Services Victoria</w:t>
      </w:r>
      <w:r>
        <w:t>’s learning team continued to deliver a calendar of online and face to face learning to support broad capability development. Throughout the first half of the year, programs focussed on leadership and management; individual development through emotional intelligence and self-leadership; diversity; wellbeing; and written and verbal communication skills.</w:t>
      </w:r>
    </w:p>
    <w:p w14:paraId="388631BA" w14:textId="7CA96830" w:rsidR="0038327D" w:rsidRDefault="009261DF" w:rsidP="0038327D">
      <w:pPr>
        <w:pStyle w:val="BodyText"/>
      </w:pPr>
      <w:r>
        <w:t xml:space="preserve">The annual </w:t>
      </w:r>
      <w:r w:rsidR="009B1462">
        <w:t>Court Services Victoria</w:t>
      </w:r>
      <w:r>
        <w:t xml:space="preserve"> mentoring program continued with 20 mentees being matched with a senior mentor from across the jurisdictions. The mentoring </w:t>
      </w:r>
      <w:r w:rsidR="0038327D">
        <w:t>pairs were provided with ongoing support throughout the year, enabling deep targeted capability development.</w:t>
      </w:r>
    </w:p>
    <w:p w14:paraId="6792AB5C" w14:textId="7B32BE41" w:rsidR="0038327D" w:rsidRDefault="0038327D" w:rsidP="0038327D">
      <w:pPr>
        <w:pStyle w:val="BodyText"/>
      </w:pPr>
      <w:r>
        <w:t xml:space="preserve">With the advent of the coronavirus (COVID-19) pandemic, learning and development efforts were refocussed to support virtual and online delivery. Programs delivered virtually covered key technical skills and performance management. Ergonomic micro-learns and vicarious trauma modules were also reengineered, enabling them to be hosted in </w:t>
      </w:r>
      <w:r w:rsidR="009B1462">
        <w:t>Court Services Victoria</w:t>
      </w:r>
      <w:r>
        <w:t>’s performance and learning management system.</w:t>
      </w:r>
    </w:p>
    <w:p w14:paraId="1B9E9C6E" w14:textId="6CE52B66" w:rsidR="0038327D" w:rsidRDefault="0038327D" w:rsidP="0038327D">
      <w:pPr>
        <w:pStyle w:val="BodyText"/>
      </w:pPr>
      <w:r>
        <w:t xml:space="preserve">The total number of completions for capability building programs throughout the 2019-20 year was 6,445 for online modules; 1,436 for </w:t>
      </w:r>
      <w:proofErr w:type="gramStart"/>
      <w:r>
        <w:t>face to face</w:t>
      </w:r>
      <w:proofErr w:type="gramEnd"/>
      <w:r>
        <w:t xml:space="preserve"> programs; and 103 for programs delivered via a virtual platform.</w:t>
      </w:r>
    </w:p>
    <w:p w14:paraId="2EE3F0DE" w14:textId="6D3CF995" w:rsidR="0038327D" w:rsidRDefault="0038327D" w:rsidP="0038327D">
      <w:pPr>
        <w:pStyle w:val="Heading3"/>
      </w:pPr>
      <w:bookmarkStart w:id="62" w:name="_Toc62808070"/>
      <w:r>
        <w:t>Information Technology</w:t>
      </w:r>
      <w:bookmarkEnd w:id="62"/>
    </w:p>
    <w:p w14:paraId="2358009E" w14:textId="1E8FC074" w:rsidR="0038327D" w:rsidRDefault="0038327D" w:rsidP="0038327D">
      <w:pPr>
        <w:pStyle w:val="BodyText"/>
      </w:pPr>
      <w:r>
        <w:t xml:space="preserve">In 2019-20, there was an increased focus on enhancing technology across the courts and </w:t>
      </w:r>
      <w:r w:rsidR="00A10DBB">
        <w:t xml:space="preserve">Victorian Civil and Administrative </w:t>
      </w:r>
      <w:proofErr w:type="gramStart"/>
      <w:r w:rsidR="00A10DBB">
        <w:t>Tribunal</w:t>
      </w:r>
      <w:r>
        <w:t>, and</w:t>
      </w:r>
      <w:proofErr w:type="gramEnd"/>
      <w:r>
        <w:t xml:space="preserve"> providing improved technology solutions and IT services to staff and judicial officers.</w:t>
      </w:r>
    </w:p>
    <w:p w14:paraId="13488208" w14:textId="77777777" w:rsidR="0038327D" w:rsidRDefault="0038327D" w:rsidP="0038327D">
      <w:pPr>
        <w:pStyle w:val="BodyText"/>
      </w:pPr>
      <w:r>
        <w:t>In the first half of the year, work commenced drafting a digital strategy with involvement across the Courts Group, to understand their future technology requirements and operational models.</w:t>
      </w:r>
    </w:p>
    <w:p w14:paraId="7FCACDC9" w14:textId="4B9182C9" w:rsidR="0038327D" w:rsidRDefault="0038327D" w:rsidP="0038327D">
      <w:pPr>
        <w:pStyle w:val="BodyText"/>
      </w:pPr>
      <w:r>
        <w:t xml:space="preserve">With the onset of the coronavirus (COVID-19) pandemic, there was significant and immediate requirement for technology solutions to assist the courts and </w:t>
      </w:r>
      <w:r w:rsidR="00A10DBB">
        <w:t>Victorian Civil and Administrative Tribunal</w:t>
      </w:r>
      <w:r>
        <w:t xml:space="preserve"> to be more mobile and work remotely effectively. This included the implementation of several significant initiatives:</w:t>
      </w:r>
    </w:p>
    <w:p w14:paraId="6EAA3365" w14:textId="5AF2EC0F" w:rsidR="0038327D" w:rsidRDefault="0038327D" w:rsidP="00DB1CB7">
      <w:pPr>
        <w:pStyle w:val="ListBullet"/>
      </w:pPr>
      <w:r>
        <w:t>A digital device solution enabling staff to use their personal computing hardware to access critical work applications.</w:t>
      </w:r>
    </w:p>
    <w:p w14:paraId="390A4FF5" w14:textId="1E55A02A" w:rsidR="0038327D" w:rsidRDefault="0038327D" w:rsidP="00DB1CB7">
      <w:pPr>
        <w:pStyle w:val="ListBullet"/>
      </w:pPr>
      <w:r>
        <w:t>A cloud-based telephony contact centre application.</w:t>
      </w:r>
    </w:p>
    <w:p w14:paraId="2146A46D" w14:textId="77777777" w:rsidR="0038327D" w:rsidRDefault="0038327D" w:rsidP="00DB1CB7">
      <w:pPr>
        <w:pStyle w:val="ListBullet"/>
      </w:pPr>
      <w:r>
        <w:t>Two video conferencing solutions which have ensured business continuity for remote access to justice.</w:t>
      </w:r>
    </w:p>
    <w:p w14:paraId="38FE7B1D" w14:textId="533E24BA" w:rsidR="0038327D" w:rsidRDefault="0038327D" w:rsidP="00DB1CB7">
      <w:pPr>
        <w:pStyle w:val="ListBullet"/>
      </w:pPr>
      <w:r>
        <w:t>The introduction of an electronic signature solution allowing internal and external parties to apply a legally valid signature in a wholly electronic and secure environment.</w:t>
      </w:r>
    </w:p>
    <w:p w14:paraId="33F3CA06" w14:textId="7DECFF70" w:rsidR="0038327D" w:rsidRDefault="0038327D" w:rsidP="00DB1CB7">
      <w:pPr>
        <w:pStyle w:val="ListBullet"/>
      </w:pPr>
      <w:r>
        <w:t>An internal helpdesk to support users in adopting and becoming familiar with the newly available technology.</w:t>
      </w:r>
    </w:p>
    <w:p w14:paraId="752F15F6" w14:textId="4C99741C" w:rsidR="0038327D" w:rsidRDefault="0038327D" w:rsidP="0038327D">
      <w:pPr>
        <w:pStyle w:val="Heading3"/>
      </w:pPr>
      <w:bookmarkStart w:id="63" w:name="_Toc62808071"/>
      <w:r>
        <w:t>Technology Independence for Court Services Victoria</w:t>
      </w:r>
      <w:bookmarkEnd w:id="63"/>
    </w:p>
    <w:p w14:paraId="789ECC0B" w14:textId="34EA384A" w:rsidR="0038327D" w:rsidRDefault="0038327D" w:rsidP="0038327D">
      <w:pPr>
        <w:pStyle w:val="BodyText"/>
      </w:pPr>
      <w:r>
        <w:t>Work to transition the County Court to the Cenitex Government Shared Platform (GSP) was completed during 2019-20. The GSP delivers a significant technology upgrade with the adoption of Windows 10 and Microsoft’s Office365 suite of cloud-enabled applications.</w:t>
      </w:r>
    </w:p>
    <w:p w14:paraId="699156E7" w14:textId="476E85AB" w:rsidR="0038327D" w:rsidRDefault="0038327D" w:rsidP="0038327D">
      <w:pPr>
        <w:pStyle w:val="BodyText"/>
      </w:pPr>
      <w:r>
        <w:t xml:space="preserve">The completion of this activity before the onset of the coronavirus (COVID-19) pandemic enabled staff to more easily adapt to working remotely and in a more collaborative manner. The integration with the Cenitex GSP has ensured that </w:t>
      </w:r>
      <w:r w:rsidR="009B1462">
        <w:t>Court Services Victoria</w:t>
      </w:r>
      <w:r>
        <w:t xml:space="preserve"> has been able to be more agile in adopting the new technology for the mobility of staff and remote working.</w:t>
      </w:r>
    </w:p>
    <w:p w14:paraId="07BFDA07" w14:textId="7333922E" w:rsidR="0038327D" w:rsidRDefault="0038327D" w:rsidP="0038327D">
      <w:pPr>
        <w:pStyle w:val="Heading3"/>
      </w:pPr>
      <w:bookmarkStart w:id="64" w:name="_Ref61894790"/>
      <w:bookmarkStart w:id="65" w:name="_Toc62808072"/>
      <w:r>
        <w:t>In-Court Technology</w:t>
      </w:r>
      <w:bookmarkEnd w:id="64"/>
      <w:bookmarkEnd w:id="65"/>
    </w:p>
    <w:p w14:paraId="6618FA87" w14:textId="1313AFE5" w:rsidR="0038327D" w:rsidRDefault="0038327D" w:rsidP="0038327D">
      <w:pPr>
        <w:pStyle w:val="BodyText"/>
      </w:pPr>
      <w:r>
        <w:t>Throughout 2019-20, there has been a significant technology uplift of audio-visual technology across courtrooms within several jurisdictions.</w:t>
      </w:r>
    </w:p>
    <w:p w14:paraId="2225A4A8" w14:textId="3B70B532" w:rsidR="0038327D" w:rsidRDefault="0038327D" w:rsidP="0038327D">
      <w:pPr>
        <w:pStyle w:val="BodyText"/>
      </w:pPr>
      <w:r>
        <w:t>The third phase of the County Court enhancements progressed with 28 courtrooms upgraded, including the deployment of touchscreens in witness boxes to enable evidence annotation and improved higher resolution of playback and presentation content. The upgrades also provided new functionality with the court now able to live stream matters.</w:t>
      </w:r>
    </w:p>
    <w:p w14:paraId="5DF868F0" w14:textId="584831C1" w:rsidR="0038327D" w:rsidRDefault="0038327D" w:rsidP="0038327D">
      <w:pPr>
        <w:pStyle w:val="BodyText"/>
      </w:pPr>
      <w:r>
        <w:t>In-court technology upgrades were also rolled out in the Coroners Court, providing additional video conferencing functionality, and the network was also upgraded to enhance the video conferencing capabilities. Audio-visual technology upgrades are continuing in several of the regional Magistrates’ Courts sites.</w:t>
      </w:r>
    </w:p>
    <w:p w14:paraId="4164218A" w14:textId="6D923850" w:rsidR="009261DF" w:rsidRDefault="0038327D" w:rsidP="0038327D">
      <w:pPr>
        <w:pStyle w:val="Heading2"/>
      </w:pPr>
      <w:bookmarkStart w:id="66" w:name="_Ref61894470"/>
      <w:bookmarkStart w:id="67" w:name="_Toc62808073"/>
      <w:r w:rsidRPr="0038327D">
        <w:t>Output Performance</w:t>
      </w:r>
      <w:bookmarkEnd w:id="66"/>
      <w:bookmarkEnd w:id="67"/>
    </w:p>
    <w:p w14:paraId="59830A19" w14:textId="16303B84" w:rsidR="0038327D" w:rsidRDefault="0038327D" w:rsidP="0038327D">
      <w:pPr>
        <w:pStyle w:val="BodyText"/>
      </w:pPr>
      <w:r>
        <w:t xml:space="preserve">The </w:t>
      </w:r>
      <w:r w:rsidR="009B1462">
        <w:t>Court Services Victoria</w:t>
      </w:r>
      <w:r>
        <w:t xml:space="preserve"> operational and budgetary objectives and performance are aligned with the jurisdictions’ performance. The Victorian Budget 2019-20 outlined the mission statement, objectives and performance indicators for the courts output.</w:t>
      </w:r>
    </w:p>
    <w:p w14:paraId="13275393" w14:textId="6ECCB413" w:rsidR="0038327D" w:rsidRDefault="0038327D" w:rsidP="0038327D">
      <w:pPr>
        <w:pStyle w:val="Heading3"/>
      </w:pPr>
      <w:bookmarkStart w:id="68" w:name="_Toc62808074"/>
      <w:r>
        <w:t>Courts Mission Statement</w:t>
      </w:r>
      <w:bookmarkEnd w:id="68"/>
    </w:p>
    <w:p w14:paraId="3990D4EC" w14:textId="2F1D935A" w:rsidR="0038327D" w:rsidRDefault="0038327D" w:rsidP="0038327D">
      <w:pPr>
        <w:pStyle w:val="BodyText"/>
      </w:pPr>
      <w:r>
        <w:t>Victoria’s courts and tribunals safeguard and maintain the rule of law through the fair, timely and efficient dispensing of justice.</w:t>
      </w:r>
    </w:p>
    <w:p w14:paraId="044525C6" w14:textId="0BFB39AD" w:rsidR="0038327D" w:rsidRDefault="0038327D" w:rsidP="0038327D">
      <w:pPr>
        <w:pStyle w:val="Heading3"/>
      </w:pPr>
      <w:bookmarkStart w:id="69" w:name="_Toc62808075"/>
      <w:r>
        <w:t>Courts Objective</w:t>
      </w:r>
      <w:bookmarkEnd w:id="69"/>
    </w:p>
    <w:p w14:paraId="6BC6CDB5" w14:textId="5AF81690" w:rsidR="0038327D" w:rsidRDefault="0038327D" w:rsidP="0038327D">
      <w:pPr>
        <w:pStyle w:val="BodyText"/>
      </w:pPr>
      <w:r>
        <w:t>The fair, timely and efficient dispensing of justice.</w:t>
      </w:r>
    </w:p>
    <w:p w14:paraId="44CE7C1C" w14:textId="5B925552" w:rsidR="0038327D" w:rsidRDefault="0038327D" w:rsidP="0038327D">
      <w:pPr>
        <w:pStyle w:val="Heading3"/>
      </w:pPr>
      <w:bookmarkStart w:id="70" w:name="_Toc62808076"/>
      <w:r>
        <w:t>Courts Indicators</w:t>
      </w:r>
      <w:bookmarkEnd w:id="70"/>
    </w:p>
    <w:p w14:paraId="72E30612" w14:textId="090259DB" w:rsidR="0038327D" w:rsidRDefault="0038327D" w:rsidP="00DB1CB7">
      <w:pPr>
        <w:pStyle w:val="ListBullet"/>
      </w:pPr>
      <w:r>
        <w:t>Clearance of criminal caseload (finalisations/lodgements)</w:t>
      </w:r>
    </w:p>
    <w:p w14:paraId="0C5E7D23" w14:textId="52AE5727" w:rsidR="0038327D" w:rsidRDefault="0038327D" w:rsidP="00DB1CB7">
      <w:pPr>
        <w:pStyle w:val="ListBullet"/>
      </w:pPr>
      <w:r>
        <w:t>Clearance of civil case load (finalisations/lodgements)</w:t>
      </w:r>
    </w:p>
    <w:p w14:paraId="586DFC68" w14:textId="18E2F539" w:rsidR="0038327D" w:rsidRDefault="0038327D" w:rsidP="0038327D">
      <w:pPr>
        <w:pStyle w:val="BodyText"/>
      </w:pPr>
      <w:r>
        <w:t>There were no changes to the courts output structure for 2019-20.</w:t>
      </w:r>
    </w:p>
    <w:p w14:paraId="54A907C6" w14:textId="6F4D3A44" w:rsidR="0038327D" w:rsidRDefault="0038327D" w:rsidP="0038327D">
      <w:pPr>
        <w:pStyle w:val="BodyText"/>
      </w:pPr>
      <w:r>
        <w:t>Data in relation to the two clearance rate indicators is included in</w:t>
      </w:r>
      <w:r w:rsidR="009B5ABB">
        <w:t xml:space="preserve"> </w:t>
      </w:r>
      <w:r w:rsidR="009B5ABB">
        <w:fldChar w:fldCharType="begin"/>
      </w:r>
      <w:r w:rsidR="009B5ABB">
        <w:instrText xml:space="preserve"> REF _Ref22666061 \h </w:instrText>
      </w:r>
      <w:r w:rsidR="009B5ABB">
        <w:fldChar w:fldCharType="separate"/>
      </w:r>
      <w:r w:rsidR="00D46E6D" w:rsidRPr="007A0D86">
        <w:t xml:space="preserve">Table </w:t>
      </w:r>
      <w:r w:rsidR="00D46E6D">
        <w:rPr>
          <w:noProof/>
        </w:rPr>
        <w:t>1</w:t>
      </w:r>
      <w:r w:rsidR="009B5ABB">
        <w:fldChar w:fldCharType="end"/>
      </w:r>
      <w:r>
        <w:t xml:space="preserve"> with each of the jurisdictions’ output measure results.</w:t>
      </w:r>
    </w:p>
    <w:p w14:paraId="550BA31E" w14:textId="458280A2" w:rsidR="009261DF" w:rsidRDefault="0038327D" w:rsidP="0038327D">
      <w:pPr>
        <w:pStyle w:val="BodyText"/>
      </w:pPr>
      <w:r>
        <w:t>For more information about the outcomes and data presented below, refer to the individual annual reports of each jurisdiction.</w:t>
      </w:r>
    </w:p>
    <w:p w14:paraId="0EA6F07F" w14:textId="469C234C" w:rsidR="0038327D" w:rsidRDefault="0038327D" w:rsidP="0038327D">
      <w:pPr>
        <w:pStyle w:val="Heading3"/>
      </w:pPr>
      <w:bookmarkStart w:id="71" w:name="_Toc62808077"/>
      <w:r>
        <w:t>International Framework for Court Excellence</w:t>
      </w:r>
      <w:bookmarkEnd w:id="71"/>
    </w:p>
    <w:p w14:paraId="42A0EC05" w14:textId="3D931EE0" w:rsidR="0038327D" w:rsidRDefault="0038327D" w:rsidP="0038327D">
      <w:pPr>
        <w:pStyle w:val="BodyText"/>
      </w:pPr>
      <w:r>
        <w:t>The International Framework for Court Excellence (IFCE) is a management framework designed to help courts improve their performance. Developed for court use internationally, the framework covers values, concepts and tools to assess and improve the quality of justice and court administration within the court and tribunal system.</w:t>
      </w:r>
    </w:p>
    <w:p w14:paraId="7F226A44" w14:textId="3ED50C5E" w:rsidR="009261DF" w:rsidRDefault="0038327D" w:rsidP="0038327D">
      <w:pPr>
        <w:pStyle w:val="BodyText"/>
      </w:pPr>
      <w:r>
        <w:t>The courts’ output performance measures incorporate four of the International Framework for Court Excellence Global Measures of Court Performance.</w:t>
      </w:r>
    </w:p>
    <w:p w14:paraId="1226858A" w14:textId="142B5D49" w:rsidR="004B6BAC" w:rsidRPr="007A0D86" w:rsidRDefault="004B6BAC" w:rsidP="004B6BAC">
      <w:pPr>
        <w:pStyle w:val="Heading2"/>
      </w:pPr>
      <w:bookmarkStart w:id="72" w:name="_Ref22639770"/>
      <w:bookmarkStart w:id="73" w:name="_Toc62808078"/>
      <w:r w:rsidRPr="007A0D86">
        <w:t>Performance Against Measures</w:t>
      </w:r>
      <w:bookmarkEnd w:id="72"/>
      <w:bookmarkEnd w:id="73"/>
    </w:p>
    <w:p w14:paraId="6ADDAB90" w14:textId="2DD4567A" w:rsidR="004B6BAC" w:rsidRDefault="004B6BAC" w:rsidP="001D5E45">
      <w:pPr>
        <w:pStyle w:val="Caption"/>
      </w:pPr>
      <w:bookmarkStart w:id="74" w:name="_Ref22666061"/>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1</w:t>
      </w:r>
      <w:r w:rsidR="00D42A70">
        <w:rPr>
          <w:noProof/>
        </w:rPr>
        <w:fldChar w:fldCharType="end"/>
      </w:r>
      <w:bookmarkEnd w:id="74"/>
      <w:r w:rsidRPr="007A0D86">
        <w:t>: Courts Output – Performance Against Measures 201</w:t>
      </w:r>
      <w:r w:rsidR="00367137">
        <w:t>9-20</w:t>
      </w:r>
    </w:p>
    <w:p w14:paraId="39877194" w14:textId="4188703C" w:rsidR="005F68BF" w:rsidRPr="00D23179" w:rsidRDefault="005F68BF" w:rsidP="005F68BF">
      <w:pPr>
        <w:pStyle w:val="BodyText"/>
        <w:rPr>
          <w:rStyle w:val="Bold"/>
        </w:rPr>
      </w:pPr>
      <w:r w:rsidRPr="00D23179">
        <w:rPr>
          <w:rStyle w:val="Bold"/>
        </w:rPr>
        <w:t>Quantity</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5F68BF" w:rsidRPr="005F68BF" w14:paraId="42A51EF8" w14:textId="77777777" w:rsidTr="00752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3E1F2231" w14:textId="1E9D564D" w:rsidR="005F68BF" w:rsidRPr="005F68BF" w:rsidRDefault="005F68BF" w:rsidP="005F68BF">
            <w:pPr>
              <w:pStyle w:val="TableText"/>
            </w:pPr>
            <w:bookmarkStart w:id="75" w:name="ColumnTitle_2"/>
            <w:r w:rsidRPr="005F68BF">
              <w:t>Performance measures</w:t>
            </w:r>
          </w:p>
        </w:tc>
        <w:tc>
          <w:tcPr>
            <w:tcW w:w="735" w:type="pct"/>
            <w:vAlign w:val="bottom"/>
          </w:tcPr>
          <w:p w14:paraId="4B6F8D23" w14:textId="0B9FCC6C" w:rsidR="005F68BF" w:rsidRPr="005F68BF" w:rsidRDefault="005F68BF" w:rsidP="00752E10">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118661AB" w14:textId="228CF8EB" w:rsidR="005F68BF" w:rsidRPr="005F68BF" w:rsidRDefault="005F68BF"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A06FC9">
              <w:t>9</w:t>
            </w:r>
            <w:r w:rsidRPr="005F68BF">
              <w:t>-20 estimate</w:t>
            </w:r>
          </w:p>
        </w:tc>
        <w:tc>
          <w:tcPr>
            <w:tcW w:w="564" w:type="pct"/>
            <w:vAlign w:val="bottom"/>
          </w:tcPr>
          <w:p w14:paraId="6B5D8A73" w14:textId="1E97F36B" w:rsidR="005F68BF" w:rsidRPr="005F68BF" w:rsidRDefault="005F68BF"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A06FC9">
              <w:t>9-20</w:t>
            </w:r>
            <w:r w:rsidRPr="005F68BF">
              <w:t xml:space="preserve"> actual</w:t>
            </w:r>
          </w:p>
        </w:tc>
        <w:tc>
          <w:tcPr>
            <w:tcW w:w="803" w:type="pct"/>
            <w:vAlign w:val="bottom"/>
          </w:tcPr>
          <w:p w14:paraId="7E9559DB" w14:textId="3ADF0B38" w:rsidR="005F68BF" w:rsidRPr="005F68BF" w:rsidRDefault="005F68BF" w:rsidP="00752E10">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A06FC9">
              <w:t>v</w:t>
            </w:r>
            <w:r w:rsidRPr="005F68BF">
              <w:t>ariation (%)</w:t>
            </w:r>
          </w:p>
        </w:tc>
      </w:tr>
      <w:bookmarkEnd w:id="75"/>
      <w:tr w:rsidR="005F68BF" w:rsidRPr="005F68BF" w14:paraId="675B728D"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07CAC4D6" w14:textId="77777777" w:rsidR="005F68BF" w:rsidRPr="005F68BF" w:rsidRDefault="005F68BF" w:rsidP="005F68BF">
            <w:pPr>
              <w:pStyle w:val="TableText"/>
            </w:pPr>
            <w:r w:rsidRPr="005F68BF">
              <w:t>Average cost per case – Civil matters disposed in the Supreme Court</w:t>
            </w:r>
          </w:p>
        </w:tc>
        <w:tc>
          <w:tcPr>
            <w:tcW w:w="735" w:type="pct"/>
          </w:tcPr>
          <w:p w14:paraId="08EE0403"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2E1C9865" w14:textId="646376A9" w:rsidR="005F68BF" w:rsidRPr="005F68BF" w:rsidRDefault="0071252A" w:rsidP="005F68BF">
            <w:pPr>
              <w:pStyle w:val="TableText"/>
              <w:cnfStyle w:val="000000000000" w:firstRow="0" w:lastRow="0" w:firstColumn="0" w:lastColumn="0" w:oddVBand="0" w:evenVBand="0" w:oddHBand="0" w:evenHBand="0" w:firstRowFirstColumn="0" w:firstRowLastColumn="0" w:lastRowFirstColumn="0" w:lastRowLastColumn="0"/>
            </w:pPr>
            <w:r>
              <w:t>2,770</w:t>
            </w:r>
          </w:p>
        </w:tc>
        <w:tc>
          <w:tcPr>
            <w:tcW w:w="564" w:type="pct"/>
          </w:tcPr>
          <w:p w14:paraId="1A0F221A" w14:textId="4633C330" w:rsidR="005F68BF" w:rsidRPr="005F68BF" w:rsidRDefault="0071252A" w:rsidP="005F68BF">
            <w:pPr>
              <w:pStyle w:val="TableText"/>
              <w:cnfStyle w:val="000000000000" w:firstRow="0" w:lastRow="0" w:firstColumn="0" w:lastColumn="0" w:oddVBand="0" w:evenVBand="0" w:oddHBand="0" w:evenHBand="0" w:firstRowFirstColumn="0" w:firstRowLastColumn="0" w:lastRowFirstColumn="0" w:lastRowLastColumn="0"/>
            </w:pPr>
            <w:r>
              <w:t>2,927</w:t>
            </w:r>
          </w:p>
        </w:tc>
        <w:tc>
          <w:tcPr>
            <w:tcW w:w="803" w:type="pct"/>
          </w:tcPr>
          <w:p w14:paraId="519BF6E4" w14:textId="3E408739" w:rsidR="005F68BF" w:rsidRPr="005F68BF" w:rsidRDefault="0071252A" w:rsidP="005F68BF">
            <w:pPr>
              <w:pStyle w:val="TableText"/>
              <w:cnfStyle w:val="000000000000" w:firstRow="0" w:lastRow="0" w:firstColumn="0" w:lastColumn="0" w:oddVBand="0" w:evenVBand="0" w:oddHBand="0" w:evenHBand="0" w:firstRowFirstColumn="0" w:firstRowLastColumn="0" w:lastRowFirstColumn="0" w:lastRowLastColumn="0"/>
            </w:pPr>
            <w:r>
              <w:t>5.74</w:t>
            </w:r>
          </w:p>
        </w:tc>
      </w:tr>
    </w:tbl>
    <w:p w14:paraId="7B1CBA1A" w14:textId="79E20797" w:rsidR="005F68BF" w:rsidRPr="005F68BF" w:rsidRDefault="0071252A" w:rsidP="005F68BF">
      <w:pPr>
        <w:pStyle w:val="BodyText"/>
      </w:pPr>
      <w:r>
        <w:t>The 2019-20 outcome deviates from the estimate primarily due to the impact of coronavirus. Due to changes in the Court’s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 In addition, the Court’s heritage assets were revalued resulting in a change to depreciations costs.</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16255AB3" w14:textId="77777777" w:rsidTr="00752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086F4667" w14:textId="77777777" w:rsidR="00D23179" w:rsidRPr="005F68BF" w:rsidRDefault="00D23179" w:rsidP="001813B7">
            <w:pPr>
              <w:pStyle w:val="TableText"/>
            </w:pPr>
            <w:bookmarkStart w:id="76" w:name="ColumnTitle_3"/>
            <w:r w:rsidRPr="005F68BF">
              <w:t>Performance measures</w:t>
            </w:r>
          </w:p>
        </w:tc>
        <w:tc>
          <w:tcPr>
            <w:tcW w:w="735" w:type="pct"/>
            <w:vAlign w:val="bottom"/>
          </w:tcPr>
          <w:p w14:paraId="2FEC8894" w14:textId="77777777"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20406138" w14:textId="290D9927"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321C76">
              <w:t>9</w:t>
            </w:r>
            <w:r w:rsidRPr="005F68BF">
              <w:t>-20 estimate</w:t>
            </w:r>
          </w:p>
        </w:tc>
        <w:tc>
          <w:tcPr>
            <w:tcW w:w="564" w:type="pct"/>
            <w:vAlign w:val="bottom"/>
          </w:tcPr>
          <w:p w14:paraId="60DE77CF" w14:textId="614D57AD"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321C76">
              <w:t>9-20</w:t>
            </w:r>
            <w:r w:rsidRPr="005F68BF">
              <w:t xml:space="preserve"> actual</w:t>
            </w:r>
          </w:p>
        </w:tc>
        <w:tc>
          <w:tcPr>
            <w:tcW w:w="803" w:type="pct"/>
            <w:vAlign w:val="bottom"/>
          </w:tcPr>
          <w:p w14:paraId="51A73191" w14:textId="24E56876"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321C76">
              <w:t>v</w:t>
            </w:r>
            <w:r w:rsidRPr="005F68BF">
              <w:t>ariation (%)</w:t>
            </w:r>
          </w:p>
        </w:tc>
      </w:tr>
      <w:tr w:rsidR="00321C76" w:rsidRPr="005F68BF" w14:paraId="3BDB9D46"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0CF10812" w14:textId="0B4FF35C" w:rsidR="00321C76" w:rsidRPr="005F68BF" w:rsidRDefault="00321C76" w:rsidP="005F68BF">
            <w:pPr>
              <w:pStyle w:val="TableText"/>
            </w:pPr>
            <w:r>
              <w:t>Average cost per case – Civil matters disposed in the County Court</w:t>
            </w:r>
          </w:p>
        </w:tc>
        <w:tc>
          <w:tcPr>
            <w:tcW w:w="735" w:type="pct"/>
          </w:tcPr>
          <w:p w14:paraId="15CF42A2" w14:textId="56836533" w:rsidR="00321C76"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dollars</w:t>
            </w:r>
          </w:p>
        </w:tc>
        <w:tc>
          <w:tcPr>
            <w:tcW w:w="586" w:type="pct"/>
          </w:tcPr>
          <w:p w14:paraId="4B3BEBC7" w14:textId="547B5612" w:rsidR="00321C76"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7,371</w:t>
            </w:r>
          </w:p>
        </w:tc>
        <w:tc>
          <w:tcPr>
            <w:tcW w:w="564" w:type="pct"/>
          </w:tcPr>
          <w:p w14:paraId="54D0FEF5" w14:textId="08A9E91F" w:rsidR="00321C76"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7,250</w:t>
            </w:r>
          </w:p>
        </w:tc>
        <w:tc>
          <w:tcPr>
            <w:tcW w:w="803" w:type="pct"/>
          </w:tcPr>
          <w:p w14:paraId="70D1CE13" w14:textId="7837106F" w:rsidR="00321C76"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-1.6</w:t>
            </w:r>
          </w:p>
        </w:tc>
      </w:tr>
      <w:bookmarkEnd w:id="76"/>
      <w:tr w:rsidR="005F68BF" w:rsidRPr="005F68BF" w14:paraId="3B4D0DEC"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718FBF1A" w14:textId="77777777" w:rsidR="005F68BF" w:rsidRPr="005F68BF" w:rsidRDefault="005F68BF" w:rsidP="005F68BF">
            <w:pPr>
              <w:pStyle w:val="TableText"/>
            </w:pPr>
            <w:r w:rsidRPr="005F68BF">
              <w:t>Average cost per case – Civil matters disposed in the Magistrates’ Court</w:t>
            </w:r>
          </w:p>
        </w:tc>
        <w:tc>
          <w:tcPr>
            <w:tcW w:w="735" w:type="pct"/>
          </w:tcPr>
          <w:p w14:paraId="32A34BCC"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3D9F949F" w14:textId="4489D2D5" w:rsidR="005F68BF"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916</w:t>
            </w:r>
          </w:p>
        </w:tc>
        <w:tc>
          <w:tcPr>
            <w:tcW w:w="564" w:type="pct"/>
          </w:tcPr>
          <w:p w14:paraId="2E15647D" w14:textId="77205BB5" w:rsidR="005F68BF"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997</w:t>
            </w:r>
          </w:p>
        </w:tc>
        <w:tc>
          <w:tcPr>
            <w:tcW w:w="803" w:type="pct"/>
          </w:tcPr>
          <w:p w14:paraId="05BCE941" w14:textId="30883104" w:rsidR="005F68BF" w:rsidRPr="005F68BF" w:rsidRDefault="00321C76" w:rsidP="005F68BF">
            <w:pPr>
              <w:pStyle w:val="TableText"/>
              <w:cnfStyle w:val="000000000000" w:firstRow="0" w:lastRow="0" w:firstColumn="0" w:lastColumn="0" w:oddVBand="0" w:evenVBand="0" w:oddHBand="0" w:evenHBand="0" w:firstRowFirstColumn="0" w:firstRowLastColumn="0" w:lastRowFirstColumn="0" w:lastRowLastColumn="0"/>
            </w:pPr>
            <w:r>
              <w:t>8.8</w:t>
            </w:r>
          </w:p>
        </w:tc>
      </w:tr>
    </w:tbl>
    <w:p w14:paraId="74A0ED76" w14:textId="6F8A0A17" w:rsidR="00D23179" w:rsidRDefault="00321C76" w:rsidP="00D23179">
      <w:pPr>
        <w:pStyle w:val="BodyText"/>
      </w:pPr>
      <w:r>
        <w:t>The 2019-20 outcome deviates from the estimate primarily due to the impact of coronavirus. Due to changes in the Court’s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2653A035" w14:textId="77777777" w:rsidTr="00752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5CC2C0BA" w14:textId="77777777" w:rsidR="00D23179" w:rsidRPr="005F68BF" w:rsidRDefault="00D23179" w:rsidP="001813B7">
            <w:pPr>
              <w:pStyle w:val="TableText"/>
            </w:pPr>
            <w:bookmarkStart w:id="77" w:name="ColumnTitle_4"/>
            <w:r w:rsidRPr="005F68BF">
              <w:t>Performance measures</w:t>
            </w:r>
          </w:p>
        </w:tc>
        <w:tc>
          <w:tcPr>
            <w:tcW w:w="735" w:type="pct"/>
            <w:vAlign w:val="bottom"/>
          </w:tcPr>
          <w:p w14:paraId="366878F6" w14:textId="77777777"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60F54397" w14:textId="6C45D787"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estimate</w:t>
            </w:r>
          </w:p>
        </w:tc>
        <w:tc>
          <w:tcPr>
            <w:tcW w:w="564" w:type="pct"/>
            <w:vAlign w:val="bottom"/>
          </w:tcPr>
          <w:p w14:paraId="3C2EE9F9" w14:textId="12152209"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actual</w:t>
            </w:r>
          </w:p>
        </w:tc>
        <w:tc>
          <w:tcPr>
            <w:tcW w:w="803" w:type="pct"/>
            <w:vAlign w:val="bottom"/>
          </w:tcPr>
          <w:p w14:paraId="6ED2C16F" w14:textId="2E28484C" w:rsidR="00D23179" w:rsidRPr="005F68BF" w:rsidRDefault="00D23179" w:rsidP="00752E10">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4A6DFD">
              <w:t>v</w:t>
            </w:r>
            <w:r w:rsidRPr="005F68BF">
              <w:t>ariation (%)</w:t>
            </w:r>
          </w:p>
        </w:tc>
      </w:tr>
      <w:bookmarkEnd w:id="77"/>
      <w:tr w:rsidR="005F68BF" w:rsidRPr="005F68BF" w14:paraId="5B9A3900"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19677BF3" w14:textId="77777777" w:rsidR="005F68BF" w:rsidRPr="005F68BF" w:rsidRDefault="005F68BF" w:rsidP="005F68BF">
            <w:pPr>
              <w:pStyle w:val="TableText"/>
            </w:pPr>
            <w:r w:rsidRPr="005F68BF">
              <w:t>Average cost per case – Family Division matters disposed in the Children’s Court</w:t>
            </w:r>
          </w:p>
        </w:tc>
        <w:tc>
          <w:tcPr>
            <w:tcW w:w="735" w:type="pct"/>
          </w:tcPr>
          <w:p w14:paraId="320AE541"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6709CF7E" w14:textId="26C0BD56"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1,290</w:t>
            </w:r>
          </w:p>
        </w:tc>
        <w:tc>
          <w:tcPr>
            <w:tcW w:w="564" w:type="pct"/>
          </w:tcPr>
          <w:p w14:paraId="7E6A0FA7" w14:textId="3D46BB5D"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1,353</w:t>
            </w:r>
          </w:p>
        </w:tc>
        <w:tc>
          <w:tcPr>
            <w:tcW w:w="803" w:type="pct"/>
          </w:tcPr>
          <w:p w14:paraId="45E775AD" w14:textId="6966559F"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4.88</w:t>
            </w:r>
          </w:p>
        </w:tc>
      </w:tr>
      <w:tr w:rsidR="005F68BF" w:rsidRPr="005F68BF" w14:paraId="3AB2CA08"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468995F5" w14:textId="5DFF9949" w:rsidR="005F68BF" w:rsidRPr="005F68BF" w:rsidRDefault="005F68BF" w:rsidP="005F68BF">
            <w:pPr>
              <w:pStyle w:val="TableText"/>
            </w:pPr>
            <w:r w:rsidRPr="005F68BF">
              <w:t xml:space="preserve">Average cost per case – Civil matters disposed in </w:t>
            </w:r>
            <w:r w:rsidR="00E57EEE">
              <w:t>Victorian Civil and Administrative Tribunal</w:t>
            </w:r>
          </w:p>
        </w:tc>
        <w:tc>
          <w:tcPr>
            <w:tcW w:w="735" w:type="pct"/>
          </w:tcPr>
          <w:p w14:paraId="274AB37E"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77D4BA4B" w14:textId="4989B51B"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872</w:t>
            </w:r>
          </w:p>
        </w:tc>
        <w:tc>
          <w:tcPr>
            <w:tcW w:w="564" w:type="pct"/>
          </w:tcPr>
          <w:p w14:paraId="36FBC110" w14:textId="1ABC7E9D"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1,049</w:t>
            </w:r>
          </w:p>
        </w:tc>
        <w:tc>
          <w:tcPr>
            <w:tcW w:w="803" w:type="pct"/>
          </w:tcPr>
          <w:p w14:paraId="732A595A" w14:textId="7798FC04"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20.0</w:t>
            </w:r>
          </w:p>
        </w:tc>
      </w:tr>
    </w:tbl>
    <w:p w14:paraId="000157BA" w14:textId="52E4F0E6" w:rsidR="00D23179" w:rsidRPr="005F68BF" w:rsidRDefault="004A6DFD" w:rsidP="00D23179">
      <w:pPr>
        <w:pStyle w:val="BodyText"/>
      </w:pPr>
      <w:r>
        <w:t>The 2019-20 outcome deviates from the estimate primarily due to the impact of coronavirus. Due to changes in the Tribunal’s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38DFF491" w14:textId="77777777" w:rsidTr="00E53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669E4BC1" w14:textId="77777777" w:rsidR="00D23179" w:rsidRPr="005F68BF" w:rsidRDefault="00D23179" w:rsidP="00D23179">
            <w:pPr>
              <w:pStyle w:val="TableText"/>
            </w:pPr>
            <w:bookmarkStart w:id="78" w:name="ColumnTitle_5"/>
            <w:r w:rsidRPr="005F68BF">
              <w:t>Performance measures</w:t>
            </w:r>
          </w:p>
        </w:tc>
        <w:tc>
          <w:tcPr>
            <w:tcW w:w="735" w:type="pct"/>
            <w:vAlign w:val="bottom"/>
          </w:tcPr>
          <w:p w14:paraId="61CD1728" w14:textId="77777777"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13FE56E4" w14:textId="26BCF174"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estimate</w:t>
            </w:r>
          </w:p>
        </w:tc>
        <w:tc>
          <w:tcPr>
            <w:tcW w:w="564" w:type="pct"/>
            <w:vAlign w:val="bottom"/>
          </w:tcPr>
          <w:p w14:paraId="1F5817E3" w14:textId="4FA8DC45"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actual</w:t>
            </w:r>
          </w:p>
        </w:tc>
        <w:tc>
          <w:tcPr>
            <w:tcW w:w="803" w:type="pct"/>
            <w:vAlign w:val="bottom"/>
          </w:tcPr>
          <w:p w14:paraId="119915A4" w14:textId="3DA5C2FD"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4A6DFD">
              <w:t>v</w:t>
            </w:r>
            <w:r w:rsidRPr="005F68BF">
              <w:t>ariation (%)</w:t>
            </w:r>
          </w:p>
        </w:tc>
      </w:tr>
      <w:bookmarkEnd w:id="78"/>
      <w:tr w:rsidR="005F68BF" w:rsidRPr="005F68BF" w14:paraId="3BFB155E"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7A78F3BB" w14:textId="77777777" w:rsidR="005F68BF" w:rsidRPr="005F68BF" w:rsidRDefault="005F68BF" w:rsidP="00D23179">
            <w:pPr>
              <w:pStyle w:val="TableText"/>
              <w:keepNext/>
            </w:pPr>
            <w:r w:rsidRPr="005F68BF">
              <w:t>Average cost per case – Coronial matters disposed in the Coroners Court</w:t>
            </w:r>
          </w:p>
        </w:tc>
        <w:tc>
          <w:tcPr>
            <w:tcW w:w="735" w:type="pct"/>
          </w:tcPr>
          <w:p w14:paraId="0D2B3FE1"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4F3E406D" w14:textId="0758B429"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4,291</w:t>
            </w:r>
          </w:p>
        </w:tc>
        <w:tc>
          <w:tcPr>
            <w:tcW w:w="564" w:type="pct"/>
          </w:tcPr>
          <w:p w14:paraId="223A7D73" w14:textId="07C1B9E8"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3,882</w:t>
            </w:r>
          </w:p>
        </w:tc>
        <w:tc>
          <w:tcPr>
            <w:tcW w:w="803" w:type="pct"/>
          </w:tcPr>
          <w:p w14:paraId="38EB752D" w14:textId="42EB0122"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-9.5</w:t>
            </w:r>
          </w:p>
        </w:tc>
      </w:tr>
    </w:tbl>
    <w:p w14:paraId="58B672E7" w14:textId="4D954F7B" w:rsidR="00D23179" w:rsidRPr="005F68BF" w:rsidRDefault="004A6DFD" w:rsidP="00D23179">
      <w:pPr>
        <w:pStyle w:val="BodyText"/>
      </w:pPr>
      <w:r>
        <w:t>The 2019-20 outcome deviates from the estimate due to the Court’s ability to increase the number of finalised cases for the year and reduce the cost per case outcome accordingly.</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082F8DD0" w14:textId="77777777" w:rsidTr="00E53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79D8C643" w14:textId="77777777" w:rsidR="00D23179" w:rsidRPr="005F68BF" w:rsidRDefault="00D23179" w:rsidP="001813B7">
            <w:pPr>
              <w:pStyle w:val="TableText"/>
            </w:pPr>
            <w:bookmarkStart w:id="79" w:name="ColumnTitle_6"/>
            <w:r w:rsidRPr="005F68BF">
              <w:t>Performance measures</w:t>
            </w:r>
          </w:p>
        </w:tc>
        <w:tc>
          <w:tcPr>
            <w:tcW w:w="735" w:type="pct"/>
            <w:vAlign w:val="bottom"/>
          </w:tcPr>
          <w:p w14:paraId="0C3AF972" w14:textId="77777777"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4D803CB1" w14:textId="10B852A2"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estimate</w:t>
            </w:r>
          </w:p>
        </w:tc>
        <w:tc>
          <w:tcPr>
            <w:tcW w:w="564" w:type="pct"/>
            <w:vAlign w:val="bottom"/>
          </w:tcPr>
          <w:p w14:paraId="4BA52792" w14:textId="0F76B6E3"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actual</w:t>
            </w:r>
          </w:p>
        </w:tc>
        <w:tc>
          <w:tcPr>
            <w:tcW w:w="803" w:type="pct"/>
            <w:vAlign w:val="bottom"/>
          </w:tcPr>
          <w:p w14:paraId="19EBDAA4" w14:textId="7C5F364C"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4A6DFD">
              <w:t>v</w:t>
            </w:r>
            <w:r w:rsidRPr="005F68BF">
              <w:t>ariation (%)</w:t>
            </w:r>
          </w:p>
        </w:tc>
      </w:tr>
      <w:bookmarkEnd w:id="79"/>
      <w:tr w:rsidR="005F68BF" w:rsidRPr="005F68BF" w14:paraId="3B6453EC"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081E3F33" w14:textId="77777777" w:rsidR="005F68BF" w:rsidRPr="005F68BF" w:rsidRDefault="005F68BF" w:rsidP="005F68BF">
            <w:pPr>
              <w:pStyle w:val="TableText"/>
            </w:pPr>
            <w:r w:rsidRPr="005F68BF">
              <w:t>Average cost per case – Criminal matters disposed in the Supreme Court</w:t>
            </w:r>
          </w:p>
        </w:tc>
        <w:tc>
          <w:tcPr>
            <w:tcW w:w="735" w:type="pct"/>
          </w:tcPr>
          <w:p w14:paraId="0B6B4712"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2D923237" w14:textId="0CCED5AE"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48,149</w:t>
            </w:r>
          </w:p>
        </w:tc>
        <w:tc>
          <w:tcPr>
            <w:tcW w:w="564" w:type="pct"/>
          </w:tcPr>
          <w:p w14:paraId="5C9D360E" w14:textId="3321E2D7"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47,722</w:t>
            </w:r>
          </w:p>
        </w:tc>
        <w:tc>
          <w:tcPr>
            <w:tcW w:w="803" w:type="pct"/>
          </w:tcPr>
          <w:p w14:paraId="162F9B45" w14:textId="5332CA17"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-0.9</w:t>
            </w:r>
          </w:p>
        </w:tc>
      </w:tr>
      <w:tr w:rsidR="005F68BF" w:rsidRPr="005F68BF" w14:paraId="3B836B3C"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12F464DF" w14:textId="77777777" w:rsidR="005F68BF" w:rsidRPr="005F68BF" w:rsidRDefault="005F68BF" w:rsidP="005F68BF">
            <w:pPr>
              <w:pStyle w:val="TableText"/>
            </w:pPr>
            <w:r w:rsidRPr="005F68BF">
              <w:t>Average cost per case – Criminal matters disposed in the County Court</w:t>
            </w:r>
          </w:p>
        </w:tc>
        <w:tc>
          <w:tcPr>
            <w:tcW w:w="735" w:type="pct"/>
          </w:tcPr>
          <w:p w14:paraId="44CE7436"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3F4D141C" w14:textId="68E147DB"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17,479</w:t>
            </w:r>
          </w:p>
        </w:tc>
        <w:tc>
          <w:tcPr>
            <w:tcW w:w="564" w:type="pct"/>
          </w:tcPr>
          <w:p w14:paraId="0B093D82" w14:textId="7D8F28BC"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22,550</w:t>
            </w:r>
          </w:p>
        </w:tc>
        <w:tc>
          <w:tcPr>
            <w:tcW w:w="803" w:type="pct"/>
          </w:tcPr>
          <w:p w14:paraId="7C8954B4" w14:textId="5455C3E6" w:rsidR="005F68BF" w:rsidRPr="005F68BF" w:rsidRDefault="004A6DFD" w:rsidP="005F68BF">
            <w:pPr>
              <w:pStyle w:val="TableText"/>
              <w:cnfStyle w:val="000000000000" w:firstRow="0" w:lastRow="0" w:firstColumn="0" w:lastColumn="0" w:oddVBand="0" w:evenVBand="0" w:oddHBand="0" w:evenHBand="0" w:firstRowFirstColumn="0" w:firstRowLastColumn="0" w:lastRowFirstColumn="0" w:lastRowLastColumn="0"/>
            </w:pPr>
            <w:r>
              <w:t>29.0</w:t>
            </w:r>
          </w:p>
        </w:tc>
      </w:tr>
    </w:tbl>
    <w:p w14:paraId="1B7C2AB0" w14:textId="78BE1141" w:rsidR="00D23179" w:rsidRPr="005F68BF" w:rsidRDefault="004A6DFD" w:rsidP="00D23179">
      <w:pPr>
        <w:pStyle w:val="BodyText"/>
      </w:pPr>
      <w:r>
        <w:t>The 2019-20 outcome deviates from the estimate primarily due to the impact of coronavirus. Due to changes in the Court’s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 In addition, the Court’s assets were revalued resulting in a change to depreciations costs.</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5527B0EF" w14:textId="77777777" w:rsidTr="00E53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057E6800" w14:textId="77777777" w:rsidR="00D23179" w:rsidRPr="005F68BF" w:rsidRDefault="00D23179" w:rsidP="001813B7">
            <w:pPr>
              <w:pStyle w:val="TableText"/>
            </w:pPr>
            <w:bookmarkStart w:id="80" w:name="ColumnTitle_7"/>
            <w:r w:rsidRPr="005F68BF">
              <w:t>Performance measures</w:t>
            </w:r>
          </w:p>
        </w:tc>
        <w:tc>
          <w:tcPr>
            <w:tcW w:w="735" w:type="pct"/>
            <w:vAlign w:val="bottom"/>
          </w:tcPr>
          <w:p w14:paraId="5D68751B" w14:textId="77777777"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0B6173FD" w14:textId="6A544FEE"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w:t>
            </w:r>
            <w:r w:rsidRPr="005F68BF">
              <w:t>-20 estimate</w:t>
            </w:r>
          </w:p>
        </w:tc>
        <w:tc>
          <w:tcPr>
            <w:tcW w:w="564" w:type="pct"/>
            <w:vAlign w:val="bottom"/>
          </w:tcPr>
          <w:p w14:paraId="34AB68F5" w14:textId="0AF22A63"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4A6DFD">
              <w:t>9-20</w:t>
            </w:r>
            <w:r w:rsidRPr="005F68BF">
              <w:t xml:space="preserve"> actual</w:t>
            </w:r>
          </w:p>
        </w:tc>
        <w:tc>
          <w:tcPr>
            <w:tcW w:w="803" w:type="pct"/>
            <w:vAlign w:val="bottom"/>
          </w:tcPr>
          <w:p w14:paraId="2EE653C0" w14:textId="44E3B9D5"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4A6DFD">
              <w:t>v</w:t>
            </w:r>
            <w:r w:rsidRPr="005F68BF">
              <w:t>ariation (%)</w:t>
            </w:r>
          </w:p>
        </w:tc>
      </w:tr>
      <w:bookmarkEnd w:id="80"/>
      <w:tr w:rsidR="005F68BF" w:rsidRPr="005F68BF" w14:paraId="24C46E79"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12A981AD" w14:textId="77777777" w:rsidR="005F68BF" w:rsidRPr="005F68BF" w:rsidRDefault="005F68BF" w:rsidP="005F68BF">
            <w:pPr>
              <w:pStyle w:val="TableText"/>
            </w:pPr>
            <w:r w:rsidRPr="005F68BF">
              <w:t>Average cost per case – Criminal matters disposed in the Magistrates’ Court</w:t>
            </w:r>
          </w:p>
        </w:tc>
        <w:tc>
          <w:tcPr>
            <w:tcW w:w="735" w:type="pct"/>
          </w:tcPr>
          <w:p w14:paraId="0BE082CC"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3F068162" w14:textId="0FC38C92"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1,134</w:t>
            </w:r>
          </w:p>
        </w:tc>
        <w:tc>
          <w:tcPr>
            <w:tcW w:w="564" w:type="pct"/>
          </w:tcPr>
          <w:p w14:paraId="779E6C0F" w14:textId="6D78A6E2"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1,585</w:t>
            </w:r>
          </w:p>
        </w:tc>
        <w:tc>
          <w:tcPr>
            <w:tcW w:w="803" w:type="pct"/>
          </w:tcPr>
          <w:p w14:paraId="13A46507" w14:textId="17328388"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39.8</w:t>
            </w:r>
          </w:p>
        </w:tc>
      </w:tr>
    </w:tbl>
    <w:p w14:paraId="48F4377D" w14:textId="298CCB96" w:rsidR="00D23179" w:rsidRPr="005F68BF" w:rsidRDefault="00DA4D6A" w:rsidP="001871F9">
      <w:pPr>
        <w:pStyle w:val="BodyText"/>
        <w:pageBreakBefore/>
      </w:pPr>
      <w:r>
        <w:t>The 2019-20 outcome deviates from the estimate primarily due to the impact of coronavirus. Due to changes in the Court’s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23F2F810" w14:textId="77777777" w:rsidTr="00E53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5C018130" w14:textId="77777777" w:rsidR="00D23179" w:rsidRPr="005F68BF" w:rsidRDefault="00D23179" w:rsidP="001813B7">
            <w:pPr>
              <w:pStyle w:val="TableText"/>
            </w:pPr>
            <w:bookmarkStart w:id="81" w:name="ColumnTitle_8"/>
            <w:r w:rsidRPr="005F68BF">
              <w:t>Performance measures</w:t>
            </w:r>
          </w:p>
        </w:tc>
        <w:tc>
          <w:tcPr>
            <w:tcW w:w="735" w:type="pct"/>
            <w:vAlign w:val="bottom"/>
          </w:tcPr>
          <w:p w14:paraId="40C5F2EB" w14:textId="77777777"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0504EB1B" w14:textId="7E620053"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DA4D6A">
              <w:t>9-20</w:t>
            </w:r>
            <w:r w:rsidRPr="005F68BF">
              <w:t xml:space="preserve"> estimate</w:t>
            </w:r>
          </w:p>
        </w:tc>
        <w:tc>
          <w:tcPr>
            <w:tcW w:w="564" w:type="pct"/>
            <w:vAlign w:val="bottom"/>
          </w:tcPr>
          <w:p w14:paraId="28BC1419" w14:textId="7723B668"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DA4D6A">
              <w:t>9</w:t>
            </w:r>
            <w:r w:rsidRPr="005F68BF">
              <w:t>-</w:t>
            </w:r>
            <w:r w:rsidR="00DA4D6A">
              <w:t>20</w:t>
            </w:r>
            <w:r w:rsidRPr="005F68BF">
              <w:t xml:space="preserve"> actual</w:t>
            </w:r>
          </w:p>
        </w:tc>
        <w:tc>
          <w:tcPr>
            <w:tcW w:w="803" w:type="pct"/>
            <w:vAlign w:val="bottom"/>
          </w:tcPr>
          <w:p w14:paraId="525BB9C7" w14:textId="6234FDA8" w:rsidR="00D23179" w:rsidRPr="005F68BF" w:rsidRDefault="00D23179" w:rsidP="00E534F5">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DA4D6A">
              <w:t>v</w:t>
            </w:r>
            <w:r w:rsidRPr="005F68BF">
              <w:t>ariation (%)</w:t>
            </w:r>
          </w:p>
        </w:tc>
      </w:tr>
      <w:bookmarkEnd w:id="81"/>
      <w:tr w:rsidR="005F68BF" w:rsidRPr="005F68BF" w14:paraId="6ADCB9B1"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794BB1CD" w14:textId="77777777" w:rsidR="005F68BF" w:rsidRPr="005F68BF" w:rsidRDefault="005F68BF" w:rsidP="005F68BF">
            <w:pPr>
              <w:pStyle w:val="TableText"/>
            </w:pPr>
            <w:r w:rsidRPr="005F68BF">
              <w:t>Average cost per case – Criminal matters disposed in the Children’s Court</w:t>
            </w:r>
          </w:p>
        </w:tc>
        <w:tc>
          <w:tcPr>
            <w:tcW w:w="735" w:type="pct"/>
          </w:tcPr>
          <w:p w14:paraId="67F0FC3C"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dollars</w:t>
            </w:r>
          </w:p>
        </w:tc>
        <w:tc>
          <w:tcPr>
            <w:tcW w:w="586" w:type="pct"/>
          </w:tcPr>
          <w:p w14:paraId="230976D2" w14:textId="69DF2F12"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1,015</w:t>
            </w:r>
          </w:p>
        </w:tc>
        <w:tc>
          <w:tcPr>
            <w:tcW w:w="564" w:type="pct"/>
          </w:tcPr>
          <w:p w14:paraId="3D2014C8" w14:textId="4EAC404E"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1,425</w:t>
            </w:r>
          </w:p>
        </w:tc>
        <w:tc>
          <w:tcPr>
            <w:tcW w:w="803" w:type="pct"/>
          </w:tcPr>
          <w:p w14:paraId="12CA02DE" w14:textId="4839FB8C"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40.39</w:t>
            </w:r>
          </w:p>
        </w:tc>
      </w:tr>
    </w:tbl>
    <w:p w14:paraId="2301F8E3" w14:textId="50B0BFEE" w:rsidR="005F68BF" w:rsidRDefault="00DA4D6A" w:rsidP="00DA4D6A">
      <w:pPr>
        <w:pStyle w:val="BodyText"/>
      </w:pPr>
      <w:r>
        <w:t>The 2019-20 outcome deviates from the estimate primarily due to the impact of coronavirus. Due to changes in the Court’s operations in response to COVID-19, the number of finalisations was less than originally forecast. This, in conjunction with an increase in investment in technology to support the Court’s operations during COVID-19 resulting in increased overall costs, is reflected in the cost per case outcome.</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23179" w:rsidRPr="005F68BF" w14:paraId="60A2D4DA"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64B9EDFF" w14:textId="77777777" w:rsidR="00D23179" w:rsidRPr="005F68BF" w:rsidRDefault="00D23179" w:rsidP="001813B7">
            <w:pPr>
              <w:pStyle w:val="TableText"/>
            </w:pPr>
            <w:bookmarkStart w:id="82" w:name="ColumnTitle_9"/>
            <w:r w:rsidRPr="005F68BF">
              <w:t>Performance measures</w:t>
            </w:r>
          </w:p>
        </w:tc>
        <w:tc>
          <w:tcPr>
            <w:tcW w:w="735" w:type="pct"/>
            <w:vAlign w:val="bottom"/>
          </w:tcPr>
          <w:p w14:paraId="4BEC41C1" w14:textId="77777777" w:rsidR="00D23179" w:rsidRPr="005F68BF" w:rsidRDefault="00D23179" w:rsidP="004247E0">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41A35517" w14:textId="3DD75818" w:rsidR="00D23179" w:rsidRPr="005F68BF" w:rsidRDefault="00D23179" w:rsidP="004247E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DA4D6A">
              <w:t>9-20</w:t>
            </w:r>
            <w:r w:rsidRPr="005F68BF">
              <w:t xml:space="preserve"> estimate</w:t>
            </w:r>
          </w:p>
        </w:tc>
        <w:tc>
          <w:tcPr>
            <w:tcW w:w="564" w:type="pct"/>
            <w:vAlign w:val="bottom"/>
          </w:tcPr>
          <w:p w14:paraId="3204343D" w14:textId="268A7346" w:rsidR="00D23179" w:rsidRPr="005F68BF" w:rsidRDefault="00D23179" w:rsidP="004247E0">
            <w:pPr>
              <w:pStyle w:val="TableText"/>
              <w:cnfStyle w:val="100000000000" w:firstRow="1" w:lastRow="0" w:firstColumn="0" w:lastColumn="0" w:oddVBand="0" w:evenVBand="0" w:oddHBand="0" w:evenHBand="0" w:firstRowFirstColumn="0" w:firstRowLastColumn="0" w:lastRowFirstColumn="0" w:lastRowLastColumn="0"/>
            </w:pPr>
            <w:r w:rsidRPr="005F68BF">
              <w:t>201</w:t>
            </w:r>
            <w:r w:rsidR="00DA4D6A">
              <w:t>9</w:t>
            </w:r>
            <w:r w:rsidRPr="005F68BF">
              <w:t>-</w:t>
            </w:r>
            <w:r w:rsidR="00DA4D6A">
              <w:t>20</w:t>
            </w:r>
            <w:r w:rsidRPr="005F68BF">
              <w:t xml:space="preserve"> actual</w:t>
            </w:r>
          </w:p>
        </w:tc>
        <w:tc>
          <w:tcPr>
            <w:tcW w:w="803" w:type="pct"/>
            <w:vAlign w:val="bottom"/>
          </w:tcPr>
          <w:p w14:paraId="6654DCAD" w14:textId="2B06A911" w:rsidR="00D23179" w:rsidRPr="005F68BF" w:rsidRDefault="00D23179" w:rsidP="004247E0">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rsidR="00DA4D6A">
              <w:t>v</w:t>
            </w:r>
            <w:r w:rsidRPr="005F68BF">
              <w:t>ariation (%)</w:t>
            </w:r>
          </w:p>
        </w:tc>
      </w:tr>
      <w:bookmarkEnd w:id="82"/>
      <w:tr w:rsidR="005F68BF" w:rsidRPr="005F68BF" w14:paraId="6368E88A"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3C6C7E9C" w14:textId="194E9D14" w:rsidR="005F68BF" w:rsidRPr="00741CBC" w:rsidRDefault="005F68BF" w:rsidP="000D0CCB">
            <w:pPr>
              <w:pStyle w:val="TableText"/>
            </w:pPr>
            <w:r w:rsidRPr="00741CBC">
              <w:t>Case clearance rate</w:t>
            </w:r>
            <w:r w:rsidR="000D0CCB" w:rsidRPr="00741CBC">
              <w:rPr>
                <w:vertAlign w:val="superscript"/>
              </w:rPr>
              <w:fldChar w:fldCharType="begin"/>
            </w:r>
            <w:r w:rsidR="000D0CCB" w:rsidRPr="00741CBC">
              <w:rPr>
                <w:vertAlign w:val="superscript"/>
              </w:rPr>
              <w:instrText xml:space="preserve"> REF Note1CaseClearanceRate \n \h  \* MERGEFORMAT </w:instrText>
            </w:r>
            <w:r w:rsidR="000D0CCB" w:rsidRPr="00741CBC">
              <w:rPr>
                <w:vertAlign w:val="superscript"/>
              </w:rPr>
            </w:r>
            <w:r w:rsidR="000D0CCB" w:rsidRPr="00741CBC">
              <w:rPr>
                <w:vertAlign w:val="superscript"/>
              </w:rPr>
              <w:fldChar w:fldCharType="separate"/>
            </w:r>
            <w:r w:rsidR="00D46E6D">
              <w:rPr>
                <w:vertAlign w:val="superscript"/>
              </w:rPr>
              <w:t>(1)</w:t>
            </w:r>
            <w:r w:rsidR="000D0CCB" w:rsidRPr="00741CBC">
              <w:rPr>
                <w:vertAlign w:val="superscript"/>
              </w:rPr>
              <w:fldChar w:fldCharType="end"/>
            </w:r>
            <w:r w:rsidR="000D0CCB" w:rsidRPr="00741CBC">
              <w:rPr>
                <w:vertAlign w:val="superscript"/>
              </w:rPr>
              <w:t xml:space="preserve"> </w:t>
            </w:r>
            <w:r w:rsidRPr="00741CBC">
              <w:t xml:space="preserve">– </w:t>
            </w:r>
            <w:r w:rsidRPr="00741CBC">
              <w:br/>
              <w:t xml:space="preserve">Civil matters disposed </w:t>
            </w:r>
            <w:r w:rsidRPr="00741CBC">
              <w:br/>
              <w:t>in the Supreme Court</w:t>
            </w:r>
          </w:p>
        </w:tc>
        <w:tc>
          <w:tcPr>
            <w:tcW w:w="735" w:type="pct"/>
          </w:tcPr>
          <w:p w14:paraId="2942004A"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per cent</w:t>
            </w:r>
          </w:p>
        </w:tc>
        <w:tc>
          <w:tcPr>
            <w:tcW w:w="586" w:type="pct"/>
          </w:tcPr>
          <w:p w14:paraId="6411D3A6"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100</w:t>
            </w:r>
          </w:p>
        </w:tc>
        <w:tc>
          <w:tcPr>
            <w:tcW w:w="564" w:type="pct"/>
          </w:tcPr>
          <w:p w14:paraId="1AF16D0F" w14:textId="25120B3E"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100</w:t>
            </w:r>
            <w:r w:rsidR="00DA4D6A">
              <w:t>.9</w:t>
            </w:r>
            <w:r w:rsidR="00DB5CB0">
              <w:t xml:space="preserve"> </w:t>
            </w:r>
            <w:r w:rsidRPr="005F68BF">
              <w:t>(2</w:t>
            </w:r>
            <w:r w:rsidR="00DA4D6A">
              <w:t>8,608</w:t>
            </w:r>
            <w:r w:rsidRPr="005F68BF">
              <w:t xml:space="preserve"> / </w:t>
            </w:r>
            <w:r w:rsidRPr="005F68BF">
              <w:br/>
            </w:r>
            <w:r w:rsidR="00DA4D6A">
              <w:t>28,358</w:t>
            </w:r>
            <w:r w:rsidRPr="005F68BF">
              <w:t>)</w:t>
            </w:r>
          </w:p>
        </w:tc>
        <w:tc>
          <w:tcPr>
            <w:tcW w:w="803" w:type="pct"/>
          </w:tcPr>
          <w:p w14:paraId="3AF1A58D" w14:textId="5168C18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0.</w:t>
            </w:r>
            <w:r w:rsidR="00DA4D6A">
              <w:t>9</w:t>
            </w:r>
          </w:p>
        </w:tc>
      </w:tr>
      <w:tr w:rsidR="005F68BF" w:rsidRPr="005F68BF" w14:paraId="6C5FCE8C" w14:textId="77777777" w:rsidTr="005F68BF">
        <w:tc>
          <w:tcPr>
            <w:cnfStyle w:val="001000000000" w:firstRow="0" w:lastRow="0" w:firstColumn="1" w:lastColumn="0" w:oddVBand="0" w:evenVBand="0" w:oddHBand="0" w:evenHBand="0" w:firstRowFirstColumn="0" w:firstRowLastColumn="0" w:lastRowFirstColumn="0" w:lastRowLastColumn="0"/>
            <w:tcW w:w="2312" w:type="pct"/>
          </w:tcPr>
          <w:p w14:paraId="4AADD990" w14:textId="083876EE" w:rsidR="005F68BF" w:rsidRPr="00741CBC" w:rsidRDefault="005F68BF" w:rsidP="000D0CCB">
            <w:pPr>
              <w:pStyle w:val="TableText"/>
            </w:pPr>
            <w:r w:rsidRPr="00741CBC">
              <w:t xml:space="preserve">Case clearance rate – </w:t>
            </w:r>
            <w:r w:rsidRPr="00741CBC">
              <w:br/>
              <w:t xml:space="preserve">Civil matters disposed </w:t>
            </w:r>
            <w:r w:rsidRPr="00741CBC">
              <w:br/>
              <w:t>in the County Court</w:t>
            </w:r>
          </w:p>
        </w:tc>
        <w:tc>
          <w:tcPr>
            <w:tcW w:w="735" w:type="pct"/>
          </w:tcPr>
          <w:p w14:paraId="0A804494"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per cent</w:t>
            </w:r>
          </w:p>
        </w:tc>
        <w:tc>
          <w:tcPr>
            <w:tcW w:w="586" w:type="pct"/>
          </w:tcPr>
          <w:p w14:paraId="75D39E61" w14:textId="77777777" w:rsidR="005F68BF" w:rsidRPr="005F68BF" w:rsidRDefault="005F68BF" w:rsidP="005F68BF">
            <w:pPr>
              <w:pStyle w:val="TableText"/>
              <w:cnfStyle w:val="000000000000" w:firstRow="0" w:lastRow="0" w:firstColumn="0" w:lastColumn="0" w:oddVBand="0" w:evenVBand="0" w:oddHBand="0" w:evenHBand="0" w:firstRowFirstColumn="0" w:firstRowLastColumn="0" w:lastRowFirstColumn="0" w:lastRowLastColumn="0"/>
            </w:pPr>
            <w:r w:rsidRPr="005F68BF">
              <w:t>100</w:t>
            </w:r>
          </w:p>
        </w:tc>
        <w:tc>
          <w:tcPr>
            <w:tcW w:w="564" w:type="pct"/>
          </w:tcPr>
          <w:p w14:paraId="526FED6B" w14:textId="51602487" w:rsidR="005F68BF" w:rsidRPr="005F68BF" w:rsidRDefault="00DA4D6A" w:rsidP="00DA4D6A">
            <w:pPr>
              <w:pStyle w:val="TableText"/>
              <w:cnfStyle w:val="000000000000" w:firstRow="0" w:lastRow="0" w:firstColumn="0" w:lastColumn="0" w:oddVBand="0" w:evenVBand="0" w:oddHBand="0" w:evenHBand="0" w:firstRowFirstColumn="0" w:firstRowLastColumn="0" w:lastRowFirstColumn="0" w:lastRowLastColumn="0"/>
            </w:pPr>
            <w:r>
              <w:t xml:space="preserve">89.1 </w:t>
            </w:r>
            <w:r>
              <w:br/>
              <w:t>(5,770 / 6,476)</w:t>
            </w:r>
          </w:p>
        </w:tc>
        <w:tc>
          <w:tcPr>
            <w:tcW w:w="803" w:type="pct"/>
          </w:tcPr>
          <w:p w14:paraId="2AF3F737" w14:textId="5825AEFB" w:rsidR="005F68BF" w:rsidRPr="005F68BF" w:rsidRDefault="00DA4D6A" w:rsidP="005F68BF">
            <w:pPr>
              <w:pStyle w:val="TableText"/>
              <w:cnfStyle w:val="000000000000" w:firstRow="0" w:lastRow="0" w:firstColumn="0" w:lastColumn="0" w:oddVBand="0" w:evenVBand="0" w:oddHBand="0" w:evenHBand="0" w:firstRowFirstColumn="0" w:firstRowLastColumn="0" w:lastRowFirstColumn="0" w:lastRowLastColumn="0"/>
            </w:pPr>
            <w:r>
              <w:t>-10.9</w:t>
            </w:r>
          </w:p>
        </w:tc>
      </w:tr>
    </w:tbl>
    <w:p w14:paraId="4537089A" w14:textId="25A2994D" w:rsidR="00D23179" w:rsidRDefault="00DA4D6A" w:rsidP="00D23179">
      <w:pPr>
        <w:pStyle w:val="BodyText"/>
      </w:pPr>
      <w:r>
        <w:t>The 2019-20 outcome deviates from the estimate due to a significant increase in Common Law initiations (approximately 16 per cent) compared to the 2018-19.</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DB5CB0" w:rsidRPr="005F68BF" w14:paraId="298FFF79"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698F6E36" w14:textId="77777777" w:rsidR="00DB5CB0" w:rsidRPr="005F68BF" w:rsidRDefault="00DB5CB0" w:rsidP="00DB1CB7">
            <w:pPr>
              <w:pStyle w:val="TableText"/>
            </w:pPr>
            <w:r w:rsidRPr="005F68BF">
              <w:t>Performance measures</w:t>
            </w:r>
          </w:p>
        </w:tc>
        <w:tc>
          <w:tcPr>
            <w:tcW w:w="735" w:type="pct"/>
            <w:vAlign w:val="bottom"/>
          </w:tcPr>
          <w:p w14:paraId="3E83F3E5" w14:textId="77777777" w:rsidR="00DB5CB0" w:rsidRPr="005F68BF" w:rsidRDefault="00DB5CB0" w:rsidP="004247E0">
            <w:pPr>
              <w:pStyle w:val="TableText"/>
              <w:cnfStyle w:val="100000000000" w:firstRow="1" w:lastRow="0" w:firstColumn="0" w:lastColumn="0" w:oddVBand="0" w:evenVBand="0" w:oddHBand="0" w:evenHBand="0" w:firstRowFirstColumn="0" w:firstRowLastColumn="0" w:lastRowFirstColumn="0" w:lastRowLastColumn="0"/>
            </w:pPr>
            <w:r w:rsidRPr="005F68BF">
              <w:t>Unit of measure</w:t>
            </w:r>
          </w:p>
        </w:tc>
        <w:tc>
          <w:tcPr>
            <w:tcW w:w="586" w:type="pct"/>
            <w:vAlign w:val="bottom"/>
          </w:tcPr>
          <w:p w14:paraId="67306FB5" w14:textId="77777777" w:rsidR="00DB5CB0" w:rsidRPr="005F68BF" w:rsidRDefault="00DB5CB0" w:rsidP="004247E0">
            <w:pPr>
              <w:pStyle w:val="TableText"/>
              <w:cnfStyle w:val="100000000000" w:firstRow="1" w:lastRow="0" w:firstColumn="0" w:lastColumn="0" w:oddVBand="0" w:evenVBand="0" w:oddHBand="0" w:evenHBand="0" w:firstRowFirstColumn="0" w:firstRowLastColumn="0" w:lastRowFirstColumn="0" w:lastRowLastColumn="0"/>
            </w:pPr>
            <w:r w:rsidRPr="005F68BF">
              <w:t>201</w:t>
            </w:r>
            <w:r>
              <w:t>9-20</w:t>
            </w:r>
            <w:r w:rsidRPr="005F68BF">
              <w:t xml:space="preserve"> estimate</w:t>
            </w:r>
          </w:p>
        </w:tc>
        <w:tc>
          <w:tcPr>
            <w:tcW w:w="564" w:type="pct"/>
            <w:vAlign w:val="bottom"/>
          </w:tcPr>
          <w:p w14:paraId="483A5296" w14:textId="77777777" w:rsidR="00DB5CB0" w:rsidRPr="005F68BF" w:rsidRDefault="00DB5CB0" w:rsidP="004247E0">
            <w:pPr>
              <w:pStyle w:val="TableText"/>
              <w:cnfStyle w:val="100000000000" w:firstRow="1" w:lastRow="0" w:firstColumn="0" w:lastColumn="0" w:oddVBand="0" w:evenVBand="0" w:oddHBand="0" w:evenHBand="0" w:firstRowFirstColumn="0" w:firstRowLastColumn="0" w:lastRowFirstColumn="0" w:lastRowLastColumn="0"/>
            </w:pPr>
            <w:r w:rsidRPr="005F68BF">
              <w:t>201</w:t>
            </w:r>
            <w:r>
              <w:t>9</w:t>
            </w:r>
            <w:r w:rsidRPr="005F68BF">
              <w:t>-</w:t>
            </w:r>
            <w:r>
              <w:t>20</w:t>
            </w:r>
            <w:r w:rsidRPr="005F68BF">
              <w:t xml:space="preserve"> actual</w:t>
            </w:r>
          </w:p>
        </w:tc>
        <w:tc>
          <w:tcPr>
            <w:tcW w:w="803" w:type="pct"/>
            <w:vAlign w:val="bottom"/>
          </w:tcPr>
          <w:p w14:paraId="007F2A8C" w14:textId="77777777" w:rsidR="00DB5CB0" w:rsidRPr="005F68BF" w:rsidRDefault="00DB5CB0" w:rsidP="004247E0">
            <w:pPr>
              <w:pStyle w:val="TableText"/>
              <w:cnfStyle w:val="100000000000" w:firstRow="1" w:lastRow="0" w:firstColumn="0" w:lastColumn="0" w:oddVBand="0" w:evenVBand="0" w:oddHBand="0" w:evenHBand="0" w:firstRowFirstColumn="0" w:firstRowLastColumn="0" w:lastRowFirstColumn="0" w:lastRowLastColumn="0"/>
            </w:pPr>
            <w:r w:rsidRPr="005F68BF">
              <w:t xml:space="preserve">Performance </w:t>
            </w:r>
            <w:r>
              <w:t>v</w:t>
            </w:r>
            <w:r w:rsidRPr="005F68BF">
              <w:t>ariation (%)</w:t>
            </w:r>
          </w:p>
        </w:tc>
      </w:tr>
      <w:tr w:rsidR="00DB5CB0" w:rsidRPr="005F68BF" w14:paraId="7382EE09" w14:textId="77777777" w:rsidTr="00DB1CB7">
        <w:tc>
          <w:tcPr>
            <w:cnfStyle w:val="001000000000" w:firstRow="0" w:lastRow="0" w:firstColumn="1" w:lastColumn="0" w:oddVBand="0" w:evenVBand="0" w:oddHBand="0" w:evenHBand="0" w:firstRowFirstColumn="0" w:firstRowLastColumn="0" w:lastRowFirstColumn="0" w:lastRowLastColumn="0"/>
            <w:tcW w:w="2312" w:type="pct"/>
          </w:tcPr>
          <w:p w14:paraId="14488ACB" w14:textId="17D9AF51" w:rsidR="00DB5CB0" w:rsidRPr="00DB5CB0" w:rsidRDefault="00DB5CB0" w:rsidP="00DB1CB7">
            <w:pPr>
              <w:pStyle w:val="TableText"/>
            </w:pPr>
            <w:r w:rsidRPr="00DB5CB0">
              <w:t>Case clearance rate</w:t>
            </w:r>
            <w:r w:rsidRPr="00DB5CB0">
              <w:rPr>
                <w:vertAlign w:val="superscript"/>
              </w:rPr>
              <w:t xml:space="preserve"> </w:t>
            </w:r>
            <w:r w:rsidRPr="00DB5CB0">
              <w:t xml:space="preserve">– </w:t>
            </w:r>
            <w:r w:rsidRPr="00DB5CB0">
              <w:br/>
              <w:t xml:space="preserve">Civil matters disposed </w:t>
            </w:r>
            <w:r w:rsidRPr="00DB5CB0">
              <w:br/>
              <w:t xml:space="preserve">in the </w:t>
            </w:r>
            <w:r>
              <w:t xml:space="preserve">Magistrate’s </w:t>
            </w:r>
            <w:r w:rsidRPr="00DB5CB0">
              <w:t>Court</w:t>
            </w:r>
          </w:p>
        </w:tc>
        <w:tc>
          <w:tcPr>
            <w:tcW w:w="735" w:type="pct"/>
          </w:tcPr>
          <w:p w14:paraId="3E0157D0" w14:textId="77777777" w:rsidR="00DB5CB0" w:rsidRPr="005F68BF" w:rsidRDefault="00DB5CB0" w:rsidP="00DB1CB7">
            <w:pPr>
              <w:pStyle w:val="TableText"/>
              <w:cnfStyle w:val="000000000000" w:firstRow="0" w:lastRow="0" w:firstColumn="0" w:lastColumn="0" w:oddVBand="0" w:evenVBand="0" w:oddHBand="0" w:evenHBand="0" w:firstRowFirstColumn="0" w:firstRowLastColumn="0" w:lastRowFirstColumn="0" w:lastRowLastColumn="0"/>
            </w:pPr>
            <w:r w:rsidRPr="005F68BF">
              <w:t>per cent</w:t>
            </w:r>
          </w:p>
        </w:tc>
        <w:tc>
          <w:tcPr>
            <w:tcW w:w="586" w:type="pct"/>
          </w:tcPr>
          <w:p w14:paraId="5492A263" w14:textId="77777777" w:rsidR="00DB5CB0" w:rsidRPr="005F68BF" w:rsidRDefault="00DB5CB0" w:rsidP="00DB1CB7">
            <w:pPr>
              <w:pStyle w:val="TableText"/>
              <w:cnfStyle w:val="000000000000" w:firstRow="0" w:lastRow="0" w:firstColumn="0" w:lastColumn="0" w:oddVBand="0" w:evenVBand="0" w:oddHBand="0" w:evenHBand="0" w:firstRowFirstColumn="0" w:firstRowLastColumn="0" w:lastRowFirstColumn="0" w:lastRowLastColumn="0"/>
            </w:pPr>
            <w:r w:rsidRPr="005F68BF">
              <w:t>100</w:t>
            </w:r>
          </w:p>
        </w:tc>
        <w:tc>
          <w:tcPr>
            <w:tcW w:w="564" w:type="pct"/>
          </w:tcPr>
          <w:p w14:paraId="186C8DA1" w14:textId="472A510B" w:rsidR="00DB5CB0" w:rsidRPr="005F68BF" w:rsidRDefault="00DB5CB0" w:rsidP="00DB1CB7">
            <w:pPr>
              <w:pStyle w:val="TableText"/>
              <w:cnfStyle w:val="000000000000" w:firstRow="0" w:lastRow="0" w:firstColumn="0" w:lastColumn="0" w:oddVBand="0" w:evenVBand="0" w:oddHBand="0" w:evenHBand="0" w:firstRowFirstColumn="0" w:firstRowLastColumn="0" w:lastRowFirstColumn="0" w:lastRowLastColumn="0"/>
            </w:pPr>
            <w:r>
              <w:t>80.2 (55,373 / 69,081)</w:t>
            </w:r>
          </w:p>
        </w:tc>
        <w:tc>
          <w:tcPr>
            <w:tcW w:w="803" w:type="pct"/>
          </w:tcPr>
          <w:p w14:paraId="17820EEA" w14:textId="5A490031" w:rsidR="00DB5CB0" w:rsidRPr="005F68BF" w:rsidRDefault="00DB5CB0" w:rsidP="00DB1CB7">
            <w:pPr>
              <w:pStyle w:val="TableText"/>
              <w:cnfStyle w:val="000000000000" w:firstRow="0" w:lastRow="0" w:firstColumn="0" w:lastColumn="0" w:oddVBand="0" w:evenVBand="0" w:oddHBand="0" w:evenHBand="0" w:firstRowFirstColumn="0" w:firstRowLastColumn="0" w:lastRowFirstColumn="0" w:lastRowLastColumn="0"/>
            </w:pPr>
            <w:r>
              <w:t>-19.8</w:t>
            </w:r>
          </w:p>
        </w:tc>
      </w:tr>
    </w:tbl>
    <w:p w14:paraId="69DFEADF" w14:textId="09C56A1C" w:rsidR="00DB5CB0" w:rsidRDefault="00DB5CB0" w:rsidP="00DB5CB0">
      <w:pPr>
        <w:pStyle w:val="BodyText"/>
      </w:pPr>
      <w:r>
        <w:t>The 2019-20 outcome deviates from the estimate primarily due to the impact of coronavirus. The Court’s operations were impacted with a significant number of cases adjourned due to the need to comply with the public health measures of physical distancing and reducing the number of people in court buildings. This has resulted in a decrease in finalisations.</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E051A7" w:rsidRPr="000D0CCB" w14:paraId="56F03805"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5DEC1724" w14:textId="77777777" w:rsidR="00E051A7" w:rsidRPr="000D0CCB" w:rsidRDefault="00E051A7" w:rsidP="001813B7">
            <w:pPr>
              <w:pStyle w:val="TableText"/>
            </w:pPr>
            <w:bookmarkStart w:id="83" w:name="ColumnTitle_10"/>
            <w:r w:rsidRPr="000D0CCB">
              <w:t>Performance measures</w:t>
            </w:r>
          </w:p>
        </w:tc>
        <w:tc>
          <w:tcPr>
            <w:tcW w:w="735" w:type="pct"/>
            <w:vAlign w:val="bottom"/>
          </w:tcPr>
          <w:p w14:paraId="4540A6CE" w14:textId="77777777"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Unit of measure</w:t>
            </w:r>
          </w:p>
        </w:tc>
        <w:tc>
          <w:tcPr>
            <w:tcW w:w="586" w:type="pct"/>
            <w:vAlign w:val="bottom"/>
          </w:tcPr>
          <w:p w14:paraId="5C4C07CC" w14:textId="03B674A5"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A4D6A">
              <w:t>9</w:t>
            </w:r>
            <w:r w:rsidRPr="000D0CCB">
              <w:t>-20 estimate</w:t>
            </w:r>
          </w:p>
        </w:tc>
        <w:tc>
          <w:tcPr>
            <w:tcW w:w="564" w:type="pct"/>
            <w:vAlign w:val="bottom"/>
          </w:tcPr>
          <w:p w14:paraId="6BD40A94" w14:textId="10714E7A"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A4D6A">
              <w:t>9</w:t>
            </w:r>
            <w:r w:rsidRPr="000D0CCB">
              <w:t>-</w:t>
            </w:r>
            <w:r w:rsidR="00DA4D6A">
              <w:t>20</w:t>
            </w:r>
            <w:r w:rsidRPr="000D0CCB">
              <w:t xml:space="preserve"> actual</w:t>
            </w:r>
          </w:p>
        </w:tc>
        <w:tc>
          <w:tcPr>
            <w:tcW w:w="803" w:type="pct"/>
            <w:vAlign w:val="bottom"/>
          </w:tcPr>
          <w:p w14:paraId="40A6B811" w14:textId="4F605A9C"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 xml:space="preserve">Performance </w:t>
            </w:r>
            <w:r w:rsidR="00DA4D6A">
              <w:t>v</w:t>
            </w:r>
            <w:r w:rsidRPr="000D0CCB">
              <w:t>ariation (%)</w:t>
            </w:r>
          </w:p>
        </w:tc>
      </w:tr>
      <w:bookmarkEnd w:id="83"/>
      <w:tr w:rsidR="00E051A7" w:rsidRPr="000D0CCB" w14:paraId="72C5359B" w14:textId="77777777" w:rsidTr="000D0CC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312" w:type="pct"/>
          </w:tcPr>
          <w:p w14:paraId="1FE14445" w14:textId="79373185" w:rsidR="00E051A7" w:rsidRPr="00741CBC" w:rsidRDefault="00E051A7" w:rsidP="00E051A7">
            <w:pPr>
              <w:pStyle w:val="TableText"/>
            </w:pPr>
            <w:r w:rsidRPr="00741CBC">
              <w:t xml:space="preserve">Case clearance rate – </w:t>
            </w:r>
            <w:r w:rsidRPr="00741CBC">
              <w:br/>
              <w:t xml:space="preserve">Family Division matters disposed </w:t>
            </w:r>
            <w:r w:rsidRPr="00741CBC">
              <w:br/>
              <w:t>in the Children’s</w:t>
            </w:r>
            <w:r w:rsidR="00D45E5B" w:rsidRPr="00741CBC">
              <w:t xml:space="preserve"> </w:t>
            </w:r>
            <w:r w:rsidRPr="00741CBC">
              <w:t>Court</w:t>
            </w:r>
          </w:p>
        </w:tc>
        <w:tc>
          <w:tcPr>
            <w:tcW w:w="735" w:type="pct"/>
          </w:tcPr>
          <w:p w14:paraId="2004CD75" w14:textId="77777777" w:rsidR="00E051A7" w:rsidRPr="00741CBC" w:rsidRDefault="00E051A7" w:rsidP="000D0CCB">
            <w:pPr>
              <w:pStyle w:val="TableText"/>
              <w:cnfStyle w:val="000000000000" w:firstRow="0" w:lastRow="0" w:firstColumn="0" w:lastColumn="0" w:oddVBand="0" w:evenVBand="0" w:oddHBand="0" w:evenHBand="0" w:firstRowFirstColumn="0" w:firstRowLastColumn="0" w:lastRowFirstColumn="0" w:lastRowLastColumn="0"/>
            </w:pPr>
            <w:r w:rsidRPr="00741CBC">
              <w:t>per cent</w:t>
            </w:r>
          </w:p>
        </w:tc>
        <w:tc>
          <w:tcPr>
            <w:tcW w:w="586" w:type="pct"/>
          </w:tcPr>
          <w:p w14:paraId="734AB26E" w14:textId="77777777" w:rsidR="00E051A7" w:rsidRPr="00741CBC" w:rsidRDefault="00E051A7" w:rsidP="000D0CCB">
            <w:pPr>
              <w:pStyle w:val="TableText"/>
              <w:cnfStyle w:val="000000000000" w:firstRow="0" w:lastRow="0" w:firstColumn="0" w:lastColumn="0" w:oddVBand="0" w:evenVBand="0" w:oddHBand="0" w:evenHBand="0" w:firstRowFirstColumn="0" w:firstRowLastColumn="0" w:lastRowFirstColumn="0" w:lastRowLastColumn="0"/>
            </w:pPr>
            <w:r w:rsidRPr="00741CBC">
              <w:t>100</w:t>
            </w:r>
          </w:p>
        </w:tc>
        <w:tc>
          <w:tcPr>
            <w:tcW w:w="564" w:type="pct"/>
          </w:tcPr>
          <w:p w14:paraId="13AC1741" w14:textId="291B2526" w:rsidR="00E051A7" w:rsidRPr="00741CBC" w:rsidRDefault="00DB5CB0" w:rsidP="000D0CCB">
            <w:pPr>
              <w:pStyle w:val="TableText"/>
              <w:cnfStyle w:val="000000000000" w:firstRow="0" w:lastRow="0" w:firstColumn="0" w:lastColumn="0" w:oddVBand="0" w:evenVBand="0" w:oddHBand="0" w:evenHBand="0" w:firstRowFirstColumn="0" w:firstRowLastColumn="0" w:lastRowFirstColumn="0" w:lastRowLastColumn="0"/>
            </w:pPr>
            <w:r w:rsidRPr="00741CBC">
              <w:t>87.7 (19,754 / 22,531)</w:t>
            </w:r>
          </w:p>
        </w:tc>
        <w:tc>
          <w:tcPr>
            <w:tcW w:w="803" w:type="pct"/>
          </w:tcPr>
          <w:p w14:paraId="4C04E4AA" w14:textId="46FA8CBD" w:rsidR="00E051A7" w:rsidRPr="000D0CCB" w:rsidRDefault="00DB5CB0" w:rsidP="000D0CCB">
            <w:pPr>
              <w:pStyle w:val="TableText"/>
              <w:cnfStyle w:val="000000000000" w:firstRow="0" w:lastRow="0" w:firstColumn="0" w:lastColumn="0" w:oddVBand="0" w:evenVBand="0" w:oddHBand="0" w:evenHBand="0" w:firstRowFirstColumn="0" w:firstRowLastColumn="0" w:lastRowFirstColumn="0" w:lastRowLastColumn="0"/>
            </w:pPr>
            <w:r w:rsidRPr="00741CBC">
              <w:t>-12.3</w:t>
            </w:r>
          </w:p>
        </w:tc>
      </w:tr>
    </w:tbl>
    <w:p w14:paraId="1907A5C2" w14:textId="6CCFBAD7" w:rsidR="00E051A7" w:rsidRPr="000D0CCB" w:rsidRDefault="00DB5CB0" w:rsidP="00E051A7">
      <w:pPr>
        <w:pStyle w:val="BodyText"/>
      </w:pPr>
      <w:r>
        <w:t>The 2019-20 outcome deviates from the estimate primarily due to the impact of coronavirus. Due to changes in the Court’s operations in response to COVID-19, the number of finalisations was less than originally forecast as a result of adjournments and delays in hearing cases.</w:t>
      </w:r>
    </w:p>
    <w:tbl>
      <w:tblPr>
        <w:tblStyle w:val="AccessibleTableNumerical"/>
        <w:tblW w:w="5000" w:type="pct"/>
        <w:tblLook w:val="04A0" w:firstRow="1" w:lastRow="0" w:firstColumn="1" w:lastColumn="0" w:noHBand="0" w:noVBand="1"/>
      </w:tblPr>
      <w:tblGrid>
        <w:gridCol w:w="4457"/>
        <w:gridCol w:w="1417"/>
        <w:gridCol w:w="1130"/>
        <w:gridCol w:w="1087"/>
        <w:gridCol w:w="1548"/>
      </w:tblGrid>
      <w:tr w:rsidR="00E051A7" w:rsidRPr="000D0CCB" w14:paraId="317C4513"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70FA3D8F" w14:textId="6C0AAD4D" w:rsidR="00E051A7" w:rsidRPr="000D0CCB" w:rsidRDefault="00E051A7" w:rsidP="00E051A7">
            <w:pPr>
              <w:pStyle w:val="TableText"/>
            </w:pPr>
            <w:bookmarkStart w:id="84" w:name="ColumnTitle_11"/>
            <w:r w:rsidRPr="000D0CCB">
              <w:t>Performance measures</w:t>
            </w:r>
          </w:p>
        </w:tc>
        <w:tc>
          <w:tcPr>
            <w:tcW w:w="735" w:type="pct"/>
            <w:vAlign w:val="bottom"/>
          </w:tcPr>
          <w:p w14:paraId="4B189940" w14:textId="70A75E01"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Unit of measure</w:t>
            </w:r>
          </w:p>
        </w:tc>
        <w:tc>
          <w:tcPr>
            <w:tcW w:w="586" w:type="pct"/>
            <w:vAlign w:val="bottom"/>
          </w:tcPr>
          <w:p w14:paraId="09BC014C" w14:textId="1ABB35AA"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B5CB0">
              <w:t>9</w:t>
            </w:r>
            <w:r w:rsidRPr="000D0CCB">
              <w:t>-20 estimate</w:t>
            </w:r>
          </w:p>
        </w:tc>
        <w:tc>
          <w:tcPr>
            <w:tcW w:w="564" w:type="pct"/>
            <w:vAlign w:val="bottom"/>
          </w:tcPr>
          <w:p w14:paraId="0C8A7A4F" w14:textId="24172A0A"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B5CB0">
              <w:t>9</w:t>
            </w:r>
            <w:r w:rsidRPr="000D0CCB">
              <w:t>-</w:t>
            </w:r>
            <w:r w:rsidR="00DB5CB0">
              <w:t>20</w:t>
            </w:r>
            <w:r w:rsidRPr="000D0CCB">
              <w:t xml:space="preserve"> actual</w:t>
            </w:r>
          </w:p>
        </w:tc>
        <w:tc>
          <w:tcPr>
            <w:tcW w:w="803" w:type="pct"/>
            <w:vAlign w:val="bottom"/>
          </w:tcPr>
          <w:p w14:paraId="3782D6EE" w14:textId="5295B27B"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 xml:space="preserve">Performance </w:t>
            </w:r>
            <w:r w:rsidR="00DB5CB0">
              <w:t>v</w:t>
            </w:r>
            <w:r w:rsidRPr="000D0CCB">
              <w:t>ariation (%)</w:t>
            </w:r>
          </w:p>
        </w:tc>
      </w:tr>
      <w:bookmarkEnd w:id="84"/>
      <w:tr w:rsidR="00E051A7" w:rsidRPr="000D0CCB" w14:paraId="434B7E78" w14:textId="77777777" w:rsidTr="00E051A7">
        <w:tc>
          <w:tcPr>
            <w:cnfStyle w:val="001000000000" w:firstRow="0" w:lastRow="0" w:firstColumn="1" w:lastColumn="0" w:oddVBand="0" w:evenVBand="0" w:oddHBand="0" w:evenHBand="0" w:firstRowFirstColumn="0" w:firstRowLastColumn="0" w:lastRowFirstColumn="0" w:lastRowLastColumn="0"/>
            <w:tcW w:w="2312" w:type="pct"/>
          </w:tcPr>
          <w:p w14:paraId="0ED4D77C" w14:textId="1C3A436E" w:rsidR="00E051A7" w:rsidRPr="000D0CCB" w:rsidRDefault="00E051A7" w:rsidP="00E051A7">
            <w:pPr>
              <w:pStyle w:val="TableText"/>
            </w:pPr>
            <w:r w:rsidRPr="000D0CCB">
              <w:t xml:space="preserve">Case clearance rate – </w:t>
            </w:r>
            <w:r w:rsidRPr="000D0CCB">
              <w:br/>
              <w:t xml:space="preserve">Civil matters disposed in </w:t>
            </w:r>
            <w:r w:rsidR="00A10DBB">
              <w:t>Victorian Civil and Administrative Tribunal</w:t>
            </w:r>
          </w:p>
        </w:tc>
        <w:tc>
          <w:tcPr>
            <w:tcW w:w="735" w:type="pct"/>
          </w:tcPr>
          <w:p w14:paraId="165B5EE2" w14:textId="77BBC80F" w:rsidR="00E051A7" w:rsidRPr="000D0CCB" w:rsidRDefault="00E051A7" w:rsidP="00E051A7">
            <w:pPr>
              <w:pStyle w:val="TableText"/>
              <w:cnfStyle w:val="000000000000" w:firstRow="0" w:lastRow="0" w:firstColumn="0" w:lastColumn="0" w:oddVBand="0" w:evenVBand="0" w:oddHBand="0" w:evenHBand="0" w:firstRowFirstColumn="0" w:firstRowLastColumn="0" w:lastRowFirstColumn="0" w:lastRowLastColumn="0"/>
            </w:pPr>
            <w:r w:rsidRPr="000D0CCB">
              <w:t>per cent</w:t>
            </w:r>
          </w:p>
        </w:tc>
        <w:tc>
          <w:tcPr>
            <w:tcW w:w="586" w:type="pct"/>
          </w:tcPr>
          <w:p w14:paraId="4A53BC5F" w14:textId="79F6DA29" w:rsidR="00E051A7" w:rsidRPr="000D0CCB" w:rsidRDefault="00E051A7" w:rsidP="00E051A7">
            <w:pPr>
              <w:pStyle w:val="TableText"/>
              <w:cnfStyle w:val="000000000000" w:firstRow="0" w:lastRow="0" w:firstColumn="0" w:lastColumn="0" w:oddVBand="0" w:evenVBand="0" w:oddHBand="0" w:evenHBand="0" w:firstRowFirstColumn="0" w:firstRowLastColumn="0" w:lastRowFirstColumn="0" w:lastRowLastColumn="0"/>
            </w:pPr>
            <w:r w:rsidRPr="000D0CCB">
              <w:t>100</w:t>
            </w:r>
          </w:p>
        </w:tc>
        <w:tc>
          <w:tcPr>
            <w:tcW w:w="564" w:type="pct"/>
          </w:tcPr>
          <w:p w14:paraId="096E722A" w14:textId="267BBB5A" w:rsidR="00E051A7" w:rsidRPr="000D0CCB" w:rsidRDefault="00DB5CB0" w:rsidP="00E051A7">
            <w:pPr>
              <w:pStyle w:val="TableText"/>
              <w:cnfStyle w:val="000000000000" w:firstRow="0" w:lastRow="0" w:firstColumn="0" w:lastColumn="0" w:oddVBand="0" w:evenVBand="0" w:oddHBand="0" w:evenHBand="0" w:firstRowFirstColumn="0" w:firstRowLastColumn="0" w:lastRowFirstColumn="0" w:lastRowLastColumn="0"/>
            </w:pPr>
            <w:r>
              <w:t>94.8 (76,245 / 80,423)</w:t>
            </w:r>
          </w:p>
        </w:tc>
        <w:tc>
          <w:tcPr>
            <w:tcW w:w="803" w:type="pct"/>
          </w:tcPr>
          <w:p w14:paraId="6D1E6D14" w14:textId="040A66EA" w:rsidR="00E051A7" w:rsidRPr="000D0CCB" w:rsidRDefault="00DB5CB0" w:rsidP="00E051A7">
            <w:pPr>
              <w:pStyle w:val="TableText"/>
              <w:cnfStyle w:val="000000000000" w:firstRow="0" w:lastRow="0" w:firstColumn="0" w:lastColumn="0" w:oddVBand="0" w:evenVBand="0" w:oddHBand="0" w:evenHBand="0" w:firstRowFirstColumn="0" w:firstRowLastColumn="0" w:lastRowFirstColumn="0" w:lastRowLastColumn="0"/>
            </w:pPr>
            <w:r>
              <w:t>-5.2</w:t>
            </w:r>
          </w:p>
        </w:tc>
      </w:tr>
    </w:tbl>
    <w:p w14:paraId="24126717" w14:textId="03B2FD31" w:rsidR="00E051A7" w:rsidRPr="000D0CCB" w:rsidRDefault="00DB5CB0" w:rsidP="00E051A7">
      <w:pPr>
        <w:pStyle w:val="BodyText"/>
      </w:pPr>
      <w:r>
        <w:t>The 2019-20 outcome deviates from the estimate primarily due to the impact of coronavirus. The Tribunal’s operations were impacted with a significant number of cases unable to be heard.</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E051A7" w:rsidRPr="000D0CCB" w14:paraId="565E1EE9"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6CA361C2" w14:textId="12A9D062" w:rsidR="00E051A7" w:rsidRPr="000D0CCB" w:rsidRDefault="00E051A7" w:rsidP="00E051A7">
            <w:pPr>
              <w:pStyle w:val="TableText"/>
            </w:pPr>
            <w:bookmarkStart w:id="85" w:name="ColumnTitle_12"/>
            <w:r w:rsidRPr="000D0CCB">
              <w:t>Performance measures</w:t>
            </w:r>
          </w:p>
        </w:tc>
        <w:tc>
          <w:tcPr>
            <w:tcW w:w="735" w:type="pct"/>
            <w:vAlign w:val="bottom"/>
          </w:tcPr>
          <w:p w14:paraId="52EA4D21" w14:textId="3D05FC01"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Unit of measure</w:t>
            </w:r>
          </w:p>
        </w:tc>
        <w:tc>
          <w:tcPr>
            <w:tcW w:w="586" w:type="pct"/>
            <w:vAlign w:val="bottom"/>
          </w:tcPr>
          <w:p w14:paraId="019DDC5C" w14:textId="5AF5F5E0"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B1CB7">
              <w:t>9</w:t>
            </w:r>
            <w:r w:rsidRPr="000D0CCB">
              <w:t>-20 estimate</w:t>
            </w:r>
          </w:p>
        </w:tc>
        <w:tc>
          <w:tcPr>
            <w:tcW w:w="564" w:type="pct"/>
            <w:vAlign w:val="bottom"/>
          </w:tcPr>
          <w:p w14:paraId="201B6215" w14:textId="70E03C01"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201</w:t>
            </w:r>
            <w:r w:rsidR="00DB1CB7">
              <w:t>9</w:t>
            </w:r>
            <w:r w:rsidRPr="000D0CCB">
              <w:t>-</w:t>
            </w:r>
            <w:r w:rsidR="00DB1CB7">
              <w:t>20</w:t>
            </w:r>
            <w:r w:rsidRPr="000D0CCB">
              <w:t xml:space="preserve"> actual</w:t>
            </w:r>
          </w:p>
        </w:tc>
        <w:tc>
          <w:tcPr>
            <w:tcW w:w="803" w:type="pct"/>
            <w:vAlign w:val="bottom"/>
          </w:tcPr>
          <w:p w14:paraId="558E7CFF" w14:textId="4F39A0D7" w:rsidR="00E051A7" w:rsidRPr="000D0CCB"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0D0CCB">
              <w:t xml:space="preserve">Performance </w:t>
            </w:r>
            <w:r w:rsidR="00DB1CB7">
              <w:t>v</w:t>
            </w:r>
            <w:r w:rsidRPr="000D0CCB">
              <w:t>ariation (%)</w:t>
            </w:r>
          </w:p>
        </w:tc>
      </w:tr>
      <w:bookmarkEnd w:id="85"/>
      <w:tr w:rsidR="00E051A7" w:rsidRPr="00741CBC" w14:paraId="6F898CF8" w14:textId="77777777" w:rsidTr="00E051A7">
        <w:tc>
          <w:tcPr>
            <w:cnfStyle w:val="001000000000" w:firstRow="0" w:lastRow="0" w:firstColumn="1" w:lastColumn="0" w:oddVBand="0" w:evenVBand="0" w:oddHBand="0" w:evenHBand="0" w:firstRowFirstColumn="0" w:firstRowLastColumn="0" w:lastRowFirstColumn="0" w:lastRowLastColumn="0"/>
            <w:tcW w:w="2312" w:type="pct"/>
          </w:tcPr>
          <w:p w14:paraId="30811082" w14:textId="51474D95" w:rsidR="00E051A7" w:rsidRPr="00741CBC" w:rsidRDefault="00E051A7" w:rsidP="000D0CCB">
            <w:pPr>
              <w:pStyle w:val="TableText"/>
            </w:pPr>
            <w:r w:rsidRPr="00741CBC">
              <w:t xml:space="preserve">Case clearance rate – </w:t>
            </w:r>
            <w:r w:rsidRPr="00741CBC">
              <w:br/>
            </w:r>
            <w:r w:rsidR="00DB1CB7" w:rsidRPr="00741CBC">
              <w:t>Coronial</w:t>
            </w:r>
            <w:r w:rsidRPr="00741CBC">
              <w:t xml:space="preserve"> matters disposed </w:t>
            </w:r>
            <w:r w:rsidR="00DB1CB7" w:rsidRPr="00741CBC">
              <w:br/>
            </w:r>
            <w:r w:rsidRPr="00741CBC">
              <w:t xml:space="preserve">in </w:t>
            </w:r>
            <w:r w:rsidR="00DB1CB7" w:rsidRPr="00741CBC">
              <w:t>the Coroners Court</w:t>
            </w:r>
          </w:p>
        </w:tc>
        <w:tc>
          <w:tcPr>
            <w:tcW w:w="735" w:type="pct"/>
          </w:tcPr>
          <w:p w14:paraId="626321B1" w14:textId="00D46FC7" w:rsidR="00E051A7" w:rsidRPr="00741CBC" w:rsidRDefault="00E051A7" w:rsidP="00E051A7">
            <w:pPr>
              <w:pStyle w:val="TableText"/>
              <w:cnfStyle w:val="000000000000" w:firstRow="0" w:lastRow="0" w:firstColumn="0" w:lastColumn="0" w:oddVBand="0" w:evenVBand="0" w:oddHBand="0" w:evenHBand="0" w:firstRowFirstColumn="0" w:firstRowLastColumn="0" w:lastRowFirstColumn="0" w:lastRowLastColumn="0"/>
            </w:pPr>
            <w:r w:rsidRPr="00741CBC">
              <w:t>per cent</w:t>
            </w:r>
          </w:p>
        </w:tc>
        <w:tc>
          <w:tcPr>
            <w:tcW w:w="586" w:type="pct"/>
          </w:tcPr>
          <w:p w14:paraId="101074AC" w14:textId="70D0C4E9" w:rsidR="00E051A7" w:rsidRPr="00741CBC" w:rsidRDefault="00E051A7" w:rsidP="00E051A7">
            <w:pPr>
              <w:pStyle w:val="TableText"/>
              <w:cnfStyle w:val="000000000000" w:firstRow="0" w:lastRow="0" w:firstColumn="0" w:lastColumn="0" w:oddVBand="0" w:evenVBand="0" w:oddHBand="0" w:evenHBand="0" w:firstRowFirstColumn="0" w:firstRowLastColumn="0" w:lastRowFirstColumn="0" w:lastRowLastColumn="0"/>
            </w:pPr>
            <w:r w:rsidRPr="00741CBC">
              <w:t>100</w:t>
            </w:r>
          </w:p>
        </w:tc>
        <w:tc>
          <w:tcPr>
            <w:tcW w:w="564" w:type="pct"/>
          </w:tcPr>
          <w:p w14:paraId="62589724" w14:textId="4310EBF3" w:rsidR="00E051A7" w:rsidRPr="00741CBC" w:rsidRDefault="00DB1CB7" w:rsidP="00E051A7">
            <w:pPr>
              <w:pStyle w:val="TableText"/>
              <w:cnfStyle w:val="000000000000" w:firstRow="0" w:lastRow="0" w:firstColumn="0" w:lastColumn="0" w:oddVBand="0" w:evenVBand="0" w:oddHBand="0" w:evenHBand="0" w:firstRowFirstColumn="0" w:firstRowLastColumn="0" w:lastRowFirstColumn="0" w:lastRowLastColumn="0"/>
            </w:pPr>
            <w:r w:rsidRPr="00741CBC">
              <w:t>93.0</w:t>
            </w:r>
            <w:r w:rsidRPr="00741CBC">
              <w:br/>
              <w:t xml:space="preserve">(6,841 </w:t>
            </w:r>
            <w:proofErr w:type="gramStart"/>
            <w:r w:rsidRPr="00741CBC">
              <w:t>/  7,323</w:t>
            </w:r>
            <w:proofErr w:type="gramEnd"/>
            <w:r w:rsidRPr="00741CBC">
              <w:t>)</w:t>
            </w:r>
          </w:p>
        </w:tc>
        <w:tc>
          <w:tcPr>
            <w:tcW w:w="803" w:type="pct"/>
          </w:tcPr>
          <w:p w14:paraId="7BAB23CE" w14:textId="0CB506D9" w:rsidR="00E051A7" w:rsidRPr="00741CBC" w:rsidRDefault="00DB1CB7" w:rsidP="00E051A7">
            <w:pPr>
              <w:pStyle w:val="TableText"/>
              <w:cnfStyle w:val="000000000000" w:firstRow="0" w:lastRow="0" w:firstColumn="0" w:lastColumn="0" w:oddVBand="0" w:evenVBand="0" w:oddHBand="0" w:evenHBand="0" w:firstRowFirstColumn="0" w:firstRowLastColumn="0" w:lastRowFirstColumn="0" w:lastRowLastColumn="0"/>
            </w:pPr>
            <w:r w:rsidRPr="00741CBC">
              <w:t>-6.6</w:t>
            </w:r>
          </w:p>
        </w:tc>
      </w:tr>
    </w:tbl>
    <w:p w14:paraId="411F7F29" w14:textId="02041B2D" w:rsidR="00E051A7" w:rsidRPr="00741CBC" w:rsidRDefault="00DB1CB7" w:rsidP="00E051A7">
      <w:pPr>
        <w:pStyle w:val="BodyText"/>
      </w:pPr>
      <w:r w:rsidRPr="00741CBC">
        <w:t>The 2019-20 outcome deviates from the estimate. Although the case clearance rate increased in 2019-20 compared to 2018-19, it was impacted by a rising number of new cases.</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E051A7" w:rsidRPr="00E051A7" w14:paraId="4E553606"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30DE13B4" w14:textId="205FB1ED" w:rsidR="00E051A7" w:rsidRPr="00741CBC" w:rsidRDefault="00E051A7" w:rsidP="001D5865">
            <w:pPr>
              <w:pStyle w:val="TableText"/>
            </w:pPr>
            <w:bookmarkStart w:id="86" w:name="ColumnTitle_13"/>
            <w:r w:rsidRPr="00741CBC">
              <w:t>Performance measures</w:t>
            </w:r>
          </w:p>
        </w:tc>
        <w:tc>
          <w:tcPr>
            <w:tcW w:w="735" w:type="pct"/>
            <w:vAlign w:val="bottom"/>
          </w:tcPr>
          <w:p w14:paraId="52A6B38F" w14:textId="477CA096" w:rsidR="00E051A7" w:rsidRPr="00741CBC"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741CBC">
              <w:t>Unit of measure</w:t>
            </w:r>
          </w:p>
        </w:tc>
        <w:tc>
          <w:tcPr>
            <w:tcW w:w="586" w:type="pct"/>
            <w:vAlign w:val="bottom"/>
          </w:tcPr>
          <w:p w14:paraId="6043669D" w14:textId="081B00ED" w:rsidR="00E051A7" w:rsidRPr="00741CBC"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741CBC">
              <w:t>201</w:t>
            </w:r>
            <w:r w:rsidR="00DB1CB7" w:rsidRPr="00741CBC">
              <w:t>9</w:t>
            </w:r>
            <w:r w:rsidRPr="00741CBC">
              <w:t>-20 estimate</w:t>
            </w:r>
          </w:p>
        </w:tc>
        <w:tc>
          <w:tcPr>
            <w:tcW w:w="564" w:type="pct"/>
            <w:vAlign w:val="bottom"/>
          </w:tcPr>
          <w:p w14:paraId="14C483EF" w14:textId="7214D1D7" w:rsidR="00E051A7" w:rsidRPr="00741CBC"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741CBC">
              <w:t>201</w:t>
            </w:r>
            <w:r w:rsidR="00DB1CB7" w:rsidRPr="00741CBC">
              <w:t>9</w:t>
            </w:r>
            <w:r w:rsidRPr="00741CBC">
              <w:t>-</w:t>
            </w:r>
            <w:r w:rsidR="00DB1CB7" w:rsidRPr="00741CBC">
              <w:t>20</w:t>
            </w:r>
            <w:r w:rsidRPr="00741CBC">
              <w:t xml:space="preserve"> actual</w:t>
            </w:r>
          </w:p>
        </w:tc>
        <w:tc>
          <w:tcPr>
            <w:tcW w:w="803" w:type="pct"/>
            <w:vAlign w:val="bottom"/>
          </w:tcPr>
          <w:p w14:paraId="520614B5" w14:textId="11023372" w:rsidR="00E051A7" w:rsidRPr="001D5865" w:rsidRDefault="00E051A7" w:rsidP="004247E0">
            <w:pPr>
              <w:pStyle w:val="TableText"/>
              <w:cnfStyle w:val="100000000000" w:firstRow="1" w:lastRow="0" w:firstColumn="0" w:lastColumn="0" w:oddVBand="0" w:evenVBand="0" w:oddHBand="0" w:evenHBand="0" w:firstRowFirstColumn="0" w:firstRowLastColumn="0" w:lastRowFirstColumn="0" w:lastRowLastColumn="0"/>
            </w:pPr>
            <w:r w:rsidRPr="00741CBC">
              <w:t xml:space="preserve">Performance </w:t>
            </w:r>
            <w:r w:rsidR="00DB1CB7" w:rsidRPr="00741CBC">
              <w:t>v</w:t>
            </w:r>
            <w:r w:rsidRPr="00741CBC">
              <w:t>ariation (%)</w:t>
            </w:r>
          </w:p>
        </w:tc>
      </w:tr>
      <w:bookmarkEnd w:id="86"/>
      <w:tr w:rsidR="00E051A7" w:rsidRPr="00E051A7" w14:paraId="24F9BC7E" w14:textId="77777777" w:rsidTr="001D5865">
        <w:tc>
          <w:tcPr>
            <w:cnfStyle w:val="001000000000" w:firstRow="0" w:lastRow="0" w:firstColumn="1" w:lastColumn="0" w:oddVBand="0" w:evenVBand="0" w:oddHBand="0" w:evenHBand="0" w:firstRowFirstColumn="0" w:firstRowLastColumn="0" w:lastRowFirstColumn="0" w:lastRowLastColumn="0"/>
            <w:tcW w:w="2312" w:type="pct"/>
          </w:tcPr>
          <w:p w14:paraId="36066EF4" w14:textId="16741C90" w:rsidR="00E051A7" w:rsidRPr="000D0CCB" w:rsidRDefault="00E051A7" w:rsidP="000D0CCB">
            <w:pPr>
              <w:pStyle w:val="TableText"/>
            </w:pPr>
            <w:r w:rsidRPr="000D0CCB">
              <w:t xml:space="preserve">Case clearance </w:t>
            </w:r>
            <w:r w:rsidRPr="00741CBC">
              <w:t>rate –</w:t>
            </w:r>
            <w:r w:rsidRPr="000D0CCB">
              <w:t xml:space="preserve"> </w:t>
            </w:r>
            <w:r w:rsidRPr="000D0CCB">
              <w:br/>
            </w:r>
            <w:r w:rsidR="00DB1CB7">
              <w:t>Family violence intervention orders disposed in the Magistrates’ and Children’s Courts</w:t>
            </w:r>
          </w:p>
        </w:tc>
        <w:tc>
          <w:tcPr>
            <w:tcW w:w="735" w:type="pct"/>
          </w:tcPr>
          <w:p w14:paraId="2FDB5A43" w14:textId="5849FABC"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0D228B18" w14:textId="0983DA5A"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100</w:t>
            </w:r>
          </w:p>
        </w:tc>
        <w:tc>
          <w:tcPr>
            <w:tcW w:w="564" w:type="pct"/>
          </w:tcPr>
          <w:p w14:paraId="013EC787" w14:textId="5216A60D" w:rsidR="00E051A7" w:rsidRPr="001D5865" w:rsidRDefault="00DB1CB7" w:rsidP="001D5865">
            <w:pPr>
              <w:pStyle w:val="TableText"/>
              <w:cnfStyle w:val="000000000000" w:firstRow="0" w:lastRow="0" w:firstColumn="0" w:lastColumn="0" w:oddVBand="0" w:evenVBand="0" w:oddHBand="0" w:evenHBand="0" w:firstRowFirstColumn="0" w:firstRowLastColumn="0" w:lastRowFirstColumn="0" w:lastRowLastColumn="0"/>
            </w:pPr>
            <w:r>
              <w:t>79.9 (34,801 / 43,566)</w:t>
            </w:r>
          </w:p>
        </w:tc>
        <w:tc>
          <w:tcPr>
            <w:tcW w:w="803" w:type="pct"/>
          </w:tcPr>
          <w:p w14:paraId="6079352C" w14:textId="12179B16" w:rsidR="00E051A7" w:rsidRPr="001D5865" w:rsidRDefault="00DB1CB7" w:rsidP="001D5865">
            <w:pPr>
              <w:pStyle w:val="TableText"/>
              <w:cnfStyle w:val="000000000000" w:firstRow="0" w:lastRow="0" w:firstColumn="0" w:lastColumn="0" w:oddVBand="0" w:evenVBand="0" w:oddHBand="0" w:evenHBand="0" w:firstRowFirstColumn="0" w:firstRowLastColumn="0" w:lastRowFirstColumn="0" w:lastRowLastColumn="0"/>
            </w:pPr>
            <w:r>
              <w:t>-20.1</w:t>
            </w:r>
          </w:p>
        </w:tc>
      </w:tr>
    </w:tbl>
    <w:p w14:paraId="132FFA5D" w14:textId="7041B134" w:rsidR="00DB1CB7" w:rsidRDefault="00DB1CB7" w:rsidP="00DB1CB7">
      <w:pPr>
        <w:pStyle w:val="BodyText"/>
      </w:pPr>
      <w:r>
        <w:t>The 2019-20 outcome deviates from the estimate primarily due to the impact of coronavirus. The operations of the Magistrates’ and Children’s Courts were impacted due to the need to comply with the public health measures of physical distancing and reducing the number of people in court buildings. This resulted in a decrease in finalisations. However, it is important to note that while the case clearance rate was lower than forecast, the Courts have prioritised matters where affected family members require immediate protection via an interim intervention order or warrant.</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DB1CB7" w:rsidRPr="00E051A7" w14:paraId="5541A3CD" w14:textId="77777777" w:rsidTr="00424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1736E5D7" w14:textId="77777777" w:rsidR="00DB1CB7" w:rsidRPr="001D5865" w:rsidRDefault="00DB1CB7" w:rsidP="00DB1CB7">
            <w:pPr>
              <w:pStyle w:val="TableText"/>
            </w:pPr>
            <w:r w:rsidRPr="001D5865">
              <w:t>Performance measures</w:t>
            </w:r>
          </w:p>
        </w:tc>
        <w:tc>
          <w:tcPr>
            <w:tcW w:w="735" w:type="pct"/>
            <w:vAlign w:val="bottom"/>
          </w:tcPr>
          <w:p w14:paraId="301C21C1" w14:textId="77777777" w:rsidR="00DB1CB7" w:rsidRPr="001D5865" w:rsidRDefault="00DB1CB7" w:rsidP="004247E0">
            <w:pPr>
              <w:pStyle w:val="TableText"/>
              <w:cnfStyle w:val="100000000000" w:firstRow="1" w:lastRow="0" w:firstColumn="0" w:lastColumn="0" w:oddVBand="0" w:evenVBand="0" w:oddHBand="0" w:evenHBand="0" w:firstRowFirstColumn="0" w:firstRowLastColumn="0" w:lastRowFirstColumn="0" w:lastRowLastColumn="0"/>
            </w:pPr>
            <w:r w:rsidRPr="001D5865">
              <w:t>Unit of measure</w:t>
            </w:r>
          </w:p>
        </w:tc>
        <w:tc>
          <w:tcPr>
            <w:tcW w:w="586" w:type="pct"/>
            <w:vAlign w:val="bottom"/>
          </w:tcPr>
          <w:p w14:paraId="4247A8E1" w14:textId="77777777" w:rsidR="00DB1CB7" w:rsidRPr="001D5865" w:rsidRDefault="00DB1CB7" w:rsidP="004247E0">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-20 estimate</w:t>
            </w:r>
          </w:p>
        </w:tc>
        <w:tc>
          <w:tcPr>
            <w:tcW w:w="564" w:type="pct"/>
            <w:vAlign w:val="bottom"/>
          </w:tcPr>
          <w:p w14:paraId="52268951" w14:textId="77777777" w:rsidR="00DB1CB7" w:rsidRPr="001D5865" w:rsidRDefault="00DB1CB7" w:rsidP="004247E0">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w:t>
            </w:r>
            <w:r>
              <w:t>20</w:t>
            </w:r>
            <w:r w:rsidRPr="001D5865">
              <w:t xml:space="preserve"> actual</w:t>
            </w:r>
          </w:p>
        </w:tc>
        <w:tc>
          <w:tcPr>
            <w:tcW w:w="803" w:type="pct"/>
            <w:vAlign w:val="bottom"/>
          </w:tcPr>
          <w:p w14:paraId="2B6ED081" w14:textId="77777777" w:rsidR="00DB1CB7" w:rsidRPr="001D5865" w:rsidRDefault="00DB1CB7" w:rsidP="004247E0">
            <w:pPr>
              <w:pStyle w:val="TableText"/>
              <w:cnfStyle w:val="100000000000" w:firstRow="1" w:lastRow="0" w:firstColumn="0" w:lastColumn="0" w:oddVBand="0" w:evenVBand="0" w:oddHBand="0" w:evenHBand="0" w:firstRowFirstColumn="0" w:firstRowLastColumn="0" w:lastRowFirstColumn="0" w:lastRowLastColumn="0"/>
            </w:pPr>
            <w:r w:rsidRPr="001D5865">
              <w:t xml:space="preserve">Performance </w:t>
            </w:r>
            <w:r>
              <w:t>v</w:t>
            </w:r>
            <w:r w:rsidRPr="001D5865">
              <w:t>ariation (%)</w:t>
            </w:r>
          </w:p>
        </w:tc>
      </w:tr>
      <w:tr w:rsidR="00DB1CB7" w:rsidRPr="00E051A7" w14:paraId="41E1DA44" w14:textId="77777777" w:rsidTr="00DB1CB7">
        <w:tc>
          <w:tcPr>
            <w:cnfStyle w:val="001000000000" w:firstRow="0" w:lastRow="0" w:firstColumn="1" w:lastColumn="0" w:oddVBand="0" w:evenVBand="0" w:oddHBand="0" w:evenHBand="0" w:firstRowFirstColumn="0" w:firstRowLastColumn="0" w:lastRowFirstColumn="0" w:lastRowLastColumn="0"/>
            <w:tcW w:w="2312" w:type="pct"/>
          </w:tcPr>
          <w:p w14:paraId="5235DF7D" w14:textId="1B3B94AA" w:rsidR="00DB1CB7" w:rsidRPr="000D0CCB" w:rsidRDefault="00DB1CB7" w:rsidP="00DB1CB7">
            <w:pPr>
              <w:pStyle w:val="TableText"/>
            </w:pPr>
            <w:r w:rsidRPr="000D0CCB">
              <w:t xml:space="preserve">Case clearance </w:t>
            </w:r>
            <w:r w:rsidRPr="00DB1CB7">
              <w:t>rate –</w:t>
            </w:r>
            <w:r w:rsidRPr="000D0CCB">
              <w:t xml:space="preserve"> </w:t>
            </w:r>
            <w:r w:rsidRPr="000D0CCB">
              <w:br/>
            </w:r>
            <w:r>
              <w:t xml:space="preserve">Criminal matters disposed </w:t>
            </w:r>
            <w:r>
              <w:br/>
              <w:t>in the Supreme Court</w:t>
            </w:r>
          </w:p>
        </w:tc>
        <w:tc>
          <w:tcPr>
            <w:tcW w:w="735" w:type="pct"/>
          </w:tcPr>
          <w:p w14:paraId="77CBAD73" w14:textId="77777777" w:rsidR="00DB1CB7" w:rsidRPr="001D5865" w:rsidRDefault="00DB1CB7" w:rsidP="00DB1CB7">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5BCA1C52" w14:textId="77777777" w:rsidR="00DB1CB7" w:rsidRPr="001D5865" w:rsidRDefault="00DB1CB7" w:rsidP="00DB1CB7">
            <w:pPr>
              <w:pStyle w:val="TableText"/>
              <w:cnfStyle w:val="000000000000" w:firstRow="0" w:lastRow="0" w:firstColumn="0" w:lastColumn="0" w:oddVBand="0" w:evenVBand="0" w:oddHBand="0" w:evenHBand="0" w:firstRowFirstColumn="0" w:firstRowLastColumn="0" w:lastRowFirstColumn="0" w:lastRowLastColumn="0"/>
            </w:pPr>
            <w:r w:rsidRPr="001D5865">
              <w:t>100</w:t>
            </w:r>
          </w:p>
        </w:tc>
        <w:tc>
          <w:tcPr>
            <w:tcW w:w="564" w:type="pct"/>
          </w:tcPr>
          <w:p w14:paraId="73AD6641" w14:textId="390317BA" w:rsidR="00DB1CB7" w:rsidRPr="001D5865" w:rsidRDefault="00DB1CB7" w:rsidP="00DB1CB7">
            <w:pPr>
              <w:pStyle w:val="TableText"/>
              <w:cnfStyle w:val="000000000000" w:firstRow="0" w:lastRow="0" w:firstColumn="0" w:lastColumn="0" w:oddVBand="0" w:evenVBand="0" w:oddHBand="0" w:evenHBand="0" w:firstRowFirstColumn="0" w:firstRowLastColumn="0" w:lastRowFirstColumn="0" w:lastRowLastColumn="0"/>
            </w:pPr>
            <w:r>
              <w:t>104.4</w:t>
            </w:r>
            <w:r>
              <w:br/>
              <w:t xml:space="preserve">(588 / </w:t>
            </w:r>
            <w:r>
              <w:br/>
              <w:t>563)</w:t>
            </w:r>
          </w:p>
        </w:tc>
        <w:tc>
          <w:tcPr>
            <w:tcW w:w="803" w:type="pct"/>
          </w:tcPr>
          <w:p w14:paraId="5E38BE1A" w14:textId="5C819865" w:rsidR="00DB1CB7" w:rsidRPr="001D5865" w:rsidRDefault="00DB1CB7" w:rsidP="00DB1CB7">
            <w:pPr>
              <w:pStyle w:val="TableText"/>
              <w:cnfStyle w:val="000000000000" w:firstRow="0" w:lastRow="0" w:firstColumn="0" w:lastColumn="0" w:oddVBand="0" w:evenVBand="0" w:oddHBand="0" w:evenHBand="0" w:firstRowFirstColumn="0" w:firstRowLastColumn="0" w:lastRowFirstColumn="0" w:lastRowLastColumn="0"/>
            </w:pPr>
            <w:r>
              <w:t>4.4</w:t>
            </w:r>
          </w:p>
        </w:tc>
      </w:tr>
      <w:tr w:rsidR="00DB1CB7" w:rsidRPr="00E051A7" w14:paraId="5CE42784" w14:textId="77777777" w:rsidTr="00DB1CB7">
        <w:tc>
          <w:tcPr>
            <w:cnfStyle w:val="001000000000" w:firstRow="0" w:lastRow="0" w:firstColumn="1" w:lastColumn="0" w:oddVBand="0" w:evenVBand="0" w:oddHBand="0" w:evenHBand="0" w:firstRowFirstColumn="0" w:firstRowLastColumn="0" w:lastRowFirstColumn="0" w:lastRowLastColumn="0"/>
            <w:tcW w:w="2312" w:type="pct"/>
          </w:tcPr>
          <w:p w14:paraId="54E8812B" w14:textId="7DEC42B9" w:rsidR="00DB1CB7" w:rsidRPr="000D0CCB" w:rsidRDefault="00DB1CB7" w:rsidP="00DB1CB7">
            <w:pPr>
              <w:pStyle w:val="TableText"/>
            </w:pPr>
            <w:r>
              <w:t xml:space="preserve">Case clearance rate </w:t>
            </w:r>
            <w:r w:rsidRPr="00DB1CB7">
              <w:t>–</w:t>
            </w:r>
            <w:r>
              <w:t xml:space="preserve"> </w:t>
            </w:r>
            <w:r>
              <w:br/>
              <w:t xml:space="preserve">Criminal matters disposed </w:t>
            </w:r>
            <w:r>
              <w:br/>
              <w:t>in the County Court</w:t>
            </w:r>
          </w:p>
        </w:tc>
        <w:tc>
          <w:tcPr>
            <w:tcW w:w="735" w:type="pct"/>
          </w:tcPr>
          <w:p w14:paraId="76B03E7C" w14:textId="0B2E7865" w:rsidR="00DB1CB7" w:rsidRPr="001D5865" w:rsidRDefault="00DB1CB7" w:rsidP="00DB1CB7">
            <w:pPr>
              <w:pStyle w:val="TableText"/>
              <w:cnfStyle w:val="000000000000" w:firstRow="0" w:lastRow="0" w:firstColumn="0" w:lastColumn="0" w:oddVBand="0" w:evenVBand="0" w:oddHBand="0" w:evenHBand="0" w:firstRowFirstColumn="0" w:firstRowLastColumn="0" w:lastRowFirstColumn="0" w:lastRowLastColumn="0"/>
            </w:pPr>
            <w:r>
              <w:t>per cent</w:t>
            </w:r>
          </w:p>
        </w:tc>
        <w:tc>
          <w:tcPr>
            <w:tcW w:w="586" w:type="pct"/>
          </w:tcPr>
          <w:p w14:paraId="625A2284" w14:textId="6E3BFE57" w:rsidR="00DB1CB7" w:rsidRPr="001D5865" w:rsidRDefault="00652FB8" w:rsidP="00DB1CB7">
            <w:pPr>
              <w:pStyle w:val="TableText"/>
              <w:cnfStyle w:val="000000000000" w:firstRow="0" w:lastRow="0" w:firstColumn="0" w:lastColumn="0" w:oddVBand="0" w:evenVBand="0" w:oddHBand="0" w:evenHBand="0" w:firstRowFirstColumn="0" w:firstRowLastColumn="0" w:lastRowFirstColumn="0" w:lastRowLastColumn="0"/>
            </w:pPr>
            <w:r>
              <w:t>100</w:t>
            </w:r>
          </w:p>
        </w:tc>
        <w:tc>
          <w:tcPr>
            <w:tcW w:w="564" w:type="pct"/>
          </w:tcPr>
          <w:p w14:paraId="36EB0B61" w14:textId="3B94AC23" w:rsidR="00DB1CB7" w:rsidRDefault="00652FB8" w:rsidP="00DB1CB7">
            <w:pPr>
              <w:pStyle w:val="TableText"/>
              <w:cnfStyle w:val="000000000000" w:firstRow="0" w:lastRow="0" w:firstColumn="0" w:lastColumn="0" w:oddVBand="0" w:evenVBand="0" w:oddHBand="0" w:evenHBand="0" w:firstRowFirstColumn="0" w:firstRowLastColumn="0" w:lastRowFirstColumn="0" w:lastRowLastColumn="0"/>
            </w:pPr>
            <w:r>
              <w:t>108.2 (4,351 / 4,020)</w:t>
            </w:r>
          </w:p>
        </w:tc>
        <w:tc>
          <w:tcPr>
            <w:tcW w:w="803" w:type="pct"/>
          </w:tcPr>
          <w:p w14:paraId="72205184" w14:textId="72302B9D" w:rsidR="00DB1CB7" w:rsidRDefault="00652FB8" w:rsidP="00DB1CB7">
            <w:pPr>
              <w:pStyle w:val="TableText"/>
              <w:cnfStyle w:val="000000000000" w:firstRow="0" w:lastRow="0" w:firstColumn="0" w:lastColumn="0" w:oddVBand="0" w:evenVBand="0" w:oddHBand="0" w:evenHBand="0" w:firstRowFirstColumn="0" w:firstRowLastColumn="0" w:lastRowFirstColumn="0" w:lastRowLastColumn="0"/>
            </w:pPr>
            <w:r>
              <w:t>8.2</w:t>
            </w:r>
          </w:p>
        </w:tc>
      </w:tr>
    </w:tbl>
    <w:p w14:paraId="23380EBB" w14:textId="642E9914" w:rsidR="00DB1CB7" w:rsidRDefault="00652FB8" w:rsidP="00652FB8">
      <w:pPr>
        <w:pStyle w:val="BodyText"/>
      </w:pPr>
      <w:r>
        <w:t>The 2019-20 outcome deviates from the estimate primarily due to the impact of coronavirus. Changes in the Court’s operations in response to COVID-19 resulted in the adjournment of jury trials, a prioritisation of some classes of matters (Pleas and Appeals), and a reduction in the number of initiations from the Magistrates' Court. This resulted in the clearance rate being higher than originally forecast.</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652FB8" w:rsidRPr="00E051A7" w14:paraId="6D163461" w14:textId="77777777" w:rsidTr="00265F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5CDCA6FA" w14:textId="77777777" w:rsidR="00652FB8" w:rsidRPr="001D5865" w:rsidRDefault="00652FB8" w:rsidP="009F7EAA">
            <w:pPr>
              <w:pStyle w:val="TableText"/>
            </w:pPr>
            <w:r w:rsidRPr="001D5865">
              <w:t>Performance measures</w:t>
            </w:r>
          </w:p>
        </w:tc>
        <w:tc>
          <w:tcPr>
            <w:tcW w:w="735" w:type="pct"/>
            <w:vAlign w:val="bottom"/>
          </w:tcPr>
          <w:p w14:paraId="17FEB690"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Unit of measure</w:t>
            </w:r>
          </w:p>
        </w:tc>
        <w:tc>
          <w:tcPr>
            <w:tcW w:w="586" w:type="pct"/>
            <w:vAlign w:val="bottom"/>
          </w:tcPr>
          <w:p w14:paraId="21AE81D0"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-20 estimate</w:t>
            </w:r>
          </w:p>
        </w:tc>
        <w:tc>
          <w:tcPr>
            <w:tcW w:w="564" w:type="pct"/>
            <w:vAlign w:val="bottom"/>
          </w:tcPr>
          <w:p w14:paraId="3EB6D7B0"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w:t>
            </w:r>
            <w:r>
              <w:t>20</w:t>
            </w:r>
            <w:r w:rsidRPr="001D5865">
              <w:t xml:space="preserve"> actual</w:t>
            </w:r>
          </w:p>
        </w:tc>
        <w:tc>
          <w:tcPr>
            <w:tcW w:w="803" w:type="pct"/>
            <w:vAlign w:val="bottom"/>
          </w:tcPr>
          <w:p w14:paraId="077D4D96"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 xml:space="preserve">Performance </w:t>
            </w:r>
            <w:r>
              <w:t>v</w:t>
            </w:r>
            <w:r w:rsidRPr="001D5865">
              <w:t>ariation (%)</w:t>
            </w:r>
          </w:p>
        </w:tc>
      </w:tr>
      <w:tr w:rsidR="00652FB8" w:rsidRPr="00E051A7" w14:paraId="47A1897B" w14:textId="77777777" w:rsidTr="009F7EAA">
        <w:tc>
          <w:tcPr>
            <w:cnfStyle w:val="001000000000" w:firstRow="0" w:lastRow="0" w:firstColumn="1" w:lastColumn="0" w:oddVBand="0" w:evenVBand="0" w:oddHBand="0" w:evenHBand="0" w:firstRowFirstColumn="0" w:firstRowLastColumn="0" w:lastRowFirstColumn="0" w:lastRowLastColumn="0"/>
            <w:tcW w:w="2312" w:type="pct"/>
          </w:tcPr>
          <w:p w14:paraId="07E4529F" w14:textId="6E033758" w:rsidR="00652FB8" w:rsidRPr="000D0CCB" w:rsidRDefault="00652FB8" w:rsidP="009F7EAA">
            <w:pPr>
              <w:pStyle w:val="TableText"/>
            </w:pPr>
            <w:r w:rsidRPr="000D0CCB">
              <w:t xml:space="preserve">Case clearance </w:t>
            </w:r>
            <w:r w:rsidRPr="00DB1CB7">
              <w:t>rate –</w:t>
            </w:r>
            <w:r w:rsidRPr="000D0CCB">
              <w:t xml:space="preserve"> </w:t>
            </w:r>
            <w:r w:rsidRPr="000D0CCB">
              <w:br/>
            </w:r>
            <w:r>
              <w:t xml:space="preserve">Criminal matters disposed </w:t>
            </w:r>
            <w:r>
              <w:br/>
              <w:t>in the Magistrates’ Court</w:t>
            </w:r>
          </w:p>
        </w:tc>
        <w:tc>
          <w:tcPr>
            <w:tcW w:w="735" w:type="pct"/>
          </w:tcPr>
          <w:p w14:paraId="5D424818" w14:textId="77777777"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52D4B29C" w14:textId="77777777"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rsidRPr="001D5865">
              <w:t>100</w:t>
            </w:r>
          </w:p>
        </w:tc>
        <w:tc>
          <w:tcPr>
            <w:tcW w:w="564" w:type="pct"/>
          </w:tcPr>
          <w:p w14:paraId="44D4E81C" w14:textId="51F7A89C"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t>81.6 (117,704 / 144,314)</w:t>
            </w:r>
          </w:p>
        </w:tc>
        <w:tc>
          <w:tcPr>
            <w:tcW w:w="803" w:type="pct"/>
          </w:tcPr>
          <w:p w14:paraId="36D9410E" w14:textId="1CEF7071"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t>-18.4</w:t>
            </w:r>
          </w:p>
        </w:tc>
      </w:tr>
    </w:tbl>
    <w:p w14:paraId="00353B21" w14:textId="61F3443A" w:rsidR="00DB1CB7" w:rsidRDefault="00652FB8" w:rsidP="00652FB8">
      <w:pPr>
        <w:pStyle w:val="BodyText"/>
      </w:pPr>
      <w:r>
        <w:t>The 2019-20 outcome deviates from the estimate primarily due to the impact of coronavirus. The Court’s operations were impacted with a significant number of cases adjourned due to the need to comply with the public health measures of physical distancing and reducing the number of people in court buildings. This has resulted in a decrease in finalisations. However, it is important to note that while the case clearance rate was lower than forecast, the Court prioritised hearing custodial matters via audio-visual link for bail applications, including variations and revocations, pleas of guilty in the summary stream and contest mentions to ensure these matters were dealt with in a timely manner.</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652FB8" w:rsidRPr="00E051A7" w14:paraId="445DDDDD" w14:textId="77777777" w:rsidTr="00265F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69C5F984" w14:textId="77777777" w:rsidR="00652FB8" w:rsidRPr="001D5865" w:rsidRDefault="00652FB8" w:rsidP="009F7EAA">
            <w:pPr>
              <w:pStyle w:val="TableText"/>
            </w:pPr>
            <w:r w:rsidRPr="001D5865">
              <w:t>Performance measures</w:t>
            </w:r>
          </w:p>
        </w:tc>
        <w:tc>
          <w:tcPr>
            <w:tcW w:w="735" w:type="pct"/>
            <w:vAlign w:val="bottom"/>
          </w:tcPr>
          <w:p w14:paraId="6B022793"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Unit of measure</w:t>
            </w:r>
          </w:p>
        </w:tc>
        <w:tc>
          <w:tcPr>
            <w:tcW w:w="586" w:type="pct"/>
            <w:vAlign w:val="bottom"/>
          </w:tcPr>
          <w:p w14:paraId="4CB51E73"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-20 estimate</w:t>
            </w:r>
          </w:p>
        </w:tc>
        <w:tc>
          <w:tcPr>
            <w:tcW w:w="564" w:type="pct"/>
            <w:vAlign w:val="bottom"/>
          </w:tcPr>
          <w:p w14:paraId="5B5DF8EB"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201</w:t>
            </w:r>
            <w:r>
              <w:t>9</w:t>
            </w:r>
            <w:r w:rsidRPr="001D5865">
              <w:t>-</w:t>
            </w:r>
            <w:r>
              <w:t>20</w:t>
            </w:r>
            <w:r w:rsidRPr="001D5865">
              <w:t xml:space="preserve"> actual</w:t>
            </w:r>
          </w:p>
        </w:tc>
        <w:tc>
          <w:tcPr>
            <w:tcW w:w="803" w:type="pct"/>
            <w:vAlign w:val="bottom"/>
          </w:tcPr>
          <w:p w14:paraId="3F2332BA" w14:textId="77777777" w:rsidR="00652FB8" w:rsidRPr="001D5865" w:rsidRDefault="00652FB8" w:rsidP="00265FFF">
            <w:pPr>
              <w:pStyle w:val="TableText"/>
              <w:cnfStyle w:val="100000000000" w:firstRow="1" w:lastRow="0" w:firstColumn="0" w:lastColumn="0" w:oddVBand="0" w:evenVBand="0" w:oddHBand="0" w:evenHBand="0" w:firstRowFirstColumn="0" w:firstRowLastColumn="0" w:lastRowFirstColumn="0" w:lastRowLastColumn="0"/>
            </w:pPr>
            <w:r w:rsidRPr="001D5865">
              <w:t xml:space="preserve">Performance </w:t>
            </w:r>
            <w:r>
              <w:t>v</w:t>
            </w:r>
            <w:r w:rsidRPr="001D5865">
              <w:t>ariation (%)</w:t>
            </w:r>
          </w:p>
        </w:tc>
      </w:tr>
      <w:tr w:rsidR="00652FB8" w:rsidRPr="00E051A7" w14:paraId="5F53E1F0" w14:textId="77777777" w:rsidTr="009F7EAA">
        <w:tc>
          <w:tcPr>
            <w:cnfStyle w:val="001000000000" w:firstRow="0" w:lastRow="0" w:firstColumn="1" w:lastColumn="0" w:oddVBand="0" w:evenVBand="0" w:oddHBand="0" w:evenHBand="0" w:firstRowFirstColumn="0" w:firstRowLastColumn="0" w:lastRowFirstColumn="0" w:lastRowLastColumn="0"/>
            <w:tcW w:w="2312" w:type="pct"/>
          </w:tcPr>
          <w:p w14:paraId="60154E63" w14:textId="457EDC70" w:rsidR="00652FB8" w:rsidRPr="000D0CCB" w:rsidRDefault="00652FB8" w:rsidP="009F7EAA">
            <w:pPr>
              <w:pStyle w:val="TableText"/>
            </w:pPr>
            <w:r w:rsidRPr="000D0CCB">
              <w:t xml:space="preserve">Case clearance </w:t>
            </w:r>
            <w:r w:rsidRPr="00DB1CB7">
              <w:t>rate –</w:t>
            </w:r>
            <w:r w:rsidRPr="000D0CCB">
              <w:t xml:space="preserve"> </w:t>
            </w:r>
            <w:r w:rsidRPr="000D0CCB">
              <w:br/>
            </w:r>
            <w:r>
              <w:t xml:space="preserve">Criminal matters disposed </w:t>
            </w:r>
            <w:r>
              <w:br/>
              <w:t>in the Children’s Court</w:t>
            </w:r>
          </w:p>
        </w:tc>
        <w:tc>
          <w:tcPr>
            <w:tcW w:w="735" w:type="pct"/>
          </w:tcPr>
          <w:p w14:paraId="2C6D0368" w14:textId="77777777"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6D2885A5" w14:textId="0091A099" w:rsidR="00EB5B50" w:rsidRPr="001D5865" w:rsidRDefault="00652FB8" w:rsidP="00EB5B50">
            <w:pPr>
              <w:pStyle w:val="TableText"/>
              <w:cnfStyle w:val="000000000000" w:firstRow="0" w:lastRow="0" w:firstColumn="0" w:lastColumn="0" w:oddVBand="0" w:evenVBand="0" w:oddHBand="0" w:evenHBand="0" w:firstRowFirstColumn="0" w:firstRowLastColumn="0" w:lastRowFirstColumn="0" w:lastRowLastColumn="0"/>
            </w:pPr>
            <w:r w:rsidRPr="001D5865">
              <w:t>100</w:t>
            </w:r>
          </w:p>
        </w:tc>
        <w:tc>
          <w:tcPr>
            <w:tcW w:w="564" w:type="pct"/>
          </w:tcPr>
          <w:p w14:paraId="469BF51D" w14:textId="3823D5C7" w:rsidR="00652FB8" w:rsidRPr="001D5865" w:rsidRDefault="00652FB8" w:rsidP="00652FB8">
            <w:pPr>
              <w:pStyle w:val="TableText"/>
              <w:cnfStyle w:val="000000000000" w:firstRow="0" w:lastRow="0" w:firstColumn="0" w:lastColumn="0" w:oddVBand="0" w:evenVBand="0" w:oddHBand="0" w:evenHBand="0" w:firstRowFirstColumn="0" w:firstRowLastColumn="0" w:lastRowFirstColumn="0" w:lastRowLastColumn="0"/>
            </w:pPr>
            <w:r w:rsidRPr="00EB5B50">
              <w:t xml:space="preserve">79 </w:t>
            </w:r>
            <w:r w:rsidRPr="00EB5B50">
              <w:br/>
              <w:t>(10,097 / 12,781)</w:t>
            </w:r>
          </w:p>
        </w:tc>
        <w:tc>
          <w:tcPr>
            <w:tcW w:w="803" w:type="pct"/>
          </w:tcPr>
          <w:p w14:paraId="68174235" w14:textId="2288D9AD" w:rsidR="00652FB8" w:rsidRPr="001D5865" w:rsidRDefault="00652FB8" w:rsidP="009F7EAA">
            <w:pPr>
              <w:pStyle w:val="TableText"/>
              <w:cnfStyle w:val="000000000000" w:firstRow="0" w:lastRow="0" w:firstColumn="0" w:lastColumn="0" w:oddVBand="0" w:evenVBand="0" w:oddHBand="0" w:evenHBand="0" w:firstRowFirstColumn="0" w:firstRowLastColumn="0" w:lastRowFirstColumn="0" w:lastRowLastColumn="0"/>
            </w:pPr>
            <w:r>
              <w:t>-21.0</w:t>
            </w:r>
          </w:p>
        </w:tc>
      </w:tr>
    </w:tbl>
    <w:p w14:paraId="4E2AC44C" w14:textId="58663A2C" w:rsidR="00DB1CB7" w:rsidRDefault="00652FB8" w:rsidP="00652FB8">
      <w:pPr>
        <w:pStyle w:val="BodyText"/>
      </w:pPr>
      <w:r>
        <w:t>The 2019-20 outcome deviates from the estimate primarily due to the impact of coronavirus. Due to changes in the Court’s operations in response to COVID-19, the number of finalisations was less than originally forecast as a result of adjournments and delays in hearing cases. In addition, there was an increase in initiations in 2019-20.</w:t>
      </w:r>
    </w:p>
    <w:p w14:paraId="42D4C939" w14:textId="3B4803B7" w:rsidR="00DB1CB7" w:rsidRPr="00652FB8" w:rsidRDefault="00652FB8" w:rsidP="00DB1CB7">
      <w:pPr>
        <w:pStyle w:val="BodyText"/>
        <w:rPr>
          <w:b/>
          <w:bCs/>
        </w:rPr>
      </w:pPr>
      <w:r w:rsidRPr="00652FB8">
        <w:rPr>
          <w:b/>
          <w:bCs/>
        </w:rPr>
        <w:t>Quality</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8E276E" w:rsidRPr="00E051A7" w14:paraId="64DB17CC" w14:textId="77777777" w:rsidTr="00265F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179CC38F" w14:textId="442CE1EC" w:rsidR="008E276E" w:rsidRPr="000D0CCB" w:rsidRDefault="008E276E" w:rsidP="001D5865">
            <w:pPr>
              <w:pStyle w:val="TableText"/>
            </w:pPr>
            <w:bookmarkStart w:id="87" w:name="ColumnTitle_14"/>
            <w:r>
              <w:t>Performance measure</w:t>
            </w:r>
          </w:p>
        </w:tc>
        <w:tc>
          <w:tcPr>
            <w:tcW w:w="735" w:type="pct"/>
            <w:vAlign w:val="bottom"/>
          </w:tcPr>
          <w:p w14:paraId="74070097" w14:textId="08E3FB65" w:rsidR="008E276E" w:rsidRPr="001D5865" w:rsidRDefault="008E276E" w:rsidP="00265FFF">
            <w:pPr>
              <w:pStyle w:val="TableText"/>
              <w:cnfStyle w:val="100000000000" w:firstRow="1" w:lastRow="0" w:firstColumn="0" w:lastColumn="0" w:oddVBand="0" w:evenVBand="0" w:oddHBand="0" w:evenHBand="0" w:firstRowFirstColumn="0" w:firstRowLastColumn="0" w:lastRowFirstColumn="0" w:lastRowLastColumn="0"/>
            </w:pPr>
            <w:r>
              <w:t>Unit of measure</w:t>
            </w:r>
          </w:p>
        </w:tc>
        <w:tc>
          <w:tcPr>
            <w:tcW w:w="586" w:type="pct"/>
            <w:vAlign w:val="bottom"/>
          </w:tcPr>
          <w:p w14:paraId="4BAE912C" w14:textId="3500724B" w:rsidR="008E276E" w:rsidRPr="001D5865" w:rsidRDefault="008E276E" w:rsidP="00265FFF">
            <w:pPr>
              <w:pStyle w:val="TableText"/>
              <w:cnfStyle w:val="100000000000" w:firstRow="1" w:lastRow="0" w:firstColumn="0" w:lastColumn="0" w:oddVBand="0" w:evenVBand="0" w:oddHBand="0" w:evenHBand="0" w:firstRowFirstColumn="0" w:firstRowLastColumn="0" w:lastRowFirstColumn="0" w:lastRowLastColumn="0"/>
            </w:pPr>
            <w:r>
              <w:t>201</w:t>
            </w:r>
            <w:r w:rsidR="00DB1CB7">
              <w:t>9</w:t>
            </w:r>
            <w:r>
              <w:t>-20 estimate</w:t>
            </w:r>
          </w:p>
        </w:tc>
        <w:tc>
          <w:tcPr>
            <w:tcW w:w="564" w:type="pct"/>
            <w:vAlign w:val="bottom"/>
          </w:tcPr>
          <w:p w14:paraId="0304299E" w14:textId="699AD5E9" w:rsidR="008E276E" w:rsidRPr="001D5865" w:rsidRDefault="008E276E" w:rsidP="00265FFF">
            <w:pPr>
              <w:pStyle w:val="TableText"/>
              <w:cnfStyle w:val="100000000000" w:firstRow="1" w:lastRow="0" w:firstColumn="0" w:lastColumn="0" w:oddVBand="0" w:evenVBand="0" w:oddHBand="0" w:evenHBand="0" w:firstRowFirstColumn="0" w:firstRowLastColumn="0" w:lastRowFirstColumn="0" w:lastRowLastColumn="0"/>
            </w:pPr>
            <w:r>
              <w:t>201</w:t>
            </w:r>
            <w:r w:rsidR="00DB1CB7">
              <w:t>9</w:t>
            </w:r>
            <w:r>
              <w:t>-</w:t>
            </w:r>
            <w:r w:rsidR="00DB1CB7">
              <w:t>20</w:t>
            </w:r>
            <w:r>
              <w:t xml:space="preserve"> actual</w:t>
            </w:r>
          </w:p>
        </w:tc>
        <w:tc>
          <w:tcPr>
            <w:tcW w:w="803" w:type="pct"/>
            <w:vAlign w:val="bottom"/>
          </w:tcPr>
          <w:p w14:paraId="51BD43B3" w14:textId="3A7D3407" w:rsidR="008E276E" w:rsidRPr="001D5865" w:rsidRDefault="008E276E" w:rsidP="00265FFF">
            <w:pPr>
              <w:pStyle w:val="TableText"/>
              <w:cnfStyle w:val="100000000000" w:firstRow="1" w:lastRow="0" w:firstColumn="0" w:lastColumn="0" w:oddVBand="0" w:evenVBand="0" w:oddHBand="0" w:evenHBand="0" w:firstRowFirstColumn="0" w:firstRowLastColumn="0" w:lastRowFirstColumn="0" w:lastRowLastColumn="0"/>
            </w:pPr>
            <w:r>
              <w:t xml:space="preserve">Performance </w:t>
            </w:r>
            <w:r w:rsidR="00DB1CB7">
              <w:t>v</w:t>
            </w:r>
            <w:r>
              <w:t>ariation (%)</w:t>
            </w:r>
          </w:p>
        </w:tc>
      </w:tr>
      <w:bookmarkEnd w:id="87"/>
      <w:tr w:rsidR="00E051A7" w:rsidRPr="008E276E" w14:paraId="614E0312"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3F90290C" w14:textId="77777777" w:rsidR="00E051A7" w:rsidRPr="008E276E" w:rsidRDefault="00E051A7" w:rsidP="008E276E">
            <w:pPr>
              <w:pStyle w:val="TableText"/>
            </w:pPr>
            <w:r w:rsidRPr="008E276E">
              <w:t>Court file integrity in the Supreme Court – availability, accuracy and completeness</w:t>
            </w:r>
          </w:p>
        </w:tc>
        <w:tc>
          <w:tcPr>
            <w:tcW w:w="735" w:type="pct"/>
          </w:tcPr>
          <w:p w14:paraId="1883789F" w14:textId="77777777" w:rsidR="00E051A7" w:rsidRPr="008E276E" w:rsidRDefault="00E051A7" w:rsidP="008E276E">
            <w:pPr>
              <w:pStyle w:val="TableText"/>
              <w:cnfStyle w:val="000000000000" w:firstRow="0" w:lastRow="0" w:firstColumn="0" w:lastColumn="0" w:oddVBand="0" w:evenVBand="0" w:oddHBand="0" w:evenHBand="0" w:firstRowFirstColumn="0" w:firstRowLastColumn="0" w:lastRowFirstColumn="0" w:lastRowLastColumn="0"/>
            </w:pPr>
            <w:r w:rsidRPr="008E276E">
              <w:t>per cent</w:t>
            </w:r>
          </w:p>
        </w:tc>
        <w:tc>
          <w:tcPr>
            <w:tcW w:w="586" w:type="pct"/>
          </w:tcPr>
          <w:p w14:paraId="06B72C47" w14:textId="77777777" w:rsidR="00E051A7" w:rsidRPr="008E276E" w:rsidRDefault="00E051A7" w:rsidP="008E276E">
            <w:pPr>
              <w:pStyle w:val="TableText"/>
              <w:cnfStyle w:val="000000000000" w:firstRow="0" w:lastRow="0" w:firstColumn="0" w:lastColumn="0" w:oddVBand="0" w:evenVBand="0" w:oddHBand="0" w:evenHBand="0" w:firstRowFirstColumn="0" w:firstRowLastColumn="0" w:lastRowFirstColumn="0" w:lastRowLastColumn="0"/>
            </w:pPr>
            <w:r w:rsidRPr="008E276E">
              <w:t>90</w:t>
            </w:r>
          </w:p>
        </w:tc>
        <w:tc>
          <w:tcPr>
            <w:tcW w:w="564" w:type="pct"/>
          </w:tcPr>
          <w:p w14:paraId="3C2A6254" w14:textId="243BFECA" w:rsidR="00E051A7" w:rsidRPr="008E276E" w:rsidRDefault="005A7489" w:rsidP="008E276E">
            <w:pPr>
              <w:pStyle w:val="TableText"/>
              <w:cnfStyle w:val="000000000000" w:firstRow="0" w:lastRow="0" w:firstColumn="0" w:lastColumn="0" w:oddVBand="0" w:evenVBand="0" w:oddHBand="0" w:evenHBand="0" w:firstRowFirstColumn="0" w:firstRowLastColumn="0" w:lastRowFirstColumn="0" w:lastRowLastColumn="0"/>
            </w:pPr>
            <w:r>
              <w:t>91</w:t>
            </w:r>
          </w:p>
        </w:tc>
        <w:tc>
          <w:tcPr>
            <w:tcW w:w="803" w:type="pct"/>
          </w:tcPr>
          <w:p w14:paraId="410B15BE" w14:textId="6F61404D" w:rsidR="00E051A7" w:rsidRPr="008E276E" w:rsidRDefault="004F53B6" w:rsidP="008E276E">
            <w:pPr>
              <w:pStyle w:val="TableText"/>
              <w:cnfStyle w:val="000000000000" w:firstRow="0" w:lastRow="0" w:firstColumn="0" w:lastColumn="0" w:oddVBand="0" w:evenVBand="0" w:oddHBand="0" w:evenHBand="0" w:firstRowFirstColumn="0" w:firstRowLastColumn="0" w:lastRowFirstColumn="0" w:lastRowLastColumn="0"/>
            </w:pPr>
            <w:r>
              <w:t>1.1</w:t>
            </w:r>
          </w:p>
        </w:tc>
      </w:tr>
      <w:tr w:rsidR="00E051A7" w:rsidRPr="00E051A7" w14:paraId="581F3212"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08D8BCB5" w14:textId="77777777" w:rsidR="00E051A7" w:rsidRPr="001D5865" w:rsidRDefault="00E051A7" w:rsidP="001D5865">
            <w:pPr>
              <w:pStyle w:val="TableText"/>
            </w:pPr>
            <w:r w:rsidRPr="001D5865">
              <w:t>Court file integrity in the County Court – availability, accuracy and completeness</w:t>
            </w:r>
          </w:p>
        </w:tc>
        <w:tc>
          <w:tcPr>
            <w:tcW w:w="735" w:type="pct"/>
          </w:tcPr>
          <w:p w14:paraId="7DCC2632"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1BE24015"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90</w:t>
            </w:r>
          </w:p>
        </w:tc>
        <w:tc>
          <w:tcPr>
            <w:tcW w:w="564" w:type="pct"/>
          </w:tcPr>
          <w:p w14:paraId="51C1191B" w14:textId="3B84E26D"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89</w:t>
            </w:r>
          </w:p>
        </w:tc>
        <w:tc>
          <w:tcPr>
            <w:tcW w:w="803" w:type="pct"/>
          </w:tcPr>
          <w:p w14:paraId="77ECF27A" w14:textId="2B3D0E91"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-1.1</w:t>
            </w:r>
          </w:p>
        </w:tc>
      </w:tr>
      <w:tr w:rsidR="00E051A7" w:rsidRPr="00E051A7" w14:paraId="0D739951"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3FD0D134" w14:textId="77777777" w:rsidR="00E051A7" w:rsidRPr="001D5865" w:rsidRDefault="00E051A7" w:rsidP="001D5865">
            <w:pPr>
              <w:pStyle w:val="TableText"/>
            </w:pPr>
            <w:r w:rsidRPr="001D5865">
              <w:t>Court file integrity in the Magistrates’ Court – availability, accuracy and completeness</w:t>
            </w:r>
          </w:p>
        </w:tc>
        <w:tc>
          <w:tcPr>
            <w:tcW w:w="735" w:type="pct"/>
          </w:tcPr>
          <w:p w14:paraId="48F68A9C"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353070E4"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90</w:t>
            </w:r>
          </w:p>
        </w:tc>
        <w:tc>
          <w:tcPr>
            <w:tcW w:w="564" w:type="pct"/>
          </w:tcPr>
          <w:p w14:paraId="1E67BC16" w14:textId="50CF1496"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90</w:t>
            </w:r>
          </w:p>
        </w:tc>
        <w:tc>
          <w:tcPr>
            <w:tcW w:w="803" w:type="pct"/>
          </w:tcPr>
          <w:p w14:paraId="0CA768FE" w14:textId="79DC9881"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0.0</w:t>
            </w:r>
          </w:p>
        </w:tc>
      </w:tr>
      <w:tr w:rsidR="00E051A7" w:rsidRPr="00E051A7" w14:paraId="7E1389F3"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26CD5F04" w14:textId="77777777" w:rsidR="00E051A7" w:rsidRPr="001D5865" w:rsidRDefault="00E051A7" w:rsidP="001D5865">
            <w:pPr>
              <w:pStyle w:val="TableText"/>
            </w:pPr>
            <w:r w:rsidRPr="001D5865">
              <w:t>Court file integrity in the Children’s Court – availability, accuracy and completeness</w:t>
            </w:r>
          </w:p>
        </w:tc>
        <w:tc>
          <w:tcPr>
            <w:tcW w:w="735" w:type="pct"/>
          </w:tcPr>
          <w:p w14:paraId="2FC2E4D6"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per cent</w:t>
            </w:r>
          </w:p>
        </w:tc>
        <w:tc>
          <w:tcPr>
            <w:tcW w:w="586" w:type="pct"/>
          </w:tcPr>
          <w:p w14:paraId="62D1AB0D" w14:textId="77777777" w:rsidR="00E051A7" w:rsidRPr="001D5865" w:rsidRDefault="00E051A7" w:rsidP="001D5865">
            <w:pPr>
              <w:pStyle w:val="TableText"/>
              <w:cnfStyle w:val="000000000000" w:firstRow="0" w:lastRow="0" w:firstColumn="0" w:lastColumn="0" w:oddVBand="0" w:evenVBand="0" w:oddHBand="0" w:evenHBand="0" w:firstRowFirstColumn="0" w:firstRowLastColumn="0" w:lastRowFirstColumn="0" w:lastRowLastColumn="0"/>
            </w:pPr>
            <w:r w:rsidRPr="001D5865">
              <w:t>90</w:t>
            </w:r>
          </w:p>
        </w:tc>
        <w:tc>
          <w:tcPr>
            <w:tcW w:w="564" w:type="pct"/>
          </w:tcPr>
          <w:p w14:paraId="209BEC3D" w14:textId="0B4B9D31"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89</w:t>
            </w:r>
          </w:p>
        </w:tc>
        <w:tc>
          <w:tcPr>
            <w:tcW w:w="803" w:type="pct"/>
          </w:tcPr>
          <w:p w14:paraId="18C2A3D3" w14:textId="5F3D4D41" w:rsidR="00E051A7"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-1.1</w:t>
            </w:r>
          </w:p>
        </w:tc>
      </w:tr>
      <w:tr w:rsidR="004F53B6" w:rsidRPr="00E051A7" w14:paraId="1D809989"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1BB40B1F" w14:textId="14B2676F" w:rsidR="004F53B6" w:rsidRPr="001D5865" w:rsidRDefault="004F53B6" w:rsidP="001D5865">
            <w:pPr>
              <w:pStyle w:val="TableText"/>
            </w:pPr>
            <w:r>
              <w:t>Court file integrity in the Coroners Court – availability, accuracy and completeness</w:t>
            </w:r>
          </w:p>
        </w:tc>
        <w:tc>
          <w:tcPr>
            <w:tcW w:w="735" w:type="pct"/>
          </w:tcPr>
          <w:p w14:paraId="651B58DC" w14:textId="6396F0C8" w:rsidR="004F53B6"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per cent</w:t>
            </w:r>
          </w:p>
        </w:tc>
        <w:tc>
          <w:tcPr>
            <w:tcW w:w="586" w:type="pct"/>
          </w:tcPr>
          <w:p w14:paraId="652CDD64" w14:textId="07B47AFB" w:rsidR="004F53B6" w:rsidRPr="001D5865"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90</w:t>
            </w:r>
          </w:p>
        </w:tc>
        <w:tc>
          <w:tcPr>
            <w:tcW w:w="564" w:type="pct"/>
          </w:tcPr>
          <w:p w14:paraId="05362DA2" w14:textId="4729A703"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86</w:t>
            </w:r>
          </w:p>
        </w:tc>
        <w:tc>
          <w:tcPr>
            <w:tcW w:w="803" w:type="pct"/>
          </w:tcPr>
          <w:p w14:paraId="0A814D56" w14:textId="1A174410"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-4.4</w:t>
            </w:r>
          </w:p>
        </w:tc>
      </w:tr>
      <w:tr w:rsidR="004F53B6" w:rsidRPr="00E051A7" w14:paraId="5B360506" w14:textId="77777777" w:rsidTr="008E276E">
        <w:tc>
          <w:tcPr>
            <w:cnfStyle w:val="001000000000" w:firstRow="0" w:lastRow="0" w:firstColumn="1" w:lastColumn="0" w:oddVBand="0" w:evenVBand="0" w:oddHBand="0" w:evenHBand="0" w:firstRowFirstColumn="0" w:firstRowLastColumn="0" w:lastRowFirstColumn="0" w:lastRowLastColumn="0"/>
            <w:tcW w:w="2312" w:type="pct"/>
          </w:tcPr>
          <w:p w14:paraId="390DE5CA" w14:textId="7720433D" w:rsidR="004F53B6" w:rsidRDefault="004F53B6" w:rsidP="001D5865">
            <w:pPr>
              <w:pStyle w:val="TableText"/>
            </w:pPr>
            <w:r>
              <w:t xml:space="preserve">Court file integrity in </w:t>
            </w:r>
            <w:r w:rsidR="00A10DBB">
              <w:t>Victorian Civil and Administrative Tribunal</w:t>
            </w:r>
            <w:r>
              <w:t xml:space="preserve"> – availability, accuracy and completeness</w:t>
            </w:r>
          </w:p>
        </w:tc>
        <w:tc>
          <w:tcPr>
            <w:tcW w:w="735" w:type="pct"/>
          </w:tcPr>
          <w:p w14:paraId="6535497A" w14:textId="2559C9F3"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per cent</w:t>
            </w:r>
          </w:p>
        </w:tc>
        <w:tc>
          <w:tcPr>
            <w:tcW w:w="586" w:type="pct"/>
          </w:tcPr>
          <w:p w14:paraId="4850B805" w14:textId="5D779DA7"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90</w:t>
            </w:r>
          </w:p>
        </w:tc>
        <w:tc>
          <w:tcPr>
            <w:tcW w:w="564" w:type="pct"/>
          </w:tcPr>
          <w:p w14:paraId="5BB06477" w14:textId="6C986617"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87</w:t>
            </w:r>
          </w:p>
        </w:tc>
        <w:tc>
          <w:tcPr>
            <w:tcW w:w="803" w:type="pct"/>
          </w:tcPr>
          <w:p w14:paraId="190B2278" w14:textId="4EA1BF2C" w:rsidR="004F53B6" w:rsidRDefault="004F53B6" w:rsidP="001D5865">
            <w:pPr>
              <w:pStyle w:val="TableText"/>
              <w:cnfStyle w:val="000000000000" w:firstRow="0" w:lastRow="0" w:firstColumn="0" w:lastColumn="0" w:oddVBand="0" w:evenVBand="0" w:oddHBand="0" w:evenHBand="0" w:firstRowFirstColumn="0" w:firstRowLastColumn="0" w:lastRowFirstColumn="0" w:lastRowLastColumn="0"/>
            </w:pPr>
            <w:r>
              <w:t>3.0</w:t>
            </w:r>
          </w:p>
        </w:tc>
      </w:tr>
    </w:tbl>
    <w:p w14:paraId="75BF7A29" w14:textId="54C369E8" w:rsidR="00DA420B" w:rsidRPr="00DA420B" w:rsidRDefault="00DA420B" w:rsidP="00E24B44">
      <w:pPr>
        <w:pStyle w:val="BodyText"/>
        <w:keepNext/>
        <w:rPr>
          <w:rStyle w:val="Bold"/>
        </w:rPr>
      </w:pPr>
      <w:r w:rsidRPr="00DA420B">
        <w:rPr>
          <w:rStyle w:val="Bold"/>
        </w:rPr>
        <w:t>Timeliness</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DA420B" w:rsidRPr="00DA420B" w14:paraId="6C50C3F0" w14:textId="77777777" w:rsidTr="005A74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3449199E" w14:textId="77777777" w:rsidR="00DA420B" w:rsidRPr="00DA420B" w:rsidRDefault="00DA420B" w:rsidP="00DA420B">
            <w:pPr>
              <w:pStyle w:val="TableText"/>
            </w:pPr>
            <w:bookmarkStart w:id="88" w:name="ColumnTitle_17"/>
            <w:r w:rsidRPr="00DA420B">
              <w:t>Performance measures</w:t>
            </w:r>
          </w:p>
        </w:tc>
        <w:tc>
          <w:tcPr>
            <w:tcW w:w="735" w:type="pct"/>
            <w:vAlign w:val="bottom"/>
          </w:tcPr>
          <w:p w14:paraId="7368842F" w14:textId="77777777" w:rsidR="00DA420B" w:rsidRPr="00DA420B" w:rsidRDefault="00DA420B" w:rsidP="005A7489">
            <w:pPr>
              <w:pStyle w:val="TableText"/>
              <w:cnfStyle w:val="100000000000" w:firstRow="1" w:lastRow="0" w:firstColumn="0" w:lastColumn="0" w:oddVBand="0" w:evenVBand="0" w:oddHBand="0" w:evenHBand="0" w:firstRowFirstColumn="0" w:firstRowLastColumn="0" w:lastRowFirstColumn="0" w:lastRowLastColumn="0"/>
            </w:pPr>
            <w:r w:rsidRPr="00DA420B">
              <w:t>Unit of measure</w:t>
            </w:r>
          </w:p>
        </w:tc>
        <w:tc>
          <w:tcPr>
            <w:tcW w:w="586" w:type="pct"/>
            <w:vAlign w:val="bottom"/>
          </w:tcPr>
          <w:p w14:paraId="0BA3EB59" w14:textId="557DB4A8" w:rsidR="00DA420B" w:rsidRPr="00DA420B" w:rsidRDefault="00DA420B" w:rsidP="005A7489">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EF778B">
              <w:t>9</w:t>
            </w:r>
            <w:r w:rsidRPr="00DA420B">
              <w:t>-20 estimate</w:t>
            </w:r>
          </w:p>
        </w:tc>
        <w:tc>
          <w:tcPr>
            <w:tcW w:w="564" w:type="pct"/>
            <w:vAlign w:val="bottom"/>
          </w:tcPr>
          <w:p w14:paraId="2A887AF1" w14:textId="2E3B1773" w:rsidR="00DA420B" w:rsidRPr="00DA420B" w:rsidRDefault="00DA420B" w:rsidP="005A7489">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EF778B">
              <w:t>9</w:t>
            </w:r>
            <w:r w:rsidRPr="00DA420B">
              <w:t>-</w:t>
            </w:r>
            <w:r w:rsidR="00EF778B">
              <w:t>20</w:t>
            </w:r>
            <w:r w:rsidRPr="00DA420B">
              <w:t xml:space="preserve"> actual</w:t>
            </w:r>
          </w:p>
        </w:tc>
        <w:tc>
          <w:tcPr>
            <w:tcW w:w="803" w:type="pct"/>
            <w:vAlign w:val="bottom"/>
          </w:tcPr>
          <w:p w14:paraId="50E13F93" w14:textId="00A479AE" w:rsidR="00DA420B" w:rsidRPr="00DA420B" w:rsidRDefault="00DA420B" w:rsidP="005A7489">
            <w:pPr>
              <w:pStyle w:val="TableText"/>
              <w:cnfStyle w:val="100000000000" w:firstRow="1" w:lastRow="0" w:firstColumn="0" w:lastColumn="0" w:oddVBand="0" w:evenVBand="0" w:oddHBand="0" w:evenHBand="0" w:firstRowFirstColumn="0" w:firstRowLastColumn="0" w:lastRowFirstColumn="0" w:lastRowLastColumn="0"/>
            </w:pPr>
            <w:r w:rsidRPr="00DA420B">
              <w:t xml:space="preserve">Performance </w:t>
            </w:r>
            <w:r w:rsidR="00EF778B">
              <w:t>v</w:t>
            </w:r>
            <w:r w:rsidRPr="00DA420B">
              <w:t>ariation (%)</w:t>
            </w:r>
          </w:p>
        </w:tc>
      </w:tr>
      <w:bookmarkEnd w:id="88"/>
      <w:tr w:rsidR="00DA420B" w:rsidRPr="00DA420B" w14:paraId="214BEBC7"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246F016B" w14:textId="77777777" w:rsidR="00DA420B" w:rsidRPr="00DA420B" w:rsidRDefault="00DA420B" w:rsidP="00DA420B">
            <w:pPr>
              <w:pStyle w:val="TableText"/>
            </w:pPr>
            <w:r w:rsidRPr="00DA420B">
              <w:t>On time case processing – Civil matters resolved or otherwise finalised within established timeframes in the Supreme Court</w:t>
            </w:r>
          </w:p>
        </w:tc>
        <w:tc>
          <w:tcPr>
            <w:tcW w:w="735" w:type="pct"/>
          </w:tcPr>
          <w:p w14:paraId="519618D2"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06431DEA"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90</w:t>
            </w:r>
          </w:p>
        </w:tc>
        <w:tc>
          <w:tcPr>
            <w:tcW w:w="564" w:type="pct"/>
          </w:tcPr>
          <w:p w14:paraId="57DF4384" w14:textId="6569E0E5"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86</w:t>
            </w:r>
          </w:p>
        </w:tc>
        <w:tc>
          <w:tcPr>
            <w:tcW w:w="803" w:type="pct"/>
          </w:tcPr>
          <w:p w14:paraId="2B2E10EC" w14:textId="25F84E44"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-4.4</w:t>
            </w:r>
          </w:p>
        </w:tc>
      </w:tr>
      <w:tr w:rsidR="00DA420B" w:rsidRPr="00DA420B" w14:paraId="6D4C5CB3"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78A0F40D" w14:textId="77777777" w:rsidR="00DA420B" w:rsidRPr="00DA420B" w:rsidRDefault="00DA420B" w:rsidP="00DA420B">
            <w:pPr>
              <w:pStyle w:val="TableText"/>
            </w:pPr>
            <w:r w:rsidRPr="00DA420B">
              <w:t>On time case processing – Civil matters resolved or otherwise finalised within established timeframes in the County Court</w:t>
            </w:r>
          </w:p>
        </w:tc>
        <w:tc>
          <w:tcPr>
            <w:tcW w:w="735" w:type="pct"/>
          </w:tcPr>
          <w:p w14:paraId="51BF90DB"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3D24FE65"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90</w:t>
            </w:r>
          </w:p>
        </w:tc>
        <w:tc>
          <w:tcPr>
            <w:tcW w:w="564" w:type="pct"/>
          </w:tcPr>
          <w:p w14:paraId="4F40448E" w14:textId="2296DBA9"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88.5</w:t>
            </w:r>
          </w:p>
        </w:tc>
        <w:tc>
          <w:tcPr>
            <w:tcW w:w="803" w:type="pct"/>
          </w:tcPr>
          <w:p w14:paraId="6F92C995" w14:textId="73E1F98F"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-1.7</w:t>
            </w:r>
          </w:p>
        </w:tc>
      </w:tr>
      <w:tr w:rsidR="00DA420B" w:rsidRPr="00DA420B" w14:paraId="2F4C6FDE"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258D3DBC" w14:textId="71803A34" w:rsidR="00DA420B" w:rsidRPr="00DA420B" w:rsidRDefault="00DA420B" w:rsidP="00DA420B">
            <w:pPr>
              <w:pStyle w:val="TableText"/>
            </w:pPr>
            <w:r w:rsidRPr="00DA420B">
              <w:t>On time case processing – Civil matters resolved or otherwise finalised within established timeframes in the Magistrates’</w:t>
            </w:r>
            <w:r w:rsidR="00D45E5B">
              <w:t xml:space="preserve"> </w:t>
            </w:r>
            <w:r w:rsidRPr="00DA420B">
              <w:t>Court</w:t>
            </w:r>
          </w:p>
        </w:tc>
        <w:tc>
          <w:tcPr>
            <w:tcW w:w="735" w:type="pct"/>
          </w:tcPr>
          <w:p w14:paraId="36860EC5"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4FF15B41"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80</w:t>
            </w:r>
          </w:p>
        </w:tc>
        <w:tc>
          <w:tcPr>
            <w:tcW w:w="564" w:type="pct"/>
          </w:tcPr>
          <w:p w14:paraId="7946B596" w14:textId="50DFB948"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85.1</w:t>
            </w:r>
          </w:p>
        </w:tc>
        <w:tc>
          <w:tcPr>
            <w:tcW w:w="803" w:type="pct"/>
          </w:tcPr>
          <w:p w14:paraId="28B127B1" w14:textId="340F019D"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6.4</w:t>
            </w:r>
          </w:p>
        </w:tc>
      </w:tr>
    </w:tbl>
    <w:p w14:paraId="3EBDBAE1" w14:textId="2669E939" w:rsidR="00EF778B" w:rsidRDefault="00EF778B" w:rsidP="00EF778B">
      <w:pPr>
        <w:pStyle w:val="BodyText"/>
      </w:pPr>
      <w:r>
        <w:t>The 2019-20 outcome deviates from the estimate due to prioritisation of urgent matters during the COVID-19 pandemic with the majority of matters finalised relating to family violence and personal safety.</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EF778B" w:rsidRPr="00DA420B" w14:paraId="24681BEE"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4B9C428A" w14:textId="30B70766" w:rsidR="00EF778B" w:rsidRPr="00DA420B" w:rsidRDefault="00EF778B" w:rsidP="00DA420B">
            <w:pPr>
              <w:pStyle w:val="TableText"/>
            </w:pPr>
            <w:r>
              <w:t>Performance measures</w:t>
            </w:r>
          </w:p>
        </w:tc>
        <w:tc>
          <w:tcPr>
            <w:tcW w:w="735" w:type="pct"/>
            <w:vAlign w:val="bottom"/>
          </w:tcPr>
          <w:p w14:paraId="44B17EE6" w14:textId="22B24DFF" w:rsidR="00EF778B" w:rsidRPr="00DA420B" w:rsidRDefault="00EF778B" w:rsidP="00CA336D">
            <w:pPr>
              <w:pStyle w:val="TableText"/>
              <w:cnfStyle w:val="100000000000" w:firstRow="1" w:lastRow="0" w:firstColumn="0" w:lastColumn="0" w:oddVBand="0" w:evenVBand="0" w:oddHBand="0" w:evenHBand="0" w:firstRowFirstColumn="0" w:firstRowLastColumn="0" w:lastRowFirstColumn="0" w:lastRowLastColumn="0"/>
            </w:pPr>
            <w:r>
              <w:t>Unit of measure</w:t>
            </w:r>
          </w:p>
        </w:tc>
        <w:tc>
          <w:tcPr>
            <w:tcW w:w="586" w:type="pct"/>
            <w:vAlign w:val="bottom"/>
          </w:tcPr>
          <w:p w14:paraId="685E246E" w14:textId="5C77B4BB" w:rsidR="00EF778B" w:rsidRPr="00DA420B" w:rsidRDefault="00EF778B" w:rsidP="00CA336D">
            <w:pPr>
              <w:pStyle w:val="TableText"/>
              <w:cnfStyle w:val="100000000000" w:firstRow="1" w:lastRow="0" w:firstColumn="0" w:lastColumn="0" w:oddVBand="0" w:evenVBand="0" w:oddHBand="0" w:evenHBand="0" w:firstRowFirstColumn="0" w:firstRowLastColumn="0" w:lastRowFirstColumn="0" w:lastRowLastColumn="0"/>
            </w:pPr>
            <w:r>
              <w:t>2019-20 estimate</w:t>
            </w:r>
          </w:p>
        </w:tc>
        <w:tc>
          <w:tcPr>
            <w:tcW w:w="564" w:type="pct"/>
            <w:vAlign w:val="bottom"/>
          </w:tcPr>
          <w:p w14:paraId="7EA878DB" w14:textId="213B978F" w:rsidR="00EF778B" w:rsidRPr="00DA420B" w:rsidRDefault="00EF778B" w:rsidP="00CA336D">
            <w:pPr>
              <w:pStyle w:val="TableText"/>
              <w:cnfStyle w:val="100000000000" w:firstRow="1" w:lastRow="0" w:firstColumn="0" w:lastColumn="0" w:oddVBand="0" w:evenVBand="0" w:oddHBand="0" w:evenHBand="0" w:firstRowFirstColumn="0" w:firstRowLastColumn="0" w:lastRowFirstColumn="0" w:lastRowLastColumn="0"/>
            </w:pPr>
            <w:r>
              <w:t>2019-20 actual</w:t>
            </w:r>
          </w:p>
        </w:tc>
        <w:tc>
          <w:tcPr>
            <w:tcW w:w="803" w:type="pct"/>
            <w:vAlign w:val="bottom"/>
          </w:tcPr>
          <w:p w14:paraId="20317527" w14:textId="5D2D0489" w:rsidR="00EF778B" w:rsidRPr="00DA420B" w:rsidRDefault="00EF778B" w:rsidP="00CA336D">
            <w:pPr>
              <w:pStyle w:val="TableText"/>
              <w:cnfStyle w:val="100000000000" w:firstRow="1" w:lastRow="0" w:firstColumn="0" w:lastColumn="0" w:oddVBand="0" w:evenVBand="0" w:oddHBand="0" w:evenHBand="0" w:firstRowFirstColumn="0" w:firstRowLastColumn="0" w:lastRowFirstColumn="0" w:lastRowLastColumn="0"/>
            </w:pPr>
            <w:r>
              <w:t>Performance variation (%)</w:t>
            </w:r>
          </w:p>
        </w:tc>
      </w:tr>
      <w:tr w:rsidR="00DA420B" w:rsidRPr="00DA420B" w14:paraId="738CA6B0" w14:textId="77777777" w:rsidTr="00EF778B">
        <w:tc>
          <w:tcPr>
            <w:cnfStyle w:val="001000000000" w:firstRow="0" w:lastRow="0" w:firstColumn="1" w:lastColumn="0" w:oddVBand="0" w:evenVBand="0" w:oddHBand="0" w:evenHBand="0" w:firstRowFirstColumn="0" w:firstRowLastColumn="0" w:lastRowFirstColumn="0" w:lastRowLastColumn="0"/>
            <w:tcW w:w="2312" w:type="pct"/>
          </w:tcPr>
          <w:p w14:paraId="226C64D4" w14:textId="77777777" w:rsidR="00DA420B" w:rsidRPr="00DA420B" w:rsidRDefault="00DA420B" w:rsidP="00DA420B">
            <w:pPr>
              <w:pStyle w:val="TableText"/>
            </w:pPr>
            <w:r w:rsidRPr="00DA420B">
              <w:t>On time case processing – Family Division matters resolved or otherwise finalised within established timeframes in the Children’s Court</w:t>
            </w:r>
          </w:p>
        </w:tc>
        <w:tc>
          <w:tcPr>
            <w:tcW w:w="735" w:type="pct"/>
          </w:tcPr>
          <w:p w14:paraId="3364CFF0"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3D8A097F"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90</w:t>
            </w:r>
          </w:p>
        </w:tc>
        <w:tc>
          <w:tcPr>
            <w:tcW w:w="564" w:type="pct"/>
          </w:tcPr>
          <w:p w14:paraId="739B28C5" w14:textId="5EB868D6"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89.13</w:t>
            </w:r>
          </w:p>
        </w:tc>
        <w:tc>
          <w:tcPr>
            <w:tcW w:w="803" w:type="pct"/>
          </w:tcPr>
          <w:p w14:paraId="22781364" w14:textId="0D543E87" w:rsidR="00DA420B" w:rsidRPr="00DA420B" w:rsidRDefault="00EF778B" w:rsidP="00DA420B">
            <w:pPr>
              <w:pStyle w:val="TableText"/>
              <w:cnfStyle w:val="000000000000" w:firstRow="0" w:lastRow="0" w:firstColumn="0" w:lastColumn="0" w:oddVBand="0" w:evenVBand="0" w:oddHBand="0" w:evenHBand="0" w:firstRowFirstColumn="0" w:firstRowLastColumn="0" w:lastRowFirstColumn="0" w:lastRowLastColumn="0"/>
            </w:pPr>
            <w:r>
              <w:t>-1.0</w:t>
            </w:r>
          </w:p>
        </w:tc>
      </w:tr>
      <w:tr w:rsidR="00DA420B" w:rsidRPr="00DA420B" w14:paraId="2DD84220" w14:textId="77777777" w:rsidTr="00EF778B">
        <w:tc>
          <w:tcPr>
            <w:cnfStyle w:val="001000000000" w:firstRow="0" w:lastRow="0" w:firstColumn="1" w:lastColumn="0" w:oddVBand="0" w:evenVBand="0" w:oddHBand="0" w:evenHBand="0" w:firstRowFirstColumn="0" w:firstRowLastColumn="0" w:lastRowFirstColumn="0" w:lastRowLastColumn="0"/>
            <w:tcW w:w="2312" w:type="pct"/>
          </w:tcPr>
          <w:p w14:paraId="75E39316" w14:textId="13325D10" w:rsidR="00DA420B" w:rsidRPr="00DA420B" w:rsidRDefault="00DA420B" w:rsidP="00DA420B">
            <w:pPr>
              <w:pStyle w:val="TableText"/>
            </w:pPr>
            <w:r w:rsidRPr="00DA420B">
              <w:t xml:space="preserve">On time case processing – Civil matters resolved or </w:t>
            </w:r>
            <w:r w:rsidRPr="00741CBC">
              <w:t>otherwise finalised within established timeframes in</w:t>
            </w:r>
            <w:r w:rsidR="00EF778B" w:rsidRPr="00741CBC">
              <w:t xml:space="preserve"> </w:t>
            </w:r>
            <w:r w:rsidR="00A10DBB">
              <w:t>Victorian Civil and Administrative Tribunal</w:t>
            </w:r>
          </w:p>
        </w:tc>
        <w:tc>
          <w:tcPr>
            <w:tcW w:w="735" w:type="pct"/>
          </w:tcPr>
          <w:p w14:paraId="368EBB96"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1CBF486E"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90</w:t>
            </w:r>
          </w:p>
        </w:tc>
        <w:tc>
          <w:tcPr>
            <w:tcW w:w="564" w:type="pct"/>
          </w:tcPr>
          <w:p w14:paraId="714A5CC1" w14:textId="141D431C" w:rsidR="00DA420B" w:rsidRPr="00DA420B" w:rsidRDefault="00CE6092" w:rsidP="00DA420B">
            <w:pPr>
              <w:pStyle w:val="TableText"/>
              <w:cnfStyle w:val="000000000000" w:firstRow="0" w:lastRow="0" w:firstColumn="0" w:lastColumn="0" w:oddVBand="0" w:evenVBand="0" w:oddHBand="0" w:evenHBand="0" w:firstRowFirstColumn="0" w:firstRowLastColumn="0" w:lastRowFirstColumn="0" w:lastRowLastColumn="0"/>
            </w:pPr>
            <w:r>
              <w:t>95</w:t>
            </w:r>
          </w:p>
        </w:tc>
        <w:tc>
          <w:tcPr>
            <w:tcW w:w="803" w:type="pct"/>
          </w:tcPr>
          <w:p w14:paraId="4CD54C2D" w14:textId="77AD766F" w:rsidR="00DA420B" w:rsidRPr="00DA420B" w:rsidRDefault="00CE6092" w:rsidP="00DA420B">
            <w:pPr>
              <w:pStyle w:val="TableText"/>
              <w:cnfStyle w:val="000000000000" w:firstRow="0" w:lastRow="0" w:firstColumn="0" w:lastColumn="0" w:oddVBand="0" w:evenVBand="0" w:oddHBand="0" w:evenHBand="0" w:firstRowFirstColumn="0" w:firstRowLastColumn="0" w:lastRowFirstColumn="0" w:lastRowLastColumn="0"/>
            </w:pPr>
            <w:r>
              <w:t>5.0</w:t>
            </w:r>
          </w:p>
        </w:tc>
      </w:tr>
    </w:tbl>
    <w:p w14:paraId="54A57C8E" w14:textId="274EAF23" w:rsidR="00CE6092" w:rsidRPr="00CE6092" w:rsidRDefault="00CE6092" w:rsidP="00CE6092">
      <w:pPr>
        <w:pStyle w:val="BodyText"/>
      </w:pPr>
      <w:r>
        <w:t xml:space="preserve">The 2019-20 outcome deviates from the estimate due principally to </w:t>
      </w:r>
      <w:proofErr w:type="gramStart"/>
      <w:r>
        <w:t>higher than expected</w:t>
      </w:r>
      <w:proofErr w:type="gramEnd"/>
      <w:r>
        <w:t xml:space="preserve"> settlement rates in fast-track mediations in the Civil Claims List. The improvement to on-time case processing is typically associated with less complex case types.</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CE6092" w:rsidRPr="00DA420B" w14:paraId="296220CE"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5271B2ED" w14:textId="2AFFD584" w:rsidR="00CE6092" w:rsidRPr="00DA420B" w:rsidRDefault="00CE6092" w:rsidP="00DA420B">
            <w:pPr>
              <w:pStyle w:val="TableText"/>
            </w:pPr>
            <w:r>
              <w:t>Performance measures</w:t>
            </w:r>
          </w:p>
        </w:tc>
        <w:tc>
          <w:tcPr>
            <w:tcW w:w="735" w:type="pct"/>
            <w:vAlign w:val="bottom"/>
          </w:tcPr>
          <w:p w14:paraId="6EEA08FC" w14:textId="4401D17D" w:rsidR="00CE6092" w:rsidRPr="00DA420B" w:rsidRDefault="00CE6092" w:rsidP="00CA336D">
            <w:pPr>
              <w:pStyle w:val="TableText"/>
              <w:cnfStyle w:val="100000000000" w:firstRow="1" w:lastRow="0" w:firstColumn="0" w:lastColumn="0" w:oddVBand="0" w:evenVBand="0" w:oddHBand="0" w:evenHBand="0" w:firstRowFirstColumn="0" w:firstRowLastColumn="0" w:lastRowFirstColumn="0" w:lastRowLastColumn="0"/>
            </w:pPr>
            <w:r>
              <w:t>Unit of measure</w:t>
            </w:r>
          </w:p>
        </w:tc>
        <w:tc>
          <w:tcPr>
            <w:tcW w:w="586" w:type="pct"/>
            <w:vAlign w:val="bottom"/>
          </w:tcPr>
          <w:p w14:paraId="2367920D" w14:textId="5C8EF22C" w:rsidR="00CE6092" w:rsidRPr="00DA420B" w:rsidRDefault="00CE6092" w:rsidP="00CA336D">
            <w:pPr>
              <w:pStyle w:val="TableText"/>
              <w:cnfStyle w:val="100000000000" w:firstRow="1" w:lastRow="0" w:firstColumn="0" w:lastColumn="0" w:oddVBand="0" w:evenVBand="0" w:oddHBand="0" w:evenHBand="0" w:firstRowFirstColumn="0" w:firstRowLastColumn="0" w:lastRowFirstColumn="0" w:lastRowLastColumn="0"/>
            </w:pPr>
            <w:r>
              <w:t>2019-20 estimate</w:t>
            </w:r>
          </w:p>
        </w:tc>
        <w:tc>
          <w:tcPr>
            <w:tcW w:w="564" w:type="pct"/>
            <w:vAlign w:val="bottom"/>
          </w:tcPr>
          <w:p w14:paraId="575AC2C8" w14:textId="3AC9E36C" w:rsidR="00CE6092" w:rsidRPr="00DA420B" w:rsidRDefault="00CE6092" w:rsidP="00CA336D">
            <w:pPr>
              <w:pStyle w:val="TableText"/>
              <w:cnfStyle w:val="100000000000" w:firstRow="1" w:lastRow="0" w:firstColumn="0" w:lastColumn="0" w:oddVBand="0" w:evenVBand="0" w:oddHBand="0" w:evenHBand="0" w:firstRowFirstColumn="0" w:firstRowLastColumn="0" w:lastRowFirstColumn="0" w:lastRowLastColumn="0"/>
            </w:pPr>
            <w:r>
              <w:t>2019-20 actual</w:t>
            </w:r>
          </w:p>
        </w:tc>
        <w:tc>
          <w:tcPr>
            <w:tcW w:w="803" w:type="pct"/>
            <w:vAlign w:val="bottom"/>
          </w:tcPr>
          <w:p w14:paraId="4FEF4620" w14:textId="0B03A39F" w:rsidR="00CE6092" w:rsidRPr="00DA420B" w:rsidRDefault="00CE6092" w:rsidP="00CA336D">
            <w:pPr>
              <w:pStyle w:val="TableText"/>
              <w:cnfStyle w:val="100000000000" w:firstRow="1" w:lastRow="0" w:firstColumn="0" w:lastColumn="0" w:oddVBand="0" w:evenVBand="0" w:oddHBand="0" w:evenHBand="0" w:firstRowFirstColumn="0" w:firstRowLastColumn="0" w:lastRowFirstColumn="0" w:lastRowLastColumn="0"/>
            </w:pPr>
            <w:r>
              <w:t>Performance variation (%)</w:t>
            </w:r>
          </w:p>
        </w:tc>
      </w:tr>
      <w:tr w:rsidR="00DA420B" w:rsidRPr="00DA420B" w14:paraId="76E79197" w14:textId="77777777" w:rsidTr="00EF778B">
        <w:tc>
          <w:tcPr>
            <w:cnfStyle w:val="001000000000" w:firstRow="0" w:lastRow="0" w:firstColumn="1" w:lastColumn="0" w:oddVBand="0" w:evenVBand="0" w:oddHBand="0" w:evenHBand="0" w:firstRowFirstColumn="0" w:firstRowLastColumn="0" w:lastRowFirstColumn="0" w:lastRowLastColumn="0"/>
            <w:tcW w:w="2312" w:type="pct"/>
          </w:tcPr>
          <w:p w14:paraId="5C6D8F0E" w14:textId="77777777" w:rsidR="00DA420B" w:rsidRPr="00DA420B" w:rsidRDefault="00DA420B" w:rsidP="00DA420B">
            <w:pPr>
              <w:pStyle w:val="TableText"/>
            </w:pPr>
            <w:r w:rsidRPr="00DA420B">
              <w:t>On time case processing – Coronial matters resolved or otherwise finalised within established timeframes in the Coroners Court</w:t>
            </w:r>
          </w:p>
        </w:tc>
        <w:tc>
          <w:tcPr>
            <w:tcW w:w="735" w:type="pct"/>
          </w:tcPr>
          <w:p w14:paraId="7215E639"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4D2E0640"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80</w:t>
            </w:r>
          </w:p>
        </w:tc>
        <w:tc>
          <w:tcPr>
            <w:tcW w:w="564" w:type="pct"/>
          </w:tcPr>
          <w:p w14:paraId="79B2B4AA" w14:textId="6F3E3B8F"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82</w:t>
            </w:r>
          </w:p>
        </w:tc>
        <w:tc>
          <w:tcPr>
            <w:tcW w:w="803" w:type="pct"/>
          </w:tcPr>
          <w:p w14:paraId="57C9E1C8" w14:textId="3F6302AE"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2.2</w:t>
            </w:r>
          </w:p>
        </w:tc>
      </w:tr>
      <w:tr w:rsidR="00DA420B" w:rsidRPr="00DA420B" w14:paraId="3188EEB6" w14:textId="77777777" w:rsidTr="00EF778B">
        <w:tc>
          <w:tcPr>
            <w:cnfStyle w:val="001000000000" w:firstRow="0" w:lastRow="0" w:firstColumn="1" w:lastColumn="0" w:oddVBand="0" w:evenVBand="0" w:oddHBand="0" w:evenHBand="0" w:firstRowFirstColumn="0" w:firstRowLastColumn="0" w:lastRowFirstColumn="0" w:lastRowLastColumn="0"/>
            <w:tcW w:w="2312" w:type="pct"/>
          </w:tcPr>
          <w:p w14:paraId="2CC94930" w14:textId="77777777" w:rsidR="00DA420B" w:rsidRPr="00DA420B" w:rsidRDefault="00DA420B" w:rsidP="00DA420B">
            <w:pPr>
              <w:pStyle w:val="TableText"/>
            </w:pPr>
            <w:r w:rsidRPr="00DA420B">
              <w:t>On time case processing – Criminal matters resolved or otherwise finalised within established timeframes in the Supreme Court</w:t>
            </w:r>
          </w:p>
        </w:tc>
        <w:tc>
          <w:tcPr>
            <w:tcW w:w="735" w:type="pct"/>
          </w:tcPr>
          <w:p w14:paraId="41098FAD"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26D9C680" w14:textId="67A20A62"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85</w:t>
            </w:r>
          </w:p>
        </w:tc>
        <w:tc>
          <w:tcPr>
            <w:tcW w:w="564" w:type="pct"/>
          </w:tcPr>
          <w:p w14:paraId="0BA0F080" w14:textId="0AEAD90B"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73</w:t>
            </w:r>
          </w:p>
        </w:tc>
        <w:tc>
          <w:tcPr>
            <w:tcW w:w="803" w:type="pct"/>
          </w:tcPr>
          <w:p w14:paraId="3837035E" w14:textId="6597A7EF"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-14.1</w:t>
            </w:r>
          </w:p>
        </w:tc>
      </w:tr>
    </w:tbl>
    <w:p w14:paraId="29D6B6C3" w14:textId="3B7DB33E" w:rsidR="00DA420B" w:rsidRPr="00DA420B" w:rsidRDefault="000C773E" w:rsidP="00DA420B">
      <w:pPr>
        <w:pStyle w:val="BodyText"/>
      </w:pPr>
      <w:r>
        <w:t>The 2019-20 outcome deviates from the estimate due to the Trial Division clearing a backlog of older cases throughout 2019-20, two major Hazelwood fire trials including multiple accused and a higher than usual number of complex Commonwealth cases. In the Court of Appeal, time to finalisation has increased as a result of a sharp increase in initiations in 2018-19, including a 43 per cent increase in conviction appeals.</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DA420B" w:rsidRPr="00DA420B" w14:paraId="354287C3"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1637AEE9" w14:textId="77777777" w:rsidR="00DA420B" w:rsidRPr="00DA420B" w:rsidRDefault="00DA420B" w:rsidP="001813B7">
            <w:pPr>
              <w:pStyle w:val="TableText"/>
            </w:pPr>
            <w:bookmarkStart w:id="89" w:name="ColumnTitle_18"/>
            <w:r w:rsidRPr="00DA420B">
              <w:t>Performance measures</w:t>
            </w:r>
          </w:p>
        </w:tc>
        <w:tc>
          <w:tcPr>
            <w:tcW w:w="735" w:type="pct"/>
            <w:vAlign w:val="bottom"/>
          </w:tcPr>
          <w:p w14:paraId="713DCCA0" w14:textId="77777777"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Unit of measure</w:t>
            </w:r>
          </w:p>
        </w:tc>
        <w:tc>
          <w:tcPr>
            <w:tcW w:w="586" w:type="pct"/>
            <w:vAlign w:val="bottom"/>
          </w:tcPr>
          <w:p w14:paraId="6AE007DD" w14:textId="09B40F6D"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-20 estimate</w:t>
            </w:r>
          </w:p>
        </w:tc>
        <w:tc>
          <w:tcPr>
            <w:tcW w:w="564" w:type="pct"/>
            <w:vAlign w:val="bottom"/>
          </w:tcPr>
          <w:p w14:paraId="2F9A9F4C" w14:textId="2A957618"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w:t>
            </w:r>
            <w:r w:rsidR="000C773E">
              <w:t>20</w:t>
            </w:r>
            <w:r w:rsidRPr="00DA420B">
              <w:t xml:space="preserve"> actual</w:t>
            </w:r>
          </w:p>
        </w:tc>
        <w:tc>
          <w:tcPr>
            <w:tcW w:w="803" w:type="pct"/>
            <w:vAlign w:val="bottom"/>
          </w:tcPr>
          <w:p w14:paraId="59DE03BE" w14:textId="316E3BE9"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 xml:space="preserve">Performance </w:t>
            </w:r>
            <w:r w:rsidR="000C773E">
              <w:t>v</w:t>
            </w:r>
            <w:r w:rsidRPr="00DA420B">
              <w:t>ariation (%)</w:t>
            </w:r>
          </w:p>
        </w:tc>
      </w:tr>
      <w:bookmarkEnd w:id="89"/>
      <w:tr w:rsidR="00DA420B" w:rsidRPr="00DA420B" w14:paraId="3D86E551"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4D4184EB" w14:textId="77777777" w:rsidR="00DA420B" w:rsidRPr="00DA420B" w:rsidRDefault="00DA420B" w:rsidP="00DA420B">
            <w:pPr>
              <w:pStyle w:val="TableText"/>
            </w:pPr>
            <w:r w:rsidRPr="00DA420B">
              <w:t>On time case processing – Criminal matters resolved or otherwise finalised within established timeframes in the County Court</w:t>
            </w:r>
          </w:p>
        </w:tc>
        <w:tc>
          <w:tcPr>
            <w:tcW w:w="735" w:type="pct"/>
          </w:tcPr>
          <w:p w14:paraId="65951AA3"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242BD54E" w14:textId="458FB077"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90</w:t>
            </w:r>
          </w:p>
        </w:tc>
        <w:tc>
          <w:tcPr>
            <w:tcW w:w="564" w:type="pct"/>
          </w:tcPr>
          <w:p w14:paraId="40A2CF01" w14:textId="37B4F43E"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82.3</w:t>
            </w:r>
          </w:p>
        </w:tc>
        <w:tc>
          <w:tcPr>
            <w:tcW w:w="803" w:type="pct"/>
          </w:tcPr>
          <w:p w14:paraId="40EC1FA5" w14:textId="547D96E8"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-8.6</w:t>
            </w:r>
          </w:p>
        </w:tc>
      </w:tr>
    </w:tbl>
    <w:p w14:paraId="087C33A6" w14:textId="5E8E38CA" w:rsidR="000C773E" w:rsidRDefault="000C773E" w:rsidP="000C773E">
      <w:pPr>
        <w:pStyle w:val="BodyText"/>
      </w:pPr>
      <w:r>
        <w:t>The 2019-20 outcome deviates from the estimate primarily due to the impact of coronavirus. Changes in the Court’s operations in response to COVID-19 contributed to an increase in time to trial. In addition, there was a decrease in number of Appeal matters heard (26 per cent compared to 2018-19) – Appeals, being shorter in duration, have typically driven up timeliness results and the sizeable drop has affected the result. This resulted in on-time case processing being lower than originally forecast.</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0C773E" w:rsidRPr="00DA420B" w14:paraId="2492DDE3"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2EFE4754" w14:textId="5623FAC0" w:rsidR="000C773E" w:rsidRPr="00DA420B" w:rsidRDefault="000C773E" w:rsidP="00DA420B">
            <w:pPr>
              <w:pStyle w:val="TableText"/>
            </w:pPr>
            <w:r>
              <w:t>Performance measures</w:t>
            </w:r>
          </w:p>
        </w:tc>
        <w:tc>
          <w:tcPr>
            <w:tcW w:w="735" w:type="pct"/>
            <w:vAlign w:val="bottom"/>
          </w:tcPr>
          <w:p w14:paraId="6C0326D2" w14:textId="0B995966" w:rsidR="000C773E" w:rsidRPr="00DA420B" w:rsidRDefault="000C773E" w:rsidP="00CA336D">
            <w:pPr>
              <w:pStyle w:val="TableText"/>
              <w:cnfStyle w:val="100000000000" w:firstRow="1" w:lastRow="0" w:firstColumn="0" w:lastColumn="0" w:oddVBand="0" w:evenVBand="0" w:oddHBand="0" w:evenHBand="0" w:firstRowFirstColumn="0" w:firstRowLastColumn="0" w:lastRowFirstColumn="0" w:lastRowLastColumn="0"/>
            </w:pPr>
            <w:r>
              <w:t>Unit of measure</w:t>
            </w:r>
          </w:p>
        </w:tc>
        <w:tc>
          <w:tcPr>
            <w:tcW w:w="586" w:type="pct"/>
            <w:vAlign w:val="bottom"/>
          </w:tcPr>
          <w:p w14:paraId="4FF5472A" w14:textId="5BBC09D6" w:rsidR="000C773E" w:rsidRPr="000C773E" w:rsidRDefault="000C773E" w:rsidP="00CA336D">
            <w:pPr>
              <w:pStyle w:val="TableText"/>
              <w:cnfStyle w:val="100000000000" w:firstRow="1" w:lastRow="0" w:firstColumn="0" w:lastColumn="0" w:oddVBand="0" w:evenVBand="0" w:oddHBand="0" w:evenHBand="0" w:firstRowFirstColumn="0" w:firstRowLastColumn="0" w:lastRowFirstColumn="0" w:lastRowLastColumn="0"/>
              <w:rPr>
                <w:vertAlign w:val="subscript"/>
              </w:rPr>
            </w:pPr>
            <w:r>
              <w:t>2019-20 estimate</w:t>
            </w:r>
          </w:p>
        </w:tc>
        <w:tc>
          <w:tcPr>
            <w:tcW w:w="564" w:type="pct"/>
            <w:vAlign w:val="bottom"/>
          </w:tcPr>
          <w:p w14:paraId="0FB80049" w14:textId="5582DA58" w:rsidR="000C773E" w:rsidRPr="00DA420B" w:rsidRDefault="000C773E" w:rsidP="00CA336D">
            <w:pPr>
              <w:pStyle w:val="TableText"/>
              <w:cnfStyle w:val="100000000000" w:firstRow="1" w:lastRow="0" w:firstColumn="0" w:lastColumn="0" w:oddVBand="0" w:evenVBand="0" w:oddHBand="0" w:evenHBand="0" w:firstRowFirstColumn="0" w:firstRowLastColumn="0" w:lastRowFirstColumn="0" w:lastRowLastColumn="0"/>
            </w:pPr>
            <w:r>
              <w:t>2019-20 actual</w:t>
            </w:r>
          </w:p>
        </w:tc>
        <w:tc>
          <w:tcPr>
            <w:tcW w:w="803" w:type="pct"/>
            <w:vAlign w:val="bottom"/>
          </w:tcPr>
          <w:p w14:paraId="20EFA4D2" w14:textId="4964AEF1" w:rsidR="000C773E" w:rsidRPr="00DA420B" w:rsidRDefault="000C773E" w:rsidP="00CA336D">
            <w:pPr>
              <w:pStyle w:val="TableText"/>
              <w:cnfStyle w:val="100000000000" w:firstRow="1" w:lastRow="0" w:firstColumn="0" w:lastColumn="0" w:oddVBand="0" w:evenVBand="0" w:oddHBand="0" w:evenHBand="0" w:firstRowFirstColumn="0" w:firstRowLastColumn="0" w:lastRowFirstColumn="0" w:lastRowLastColumn="0"/>
            </w:pPr>
            <w:r>
              <w:t>Performance variation (%)</w:t>
            </w:r>
          </w:p>
        </w:tc>
      </w:tr>
      <w:tr w:rsidR="00DA420B" w:rsidRPr="00DA420B" w14:paraId="7B6E6FF1" w14:textId="77777777" w:rsidTr="000C773E">
        <w:tc>
          <w:tcPr>
            <w:cnfStyle w:val="001000000000" w:firstRow="0" w:lastRow="0" w:firstColumn="1" w:lastColumn="0" w:oddVBand="0" w:evenVBand="0" w:oddHBand="0" w:evenHBand="0" w:firstRowFirstColumn="0" w:firstRowLastColumn="0" w:lastRowFirstColumn="0" w:lastRowLastColumn="0"/>
            <w:tcW w:w="2312" w:type="pct"/>
          </w:tcPr>
          <w:p w14:paraId="7B182F3C" w14:textId="17340867" w:rsidR="00DA420B" w:rsidRPr="00DA420B" w:rsidRDefault="00DA420B" w:rsidP="00DA420B">
            <w:pPr>
              <w:pStyle w:val="TableText"/>
            </w:pPr>
            <w:r w:rsidRPr="00DA420B">
              <w:t>On time case processing – Criminal matters resolved or otherwise finalised within established timeframes in the Magistrates’</w:t>
            </w:r>
            <w:r w:rsidR="00D45E5B">
              <w:t xml:space="preserve"> </w:t>
            </w:r>
            <w:r w:rsidRPr="00DA420B">
              <w:t>Court</w:t>
            </w:r>
          </w:p>
        </w:tc>
        <w:tc>
          <w:tcPr>
            <w:tcW w:w="735" w:type="pct"/>
          </w:tcPr>
          <w:p w14:paraId="69D916B1"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484874EB" w14:textId="77777777" w:rsidR="00DA420B" w:rsidRPr="00DA420B" w:rsidRDefault="00DA420B" w:rsidP="00DA420B">
            <w:pPr>
              <w:pStyle w:val="TableText"/>
              <w:cnfStyle w:val="000000000000" w:firstRow="0" w:lastRow="0" w:firstColumn="0" w:lastColumn="0" w:oddVBand="0" w:evenVBand="0" w:oddHBand="0" w:evenHBand="0" w:firstRowFirstColumn="0" w:firstRowLastColumn="0" w:lastRowFirstColumn="0" w:lastRowLastColumn="0"/>
            </w:pPr>
            <w:r w:rsidRPr="00DA420B">
              <w:t>85</w:t>
            </w:r>
          </w:p>
        </w:tc>
        <w:tc>
          <w:tcPr>
            <w:tcW w:w="564" w:type="pct"/>
          </w:tcPr>
          <w:p w14:paraId="1EBA3570" w14:textId="5A2B4852"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70.1</w:t>
            </w:r>
          </w:p>
        </w:tc>
        <w:tc>
          <w:tcPr>
            <w:tcW w:w="803" w:type="pct"/>
          </w:tcPr>
          <w:p w14:paraId="68A0C9E6" w14:textId="178D6E41" w:rsidR="00DA420B" w:rsidRPr="00DA420B" w:rsidRDefault="000C773E" w:rsidP="00DA420B">
            <w:pPr>
              <w:pStyle w:val="TableText"/>
              <w:cnfStyle w:val="000000000000" w:firstRow="0" w:lastRow="0" w:firstColumn="0" w:lastColumn="0" w:oddVBand="0" w:evenVBand="0" w:oddHBand="0" w:evenHBand="0" w:firstRowFirstColumn="0" w:firstRowLastColumn="0" w:lastRowFirstColumn="0" w:lastRowLastColumn="0"/>
            </w:pPr>
            <w:r>
              <w:t>-17.5</w:t>
            </w:r>
          </w:p>
        </w:tc>
      </w:tr>
    </w:tbl>
    <w:p w14:paraId="686746D2" w14:textId="7A2E63F3" w:rsidR="00DA420B" w:rsidRDefault="000C773E" w:rsidP="00976366">
      <w:pPr>
        <w:pStyle w:val="BodyText"/>
        <w:keepNext/>
      </w:pPr>
      <w:r>
        <w:t>The 2019-20 outcome deviates from the estimate due to an overall increase in the proportion of complex matters represented in the observation, including as a result of counting rule changes.</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DA420B" w:rsidRPr="00DA420B" w14:paraId="7CDD2EEC"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34C8C4FF" w14:textId="77777777" w:rsidR="00DA420B" w:rsidRPr="00DA420B" w:rsidRDefault="00DA420B" w:rsidP="00976366">
            <w:pPr>
              <w:pStyle w:val="TableText"/>
              <w:keepNext/>
            </w:pPr>
            <w:bookmarkStart w:id="90" w:name="ColumnTitle_19"/>
            <w:r w:rsidRPr="00DA420B">
              <w:t>Performance measures</w:t>
            </w:r>
          </w:p>
        </w:tc>
        <w:tc>
          <w:tcPr>
            <w:tcW w:w="735" w:type="pct"/>
            <w:vAlign w:val="bottom"/>
          </w:tcPr>
          <w:p w14:paraId="153A2B74" w14:textId="77777777" w:rsidR="00DA420B" w:rsidRPr="00DA420B" w:rsidRDefault="00DA420B" w:rsidP="00CA336D">
            <w:pPr>
              <w:pStyle w:val="TableText"/>
              <w:keepNext/>
              <w:cnfStyle w:val="100000000000" w:firstRow="1" w:lastRow="0" w:firstColumn="0" w:lastColumn="0" w:oddVBand="0" w:evenVBand="0" w:oddHBand="0" w:evenHBand="0" w:firstRowFirstColumn="0" w:firstRowLastColumn="0" w:lastRowFirstColumn="0" w:lastRowLastColumn="0"/>
            </w:pPr>
            <w:r w:rsidRPr="00DA420B">
              <w:t>Unit of measure</w:t>
            </w:r>
          </w:p>
        </w:tc>
        <w:tc>
          <w:tcPr>
            <w:tcW w:w="586" w:type="pct"/>
            <w:vAlign w:val="bottom"/>
          </w:tcPr>
          <w:p w14:paraId="73A1B92F" w14:textId="20CE02E8" w:rsidR="00DA420B" w:rsidRPr="00DA420B" w:rsidRDefault="00DA420B" w:rsidP="00CA336D">
            <w:pPr>
              <w:pStyle w:val="TableText"/>
              <w:keepN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-20 estimate</w:t>
            </w:r>
          </w:p>
        </w:tc>
        <w:tc>
          <w:tcPr>
            <w:tcW w:w="564" w:type="pct"/>
            <w:vAlign w:val="bottom"/>
          </w:tcPr>
          <w:p w14:paraId="1E4A3B2F" w14:textId="27D654CD" w:rsidR="00DA420B" w:rsidRPr="00DA420B" w:rsidRDefault="00DA420B" w:rsidP="00CA336D">
            <w:pPr>
              <w:pStyle w:val="TableText"/>
              <w:keepN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w:t>
            </w:r>
            <w:r w:rsidR="000C773E">
              <w:t>20</w:t>
            </w:r>
            <w:r w:rsidRPr="00DA420B">
              <w:t xml:space="preserve"> actual</w:t>
            </w:r>
          </w:p>
        </w:tc>
        <w:tc>
          <w:tcPr>
            <w:tcW w:w="803" w:type="pct"/>
            <w:vAlign w:val="bottom"/>
          </w:tcPr>
          <w:p w14:paraId="20CD3E56" w14:textId="1EDF6404" w:rsidR="00DA420B" w:rsidRPr="00DA420B" w:rsidRDefault="00DA420B" w:rsidP="00CA336D">
            <w:pPr>
              <w:pStyle w:val="TableText"/>
              <w:keepNext/>
              <w:cnfStyle w:val="100000000000" w:firstRow="1" w:lastRow="0" w:firstColumn="0" w:lastColumn="0" w:oddVBand="0" w:evenVBand="0" w:oddHBand="0" w:evenHBand="0" w:firstRowFirstColumn="0" w:firstRowLastColumn="0" w:lastRowFirstColumn="0" w:lastRowLastColumn="0"/>
            </w:pPr>
            <w:r w:rsidRPr="00DA420B">
              <w:t xml:space="preserve">Performance </w:t>
            </w:r>
            <w:r w:rsidR="000C773E">
              <w:t>v</w:t>
            </w:r>
            <w:r w:rsidRPr="00DA420B">
              <w:t>ariation (%)</w:t>
            </w:r>
          </w:p>
        </w:tc>
      </w:tr>
      <w:bookmarkEnd w:id="90"/>
      <w:tr w:rsidR="00DA420B" w:rsidRPr="00DA420B" w14:paraId="5A470B07"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48BC8896" w14:textId="77777777" w:rsidR="00DA420B" w:rsidRPr="00DA420B" w:rsidRDefault="00DA420B" w:rsidP="00976366">
            <w:pPr>
              <w:pStyle w:val="TableText"/>
              <w:keepNext/>
            </w:pPr>
            <w:r w:rsidRPr="00DA420B">
              <w:t>On time case processing – Criminal matters resolved or otherwise finalised within established timeframes in the Children’s Court</w:t>
            </w:r>
          </w:p>
        </w:tc>
        <w:tc>
          <w:tcPr>
            <w:tcW w:w="735" w:type="pct"/>
          </w:tcPr>
          <w:p w14:paraId="03D0C4E1" w14:textId="77777777" w:rsidR="00DA420B" w:rsidRPr="00DA420B" w:rsidRDefault="00DA420B" w:rsidP="00976366">
            <w:pPr>
              <w:pStyle w:val="TableText"/>
              <w:keepN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7B1D8BCE" w14:textId="7EC94796"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90</w:t>
            </w:r>
          </w:p>
        </w:tc>
        <w:tc>
          <w:tcPr>
            <w:tcW w:w="564" w:type="pct"/>
          </w:tcPr>
          <w:p w14:paraId="37895426" w14:textId="1F659493"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90.1</w:t>
            </w:r>
          </w:p>
        </w:tc>
        <w:tc>
          <w:tcPr>
            <w:tcW w:w="803" w:type="pct"/>
          </w:tcPr>
          <w:p w14:paraId="2A6E0874" w14:textId="75787442"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0.1</w:t>
            </w:r>
          </w:p>
        </w:tc>
      </w:tr>
      <w:tr w:rsidR="00DA420B" w:rsidRPr="00DA420B" w14:paraId="656A8852"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727EF0EB" w14:textId="77777777" w:rsidR="00DA420B" w:rsidRPr="00DA420B" w:rsidRDefault="00DA420B" w:rsidP="00976366">
            <w:pPr>
              <w:pStyle w:val="TableText"/>
              <w:keepNext/>
            </w:pPr>
            <w:r w:rsidRPr="00DA420B">
              <w:t>On-time case processing – Family violence intervention orders resolved or otherwise finalised within established timeframes in the Magistrates’ and Children’s Courts</w:t>
            </w:r>
          </w:p>
        </w:tc>
        <w:tc>
          <w:tcPr>
            <w:tcW w:w="735" w:type="pct"/>
          </w:tcPr>
          <w:p w14:paraId="0AED5E5C" w14:textId="77777777" w:rsidR="00DA420B" w:rsidRPr="00DA420B" w:rsidRDefault="00DA420B" w:rsidP="00976366">
            <w:pPr>
              <w:pStyle w:val="TableText"/>
              <w:keepNext/>
              <w:cnfStyle w:val="000000000000" w:firstRow="0" w:lastRow="0" w:firstColumn="0" w:lastColumn="0" w:oddVBand="0" w:evenVBand="0" w:oddHBand="0" w:evenHBand="0" w:firstRowFirstColumn="0" w:firstRowLastColumn="0" w:lastRowFirstColumn="0" w:lastRowLastColumn="0"/>
            </w:pPr>
            <w:r w:rsidRPr="00DA420B">
              <w:t>per cent</w:t>
            </w:r>
          </w:p>
        </w:tc>
        <w:tc>
          <w:tcPr>
            <w:tcW w:w="586" w:type="pct"/>
          </w:tcPr>
          <w:p w14:paraId="4F49B3FB" w14:textId="451314AD"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90</w:t>
            </w:r>
          </w:p>
        </w:tc>
        <w:tc>
          <w:tcPr>
            <w:tcW w:w="564" w:type="pct"/>
          </w:tcPr>
          <w:p w14:paraId="598A85BD" w14:textId="472D2DAB"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88.9</w:t>
            </w:r>
          </w:p>
        </w:tc>
        <w:tc>
          <w:tcPr>
            <w:tcW w:w="803" w:type="pct"/>
          </w:tcPr>
          <w:p w14:paraId="32399088" w14:textId="170AD059" w:rsidR="00DA420B" w:rsidRPr="00DA420B" w:rsidRDefault="000C773E" w:rsidP="00976366">
            <w:pPr>
              <w:pStyle w:val="TableText"/>
              <w:keepNext/>
              <w:cnfStyle w:val="000000000000" w:firstRow="0" w:lastRow="0" w:firstColumn="0" w:lastColumn="0" w:oddVBand="0" w:evenVBand="0" w:oddHBand="0" w:evenHBand="0" w:firstRowFirstColumn="0" w:firstRowLastColumn="0" w:lastRowFirstColumn="0" w:lastRowLastColumn="0"/>
            </w:pPr>
            <w:r>
              <w:t>-1.2</w:t>
            </w:r>
          </w:p>
        </w:tc>
      </w:tr>
    </w:tbl>
    <w:p w14:paraId="68CC19C8" w14:textId="702F1277" w:rsidR="00DA420B" w:rsidRPr="00DA420B" w:rsidRDefault="00DA420B" w:rsidP="00DA420B">
      <w:pPr>
        <w:pStyle w:val="BodyText"/>
        <w:keepNext/>
        <w:rPr>
          <w:rStyle w:val="Bold"/>
        </w:rPr>
      </w:pPr>
      <w:bookmarkStart w:id="91" w:name="Costheading"/>
      <w:r w:rsidRPr="00DA420B">
        <w:rPr>
          <w:rStyle w:val="Bold"/>
        </w:rPr>
        <w:t>Cost</w:t>
      </w:r>
      <w:r w:rsidR="00E24B44">
        <w:rPr>
          <w:rStyle w:val="Bold"/>
        </w:rPr>
        <w:t>:</w:t>
      </w:r>
    </w:p>
    <w:tbl>
      <w:tblPr>
        <w:tblStyle w:val="AccessibleTableNumerical"/>
        <w:tblW w:w="5000" w:type="pct"/>
        <w:tblLook w:val="06A0" w:firstRow="1" w:lastRow="0" w:firstColumn="1" w:lastColumn="0" w:noHBand="1" w:noVBand="1"/>
      </w:tblPr>
      <w:tblGrid>
        <w:gridCol w:w="4457"/>
        <w:gridCol w:w="1417"/>
        <w:gridCol w:w="1130"/>
        <w:gridCol w:w="1087"/>
        <w:gridCol w:w="1548"/>
      </w:tblGrid>
      <w:tr w:rsidR="00DA420B" w:rsidRPr="00DA420B" w14:paraId="0A08DC10" w14:textId="77777777" w:rsidTr="00CA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2" w:type="pct"/>
          </w:tcPr>
          <w:p w14:paraId="0F0137FC" w14:textId="77777777" w:rsidR="00DA420B" w:rsidRPr="00DA420B" w:rsidRDefault="00DA420B" w:rsidP="00DA420B">
            <w:pPr>
              <w:pStyle w:val="TableText"/>
            </w:pPr>
            <w:bookmarkStart w:id="92" w:name="ColumnTitle_20"/>
            <w:bookmarkEnd w:id="91"/>
            <w:r w:rsidRPr="00DA420B">
              <w:t>Performance measures</w:t>
            </w:r>
          </w:p>
        </w:tc>
        <w:tc>
          <w:tcPr>
            <w:tcW w:w="735" w:type="pct"/>
            <w:vAlign w:val="bottom"/>
          </w:tcPr>
          <w:p w14:paraId="3CCD7731" w14:textId="77777777"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Unit of measure</w:t>
            </w:r>
          </w:p>
        </w:tc>
        <w:tc>
          <w:tcPr>
            <w:tcW w:w="586" w:type="pct"/>
            <w:vAlign w:val="bottom"/>
          </w:tcPr>
          <w:p w14:paraId="316278EE" w14:textId="5BFE8812"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-20 estimate</w:t>
            </w:r>
          </w:p>
        </w:tc>
        <w:tc>
          <w:tcPr>
            <w:tcW w:w="564" w:type="pct"/>
            <w:vAlign w:val="bottom"/>
          </w:tcPr>
          <w:p w14:paraId="29C60C0B" w14:textId="563DA70F"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201</w:t>
            </w:r>
            <w:r w:rsidR="000C773E">
              <w:t>9</w:t>
            </w:r>
            <w:r w:rsidRPr="00DA420B">
              <w:t>-</w:t>
            </w:r>
            <w:r w:rsidR="000C773E">
              <w:t>20</w:t>
            </w:r>
            <w:r w:rsidR="00034763">
              <w:t xml:space="preserve"> </w:t>
            </w:r>
            <w:r w:rsidRPr="00DA420B">
              <w:t>actual</w:t>
            </w:r>
          </w:p>
        </w:tc>
        <w:tc>
          <w:tcPr>
            <w:tcW w:w="803" w:type="pct"/>
            <w:vAlign w:val="bottom"/>
          </w:tcPr>
          <w:p w14:paraId="2DC8C3B6" w14:textId="5B83FE9B" w:rsidR="00DA420B" w:rsidRPr="00DA420B" w:rsidRDefault="00DA420B" w:rsidP="00CA336D">
            <w:pPr>
              <w:pStyle w:val="TableText"/>
              <w:cnfStyle w:val="100000000000" w:firstRow="1" w:lastRow="0" w:firstColumn="0" w:lastColumn="0" w:oddVBand="0" w:evenVBand="0" w:oddHBand="0" w:evenHBand="0" w:firstRowFirstColumn="0" w:firstRowLastColumn="0" w:lastRowFirstColumn="0" w:lastRowLastColumn="0"/>
            </w:pPr>
            <w:r w:rsidRPr="00DA420B">
              <w:t xml:space="preserve">Performance </w:t>
            </w:r>
            <w:r w:rsidR="000C773E">
              <w:t>v</w:t>
            </w:r>
            <w:r w:rsidRPr="00DA420B">
              <w:t>ariation (%)</w:t>
            </w:r>
          </w:p>
        </w:tc>
      </w:tr>
      <w:bookmarkEnd w:id="92"/>
      <w:tr w:rsidR="00DA420B" w:rsidRPr="00DA420B" w14:paraId="75EA544C" w14:textId="77777777" w:rsidTr="00DA420B">
        <w:tc>
          <w:tcPr>
            <w:cnfStyle w:val="001000000000" w:firstRow="0" w:lastRow="0" w:firstColumn="1" w:lastColumn="0" w:oddVBand="0" w:evenVBand="0" w:oddHBand="0" w:evenHBand="0" w:firstRowFirstColumn="0" w:firstRowLastColumn="0" w:lastRowFirstColumn="0" w:lastRowLastColumn="0"/>
            <w:tcW w:w="2312" w:type="pct"/>
          </w:tcPr>
          <w:p w14:paraId="4657F3EC" w14:textId="77777777" w:rsidR="00DA420B" w:rsidRPr="00DA420B" w:rsidRDefault="00DA420B" w:rsidP="00DA420B">
            <w:pPr>
              <w:pStyle w:val="TableText"/>
              <w:keepNext/>
            </w:pPr>
            <w:r w:rsidRPr="00DA420B">
              <w:t>Total output cost</w:t>
            </w:r>
          </w:p>
        </w:tc>
        <w:tc>
          <w:tcPr>
            <w:tcW w:w="735" w:type="pct"/>
          </w:tcPr>
          <w:p w14:paraId="373586D1" w14:textId="77777777" w:rsidR="00DA420B" w:rsidRPr="00DA420B" w:rsidRDefault="00DA420B" w:rsidP="00DA420B">
            <w:pPr>
              <w:pStyle w:val="TableText"/>
              <w:keepNext/>
              <w:cnfStyle w:val="000000000000" w:firstRow="0" w:lastRow="0" w:firstColumn="0" w:lastColumn="0" w:oddVBand="0" w:evenVBand="0" w:oddHBand="0" w:evenHBand="0" w:firstRowFirstColumn="0" w:firstRowLastColumn="0" w:lastRowFirstColumn="0" w:lastRowLastColumn="0"/>
            </w:pPr>
            <w:r w:rsidRPr="00DA420B">
              <w:t>$ million</w:t>
            </w:r>
          </w:p>
        </w:tc>
        <w:tc>
          <w:tcPr>
            <w:tcW w:w="586" w:type="pct"/>
          </w:tcPr>
          <w:p w14:paraId="1B81D0DA" w14:textId="26D24209" w:rsidR="00DA420B" w:rsidRPr="00DA420B" w:rsidRDefault="000C773E" w:rsidP="00DA420B">
            <w:pPr>
              <w:pStyle w:val="TableText"/>
              <w:keepNext/>
              <w:cnfStyle w:val="000000000000" w:firstRow="0" w:lastRow="0" w:firstColumn="0" w:lastColumn="0" w:oddVBand="0" w:evenVBand="0" w:oddHBand="0" w:evenHBand="0" w:firstRowFirstColumn="0" w:firstRowLastColumn="0" w:lastRowFirstColumn="0" w:lastRowLastColumn="0"/>
            </w:pPr>
            <w:r>
              <w:t>666.7</w:t>
            </w:r>
          </w:p>
        </w:tc>
        <w:tc>
          <w:tcPr>
            <w:tcW w:w="564" w:type="pct"/>
          </w:tcPr>
          <w:p w14:paraId="5E35F543" w14:textId="2A7A8D49" w:rsidR="00DA420B" w:rsidRPr="00DA420B" w:rsidRDefault="000C773E" w:rsidP="00DA420B">
            <w:pPr>
              <w:pStyle w:val="TableText"/>
              <w:keepNext/>
              <w:cnfStyle w:val="000000000000" w:firstRow="0" w:lastRow="0" w:firstColumn="0" w:lastColumn="0" w:oddVBand="0" w:evenVBand="0" w:oddHBand="0" w:evenHBand="0" w:firstRowFirstColumn="0" w:firstRowLastColumn="0" w:lastRowFirstColumn="0" w:lastRowLastColumn="0"/>
            </w:pPr>
            <w:r>
              <w:t>673.8</w:t>
            </w:r>
          </w:p>
        </w:tc>
        <w:tc>
          <w:tcPr>
            <w:tcW w:w="803" w:type="pct"/>
          </w:tcPr>
          <w:p w14:paraId="570F02C6" w14:textId="59F037B7" w:rsidR="00DA420B" w:rsidRPr="00DA420B" w:rsidRDefault="000C773E" w:rsidP="00DA420B">
            <w:pPr>
              <w:pStyle w:val="TableText"/>
              <w:keepNext/>
              <w:cnfStyle w:val="000000000000" w:firstRow="0" w:lastRow="0" w:firstColumn="0" w:lastColumn="0" w:oddVBand="0" w:evenVBand="0" w:oddHBand="0" w:evenHBand="0" w:firstRowFirstColumn="0" w:firstRowLastColumn="0" w:lastRowFirstColumn="0" w:lastRowLastColumn="0"/>
            </w:pPr>
            <w:r>
              <w:t>1.1</w:t>
            </w:r>
          </w:p>
        </w:tc>
      </w:tr>
    </w:tbl>
    <w:p w14:paraId="562242DA" w14:textId="1B767464" w:rsidR="004B6BAC" w:rsidRPr="00984DCF" w:rsidRDefault="000D0CCB" w:rsidP="008124F4">
      <w:pPr>
        <w:pStyle w:val="NotesNumberedList"/>
        <w:numPr>
          <w:ilvl w:val="0"/>
          <w:numId w:val="12"/>
        </w:numPr>
      </w:pPr>
      <w:bookmarkStart w:id="93" w:name="Note1CaseClearanceRate"/>
      <w:r w:rsidRPr="00984DCF">
        <w:t>T</w:t>
      </w:r>
      <w:r w:rsidR="00E952AB" w:rsidRPr="00984DCF">
        <w:t>he</w:t>
      </w:r>
      <w:r w:rsidR="004B6BAC" w:rsidRPr="00984DCF">
        <w:t xml:space="preserve"> case clearance rate is calculated as (number of cases disposed/number of cases initiated).</w:t>
      </w:r>
      <w:bookmarkEnd w:id="93"/>
    </w:p>
    <w:p w14:paraId="053B60BA" w14:textId="77777777" w:rsidR="00E952AB" w:rsidRDefault="004B6BAC" w:rsidP="004B6BAC">
      <w:pPr>
        <w:pStyle w:val="Heading2"/>
      </w:pPr>
      <w:bookmarkStart w:id="94" w:name="_Ref22640000"/>
      <w:bookmarkStart w:id="95" w:name="_Toc62808079"/>
      <w:r w:rsidRPr="007A0D86">
        <w:t xml:space="preserve">Financial Summary </w:t>
      </w:r>
      <w:r w:rsidR="005F68BF">
        <w:t>and</w:t>
      </w:r>
      <w:r w:rsidRPr="007A0D86">
        <w:t xml:space="preserve"> Review</w:t>
      </w:r>
      <w:bookmarkEnd w:id="94"/>
      <w:bookmarkEnd w:id="95"/>
    </w:p>
    <w:p w14:paraId="51034F51" w14:textId="5892E1DA" w:rsidR="00D2063C" w:rsidRDefault="00D2063C" w:rsidP="00D2063C">
      <w:pPr>
        <w:pStyle w:val="BodyText"/>
      </w:pPr>
      <w:r>
        <w:t xml:space="preserve">The budget outcomes provide a comparison between the actual financial statements of </w:t>
      </w:r>
      <w:r w:rsidR="009B1462">
        <w:t>Court Services Victoria</w:t>
      </w:r>
      <w:r>
        <w:t xml:space="preserve"> and the forecast financial information (initial budget estimates) published in Budget Paper No.5 Statement of Finances.</w:t>
      </w:r>
    </w:p>
    <w:p w14:paraId="25FB5A02" w14:textId="168BA788" w:rsidR="00D2063C" w:rsidRDefault="00D2063C" w:rsidP="00D2063C">
      <w:pPr>
        <w:pStyle w:val="BodyText"/>
      </w:pPr>
      <w:r>
        <w:t xml:space="preserve">The budget outcomes statement is not subject to audit by the Victorian Auditor-General’s Office and is not prepared on the same basis as the </w:t>
      </w:r>
      <w:r w:rsidR="009B1462">
        <w:t>Court Services Victoria</w:t>
      </w:r>
      <w:r>
        <w:t xml:space="preserve"> financial statements.</w:t>
      </w:r>
    </w:p>
    <w:p w14:paraId="36B8BEB7" w14:textId="2B7EAD66" w:rsidR="00D2063C" w:rsidRDefault="00D2063C" w:rsidP="00D2063C">
      <w:pPr>
        <w:pStyle w:val="BodyText"/>
      </w:pPr>
      <w:r>
        <w:t>Refer to the financial statements for comparison of budget and actual.</w:t>
      </w:r>
    </w:p>
    <w:p w14:paraId="687950F7" w14:textId="37D14EEF" w:rsidR="00D2063C" w:rsidRDefault="00D2063C" w:rsidP="00D2063C">
      <w:pPr>
        <w:pStyle w:val="Heading3"/>
      </w:pPr>
      <w:bookmarkStart w:id="96" w:name="_Toc62808080"/>
      <w:r>
        <w:t>Five-Year Financial Summary</w:t>
      </w:r>
      <w:bookmarkEnd w:id="96"/>
    </w:p>
    <w:p w14:paraId="02E55981" w14:textId="7585E8B4" w:rsidR="004B6BAC" w:rsidRDefault="004B6BAC" w:rsidP="001D5E45">
      <w:pPr>
        <w:pStyle w:val="Caption"/>
      </w:pPr>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2</w:t>
      </w:r>
      <w:r w:rsidR="00D42A70">
        <w:rPr>
          <w:noProof/>
        </w:rPr>
        <w:fldChar w:fldCharType="end"/>
      </w:r>
      <w:r w:rsidRPr="007A0D86">
        <w:t>: Five-Year Financial Summary</w:t>
      </w:r>
    </w:p>
    <w:tbl>
      <w:tblPr>
        <w:tblStyle w:val="AccessibleTableNumerical"/>
        <w:tblW w:w="5000" w:type="pct"/>
        <w:tblLook w:val="06E0" w:firstRow="1" w:lastRow="1" w:firstColumn="1" w:lastColumn="0" w:noHBand="1" w:noVBand="1"/>
      </w:tblPr>
      <w:tblGrid>
        <w:gridCol w:w="4215"/>
        <w:gridCol w:w="1086"/>
        <w:gridCol w:w="1084"/>
        <w:gridCol w:w="1086"/>
        <w:gridCol w:w="1083"/>
        <w:gridCol w:w="1085"/>
      </w:tblGrid>
      <w:tr w:rsidR="001813B7" w:rsidRPr="001813B7" w14:paraId="1B5C91F3" w14:textId="77777777" w:rsidTr="00A824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6" w:type="pct"/>
          </w:tcPr>
          <w:p w14:paraId="7F63ABC4" w14:textId="145E853C" w:rsidR="001813B7" w:rsidRPr="001813B7" w:rsidRDefault="001813B7" w:rsidP="003971A4">
            <w:pPr>
              <w:pStyle w:val="TableText"/>
            </w:pPr>
            <w:bookmarkStart w:id="97" w:name="ColumnTitle_21"/>
            <w:r>
              <w:t>Item</w:t>
            </w:r>
          </w:p>
        </w:tc>
        <w:tc>
          <w:tcPr>
            <w:tcW w:w="563" w:type="pct"/>
            <w:vAlign w:val="bottom"/>
          </w:tcPr>
          <w:p w14:paraId="2DC18201" w14:textId="48ACB20E" w:rsidR="001813B7" w:rsidRPr="001813B7" w:rsidRDefault="001813B7" w:rsidP="00A82449">
            <w:pPr>
              <w:pStyle w:val="TableText"/>
              <w:cnfStyle w:val="100000000000" w:firstRow="1" w:lastRow="0" w:firstColumn="0" w:lastColumn="0" w:oddVBand="0" w:evenVBand="0" w:oddHBand="0" w:evenHBand="0" w:firstRowFirstColumn="0" w:firstRowLastColumn="0" w:lastRowFirstColumn="0" w:lastRowLastColumn="0"/>
            </w:pPr>
            <w:r w:rsidRPr="001813B7">
              <w:t>201</w:t>
            </w:r>
            <w:r w:rsidR="005B0481">
              <w:t>9</w:t>
            </w:r>
            <w:r w:rsidRPr="001813B7">
              <w:t>-</w:t>
            </w:r>
            <w:r w:rsidR="005B0481">
              <w:t>20</w:t>
            </w:r>
            <w:r w:rsidRPr="001813B7">
              <w:br/>
              <w:t>$’000</w:t>
            </w:r>
          </w:p>
        </w:tc>
        <w:tc>
          <w:tcPr>
            <w:tcW w:w="562" w:type="pct"/>
            <w:vAlign w:val="bottom"/>
          </w:tcPr>
          <w:p w14:paraId="73A52751" w14:textId="0915163A" w:rsidR="001813B7" w:rsidRPr="001813B7" w:rsidRDefault="001813B7" w:rsidP="00A82449">
            <w:pPr>
              <w:pStyle w:val="TableText"/>
              <w:cnfStyle w:val="100000000000" w:firstRow="1" w:lastRow="0" w:firstColumn="0" w:lastColumn="0" w:oddVBand="0" w:evenVBand="0" w:oddHBand="0" w:evenHBand="0" w:firstRowFirstColumn="0" w:firstRowLastColumn="0" w:lastRowFirstColumn="0" w:lastRowLastColumn="0"/>
            </w:pPr>
            <w:r w:rsidRPr="001813B7">
              <w:t>201</w:t>
            </w:r>
            <w:r w:rsidR="005B0481">
              <w:t>8</w:t>
            </w:r>
            <w:r w:rsidRPr="001813B7">
              <w:t>-1</w:t>
            </w:r>
            <w:r w:rsidR="005B0481">
              <w:t>9</w:t>
            </w:r>
            <w:r w:rsidRPr="001813B7">
              <w:br/>
              <w:t>$’000</w:t>
            </w:r>
          </w:p>
        </w:tc>
        <w:tc>
          <w:tcPr>
            <w:tcW w:w="563" w:type="pct"/>
            <w:vAlign w:val="bottom"/>
          </w:tcPr>
          <w:p w14:paraId="21E24F28" w14:textId="76E16579" w:rsidR="001813B7" w:rsidRPr="001813B7" w:rsidRDefault="001813B7" w:rsidP="00A82449">
            <w:pPr>
              <w:pStyle w:val="TableText"/>
              <w:cnfStyle w:val="100000000000" w:firstRow="1" w:lastRow="0" w:firstColumn="0" w:lastColumn="0" w:oddVBand="0" w:evenVBand="0" w:oddHBand="0" w:evenHBand="0" w:firstRowFirstColumn="0" w:firstRowLastColumn="0" w:lastRowFirstColumn="0" w:lastRowLastColumn="0"/>
            </w:pPr>
            <w:r w:rsidRPr="001813B7">
              <w:t>201</w:t>
            </w:r>
            <w:r w:rsidR="005B0481">
              <w:t>7</w:t>
            </w:r>
            <w:r w:rsidRPr="001813B7">
              <w:t>-1</w:t>
            </w:r>
            <w:r w:rsidR="005B0481">
              <w:t>8</w:t>
            </w:r>
            <w:r w:rsidRPr="001813B7">
              <w:br/>
              <w:t>$’000</w:t>
            </w:r>
          </w:p>
        </w:tc>
        <w:tc>
          <w:tcPr>
            <w:tcW w:w="562" w:type="pct"/>
            <w:vAlign w:val="bottom"/>
          </w:tcPr>
          <w:p w14:paraId="02036769" w14:textId="1D6678D3" w:rsidR="001813B7" w:rsidRPr="001813B7" w:rsidRDefault="001813B7" w:rsidP="00A82449">
            <w:pPr>
              <w:pStyle w:val="TableText"/>
              <w:cnfStyle w:val="100000000000" w:firstRow="1" w:lastRow="0" w:firstColumn="0" w:lastColumn="0" w:oddVBand="0" w:evenVBand="0" w:oddHBand="0" w:evenHBand="0" w:firstRowFirstColumn="0" w:firstRowLastColumn="0" w:lastRowFirstColumn="0" w:lastRowLastColumn="0"/>
            </w:pPr>
            <w:r w:rsidRPr="001813B7">
              <w:t>201</w:t>
            </w:r>
            <w:r w:rsidR="005B0481">
              <w:t>6</w:t>
            </w:r>
            <w:r w:rsidRPr="001813B7">
              <w:t>-1</w:t>
            </w:r>
            <w:r w:rsidR="005B0481">
              <w:t>7</w:t>
            </w:r>
            <w:r w:rsidRPr="001813B7">
              <w:br/>
              <w:t>$’000</w:t>
            </w:r>
          </w:p>
        </w:tc>
        <w:tc>
          <w:tcPr>
            <w:tcW w:w="563" w:type="pct"/>
            <w:vAlign w:val="bottom"/>
          </w:tcPr>
          <w:p w14:paraId="57A2CB42" w14:textId="5B014B42" w:rsidR="001813B7" w:rsidRPr="001813B7" w:rsidRDefault="001813B7" w:rsidP="00A82449">
            <w:pPr>
              <w:pStyle w:val="TableText"/>
              <w:cnfStyle w:val="100000000000" w:firstRow="1" w:lastRow="0" w:firstColumn="0" w:lastColumn="0" w:oddVBand="0" w:evenVBand="0" w:oddHBand="0" w:evenHBand="0" w:firstRowFirstColumn="0" w:firstRowLastColumn="0" w:lastRowFirstColumn="0" w:lastRowLastColumn="0"/>
            </w:pPr>
            <w:r w:rsidRPr="001813B7">
              <w:t>201</w:t>
            </w:r>
            <w:r w:rsidR="005B0481">
              <w:t>5</w:t>
            </w:r>
            <w:r w:rsidRPr="001813B7">
              <w:t>-1</w:t>
            </w:r>
            <w:r w:rsidR="005B0481">
              <w:t>6</w:t>
            </w:r>
            <w:r w:rsidRPr="001813B7">
              <w:br/>
              <w:t>$’000</w:t>
            </w:r>
          </w:p>
        </w:tc>
      </w:tr>
      <w:bookmarkEnd w:id="97"/>
      <w:tr w:rsidR="001813B7" w:rsidRPr="001813B7" w14:paraId="4DB1D549"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4957E221" w14:textId="5BB1055B" w:rsidR="001813B7" w:rsidRPr="001813B7" w:rsidRDefault="001813B7" w:rsidP="003971A4">
            <w:pPr>
              <w:pStyle w:val="TableText"/>
            </w:pPr>
            <w:r w:rsidRPr="001813B7">
              <w:t>Revenue from Government</w:t>
            </w:r>
          </w:p>
        </w:tc>
        <w:tc>
          <w:tcPr>
            <w:tcW w:w="563" w:type="pct"/>
          </w:tcPr>
          <w:p w14:paraId="4B8AF76F" w14:textId="7AB170D1"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647,903</w:t>
            </w:r>
          </w:p>
        </w:tc>
        <w:tc>
          <w:tcPr>
            <w:tcW w:w="562" w:type="pct"/>
          </w:tcPr>
          <w:p w14:paraId="2D43494C" w14:textId="7E700E9C"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586,423</w:t>
            </w:r>
          </w:p>
        </w:tc>
        <w:tc>
          <w:tcPr>
            <w:tcW w:w="563" w:type="pct"/>
          </w:tcPr>
          <w:p w14:paraId="095FB8A3" w14:textId="69D07015"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521,896</w:t>
            </w:r>
          </w:p>
        </w:tc>
        <w:tc>
          <w:tcPr>
            <w:tcW w:w="562" w:type="pct"/>
          </w:tcPr>
          <w:p w14:paraId="383AF864" w14:textId="287EB639"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457,763</w:t>
            </w:r>
          </w:p>
        </w:tc>
        <w:tc>
          <w:tcPr>
            <w:tcW w:w="563" w:type="pct"/>
          </w:tcPr>
          <w:p w14:paraId="4957F07D" w14:textId="79B5DD71"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432,701</w:t>
            </w:r>
          </w:p>
        </w:tc>
      </w:tr>
      <w:tr w:rsidR="001813B7" w:rsidRPr="001813B7" w14:paraId="347EA933"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3A501E3F" w14:textId="77777777" w:rsidR="001813B7" w:rsidRPr="001813B7" w:rsidRDefault="001813B7" w:rsidP="003971A4">
            <w:pPr>
              <w:pStyle w:val="TableText"/>
            </w:pPr>
            <w:r w:rsidRPr="001813B7">
              <w:t>Total income from transactions</w:t>
            </w:r>
          </w:p>
        </w:tc>
        <w:tc>
          <w:tcPr>
            <w:tcW w:w="563" w:type="pct"/>
          </w:tcPr>
          <w:p w14:paraId="2EA530BA" w14:textId="655D1ECF"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673,520</w:t>
            </w:r>
          </w:p>
        </w:tc>
        <w:tc>
          <w:tcPr>
            <w:tcW w:w="562" w:type="pct"/>
          </w:tcPr>
          <w:p w14:paraId="124B213F" w14:textId="16292678"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614,588</w:t>
            </w:r>
          </w:p>
        </w:tc>
        <w:tc>
          <w:tcPr>
            <w:tcW w:w="563" w:type="pct"/>
          </w:tcPr>
          <w:p w14:paraId="674720E9" w14:textId="20424194"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546,574</w:t>
            </w:r>
          </w:p>
        </w:tc>
        <w:tc>
          <w:tcPr>
            <w:tcW w:w="562" w:type="pct"/>
          </w:tcPr>
          <w:p w14:paraId="2EC67F3C" w14:textId="5E646F55"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490,874</w:t>
            </w:r>
          </w:p>
        </w:tc>
        <w:tc>
          <w:tcPr>
            <w:tcW w:w="563" w:type="pct"/>
          </w:tcPr>
          <w:p w14:paraId="100BEC8D" w14:textId="51F648E4"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457,819</w:t>
            </w:r>
          </w:p>
        </w:tc>
      </w:tr>
      <w:tr w:rsidR="001813B7" w:rsidRPr="001813B7" w14:paraId="1C7F2AF2"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7A2DEA68" w14:textId="70EA1E1B" w:rsidR="001813B7" w:rsidRPr="0061368A" w:rsidRDefault="001813B7" w:rsidP="003971A4">
            <w:pPr>
              <w:pStyle w:val="TableText"/>
            </w:pPr>
            <w:r w:rsidRPr="0061368A">
              <w:t>Total expenses from transactions</w:t>
            </w:r>
            <w:hyperlink w:anchor="Table2note" w:history="1">
              <w:r w:rsidR="00590467">
                <w:rPr>
                  <w:vertAlign w:val="superscript"/>
                </w:rPr>
                <w:t>(1)</w:t>
              </w:r>
            </w:hyperlink>
          </w:p>
        </w:tc>
        <w:tc>
          <w:tcPr>
            <w:tcW w:w="563" w:type="pct"/>
          </w:tcPr>
          <w:p w14:paraId="4E8692AA" w14:textId="295675F2" w:rsidR="001813B7" w:rsidRPr="0061368A" w:rsidRDefault="005B0481" w:rsidP="003971A4">
            <w:pPr>
              <w:pStyle w:val="TableText"/>
              <w:cnfStyle w:val="000000000000" w:firstRow="0" w:lastRow="0" w:firstColumn="0" w:lastColumn="0" w:oddVBand="0" w:evenVBand="0" w:oddHBand="0" w:evenHBand="0" w:firstRowFirstColumn="0" w:firstRowLastColumn="0" w:lastRowFirstColumn="0" w:lastRowLastColumn="0"/>
            </w:pPr>
            <w:r w:rsidRPr="0061368A">
              <w:t>669,003</w:t>
            </w:r>
          </w:p>
        </w:tc>
        <w:tc>
          <w:tcPr>
            <w:tcW w:w="562" w:type="pct"/>
          </w:tcPr>
          <w:p w14:paraId="1BB55967" w14:textId="69619C26" w:rsidR="001813B7" w:rsidRPr="0061368A" w:rsidRDefault="005B0481" w:rsidP="003971A4">
            <w:pPr>
              <w:pStyle w:val="TableText"/>
              <w:cnfStyle w:val="000000000000" w:firstRow="0" w:lastRow="0" w:firstColumn="0" w:lastColumn="0" w:oddVBand="0" w:evenVBand="0" w:oddHBand="0" w:evenHBand="0" w:firstRowFirstColumn="0" w:firstRowLastColumn="0" w:lastRowFirstColumn="0" w:lastRowLastColumn="0"/>
            </w:pPr>
            <w:r w:rsidRPr="0061368A">
              <w:t>612,360</w:t>
            </w:r>
          </w:p>
        </w:tc>
        <w:tc>
          <w:tcPr>
            <w:tcW w:w="563" w:type="pct"/>
          </w:tcPr>
          <w:p w14:paraId="17338F80" w14:textId="4B06467B" w:rsidR="001813B7" w:rsidRPr="0061368A" w:rsidRDefault="005B0481" w:rsidP="003971A4">
            <w:pPr>
              <w:pStyle w:val="TableText"/>
              <w:cnfStyle w:val="000000000000" w:firstRow="0" w:lastRow="0" w:firstColumn="0" w:lastColumn="0" w:oddVBand="0" w:evenVBand="0" w:oddHBand="0" w:evenHBand="0" w:firstRowFirstColumn="0" w:firstRowLastColumn="0" w:lastRowFirstColumn="0" w:lastRowLastColumn="0"/>
            </w:pPr>
            <w:r w:rsidRPr="0061368A">
              <w:t>540,393</w:t>
            </w:r>
          </w:p>
        </w:tc>
        <w:tc>
          <w:tcPr>
            <w:tcW w:w="562" w:type="pct"/>
          </w:tcPr>
          <w:p w14:paraId="3014D520" w14:textId="3A6C4A3F" w:rsidR="001813B7" w:rsidRPr="0061368A" w:rsidRDefault="005B0481" w:rsidP="003971A4">
            <w:pPr>
              <w:pStyle w:val="TableText"/>
              <w:cnfStyle w:val="000000000000" w:firstRow="0" w:lastRow="0" w:firstColumn="0" w:lastColumn="0" w:oddVBand="0" w:evenVBand="0" w:oddHBand="0" w:evenHBand="0" w:firstRowFirstColumn="0" w:firstRowLastColumn="0" w:lastRowFirstColumn="0" w:lastRowLastColumn="0"/>
            </w:pPr>
            <w:r w:rsidRPr="0061368A">
              <w:t>493,412</w:t>
            </w:r>
          </w:p>
        </w:tc>
        <w:tc>
          <w:tcPr>
            <w:tcW w:w="563" w:type="pct"/>
          </w:tcPr>
          <w:p w14:paraId="2A410C3C" w14:textId="6CCB4893"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rsidRPr="0061368A">
              <w:t>458,291</w:t>
            </w:r>
          </w:p>
        </w:tc>
      </w:tr>
      <w:tr w:rsidR="001813B7" w:rsidRPr="001813B7" w14:paraId="48FAC596"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559F54E3" w14:textId="3019430B" w:rsidR="001813B7" w:rsidRPr="001813B7" w:rsidRDefault="001813B7" w:rsidP="003971A4">
            <w:pPr>
              <w:pStyle w:val="TableText"/>
            </w:pPr>
            <w:r w:rsidRPr="001813B7">
              <w:t xml:space="preserve">Net result from transactions – </w:t>
            </w:r>
            <w:r w:rsidRPr="001813B7">
              <w:br/>
              <w:t>surplus / (deficit)</w:t>
            </w:r>
            <w:r w:rsidR="000C08D7">
              <w:t xml:space="preserve"> </w:t>
            </w:r>
            <w:hyperlink w:anchor="Table2note" w:history="1">
              <w:r w:rsidR="00AA73A6">
                <w:rPr>
                  <w:vertAlign w:val="superscript"/>
                </w:rPr>
                <w:t>(1)</w:t>
              </w:r>
            </w:hyperlink>
          </w:p>
        </w:tc>
        <w:tc>
          <w:tcPr>
            <w:tcW w:w="563" w:type="pct"/>
          </w:tcPr>
          <w:p w14:paraId="5C887389" w14:textId="5FA3B679"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4,517</w:t>
            </w:r>
          </w:p>
        </w:tc>
        <w:tc>
          <w:tcPr>
            <w:tcW w:w="562" w:type="pct"/>
          </w:tcPr>
          <w:p w14:paraId="79C53E42" w14:textId="22ECABC3"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2,228</w:t>
            </w:r>
          </w:p>
        </w:tc>
        <w:tc>
          <w:tcPr>
            <w:tcW w:w="563" w:type="pct"/>
          </w:tcPr>
          <w:p w14:paraId="1EF274F9" w14:textId="67B6C899"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6,182</w:t>
            </w:r>
          </w:p>
        </w:tc>
        <w:tc>
          <w:tcPr>
            <w:tcW w:w="562" w:type="pct"/>
          </w:tcPr>
          <w:p w14:paraId="567E25D5" w14:textId="6529040B"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(2,539)</w:t>
            </w:r>
          </w:p>
        </w:tc>
        <w:tc>
          <w:tcPr>
            <w:tcW w:w="563" w:type="pct"/>
          </w:tcPr>
          <w:p w14:paraId="407E511E" w14:textId="5B84A486"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(472)</w:t>
            </w:r>
          </w:p>
        </w:tc>
      </w:tr>
      <w:tr w:rsidR="001813B7" w:rsidRPr="001813B7" w14:paraId="352EC8F5"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577AF597" w14:textId="0C95D148" w:rsidR="001813B7" w:rsidRPr="001813B7" w:rsidRDefault="001813B7" w:rsidP="003971A4">
            <w:pPr>
              <w:pStyle w:val="TableText"/>
            </w:pPr>
            <w:r w:rsidRPr="0061368A">
              <w:t>Comprehensive result</w:t>
            </w:r>
            <w:hyperlink w:anchor="Table2note" w:history="1">
              <w:r w:rsidR="00590467">
                <w:rPr>
                  <w:vertAlign w:val="superscript"/>
                </w:rPr>
                <w:t>(1)</w:t>
              </w:r>
            </w:hyperlink>
          </w:p>
        </w:tc>
        <w:tc>
          <w:tcPr>
            <w:tcW w:w="563" w:type="pct"/>
          </w:tcPr>
          <w:p w14:paraId="232C837D" w14:textId="0C21227F"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44,337</w:t>
            </w:r>
          </w:p>
        </w:tc>
        <w:tc>
          <w:tcPr>
            <w:tcW w:w="562" w:type="pct"/>
          </w:tcPr>
          <w:p w14:paraId="7DBD1FE2" w14:textId="681A58B8"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49,258</w:t>
            </w:r>
          </w:p>
        </w:tc>
        <w:tc>
          <w:tcPr>
            <w:tcW w:w="563" w:type="pct"/>
          </w:tcPr>
          <w:p w14:paraId="5B7D1A42" w14:textId="3D5C71A2"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69,838</w:t>
            </w:r>
          </w:p>
        </w:tc>
        <w:tc>
          <w:tcPr>
            <w:tcW w:w="562" w:type="pct"/>
          </w:tcPr>
          <w:p w14:paraId="69654B3D" w14:textId="3AE23DDE"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5,577</w:t>
            </w:r>
          </w:p>
        </w:tc>
        <w:tc>
          <w:tcPr>
            <w:tcW w:w="563" w:type="pct"/>
          </w:tcPr>
          <w:p w14:paraId="6E044743" w14:textId="44231C6E"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178,347</w:t>
            </w:r>
          </w:p>
        </w:tc>
      </w:tr>
      <w:tr w:rsidR="001813B7" w:rsidRPr="001813B7" w14:paraId="6BF8DC07"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5EE01CF8" w14:textId="36F24819" w:rsidR="001813B7" w:rsidRPr="001813B7" w:rsidRDefault="001813B7" w:rsidP="003971A4">
            <w:pPr>
              <w:pStyle w:val="TableText"/>
            </w:pPr>
            <w:r w:rsidRPr="001813B7">
              <w:t>Net cash flow from operating activities</w:t>
            </w:r>
          </w:p>
        </w:tc>
        <w:tc>
          <w:tcPr>
            <w:tcW w:w="563" w:type="pct"/>
          </w:tcPr>
          <w:p w14:paraId="56C43840" w14:textId="1811E8CB"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52,948</w:t>
            </w:r>
          </w:p>
        </w:tc>
        <w:tc>
          <w:tcPr>
            <w:tcW w:w="562" w:type="pct"/>
          </w:tcPr>
          <w:p w14:paraId="40AEC724" w14:textId="0ED5F263"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74,563</w:t>
            </w:r>
          </w:p>
        </w:tc>
        <w:tc>
          <w:tcPr>
            <w:tcW w:w="563" w:type="pct"/>
          </w:tcPr>
          <w:p w14:paraId="0C1A8C65" w14:textId="369A7BC8"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51,693</w:t>
            </w:r>
          </w:p>
        </w:tc>
        <w:tc>
          <w:tcPr>
            <w:tcW w:w="562" w:type="pct"/>
          </w:tcPr>
          <w:p w14:paraId="7188A9C6" w14:textId="68BFED17"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31,646</w:t>
            </w:r>
          </w:p>
        </w:tc>
        <w:tc>
          <w:tcPr>
            <w:tcW w:w="563" w:type="pct"/>
          </w:tcPr>
          <w:p w14:paraId="22E5FBC8" w14:textId="55249646" w:rsidR="001813B7" w:rsidRPr="001813B7" w:rsidRDefault="005B0481" w:rsidP="003971A4">
            <w:pPr>
              <w:pStyle w:val="TableText"/>
              <w:cnfStyle w:val="000000000000" w:firstRow="0" w:lastRow="0" w:firstColumn="0" w:lastColumn="0" w:oddVBand="0" w:evenVBand="0" w:oddHBand="0" w:evenHBand="0" w:firstRowFirstColumn="0" w:firstRowLastColumn="0" w:lastRowFirstColumn="0" w:lastRowLastColumn="0"/>
            </w:pPr>
            <w:r>
              <w:t>25,957</w:t>
            </w:r>
          </w:p>
        </w:tc>
      </w:tr>
      <w:tr w:rsidR="001813B7" w:rsidRPr="006F3CF5" w14:paraId="19824616" w14:textId="77777777" w:rsidTr="001813B7">
        <w:tc>
          <w:tcPr>
            <w:cnfStyle w:val="001000000000" w:firstRow="0" w:lastRow="0" w:firstColumn="1" w:lastColumn="0" w:oddVBand="0" w:evenVBand="0" w:oddHBand="0" w:evenHBand="0" w:firstRowFirstColumn="0" w:firstRowLastColumn="0" w:lastRowFirstColumn="0" w:lastRowLastColumn="0"/>
            <w:tcW w:w="2186" w:type="pct"/>
          </w:tcPr>
          <w:p w14:paraId="451DF779" w14:textId="1F97E383" w:rsidR="001813B7" w:rsidRPr="006F3CF5" w:rsidRDefault="006F3CF5" w:rsidP="003971A4">
            <w:pPr>
              <w:pStyle w:val="TableText"/>
              <w:rPr>
                <w:rStyle w:val="Bold"/>
              </w:rPr>
            </w:pPr>
            <w:r>
              <w:rPr>
                <w:rStyle w:val="Bold"/>
              </w:rPr>
              <w:t>Total assets</w:t>
            </w:r>
            <w:hyperlink w:anchor="Table2note" w:history="1">
              <w:r w:rsidR="00031119">
                <w:rPr>
                  <w:vertAlign w:val="superscript"/>
                </w:rPr>
                <w:t>(1)</w:t>
              </w:r>
            </w:hyperlink>
          </w:p>
        </w:tc>
        <w:tc>
          <w:tcPr>
            <w:tcW w:w="563" w:type="pct"/>
          </w:tcPr>
          <w:p w14:paraId="29ABAB69" w14:textId="07BC717A" w:rsidR="001813B7" w:rsidRPr="006F3CF5" w:rsidRDefault="005B0481" w:rsidP="003971A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1,328,449</w:t>
            </w:r>
          </w:p>
        </w:tc>
        <w:tc>
          <w:tcPr>
            <w:tcW w:w="562" w:type="pct"/>
          </w:tcPr>
          <w:p w14:paraId="39DB9570" w14:textId="7395B86C" w:rsidR="001813B7" w:rsidRPr="006F3CF5" w:rsidRDefault="005B0481" w:rsidP="003971A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1,128,001</w:t>
            </w:r>
          </w:p>
        </w:tc>
        <w:tc>
          <w:tcPr>
            <w:tcW w:w="563" w:type="pct"/>
          </w:tcPr>
          <w:p w14:paraId="3800CFAA" w14:textId="0E4CCFA1" w:rsidR="001813B7" w:rsidRPr="006F3CF5" w:rsidRDefault="005B0481" w:rsidP="003971A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1,196,741</w:t>
            </w:r>
          </w:p>
        </w:tc>
        <w:tc>
          <w:tcPr>
            <w:tcW w:w="562" w:type="pct"/>
          </w:tcPr>
          <w:p w14:paraId="122B8EC4" w14:textId="2B1D9AB4" w:rsidR="001813B7" w:rsidRPr="006F3CF5" w:rsidRDefault="005B0481" w:rsidP="003971A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1,086,817</w:t>
            </w:r>
          </w:p>
        </w:tc>
        <w:tc>
          <w:tcPr>
            <w:tcW w:w="563" w:type="pct"/>
          </w:tcPr>
          <w:p w14:paraId="2C10BF29" w14:textId="528B6498" w:rsidR="001813B7" w:rsidRPr="006F3CF5" w:rsidRDefault="005B0481" w:rsidP="003971A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1,064,833</w:t>
            </w:r>
          </w:p>
        </w:tc>
      </w:tr>
      <w:tr w:rsidR="001813B7" w:rsidRPr="006F3CF5" w14:paraId="7632F533" w14:textId="77777777" w:rsidTr="001813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pct"/>
          </w:tcPr>
          <w:p w14:paraId="35C78AB1" w14:textId="46740755" w:rsidR="001813B7" w:rsidRPr="006F3CF5" w:rsidRDefault="006F3CF5" w:rsidP="003971A4">
            <w:pPr>
              <w:pStyle w:val="TableText"/>
              <w:rPr>
                <w:rStyle w:val="Bold"/>
              </w:rPr>
            </w:pPr>
            <w:r>
              <w:rPr>
                <w:rStyle w:val="Bold"/>
              </w:rPr>
              <w:t>Total liabilities</w:t>
            </w:r>
          </w:p>
        </w:tc>
        <w:tc>
          <w:tcPr>
            <w:tcW w:w="563" w:type="pct"/>
          </w:tcPr>
          <w:p w14:paraId="432073D4" w14:textId="43E0E456" w:rsidR="001813B7" w:rsidRPr="006F3CF5" w:rsidRDefault="005B0481" w:rsidP="003971A4">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286,581</w:t>
            </w:r>
          </w:p>
        </w:tc>
        <w:tc>
          <w:tcPr>
            <w:tcW w:w="562" w:type="pct"/>
          </w:tcPr>
          <w:p w14:paraId="4F086973" w14:textId="5F71C935" w:rsidR="001813B7" w:rsidRPr="006F3CF5" w:rsidRDefault="005B0481" w:rsidP="003971A4">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199,630</w:t>
            </w:r>
          </w:p>
        </w:tc>
        <w:tc>
          <w:tcPr>
            <w:tcW w:w="563" w:type="pct"/>
          </w:tcPr>
          <w:p w14:paraId="10C24E07" w14:textId="492E7621" w:rsidR="001813B7" w:rsidRPr="006F3CF5" w:rsidRDefault="005B0481" w:rsidP="003971A4">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191,357</w:t>
            </w:r>
          </w:p>
        </w:tc>
        <w:tc>
          <w:tcPr>
            <w:tcW w:w="562" w:type="pct"/>
          </w:tcPr>
          <w:p w14:paraId="09380F94" w14:textId="6C7D1107" w:rsidR="001813B7" w:rsidRPr="006F3CF5" w:rsidRDefault="005B0481" w:rsidP="003971A4">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187,139</w:t>
            </w:r>
          </w:p>
        </w:tc>
        <w:tc>
          <w:tcPr>
            <w:tcW w:w="563" w:type="pct"/>
          </w:tcPr>
          <w:p w14:paraId="46BA5A9C" w14:textId="61634496" w:rsidR="001813B7" w:rsidRPr="006F3CF5" w:rsidRDefault="005B0481" w:rsidP="003971A4">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190,256</w:t>
            </w:r>
          </w:p>
        </w:tc>
      </w:tr>
    </w:tbl>
    <w:p w14:paraId="3D585B5E" w14:textId="77777777" w:rsidR="0061368A" w:rsidRPr="0061368A" w:rsidRDefault="00386AB5" w:rsidP="0061368A">
      <w:pPr>
        <w:pStyle w:val="NotesText"/>
      </w:pPr>
      <w:r w:rsidRPr="0061368A">
        <w:t>Note:</w:t>
      </w:r>
    </w:p>
    <w:p w14:paraId="7207E890" w14:textId="109FA5FF" w:rsidR="00386AB5" w:rsidRDefault="00386AB5" w:rsidP="00F110E7">
      <w:pPr>
        <w:pStyle w:val="NotesNumberedList"/>
        <w:numPr>
          <w:ilvl w:val="0"/>
          <w:numId w:val="48"/>
        </w:numPr>
      </w:pPr>
      <w:bookmarkStart w:id="98" w:name="Table2note"/>
      <w:bookmarkEnd w:id="98"/>
      <w:r w:rsidRPr="0061368A">
        <w:t>2018-19 restated</w:t>
      </w:r>
    </w:p>
    <w:p w14:paraId="09E4744A" w14:textId="7D138CA7" w:rsidR="004B6BAC" w:rsidRPr="007A0D86" w:rsidRDefault="004B6BAC" w:rsidP="003971A4">
      <w:pPr>
        <w:pStyle w:val="Heading3"/>
      </w:pPr>
      <w:bookmarkStart w:id="99" w:name="_Toc62808081"/>
      <w:r w:rsidRPr="007A0D86">
        <w:t>Court Services Victoria Current Year Financial Review</w:t>
      </w:r>
      <w:bookmarkEnd w:id="99"/>
    </w:p>
    <w:p w14:paraId="62AB5471" w14:textId="637B7935" w:rsidR="0025407D" w:rsidRDefault="009B1462" w:rsidP="009F7EAA">
      <w:pPr>
        <w:pStyle w:val="ListBullet"/>
      </w:pPr>
      <w:r>
        <w:t>Court Services Victoria</w:t>
      </w:r>
      <w:r w:rsidR="0025407D">
        <w:t xml:space="preserve">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w:t>
      </w:r>
      <w:r>
        <w:t>Court Services Victoria</w:t>
      </w:r>
      <w:r w:rsidR="0025407D">
        <w:t>.</w:t>
      </w:r>
    </w:p>
    <w:p w14:paraId="47FEE678" w14:textId="1437DCAF" w:rsidR="0025407D" w:rsidRDefault="0025407D" w:rsidP="009F7EAA">
      <w:pPr>
        <w:pStyle w:val="ListBullet"/>
      </w:pPr>
      <w:r>
        <w:t xml:space="preserve">In 2019-20 </w:t>
      </w:r>
      <w:r w:rsidR="009B1462">
        <w:t>Court Services Victoria</w:t>
      </w:r>
      <w:r>
        <w:t xml:space="preserve">’s net result from transactions was a surplus of $4.5 million that comprises a total </w:t>
      </w:r>
      <w:r w:rsidRPr="0061368A">
        <w:t>income of $673.5 million</w:t>
      </w:r>
      <w:hyperlink w:anchor="CSVCurrentYearFinReviewnote" w:history="1">
        <w:r w:rsidR="0061368A" w:rsidRPr="0061368A">
          <w:rPr>
            <w:vertAlign w:val="superscript"/>
          </w:rPr>
          <w:t>1</w:t>
        </w:r>
      </w:hyperlink>
      <w:r w:rsidRPr="0061368A">
        <w:t xml:space="preserve"> and expenditure</w:t>
      </w:r>
      <w:r>
        <w:t xml:space="preserve"> of $669.0 million.</w:t>
      </w:r>
    </w:p>
    <w:p w14:paraId="5F4749C2" w14:textId="041DF191" w:rsidR="0025407D" w:rsidRDefault="009B1462" w:rsidP="009F7EAA">
      <w:pPr>
        <w:pStyle w:val="ListBullet"/>
      </w:pPr>
      <w:r>
        <w:t>Court Services Victoria</w:t>
      </w:r>
      <w:r w:rsidR="0025407D">
        <w:t>’s net assets of $1.042 billion comprises total assets of $1.329 billion and liabilities of $0.287 billion. Further details are provided in the balance sheet in the financial statements.</w:t>
      </w:r>
    </w:p>
    <w:p w14:paraId="7A19F056" w14:textId="77777777" w:rsidR="0061368A" w:rsidRDefault="0061368A" w:rsidP="0061368A">
      <w:pPr>
        <w:pStyle w:val="NotesText"/>
        <w:spacing w:before="240"/>
      </w:pPr>
      <w:r>
        <w:t>Note:</w:t>
      </w:r>
    </w:p>
    <w:p w14:paraId="188E662A" w14:textId="7AECC098" w:rsidR="0061368A" w:rsidRDefault="0061368A" w:rsidP="00F110E7">
      <w:pPr>
        <w:pStyle w:val="NotesNumberedList"/>
        <w:numPr>
          <w:ilvl w:val="0"/>
          <w:numId w:val="49"/>
        </w:numPr>
      </w:pPr>
      <w:bookmarkStart w:id="100" w:name="CSVCurrentYearFinReviewnote"/>
      <w:bookmarkEnd w:id="100"/>
      <w:r>
        <w:t>This figure relates to actual revenue.</w:t>
      </w:r>
    </w:p>
    <w:p w14:paraId="41C43688" w14:textId="0AFF806D" w:rsidR="004B6BAC" w:rsidRPr="007A0D86" w:rsidRDefault="004B6BAC" w:rsidP="004B6BAC">
      <w:pPr>
        <w:pStyle w:val="Heading3"/>
      </w:pPr>
      <w:bookmarkStart w:id="101" w:name="_Ref22639801"/>
      <w:bookmarkStart w:id="102" w:name="_Ref22643767"/>
      <w:bookmarkStart w:id="103" w:name="_Toc62808082"/>
      <w:r w:rsidRPr="007A0D86">
        <w:t>Budget Allocation</w:t>
      </w:r>
      <w:bookmarkEnd w:id="101"/>
      <w:bookmarkEnd w:id="102"/>
      <w:bookmarkEnd w:id="103"/>
    </w:p>
    <w:p w14:paraId="03C83441" w14:textId="37C81F4F" w:rsidR="0061368A" w:rsidRDefault="009B1462" w:rsidP="006849F7">
      <w:pPr>
        <w:pStyle w:val="BodyText"/>
      </w:pPr>
      <w:r>
        <w:t>Court Services Victoria</w:t>
      </w:r>
      <w:r w:rsidR="006849F7">
        <w:t xml:space="preserve">’s budget is allocated to each of the jurisdictions, Jurisdiction Services, the College and the Commission, in accordance with budgets approved by the Attorney-General under section 41 of the </w:t>
      </w:r>
      <w:r w:rsidR="006849F7" w:rsidRPr="0061368A">
        <w:rPr>
          <w:rStyle w:val="Italics"/>
        </w:rPr>
        <w:t>Court Services Victoria Act</w:t>
      </w:r>
      <w:r w:rsidR="006849F7">
        <w:t>.</w:t>
      </w:r>
    </w:p>
    <w:p w14:paraId="60BDC85B" w14:textId="56660AC9" w:rsidR="006849F7" w:rsidRDefault="006849F7" w:rsidP="006849F7">
      <w:pPr>
        <w:pStyle w:val="BodyText"/>
      </w:pPr>
      <w:r>
        <w:t xml:space="preserve">The </w:t>
      </w:r>
      <w:r w:rsidR="009B1462">
        <w:t>Court Services Victoria</w:t>
      </w:r>
      <w:r>
        <w:t xml:space="preserve"> budget breakdown for the purposes of corporate functions, the jurisdictions, the College, and the Commission is shown in </w:t>
      </w:r>
      <w:r w:rsidR="009B6567">
        <w:fldChar w:fldCharType="begin"/>
      </w:r>
      <w:r w:rsidR="009B6567">
        <w:instrText xml:space="preserve"> REF _Ref22666101 \h </w:instrText>
      </w:r>
      <w:r w:rsidR="009B6567">
        <w:fldChar w:fldCharType="separate"/>
      </w:r>
      <w:r w:rsidR="00D46E6D" w:rsidRPr="007A0D86">
        <w:t>Ta</w:t>
      </w:r>
      <w:r w:rsidR="00D46E6D">
        <w:t xml:space="preserve">ble </w:t>
      </w:r>
      <w:r w:rsidR="00D46E6D">
        <w:rPr>
          <w:noProof/>
        </w:rPr>
        <w:t>3</w:t>
      </w:r>
      <w:r w:rsidR="009B6567">
        <w:fldChar w:fldCharType="end"/>
      </w:r>
      <w:r>
        <w:t xml:space="preserve">, and includes funding from annual and special appropriations, as well as trust funding. Charges relating to the corporate functions set out below include the whole of </w:t>
      </w:r>
      <w:r w:rsidR="009B1462">
        <w:t>Court Services Victoria</w:t>
      </w:r>
      <w:r>
        <w:t xml:space="preserve"> charges, such as capital asset charges and depreciation.</w:t>
      </w:r>
    </w:p>
    <w:p w14:paraId="13FFA926" w14:textId="005E0A74" w:rsidR="006849F7" w:rsidRDefault="006849F7" w:rsidP="006849F7">
      <w:pPr>
        <w:pStyle w:val="BodyText"/>
      </w:pPr>
      <w:r>
        <w:t xml:space="preserve">Built into appropriation funding is depreciation, rent, accommodation and a capital asset charge. These are classified as non-discretionary items and funding is held and managed centrally by </w:t>
      </w:r>
      <w:r w:rsidR="009B1462">
        <w:t>Court Services Victoria</w:t>
      </w:r>
      <w:r>
        <w:t>.</w:t>
      </w:r>
    </w:p>
    <w:p w14:paraId="7F70C0C1" w14:textId="46C3CECF" w:rsidR="006849F7" w:rsidRDefault="006849F7" w:rsidP="004B6BAC">
      <w:pPr>
        <w:pStyle w:val="BodyText"/>
      </w:pPr>
      <w:r>
        <w:t>The budget allocation profiles of Jurisdiction Services and Shared Support Services, the jurisdictions, the College, and the Commission are based on an historical allocations profile adjusted for savings, indexation and new funding.</w:t>
      </w:r>
    </w:p>
    <w:p w14:paraId="38A9F030" w14:textId="04004AA0" w:rsidR="004B6BAC" w:rsidRDefault="004B6BAC" w:rsidP="001D5E45">
      <w:pPr>
        <w:pStyle w:val="Caption"/>
      </w:pPr>
      <w:bookmarkStart w:id="104" w:name="_Ref22666101"/>
      <w:r w:rsidRPr="007A0D86">
        <w:t>Ta</w:t>
      </w:r>
      <w:r w:rsidR="006F3CF5">
        <w:t xml:space="preserve">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3</w:t>
      </w:r>
      <w:r w:rsidR="00D42A70">
        <w:rPr>
          <w:noProof/>
        </w:rPr>
        <w:fldChar w:fldCharType="end"/>
      </w:r>
      <w:bookmarkEnd w:id="104"/>
      <w:r w:rsidR="006F3CF5">
        <w:t xml:space="preserve">: </w:t>
      </w:r>
      <w:r w:rsidR="00E57EEE">
        <w:t>Court Services Victoria</w:t>
      </w:r>
      <w:r w:rsidR="006F3CF5">
        <w:t>’s Budget Allocation b</w:t>
      </w:r>
      <w:r w:rsidRPr="007A0D86">
        <w:t>y Jurisdiction</w:t>
      </w:r>
    </w:p>
    <w:tbl>
      <w:tblPr>
        <w:tblStyle w:val="AccessibleTableNumerical"/>
        <w:tblW w:w="5000" w:type="pct"/>
        <w:tblLook w:val="06E0" w:firstRow="1" w:lastRow="1" w:firstColumn="1" w:lastColumn="0" w:noHBand="1" w:noVBand="1"/>
      </w:tblPr>
      <w:tblGrid>
        <w:gridCol w:w="5027"/>
        <w:gridCol w:w="2306"/>
        <w:gridCol w:w="2306"/>
      </w:tblGrid>
      <w:tr w:rsidR="00FF32EE" w:rsidRPr="00FF32EE" w14:paraId="417715EF" w14:textId="77777777" w:rsidTr="009B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7" w:type="pct"/>
          </w:tcPr>
          <w:p w14:paraId="5A36FBE5" w14:textId="6B125D1D" w:rsidR="00FF32EE" w:rsidRPr="00FF32EE" w:rsidRDefault="00FF32EE" w:rsidP="00FF32EE">
            <w:pPr>
              <w:pStyle w:val="TableText"/>
            </w:pPr>
            <w:bookmarkStart w:id="105" w:name="ColumnTitle_22"/>
            <w:r w:rsidRPr="00FF32EE">
              <w:t xml:space="preserve">By </w:t>
            </w:r>
            <w:r w:rsidR="00614C9A">
              <w:t>b</w:t>
            </w:r>
            <w:r w:rsidRPr="00FF32EE">
              <w:t xml:space="preserve">usiness </w:t>
            </w:r>
            <w:r w:rsidR="00614C9A">
              <w:t>a</w:t>
            </w:r>
            <w:r w:rsidRPr="00FF32EE">
              <w:t>rea</w:t>
            </w:r>
          </w:p>
        </w:tc>
        <w:tc>
          <w:tcPr>
            <w:tcW w:w="1196" w:type="pct"/>
            <w:vAlign w:val="bottom"/>
          </w:tcPr>
          <w:p w14:paraId="0A6A7648" w14:textId="02FF6B00" w:rsidR="00FF32EE" w:rsidRPr="00FF32EE" w:rsidRDefault="00FF32EE" w:rsidP="009B6567">
            <w:pPr>
              <w:pStyle w:val="TableText"/>
              <w:cnfStyle w:val="100000000000" w:firstRow="1" w:lastRow="0" w:firstColumn="0" w:lastColumn="0" w:oddVBand="0" w:evenVBand="0" w:oddHBand="0" w:evenHBand="0" w:firstRowFirstColumn="0" w:firstRowLastColumn="0" w:lastRowFirstColumn="0" w:lastRowLastColumn="0"/>
            </w:pPr>
            <w:r w:rsidRPr="00FF32EE">
              <w:t>201</w:t>
            </w:r>
            <w:r w:rsidR="00414127">
              <w:t>9</w:t>
            </w:r>
            <w:r w:rsidRPr="00FF32EE">
              <w:t>-</w:t>
            </w:r>
            <w:r w:rsidR="00414127">
              <w:t>20</w:t>
            </w:r>
            <w:r w:rsidR="000D18B8">
              <w:br/>
            </w:r>
            <w:r w:rsidRPr="00FF32EE">
              <w:t xml:space="preserve">Published </w:t>
            </w:r>
            <w:r w:rsidR="00614C9A">
              <w:t>b</w:t>
            </w:r>
            <w:r w:rsidRPr="00FF32EE">
              <w:t>udget</w:t>
            </w:r>
            <w:r w:rsidRPr="00FF32EE">
              <w:br/>
              <w:t>$m</w:t>
            </w:r>
          </w:p>
        </w:tc>
        <w:tc>
          <w:tcPr>
            <w:tcW w:w="1196" w:type="pct"/>
            <w:vAlign w:val="bottom"/>
          </w:tcPr>
          <w:p w14:paraId="314865D3" w14:textId="11E3CEFE" w:rsidR="00FF32EE" w:rsidRPr="00FF32EE" w:rsidRDefault="00FF32EE" w:rsidP="009B6567">
            <w:pPr>
              <w:pStyle w:val="TableText"/>
              <w:cnfStyle w:val="100000000000" w:firstRow="1" w:lastRow="0" w:firstColumn="0" w:lastColumn="0" w:oddVBand="0" w:evenVBand="0" w:oddHBand="0" w:evenHBand="0" w:firstRowFirstColumn="0" w:firstRowLastColumn="0" w:lastRowFirstColumn="0" w:lastRowLastColumn="0"/>
            </w:pPr>
            <w:r w:rsidRPr="00FF32EE">
              <w:t>201</w:t>
            </w:r>
            <w:r w:rsidR="00414127">
              <w:t>9</w:t>
            </w:r>
            <w:r w:rsidRPr="00FF32EE">
              <w:t>-</w:t>
            </w:r>
            <w:r w:rsidR="00414127">
              <w:t>20</w:t>
            </w:r>
            <w:r w:rsidR="000D18B8">
              <w:br/>
            </w:r>
            <w:r w:rsidRPr="00FF32EE">
              <w:t xml:space="preserve">Revised </w:t>
            </w:r>
            <w:r w:rsidR="00614C9A">
              <w:t>b</w:t>
            </w:r>
            <w:r w:rsidRPr="00FF32EE">
              <w:t>udget</w:t>
            </w:r>
            <w:r w:rsidRPr="00FF32EE">
              <w:br/>
              <w:t>$m</w:t>
            </w:r>
          </w:p>
        </w:tc>
      </w:tr>
      <w:bookmarkEnd w:id="105"/>
      <w:tr w:rsidR="00FF32EE" w:rsidRPr="00FF32EE" w14:paraId="01134D43"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10915A34" w14:textId="77777777" w:rsidR="00FF32EE" w:rsidRPr="00FF32EE" w:rsidRDefault="00FF32EE" w:rsidP="00FF32EE">
            <w:pPr>
              <w:pStyle w:val="TableText"/>
            </w:pPr>
            <w:r w:rsidRPr="00FF32EE">
              <w:t>Supreme Court of Victoria</w:t>
            </w:r>
          </w:p>
        </w:tc>
        <w:tc>
          <w:tcPr>
            <w:tcW w:w="1196" w:type="pct"/>
          </w:tcPr>
          <w:p w14:paraId="333E3157" w14:textId="2BADED68"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84.0</w:t>
            </w:r>
          </w:p>
        </w:tc>
        <w:tc>
          <w:tcPr>
            <w:tcW w:w="1196" w:type="pct"/>
          </w:tcPr>
          <w:p w14:paraId="73F7B623" w14:textId="0D124F64"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90.0</w:t>
            </w:r>
          </w:p>
        </w:tc>
      </w:tr>
      <w:tr w:rsidR="00FF32EE" w:rsidRPr="00FF32EE" w14:paraId="0566500E"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5C87B038" w14:textId="77777777" w:rsidR="00FF32EE" w:rsidRPr="00FF32EE" w:rsidRDefault="00FF32EE" w:rsidP="00FF32EE">
            <w:pPr>
              <w:pStyle w:val="TableText"/>
            </w:pPr>
            <w:r w:rsidRPr="00FF32EE">
              <w:t>County Court of Victoria</w:t>
            </w:r>
          </w:p>
        </w:tc>
        <w:tc>
          <w:tcPr>
            <w:tcW w:w="1196" w:type="pct"/>
          </w:tcPr>
          <w:p w14:paraId="5C804CFA" w14:textId="2E299AEB"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104.6</w:t>
            </w:r>
          </w:p>
        </w:tc>
        <w:tc>
          <w:tcPr>
            <w:tcW w:w="1196" w:type="pct"/>
          </w:tcPr>
          <w:p w14:paraId="4116090F" w14:textId="6D85A7EA"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111.8</w:t>
            </w:r>
          </w:p>
        </w:tc>
      </w:tr>
      <w:tr w:rsidR="00FF32EE" w:rsidRPr="00FF32EE" w14:paraId="2BB73701"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4119E720" w14:textId="77777777" w:rsidR="00FF32EE" w:rsidRPr="00FF32EE" w:rsidRDefault="00FF32EE" w:rsidP="00FF32EE">
            <w:pPr>
              <w:pStyle w:val="TableText"/>
            </w:pPr>
            <w:r w:rsidRPr="00FF32EE">
              <w:t>Magistrates’ Court of Victoria</w:t>
            </w:r>
          </w:p>
        </w:tc>
        <w:tc>
          <w:tcPr>
            <w:tcW w:w="1196" w:type="pct"/>
          </w:tcPr>
          <w:p w14:paraId="19C49FC1" w14:textId="25D5CE95"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217.4</w:t>
            </w:r>
          </w:p>
        </w:tc>
        <w:tc>
          <w:tcPr>
            <w:tcW w:w="1196" w:type="pct"/>
          </w:tcPr>
          <w:p w14:paraId="27315C86" w14:textId="3FB231E3"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229.6</w:t>
            </w:r>
          </w:p>
        </w:tc>
      </w:tr>
      <w:tr w:rsidR="00FF32EE" w:rsidRPr="00FF32EE" w14:paraId="5BC1F386"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2EC5EF4A" w14:textId="77777777" w:rsidR="00FF32EE" w:rsidRPr="00FF32EE" w:rsidRDefault="00FF32EE" w:rsidP="00FF32EE">
            <w:pPr>
              <w:pStyle w:val="TableText"/>
            </w:pPr>
            <w:r w:rsidRPr="00FF32EE">
              <w:t>Victorian Civil &amp; Administrative Tribunal</w:t>
            </w:r>
          </w:p>
        </w:tc>
        <w:tc>
          <w:tcPr>
            <w:tcW w:w="1196" w:type="pct"/>
          </w:tcPr>
          <w:p w14:paraId="7A79C01F" w14:textId="149A3525"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54.4</w:t>
            </w:r>
          </w:p>
        </w:tc>
        <w:tc>
          <w:tcPr>
            <w:tcW w:w="1196" w:type="pct"/>
          </w:tcPr>
          <w:p w14:paraId="2BCC6817" w14:textId="444B2292"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66.7</w:t>
            </w:r>
          </w:p>
        </w:tc>
      </w:tr>
      <w:tr w:rsidR="00FF32EE" w:rsidRPr="00FF32EE" w14:paraId="25381CA3"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3AA84C39" w14:textId="77777777" w:rsidR="00FF32EE" w:rsidRPr="00FF32EE" w:rsidRDefault="00FF32EE" w:rsidP="00FF32EE">
            <w:pPr>
              <w:pStyle w:val="TableText"/>
            </w:pPr>
            <w:r w:rsidRPr="00FF32EE">
              <w:t>Children’s Court of Victoria</w:t>
            </w:r>
          </w:p>
        </w:tc>
        <w:tc>
          <w:tcPr>
            <w:tcW w:w="1196" w:type="pct"/>
          </w:tcPr>
          <w:p w14:paraId="6580F9CD" w14:textId="3D690FDD"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28.1</w:t>
            </w:r>
          </w:p>
        </w:tc>
        <w:tc>
          <w:tcPr>
            <w:tcW w:w="1196" w:type="pct"/>
          </w:tcPr>
          <w:p w14:paraId="1FFC182C" w14:textId="5EC289CC"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31.7</w:t>
            </w:r>
          </w:p>
        </w:tc>
      </w:tr>
      <w:tr w:rsidR="00FF32EE" w:rsidRPr="00FF32EE" w14:paraId="795127E2"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74AF6C15" w14:textId="77777777" w:rsidR="00FF32EE" w:rsidRPr="00FF32EE" w:rsidRDefault="00FF32EE" w:rsidP="00FF32EE">
            <w:pPr>
              <w:pStyle w:val="TableText"/>
            </w:pPr>
            <w:r w:rsidRPr="00FF32EE">
              <w:t>Coroners Court of Victoria</w:t>
            </w:r>
          </w:p>
        </w:tc>
        <w:tc>
          <w:tcPr>
            <w:tcW w:w="1196" w:type="pct"/>
          </w:tcPr>
          <w:p w14:paraId="08D25DCA" w14:textId="4F60B9CF"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19.5</w:t>
            </w:r>
          </w:p>
        </w:tc>
        <w:tc>
          <w:tcPr>
            <w:tcW w:w="1196" w:type="pct"/>
          </w:tcPr>
          <w:p w14:paraId="0964C11D" w14:textId="61056415"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23.1</w:t>
            </w:r>
          </w:p>
        </w:tc>
      </w:tr>
      <w:tr w:rsidR="00FF32EE" w:rsidRPr="00FF32EE" w14:paraId="47D0CA81"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39740BB4" w14:textId="77777777" w:rsidR="00FF32EE" w:rsidRPr="00FF32EE" w:rsidRDefault="00FF32EE" w:rsidP="00FF32EE">
            <w:pPr>
              <w:pStyle w:val="TableText"/>
            </w:pPr>
            <w:r w:rsidRPr="00FF32EE">
              <w:t>Judicial College of Victoria</w:t>
            </w:r>
          </w:p>
        </w:tc>
        <w:tc>
          <w:tcPr>
            <w:tcW w:w="1196" w:type="pct"/>
          </w:tcPr>
          <w:p w14:paraId="33F1C2F2" w14:textId="0BECA6AE"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3.9</w:t>
            </w:r>
          </w:p>
        </w:tc>
        <w:tc>
          <w:tcPr>
            <w:tcW w:w="1196" w:type="pct"/>
          </w:tcPr>
          <w:p w14:paraId="5CD08D7D" w14:textId="5DCA7A8F"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4.4</w:t>
            </w:r>
          </w:p>
        </w:tc>
      </w:tr>
      <w:tr w:rsidR="00FF32EE" w:rsidRPr="00FF32EE" w14:paraId="615E60A5"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2FF58564" w14:textId="77777777" w:rsidR="00FF32EE" w:rsidRPr="00FF32EE" w:rsidRDefault="00FF32EE" w:rsidP="00FF32EE">
            <w:pPr>
              <w:pStyle w:val="TableText"/>
            </w:pPr>
            <w:r w:rsidRPr="00FF32EE">
              <w:t>Judicial Commission of Victoria</w:t>
            </w:r>
          </w:p>
        </w:tc>
        <w:tc>
          <w:tcPr>
            <w:tcW w:w="1196" w:type="pct"/>
          </w:tcPr>
          <w:p w14:paraId="790B0E96" w14:textId="786D8AEC"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1.4</w:t>
            </w:r>
          </w:p>
        </w:tc>
        <w:tc>
          <w:tcPr>
            <w:tcW w:w="1196" w:type="pct"/>
          </w:tcPr>
          <w:p w14:paraId="383B98B6" w14:textId="39F7237C"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3.3</w:t>
            </w:r>
          </w:p>
        </w:tc>
      </w:tr>
      <w:tr w:rsidR="00FF32EE" w:rsidRPr="00FF32EE" w14:paraId="05C22765"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7CAE94AC" w14:textId="77777777" w:rsidR="00FF32EE" w:rsidRPr="00FF32EE" w:rsidRDefault="00FF32EE" w:rsidP="00FF32EE">
            <w:pPr>
              <w:pStyle w:val="TableText"/>
            </w:pPr>
            <w:r w:rsidRPr="00FF32EE">
              <w:t>Jurisdiction Services</w:t>
            </w:r>
          </w:p>
        </w:tc>
        <w:tc>
          <w:tcPr>
            <w:tcW w:w="1196" w:type="pct"/>
          </w:tcPr>
          <w:p w14:paraId="508A788E" w14:textId="4A1190CA"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72.0</w:t>
            </w:r>
          </w:p>
        </w:tc>
        <w:tc>
          <w:tcPr>
            <w:tcW w:w="1196" w:type="pct"/>
          </w:tcPr>
          <w:p w14:paraId="6B3FB2FB" w14:textId="1473E2A3"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79.3</w:t>
            </w:r>
          </w:p>
        </w:tc>
      </w:tr>
      <w:tr w:rsidR="00FF32EE" w:rsidRPr="00FF32EE" w14:paraId="564230F6" w14:textId="77777777" w:rsidTr="00FF32EE">
        <w:tc>
          <w:tcPr>
            <w:cnfStyle w:val="001000000000" w:firstRow="0" w:lastRow="0" w:firstColumn="1" w:lastColumn="0" w:oddVBand="0" w:evenVBand="0" w:oddHBand="0" w:evenHBand="0" w:firstRowFirstColumn="0" w:firstRowLastColumn="0" w:lastRowFirstColumn="0" w:lastRowLastColumn="0"/>
            <w:tcW w:w="2607" w:type="pct"/>
          </w:tcPr>
          <w:p w14:paraId="046E09DD" w14:textId="77777777" w:rsidR="00FF32EE" w:rsidRPr="00FF32EE" w:rsidRDefault="00FF32EE" w:rsidP="00FF32EE">
            <w:pPr>
              <w:pStyle w:val="TableText"/>
            </w:pPr>
            <w:r w:rsidRPr="00FF32EE">
              <w:t>Shared Support Services</w:t>
            </w:r>
          </w:p>
        </w:tc>
        <w:tc>
          <w:tcPr>
            <w:tcW w:w="1196" w:type="pct"/>
          </w:tcPr>
          <w:p w14:paraId="0C7D114B" w14:textId="3453F1D4"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81.3</w:t>
            </w:r>
          </w:p>
        </w:tc>
        <w:tc>
          <w:tcPr>
            <w:tcW w:w="1196" w:type="pct"/>
          </w:tcPr>
          <w:p w14:paraId="350D31F4" w14:textId="51C603BC" w:rsidR="00FF32EE" w:rsidRPr="00FF32EE" w:rsidRDefault="00CC71DF" w:rsidP="00FF32EE">
            <w:pPr>
              <w:pStyle w:val="TableText"/>
              <w:cnfStyle w:val="000000000000" w:firstRow="0" w:lastRow="0" w:firstColumn="0" w:lastColumn="0" w:oddVBand="0" w:evenVBand="0" w:oddHBand="0" w:evenHBand="0" w:firstRowFirstColumn="0" w:firstRowLastColumn="0" w:lastRowFirstColumn="0" w:lastRowLastColumn="0"/>
            </w:pPr>
            <w:r>
              <w:t>51.1</w:t>
            </w:r>
          </w:p>
        </w:tc>
      </w:tr>
      <w:tr w:rsidR="00FF32EE" w:rsidRPr="006F3CF5" w14:paraId="24ECE604" w14:textId="77777777" w:rsidTr="00FF32E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tcPr>
          <w:p w14:paraId="445D269B" w14:textId="40A47BB0" w:rsidR="00FF32EE" w:rsidRPr="006F3CF5" w:rsidRDefault="00FF32EE" w:rsidP="00FF32EE">
            <w:pPr>
              <w:pStyle w:val="TableText"/>
              <w:rPr>
                <w:rStyle w:val="Bold"/>
              </w:rPr>
            </w:pPr>
            <w:r w:rsidRPr="006F3CF5">
              <w:rPr>
                <w:rStyle w:val="Bold"/>
              </w:rPr>
              <w:t xml:space="preserve">Total </w:t>
            </w:r>
            <w:r w:rsidR="00E57EEE">
              <w:rPr>
                <w:rStyle w:val="Bold"/>
              </w:rPr>
              <w:t>Court Services Victoria</w:t>
            </w:r>
          </w:p>
        </w:tc>
        <w:tc>
          <w:tcPr>
            <w:tcW w:w="1196" w:type="pct"/>
          </w:tcPr>
          <w:p w14:paraId="449EEEF6" w14:textId="7A3F8E62" w:rsidR="00FF32EE" w:rsidRPr="006F3CF5" w:rsidRDefault="00CC71DF" w:rsidP="00FF32EE">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666.7</w:t>
            </w:r>
          </w:p>
        </w:tc>
        <w:tc>
          <w:tcPr>
            <w:tcW w:w="1196" w:type="pct"/>
          </w:tcPr>
          <w:p w14:paraId="2042275D" w14:textId="75AD4150" w:rsidR="00FF32EE" w:rsidRPr="006F3CF5" w:rsidRDefault="00CC71DF" w:rsidP="00FF32EE">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691.1</w:t>
            </w:r>
          </w:p>
        </w:tc>
      </w:tr>
    </w:tbl>
    <w:p w14:paraId="6C746640" w14:textId="77777777" w:rsidR="00E952AB" w:rsidRPr="000D0CCB" w:rsidRDefault="004B6BAC" w:rsidP="004B6BAC">
      <w:pPr>
        <w:pStyle w:val="NotesText"/>
      </w:pPr>
      <w:r w:rsidRPr="000D0CCB">
        <w:t>Notes:</w:t>
      </w:r>
    </w:p>
    <w:p w14:paraId="2B78C499" w14:textId="1A5F2EF4" w:rsidR="004B6BAC" w:rsidRPr="000D18B8" w:rsidRDefault="00E952AB" w:rsidP="00A01DC4">
      <w:pPr>
        <w:pStyle w:val="NotesNumberedList"/>
        <w:numPr>
          <w:ilvl w:val="0"/>
          <w:numId w:val="11"/>
        </w:numPr>
      </w:pPr>
      <w:r w:rsidRPr="000D18B8">
        <w:t>The</w:t>
      </w:r>
      <w:r w:rsidR="004B6BAC" w:rsidRPr="000D18B8">
        <w:t xml:space="preserve"> total </w:t>
      </w:r>
      <w:r w:rsidR="009B1462">
        <w:t>Court Services Victoria</w:t>
      </w:r>
      <w:r w:rsidR="004B6BAC" w:rsidRPr="000D18B8">
        <w:t xml:space="preserve"> budget is income from transactions. Refer to Budget Paper No. 3 for further information.</w:t>
      </w:r>
    </w:p>
    <w:p w14:paraId="531AEB3C" w14:textId="18781A4C" w:rsidR="004B6BAC" w:rsidRPr="000D18B8" w:rsidRDefault="004B6BAC" w:rsidP="004B6BAC">
      <w:pPr>
        <w:pStyle w:val="NotesNumberedList"/>
      </w:pPr>
      <w:r w:rsidRPr="000D18B8">
        <w:t xml:space="preserve">Shared Support Services captures expenditure for non-discretionary contract commitments entered into and managed by </w:t>
      </w:r>
      <w:r w:rsidR="009B1462">
        <w:t>Court Services Victoria</w:t>
      </w:r>
      <w:r w:rsidRPr="000D18B8">
        <w:t xml:space="preserve"> on behalf of the jurisdictions.</w:t>
      </w:r>
    </w:p>
    <w:p w14:paraId="4ABF4BD7" w14:textId="1F77F429" w:rsidR="004B6BAC" w:rsidRPr="007A0D86" w:rsidRDefault="00FF32EE" w:rsidP="001B4ACB">
      <w:pPr>
        <w:pStyle w:val="Heading3"/>
      </w:pPr>
      <w:bookmarkStart w:id="106" w:name="_Toc62808083"/>
      <w:r w:rsidRPr="007A0D86">
        <w:t xml:space="preserve">Disclosure </w:t>
      </w:r>
      <w:r>
        <w:t>o</w:t>
      </w:r>
      <w:r w:rsidRPr="007A0D86">
        <w:t xml:space="preserve">f Grants </w:t>
      </w:r>
      <w:r>
        <w:t>a</w:t>
      </w:r>
      <w:r w:rsidRPr="007A0D86">
        <w:t>nd Transfer Payments (other than contributions by owners)</w:t>
      </w:r>
      <w:bookmarkEnd w:id="106"/>
    </w:p>
    <w:p w14:paraId="27CD584A" w14:textId="4E5F9B2A" w:rsidR="004B6BAC" w:rsidRPr="007A0D86" w:rsidRDefault="009B1462" w:rsidP="001B4ACB">
      <w:pPr>
        <w:pStyle w:val="BodyText"/>
        <w:keepNext/>
      </w:pPr>
      <w:r>
        <w:t>Court Services Victoria</w:t>
      </w:r>
      <w:r w:rsidR="00431644">
        <w:t xml:space="preserve"> has provided assistance to certain companies and organisations. Financial assistance provided in 2019-20 is detailed below.</w:t>
      </w:r>
    </w:p>
    <w:p w14:paraId="004E4E2C" w14:textId="616C5CF6" w:rsidR="004B6BAC" w:rsidRPr="007A0D86" w:rsidRDefault="004B6BAC" w:rsidP="001B4ACB">
      <w:pPr>
        <w:pStyle w:val="Caption"/>
      </w:pPr>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4</w:t>
      </w:r>
      <w:r w:rsidR="00D42A70">
        <w:rPr>
          <w:noProof/>
        </w:rPr>
        <w:fldChar w:fldCharType="end"/>
      </w:r>
      <w:r w:rsidRPr="007A0D86">
        <w:t xml:space="preserve">: Grant </w:t>
      </w:r>
      <w:r w:rsidR="005F68BF">
        <w:t>and</w:t>
      </w:r>
      <w:r w:rsidRPr="007A0D86">
        <w:t xml:space="preserve"> Other Transfer Payments</w:t>
      </w:r>
    </w:p>
    <w:tbl>
      <w:tblPr>
        <w:tblStyle w:val="AccessibleTableNumerical"/>
        <w:tblW w:w="5000" w:type="pct"/>
        <w:tblLook w:val="06E0" w:firstRow="1" w:lastRow="1" w:firstColumn="1" w:lastColumn="0" w:noHBand="1" w:noVBand="1"/>
      </w:tblPr>
      <w:tblGrid>
        <w:gridCol w:w="3118"/>
        <w:gridCol w:w="4846"/>
        <w:gridCol w:w="1675"/>
      </w:tblGrid>
      <w:tr w:rsidR="004B6BAC" w:rsidRPr="007A0D86" w14:paraId="6FB974BB" w14:textId="77777777" w:rsidTr="00323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7" w:type="pct"/>
          </w:tcPr>
          <w:p w14:paraId="0B57346F" w14:textId="77777777" w:rsidR="004B6BAC" w:rsidRPr="007A0D86" w:rsidRDefault="004B6BAC" w:rsidP="001B4ACB">
            <w:pPr>
              <w:pStyle w:val="TableText"/>
              <w:keepNext/>
            </w:pPr>
            <w:bookmarkStart w:id="107" w:name="ColumnTitle_23"/>
            <w:r w:rsidRPr="007A0D86">
              <w:t>Organisation</w:t>
            </w:r>
          </w:p>
        </w:tc>
        <w:tc>
          <w:tcPr>
            <w:tcW w:w="2514" w:type="pct"/>
            <w:vAlign w:val="bottom"/>
          </w:tcPr>
          <w:p w14:paraId="25921CBB" w14:textId="6ABD6563" w:rsidR="004B6BAC" w:rsidRPr="007A0D86" w:rsidRDefault="004B6BAC" w:rsidP="001B4ACB">
            <w:pPr>
              <w:pStyle w:val="TableText"/>
              <w:keepNext/>
              <w:jc w:val="left"/>
              <w:cnfStyle w:val="100000000000" w:firstRow="1" w:lastRow="0" w:firstColumn="0" w:lastColumn="0" w:oddVBand="0" w:evenVBand="0" w:oddHBand="0" w:evenHBand="0" w:firstRowFirstColumn="0" w:firstRowLastColumn="0" w:lastRowFirstColumn="0" w:lastRowLastColumn="0"/>
            </w:pPr>
            <w:r w:rsidRPr="007A0D86">
              <w:t xml:space="preserve">Nature of </w:t>
            </w:r>
            <w:r w:rsidR="003C064E">
              <w:t>g</w:t>
            </w:r>
            <w:r w:rsidRPr="007A0D86">
              <w:t>rant and</w:t>
            </w:r>
            <w:r w:rsidR="00FF32EE">
              <w:t xml:space="preserve"> </w:t>
            </w:r>
            <w:r w:rsidR="003C064E">
              <w:t>o</w:t>
            </w:r>
            <w:r w:rsidRPr="007A0D86">
              <w:t xml:space="preserve">ther </w:t>
            </w:r>
            <w:r w:rsidR="003C064E">
              <w:t>t</w:t>
            </w:r>
            <w:r w:rsidRPr="007A0D86">
              <w:t xml:space="preserve">ransfer </w:t>
            </w:r>
            <w:r w:rsidR="003C064E">
              <w:t>p</w:t>
            </w:r>
            <w:r w:rsidRPr="007A0D86">
              <w:t>ayment</w:t>
            </w:r>
          </w:p>
        </w:tc>
        <w:tc>
          <w:tcPr>
            <w:tcW w:w="869" w:type="pct"/>
            <w:vAlign w:val="bottom"/>
          </w:tcPr>
          <w:p w14:paraId="7164FBBC" w14:textId="7115F2A9" w:rsidR="004B6BAC" w:rsidRPr="007A0D86" w:rsidRDefault="004B6BAC" w:rsidP="001B4ACB">
            <w:pPr>
              <w:pStyle w:val="TableText"/>
              <w:keepNext/>
              <w:cnfStyle w:val="100000000000" w:firstRow="1" w:lastRow="0" w:firstColumn="0" w:lastColumn="0" w:oddVBand="0" w:evenVBand="0" w:oddHBand="0" w:evenHBand="0" w:firstRowFirstColumn="0" w:firstRowLastColumn="0" w:lastRowFirstColumn="0" w:lastRowLastColumn="0"/>
            </w:pPr>
            <w:r w:rsidRPr="007A0D86">
              <w:t xml:space="preserve">Expenditure </w:t>
            </w:r>
            <w:r w:rsidR="006F3CF5">
              <w:t>(</w:t>
            </w:r>
            <w:r w:rsidRPr="007A0D86">
              <w:t>excluding GST)</w:t>
            </w:r>
          </w:p>
          <w:p w14:paraId="4A1A5847" w14:textId="77777777" w:rsidR="004B6BAC" w:rsidRPr="007A0D86" w:rsidRDefault="004B6BAC" w:rsidP="001B4ACB">
            <w:pPr>
              <w:pStyle w:val="TableText"/>
              <w:keepNext/>
              <w:cnfStyle w:val="100000000000" w:firstRow="1" w:lastRow="0" w:firstColumn="0" w:lastColumn="0" w:oddVBand="0" w:evenVBand="0" w:oddHBand="0" w:evenHBand="0" w:firstRowFirstColumn="0" w:firstRowLastColumn="0" w:lastRowFirstColumn="0" w:lastRowLastColumn="0"/>
            </w:pPr>
            <w:r w:rsidRPr="007A0D86">
              <w:t>$</w:t>
            </w:r>
          </w:p>
        </w:tc>
      </w:tr>
      <w:bookmarkEnd w:id="107"/>
      <w:tr w:rsidR="004B6BAC" w:rsidRPr="007A0D86" w14:paraId="3754414F"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38C01B13" w14:textId="0477ED2B" w:rsidR="004B6BAC" w:rsidRPr="007A0D86" w:rsidRDefault="00EB5F22" w:rsidP="001B4ACB">
            <w:pPr>
              <w:pStyle w:val="TableText"/>
              <w:keepNext/>
            </w:pPr>
            <w:r>
              <w:t>Corrections Victoria</w:t>
            </w:r>
          </w:p>
        </w:tc>
        <w:tc>
          <w:tcPr>
            <w:tcW w:w="2514" w:type="pct"/>
          </w:tcPr>
          <w:p w14:paraId="3CDB8C88" w14:textId="3FE13D5B" w:rsidR="004B6BAC" w:rsidRPr="007A0D86" w:rsidRDefault="00EB5F22"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2019-20 Drug Court Funding Contribution</w:t>
            </w:r>
          </w:p>
        </w:tc>
        <w:tc>
          <w:tcPr>
            <w:tcW w:w="869" w:type="pct"/>
          </w:tcPr>
          <w:p w14:paraId="4DAB1512" w14:textId="608292CD" w:rsidR="004B6BAC" w:rsidRPr="007A0D86" w:rsidRDefault="00EB5F22" w:rsidP="001B4ACB">
            <w:pPr>
              <w:pStyle w:val="TableText"/>
              <w:keepNext/>
              <w:cnfStyle w:val="000000000000" w:firstRow="0" w:lastRow="0" w:firstColumn="0" w:lastColumn="0" w:oddVBand="0" w:evenVBand="0" w:oddHBand="0" w:evenHBand="0" w:firstRowFirstColumn="0" w:firstRowLastColumn="0" w:lastRowFirstColumn="0" w:lastRowLastColumn="0"/>
            </w:pPr>
            <w:r>
              <w:t>400,000</w:t>
            </w:r>
          </w:p>
        </w:tc>
      </w:tr>
      <w:tr w:rsidR="004B6BAC" w:rsidRPr="007A0D86" w14:paraId="020F2A0C"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365A5183" w14:textId="65E98DEF" w:rsidR="004B6BAC" w:rsidRPr="007A0D86" w:rsidRDefault="00EB5F22" w:rsidP="001B4ACB">
            <w:pPr>
              <w:pStyle w:val="TableText"/>
              <w:keepNext/>
            </w:pPr>
            <w:r>
              <w:t>McAuley Community Services for Women</w:t>
            </w:r>
          </w:p>
        </w:tc>
        <w:tc>
          <w:tcPr>
            <w:tcW w:w="2514" w:type="pct"/>
          </w:tcPr>
          <w:p w14:paraId="41F5D1F3" w14:textId="03951840" w:rsidR="004B6BAC" w:rsidRPr="007A0D86" w:rsidRDefault="00EB5F22"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Support for Women and Children</w:t>
            </w:r>
          </w:p>
        </w:tc>
        <w:tc>
          <w:tcPr>
            <w:tcW w:w="869" w:type="pct"/>
          </w:tcPr>
          <w:p w14:paraId="0E843C6F" w14:textId="36582D27" w:rsidR="004B6BAC" w:rsidRPr="007A0D86" w:rsidRDefault="00EB5F22" w:rsidP="001B4ACB">
            <w:pPr>
              <w:pStyle w:val="TableText"/>
              <w:keepNext/>
              <w:cnfStyle w:val="000000000000" w:firstRow="0" w:lastRow="0" w:firstColumn="0" w:lastColumn="0" w:oddVBand="0" w:evenVBand="0" w:oddHBand="0" w:evenHBand="0" w:firstRowFirstColumn="0" w:firstRowLastColumn="0" w:lastRowFirstColumn="0" w:lastRowLastColumn="0"/>
            </w:pPr>
            <w:r>
              <w:t>455,737</w:t>
            </w:r>
          </w:p>
        </w:tc>
      </w:tr>
      <w:tr w:rsidR="004B6BAC" w:rsidRPr="007A0D86" w14:paraId="19F764F3"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1ACCB8EC" w14:textId="3F6E58D4" w:rsidR="004B6BAC" w:rsidRPr="007A0D86" w:rsidRDefault="00EB5F22" w:rsidP="001B4ACB">
            <w:pPr>
              <w:pStyle w:val="TableText"/>
              <w:keepNext/>
            </w:pPr>
            <w:r>
              <w:t>Department of Health and Human Services</w:t>
            </w:r>
          </w:p>
        </w:tc>
        <w:tc>
          <w:tcPr>
            <w:tcW w:w="2514" w:type="pct"/>
          </w:tcPr>
          <w:p w14:paraId="3ADEEFCF" w14:textId="366E4A83" w:rsidR="004B6BAC" w:rsidRPr="007A0D86" w:rsidRDefault="00EB5F22"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 xml:space="preserve">Targeted </w:t>
            </w:r>
            <w:proofErr w:type="spellStart"/>
            <w:r>
              <w:t>Womens</w:t>
            </w:r>
            <w:proofErr w:type="spellEnd"/>
            <w:r>
              <w:t xml:space="preserve"> Correctional Response Program</w:t>
            </w:r>
          </w:p>
        </w:tc>
        <w:tc>
          <w:tcPr>
            <w:tcW w:w="869" w:type="pct"/>
          </w:tcPr>
          <w:p w14:paraId="15A299EA" w14:textId="3DC7ECC3" w:rsidR="004B6BAC" w:rsidRPr="007A0D86" w:rsidRDefault="00EB5F22" w:rsidP="001B4ACB">
            <w:pPr>
              <w:pStyle w:val="TableText"/>
              <w:keepNext/>
              <w:cnfStyle w:val="000000000000" w:firstRow="0" w:lastRow="0" w:firstColumn="0" w:lastColumn="0" w:oddVBand="0" w:evenVBand="0" w:oddHBand="0" w:evenHBand="0" w:firstRowFirstColumn="0" w:firstRowLastColumn="0" w:lastRowFirstColumn="0" w:lastRowLastColumn="0"/>
            </w:pPr>
            <w:r>
              <w:t>86,167</w:t>
            </w:r>
          </w:p>
        </w:tc>
      </w:tr>
      <w:tr w:rsidR="004B6BAC" w:rsidRPr="007A0D86" w14:paraId="5BE5F876"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42E887EF" w14:textId="40D37E06" w:rsidR="004B6BAC" w:rsidRPr="007A0D86" w:rsidRDefault="00EB5F22" w:rsidP="001B4ACB">
            <w:pPr>
              <w:pStyle w:val="TableText"/>
              <w:keepNext/>
            </w:pPr>
            <w:r>
              <w:t>Department of Health and Human Services</w:t>
            </w:r>
          </w:p>
        </w:tc>
        <w:tc>
          <w:tcPr>
            <w:tcW w:w="2514" w:type="pct"/>
          </w:tcPr>
          <w:p w14:paraId="6DB3A481" w14:textId="0EE69359" w:rsidR="00EB5F22" w:rsidRPr="007A0D86" w:rsidRDefault="00EB5F22"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rsidRPr="003C064E">
              <w:t>Alcohol and Other Drug Treatment Services for Participants of the Court</w:t>
            </w:r>
            <w:r w:rsidR="003C064E">
              <w:t xml:space="preserve"> </w:t>
            </w:r>
            <w:r w:rsidRPr="003C064E">
              <w:t>Integrated Services Program (CISP)</w:t>
            </w:r>
          </w:p>
        </w:tc>
        <w:tc>
          <w:tcPr>
            <w:tcW w:w="869" w:type="pct"/>
          </w:tcPr>
          <w:p w14:paraId="1FBACA0C" w14:textId="46E4B757" w:rsidR="004B6BAC" w:rsidRPr="007A0D86" w:rsidRDefault="00EB5F22" w:rsidP="001B4ACB">
            <w:pPr>
              <w:pStyle w:val="TableText"/>
              <w:keepNext/>
              <w:cnfStyle w:val="000000000000" w:firstRow="0" w:lastRow="0" w:firstColumn="0" w:lastColumn="0" w:oddVBand="0" w:evenVBand="0" w:oddHBand="0" w:evenHBand="0" w:firstRowFirstColumn="0" w:firstRowLastColumn="0" w:lastRowFirstColumn="0" w:lastRowLastColumn="0"/>
            </w:pPr>
            <w:r>
              <w:t>3,666,650</w:t>
            </w:r>
          </w:p>
        </w:tc>
      </w:tr>
      <w:tr w:rsidR="004B6BAC" w:rsidRPr="007A0D86" w14:paraId="2C5CD9FF"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2079B95C" w14:textId="4BE8FE45" w:rsidR="004B6BAC" w:rsidRPr="007A0D86" w:rsidRDefault="00EB5F22" w:rsidP="001B4ACB">
            <w:pPr>
              <w:pStyle w:val="TableText"/>
              <w:keepNext/>
            </w:pPr>
            <w:r>
              <w:t>Department of Health and Human Services</w:t>
            </w:r>
          </w:p>
        </w:tc>
        <w:tc>
          <w:tcPr>
            <w:tcW w:w="2514" w:type="pct"/>
          </w:tcPr>
          <w:p w14:paraId="78C8C6E0" w14:textId="62F8B6BA" w:rsidR="004B6BAC" w:rsidRPr="007A0D86" w:rsidRDefault="00EB5F22"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WAYYS Emergency Housing Support</w:t>
            </w:r>
          </w:p>
        </w:tc>
        <w:tc>
          <w:tcPr>
            <w:tcW w:w="869" w:type="pct"/>
          </w:tcPr>
          <w:p w14:paraId="49827204" w14:textId="5ED2FD21" w:rsidR="004B6BAC" w:rsidRPr="007A0D86" w:rsidRDefault="00EB5F22" w:rsidP="001B4ACB">
            <w:pPr>
              <w:pStyle w:val="TableText"/>
              <w:keepNext/>
              <w:cnfStyle w:val="000000000000" w:firstRow="0" w:lastRow="0" w:firstColumn="0" w:lastColumn="0" w:oddVBand="0" w:evenVBand="0" w:oddHBand="0" w:evenHBand="0" w:firstRowFirstColumn="0" w:firstRowLastColumn="0" w:lastRowFirstColumn="0" w:lastRowLastColumn="0"/>
            </w:pPr>
            <w:r>
              <w:t>388,370</w:t>
            </w:r>
          </w:p>
        </w:tc>
      </w:tr>
      <w:tr w:rsidR="004B6BAC" w:rsidRPr="007A0D86" w14:paraId="68692D28"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0123DD9D" w14:textId="734A84DF" w:rsidR="004B6BAC" w:rsidRPr="007A0D86" w:rsidRDefault="00EB5F22" w:rsidP="00FF32EE">
            <w:pPr>
              <w:pStyle w:val="TableText"/>
            </w:pPr>
            <w:r>
              <w:t>Department of Health and Human Services</w:t>
            </w:r>
          </w:p>
        </w:tc>
        <w:tc>
          <w:tcPr>
            <w:tcW w:w="2514" w:type="pct"/>
          </w:tcPr>
          <w:p w14:paraId="57F97892" w14:textId="0A2B5169"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Forensic Mental Health Implementation Plan</w:t>
            </w:r>
          </w:p>
        </w:tc>
        <w:tc>
          <w:tcPr>
            <w:tcW w:w="869" w:type="pct"/>
          </w:tcPr>
          <w:p w14:paraId="18935D26" w14:textId="3B93A543"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160,400</w:t>
            </w:r>
          </w:p>
        </w:tc>
      </w:tr>
      <w:tr w:rsidR="004B6BAC" w:rsidRPr="007A0D86" w14:paraId="79657104"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25F633C5" w14:textId="50A8B3B9" w:rsidR="004B6BAC" w:rsidRPr="007A0D86" w:rsidRDefault="00EB5F22" w:rsidP="00FF32EE">
            <w:pPr>
              <w:pStyle w:val="TableText"/>
            </w:pPr>
            <w:r>
              <w:t>Court Network</w:t>
            </w:r>
          </w:p>
        </w:tc>
        <w:tc>
          <w:tcPr>
            <w:tcW w:w="2514" w:type="pct"/>
          </w:tcPr>
          <w:p w14:paraId="712CD70B" w14:textId="3D7035B4"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Court Services Network Agreement</w:t>
            </w:r>
          </w:p>
        </w:tc>
        <w:tc>
          <w:tcPr>
            <w:tcW w:w="869" w:type="pct"/>
          </w:tcPr>
          <w:p w14:paraId="6042AFF7" w14:textId="5FD74EA9"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1,080,000</w:t>
            </w:r>
          </w:p>
        </w:tc>
      </w:tr>
      <w:tr w:rsidR="004B6BAC" w:rsidRPr="007A0D86" w14:paraId="3F750042"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43ADA1EF" w14:textId="19260606" w:rsidR="004B6BAC" w:rsidRPr="007A0D86" w:rsidRDefault="00EB5F22" w:rsidP="00FF32EE">
            <w:pPr>
              <w:pStyle w:val="TableText"/>
            </w:pPr>
            <w:r>
              <w:t xml:space="preserve">The </w:t>
            </w:r>
            <w:proofErr w:type="spellStart"/>
            <w:r>
              <w:t>Allanah</w:t>
            </w:r>
            <w:proofErr w:type="spellEnd"/>
            <w:r>
              <w:t xml:space="preserve"> &amp; Madeline Foundation</w:t>
            </w:r>
          </w:p>
        </w:tc>
        <w:tc>
          <w:tcPr>
            <w:tcW w:w="2514" w:type="pct"/>
          </w:tcPr>
          <w:p w14:paraId="772A34D9" w14:textId="59C1B0DC"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2019-20 Grant Contribution</w:t>
            </w:r>
          </w:p>
        </w:tc>
        <w:tc>
          <w:tcPr>
            <w:tcW w:w="869" w:type="pct"/>
          </w:tcPr>
          <w:p w14:paraId="293A5FAC" w14:textId="0314F189"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250,000</w:t>
            </w:r>
          </w:p>
        </w:tc>
      </w:tr>
      <w:tr w:rsidR="004B6BAC" w:rsidRPr="007A0D86" w14:paraId="4E02D1C5"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0697B55A" w14:textId="06499AF7" w:rsidR="004B6BAC" w:rsidRPr="007A0D86" w:rsidRDefault="00EB5F22" w:rsidP="00FF32EE">
            <w:pPr>
              <w:pStyle w:val="TableText"/>
            </w:pPr>
            <w:r>
              <w:t>Supreme Court Law Library</w:t>
            </w:r>
          </w:p>
        </w:tc>
        <w:tc>
          <w:tcPr>
            <w:tcW w:w="2514" w:type="pct"/>
          </w:tcPr>
          <w:p w14:paraId="0514FB37" w14:textId="051CC13D"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2019-20 Grant Contribution</w:t>
            </w:r>
          </w:p>
        </w:tc>
        <w:tc>
          <w:tcPr>
            <w:tcW w:w="869" w:type="pct"/>
          </w:tcPr>
          <w:p w14:paraId="10F62554" w14:textId="4B6C621E"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944,381</w:t>
            </w:r>
          </w:p>
        </w:tc>
      </w:tr>
      <w:tr w:rsidR="004B6BAC" w:rsidRPr="007A0D86" w14:paraId="778AEA3D"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5D364CA1" w14:textId="211C94C7" w:rsidR="004B6BAC" w:rsidRPr="007A0D86" w:rsidRDefault="00EB5F22" w:rsidP="00FF32EE">
            <w:pPr>
              <w:pStyle w:val="TableText"/>
            </w:pPr>
            <w:r>
              <w:t>Australian Bureau of Statistics</w:t>
            </w:r>
          </w:p>
        </w:tc>
        <w:tc>
          <w:tcPr>
            <w:tcW w:w="2514" w:type="pct"/>
          </w:tcPr>
          <w:p w14:paraId="0726A312" w14:textId="1E17BDD5"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 xml:space="preserve">National Criminal Courts </w:t>
            </w:r>
            <w:r w:rsidRPr="003C064E">
              <w:t>Statistics Unit Inter-Governmental Agreement</w:t>
            </w:r>
          </w:p>
        </w:tc>
        <w:tc>
          <w:tcPr>
            <w:tcW w:w="869" w:type="pct"/>
          </w:tcPr>
          <w:p w14:paraId="704A9033" w14:textId="3080CD2D"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81,037</w:t>
            </w:r>
          </w:p>
        </w:tc>
      </w:tr>
      <w:tr w:rsidR="004B6BAC" w:rsidRPr="007A0D86" w14:paraId="6FBA4ACC"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27490DCA" w14:textId="5D69CF27" w:rsidR="004B6BAC" w:rsidRPr="007A0D86" w:rsidRDefault="00EB5F22" w:rsidP="00FF32EE">
            <w:pPr>
              <w:pStyle w:val="TableText"/>
            </w:pPr>
            <w:r>
              <w:t>Judicial College of Victoria</w:t>
            </w:r>
          </w:p>
        </w:tc>
        <w:tc>
          <w:tcPr>
            <w:tcW w:w="2514" w:type="pct"/>
          </w:tcPr>
          <w:p w14:paraId="38A2B9F4" w14:textId="02C8628E"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2019-20 Output Appropriation Funding</w:t>
            </w:r>
          </w:p>
        </w:tc>
        <w:tc>
          <w:tcPr>
            <w:tcW w:w="869" w:type="pct"/>
          </w:tcPr>
          <w:p w14:paraId="55C488A0" w14:textId="4CAB9257"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4,887,852</w:t>
            </w:r>
          </w:p>
        </w:tc>
      </w:tr>
      <w:tr w:rsidR="004B6BAC" w:rsidRPr="007A0D86" w14:paraId="0846376A" w14:textId="77777777" w:rsidTr="006F3CF5">
        <w:tc>
          <w:tcPr>
            <w:cnfStyle w:val="001000000000" w:firstRow="0" w:lastRow="0" w:firstColumn="1" w:lastColumn="0" w:oddVBand="0" w:evenVBand="0" w:oddHBand="0" w:evenHBand="0" w:firstRowFirstColumn="0" w:firstRowLastColumn="0" w:lastRowFirstColumn="0" w:lastRowLastColumn="0"/>
            <w:tcW w:w="1617" w:type="pct"/>
          </w:tcPr>
          <w:p w14:paraId="58D46ACB" w14:textId="24F53D65" w:rsidR="004B6BAC" w:rsidRPr="007A0D86" w:rsidRDefault="00EB5F22" w:rsidP="00FF32EE">
            <w:pPr>
              <w:pStyle w:val="TableText"/>
            </w:pPr>
            <w:r>
              <w:t>Judicial Commission of Victoria</w:t>
            </w:r>
          </w:p>
        </w:tc>
        <w:tc>
          <w:tcPr>
            <w:tcW w:w="2514" w:type="pct"/>
          </w:tcPr>
          <w:p w14:paraId="6811E328" w14:textId="49D05E59" w:rsidR="004B6BAC" w:rsidRPr="007A0D86" w:rsidRDefault="00EB5F22" w:rsidP="00FF32EE">
            <w:pPr>
              <w:pStyle w:val="TableText"/>
              <w:jc w:val="left"/>
              <w:cnfStyle w:val="000000000000" w:firstRow="0" w:lastRow="0" w:firstColumn="0" w:lastColumn="0" w:oddVBand="0" w:evenVBand="0" w:oddHBand="0" w:evenHBand="0" w:firstRowFirstColumn="0" w:firstRowLastColumn="0" w:lastRowFirstColumn="0" w:lastRowLastColumn="0"/>
            </w:pPr>
            <w:r>
              <w:t>2019-20 Output Appropriation Funding</w:t>
            </w:r>
          </w:p>
        </w:tc>
        <w:tc>
          <w:tcPr>
            <w:tcW w:w="869" w:type="pct"/>
          </w:tcPr>
          <w:p w14:paraId="11446793" w14:textId="666D229B" w:rsidR="004B6BAC" w:rsidRPr="007A0D86" w:rsidRDefault="00EB5F22" w:rsidP="00FF32EE">
            <w:pPr>
              <w:pStyle w:val="TableText"/>
              <w:cnfStyle w:val="000000000000" w:firstRow="0" w:lastRow="0" w:firstColumn="0" w:lastColumn="0" w:oddVBand="0" w:evenVBand="0" w:oddHBand="0" w:evenHBand="0" w:firstRowFirstColumn="0" w:firstRowLastColumn="0" w:lastRowFirstColumn="0" w:lastRowLastColumn="0"/>
            </w:pPr>
            <w:r>
              <w:t>3,058,493</w:t>
            </w:r>
          </w:p>
        </w:tc>
      </w:tr>
      <w:tr w:rsidR="004B6BAC" w:rsidRPr="006F3CF5" w14:paraId="164DCF06" w14:textId="77777777" w:rsidTr="006F3C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3D73908B" w14:textId="77777777" w:rsidR="004B6BAC" w:rsidRPr="006F3CF5" w:rsidRDefault="004B6BAC" w:rsidP="00FF32EE">
            <w:pPr>
              <w:pStyle w:val="TableText"/>
            </w:pPr>
            <w:r w:rsidRPr="006F3CF5">
              <w:t>Total</w:t>
            </w:r>
          </w:p>
        </w:tc>
        <w:tc>
          <w:tcPr>
            <w:tcW w:w="2514" w:type="pct"/>
          </w:tcPr>
          <w:p w14:paraId="157CFC8A" w14:textId="28CCFE74" w:rsidR="004B6BAC" w:rsidRPr="006F3CF5" w:rsidRDefault="000D0CCB" w:rsidP="00FF32EE">
            <w:pPr>
              <w:pStyle w:val="TableText"/>
              <w:jc w:val="left"/>
              <w:cnfStyle w:val="010000000000" w:firstRow="0" w:lastRow="1" w:firstColumn="0" w:lastColumn="0" w:oddVBand="0" w:evenVBand="0" w:oddHBand="0" w:evenHBand="0" w:firstRowFirstColumn="0" w:firstRowLastColumn="0" w:lastRowFirstColumn="0" w:lastRowLastColumn="0"/>
            </w:pPr>
            <w:r>
              <w:t>N/A</w:t>
            </w:r>
          </w:p>
        </w:tc>
        <w:tc>
          <w:tcPr>
            <w:tcW w:w="869" w:type="pct"/>
          </w:tcPr>
          <w:p w14:paraId="76F0FE04" w14:textId="4CC9145D" w:rsidR="004B6BAC" w:rsidRPr="006F3CF5" w:rsidRDefault="00EB5F22" w:rsidP="00FF32EE">
            <w:pPr>
              <w:pStyle w:val="TableText"/>
              <w:cnfStyle w:val="010000000000" w:firstRow="0" w:lastRow="1" w:firstColumn="0" w:lastColumn="0" w:oddVBand="0" w:evenVBand="0" w:oddHBand="0" w:evenHBand="0" w:firstRowFirstColumn="0" w:firstRowLastColumn="0" w:lastRowFirstColumn="0" w:lastRowLastColumn="0"/>
            </w:pPr>
            <w:r>
              <w:t>15,459,087</w:t>
            </w:r>
          </w:p>
        </w:tc>
      </w:tr>
    </w:tbl>
    <w:p w14:paraId="32641E06" w14:textId="77777777" w:rsidR="00CF2D24" w:rsidRDefault="00CF2D24" w:rsidP="00CF2D24">
      <w:pPr>
        <w:pStyle w:val="BodyText"/>
      </w:pPr>
    </w:p>
    <w:p w14:paraId="3B0E43F8" w14:textId="5F4698E3" w:rsidR="00481178" w:rsidRDefault="00481178" w:rsidP="00CF2D24">
      <w:pPr>
        <w:pStyle w:val="BodyText"/>
        <w:sectPr w:rsidR="00481178" w:rsidSect="0087260D">
          <w:pgSz w:w="11907" w:h="16839"/>
          <w:pgMar w:top="1701" w:right="1134" w:bottom="1134" w:left="1134" w:header="567" w:footer="567" w:gutter="0"/>
          <w:cols w:space="720"/>
          <w:docGrid w:linePitch="299"/>
        </w:sectPr>
      </w:pPr>
    </w:p>
    <w:p w14:paraId="5C633BEC" w14:textId="4B91FFC7" w:rsidR="004B6BAC" w:rsidRPr="007A0D86" w:rsidRDefault="004B6BAC" w:rsidP="005A746E">
      <w:pPr>
        <w:pStyle w:val="Heading1"/>
      </w:pPr>
      <w:bookmarkStart w:id="108" w:name="_Toc62808084"/>
      <w:r w:rsidRPr="007A0D86">
        <w:t>Section 3</w:t>
      </w:r>
      <w:r w:rsidR="006A0BB2">
        <w:t>:</w:t>
      </w:r>
      <w:r w:rsidRPr="007A0D86">
        <w:t xml:space="preserve"> Workforce Data</w:t>
      </w:r>
      <w:bookmarkEnd w:id="108"/>
    </w:p>
    <w:p w14:paraId="188798BD" w14:textId="77777777" w:rsidR="00E952AB" w:rsidRDefault="004B6BAC" w:rsidP="004B6BAC">
      <w:pPr>
        <w:pStyle w:val="Heading2"/>
      </w:pPr>
      <w:bookmarkStart w:id="109" w:name="_Ref22640371"/>
      <w:bookmarkStart w:id="110" w:name="_Toc62808085"/>
      <w:r w:rsidRPr="007A0D86">
        <w:t>Workforce Data</w:t>
      </w:r>
      <w:bookmarkEnd w:id="109"/>
      <w:bookmarkEnd w:id="110"/>
    </w:p>
    <w:p w14:paraId="536840DA" w14:textId="0A9E44CB" w:rsidR="00481178" w:rsidRDefault="00481178" w:rsidP="00481178">
      <w:pPr>
        <w:pStyle w:val="BodyText"/>
      </w:pPr>
      <w:r>
        <w:t xml:space="preserve">The People and Culture division monitors </w:t>
      </w:r>
      <w:r w:rsidR="009B1462">
        <w:t>Court Services Victoria</w:t>
      </w:r>
      <w:r>
        <w:t xml:space="preserve"> </w:t>
      </w:r>
      <w:proofErr w:type="spellStart"/>
      <w:r>
        <w:t>statewide</w:t>
      </w:r>
      <w:proofErr w:type="spellEnd"/>
      <w:r>
        <w:t xml:space="preserve"> workforce data. The following table includes data for actual full-time equivalent (FTE) Victorian Public Service (VPS) employees and does not include statutory appointees.</w:t>
      </w:r>
    </w:p>
    <w:p w14:paraId="3DD60058" w14:textId="19FDAE7A" w:rsidR="004B6BAC" w:rsidRDefault="004B6BAC" w:rsidP="001D5E45">
      <w:pPr>
        <w:pStyle w:val="Caption"/>
      </w:pPr>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5</w:t>
      </w:r>
      <w:r w:rsidR="00D42A70">
        <w:rPr>
          <w:noProof/>
        </w:rPr>
        <w:fldChar w:fldCharType="end"/>
      </w:r>
      <w:r w:rsidRPr="007A0D86">
        <w:t xml:space="preserve">: Details </w:t>
      </w:r>
      <w:r w:rsidR="006A0BB2">
        <w:t>o</w:t>
      </w:r>
      <w:r w:rsidR="006A197A">
        <w:t>f Employment Levels i</w:t>
      </w:r>
      <w:r w:rsidRPr="007A0D86">
        <w:t>n June 201</w:t>
      </w:r>
      <w:r w:rsidR="00481178">
        <w:t>9</w:t>
      </w:r>
      <w:r w:rsidRPr="007A0D86">
        <w:t xml:space="preserve"> </w:t>
      </w:r>
      <w:r w:rsidR="005F68BF">
        <w:t>and</w:t>
      </w:r>
      <w:r w:rsidRPr="007A0D86">
        <w:t xml:space="preserve"> June 20</w:t>
      </w:r>
      <w:r w:rsidR="00481178">
        <w:t>20</w:t>
      </w:r>
    </w:p>
    <w:p w14:paraId="7746A7A5" w14:textId="269C3AA0" w:rsidR="00A9708C" w:rsidRDefault="003B5B23" w:rsidP="003923AB">
      <w:pPr>
        <w:pStyle w:val="BodyText"/>
      </w:pPr>
      <w:r w:rsidRPr="006F3CF5">
        <w:t>Demographic Data: Gender</w:t>
      </w:r>
    </w:p>
    <w:tbl>
      <w:tblPr>
        <w:tblStyle w:val="AccessibleTableNumerical"/>
        <w:tblW w:w="5000" w:type="pct"/>
        <w:tblLayout w:type="fixed"/>
        <w:tblLook w:val="06A0" w:firstRow="1" w:lastRow="0" w:firstColumn="1" w:lastColumn="0" w:noHBand="1" w:noVBand="1"/>
      </w:tblPr>
      <w:tblGrid>
        <w:gridCol w:w="1418"/>
        <w:gridCol w:w="1559"/>
        <w:gridCol w:w="1585"/>
        <w:gridCol w:w="1628"/>
        <w:gridCol w:w="1323"/>
        <w:gridCol w:w="1366"/>
        <w:gridCol w:w="1327"/>
        <w:gridCol w:w="1366"/>
        <w:gridCol w:w="1469"/>
        <w:gridCol w:w="1344"/>
        <w:gridCol w:w="1491"/>
        <w:gridCol w:w="1417"/>
        <w:gridCol w:w="1417"/>
        <w:gridCol w:w="1417"/>
        <w:gridCol w:w="1413"/>
      </w:tblGrid>
      <w:tr w:rsidR="00A9708C" w:rsidRPr="003B5B23" w14:paraId="02496B0C" w14:textId="77777777" w:rsidTr="00A85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 w:type="pct"/>
          </w:tcPr>
          <w:p w14:paraId="13A5FCD2" w14:textId="4A33D7E5" w:rsidR="00A9708C" w:rsidRPr="003B5B23" w:rsidRDefault="003923AB" w:rsidP="00892F2C">
            <w:pPr>
              <w:pStyle w:val="TableText"/>
            </w:pPr>
            <w:bookmarkStart w:id="111" w:name="ColumnTitle_28117"/>
            <w:r w:rsidRPr="006F3CF5">
              <w:rPr>
                <w:rStyle w:val="Bold"/>
              </w:rPr>
              <w:t>Gender</w:t>
            </w:r>
          </w:p>
        </w:tc>
        <w:tc>
          <w:tcPr>
            <w:tcW w:w="362" w:type="pct"/>
            <w:vAlign w:val="bottom"/>
          </w:tcPr>
          <w:p w14:paraId="61E0D2AA" w14:textId="4081202C"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 xml:space="preserve">9 </w:t>
            </w:r>
            <w:proofErr w:type="gramStart"/>
            <w:r w:rsidRPr="006F3CF5">
              <w:rPr>
                <w:rStyle w:val="Bold"/>
              </w:rPr>
              <w:t>All</w:t>
            </w:r>
            <w:r w:rsidR="00A85CA8">
              <w:rPr>
                <w:rStyle w:val="Bold"/>
              </w:rPr>
              <w:t xml:space="preserve">  </w:t>
            </w:r>
            <w:r w:rsidRPr="006F3CF5">
              <w:rPr>
                <w:rStyle w:val="Bold"/>
              </w:rPr>
              <w:t>employees</w:t>
            </w:r>
            <w:proofErr w:type="gramEnd"/>
            <w:r w:rsidRPr="006F3CF5">
              <w:rPr>
                <w:rStyle w:val="Bold"/>
              </w:rPr>
              <w:t xml:space="preserve"> Number (headcount)</w:t>
            </w:r>
          </w:p>
        </w:tc>
        <w:tc>
          <w:tcPr>
            <w:tcW w:w="368" w:type="pct"/>
            <w:vAlign w:val="bottom"/>
          </w:tcPr>
          <w:p w14:paraId="08FE9D73" w14:textId="0D23875D"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All employees </w:t>
            </w:r>
            <w:r w:rsidR="00A10DBB">
              <w:rPr>
                <w:rStyle w:val="Bold"/>
              </w:rPr>
              <w:t>Full-time Equivalent</w:t>
            </w:r>
          </w:p>
        </w:tc>
        <w:tc>
          <w:tcPr>
            <w:tcW w:w="378" w:type="pct"/>
            <w:vAlign w:val="bottom"/>
          </w:tcPr>
          <w:p w14:paraId="2AEB0884" w14:textId="66C48C2A"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Ongoing </w:t>
            </w:r>
            <w:r w:rsidR="005B60AC">
              <w:rPr>
                <w:rStyle w:val="Bold"/>
              </w:rPr>
              <w:br/>
            </w:r>
            <w:r w:rsidRPr="006F3CF5">
              <w:rPr>
                <w:rStyle w:val="Bold"/>
              </w:rPr>
              <w:t>Full-time</w:t>
            </w:r>
            <w:r w:rsidRPr="006F3CF5">
              <w:rPr>
                <w:rStyle w:val="Bold"/>
              </w:rPr>
              <w:br/>
              <w:t>(headcount)</w:t>
            </w:r>
          </w:p>
        </w:tc>
        <w:tc>
          <w:tcPr>
            <w:tcW w:w="307" w:type="pct"/>
            <w:vAlign w:val="bottom"/>
          </w:tcPr>
          <w:p w14:paraId="15B26B39" w14:textId="0DA02F2A"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Ongoing Part-time</w:t>
            </w:r>
            <w:r w:rsidRPr="006F3CF5">
              <w:rPr>
                <w:rStyle w:val="Bold"/>
              </w:rPr>
              <w:br/>
              <w:t>(headcount)</w:t>
            </w:r>
          </w:p>
        </w:tc>
        <w:tc>
          <w:tcPr>
            <w:tcW w:w="317" w:type="pct"/>
            <w:vAlign w:val="bottom"/>
          </w:tcPr>
          <w:p w14:paraId="78C8372E" w14:textId="2BBCDB11"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Ongoing</w:t>
            </w:r>
            <w:r w:rsidR="00A85CA8">
              <w:rPr>
                <w:rStyle w:val="Bold"/>
              </w:rPr>
              <w:br/>
            </w:r>
            <w:r w:rsidR="00A10DBB">
              <w:rPr>
                <w:rStyle w:val="Bold"/>
              </w:rPr>
              <w:t>Full-time Equivalent</w:t>
            </w:r>
          </w:p>
        </w:tc>
        <w:tc>
          <w:tcPr>
            <w:tcW w:w="308" w:type="pct"/>
            <w:vAlign w:val="bottom"/>
          </w:tcPr>
          <w:p w14:paraId="33F9D8DF" w14:textId="6599D3DD"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Fixed term and casual Number (headcount)</w:t>
            </w:r>
          </w:p>
        </w:tc>
        <w:tc>
          <w:tcPr>
            <w:tcW w:w="317" w:type="pct"/>
            <w:vAlign w:val="bottom"/>
          </w:tcPr>
          <w:p w14:paraId="1301B1EA" w14:textId="5FEC0CB7"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201</w:t>
            </w:r>
            <w:r w:rsidR="005B60AC">
              <w:rPr>
                <w:rStyle w:val="Bold"/>
              </w:rPr>
              <w:t>9</w:t>
            </w:r>
            <w:r w:rsidRPr="006F3CF5">
              <w:rPr>
                <w:rStyle w:val="Bold"/>
              </w:rPr>
              <w:t xml:space="preserve"> Fixed term and casual </w:t>
            </w:r>
            <w:r w:rsidR="00A10DBB">
              <w:rPr>
                <w:rStyle w:val="Bold"/>
              </w:rPr>
              <w:t>Full-time Equivalent</w:t>
            </w:r>
          </w:p>
        </w:tc>
        <w:tc>
          <w:tcPr>
            <w:tcW w:w="341" w:type="pct"/>
            <w:vAlign w:val="bottom"/>
          </w:tcPr>
          <w:p w14:paraId="43131BC0" w14:textId="35546BD6"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Pr>
                <w:rStyle w:val="Bold"/>
              </w:rPr>
              <w:t xml:space="preserve">30 June </w:t>
            </w:r>
            <w:r w:rsidR="005B60AC">
              <w:rPr>
                <w:rStyle w:val="Bold"/>
              </w:rPr>
              <w:t>2020</w:t>
            </w:r>
            <w:r>
              <w:rPr>
                <w:rStyle w:val="Bold"/>
              </w:rPr>
              <w:br/>
            </w:r>
            <w:r w:rsidRPr="006F3CF5">
              <w:rPr>
                <w:rStyle w:val="Bold"/>
              </w:rPr>
              <w:t xml:space="preserve">All Employees Number (headcount) </w:t>
            </w:r>
          </w:p>
        </w:tc>
        <w:tc>
          <w:tcPr>
            <w:tcW w:w="312" w:type="pct"/>
            <w:vAlign w:val="bottom"/>
          </w:tcPr>
          <w:p w14:paraId="4F1C6200" w14:textId="7CA63194"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w:t>
            </w:r>
            <w:r w:rsidR="005B60AC">
              <w:rPr>
                <w:rStyle w:val="Bold"/>
              </w:rPr>
              <w:t>20</w:t>
            </w:r>
            <w:r w:rsidRPr="006F3CF5">
              <w:rPr>
                <w:rStyle w:val="Bold"/>
              </w:rPr>
              <w:t xml:space="preserve"> All Employees </w:t>
            </w:r>
            <w:r w:rsidR="00A10DBB">
              <w:rPr>
                <w:rStyle w:val="Bold"/>
              </w:rPr>
              <w:t>Full-time Equivalent</w:t>
            </w:r>
          </w:p>
        </w:tc>
        <w:tc>
          <w:tcPr>
            <w:tcW w:w="346" w:type="pct"/>
            <w:vAlign w:val="bottom"/>
          </w:tcPr>
          <w:p w14:paraId="0EE87E42" w14:textId="6B4E46B5"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w:t>
            </w:r>
            <w:r w:rsidR="005B60AC">
              <w:rPr>
                <w:rStyle w:val="Bold"/>
              </w:rPr>
              <w:t>20</w:t>
            </w:r>
            <w:r w:rsidRPr="006F3CF5">
              <w:rPr>
                <w:rStyle w:val="Bold"/>
              </w:rPr>
              <w:t xml:space="preserve"> Ongoing</w:t>
            </w:r>
            <w:r>
              <w:rPr>
                <w:rStyle w:val="Bold"/>
              </w:rPr>
              <w:br/>
            </w:r>
            <w:r w:rsidRPr="006F3CF5">
              <w:rPr>
                <w:rStyle w:val="Bold"/>
              </w:rPr>
              <w:t>Full-time</w:t>
            </w:r>
            <w:r w:rsidRPr="006F3CF5">
              <w:rPr>
                <w:rStyle w:val="Bold"/>
              </w:rPr>
              <w:br/>
              <w:t>(headcount)</w:t>
            </w:r>
          </w:p>
        </w:tc>
        <w:tc>
          <w:tcPr>
            <w:tcW w:w="329" w:type="pct"/>
            <w:vAlign w:val="bottom"/>
          </w:tcPr>
          <w:p w14:paraId="08405ECE" w14:textId="4E99F14A"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w:t>
            </w:r>
            <w:r w:rsidR="005B60AC">
              <w:rPr>
                <w:rStyle w:val="Bold"/>
              </w:rPr>
              <w:t>20</w:t>
            </w:r>
            <w:r w:rsidRPr="006F3CF5">
              <w:rPr>
                <w:rStyle w:val="Bold"/>
              </w:rPr>
              <w:t xml:space="preserve"> Ongoing </w:t>
            </w:r>
            <w:r w:rsidR="005B60AC">
              <w:rPr>
                <w:rStyle w:val="Bold"/>
              </w:rPr>
              <w:br/>
            </w:r>
            <w:r w:rsidRPr="006F3CF5">
              <w:rPr>
                <w:rStyle w:val="Bold"/>
              </w:rPr>
              <w:t>Part-time</w:t>
            </w:r>
            <w:r w:rsidRPr="006F3CF5">
              <w:rPr>
                <w:rStyle w:val="Bold"/>
              </w:rPr>
              <w:br/>
              <w:t>(headcount)</w:t>
            </w:r>
          </w:p>
        </w:tc>
        <w:tc>
          <w:tcPr>
            <w:tcW w:w="329" w:type="pct"/>
            <w:vAlign w:val="bottom"/>
          </w:tcPr>
          <w:p w14:paraId="2881BA7D" w14:textId="4DF7DD5C"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Pr>
                <w:rStyle w:val="Bold"/>
              </w:rPr>
              <w:t>30 June 20</w:t>
            </w:r>
            <w:r w:rsidR="005B60AC">
              <w:rPr>
                <w:rStyle w:val="Bold"/>
              </w:rPr>
              <w:t>20</w:t>
            </w:r>
            <w:r>
              <w:rPr>
                <w:rStyle w:val="Bold"/>
              </w:rPr>
              <w:t xml:space="preserve"> Ongoing</w:t>
            </w:r>
            <w:r>
              <w:rPr>
                <w:rStyle w:val="Bold"/>
              </w:rPr>
              <w:br/>
            </w:r>
            <w:r w:rsidR="00A10DBB">
              <w:rPr>
                <w:rStyle w:val="Bold"/>
              </w:rPr>
              <w:t>Full-time Equivalent</w:t>
            </w:r>
          </w:p>
        </w:tc>
        <w:tc>
          <w:tcPr>
            <w:tcW w:w="329" w:type="pct"/>
            <w:vAlign w:val="bottom"/>
          </w:tcPr>
          <w:p w14:paraId="13DC02FD" w14:textId="097CBE91"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w:t>
            </w:r>
            <w:r w:rsidR="005B60AC">
              <w:rPr>
                <w:rStyle w:val="Bold"/>
              </w:rPr>
              <w:t>20</w:t>
            </w:r>
            <w:r w:rsidRPr="006F3CF5">
              <w:rPr>
                <w:rStyle w:val="Bold"/>
              </w:rPr>
              <w:t xml:space="preserve"> Fixed term and casual Number (headcount)</w:t>
            </w:r>
          </w:p>
        </w:tc>
        <w:tc>
          <w:tcPr>
            <w:tcW w:w="328" w:type="pct"/>
            <w:vAlign w:val="bottom"/>
          </w:tcPr>
          <w:p w14:paraId="7A6B5283" w14:textId="0114B402" w:rsidR="00A9708C" w:rsidRPr="003B5B23" w:rsidRDefault="00A9708C" w:rsidP="00323283">
            <w:pPr>
              <w:pStyle w:val="TableText"/>
              <w:cnfStyle w:val="100000000000" w:firstRow="1" w:lastRow="0" w:firstColumn="0" w:lastColumn="0" w:oddVBand="0" w:evenVBand="0" w:oddHBand="0" w:evenHBand="0" w:firstRowFirstColumn="0" w:firstRowLastColumn="0" w:lastRowFirstColumn="0" w:lastRowLastColumn="0"/>
            </w:pPr>
            <w:r w:rsidRPr="006F3CF5">
              <w:rPr>
                <w:rStyle w:val="Bold"/>
              </w:rPr>
              <w:t>30 June 20</w:t>
            </w:r>
            <w:r w:rsidR="005B60AC">
              <w:rPr>
                <w:rStyle w:val="Bold"/>
              </w:rPr>
              <w:t>20</w:t>
            </w:r>
            <w:r w:rsidRPr="006F3CF5">
              <w:rPr>
                <w:rStyle w:val="Bold"/>
              </w:rPr>
              <w:t xml:space="preserve"> Fixed term and casual </w:t>
            </w:r>
            <w:r w:rsidR="00A10DBB">
              <w:rPr>
                <w:rStyle w:val="Bold"/>
              </w:rPr>
              <w:t>Full-time Equivalent</w:t>
            </w:r>
          </w:p>
        </w:tc>
      </w:tr>
      <w:bookmarkEnd w:id="111"/>
      <w:tr w:rsidR="003923AB" w:rsidRPr="003B5B23" w14:paraId="0D7DA7EF" w14:textId="77777777" w:rsidTr="00A85CA8">
        <w:tc>
          <w:tcPr>
            <w:cnfStyle w:val="001000000000" w:firstRow="0" w:lastRow="0" w:firstColumn="1" w:lastColumn="0" w:oddVBand="0" w:evenVBand="0" w:oddHBand="0" w:evenHBand="0" w:firstRowFirstColumn="0" w:firstRowLastColumn="0" w:lastRowFirstColumn="0" w:lastRowLastColumn="0"/>
            <w:tcW w:w="329" w:type="pct"/>
          </w:tcPr>
          <w:p w14:paraId="066C1036" w14:textId="55EC67C5" w:rsidR="003923AB" w:rsidRPr="003B5B23" w:rsidRDefault="003923AB" w:rsidP="00892F2C">
            <w:pPr>
              <w:pStyle w:val="TableText"/>
            </w:pPr>
            <w:r w:rsidRPr="003B5B23">
              <w:t>Women</w:t>
            </w:r>
          </w:p>
        </w:tc>
        <w:tc>
          <w:tcPr>
            <w:tcW w:w="362" w:type="pct"/>
          </w:tcPr>
          <w:p w14:paraId="7AB69C4A" w14:textId="769B989D"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1,507</w:t>
            </w:r>
          </w:p>
        </w:tc>
        <w:tc>
          <w:tcPr>
            <w:tcW w:w="368" w:type="pct"/>
          </w:tcPr>
          <w:p w14:paraId="4A96B752" w14:textId="3E098F1C"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1,394</w:t>
            </w:r>
          </w:p>
        </w:tc>
        <w:tc>
          <w:tcPr>
            <w:tcW w:w="378" w:type="pct"/>
          </w:tcPr>
          <w:p w14:paraId="1303A91F" w14:textId="348EDB53"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994</w:t>
            </w:r>
          </w:p>
        </w:tc>
        <w:tc>
          <w:tcPr>
            <w:tcW w:w="307" w:type="pct"/>
          </w:tcPr>
          <w:p w14:paraId="0E7BC60F" w14:textId="6AD95ACA"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254</w:t>
            </w:r>
          </w:p>
        </w:tc>
        <w:tc>
          <w:tcPr>
            <w:tcW w:w="317" w:type="pct"/>
          </w:tcPr>
          <w:p w14:paraId="3D69DEFA" w14:textId="7FEFFFEF"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1,152.1</w:t>
            </w:r>
          </w:p>
        </w:tc>
        <w:tc>
          <w:tcPr>
            <w:tcW w:w="308" w:type="pct"/>
          </w:tcPr>
          <w:p w14:paraId="219BF922" w14:textId="029C9F7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259</w:t>
            </w:r>
          </w:p>
        </w:tc>
        <w:tc>
          <w:tcPr>
            <w:tcW w:w="317" w:type="pct"/>
          </w:tcPr>
          <w:p w14:paraId="77B15ECC" w14:textId="4912C5F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241.9</w:t>
            </w:r>
          </w:p>
        </w:tc>
        <w:tc>
          <w:tcPr>
            <w:tcW w:w="341" w:type="pct"/>
          </w:tcPr>
          <w:p w14:paraId="6A8EA2F4" w14:textId="6114E103"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1,664</w:t>
            </w:r>
          </w:p>
        </w:tc>
        <w:tc>
          <w:tcPr>
            <w:tcW w:w="312" w:type="pct"/>
          </w:tcPr>
          <w:p w14:paraId="7D0E6BBD" w14:textId="511C396B"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1,535.9</w:t>
            </w:r>
          </w:p>
        </w:tc>
        <w:tc>
          <w:tcPr>
            <w:tcW w:w="346" w:type="pct"/>
          </w:tcPr>
          <w:p w14:paraId="2D483097" w14:textId="59D2DB43"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1,114</w:t>
            </w:r>
          </w:p>
        </w:tc>
        <w:tc>
          <w:tcPr>
            <w:tcW w:w="329" w:type="pct"/>
          </w:tcPr>
          <w:p w14:paraId="457CDF4E" w14:textId="28603492"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272</w:t>
            </w:r>
          </w:p>
        </w:tc>
        <w:tc>
          <w:tcPr>
            <w:tcW w:w="329" w:type="pct"/>
          </w:tcPr>
          <w:p w14:paraId="628F93FE" w14:textId="050F22E3"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1,285.4</w:t>
            </w:r>
          </w:p>
        </w:tc>
        <w:tc>
          <w:tcPr>
            <w:tcW w:w="329" w:type="pct"/>
          </w:tcPr>
          <w:p w14:paraId="392D5D40" w14:textId="22E92319"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278</w:t>
            </w:r>
          </w:p>
        </w:tc>
        <w:tc>
          <w:tcPr>
            <w:tcW w:w="328" w:type="pct"/>
          </w:tcPr>
          <w:p w14:paraId="1C5F4242" w14:textId="5F855FCD"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250.5</w:t>
            </w:r>
          </w:p>
        </w:tc>
      </w:tr>
      <w:tr w:rsidR="003923AB" w:rsidRPr="003B5B23" w14:paraId="6DF88FE4" w14:textId="77777777" w:rsidTr="00A85CA8">
        <w:tc>
          <w:tcPr>
            <w:cnfStyle w:val="001000000000" w:firstRow="0" w:lastRow="0" w:firstColumn="1" w:lastColumn="0" w:oddVBand="0" w:evenVBand="0" w:oddHBand="0" w:evenHBand="0" w:firstRowFirstColumn="0" w:firstRowLastColumn="0" w:lastRowFirstColumn="0" w:lastRowLastColumn="0"/>
            <w:tcW w:w="329" w:type="pct"/>
          </w:tcPr>
          <w:p w14:paraId="141E308F" w14:textId="6955E5C1" w:rsidR="003923AB" w:rsidRPr="003B5B23" w:rsidRDefault="003923AB" w:rsidP="00892F2C">
            <w:pPr>
              <w:pStyle w:val="TableText"/>
            </w:pPr>
            <w:r w:rsidRPr="003B5B23">
              <w:t>Men</w:t>
            </w:r>
          </w:p>
        </w:tc>
        <w:tc>
          <w:tcPr>
            <w:tcW w:w="362" w:type="pct"/>
          </w:tcPr>
          <w:p w14:paraId="65399B04" w14:textId="22CF22FF"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658</w:t>
            </w:r>
          </w:p>
        </w:tc>
        <w:tc>
          <w:tcPr>
            <w:tcW w:w="368" w:type="pct"/>
          </w:tcPr>
          <w:p w14:paraId="6DFCC3B7" w14:textId="61C17BC4"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646.6</w:t>
            </w:r>
          </w:p>
        </w:tc>
        <w:tc>
          <w:tcPr>
            <w:tcW w:w="378" w:type="pct"/>
          </w:tcPr>
          <w:p w14:paraId="14ED2677" w14:textId="2E8B7F81"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488</w:t>
            </w:r>
          </w:p>
        </w:tc>
        <w:tc>
          <w:tcPr>
            <w:tcW w:w="307" w:type="pct"/>
          </w:tcPr>
          <w:p w14:paraId="68E954C2" w14:textId="601ABC81"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29</w:t>
            </w:r>
          </w:p>
        </w:tc>
        <w:tc>
          <w:tcPr>
            <w:tcW w:w="317" w:type="pct"/>
          </w:tcPr>
          <w:p w14:paraId="5A6572C9" w14:textId="68035B92"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507.7</w:t>
            </w:r>
          </w:p>
        </w:tc>
        <w:tc>
          <w:tcPr>
            <w:tcW w:w="308" w:type="pct"/>
          </w:tcPr>
          <w:p w14:paraId="00F180D6" w14:textId="2312A335"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141</w:t>
            </w:r>
          </w:p>
        </w:tc>
        <w:tc>
          <w:tcPr>
            <w:tcW w:w="317" w:type="pct"/>
          </w:tcPr>
          <w:p w14:paraId="4BE82FDD" w14:textId="4CD02F2C"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138.9</w:t>
            </w:r>
          </w:p>
        </w:tc>
        <w:tc>
          <w:tcPr>
            <w:tcW w:w="341" w:type="pct"/>
          </w:tcPr>
          <w:p w14:paraId="25810BE0" w14:textId="6572C81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704</w:t>
            </w:r>
          </w:p>
        </w:tc>
        <w:tc>
          <w:tcPr>
            <w:tcW w:w="312" w:type="pct"/>
          </w:tcPr>
          <w:p w14:paraId="62B16677" w14:textId="3275EAF3"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678.5</w:t>
            </w:r>
          </w:p>
        </w:tc>
        <w:tc>
          <w:tcPr>
            <w:tcW w:w="346" w:type="pct"/>
          </w:tcPr>
          <w:p w14:paraId="4AB4D81E" w14:textId="24E4D0DC"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507</w:t>
            </w:r>
          </w:p>
        </w:tc>
        <w:tc>
          <w:tcPr>
            <w:tcW w:w="329" w:type="pct"/>
          </w:tcPr>
          <w:p w14:paraId="16D3DE87" w14:textId="23D120F0"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33</w:t>
            </w:r>
          </w:p>
        </w:tc>
        <w:tc>
          <w:tcPr>
            <w:tcW w:w="329" w:type="pct"/>
          </w:tcPr>
          <w:p w14:paraId="590C9C89" w14:textId="1F9BE325"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527.5</w:t>
            </w:r>
          </w:p>
        </w:tc>
        <w:tc>
          <w:tcPr>
            <w:tcW w:w="329" w:type="pct"/>
          </w:tcPr>
          <w:p w14:paraId="53DE1626" w14:textId="0B977A8B"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164</w:t>
            </w:r>
          </w:p>
        </w:tc>
        <w:tc>
          <w:tcPr>
            <w:tcW w:w="328" w:type="pct"/>
          </w:tcPr>
          <w:p w14:paraId="0A049C9B" w14:textId="064826AA"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151</w:t>
            </w:r>
          </w:p>
        </w:tc>
      </w:tr>
      <w:tr w:rsidR="003923AB" w:rsidRPr="003B5B23" w14:paraId="0B312434" w14:textId="77777777" w:rsidTr="00A85CA8">
        <w:tc>
          <w:tcPr>
            <w:cnfStyle w:val="001000000000" w:firstRow="0" w:lastRow="0" w:firstColumn="1" w:lastColumn="0" w:oddVBand="0" w:evenVBand="0" w:oddHBand="0" w:evenHBand="0" w:firstRowFirstColumn="0" w:firstRowLastColumn="0" w:lastRowFirstColumn="0" w:lastRowLastColumn="0"/>
            <w:tcW w:w="329" w:type="pct"/>
          </w:tcPr>
          <w:p w14:paraId="2F5B21E6" w14:textId="1F5BFA40" w:rsidR="003923AB" w:rsidRPr="003B5B23" w:rsidRDefault="003923AB" w:rsidP="00892F2C">
            <w:pPr>
              <w:pStyle w:val="TableText"/>
            </w:pPr>
            <w:r w:rsidRPr="003B5B23">
              <w:t>Self-described</w:t>
            </w:r>
          </w:p>
        </w:tc>
        <w:tc>
          <w:tcPr>
            <w:tcW w:w="362" w:type="pct"/>
          </w:tcPr>
          <w:p w14:paraId="56304387" w14:textId="3141885B"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w:t>
            </w:r>
          </w:p>
        </w:tc>
        <w:tc>
          <w:tcPr>
            <w:tcW w:w="368" w:type="pct"/>
          </w:tcPr>
          <w:p w14:paraId="149B7D1E" w14:textId="65E19671"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w:t>
            </w:r>
          </w:p>
        </w:tc>
        <w:tc>
          <w:tcPr>
            <w:tcW w:w="378" w:type="pct"/>
          </w:tcPr>
          <w:p w14:paraId="2C1BB108" w14:textId="59EE4C8D"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w:t>
            </w:r>
          </w:p>
        </w:tc>
        <w:tc>
          <w:tcPr>
            <w:tcW w:w="307" w:type="pct"/>
          </w:tcPr>
          <w:p w14:paraId="3D633E2C" w14:textId="42EFCF2E"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0</w:t>
            </w:r>
          </w:p>
        </w:tc>
        <w:tc>
          <w:tcPr>
            <w:tcW w:w="317" w:type="pct"/>
          </w:tcPr>
          <w:p w14:paraId="2354F5A7" w14:textId="68AD3644"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w:t>
            </w:r>
          </w:p>
        </w:tc>
        <w:tc>
          <w:tcPr>
            <w:tcW w:w="308" w:type="pct"/>
          </w:tcPr>
          <w:p w14:paraId="0D60CF14" w14:textId="3C23E84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0</w:t>
            </w:r>
          </w:p>
        </w:tc>
        <w:tc>
          <w:tcPr>
            <w:tcW w:w="317" w:type="pct"/>
          </w:tcPr>
          <w:p w14:paraId="55F4E9B6" w14:textId="3EE8E9BA"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0</w:t>
            </w:r>
          </w:p>
        </w:tc>
        <w:tc>
          <w:tcPr>
            <w:tcW w:w="341" w:type="pct"/>
          </w:tcPr>
          <w:p w14:paraId="2FB6D4D8" w14:textId="32BDA54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2</w:t>
            </w:r>
          </w:p>
        </w:tc>
        <w:tc>
          <w:tcPr>
            <w:tcW w:w="312" w:type="pct"/>
          </w:tcPr>
          <w:p w14:paraId="14102143" w14:textId="59B82FD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1.9</w:t>
            </w:r>
          </w:p>
        </w:tc>
        <w:tc>
          <w:tcPr>
            <w:tcW w:w="346" w:type="pct"/>
          </w:tcPr>
          <w:p w14:paraId="49D8C30F" w14:textId="2BCD226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w:t>
            </w:r>
          </w:p>
        </w:tc>
        <w:tc>
          <w:tcPr>
            <w:tcW w:w="329" w:type="pct"/>
          </w:tcPr>
          <w:p w14:paraId="1BBFE760" w14:textId="5823F1C4"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w:t>
            </w:r>
          </w:p>
        </w:tc>
        <w:tc>
          <w:tcPr>
            <w:tcW w:w="329" w:type="pct"/>
          </w:tcPr>
          <w:p w14:paraId="2C1C07F2" w14:textId="3E899EE7"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1.9</w:t>
            </w:r>
          </w:p>
        </w:tc>
        <w:tc>
          <w:tcPr>
            <w:tcW w:w="329" w:type="pct"/>
          </w:tcPr>
          <w:p w14:paraId="4A699FFC" w14:textId="1C01B5F2"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0</w:t>
            </w:r>
          </w:p>
        </w:tc>
        <w:tc>
          <w:tcPr>
            <w:tcW w:w="328" w:type="pct"/>
          </w:tcPr>
          <w:p w14:paraId="512B74EA" w14:textId="0D36D29B" w:rsidR="003923AB" w:rsidRPr="003B5B23" w:rsidRDefault="005B60AC" w:rsidP="00892F2C">
            <w:pPr>
              <w:pStyle w:val="TableText"/>
              <w:cnfStyle w:val="000000000000" w:firstRow="0" w:lastRow="0" w:firstColumn="0" w:lastColumn="0" w:oddVBand="0" w:evenVBand="0" w:oddHBand="0" w:evenHBand="0" w:firstRowFirstColumn="0" w:firstRowLastColumn="0" w:lastRowFirstColumn="0" w:lastRowLastColumn="0"/>
            </w:pPr>
            <w:r>
              <w:t>0</w:t>
            </w:r>
          </w:p>
        </w:tc>
      </w:tr>
    </w:tbl>
    <w:p w14:paraId="4C6DE26D" w14:textId="2B07F7AB" w:rsidR="00D270C2" w:rsidRDefault="003B5B23" w:rsidP="00D270C2">
      <w:pPr>
        <w:pStyle w:val="BodyText"/>
      </w:pPr>
      <w:r w:rsidRPr="006F3CF5">
        <w:t>Demographic Data: Age</w:t>
      </w:r>
    </w:p>
    <w:tbl>
      <w:tblPr>
        <w:tblStyle w:val="AccessibleTableNumerical"/>
        <w:tblW w:w="5000" w:type="pct"/>
        <w:tblLook w:val="06A0" w:firstRow="1" w:lastRow="0" w:firstColumn="1" w:lastColumn="0" w:noHBand="1" w:noVBand="1"/>
      </w:tblPr>
      <w:tblGrid>
        <w:gridCol w:w="1390"/>
        <w:gridCol w:w="1534"/>
        <w:gridCol w:w="1534"/>
        <w:gridCol w:w="1357"/>
        <w:gridCol w:w="1374"/>
        <w:gridCol w:w="1409"/>
        <w:gridCol w:w="1409"/>
        <w:gridCol w:w="1409"/>
        <w:gridCol w:w="1551"/>
        <w:gridCol w:w="1404"/>
        <w:gridCol w:w="1327"/>
        <w:gridCol w:w="1534"/>
        <w:gridCol w:w="1400"/>
        <w:gridCol w:w="1396"/>
        <w:gridCol w:w="1512"/>
      </w:tblGrid>
      <w:tr w:rsidR="00A85CA8" w:rsidRPr="003B5B23" w14:paraId="1D3D1C28" w14:textId="77777777" w:rsidTr="00A85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 w:type="pct"/>
          </w:tcPr>
          <w:p w14:paraId="01294816" w14:textId="6B395D5D" w:rsidR="00D270C2" w:rsidRPr="003B5B23" w:rsidRDefault="00D270C2" w:rsidP="005F7AD7">
            <w:pPr>
              <w:pStyle w:val="TableText"/>
              <w:rPr>
                <w:sz w:val="18"/>
                <w:szCs w:val="18"/>
              </w:rPr>
            </w:pPr>
            <w:bookmarkStart w:id="112" w:name="ColumnTitle_25"/>
            <w:r w:rsidRPr="006F3CF5">
              <w:rPr>
                <w:rStyle w:val="Bold"/>
              </w:rPr>
              <w:t>Age</w:t>
            </w:r>
          </w:p>
        </w:tc>
        <w:tc>
          <w:tcPr>
            <w:tcW w:w="356" w:type="pct"/>
            <w:vAlign w:val="bottom"/>
          </w:tcPr>
          <w:p w14:paraId="27BF3601" w14:textId="52C2F3F8"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Pr>
                <w:rStyle w:val="Bold"/>
              </w:rPr>
              <w:t>30 June 201</w:t>
            </w:r>
            <w:r w:rsidR="005B60AC">
              <w:rPr>
                <w:rStyle w:val="Bold"/>
              </w:rPr>
              <w:t>9</w:t>
            </w:r>
            <w:r>
              <w:rPr>
                <w:rStyle w:val="Bold"/>
              </w:rPr>
              <w:br/>
            </w:r>
            <w:r w:rsidRPr="006F3CF5">
              <w:rPr>
                <w:rStyle w:val="Bold"/>
              </w:rPr>
              <w:t>All employees Number (headcount)</w:t>
            </w:r>
          </w:p>
        </w:tc>
        <w:tc>
          <w:tcPr>
            <w:tcW w:w="356" w:type="pct"/>
            <w:vAlign w:val="bottom"/>
          </w:tcPr>
          <w:p w14:paraId="6D879F2D" w14:textId="48FBE732"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201</w:t>
            </w:r>
            <w:r w:rsidR="005B60AC">
              <w:rPr>
                <w:rStyle w:val="Bold"/>
              </w:rPr>
              <w:t>9</w:t>
            </w:r>
            <w:r w:rsidRPr="006F3CF5">
              <w:rPr>
                <w:rStyle w:val="Bold"/>
              </w:rPr>
              <w:t xml:space="preserve"> All employees </w:t>
            </w:r>
            <w:r w:rsidR="00A10DBB">
              <w:rPr>
                <w:rStyle w:val="Bold"/>
              </w:rPr>
              <w:t>Full-time Equivalent</w:t>
            </w:r>
          </w:p>
        </w:tc>
        <w:tc>
          <w:tcPr>
            <w:tcW w:w="315" w:type="pct"/>
            <w:vAlign w:val="bottom"/>
          </w:tcPr>
          <w:p w14:paraId="06F26C63" w14:textId="1DF0C324"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Pr>
                <w:rStyle w:val="Bold"/>
              </w:rPr>
              <w:t>30 June 201</w:t>
            </w:r>
            <w:r w:rsidR="005B60AC">
              <w:rPr>
                <w:rStyle w:val="Bold"/>
              </w:rPr>
              <w:t>9</w:t>
            </w:r>
            <w:r>
              <w:rPr>
                <w:rStyle w:val="Bold"/>
              </w:rPr>
              <w:t xml:space="preserve"> Ongoing</w:t>
            </w:r>
            <w:r w:rsidR="00A85CA8">
              <w:rPr>
                <w:rStyle w:val="Bold"/>
              </w:rPr>
              <w:t xml:space="preserve"> </w:t>
            </w:r>
            <w:r w:rsidR="00A85CA8">
              <w:rPr>
                <w:rStyle w:val="Bold"/>
              </w:rPr>
              <w:br/>
            </w:r>
            <w:r w:rsidRPr="006F3CF5">
              <w:rPr>
                <w:rStyle w:val="Bold"/>
              </w:rPr>
              <w:t>Full-time</w:t>
            </w:r>
            <w:r w:rsidRPr="006F3CF5">
              <w:rPr>
                <w:rStyle w:val="Bold"/>
              </w:rPr>
              <w:br/>
              <w:t>(headcount)</w:t>
            </w:r>
          </w:p>
        </w:tc>
        <w:tc>
          <w:tcPr>
            <w:tcW w:w="319" w:type="pct"/>
            <w:vAlign w:val="bottom"/>
          </w:tcPr>
          <w:p w14:paraId="1D34C48B" w14:textId="3DF8D3B7"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Pr>
                <w:rStyle w:val="Bold"/>
              </w:rPr>
              <w:t>30 June 201</w:t>
            </w:r>
            <w:r w:rsidR="005B60AC">
              <w:rPr>
                <w:rStyle w:val="Bold"/>
              </w:rPr>
              <w:t>9</w:t>
            </w:r>
            <w:r>
              <w:rPr>
                <w:rStyle w:val="Bold"/>
              </w:rPr>
              <w:t xml:space="preserve"> Ongoing</w:t>
            </w:r>
            <w:r w:rsidR="00A85CA8">
              <w:rPr>
                <w:rStyle w:val="Bold"/>
              </w:rPr>
              <w:br/>
            </w:r>
            <w:r w:rsidRPr="006F3CF5">
              <w:rPr>
                <w:rStyle w:val="Bold"/>
              </w:rPr>
              <w:t>Part-time</w:t>
            </w:r>
            <w:r w:rsidRPr="006F3CF5">
              <w:rPr>
                <w:rStyle w:val="Bold"/>
              </w:rPr>
              <w:br/>
              <w:t>(headcount)</w:t>
            </w:r>
          </w:p>
        </w:tc>
        <w:tc>
          <w:tcPr>
            <w:tcW w:w="327" w:type="pct"/>
            <w:vAlign w:val="bottom"/>
          </w:tcPr>
          <w:p w14:paraId="0C64D347" w14:textId="1754393F"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Pr>
                <w:rStyle w:val="Bold"/>
              </w:rPr>
              <w:t>30 June 201</w:t>
            </w:r>
            <w:r w:rsidR="005B60AC">
              <w:rPr>
                <w:rStyle w:val="Bold"/>
              </w:rPr>
              <w:t>9</w:t>
            </w:r>
            <w:r>
              <w:rPr>
                <w:rStyle w:val="Bold"/>
              </w:rPr>
              <w:t xml:space="preserve"> Ongoing</w:t>
            </w:r>
            <w:r>
              <w:rPr>
                <w:rStyle w:val="Bold"/>
              </w:rPr>
              <w:br/>
            </w:r>
            <w:r w:rsidR="00A10DBB">
              <w:rPr>
                <w:rStyle w:val="Bold"/>
              </w:rPr>
              <w:t>Full-time Equivalent</w:t>
            </w:r>
          </w:p>
        </w:tc>
        <w:tc>
          <w:tcPr>
            <w:tcW w:w="327" w:type="pct"/>
            <w:vAlign w:val="bottom"/>
          </w:tcPr>
          <w:p w14:paraId="130A08E9" w14:textId="75E9EA18"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201</w:t>
            </w:r>
            <w:r w:rsidR="005B60AC">
              <w:rPr>
                <w:rStyle w:val="Bold"/>
              </w:rPr>
              <w:t>9</w:t>
            </w:r>
            <w:r w:rsidRPr="006F3CF5">
              <w:rPr>
                <w:rStyle w:val="Bold"/>
              </w:rPr>
              <w:t xml:space="preserve"> Fixed term and casual Number (headcount)</w:t>
            </w:r>
          </w:p>
        </w:tc>
        <w:tc>
          <w:tcPr>
            <w:tcW w:w="327" w:type="pct"/>
            <w:vAlign w:val="bottom"/>
          </w:tcPr>
          <w:p w14:paraId="03049C61" w14:textId="426025B3"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201</w:t>
            </w:r>
            <w:r w:rsidR="005B60AC">
              <w:rPr>
                <w:rStyle w:val="Bold"/>
              </w:rPr>
              <w:t>9</w:t>
            </w:r>
            <w:r w:rsidRPr="006F3CF5">
              <w:rPr>
                <w:rStyle w:val="Bold"/>
              </w:rPr>
              <w:t xml:space="preserve"> Fixed term and casual </w:t>
            </w:r>
            <w:r w:rsidR="00A10DBB">
              <w:rPr>
                <w:rStyle w:val="Bold"/>
              </w:rPr>
              <w:t>Full-time Equivalent</w:t>
            </w:r>
          </w:p>
        </w:tc>
        <w:tc>
          <w:tcPr>
            <w:tcW w:w="360" w:type="pct"/>
            <w:vAlign w:val="bottom"/>
          </w:tcPr>
          <w:p w14:paraId="62EFDE86" w14:textId="3B235D92"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All Employees Number (headcount) </w:t>
            </w:r>
          </w:p>
        </w:tc>
        <w:tc>
          <w:tcPr>
            <w:tcW w:w="326" w:type="pct"/>
            <w:vAlign w:val="bottom"/>
          </w:tcPr>
          <w:p w14:paraId="273897BF" w14:textId="11B0EB05"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All Employees </w:t>
            </w:r>
            <w:r w:rsidR="00A10DBB">
              <w:rPr>
                <w:rStyle w:val="Bold"/>
              </w:rPr>
              <w:t>Full-time Equivalent</w:t>
            </w:r>
          </w:p>
        </w:tc>
        <w:tc>
          <w:tcPr>
            <w:tcW w:w="308" w:type="pct"/>
            <w:vAlign w:val="bottom"/>
          </w:tcPr>
          <w:p w14:paraId="4122356E" w14:textId="19D3F7B5"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Ongoing Full-time</w:t>
            </w:r>
            <w:r w:rsidRPr="006F3CF5">
              <w:rPr>
                <w:rStyle w:val="Bold"/>
              </w:rPr>
              <w:br/>
              <w:t>(headcount)</w:t>
            </w:r>
          </w:p>
        </w:tc>
        <w:tc>
          <w:tcPr>
            <w:tcW w:w="356" w:type="pct"/>
            <w:vAlign w:val="bottom"/>
          </w:tcPr>
          <w:p w14:paraId="58689BE5" w14:textId="0A13BAF4"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Ongoing </w:t>
            </w:r>
            <w:r w:rsidR="00A85CA8">
              <w:rPr>
                <w:rStyle w:val="Bold"/>
              </w:rPr>
              <w:br/>
            </w:r>
            <w:r w:rsidRPr="006F3CF5">
              <w:rPr>
                <w:rStyle w:val="Bold"/>
              </w:rPr>
              <w:t>Part-time</w:t>
            </w:r>
            <w:r w:rsidRPr="006F3CF5">
              <w:rPr>
                <w:rStyle w:val="Bold"/>
              </w:rPr>
              <w:br/>
              <w:t>(headcount)</w:t>
            </w:r>
          </w:p>
        </w:tc>
        <w:tc>
          <w:tcPr>
            <w:tcW w:w="325" w:type="pct"/>
            <w:vAlign w:val="bottom"/>
          </w:tcPr>
          <w:p w14:paraId="40317F5A" w14:textId="452C50A4"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Ongoing</w:t>
            </w:r>
            <w:r>
              <w:rPr>
                <w:rStyle w:val="Bold"/>
              </w:rPr>
              <w:br/>
            </w:r>
            <w:r w:rsidR="00A10DBB">
              <w:rPr>
                <w:rStyle w:val="Bold"/>
              </w:rPr>
              <w:t>Full-time Equivalent</w:t>
            </w:r>
          </w:p>
        </w:tc>
        <w:tc>
          <w:tcPr>
            <w:tcW w:w="324" w:type="pct"/>
            <w:vAlign w:val="bottom"/>
          </w:tcPr>
          <w:p w14:paraId="45EF6D65" w14:textId="3155E5CD"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 Fixed term and casual Number (headcount)</w:t>
            </w:r>
          </w:p>
        </w:tc>
        <w:tc>
          <w:tcPr>
            <w:tcW w:w="355" w:type="pct"/>
            <w:vAlign w:val="bottom"/>
          </w:tcPr>
          <w:p w14:paraId="0D44A365" w14:textId="3D64FC0B" w:rsidR="00D270C2" w:rsidRPr="005F7AD7" w:rsidRDefault="00D270C2" w:rsidP="00A85CA8">
            <w:pPr>
              <w:pStyle w:val="TableText"/>
              <w:cnfStyle w:val="100000000000" w:firstRow="1" w:lastRow="0" w:firstColumn="0" w:lastColumn="0" w:oddVBand="0" w:evenVBand="0" w:oddHBand="0" w:evenHBand="0" w:firstRowFirstColumn="0" w:firstRowLastColumn="0" w:lastRowFirstColumn="0" w:lastRowLastColumn="0"/>
              <w:rPr>
                <w:rStyle w:val="Bold"/>
              </w:rPr>
            </w:pPr>
            <w:r w:rsidRPr="006F3CF5">
              <w:rPr>
                <w:rStyle w:val="Bold"/>
              </w:rPr>
              <w:t>30 June 20</w:t>
            </w:r>
            <w:r w:rsidR="005B60AC">
              <w:rPr>
                <w:rStyle w:val="Bold"/>
              </w:rPr>
              <w:t>20</w:t>
            </w:r>
            <w:r w:rsidRPr="006F3CF5">
              <w:rPr>
                <w:rStyle w:val="Bold"/>
              </w:rPr>
              <w:t xml:space="preserve">9 Fixed term </w:t>
            </w:r>
            <w:r w:rsidR="00A85CA8">
              <w:rPr>
                <w:rStyle w:val="Bold"/>
              </w:rPr>
              <w:br/>
            </w:r>
            <w:r w:rsidRPr="006F3CF5">
              <w:rPr>
                <w:rStyle w:val="Bold"/>
              </w:rPr>
              <w:t xml:space="preserve">and casual </w:t>
            </w:r>
            <w:r w:rsidR="00A10DBB">
              <w:rPr>
                <w:rStyle w:val="Bold"/>
              </w:rPr>
              <w:t>Full-time Equivalent</w:t>
            </w:r>
          </w:p>
        </w:tc>
      </w:tr>
      <w:bookmarkEnd w:id="112"/>
      <w:tr w:rsidR="00A85CA8" w:rsidRPr="003B5B23" w14:paraId="19A95488"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5F872A23" w14:textId="33F389F6" w:rsidR="00D270C2" w:rsidRPr="003B5B23" w:rsidRDefault="00D270C2" w:rsidP="00353C92">
            <w:pPr>
              <w:pStyle w:val="TableText"/>
            </w:pPr>
            <w:r w:rsidRPr="003B5B23">
              <w:t>Under 25</w:t>
            </w:r>
          </w:p>
        </w:tc>
        <w:tc>
          <w:tcPr>
            <w:tcW w:w="356" w:type="pct"/>
          </w:tcPr>
          <w:p w14:paraId="5F687886" w14:textId="2B841EC1"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219</w:t>
            </w:r>
          </w:p>
        </w:tc>
        <w:tc>
          <w:tcPr>
            <w:tcW w:w="356" w:type="pct"/>
          </w:tcPr>
          <w:p w14:paraId="45E49787" w14:textId="09CBD64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213.2</w:t>
            </w:r>
          </w:p>
        </w:tc>
        <w:tc>
          <w:tcPr>
            <w:tcW w:w="315" w:type="pct"/>
          </w:tcPr>
          <w:p w14:paraId="6D95F0A1" w14:textId="267C1C3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171</w:t>
            </w:r>
          </w:p>
        </w:tc>
        <w:tc>
          <w:tcPr>
            <w:tcW w:w="319" w:type="pct"/>
          </w:tcPr>
          <w:p w14:paraId="2C3D417B" w14:textId="46F1C1F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w:t>
            </w:r>
          </w:p>
        </w:tc>
        <w:tc>
          <w:tcPr>
            <w:tcW w:w="327" w:type="pct"/>
          </w:tcPr>
          <w:p w14:paraId="4505E23A" w14:textId="561AADE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172.3</w:t>
            </w:r>
          </w:p>
        </w:tc>
        <w:tc>
          <w:tcPr>
            <w:tcW w:w="327" w:type="pct"/>
          </w:tcPr>
          <w:p w14:paraId="0DC49D0C" w14:textId="5B1A550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46</w:t>
            </w:r>
          </w:p>
        </w:tc>
        <w:tc>
          <w:tcPr>
            <w:tcW w:w="327" w:type="pct"/>
          </w:tcPr>
          <w:p w14:paraId="4AC97DE5" w14:textId="586F54D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40.9</w:t>
            </w:r>
          </w:p>
        </w:tc>
        <w:tc>
          <w:tcPr>
            <w:tcW w:w="360" w:type="pct"/>
          </w:tcPr>
          <w:p w14:paraId="2EEF9E4C" w14:textId="393AF8AA"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233</w:t>
            </w:r>
          </w:p>
        </w:tc>
        <w:tc>
          <w:tcPr>
            <w:tcW w:w="326" w:type="pct"/>
          </w:tcPr>
          <w:p w14:paraId="399896DC" w14:textId="5409305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229.7</w:t>
            </w:r>
          </w:p>
        </w:tc>
        <w:tc>
          <w:tcPr>
            <w:tcW w:w="308" w:type="pct"/>
          </w:tcPr>
          <w:p w14:paraId="2DE05A2D" w14:textId="3A1EDCA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192</w:t>
            </w:r>
          </w:p>
        </w:tc>
        <w:tc>
          <w:tcPr>
            <w:tcW w:w="356" w:type="pct"/>
          </w:tcPr>
          <w:p w14:paraId="12F04B8A" w14:textId="116553C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w:t>
            </w:r>
          </w:p>
        </w:tc>
        <w:tc>
          <w:tcPr>
            <w:tcW w:w="325" w:type="pct"/>
          </w:tcPr>
          <w:p w14:paraId="278EA2C9" w14:textId="6101234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193</w:t>
            </w:r>
          </w:p>
        </w:tc>
        <w:tc>
          <w:tcPr>
            <w:tcW w:w="324" w:type="pct"/>
          </w:tcPr>
          <w:p w14:paraId="2607AE98" w14:textId="162FF15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39</w:t>
            </w:r>
          </w:p>
        </w:tc>
        <w:tc>
          <w:tcPr>
            <w:tcW w:w="355" w:type="pct"/>
          </w:tcPr>
          <w:p w14:paraId="0FC1D231" w14:textId="73CC12C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36.7</w:t>
            </w:r>
          </w:p>
        </w:tc>
      </w:tr>
      <w:tr w:rsidR="00A85CA8" w:rsidRPr="003B5B23" w14:paraId="6A135A29"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6FB22DA8" w14:textId="2100705F" w:rsidR="00D270C2" w:rsidRPr="003B5B23" w:rsidRDefault="00D270C2" w:rsidP="00353C92">
            <w:pPr>
              <w:pStyle w:val="TableText"/>
            </w:pPr>
            <w:r w:rsidRPr="003B5B23">
              <w:t>25-34</w:t>
            </w:r>
          </w:p>
        </w:tc>
        <w:tc>
          <w:tcPr>
            <w:tcW w:w="356" w:type="pct"/>
          </w:tcPr>
          <w:p w14:paraId="218E7EAB" w14:textId="1EA57B2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788</w:t>
            </w:r>
          </w:p>
        </w:tc>
        <w:tc>
          <w:tcPr>
            <w:tcW w:w="356" w:type="pct"/>
          </w:tcPr>
          <w:p w14:paraId="729E2AAD" w14:textId="70B3C2F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757.9</w:t>
            </w:r>
          </w:p>
        </w:tc>
        <w:tc>
          <w:tcPr>
            <w:tcW w:w="315" w:type="pct"/>
          </w:tcPr>
          <w:p w14:paraId="38D836C5" w14:textId="40F9808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519</w:t>
            </w:r>
          </w:p>
        </w:tc>
        <w:tc>
          <w:tcPr>
            <w:tcW w:w="319" w:type="pct"/>
          </w:tcPr>
          <w:p w14:paraId="59B9EA39" w14:textId="316F51B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61</w:t>
            </w:r>
          </w:p>
        </w:tc>
        <w:tc>
          <w:tcPr>
            <w:tcW w:w="327" w:type="pct"/>
          </w:tcPr>
          <w:p w14:paraId="4C5B718F" w14:textId="07C0459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554.7</w:t>
            </w:r>
          </w:p>
        </w:tc>
        <w:tc>
          <w:tcPr>
            <w:tcW w:w="327" w:type="pct"/>
          </w:tcPr>
          <w:p w14:paraId="6B206785" w14:textId="6EA35EA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208</w:t>
            </w:r>
          </w:p>
        </w:tc>
        <w:tc>
          <w:tcPr>
            <w:tcW w:w="327" w:type="pct"/>
          </w:tcPr>
          <w:p w14:paraId="55303AB9" w14:textId="00091E31"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203.2</w:t>
            </w:r>
          </w:p>
        </w:tc>
        <w:tc>
          <w:tcPr>
            <w:tcW w:w="360" w:type="pct"/>
          </w:tcPr>
          <w:p w14:paraId="3649AA24" w14:textId="304D33ED"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848</w:t>
            </w:r>
          </w:p>
        </w:tc>
        <w:tc>
          <w:tcPr>
            <w:tcW w:w="326" w:type="pct"/>
          </w:tcPr>
          <w:p w14:paraId="4311063D" w14:textId="3F5D338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817.8</w:t>
            </w:r>
          </w:p>
        </w:tc>
        <w:tc>
          <w:tcPr>
            <w:tcW w:w="308" w:type="pct"/>
          </w:tcPr>
          <w:p w14:paraId="7F291FDB" w14:textId="0DA9F25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567</w:t>
            </w:r>
          </w:p>
        </w:tc>
        <w:tc>
          <w:tcPr>
            <w:tcW w:w="356" w:type="pct"/>
          </w:tcPr>
          <w:p w14:paraId="67B8229F" w14:textId="52E0EAE3"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64</w:t>
            </w:r>
          </w:p>
        </w:tc>
        <w:tc>
          <w:tcPr>
            <w:tcW w:w="325" w:type="pct"/>
          </w:tcPr>
          <w:p w14:paraId="1E151697" w14:textId="26E7082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606.5</w:t>
            </w:r>
          </w:p>
        </w:tc>
        <w:tc>
          <w:tcPr>
            <w:tcW w:w="324" w:type="pct"/>
          </w:tcPr>
          <w:p w14:paraId="2A1056C1" w14:textId="0F2597D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217</w:t>
            </w:r>
          </w:p>
        </w:tc>
        <w:tc>
          <w:tcPr>
            <w:tcW w:w="355" w:type="pct"/>
          </w:tcPr>
          <w:p w14:paraId="4FDCF0EB" w14:textId="78CD8D68"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211.3</w:t>
            </w:r>
          </w:p>
        </w:tc>
      </w:tr>
      <w:tr w:rsidR="00A85CA8" w:rsidRPr="003B5B23" w14:paraId="13A4DE06"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66723539" w14:textId="28E3A35C" w:rsidR="00D270C2" w:rsidRPr="003B5B23" w:rsidRDefault="00D270C2" w:rsidP="00353C92">
            <w:pPr>
              <w:pStyle w:val="TableText"/>
            </w:pPr>
            <w:r w:rsidRPr="003B5B23">
              <w:t>35-44</w:t>
            </w:r>
          </w:p>
        </w:tc>
        <w:tc>
          <w:tcPr>
            <w:tcW w:w="356" w:type="pct"/>
          </w:tcPr>
          <w:p w14:paraId="4670C23E" w14:textId="5FF29A4A"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451</w:t>
            </w:r>
          </w:p>
        </w:tc>
        <w:tc>
          <w:tcPr>
            <w:tcW w:w="356" w:type="pct"/>
          </w:tcPr>
          <w:p w14:paraId="6ED8ABFF" w14:textId="35B93CA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408.7</w:t>
            </w:r>
          </w:p>
        </w:tc>
        <w:tc>
          <w:tcPr>
            <w:tcW w:w="315" w:type="pct"/>
          </w:tcPr>
          <w:p w14:paraId="094B4FEC" w14:textId="4E03710E"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286</w:t>
            </w:r>
          </w:p>
        </w:tc>
        <w:tc>
          <w:tcPr>
            <w:tcW w:w="319" w:type="pct"/>
          </w:tcPr>
          <w:p w14:paraId="2945D4FF" w14:textId="6BAD48C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103</w:t>
            </w:r>
          </w:p>
        </w:tc>
        <w:tc>
          <w:tcPr>
            <w:tcW w:w="327" w:type="pct"/>
          </w:tcPr>
          <w:p w14:paraId="77090051" w14:textId="37761BA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350.1</w:t>
            </w:r>
          </w:p>
        </w:tc>
        <w:tc>
          <w:tcPr>
            <w:tcW w:w="327" w:type="pct"/>
          </w:tcPr>
          <w:p w14:paraId="2F5E20C8" w14:textId="44ED7703"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62</w:t>
            </w:r>
          </w:p>
        </w:tc>
        <w:tc>
          <w:tcPr>
            <w:tcW w:w="327" w:type="pct"/>
          </w:tcPr>
          <w:p w14:paraId="491C6E26" w14:textId="3336786C"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58.6</w:t>
            </w:r>
          </w:p>
        </w:tc>
        <w:tc>
          <w:tcPr>
            <w:tcW w:w="360" w:type="pct"/>
          </w:tcPr>
          <w:p w14:paraId="62BA8B4F" w14:textId="5FFBA4B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509</w:t>
            </w:r>
          </w:p>
        </w:tc>
        <w:tc>
          <w:tcPr>
            <w:tcW w:w="326" w:type="pct"/>
          </w:tcPr>
          <w:p w14:paraId="297F37EF" w14:textId="19F77CF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462.8</w:t>
            </w:r>
          </w:p>
        </w:tc>
        <w:tc>
          <w:tcPr>
            <w:tcW w:w="308" w:type="pct"/>
          </w:tcPr>
          <w:p w14:paraId="10918453" w14:textId="798F37F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327</w:t>
            </w:r>
          </w:p>
        </w:tc>
        <w:tc>
          <w:tcPr>
            <w:tcW w:w="356" w:type="pct"/>
          </w:tcPr>
          <w:p w14:paraId="398E15FB" w14:textId="5A8B8D0F"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113</w:t>
            </w:r>
          </w:p>
        </w:tc>
        <w:tc>
          <w:tcPr>
            <w:tcW w:w="325" w:type="pct"/>
          </w:tcPr>
          <w:p w14:paraId="1AEE1002" w14:textId="2D9E16F3"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398.4</w:t>
            </w:r>
          </w:p>
        </w:tc>
        <w:tc>
          <w:tcPr>
            <w:tcW w:w="324" w:type="pct"/>
          </w:tcPr>
          <w:p w14:paraId="39E8DDB1" w14:textId="4023BD1A"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69</w:t>
            </w:r>
          </w:p>
        </w:tc>
        <w:tc>
          <w:tcPr>
            <w:tcW w:w="355" w:type="pct"/>
          </w:tcPr>
          <w:p w14:paraId="358D9549" w14:textId="4C34947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64.4</w:t>
            </w:r>
          </w:p>
        </w:tc>
      </w:tr>
      <w:tr w:rsidR="00A85CA8" w:rsidRPr="003B5B23" w14:paraId="59335622"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2B73098E" w14:textId="3FFED8C3" w:rsidR="00D270C2" w:rsidRPr="003B5B23" w:rsidRDefault="00D270C2" w:rsidP="00353C92">
            <w:pPr>
              <w:pStyle w:val="TableText"/>
            </w:pPr>
            <w:r w:rsidRPr="003B5B23">
              <w:t>45-54</w:t>
            </w:r>
          </w:p>
        </w:tc>
        <w:tc>
          <w:tcPr>
            <w:tcW w:w="356" w:type="pct"/>
          </w:tcPr>
          <w:p w14:paraId="774267D8" w14:textId="78FE91A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355</w:t>
            </w:r>
          </w:p>
        </w:tc>
        <w:tc>
          <w:tcPr>
            <w:tcW w:w="356" w:type="pct"/>
          </w:tcPr>
          <w:p w14:paraId="4996D2D0" w14:textId="4F6ACDBC"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330.5</w:t>
            </w:r>
          </w:p>
        </w:tc>
        <w:tc>
          <w:tcPr>
            <w:tcW w:w="315" w:type="pct"/>
          </w:tcPr>
          <w:p w14:paraId="3A224D74" w14:textId="7C427D83"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243</w:t>
            </w:r>
          </w:p>
        </w:tc>
        <w:tc>
          <w:tcPr>
            <w:tcW w:w="319" w:type="pct"/>
          </w:tcPr>
          <w:p w14:paraId="51023774" w14:textId="5383E5C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65</w:t>
            </w:r>
          </w:p>
        </w:tc>
        <w:tc>
          <w:tcPr>
            <w:tcW w:w="327" w:type="pct"/>
          </w:tcPr>
          <w:p w14:paraId="5D162E96" w14:textId="62837BA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286.2</w:t>
            </w:r>
          </w:p>
        </w:tc>
        <w:tc>
          <w:tcPr>
            <w:tcW w:w="327" w:type="pct"/>
          </w:tcPr>
          <w:p w14:paraId="37061B57" w14:textId="00BC176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47</w:t>
            </w:r>
          </w:p>
        </w:tc>
        <w:tc>
          <w:tcPr>
            <w:tcW w:w="327" w:type="pct"/>
          </w:tcPr>
          <w:p w14:paraId="0053B333" w14:textId="6726339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44.3</w:t>
            </w:r>
          </w:p>
        </w:tc>
        <w:tc>
          <w:tcPr>
            <w:tcW w:w="360" w:type="pct"/>
          </w:tcPr>
          <w:p w14:paraId="260E4FCB" w14:textId="6409D9C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380</w:t>
            </w:r>
          </w:p>
        </w:tc>
        <w:tc>
          <w:tcPr>
            <w:tcW w:w="326" w:type="pct"/>
          </w:tcPr>
          <w:p w14:paraId="0E17F54B" w14:textId="448E168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351.4</w:t>
            </w:r>
          </w:p>
        </w:tc>
        <w:tc>
          <w:tcPr>
            <w:tcW w:w="308" w:type="pct"/>
          </w:tcPr>
          <w:p w14:paraId="4829F83E" w14:textId="595A95B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261</w:t>
            </w:r>
          </w:p>
        </w:tc>
        <w:tc>
          <w:tcPr>
            <w:tcW w:w="356" w:type="pct"/>
          </w:tcPr>
          <w:p w14:paraId="0D252CA2" w14:textId="4889C031"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68</w:t>
            </w:r>
          </w:p>
        </w:tc>
        <w:tc>
          <w:tcPr>
            <w:tcW w:w="325" w:type="pct"/>
          </w:tcPr>
          <w:p w14:paraId="662DE89D" w14:textId="079BF32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304</w:t>
            </w:r>
          </w:p>
        </w:tc>
        <w:tc>
          <w:tcPr>
            <w:tcW w:w="324" w:type="pct"/>
          </w:tcPr>
          <w:p w14:paraId="0A41BDDC" w14:textId="37F69588"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51</w:t>
            </w:r>
          </w:p>
        </w:tc>
        <w:tc>
          <w:tcPr>
            <w:tcW w:w="355" w:type="pct"/>
          </w:tcPr>
          <w:p w14:paraId="171D46D7" w14:textId="7175174A"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47.4</w:t>
            </w:r>
          </w:p>
        </w:tc>
      </w:tr>
      <w:tr w:rsidR="00A85CA8" w:rsidRPr="003B5B23" w14:paraId="0144BE59"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145B058A" w14:textId="2ECE9099" w:rsidR="00D270C2" w:rsidRPr="003B5B23" w:rsidRDefault="00D270C2" w:rsidP="00353C92">
            <w:pPr>
              <w:pStyle w:val="TableText"/>
            </w:pPr>
            <w:r w:rsidRPr="003B5B23">
              <w:t>55-64</w:t>
            </w:r>
          </w:p>
        </w:tc>
        <w:tc>
          <w:tcPr>
            <w:tcW w:w="356" w:type="pct"/>
          </w:tcPr>
          <w:p w14:paraId="02F04BF0" w14:textId="2147165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276</w:t>
            </w:r>
          </w:p>
        </w:tc>
        <w:tc>
          <w:tcPr>
            <w:tcW w:w="356" w:type="pct"/>
          </w:tcPr>
          <w:p w14:paraId="579DF0A1" w14:textId="116A283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258.9</w:t>
            </w:r>
          </w:p>
        </w:tc>
        <w:tc>
          <w:tcPr>
            <w:tcW w:w="315" w:type="pct"/>
          </w:tcPr>
          <w:p w14:paraId="61254467" w14:textId="676EBC0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203</w:t>
            </w:r>
          </w:p>
        </w:tc>
        <w:tc>
          <w:tcPr>
            <w:tcW w:w="319" w:type="pct"/>
          </w:tcPr>
          <w:p w14:paraId="6DBE142F" w14:textId="27A147E4"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44</w:t>
            </w:r>
          </w:p>
        </w:tc>
        <w:tc>
          <w:tcPr>
            <w:tcW w:w="327" w:type="pct"/>
          </w:tcPr>
          <w:p w14:paraId="30193713" w14:textId="4F1E6B6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231.9</w:t>
            </w:r>
          </w:p>
        </w:tc>
        <w:tc>
          <w:tcPr>
            <w:tcW w:w="327" w:type="pct"/>
          </w:tcPr>
          <w:p w14:paraId="5262B23C" w14:textId="46442CA6"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29</w:t>
            </w:r>
          </w:p>
        </w:tc>
        <w:tc>
          <w:tcPr>
            <w:tcW w:w="327" w:type="pct"/>
          </w:tcPr>
          <w:p w14:paraId="2F5C9BF0" w14:textId="59929542"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27</w:t>
            </w:r>
          </w:p>
        </w:tc>
        <w:tc>
          <w:tcPr>
            <w:tcW w:w="360" w:type="pct"/>
          </w:tcPr>
          <w:p w14:paraId="0ED70E7F" w14:textId="1146B52B"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302</w:t>
            </w:r>
          </w:p>
        </w:tc>
        <w:tc>
          <w:tcPr>
            <w:tcW w:w="326" w:type="pct"/>
          </w:tcPr>
          <w:p w14:paraId="6B53DC7A" w14:textId="6D26ACD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277.6</w:t>
            </w:r>
          </w:p>
        </w:tc>
        <w:tc>
          <w:tcPr>
            <w:tcW w:w="308" w:type="pct"/>
          </w:tcPr>
          <w:p w14:paraId="0B3E12F5" w14:textId="7769ECF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215</w:t>
            </w:r>
          </w:p>
        </w:tc>
        <w:tc>
          <w:tcPr>
            <w:tcW w:w="356" w:type="pct"/>
          </w:tcPr>
          <w:p w14:paraId="676A045D" w14:textId="122B8B3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47</w:t>
            </w:r>
          </w:p>
        </w:tc>
        <w:tc>
          <w:tcPr>
            <w:tcW w:w="325" w:type="pct"/>
          </w:tcPr>
          <w:p w14:paraId="693648F0" w14:textId="0B74720C"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245.9</w:t>
            </w:r>
          </w:p>
        </w:tc>
        <w:tc>
          <w:tcPr>
            <w:tcW w:w="324" w:type="pct"/>
          </w:tcPr>
          <w:p w14:paraId="62990144" w14:textId="400F218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40</w:t>
            </w:r>
          </w:p>
        </w:tc>
        <w:tc>
          <w:tcPr>
            <w:tcW w:w="355" w:type="pct"/>
          </w:tcPr>
          <w:p w14:paraId="22D284FE" w14:textId="56052E9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31.7</w:t>
            </w:r>
          </w:p>
        </w:tc>
      </w:tr>
      <w:tr w:rsidR="00A85CA8" w:rsidRPr="003B5B23" w14:paraId="2BF47828" w14:textId="77777777" w:rsidTr="00A85CA8">
        <w:tc>
          <w:tcPr>
            <w:cnfStyle w:val="001000000000" w:firstRow="0" w:lastRow="0" w:firstColumn="1" w:lastColumn="0" w:oddVBand="0" w:evenVBand="0" w:oddHBand="0" w:evenHBand="0" w:firstRowFirstColumn="0" w:firstRowLastColumn="0" w:lastRowFirstColumn="0" w:lastRowLastColumn="0"/>
            <w:tcW w:w="323" w:type="pct"/>
          </w:tcPr>
          <w:p w14:paraId="3F31D9C3" w14:textId="458E1CAB" w:rsidR="00D270C2" w:rsidRPr="003B5B23" w:rsidRDefault="00D270C2" w:rsidP="00353C92">
            <w:pPr>
              <w:pStyle w:val="TableText"/>
            </w:pPr>
            <w:r w:rsidRPr="003B5B23">
              <w:t>Over 64</w:t>
            </w:r>
          </w:p>
        </w:tc>
        <w:tc>
          <w:tcPr>
            <w:tcW w:w="356" w:type="pct"/>
          </w:tcPr>
          <w:p w14:paraId="767BE73A" w14:textId="74EAFD5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78</w:t>
            </w:r>
          </w:p>
        </w:tc>
        <w:tc>
          <w:tcPr>
            <w:tcW w:w="356" w:type="pct"/>
          </w:tcPr>
          <w:p w14:paraId="0A6290AA" w14:textId="61A02CE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73.4</w:t>
            </w:r>
          </w:p>
        </w:tc>
        <w:tc>
          <w:tcPr>
            <w:tcW w:w="315" w:type="pct"/>
          </w:tcPr>
          <w:p w14:paraId="02546F27" w14:textId="607DE5BD"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62</w:t>
            </w:r>
          </w:p>
        </w:tc>
        <w:tc>
          <w:tcPr>
            <w:tcW w:w="319" w:type="pct"/>
          </w:tcPr>
          <w:p w14:paraId="7C38D0C7" w14:textId="298BDAE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8</w:t>
            </w:r>
          </w:p>
        </w:tc>
        <w:tc>
          <w:tcPr>
            <w:tcW w:w="327" w:type="pct"/>
          </w:tcPr>
          <w:p w14:paraId="2AAE698B" w14:textId="2510B4D3"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66.6</w:t>
            </w:r>
          </w:p>
        </w:tc>
        <w:tc>
          <w:tcPr>
            <w:tcW w:w="327" w:type="pct"/>
          </w:tcPr>
          <w:p w14:paraId="0013BEA9" w14:textId="4C9A7C28"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8</w:t>
            </w:r>
          </w:p>
        </w:tc>
        <w:tc>
          <w:tcPr>
            <w:tcW w:w="327" w:type="pct"/>
          </w:tcPr>
          <w:p w14:paraId="1085FF9C" w14:textId="7DDB987F"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6.8</w:t>
            </w:r>
          </w:p>
        </w:tc>
        <w:tc>
          <w:tcPr>
            <w:tcW w:w="360" w:type="pct"/>
          </w:tcPr>
          <w:p w14:paraId="7FABCF92" w14:textId="5550B107"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98</w:t>
            </w:r>
          </w:p>
        </w:tc>
        <w:tc>
          <w:tcPr>
            <w:tcW w:w="326" w:type="pct"/>
          </w:tcPr>
          <w:p w14:paraId="7D4721F8" w14:textId="7E0D0361"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77</w:t>
            </w:r>
          </w:p>
        </w:tc>
        <w:tc>
          <w:tcPr>
            <w:tcW w:w="308" w:type="pct"/>
          </w:tcPr>
          <w:p w14:paraId="2CEF208E" w14:textId="201F6C25"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60</w:t>
            </w:r>
          </w:p>
        </w:tc>
        <w:tc>
          <w:tcPr>
            <w:tcW w:w="356" w:type="pct"/>
          </w:tcPr>
          <w:p w14:paraId="6CC0ABFE" w14:textId="26E4D1CE"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12</w:t>
            </w:r>
          </w:p>
        </w:tc>
        <w:tc>
          <w:tcPr>
            <w:tcW w:w="325" w:type="pct"/>
          </w:tcPr>
          <w:p w14:paraId="36932942" w14:textId="500A36AF"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67</w:t>
            </w:r>
          </w:p>
        </w:tc>
        <w:tc>
          <w:tcPr>
            <w:tcW w:w="324" w:type="pct"/>
          </w:tcPr>
          <w:p w14:paraId="46A297BA" w14:textId="05E8D9F9"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26</w:t>
            </w:r>
          </w:p>
        </w:tc>
        <w:tc>
          <w:tcPr>
            <w:tcW w:w="355" w:type="pct"/>
          </w:tcPr>
          <w:p w14:paraId="66A390BC" w14:textId="71A8EAC0" w:rsidR="00D270C2" w:rsidRPr="003B5B23" w:rsidRDefault="009F7EAA" w:rsidP="00353C92">
            <w:pPr>
              <w:pStyle w:val="TableText"/>
              <w:cnfStyle w:val="000000000000" w:firstRow="0" w:lastRow="0" w:firstColumn="0" w:lastColumn="0" w:oddVBand="0" w:evenVBand="0" w:oddHBand="0" w:evenHBand="0" w:firstRowFirstColumn="0" w:firstRowLastColumn="0" w:lastRowFirstColumn="0" w:lastRowLastColumn="0"/>
            </w:pPr>
            <w:r>
              <w:t>10</w:t>
            </w:r>
          </w:p>
        </w:tc>
      </w:tr>
    </w:tbl>
    <w:p w14:paraId="69EBE338" w14:textId="66B035F5" w:rsidR="003B5B23" w:rsidRDefault="003B5B23" w:rsidP="00AA2A48">
      <w:pPr>
        <w:pStyle w:val="BodyText"/>
        <w:keepNext/>
      </w:pPr>
      <w:r w:rsidRPr="006F3CF5">
        <w:t>Classification Data</w:t>
      </w:r>
    </w:p>
    <w:tbl>
      <w:tblPr>
        <w:tblStyle w:val="AccessibleTableNumerical"/>
        <w:tblW w:w="5000" w:type="pct"/>
        <w:tblLook w:val="06A0" w:firstRow="1" w:lastRow="0" w:firstColumn="1" w:lastColumn="0" w:noHBand="1" w:noVBand="1"/>
      </w:tblPr>
      <w:tblGrid>
        <w:gridCol w:w="1418"/>
        <w:gridCol w:w="1418"/>
        <w:gridCol w:w="1423"/>
        <w:gridCol w:w="1559"/>
        <w:gridCol w:w="1417"/>
        <w:gridCol w:w="1417"/>
        <w:gridCol w:w="1417"/>
        <w:gridCol w:w="1508"/>
        <w:gridCol w:w="1469"/>
        <w:gridCol w:w="1344"/>
        <w:gridCol w:w="1348"/>
        <w:gridCol w:w="1559"/>
        <w:gridCol w:w="1417"/>
        <w:gridCol w:w="1417"/>
        <w:gridCol w:w="1409"/>
      </w:tblGrid>
      <w:tr w:rsidR="00616487" w:rsidRPr="00AA2A48" w14:paraId="3A3BE394" w14:textId="77777777" w:rsidTr="005C7C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 w:type="pct"/>
          </w:tcPr>
          <w:p w14:paraId="658E75A1" w14:textId="34B99C8E" w:rsidR="00616487" w:rsidRPr="00AA2A48" w:rsidRDefault="00616487" w:rsidP="00CE1948">
            <w:pPr>
              <w:pStyle w:val="TableText"/>
              <w:keepNext/>
              <w:spacing w:before="50" w:after="50"/>
            </w:pPr>
            <w:bookmarkStart w:id="113" w:name="ColumnTitle_30117"/>
            <w:r w:rsidRPr="00AA2A48">
              <w:rPr>
                <w:rStyle w:val="Bold"/>
              </w:rPr>
              <w:t>Age</w:t>
            </w:r>
          </w:p>
        </w:tc>
        <w:tc>
          <w:tcPr>
            <w:tcW w:w="329" w:type="pct"/>
            <w:vAlign w:val="bottom"/>
          </w:tcPr>
          <w:p w14:paraId="254393AE" w14:textId="41DFD391"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30 June 20</w:t>
            </w:r>
            <w:r w:rsidR="009F7EAA" w:rsidRPr="00AA2A48">
              <w:rPr>
                <w:rStyle w:val="Bold"/>
              </w:rPr>
              <w:t>19</w:t>
            </w:r>
            <w:r w:rsidRPr="00AA2A48">
              <w:rPr>
                <w:rStyle w:val="Bold"/>
              </w:rPr>
              <w:br/>
              <w:t>All employees Number (headcount)</w:t>
            </w:r>
          </w:p>
        </w:tc>
        <w:tc>
          <w:tcPr>
            <w:tcW w:w="330" w:type="pct"/>
            <w:vAlign w:val="bottom"/>
          </w:tcPr>
          <w:p w14:paraId="2C854D28" w14:textId="035499C3"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30 June 20</w:t>
            </w:r>
            <w:r w:rsidR="009F7EAA" w:rsidRPr="00AA2A48">
              <w:rPr>
                <w:rStyle w:val="Bold"/>
              </w:rPr>
              <w:t>19</w:t>
            </w:r>
            <w:r w:rsidRPr="00AA2A48">
              <w:rPr>
                <w:rStyle w:val="Bold"/>
              </w:rPr>
              <w:t xml:space="preserve"> All employees </w:t>
            </w:r>
            <w:r w:rsidR="00A10DBB">
              <w:rPr>
                <w:rStyle w:val="Bold"/>
              </w:rPr>
              <w:t>Full-time Equivalent</w:t>
            </w:r>
          </w:p>
        </w:tc>
        <w:tc>
          <w:tcPr>
            <w:tcW w:w="362" w:type="pct"/>
            <w:vAlign w:val="bottom"/>
          </w:tcPr>
          <w:p w14:paraId="0EF61625" w14:textId="7BDD441A"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2019</w:t>
            </w:r>
            <w:r w:rsidRPr="00AA2A48">
              <w:rPr>
                <w:rStyle w:val="Bold"/>
              </w:rPr>
              <w:t xml:space="preserve"> Ongoing</w:t>
            </w:r>
            <w:r w:rsidRPr="00AA2A48">
              <w:rPr>
                <w:rStyle w:val="Bold"/>
              </w:rPr>
              <w:br/>
              <w:t>Full-time</w:t>
            </w:r>
            <w:r w:rsidRPr="00AA2A48">
              <w:rPr>
                <w:rStyle w:val="Bold"/>
              </w:rPr>
              <w:br/>
              <w:t>(headcount)</w:t>
            </w:r>
          </w:p>
        </w:tc>
        <w:tc>
          <w:tcPr>
            <w:tcW w:w="329" w:type="pct"/>
            <w:vAlign w:val="bottom"/>
          </w:tcPr>
          <w:p w14:paraId="7C51C25C" w14:textId="776D049E"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2019</w:t>
            </w:r>
            <w:r w:rsidRPr="00AA2A48">
              <w:rPr>
                <w:rStyle w:val="Bold"/>
              </w:rPr>
              <w:t xml:space="preserve"> Ongoing</w:t>
            </w:r>
            <w:r w:rsidRPr="00AA2A48">
              <w:rPr>
                <w:rStyle w:val="Bold"/>
              </w:rPr>
              <w:br/>
              <w:t>Part-time</w:t>
            </w:r>
            <w:r w:rsidRPr="00AA2A48">
              <w:rPr>
                <w:rStyle w:val="Bold"/>
              </w:rPr>
              <w:br/>
              <w:t>(headcount)</w:t>
            </w:r>
          </w:p>
        </w:tc>
        <w:tc>
          <w:tcPr>
            <w:tcW w:w="329" w:type="pct"/>
            <w:vAlign w:val="bottom"/>
          </w:tcPr>
          <w:p w14:paraId="679A45A5" w14:textId="5B3C7273"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2019</w:t>
            </w:r>
            <w:r w:rsidRPr="00AA2A48">
              <w:rPr>
                <w:rStyle w:val="Bold"/>
              </w:rPr>
              <w:t xml:space="preserve"> Ongoing</w:t>
            </w:r>
            <w:r w:rsidRPr="00AA2A48">
              <w:rPr>
                <w:rStyle w:val="Bold"/>
              </w:rPr>
              <w:br/>
            </w:r>
            <w:r w:rsidR="00A10DBB">
              <w:rPr>
                <w:rStyle w:val="Bold"/>
              </w:rPr>
              <w:t>Full-time Equivalent</w:t>
            </w:r>
          </w:p>
        </w:tc>
        <w:tc>
          <w:tcPr>
            <w:tcW w:w="329" w:type="pct"/>
            <w:vAlign w:val="bottom"/>
          </w:tcPr>
          <w:p w14:paraId="246EBF75" w14:textId="52FDD99E"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2019</w:t>
            </w:r>
            <w:r w:rsidRPr="00AA2A48">
              <w:rPr>
                <w:rStyle w:val="Bold"/>
              </w:rPr>
              <w:t xml:space="preserve"> Fixed term and casual Number (headcount)</w:t>
            </w:r>
          </w:p>
        </w:tc>
        <w:tc>
          <w:tcPr>
            <w:tcW w:w="350" w:type="pct"/>
            <w:vAlign w:val="bottom"/>
          </w:tcPr>
          <w:p w14:paraId="47B3B04A" w14:textId="3E95CDA3"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2019</w:t>
            </w:r>
            <w:r w:rsidRPr="00AA2A48">
              <w:rPr>
                <w:rStyle w:val="Bold"/>
              </w:rPr>
              <w:t xml:space="preserve"> Fixed term and casual</w:t>
            </w:r>
            <w:r w:rsidR="004A592B" w:rsidRPr="00AA2A48">
              <w:rPr>
                <w:rStyle w:val="Bold"/>
              </w:rPr>
              <w:br/>
            </w:r>
            <w:r w:rsidR="00A10DBB">
              <w:rPr>
                <w:rStyle w:val="Bold"/>
              </w:rPr>
              <w:t>Full-time Equivalent</w:t>
            </w:r>
          </w:p>
        </w:tc>
        <w:tc>
          <w:tcPr>
            <w:tcW w:w="341" w:type="pct"/>
            <w:vAlign w:val="bottom"/>
          </w:tcPr>
          <w:p w14:paraId="537ED6FB" w14:textId="2EC3A533"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w:t>
            </w:r>
            <w:r w:rsidR="009F7EAA" w:rsidRPr="00AA2A48">
              <w:rPr>
                <w:rStyle w:val="Bold"/>
              </w:rPr>
              <w:br/>
            </w:r>
            <w:r w:rsidRPr="00AA2A48">
              <w:rPr>
                <w:rStyle w:val="Bold"/>
              </w:rPr>
              <w:t xml:space="preserve">All Employees Number (headcount) </w:t>
            </w:r>
          </w:p>
        </w:tc>
        <w:tc>
          <w:tcPr>
            <w:tcW w:w="312" w:type="pct"/>
            <w:vAlign w:val="bottom"/>
          </w:tcPr>
          <w:p w14:paraId="440A3BB1" w14:textId="2F31A9B9"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All Employees </w:t>
            </w:r>
            <w:r w:rsidR="00A10DBB">
              <w:rPr>
                <w:rStyle w:val="Bold"/>
              </w:rPr>
              <w:t>Full-time Equivalent</w:t>
            </w:r>
          </w:p>
        </w:tc>
        <w:tc>
          <w:tcPr>
            <w:tcW w:w="313" w:type="pct"/>
            <w:vAlign w:val="bottom"/>
          </w:tcPr>
          <w:p w14:paraId="57A0CD57" w14:textId="5F0E0CDF"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Ongoing</w:t>
            </w:r>
            <w:r w:rsidRPr="00AA2A48">
              <w:rPr>
                <w:rStyle w:val="Bold"/>
              </w:rPr>
              <w:br/>
              <w:t>Full-time</w:t>
            </w:r>
            <w:r w:rsidRPr="00AA2A48">
              <w:rPr>
                <w:rStyle w:val="Bold"/>
              </w:rPr>
              <w:br/>
              <w:t>(headcount)</w:t>
            </w:r>
          </w:p>
        </w:tc>
        <w:tc>
          <w:tcPr>
            <w:tcW w:w="362" w:type="pct"/>
            <w:vAlign w:val="bottom"/>
          </w:tcPr>
          <w:p w14:paraId="4EF26CDA" w14:textId="51830422"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Ongoing</w:t>
            </w:r>
            <w:r w:rsidRPr="00AA2A48">
              <w:rPr>
                <w:rStyle w:val="Bold"/>
              </w:rPr>
              <w:br/>
              <w:t>Part-time</w:t>
            </w:r>
            <w:r w:rsidRPr="00AA2A48">
              <w:rPr>
                <w:rStyle w:val="Bold"/>
              </w:rPr>
              <w:br/>
              <w:t>(headcount)</w:t>
            </w:r>
          </w:p>
        </w:tc>
        <w:tc>
          <w:tcPr>
            <w:tcW w:w="329" w:type="pct"/>
            <w:vAlign w:val="bottom"/>
          </w:tcPr>
          <w:p w14:paraId="4546D6C3" w14:textId="4E1E6D7F"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Ongoing</w:t>
            </w:r>
            <w:r w:rsidRPr="00AA2A48">
              <w:rPr>
                <w:rStyle w:val="Bold"/>
              </w:rPr>
              <w:br/>
            </w:r>
            <w:r w:rsidR="00A10DBB">
              <w:rPr>
                <w:rStyle w:val="Bold"/>
              </w:rPr>
              <w:t>Full-time Equivalent</w:t>
            </w:r>
          </w:p>
        </w:tc>
        <w:tc>
          <w:tcPr>
            <w:tcW w:w="329" w:type="pct"/>
            <w:vAlign w:val="bottom"/>
          </w:tcPr>
          <w:p w14:paraId="49A9E270" w14:textId="466E7C15"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Fixed term and casual Number (headcount)</w:t>
            </w:r>
          </w:p>
        </w:tc>
        <w:tc>
          <w:tcPr>
            <w:tcW w:w="327" w:type="pct"/>
            <w:vAlign w:val="bottom"/>
          </w:tcPr>
          <w:p w14:paraId="1560B63C" w14:textId="4FF42137" w:rsidR="00616487" w:rsidRPr="00AA2A48" w:rsidRDefault="00616487" w:rsidP="00CE1948">
            <w:pPr>
              <w:pStyle w:val="TableText"/>
              <w:keepNext/>
              <w:spacing w:before="50" w:after="50"/>
              <w:cnfStyle w:val="100000000000" w:firstRow="1" w:lastRow="0" w:firstColumn="0" w:lastColumn="0" w:oddVBand="0" w:evenVBand="0" w:oddHBand="0" w:evenHBand="0" w:firstRowFirstColumn="0" w:firstRowLastColumn="0" w:lastRowFirstColumn="0" w:lastRowLastColumn="0"/>
              <w:rPr>
                <w:rStyle w:val="Bold"/>
              </w:rPr>
            </w:pPr>
            <w:r w:rsidRPr="00AA2A48">
              <w:rPr>
                <w:rStyle w:val="Bold"/>
              </w:rPr>
              <w:t xml:space="preserve">30 June </w:t>
            </w:r>
            <w:r w:rsidR="009F7EAA" w:rsidRPr="00AA2A48">
              <w:rPr>
                <w:rStyle w:val="Bold"/>
              </w:rPr>
              <w:t>2020</w:t>
            </w:r>
            <w:r w:rsidRPr="00AA2A48">
              <w:rPr>
                <w:rStyle w:val="Bold"/>
              </w:rPr>
              <w:t xml:space="preserve"> Fixed term and casual </w:t>
            </w:r>
            <w:r w:rsidR="00A10DBB">
              <w:rPr>
                <w:rStyle w:val="Bold"/>
              </w:rPr>
              <w:t>Full-time Equivalent</w:t>
            </w:r>
          </w:p>
        </w:tc>
      </w:tr>
      <w:bookmarkEnd w:id="113"/>
      <w:tr w:rsidR="00616487" w:rsidRPr="00AA2A48" w14:paraId="64031967"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3C1E493A" w14:textId="3C46B4B0" w:rsidR="00616487" w:rsidRPr="00AA2A48" w:rsidRDefault="00A10DBB" w:rsidP="00CE1948">
            <w:pPr>
              <w:pStyle w:val="TableText"/>
              <w:keepNext/>
              <w:spacing w:before="50" w:after="60"/>
              <w:rPr>
                <w:rStyle w:val="Bold"/>
                <w:rFonts w:asciiTheme="minorHAnsi" w:hAnsiTheme="minorHAnsi"/>
              </w:rPr>
            </w:pPr>
            <w:r>
              <w:t>Victorian Public Service</w:t>
            </w:r>
            <w:r w:rsidR="00616487" w:rsidRPr="00AA2A48">
              <w:t xml:space="preserve"> 1</w:t>
            </w:r>
          </w:p>
        </w:tc>
        <w:tc>
          <w:tcPr>
            <w:tcW w:w="329" w:type="pct"/>
          </w:tcPr>
          <w:p w14:paraId="70EBF934" w14:textId="3B4611B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30" w:type="pct"/>
          </w:tcPr>
          <w:p w14:paraId="27C43681" w14:textId="445B8DCF"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62" w:type="pct"/>
          </w:tcPr>
          <w:p w14:paraId="2D6BBB05" w14:textId="753DD058"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29" w:type="pct"/>
          </w:tcPr>
          <w:p w14:paraId="18F28596" w14:textId="3287FB1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29" w:type="pct"/>
          </w:tcPr>
          <w:p w14:paraId="2AFB8C02" w14:textId="21B6D2F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29" w:type="pct"/>
          </w:tcPr>
          <w:p w14:paraId="0F36EB44" w14:textId="22FC4920"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50" w:type="pct"/>
          </w:tcPr>
          <w:p w14:paraId="48EC4E91" w14:textId="3D2B897E"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41" w:type="pct"/>
          </w:tcPr>
          <w:p w14:paraId="2C8EF9BA" w14:textId="0E1714D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12" w:type="pct"/>
          </w:tcPr>
          <w:p w14:paraId="040F2160" w14:textId="1E60CCC0"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13" w:type="pct"/>
          </w:tcPr>
          <w:p w14:paraId="53801A51" w14:textId="2AC6298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62" w:type="pct"/>
          </w:tcPr>
          <w:p w14:paraId="747E8956" w14:textId="72BF87F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29" w:type="pct"/>
          </w:tcPr>
          <w:p w14:paraId="3567A85F" w14:textId="329A4C08"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0</w:t>
            </w:r>
          </w:p>
        </w:tc>
        <w:tc>
          <w:tcPr>
            <w:tcW w:w="329" w:type="pct"/>
          </w:tcPr>
          <w:p w14:paraId="64B30F5D" w14:textId="5F308ED7"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c>
          <w:tcPr>
            <w:tcW w:w="327" w:type="pct"/>
          </w:tcPr>
          <w:p w14:paraId="44614E3B" w14:textId="35EE7F5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w:t>
            </w:r>
          </w:p>
        </w:tc>
      </w:tr>
      <w:tr w:rsidR="00616487" w:rsidRPr="00AA2A48" w14:paraId="53CCF5CE"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4615D81B" w14:textId="19F1F361" w:rsidR="00616487" w:rsidRPr="00AA2A48" w:rsidRDefault="00A10DBB" w:rsidP="00CE1948">
            <w:pPr>
              <w:pStyle w:val="TableText"/>
              <w:keepNext/>
              <w:spacing w:before="50" w:after="60"/>
              <w:rPr>
                <w:rStyle w:val="Bold"/>
                <w:rFonts w:asciiTheme="minorHAnsi" w:hAnsiTheme="minorHAnsi"/>
              </w:rPr>
            </w:pPr>
            <w:r>
              <w:t>Victorian Public Service</w:t>
            </w:r>
            <w:r w:rsidR="00616487" w:rsidRPr="00AA2A48">
              <w:t xml:space="preserve"> 2</w:t>
            </w:r>
          </w:p>
        </w:tc>
        <w:tc>
          <w:tcPr>
            <w:tcW w:w="329" w:type="pct"/>
          </w:tcPr>
          <w:p w14:paraId="4F105F72" w14:textId="778652FF"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361</w:t>
            </w:r>
          </w:p>
        </w:tc>
        <w:tc>
          <w:tcPr>
            <w:tcW w:w="330" w:type="pct"/>
          </w:tcPr>
          <w:p w14:paraId="422A77DF" w14:textId="3FC5908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338.2</w:t>
            </w:r>
          </w:p>
        </w:tc>
        <w:tc>
          <w:tcPr>
            <w:tcW w:w="362" w:type="pct"/>
          </w:tcPr>
          <w:p w14:paraId="72458F95" w14:textId="4C0FF6DB"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232</w:t>
            </w:r>
          </w:p>
        </w:tc>
        <w:tc>
          <w:tcPr>
            <w:tcW w:w="329" w:type="pct"/>
          </w:tcPr>
          <w:p w14:paraId="71A244B5" w14:textId="094996B0"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45</w:t>
            </w:r>
          </w:p>
        </w:tc>
        <w:tc>
          <w:tcPr>
            <w:tcW w:w="329" w:type="pct"/>
          </w:tcPr>
          <w:p w14:paraId="7932BE13" w14:textId="380891A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262.7</w:t>
            </w:r>
          </w:p>
        </w:tc>
        <w:tc>
          <w:tcPr>
            <w:tcW w:w="329" w:type="pct"/>
          </w:tcPr>
          <w:p w14:paraId="2AB2D584" w14:textId="707A1138"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84</w:t>
            </w:r>
          </w:p>
        </w:tc>
        <w:tc>
          <w:tcPr>
            <w:tcW w:w="350" w:type="pct"/>
          </w:tcPr>
          <w:p w14:paraId="29B5F11C" w14:textId="7D7257C6"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75.5</w:t>
            </w:r>
          </w:p>
        </w:tc>
        <w:tc>
          <w:tcPr>
            <w:tcW w:w="341" w:type="pct"/>
          </w:tcPr>
          <w:p w14:paraId="43EF95F0" w14:textId="64B7F0A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347</w:t>
            </w:r>
          </w:p>
        </w:tc>
        <w:tc>
          <w:tcPr>
            <w:tcW w:w="312" w:type="pct"/>
          </w:tcPr>
          <w:p w14:paraId="5957FF10" w14:textId="58DB1D6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322.8</w:t>
            </w:r>
          </w:p>
        </w:tc>
        <w:tc>
          <w:tcPr>
            <w:tcW w:w="313" w:type="pct"/>
          </w:tcPr>
          <w:p w14:paraId="1FE0F1B7" w14:textId="5D642447"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rPr>
                <w:rStyle w:val="Bold"/>
                <w:rFonts w:asciiTheme="minorHAnsi" w:hAnsiTheme="minorHAnsi"/>
              </w:rPr>
              <w:t>231</w:t>
            </w:r>
          </w:p>
        </w:tc>
        <w:tc>
          <w:tcPr>
            <w:tcW w:w="362" w:type="pct"/>
          </w:tcPr>
          <w:p w14:paraId="13A5B859" w14:textId="3A9EE1E2"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54</w:t>
            </w:r>
          </w:p>
        </w:tc>
        <w:tc>
          <w:tcPr>
            <w:tcW w:w="329" w:type="pct"/>
          </w:tcPr>
          <w:p w14:paraId="579DF104" w14:textId="4E583DDB"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265.8</w:t>
            </w:r>
          </w:p>
        </w:tc>
        <w:tc>
          <w:tcPr>
            <w:tcW w:w="329" w:type="pct"/>
          </w:tcPr>
          <w:p w14:paraId="6134199E" w14:textId="3A73F6B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62</w:t>
            </w:r>
          </w:p>
        </w:tc>
        <w:tc>
          <w:tcPr>
            <w:tcW w:w="327" w:type="pct"/>
          </w:tcPr>
          <w:p w14:paraId="26C7A335" w14:textId="36BD0014"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57</w:t>
            </w:r>
          </w:p>
        </w:tc>
      </w:tr>
      <w:tr w:rsidR="00616487" w:rsidRPr="00AA2A48" w14:paraId="1B5280A1"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63628AAB" w14:textId="4AB89C23" w:rsidR="00616487" w:rsidRPr="00AA2A48" w:rsidRDefault="00A10DBB" w:rsidP="00CE1948">
            <w:pPr>
              <w:pStyle w:val="TableText"/>
              <w:keepNext/>
              <w:spacing w:before="50" w:after="60"/>
              <w:rPr>
                <w:rStyle w:val="Bold"/>
                <w:rFonts w:asciiTheme="minorHAnsi" w:hAnsiTheme="minorHAnsi"/>
              </w:rPr>
            </w:pPr>
            <w:r>
              <w:t>Victorian Public Service</w:t>
            </w:r>
            <w:r w:rsidR="00616487" w:rsidRPr="00AA2A48">
              <w:t xml:space="preserve"> 3</w:t>
            </w:r>
          </w:p>
        </w:tc>
        <w:tc>
          <w:tcPr>
            <w:tcW w:w="329" w:type="pct"/>
          </w:tcPr>
          <w:p w14:paraId="566E9E22" w14:textId="7E2EDE1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470</w:t>
            </w:r>
          </w:p>
        </w:tc>
        <w:tc>
          <w:tcPr>
            <w:tcW w:w="330" w:type="pct"/>
          </w:tcPr>
          <w:p w14:paraId="6CB55A49" w14:textId="39D063BB"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450.4</w:t>
            </w:r>
          </w:p>
        </w:tc>
        <w:tc>
          <w:tcPr>
            <w:tcW w:w="362" w:type="pct"/>
          </w:tcPr>
          <w:p w14:paraId="04559DDB" w14:textId="299C520F"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243</w:t>
            </w:r>
          </w:p>
        </w:tc>
        <w:tc>
          <w:tcPr>
            <w:tcW w:w="329" w:type="pct"/>
          </w:tcPr>
          <w:p w14:paraId="63958D6F" w14:textId="2EAB5E5E"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46</w:t>
            </w:r>
          </w:p>
        </w:tc>
        <w:tc>
          <w:tcPr>
            <w:tcW w:w="329" w:type="pct"/>
          </w:tcPr>
          <w:p w14:paraId="7B5FC1F9" w14:textId="06AF1A1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272.7</w:t>
            </w:r>
          </w:p>
        </w:tc>
        <w:tc>
          <w:tcPr>
            <w:tcW w:w="329" w:type="pct"/>
          </w:tcPr>
          <w:p w14:paraId="23A167D1" w14:textId="14629E9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181</w:t>
            </w:r>
          </w:p>
        </w:tc>
        <w:tc>
          <w:tcPr>
            <w:tcW w:w="350" w:type="pct"/>
          </w:tcPr>
          <w:p w14:paraId="0218883C" w14:textId="1264530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177.7</w:t>
            </w:r>
          </w:p>
        </w:tc>
        <w:tc>
          <w:tcPr>
            <w:tcW w:w="341" w:type="pct"/>
          </w:tcPr>
          <w:p w14:paraId="022F07F8" w14:textId="6B163B7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504</w:t>
            </w:r>
          </w:p>
        </w:tc>
        <w:tc>
          <w:tcPr>
            <w:tcW w:w="312" w:type="pct"/>
          </w:tcPr>
          <w:p w14:paraId="615161FA" w14:textId="076B49E3"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482.7</w:t>
            </w:r>
          </w:p>
        </w:tc>
        <w:tc>
          <w:tcPr>
            <w:tcW w:w="313" w:type="pct"/>
          </w:tcPr>
          <w:p w14:paraId="0A289D18" w14:textId="15EA6C2E"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273</w:t>
            </w:r>
          </w:p>
        </w:tc>
        <w:tc>
          <w:tcPr>
            <w:tcW w:w="362" w:type="pct"/>
          </w:tcPr>
          <w:p w14:paraId="531F556B" w14:textId="5400E34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46</w:t>
            </w:r>
          </w:p>
        </w:tc>
        <w:tc>
          <w:tcPr>
            <w:tcW w:w="329" w:type="pct"/>
          </w:tcPr>
          <w:p w14:paraId="741CD072" w14:textId="32116D1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302</w:t>
            </w:r>
          </w:p>
        </w:tc>
        <w:tc>
          <w:tcPr>
            <w:tcW w:w="329" w:type="pct"/>
          </w:tcPr>
          <w:p w14:paraId="107598CF" w14:textId="0B255249"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185</w:t>
            </w:r>
          </w:p>
        </w:tc>
        <w:tc>
          <w:tcPr>
            <w:tcW w:w="327" w:type="pct"/>
          </w:tcPr>
          <w:p w14:paraId="0A73E630" w14:textId="3B1EBFC8"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180.7</w:t>
            </w:r>
          </w:p>
        </w:tc>
      </w:tr>
      <w:tr w:rsidR="00616487" w:rsidRPr="00AA2A48" w14:paraId="2F3D4A86"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2A72327A" w14:textId="792CDB39" w:rsidR="00616487" w:rsidRPr="00AA2A48" w:rsidRDefault="00A10DBB" w:rsidP="00CE1948">
            <w:pPr>
              <w:pStyle w:val="TableText"/>
              <w:keepNext/>
              <w:spacing w:before="50" w:after="60"/>
              <w:rPr>
                <w:rStyle w:val="Bold"/>
                <w:rFonts w:asciiTheme="minorHAnsi" w:hAnsiTheme="minorHAnsi"/>
              </w:rPr>
            </w:pPr>
            <w:r>
              <w:t>Victorian Public Service</w:t>
            </w:r>
            <w:r w:rsidR="00616487" w:rsidRPr="00AA2A48">
              <w:t xml:space="preserve"> 4</w:t>
            </w:r>
          </w:p>
        </w:tc>
        <w:tc>
          <w:tcPr>
            <w:tcW w:w="329" w:type="pct"/>
          </w:tcPr>
          <w:p w14:paraId="7A072DE3" w14:textId="6C892A1F"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344</w:t>
            </w:r>
          </w:p>
        </w:tc>
        <w:tc>
          <w:tcPr>
            <w:tcW w:w="330" w:type="pct"/>
          </w:tcPr>
          <w:p w14:paraId="007846D1" w14:textId="48ECDFB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321.3</w:t>
            </w:r>
          </w:p>
        </w:tc>
        <w:tc>
          <w:tcPr>
            <w:tcW w:w="362" w:type="pct"/>
          </w:tcPr>
          <w:p w14:paraId="21418264" w14:textId="3A573FA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230</w:t>
            </w:r>
          </w:p>
        </w:tc>
        <w:tc>
          <w:tcPr>
            <w:tcW w:w="329" w:type="pct"/>
          </w:tcPr>
          <w:p w14:paraId="6933EE39" w14:textId="77995B6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57</w:t>
            </w:r>
          </w:p>
        </w:tc>
        <w:tc>
          <w:tcPr>
            <w:tcW w:w="329" w:type="pct"/>
          </w:tcPr>
          <w:p w14:paraId="0846F962" w14:textId="58513C0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267.6</w:t>
            </w:r>
          </w:p>
        </w:tc>
        <w:tc>
          <w:tcPr>
            <w:tcW w:w="329" w:type="pct"/>
          </w:tcPr>
          <w:p w14:paraId="25D9D95A" w14:textId="47F76F0A"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57</w:t>
            </w:r>
          </w:p>
        </w:tc>
        <w:tc>
          <w:tcPr>
            <w:tcW w:w="350" w:type="pct"/>
          </w:tcPr>
          <w:p w14:paraId="317426BD" w14:textId="5D324615"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53.7</w:t>
            </w:r>
          </w:p>
        </w:tc>
        <w:tc>
          <w:tcPr>
            <w:tcW w:w="341" w:type="pct"/>
          </w:tcPr>
          <w:p w14:paraId="4FFF00B8" w14:textId="23002EA7"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373</w:t>
            </w:r>
          </w:p>
        </w:tc>
        <w:tc>
          <w:tcPr>
            <w:tcW w:w="312" w:type="pct"/>
          </w:tcPr>
          <w:p w14:paraId="04CB6771" w14:textId="24C78016"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349</w:t>
            </w:r>
          </w:p>
        </w:tc>
        <w:tc>
          <w:tcPr>
            <w:tcW w:w="313" w:type="pct"/>
          </w:tcPr>
          <w:p w14:paraId="0A4C104D" w14:textId="5A0FE80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261</w:t>
            </w:r>
          </w:p>
        </w:tc>
        <w:tc>
          <w:tcPr>
            <w:tcW w:w="362" w:type="pct"/>
          </w:tcPr>
          <w:p w14:paraId="231A20EF" w14:textId="445F6B00"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61</w:t>
            </w:r>
          </w:p>
        </w:tc>
        <w:tc>
          <w:tcPr>
            <w:tcW w:w="329" w:type="pct"/>
          </w:tcPr>
          <w:p w14:paraId="3C6E24D3" w14:textId="4296A66F"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300.3</w:t>
            </w:r>
          </w:p>
        </w:tc>
        <w:tc>
          <w:tcPr>
            <w:tcW w:w="329" w:type="pct"/>
          </w:tcPr>
          <w:p w14:paraId="68878EBD" w14:textId="26914783"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51</w:t>
            </w:r>
          </w:p>
        </w:tc>
        <w:tc>
          <w:tcPr>
            <w:tcW w:w="327" w:type="pct"/>
          </w:tcPr>
          <w:p w14:paraId="337BCB91" w14:textId="3007E664"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48.7</w:t>
            </w:r>
          </w:p>
        </w:tc>
      </w:tr>
      <w:tr w:rsidR="00616487" w:rsidRPr="00AA2A48" w14:paraId="2F70D503"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39128B18" w14:textId="490A2C8D" w:rsidR="00616487" w:rsidRPr="00AA2A48" w:rsidRDefault="00A10DBB" w:rsidP="00CE1948">
            <w:pPr>
              <w:pStyle w:val="TableText"/>
              <w:keepNext/>
              <w:spacing w:before="50" w:after="60"/>
              <w:rPr>
                <w:rStyle w:val="Bold"/>
                <w:rFonts w:asciiTheme="minorHAnsi" w:hAnsiTheme="minorHAnsi"/>
              </w:rPr>
            </w:pPr>
            <w:r>
              <w:t>Victorian Public Service</w:t>
            </w:r>
            <w:r w:rsidR="00616487" w:rsidRPr="00AA2A48">
              <w:t xml:space="preserve"> 5</w:t>
            </w:r>
          </w:p>
        </w:tc>
        <w:tc>
          <w:tcPr>
            <w:tcW w:w="329" w:type="pct"/>
          </w:tcPr>
          <w:p w14:paraId="176EF276" w14:textId="242475D3"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224</w:t>
            </w:r>
          </w:p>
        </w:tc>
        <w:tc>
          <w:tcPr>
            <w:tcW w:w="330" w:type="pct"/>
          </w:tcPr>
          <w:p w14:paraId="16584B12" w14:textId="51E23EDB"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215</w:t>
            </w:r>
          </w:p>
        </w:tc>
        <w:tc>
          <w:tcPr>
            <w:tcW w:w="362" w:type="pct"/>
          </w:tcPr>
          <w:p w14:paraId="5444BFD7" w14:textId="7A11458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153</w:t>
            </w:r>
          </w:p>
        </w:tc>
        <w:tc>
          <w:tcPr>
            <w:tcW w:w="329" w:type="pct"/>
          </w:tcPr>
          <w:p w14:paraId="6C806DD3" w14:textId="73FD4E0C"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26</w:t>
            </w:r>
          </w:p>
        </w:tc>
        <w:tc>
          <w:tcPr>
            <w:tcW w:w="329" w:type="pct"/>
          </w:tcPr>
          <w:p w14:paraId="160225E0" w14:textId="207F69BE"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171.5</w:t>
            </w:r>
          </w:p>
        </w:tc>
        <w:tc>
          <w:tcPr>
            <w:tcW w:w="329" w:type="pct"/>
          </w:tcPr>
          <w:p w14:paraId="6B73BD57" w14:textId="06FAEF8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45</w:t>
            </w:r>
          </w:p>
        </w:tc>
        <w:tc>
          <w:tcPr>
            <w:tcW w:w="350" w:type="pct"/>
          </w:tcPr>
          <w:p w14:paraId="5233B0EF" w14:textId="0B244D89"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43.5</w:t>
            </w:r>
          </w:p>
        </w:tc>
        <w:tc>
          <w:tcPr>
            <w:tcW w:w="341" w:type="pct"/>
          </w:tcPr>
          <w:p w14:paraId="2417A442" w14:textId="6A83D7AB"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289</w:t>
            </w:r>
          </w:p>
        </w:tc>
        <w:tc>
          <w:tcPr>
            <w:tcW w:w="312" w:type="pct"/>
          </w:tcPr>
          <w:p w14:paraId="3A052CE0" w14:textId="44CDA12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253.9</w:t>
            </w:r>
          </w:p>
        </w:tc>
        <w:tc>
          <w:tcPr>
            <w:tcW w:w="313" w:type="pct"/>
          </w:tcPr>
          <w:p w14:paraId="7397705A" w14:textId="36FA4FD1"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163</w:t>
            </w:r>
          </w:p>
        </w:tc>
        <w:tc>
          <w:tcPr>
            <w:tcW w:w="362" w:type="pct"/>
          </w:tcPr>
          <w:p w14:paraId="13BE2AE1" w14:textId="794CD2B8"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33</w:t>
            </w:r>
          </w:p>
        </w:tc>
        <w:tc>
          <w:tcPr>
            <w:tcW w:w="329" w:type="pct"/>
          </w:tcPr>
          <w:p w14:paraId="017FA8B9" w14:textId="149D635D"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187.2</w:t>
            </w:r>
          </w:p>
        </w:tc>
        <w:tc>
          <w:tcPr>
            <w:tcW w:w="329" w:type="pct"/>
          </w:tcPr>
          <w:p w14:paraId="1978706A" w14:textId="0CB0C583"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93</w:t>
            </w:r>
          </w:p>
        </w:tc>
        <w:tc>
          <w:tcPr>
            <w:tcW w:w="327" w:type="pct"/>
          </w:tcPr>
          <w:p w14:paraId="3C7D569F" w14:textId="03F08062" w:rsidR="00616487" w:rsidRPr="00AA2A48" w:rsidRDefault="009F7EAA" w:rsidP="00CE1948">
            <w:pPr>
              <w:pStyle w:val="TableText"/>
              <w:keepN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66.7</w:t>
            </w:r>
          </w:p>
        </w:tc>
      </w:tr>
      <w:tr w:rsidR="00616487" w:rsidRPr="00AA2A48" w14:paraId="3B0D010F"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34A9C23E" w14:textId="2F926476" w:rsidR="00616487" w:rsidRPr="00AA2A48" w:rsidRDefault="00A10DBB" w:rsidP="00CE1948">
            <w:pPr>
              <w:pStyle w:val="TableText"/>
              <w:spacing w:before="50" w:after="60"/>
              <w:rPr>
                <w:rStyle w:val="Bold"/>
                <w:rFonts w:asciiTheme="minorHAnsi" w:hAnsiTheme="minorHAnsi"/>
              </w:rPr>
            </w:pPr>
            <w:r>
              <w:t>Victorian Public Service</w:t>
            </w:r>
            <w:r w:rsidR="00616487" w:rsidRPr="00AA2A48">
              <w:t xml:space="preserve"> 6</w:t>
            </w:r>
          </w:p>
        </w:tc>
        <w:tc>
          <w:tcPr>
            <w:tcW w:w="329" w:type="pct"/>
          </w:tcPr>
          <w:p w14:paraId="6F8D906C" w14:textId="139B5F37"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147</w:t>
            </w:r>
          </w:p>
        </w:tc>
        <w:tc>
          <w:tcPr>
            <w:tcW w:w="330" w:type="pct"/>
          </w:tcPr>
          <w:p w14:paraId="24EA7F83" w14:textId="68B1A87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141.6</w:t>
            </w:r>
          </w:p>
        </w:tc>
        <w:tc>
          <w:tcPr>
            <w:tcW w:w="362" w:type="pct"/>
          </w:tcPr>
          <w:p w14:paraId="532A9D3B" w14:textId="5383E66A"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110</w:t>
            </w:r>
          </w:p>
        </w:tc>
        <w:tc>
          <w:tcPr>
            <w:tcW w:w="329" w:type="pct"/>
          </w:tcPr>
          <w:p w14:paraId="24DEB5B4" w14:textId="005D961A"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12</w:t>
            </w:r>
          </w:p>
        </w:tc>
        <w:tc>
          <w:tcPr>
            <w:tcW w:w="329" w:type="pct"/>
          </w:tcPr>
          <w:p w14:paraId="0EED88FE" w14:textId="18939B2E"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117.9</w:t>
            </w:r>
          </w:p>
        </w:tc>
        <w:tc>
          <w:tcPr>
            <w:tcW w:w="329" w:type="pct"/>
          </w:tcPr>
          <w:p w14:paraId="49AD4081" w14:textId="41A37727"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25</w:t>
            </w:r>
          </w:p>
        </w:tc>
        <w:tc>
          <w:tcPr>
            <w:tcW w:w="350" w:type="pct"/>
          </w:tcPr>
          <w:p w14:paraId="1690729A" w14:textId="1707E91A"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23.7</w:t>
            </w:r>
          </w:p>
        </w:tc>
        <w:tc>
          <w:tcPr>
            <w:tcW w:w="341" w:type="pct"/>
          </w:tcPr>
          <w:p w14:paraId="3E893A57" w14:textId="700DDFC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184</w:t>
            </w:r>
          </w:p>
        </w:tc>
        <w:tc>
          <w:tcPr>
            <w:tcW w:w="312" w:type="pct"/>
          </w:tcPr>
          <w:p w14:paraId="318FDE85" w14:textId="5411684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178</w:t>
            </w:r>
          </w:p>
        </w:tc>
        <w:tc>
          <w:tcPr>
            <w:tcW w:w="313" w:type="pct"/>
          </w:tcPr>
          <w:p w14:paraId="77584FA8" w14:textId="5D597954"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128</w:t>
            </w:r>
          </w:p>
        </w:tc>
        <w:tc>
          <w:tcPr>
            <w:tcW w:w="362" w:type="pct"/>
          </w:tcPr>
          <w:p w14:paraId="11F4DAD8" w14:textId="1CF60BA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13</w:t>
            </w:r>
          </w:p>
        </w:tc>
        <w:tc>
          <w:tcPr>
            <w:tcW w:w="329" w:type="pct"/>
          </w:tcPr>
          <w:p w14:paraId="797C38DA" w14:textId="720FCA1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136.2</w:t>
            </w:r>
          </w:p>
        </w:tc>
        <w:tc>
          <w:tcPr>
            <w:tcW w:w="329" w:type="pct"/>
          </w:tcPr>
          <w:p w14:paraId="2D9DFFBA" w14:textId="04D27BA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43</w:t>
            </w:r>
          </w:p>
        </w:tc>
        <w:tc>
          <w:tcPr>
            <w:tcW w:w="327" w:type="pct"/>
          </w:tcPr>
          <w:p w14:paraId="21685837" w14:textId="42EC981A"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Fonts w:asciiTheme="minorHAnsi" w:hAnsiTheme="minorHAnsi"/>
              </w:rPr>
            </w:pPr>
            <w:r w:rsidRPr="00AA2A48">
              <w:t>41.8</w:t>
            </w:r>
          </w:p>
        </w:tc>
      </w:tr>
      <w:tr w:rsidR="00616487" w:rsidRPr="00AA2A48" w14:paraId="7F7776F3"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4E2A1604" w14:textId="1561107D" w:rsidR="00616487" w:rsidRPr="00AA2A48" w:rsidRDefault="00616487" w:rsidP="00CE1948">
            <w:pPr>
              <w:pStyle w:val="TableText"/>
              <w:spacing w:before="50" w:after="60"/>
            </w:pPr>
            <w:r w:rsidRPr="00AA2A48">
              <w:t>Allied Health 3</w:t>
            </w:r>
          </w:p>
        </w:tc>
        <w:tc>
          <w:tcPr>
            <w:tcW w:w="329" w:type="pct"/>
          </w:tcPr>
          <w:p w14:paraId="3F9B8992" w14:textId="0C0CA27F"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w:t>
            </w:r>
          </w:p>
        </w:tc>
        <w:tc>
          <w:tcPr>
            <w:tcW w:w="330" w:type="pct"/>
          </w:tcPr>
          <w:p w14:paraId="4CF97204" w14:textId="692EC86C"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62" w:type="pct"/>
          </w:tcPr>
          <w:p w14:paraId="1897E457" w14:textId="1C604B8D"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161F8BC4" w14:textId="4FE0ABD4"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w:t>
            </w:r>
          </w:p>
        </w:tc>
        <w:tc>
          <w:tcPr>
            <w:tcW w:w="329" w:type="pct"/>
          </w:tcPr>
          <w:p w14:paraId="53418D7B" w14:textId="097F42B0"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29" w:type="pct"/>
          </w:tcPr>
          <w:p w14:paraId="14DD9921" w14:textId="6BEDAB5E"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14483A9E" w14:textId="4018B196"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31FD78A5" w14:textId="4FC24AB8"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w:t>
            </w:r>
          </w:p>
        </w:tc>
        <w:tc>
          <w:tcPr>
            <w:tcW w:w="312" w:type="pct"/>
          </w:tcPr>
          <w:p w14:paraId="640A2316" w14:textId="49C62A30"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13" w:type="pct"/>
          </w:tcPr>
          <w:p w14:paraId="73F0F854" w14:textId="7BBCC166"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62" w:type="pct"/>
          </w:tcPr>
          <w:p w14:paraId="7E739996" w14:textId="28AFDA9E"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w:t>
            </w:r>
          </w:p>
        </w:tc>
        <w:tc>
          <w:tcPr>
            <w:tcW w:w="329" w:type="pct"/>
          </w:tcPr>
          <w:p w14:paraId="33D7FF10" w14:textId="2214351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29" w:type="pct"/>
          </w:tcPr>
          <w:p w14:paraId="0060CE20" w14:textId="7939B4DE"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1CD055C7" w14:textId="6E7CF6F9"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453090C6"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201506ED" w14:textId="2288CC75" w:rsidR="00616487" w:rsidRPr="00AA2A48" w:rsidRDefault="00616487" w:rsidP="00CE1948">
            <w:pPr>
              <w:pStyle w:val="TableText"/>
              <w:spacing w:before="50" w:after="60"/>
            </w:pPr>
            <w:r w:rsidRPr="00AA2A48">
              <w:t>Trainee Registrar</w:t>
            </w:r>
          </w:p>
        </w:tc>
        <w:tc>
          <w:tcPr>
            <w:tcW w:w="329" w:type="pct"/>
          </w:tcPr>
          <w:p w14:paraId="61B7814C" w14:textId="5322440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219</w:t>
            </w:r>
          </w:p>
        </w:tc>
        <w:tc>
          <w:tcPr>
            <w:tcW w:w="330" w:type="pct"/>
          </w:tcPr>
          <w:p w14:paraId="57E81A39" w14:textId="1D7DBC09"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216.6</w:t>
            </w:r>
          </w:p>
        </w:tc>
        <w:tc>
          <w:tcPr>
            <w:tcW w:w="362" w:type="pct"/>
          </w:tcPr>
          <w:p w14:paraId="7E42DFD5" w14:textId="6CE7AD44"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214</w:t>
            </w:r>
          </w:p>
        </w:tc>
        <w:tc>
          <w:tcPr>
            <w:tcW w:w="329" w:type="pct"/>
          </w:tcPr>
          <w:p w14:paraId="6691FA7E" w14:textId="7EAA511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w:t>
            </w:r>
          </w:p>
        </w:tc>
        <w:tc>
          <w:tcPr>
            <w:tcW w:w="329" w:type="pct"/>
          </w:tcPr>
          <w:p w14:paraId="0943A764" w14:textId="3BA3CF84"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216.6</w:t>
            </w:r>
          </w:p>
        </w:tc>
        <w:tc>
          <w:tcPr>
            <w:tcW w:w="329" w:type="pct"/>
          </w:tcPr>
          <w:p w14:paraId="03796539" w14:textId="026AA0C6"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632CF088" w14:textId="440A8C9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4E146D6B" w14:textId="298AD5ED"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252</w:t>
            </w:r>
          </w:p>
        </w:tc>
        <w:tc>
          <w:tcPr>
            <w:tcW w:w="312" w:type="pct"/>
          </w:tcPr>
          <w:p w14:paraId="00B67DD0" w14:textId="48DDCBB2"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248.3</w:t>
            </w:r>
          </w:p>
        </w:tc>
        <w:tc>
          <w:tcPr>
            <w:tcW w:w="313" w:type="pct"/>
          </w:tcPr>
          <w:p w14:paraId="7405432A" w14:textId="5EA0D826"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243</w:t>
            </w:r>
          </w:p>
        </w:tc>
        <w:tc>
          <w:tcPr>
            <w:tcW w:w="362" w:type="pct"/>
          </w:tcPr>
          <w:p w14:paraId="08EEA1B7" w14:textId="6A6467A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9</w:t>
            </w:r>
          </w:p>
        </w:tc>
        <w:tc>
          <w:tcPr>
            <w:tcW w:w="329" w:type="pct"/>
          </w:tcPr>
          <w:p w14:paraId="45BEA772" w14:textId="6CB8B6EB"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248.3</w:t>
            </w:r>
          </w:p>
        </w:tc>
        <w:tc>
          <w:tcPr>
            <w:tcW w:w="329" w:type="pct"/>
          </w:tcPr>
          <w:p w14:paraId="3E2AA292" w14:textId="2680F96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04AB92EF" w14:textId="516E126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1AF83FCE"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3A0641A6" w14:textId="00236C8F" w:rsidR="00616487" w:rsidRPr="00AA2A48" w:rsidRDefault="00616487" w:rsidP="00CE1948">
            <w:pPr>
              <w:pStyle w:val="TableText"/>
              <w:spacing w:before="50" w:after="60"/>
            </w:pPr>
            <w:r w:rsidRPr="00AA2A48">
              <w:t>Deputy Registrar</w:t>
            </w:r>
          </w:p>
        </w:tc>
        <w:tc>
          <w:tcPr>
            <w:tcW w:w="329" w:type="pct"/>
          </w:tcPr>
          <w:p w14:paraId="1D114E4E" w14:textId="21A3743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49</w:t>
            </w:r>
          </w:p>
        </w:tc>
        <w:tc>
          <w:tcPr>
            <w:tcW w:w="330" w:type="pct"/>
          </w:tcPr>
          <w:p w14:paraId="3BF5C760" w14:textId="22D4CF26"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42.9</w:t>
            </w:r>
          </w:p>
        </w:tc>
        <w:tc>
          <w:tcPr>
            <w:tcW w:w="362" w:type="pct"/>
          </w:tcPr>
          <w:p w14:paraId="5EEE7AD3" w14:textId="5E3C8E9F"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37</w:t>
            </w:r>
          </w:p>
        </w:tc>
        <w:tc>
          <w:tcPr>
            <w:tcW w:w="329" w:type="pct"/>
          </w:tcPr>
          <w:p w14:paraId="7DEADF65" w14:textId="65AC4BC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12</w:t>
            </w:r>
          </w:p>
        </w:tc>
        <w:tc>
          <w:tcPr>
            <w:tcW w:w="329" w:type="pct"/>
          </w:tcPr>
          <w:p w14:paraId="3689115D" w14:textId="1B11C7A9"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42.9</w:t>
            </w:r>
          </w:p>
        </w:tc>
        <w:tc>
          <w:tcPr>
            <w:tcW w:w="329" w:type="pct"/>
          </w:tcPr>
          <w:p w14:paraId="436BF760" w14:textId="7A3DC197"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1FFDE882" w14:textId="50142BE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6ACD7367" w14:textId="4145371C"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50</w:t>
            </w:r>
          </w:p>
        </w:tc>
        <w:tc>
          <w:tcPr>
            <w:tcW w:w="312" w:type="pct"/>
          </w:tcPr>
          <w:p w14:paraId="66D12EC0" w14:textId="2C8E23BC"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46.1</w:t>
            </w:r>
          </w:p>
        </w:tc>
        <w:tc>
          <w:tcPr>
            <w:tcW w:w="313" w:type="pct"/>
          </w:tcPr>
          <w:p w14:paraId="01FB712B" w14:textId="7B5059F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41</w:t>
            </w:r>
          </w:p>
        </w:tc>
        <w:tc>
          <w:tcPr>
            <w:tcW w:w="362" w:type="pct"/>
          </w:tcPr>
          <w:p w14:paraId="263123F0" w14:textId="5BE1ABB5"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9</w:t>
            </w:r>
          </w:p>
        </w:tc>
        <w:tc>
          <w:tcPr>
            <w:tcW w:w="329" w:type="pct"/>
          </w:tcPr>
          <w:p w14:paraId="463C7333" w14:textId="2A9C4E2C"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46.1</w:t>
            </w:r>
          </w:p>
        </w:tc>
        <w:tc>
          <w:tcPr>
            <w:tcW w:w="329" w:type="pct"/>
          </w:tcPr>
          <w:p w14:paraId="181C412C" w14:textId="5C46E9E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0EFD0011" w14:textId="0D1131BB"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18BAAAC5"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6024D983" w14:textId="16F702AB" w:rsidR="00616487" w:rsidRPr="00AA2A48" w:rsidRDefault="00616487" w:rsidP="00CE1948">
            <w:pPr>
              <w:pStyle w:val="TableText"/>
              <w:spacing w:before="50" w:after="60"/>
            </w:pPr>
            <w:r w:rsidRPr="00AA2A48">
              <w:t>Registrar Grade 3</w:t>
            </w:r>
          </w:p>
        </w:tc>
        <w:tc>
          <w:tcPr>
            <w:tcW w:w="329" w:type="pct"/>
          </w:tcPr>
          <w:p w14:paraId="00B965DD" w14:textId="053A8267"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199</w:t>
            </w:r>
          </w:p>
        </w:tc>
        <w:tc>
          <w:tcPr>
            <w:tcW w:w="330" w:type="pct"/>
          </w:tcPr>
          <w:p w14:paraId="638578A5" w14:textId="531B4FFA"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176.6</w:t>
            </w:r>
          </w:p>
        </w:tc>
        <w:tc>
          <w:tcPr>
            <w:tcW w:w="362" w:type="pct"/>
          </w:tcPr>
          <w:p w14:paraId="127235FA" w14:textId="3D2FDC6D"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146</w:t>
            </w:r>
          </w:p>
        </w:tc>
        <w:tc>
          <w:tcPr>
            <w:tcW w:w="329" w:type="pct"/>
          </w:tcPr>
          <w:p w14:paraId="428D6334" w14:textId="61185118"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50</w:t>
            </w:r>
          </w:p>
        </w:tc>
        <w:tc>
          <w:tcPr>
            <w:tcW w:w="329" w:type="pct"/>
          </w:tcPr>
          <w:p w14:paraId="4523A240" w14:textId="3F36CE4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174.9</w:t>
            </w:r>
          </w:p>
        </w:tc>
        <w:tc>
          <w:tcPr>
            <w:tcW w:w="329" w:type="pct"/>
          </w:tcPr>
          <w:p w14:paraId="03143B5C" w14:textId="13B03149"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w:t>
            </w:r>
          </w:p>
        </w:tc>
        <w:tc>
          <w:tcPr>
            <w:tcW w:w="350" w:type="pct"/>
          </w:tcPr>
          <w:p w14:paraId="3A35DE30" w14:textId="666BC5C7"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41" w:type="pct"/>
          </w:tcPr>
          <w:p w14:paraId="3F999FE5" w14:textId="01F4684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216</w:t>
            </w:r>
          </w:p>
        </w:tc>
        <w:tc>
          <w:tcPr>
            <w:tcW w:w="312" w:type="pct"/>
          </w:tcPr>
          <w:p w14:paraId="0397F77A" w14:textId="43FB5B3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194</w:t>
            </w:r>
          </w:p>
        </w:tc>
        <w:tc>
          <w:tcPr>
            <w:tcW w:w="313" w:type="pct"/>
          </w:tcPr>
          <w:p w14:paraId="77FDAA48" w14:textId="74A8A2CD"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161</w:t>
            </w:r>
          </w:p>
        </w:tc>
        <w:tc>
          <w:tcPr>
            <w:tcW w:w="362" w:type="pct"/>
          </w:tcPr>
          <w:p w14:paraId="597A7761" w14:textId="71BB0081"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53</w:t>
            </w:r>
          </w:p>
        </w:tc>
        <w:tc>
          <w:tcPr>
            <w:tcW w:w="329" w:type="pct"/>
          </w:tcPr>
          <w:p w14:paraId="4A429B61" w14:textId="4BC85B6D"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193.2</w:t>
            </w:r>
          </w:p>
        </w:tc>
        <w:tc>
          <w:tcPr>
            <w:tcW w:w="329" w:type="pct"/>
          </w:tcPr>
          <w:p w14:paraId="784FBB97" w14:textId="19304BDF"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w:t>
            </w:r>
          </w:p>
        </w:tc>
        <w:tc>
          <w:tcPr>
            <w:tcW w:w="327" w:type="pct"/>
          </w:tcPr>
          <w:p w14:paraId="25DC8A84" w14:textId="604D9FE3"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0.8</w:t>
            </w:r>
          </w:p>
        </w:tc>
      </w:tr>
      <w:tr w:rsidR="00616487" w:rsidRPr="00AA2A48" w14:paraId="69B75FA4"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7DB2C443" w14:textId="5CBE50F7" w:rsidR="00616487" w:rsidRPr="00AA2A48" w:rsidRDefault="00616487" w:rsidP="00CE1948">
            <w:pPr>
              <w:pStyle w:val="TableText"/>
              <w:spacing w:before="50" w:after="60"/>
            </w:pPr>
            <w:r w:rsidRPr="00AA2A48">
              <w:t>Registrar Grade 4</w:t>
            </w:r>
          </w:p>
        </w:tc>
        <w:tc>
          <w:tcPr>
            <w:tcW w:w="329" w:type="pct"/>
          </w:tcPr>
          <w:p w14:paraId="4E202A50" w14:textId="341A5002"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44</w:t>
            </w:r>
          </w:p>
        </w:tc>
        <w:tc>
          <w:tcPr>
            <w:tcW w:w="330" w:type="pct"/>
          </w:tcPr>
          <w:p w14:paraId="43040F29" w14:textId="250D2BDB" w:rsidR="00616487" w:rsidRPr="00AA2A48" w:rsidRDefault="009F7EAA"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40.4</w:t>
            </w:r>
          </w:p>
        </w:tc>
        <w:tc>
          <w:tcPr>
            <w:tcW w:w="362" w:type="pct"/>
          </w:tcPr>
          <w:p w14:paraId="0DC67868" w14:textId="7C8D7FDC"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36</w:t>
            </w:r>
          </w:p>
        </w:tc>
        <w:tc>
          <w:tcPr>
            <w:tcW w:w="329" w:type="pct"/>
          </w:tcPr>
          <w:p w14:paraId="1205DF76" w14:textId="4E99019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8</w:t>
            </w:r>
          </w:p>
        </w:tc>
        <w:tc>
          <w:tcPr>
            <w:tcW w:w="329" w:type="pct"/>
          </w:tcPr>
          <w:p w14:paraId="065A75C2" w14:textId="6671D7F2"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40.4</w:t>
            </w:r>
          </w:p>
        </w:tc>
        <w:tc>
          <w:tcPr>
            <w:tcW w:w="329" w:type="pct"/>
          </w:tcPr>
          <w:p w14:paraId="57643651" w14:textId="2B7A49A1"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3A84AD06" w14:textId="55EB926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0EEE92BA" w14:textId="375EF19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43</w:t>
            </w:r>
          </w:p>
        </w:tc>
        <w:tc>
          <w:tcPr>
            <w:tcW w:w="312" w:type="pct"/>
          </w:tcPr>
          <w:p w14:paraId="717FB159" w14:textId="00C8A61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40.3</w:t>
            </w:r>
          </w:p>
        </w:tc>
        <w:tc>
          <w:tcPr>
            <w:tcW w:w="313" w:type="pct"/>
          </w:tcPr>
          <w:p w14:paraId="4AC3A3FC" w14:textId="50FDEA6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36</w:t>
            </w:r>
          </w:p>
        </w:tc>
        <w:tc>
          <w:tcPr>
            <w:tcW w:w="362" w:type="pct"/>
          </w:tcPr>
          <w:p w14:paraId="4E76CFBD" w14:textId="7675984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29" w:type="pct"/>
          </w:tcPr>
          <w:p w14:paraId="3F0C73A8" w14:textId="4159280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40.3</w:t>
            </w:r>
          </w:p>
        </w:tc>
        <w:tc>
          <w:tcPr>
            <w:tcW w:w="329" w:type="pct"/>
          </w:tcPr>
          <w:p w14:paraId="5BBDC062" w14:textId="1ADFEF2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198A4CF7" w14:textId="7CECDA4C"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4356B313"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633E659C" w14:textId="72EAA891" w:rsidR="00616487" w:rsidRPr="00AA2A48" w:rsidRDefault="00616487" w:rsidP="00CE1948">
            <w:pPr>
              <w:pStyle w:val="TableText"/>
              <w:spacing w:before="50" w:after="60"/>
            </w:pPr>
            <w:r w:rsidRPr="00AA2A48">
              <w:t>Registrar Grade 5</w:t>
            </w:r>
          </w:p>
        </w:tc>
        <w:tc>
          <w:tcPr>
            <w:tcW w:w="329" w:type="pct"/>
          </w:tcPr>
          <w:p w14:paraId="6BCD091B" w14:textId="01B72401"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52</w:t>
            </w:r>
          </w:p>
        </w:tc>
        <w:tc>
          <w:tcPr>
            <w:tcW w:w="330" w:type="pct"/>
          </w:tcPr>
          <w:p w14:paraId="33E33F2E" w14:textId="0ED01A5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48</w:t>
            </w:r>
          </w:p>
        </w:tc>
        <w:tc>
          <w:tcPr>
            <w:tcW w:w="362" w:type="pct"/>
          </w:tcPr>
          <w:p w14:paraId="2FFB909E" w14:textId="072F5FE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42</w:t>
            </w:r>
          </w:p>
        </w:tc>
        <w:tc>
          <w:tcPr>
            <w:tcW w:w="329" w:type="pct"/>
          </w:tcPr>
          <w:p w14:paraId="60E7CD1F" w14:textId="3AADAA3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10</w:t>
            </w:r>
          </w:p>
        </w:tc>
        <w:tc>
          <w:tcPr>
            <w:tcW w:w="329" w:type="pct"/>
          </w:tcPr>
          <w:p w14:paraId="37B5024B" w14:textId="72301DA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48</w:t>
            </w:r>
          </w:p>
        </w:tc>
        <w:tc>
          <w:tcPr>
            <w:tcW w:w="329" w:type="pct"/>
          </w:tcPr>
          <w:p w14:paraId="3625BD88" w14:textId="15C91AD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60E4CC6B" w14:textId="0B37AC1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4482FFAF" w14:textId="512F3811"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50</w:t>
            </w:r>
          </w:p>
        </w:tc>
        <w:tc>
          <w:tcPr>
            <w:tcW w:w="312" w:type="pct"/>
          </w:tcPr>
          <w:p w14:paraId="7097BC1B" w14:textId="7C991FE8"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45.7</w:t>
            </w:r>
          </w:p>
        </w:tc>
        <w:tc>
          <w:tcPr>
            <w:tcW w:w="313" w:type="pct"/>
          </w:tcPr>
          <w:p w14:paraId="0818485B" w14:textId="7BD2B3E8"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38</w:t>
            </w:r>
          </w:p>
        </w:tc>
        <w:tc>
          <w:tcPr>
            <w:tcW w:w="362" w:type="pct"/>
          </w:tcPr>
          <w:p w14:paraId="269C77F1" w14:textId="363AB622"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12</w:t>
            </w:r>
          </w:p>
        </w:tc>
        <w:tc>
          <w:tcPr>
            <w:tcW w:w="329" w:type="pct"/>
          </w:tcPr>
          <w:p w14:paraId="5BB22AD2" w14:textId="4C4BD04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45.7</w:t>
            </w:r>
          </w:p>
        </w:tc>
        <w:tc>
          <w:tcPr>
            <w:tcW w:w="329" w:type="pct"/>
          </w:tcPr>
          <w:p w14:paraId="5D21A50F" w14:textId="73A17826"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6EC62A6E" w14:textId="3D91ECA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621B8148"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286B0113" w14:textId="5F6B0B4A" w:rsidR="00616487" w:rsidRPr="00AA2A48" w:rsidRDefault="00616487" w:rsidP="00CE1948">
            <w:pPr>
              <w:pStyle w:val="TableText"/>
              <w:spacing w:before="50" w:after="60"/>
            </w:pPr>
            <w:r w:rsidRPr="00AA2A48">
              <w:t>Registrar Grade 6</w:t>
            </w:r>
          </w:p>
        </w:tc>
        <w:tc>
          <w:tcPr>
            <w:tcW w:w="329" w:type="pct"/>
          </w:tcPr>
          <w:p w14:paraId="2C14FBE3" w14:textId="6C629C46"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30" w:type="pct"/>
          </w:tcPr>
          <w:p w14:paraId="3C0FFFF8" w14:textId="7D6591B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62" w:type="pct"/>
          </w:tcPr>
          <w:p w14:paraId="4CDB9207" w14:textId="5ACA3B5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29" w:type="pct"/>
          </w:tcPr>
          <w:p w14:paraId="1E7DF495" w14:textId="3F1F774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611CAA08" w14:textId="3E3BE3DB"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29" w:type="pct"/>
          </w:tcPr>
          <w:p w14:paraId="23B3CDB3" w14:textId="328096E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43E708DF" w14:textId="28334426"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114C195F" w14:textId="2C1F819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12" w:type="pct"/>
          </w:tcPr>
          <w:p w14:paraId="2F761A7E" w14:textId="76821C6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13" w:type="pct"/>
          </w:tcPr>
          <w:p w14:paraId="60E32A77" w14:textId="516E48C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62" w:type="pct"/>
          </w:tcPr>
          <w:p w14:paraId="05E0F724" w14:textId="5068D6D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2275E6BD" w14:textId="58EAA86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17</w:t>
            </w:r>
          </w:p>
        </w:tc>
        <w:tc>
          <w:tcPr>
            <w:tcW w:w="329" w:type="pct"/>
          </w:tcPr>
          <w:p w14:paraId="20219F27" w14:textId="04FAD1C8"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44E36160" w14:textId="5601A03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2FA7DAA3"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0A2DE760" w14:textId="52505E59" w:rsidR="00616487" w:rsidRPr="00AA2A48" w:rsidRDefault="00616487" w:rsidP="00CE1948">
            <w:pPr>
              <w:pStyle w:val="TableText"/>
              <w:spacing w:before="50" w:after="60"/>
            </w:pPr>
            <w:r w:rsidRPr="00AA2A48">
              <w:t xml:space="preserve">Solicitor </w:t>
            </w:r>
            <w:r w:rsidR="005C7CAC">
              <w:br/>
            </w:r>
            <w:r w:rsidRPr="00AA2A48">
              <w:t>Grade 3</w:t>
            </w:r>
          </w:p>
        </w:tc>
        <w:tc>
          <w:tcPr>
            <w:tcW w:w="329" w:type="pct"/>
          </w:tcPr>
          <w:p w14:paraId="1E11FE0E" w14:textId="5851598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30" w:type="pct"/>
          </w:tcPr>
          <w:p w14:paraId="334C310F" w14:textId="7636FEE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0.8</w:t>
            </w:r>
          </w:p>
        </w:tc>
        <w:tc>
          <w:tcPr>
            <w:tcW w:w="362" w:type="pct"/>
          </w:tcPr>
          <w:p w14:paraId="0D02DB5A" w14:textId="66B9637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41A5C970" w14:textId="1989DEAB"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102D9AF1" w14:textId="03E9C40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0.8</w:t>
            </w:r>
          </w:p>
        </w:tc>
        <w:tc>
          <w:tcPr>
            <w:tcW w:w="329" w:type="pct"/>
          </w:tcPr>
          <w:p w14:paraId="409DCD71" w14:textId="68FA34A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00DF433E" w14:textId="3031F1A8"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1023572D" w14:textId="1D70D87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12" w:type="pct"/>
          </w:tcPr>
          <w:p w14:paraId="36D40EEC" w14:textId="0033843B"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13" w:type="pct"/>
          </w:tcPr>
          <w:p w14:paraId="004D5435" w14:textId="51E3FCA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62" w:type="pct"/>
          </w:tcPr>
          <w:p w14:paraId="31A43698" w14:textId="139A6E3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03CF27B0" w14:textId="34C6358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3D322ADC" w14:textId="2D3C642C"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48A2FBEF" w14:textId="0AD67A9A"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5C7CAC" w14:paraId="0562E7CB"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5F1FB5E0" w14:textId="6D75230B" w:rsidR="00616487" w:rsidRPr="005C7CAC" w:rsidRDefault="00616487" w:rsidP="00CE1948">
            <w:pPr>
              <w:pStyle w:val="TableText"/>
              <w:spacing w:before="50" w:after="60"/>
              <w:rPr>
                <w:rStyle w:val="Bold"/>
              </w:rPr>
            </w:pPr>
            <w:r w:rsidRPr="005C7CAC">
              <w:rPr>
                <w:rStyle w:val="Bold"/>
              </w:rPr>
              <w:t>Total</w:t>
            </w:r>
          </w:p>
        </w:tc>
        <w:tc>
          <w:tcPr>
            <w:tcW w:w="329" w:type="pct"/>
          </w:tcPr>
          <w:p w14:paraId="5E913FFE" w14:textId="697D9FC1"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2,131</w:t>
            </w:r>
          </w:p>
        </w:tc>
        <w:tc>
          <w:tcPr>
            <w:tcW w:w="330" w:type="pct"/>
          </w:tcPr>
          <w:p w14:paraId="0550E984" w14:textId="7353EAF6"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2,011.9</w:t>
            </w:r>
          </w:p>
        </w:tc>
        <w:tc>
          <w:tcPr>
            <w:tcW w:w="362" w:type="pct"/>
          </w:tcPr>
          <w:p w14:paraId="0C1B1232" w14:textId="3E3ED8D6"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1,460</w:t>
            </w:r>
          </w:p>
        </w:tc>
        <w:tc>
          <w:tcPr>
            <w:tcW w:w="329" w:type="pct"/>
          </w:tcPr>
          <w:p w14:paraId="0595C635" w14:textId="62FFA825"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274</w:t>
            </w:r>
          </w:p>
        </w:tc>
        <w:tc>
          <w:tcPr>
            <w:tcW w:w="329" w:type="pct"/>
          </w:tcPr>
          <w:p w14:paraId="5DE1A203" w14:textId="685409D6"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1,634.1</w:t>
            </w:r>
          </w:p>
        </w:tc>
        <w:tc>
          <w:tcPr>
            <w:tcW w:w="329" w:type="pct"/>
          </w:tcPr>
          <w:p w14:paraId="34114739" w14:textId="60517034"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397</w:t>
            </w:r>
          </w:p>
        </w:tc>
        <w:tc>
          <w:tcPr>
            <w:tcW w:w="350" w:type="pct"/>
          </w:tcPr>
          <w:p w14:paraId="15E63265" w14:textId="061D1C22"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377.8</w:t>
            </w:r>
          </w:p>
        </w:tc>
        <w:tc>
          <w:tcPr>
            <w:tcW w:w="341" w:type="pct"/>
          </w:tcPr>
          <w:p w14:paraId="3B281A9E" w14:textId="303D65E3"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2,330</w:t>
            </w:r>
          </w:p>
        </w:tc>
        <w:tc>
          <w:tcPr>
            <w:tcW w:w="312" w:type="pct"/>
          </w:tcPr>
          <w:p w14:paraId="0C91F5A5" w14:textId="7676AF6A"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2,181.9</w:t>
            </w:r>
          </w:p>
        </w:tc>
        <w:tc>
          <w:tcPr>
            <w:tcW w:w="313" w:type="pct"/>
          </w:tcPr>
          <w:p w14:paraId="5689710A" w14:textId="62D3DB9A"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1,593</w:t>
            </w:r>
          </w:p>
        </w:tc>
        <w:tc>
          <w:tcPr>
            <w:tcW w:w="362" w:type="pct"/>
          </w:tcPr>
          <w:p w14:paraId="71C26C04" w14:textId="59755D39"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299</w:t>
            </w:r>
          </w:p>
        </w:tc>
        <w:tc>
          <w:tcPr>
            <w:tcW w:w="329" w:type="pct"/>
          </w:tcPr>
          <w:p w14:paraId="4AB6B80F" w14:textId="4EDDE551"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1,784.2</w:t>
            </w:r>
          </w:p>
        </w:tc>
        <w:tc>
          <w:tcPr>
            <w:tcW w:w="329" w:type="pct"/>
          </w:tcPr>
          <w:p w14:paraId="5EBFF2C9" w14:textId="56D03E19"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438</w:t>
            </w:r>
          </w:p>
        </w:tc>
        <w:tc>
          <w:tcPr>
            <w:tcW w:w="327" w:type="pct"/>
          </w:tcPr>
          <w:p w14:paraId="04D1F2F9" w14:textId="6F0D5395" w:rsidR="00616487" w:rsidRPr="005C7CAC"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397.7</w:t>
            </w:r>
          </w:p>
        </w:tc>
      </w:tr>
      <w:tr w:rsidR="00616487" w:rsidRPr="00AA2A48" w14:paraId="5A4E66E5"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663D7B60" w14:textId="59E5047C" w:rsidR="00616487" w:rsidRPr="00AA2A48" w:rsidRDefault="00A10DBB" w:rsidP="00CE1948">
            <w:pPr>
              <w:pStyle w:val="TableText"/>
              <w:spacing w:before="50" w:after="60"/>
            </w:pPr>
            <w:r>
              <w:t>Senior Technical Specialist</w:t>
            </w:r>
          </w:p>
        </w:tc>
        <w:tc>
          <w:tcPr>
            <w:tcW w:w="329" w:type="pct"/>
          </w:tcPr>
          <w:p w14:paraId="5FB2EE69" w14:textId="12BFD06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21</w:t>
            </w:r>
          </w:p>
        </w:tc>
        <w:tc>
          <w:tcPr>
            <w:tcW w:w="330" w:type="pct"/>
          </w:tcPr>
          <w:p w14:paraId="6E71187E" w14:textId="0E1635B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15.8</w:t>
            </w:r>
          </w:p>
        </w:tc>
        <w:tc>
          <w:tcPr>
            <w:tcW w:w="362" w:type="pct"/>
          </w:tcPr>
          <w:p w14:paraId="03C59EA0" w14:textId="3608F692"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10</w:t>
            </w:r>
          </w:p>
        </w:tc>
        <w:tc>
          <w:tcPr>
            <w:tcW w:w="329" w:type="pct"/>
          </w:tcPr>
          <w:p w14:paraId="4F63158C" w14:textId="304D912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8</w:t>
            </w:r>
          </w:p>
        </w:tc>
        <w:tc>
          <w:tcPr>
            <w:tcW w:w="329" w:type="pct"/>
          </w:tcPr>
          <w:p w14:paraId="273E8942" w14:textId="7302BEB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12.8</w:t>
            </w:r>
          </w:p>
        </w:tc>
        <w:tc>
          <w:tcPr>
            <w:tcW w:w="329" w:type="pct"/>
          </w:tcPr>
          <w:p w14:paraId="252463F2" w14:textId="0AE75C62"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w:t>
            </w:r>
          </w:p>
        </w:tc>
        <w:tc>
          <w:tcPr>
            <w:tcW w:w="350" w:type="pct"/>
          </w:tcPr>
          <w:p w14:paraId="001B12E2" w14:textId="050BFDA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3</w:t>
            </w:r>
          </w:p>
        </w:tc>
        <w:tc>
          <w:tcPr>
            <w:tcW w:w="341" w:type="pct"/>
          </w:tcPr>
          <w:p w14:paraId="29B02505" w14:textId="73C5FF98"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22</w:t>
            </w:r>
          </w:p>
        </w:tc>
        <w:tc>
          <w:tcPr>
            <w:tcW w:w="312" w:type="pct"/>
          </w:tcPr>
          <w:p w14:paraId="6588FE24" w14:textId="0AD6AF1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16.8</w:t>
            </w:r>
          </w:p>
        </w:tc>
        <w:tc>
          <w:tcPr>
            <w:tcW w:w="313" w:type="pct"/>
          </w:tcPr>
          <w:p w14:paraId="538AA4B0" w14:textId="19877B6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12</w:t>
            </w:r>
          </w:p>
        </w:tc>
        <w:tc>
          <w:tcPr>
            <w:tcW w:w="362" w:type="pct"/>
          </w:tcPr>
          <w:p w14:paraId="08DCC636" w14:textId="6429B01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6</w:t>
            </w:r>
          </w:p>
        </w:tc>
        <w:tc>
          <w:tcPr>
            <w:tcW w:w="329" w:type="pct"/>
          </w:tcPr>
          <w:p w14:paraId="18ACCA08" w14:textId="30C503D1"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13</w:t>
            </w:r>
          </w:p>
        </w:tc>
        <w:tc>
          <w:tcPr>
            <w:tcW w:w="329" w:type="pct"/>
          </w:tcPr>
          <w:p w14:paraId="37CF422A" w14:textId="036A0BC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4</w:t>
            </w:r>
          </w:p>
        </w:tc>
        <w:tc>
          <w:tcPr>
            <w:tcW w:w="327" w:type="pct"/>
          </w:tcPr>
          <w:p w14:paraId="252A1402" w14:textId="567DECA8" w:rsidR="00616487" w:rsidRPr="00AA2A48" w:rsidRDefault="005C7CAC"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t>3.8</w:t>
            </w:r>
          </w:p>
        </w:tc>
      </w:tr>
      <w:tr w:rsidR="00616487" w:rsidRPr="00AA2A48" w14:paraId="0E936C61"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656ED200" w14:textId="146DF3CD" w:rsidR="00616487" w:rsidRPr="00AA2A48" w:rsidRDefault="00616487" w:rsidP="00CE1948">
            <w:pPr>
              <w:pStyle w:val="TableText"/>
              <w:spacing w:before="50" w:after="60"/>
            </w:pPr>
            <w:r w:rsidRPr="00AA2A48">
              <w:t>Executive Officer 1</w:t>
            </w:r>
          </w:p>
        </w:tc>
        <w:tc>
          <w:tcPr>
            <w:tcW w:w="329" w:type="pct"/>
          </w:tcPr>
          <w:p w14:paraId="677B470E" w14:textId="61CFF4FA"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30" w:type="pct"/>
          </w:tcPr>
          <w:p w14:paraId="7F61C3FE" w14:textId="53F1467B"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62" w:type="pct"/>
          </w:tcPr>
          <w:p w14:paraId="64A8D44B" w14:textId="5C6065F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3BE5262D" w14:textId="6807C806"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60F65986" w14:textId="1F3C0EE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65D546F7" w14:textId="39D8DC5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4210510A" w14:textId="5E845BF6"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0701C846" w14:textId="307CA48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12" w:type="pct"/>
          </w:tcPr>
          <w:p w14:paraId="6A6CDE86" w14:textId="393F961A"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13" w:type="pct"/>
          </w:tcPr>
          <w:p w14:paraId="6DA1A440" w14:textId="3A29771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62" w:type="pct"/>
          </w:tcPr>
          <w:p w14:paraId="6D2728D4" w14:textId="6AF3A35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Pr>
          <w:p w14:paraId="12563758" w14:textId="6F4A424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1095D4DB" w14:textId="55090082"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5F139DA3" w14:textId="2D68C8BC"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639D9D7B" w14:textId="77777777" w:rsidTr="005C7CAC">
        <w:tc>
          <w:tcPr>
            <w:cnfStyle w:val="001000000000" w:firstRow="0" w:lastRow="0" w:firstColumn="1" w:lastColumn="0" w:oddVBand="0" w:evenVBand="0" w:oddHBand="0" w:evenHBand="0" w:firstRowFirstColumn="0" w:firstRowLastColumn="0" w:lastRowFirstColumn="0" w:lastRowLastColumn="0"/>
            <w:tcW w:w="329" w:type="pct"/>
          </w:tcPr>
          <w:p w14:paraId="2126641B" w14:textId="27B8A3F7" w:rsidR="00616487" w:rsidRPr="00AA2A48" w:rsidRDefault="008826AF" w:rsidP="00CE1948">
            <w:pPr>
              <w:pStyle w:val="TableText"/>
              <w:spacing w:before="50" w:after="60"/>
            </w:pPr>
            <w:r w:rsidRPr="00AA2A48">
              <w:t>Executive Officer 2</w:t>
            </w:r>
          </w:p>
        </w:tc>
        <w:tc>
          <w:tcPr>
            <w:tcW w:w="329" w:type="pct"/>
          </w:tcPr>
          <w:p w14:paraId="58DB1B13" w14:textId="7DED32C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30" w:type="pct"/>
          </w:tcPr>
          <w:p w14:paraId="68AA9BBD" w14:textId="7BD53B9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6.9</w:t>
            </w:r>
          </w:p>
        </w:tc>
        <w:tc>
          <w:tcPr>
            <w:tcW w:w="362" w:type="pct"/>
          </w:tcPr>
          <w:p w14:paraId="74259AD1" w14:textId="41CB717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6</w:t>
            </w:r>
          </w:p>
        </w:tc>
        <w:tc>
          <w:tcPr>
            <w:tcW w:w="329" w:type="pct"/>
          </w:tcPr>
          <w:p w14:paraId="61B1391D" w14:textId="58A0FDA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66E8EAAB" w14:textId="3B28CE00"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6.9</w:t>
            </w:r>
          </w:p>
        </w:tc>
        <w:tc>
          <w:tcPr>
            <w:tcW w:w="329" w:type="pct"/>
          </w:tcPr>
          <w:p w14:paraId="107F99DC" w14:textId="18D2237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Pr>
          <w:p w14:paraId="0A3E4A71" w14:textId="24E2F62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Pr>
          <w:p w14:paraId="12BA8966" w14:textId="64497E0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6</w:t>
            </w:r>
          </w:p>
        </w:tc>
        <w:tc>
          <w:tcPr>
            <w:tcW w:w="312" w:type="pct"/>
          </w:tcPr>
          <w:p w14:paraId="1935D850" w14:textId="0ECAE67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5.6</w:t>
            </w:r>
          </w:p>
        </w:tc>
        <w:tc>
          <w:tcPr>
            <w:tcW w:w="313" w:type="pct"/>
          </w:tcPr>
          <w:p w14:paraId="41B828C3" w14:textId="768AC2A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w:t>
            </w:r>
          </w:p>
        </w:tc>
        <w:tc>
          <w:tcPr>
            <w:tcW w:w="362" w:type="pct"/>
          </w:tcPr>
          <w:p w14:paraId="5100A76A" w14:textId="5D56F09E"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w:t>
            </w:r>
          </w:p>
        </w:tc>
        <w:tc>
          <w:tcPr>
            <w:tcW w:w="329" w:type="pct"/>
          </w:tcPr>
          <w:p w14:paraId="212380E6" w14:textId="1A81997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5.6</w:t>
            </w:r>
          </w:p>
        </w:tc>
        <w:tc>
          <w:tcPr>
            <w:tcW w:w="329" w:type="pct"/>
          </w:tcPr>
          <w:p w14:paraId="6A14C6E7" w14:textId="14FF71D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Pr>
          <w:p w14:paraId="3A1F7378" w14:textId="340F3A91"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AA2A48" w14:paraId="76503012" w14:textId="77777777" w:rsidTr="00D46E6D">
        <w:tc>
          <w:tcPr>
            <w:cnfStyle w:val="001000000000" w:firstRow="0" w:lastRow="0" w:firstColumn="1" w:lastColumn="0" w:oddVBand="0" w:evenVBand="0" w:oddHBand="0" w:evenHBand="0" w:firstRowFirstColumn="0" w:firstRowLastColumn="0" w:lastRowFirstColumn="0" w:lastRowLastColumn="0"/>
            <w:tcW w:w="329" w:type="pct"/>
            <w:tcBorders>
              <w:bottom w:val="single" w:sz="4" w:space="0" w:color="auto"/>
            </w:tcBorders>
          </w:tcPr>
          <w:p w14:paraId="1901A863" w14:textId="553F13F5" w:rsidR="00616487" w:rsidRPr="00AA2A48" w:rsidRDefault="008826AF" w:rsidP="00CE1948">
            <w:pPr>
              <w:pStyle w:val="TableText"/>
              <w:spacing w:before="50" w:after="60"/>
            </w:pPr>
            <w:r w:rsidRPr="00AA2A48">
              <w:t>Executive Officer 3</w:t>
            </w:r>
          </w:p>
        </w:tc>
        <w:tc>
          <w:tcPr>
            <w:tcW w:w="329" w:type="pct"/>
            <w:tcBorders>
              <w:bottom w:val="single" w:sz="4" w:space="0" w:color="auto"/>
            </w:tcBorders>
          </w:tcPr>
          <w:p w14:paraId="6FA59662" w14:textId="0415AB6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30" w:type="pct"/>
            <w:tcBorders>
              <w:bottom w:val="single" w:sz="4" w:space="0" w:color="auto"/>
            </w:tcBorders>
          </w:tcPr>
          <w:p w14:paraId="3E872530" w14:textId="6BE0B269"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62" w:type="pct"/>
            <w:tcBorders>
              <w:bottom w:val="single" w:sz="4" w:space="0" w:color="auto"/>
            </w:tcBorders>
          </w:tcPr>
          <w:p w14:paraId="61AA7861" w14:textId="1C3A023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29" w:type="pct"/>
            <w:tcBorders>
              <w:bottom w:val="single" w:sz="4" w:space="0" w:color="auto"/>
            </w:tcBorders>
          </w:tcPr>
          <w:p w14:paraId="63D90830" w14:textId="2C8DBA2C"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Borders>
              <w:bottom w:val="single" w:sz="4" w:space="0" w:color="auto"/>
            </w:tcBorders>
          </w:tcPr>
          <w:p w14:paraId="181C094F" w14:textId="336E376F"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7</w:t>
            </w:r>
          </w:p>
        </w:tc>
        <w:tc>
          <w:tcPr>
            <w:tcW w:w="329" w:type="pct"/>
            <w:tcBorders>
              <w:bottom w:val="single" w:sz="4" w:space="0" w:color="auto"/>
            </w:tcBorders>
          </w:tcPr>
          <w:p w14:paraId="069DD672" w14:textId="1E0A9B4B"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50" w:type="pct"/>
            <w:tcBorders>
              <w:bottom w:val="single" w:sz="4" w:space="0" w:color="auto"/>
            </w:tcBorders>
          </w:tcPr>
          <w:p w14:paraId="70389679" w14:textId="14BB3A2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41" w:type="pct"/>
            <w:tcBorders>
              <w:bottom w:val="single" w:sz="4" w:space="0" w:color="auto"/>
            </w:tcBorders>
          </w:tcPr>
          <w:p w14:paraId="45F18F9A" w14:textId="7B504754"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12" w:type="pct"/>
            <w:tcBorders>
              <w:bottom w:val="single" w:sz="4" w:space="0" w:color="auto"/>
            </w:tcBorders>
          </w:tcPr>
          <w:p w14:paraId="5F1ED34C" w14:textId="64EAF99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13" w:type="pct"/>
            <w:tcBorders>
              <w:bottom w:val="single" w:sz="4" w:space="0" w:color="auto"/>
            </w:tcBorders>
          </w:tcPr>
          <w:p w14:paraId="3C9CE7F8" w14:textId="2C683573"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62" w:type="pct"/>
            <w:tcBorders>
              <w:bottom w:val="single" w:sz="4" w:space="0" w:color="auto"/>
            </w:tcBorders>
          </w:tcPr>
          <w:p w14:paraId="6A7BFB5E" w14:textId="41A779A7"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9" w:type="pct"/>
            <w:tcBorders>
              <w:bottom w:val="single" w:sz="4" w:space="0" w:color="auto"/>
            </w:tcBorders>
          </w:tcPr>
          <w:p w14:paraId="31674307" w14:textId="21E1AB25"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11</w:t>
            </w:r>
          </w:p>
        </w:tc>
        <w:tc>
          <w:tcPr>
            <w:tcW w:w="329" w:type="pct"/>
            <w:tcBorders>
              <w:bottom w:val="single" w:sz="4" w:space="0" w:color="auto"/>
            </w:tcBorders>
          </w:tcPr>
          <w:p w14:paraId="61834360" w14:textId="7266FB8A"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c>
          <w:tcPr>
            <w:tcW w:w="327" w:type="pct"/>
            <w:tcBorders>
              <w:bottom w:val="single" w:sz="4" w:space="0" w:color="auto"/>
            </w:tcBorders>
          </w:tcPr>
          <w:p w14:paraId="03BC9FEE" w14:textId="11492C8D" w:rsidR="00616487" w:rsidRPr="00AA2A48" w:rsidRDefault="008826AF" w:rsidP="00CE1948">
            <w:pPr>
              <w:pStyle w:val="TableText"/>
              <w:spacing w:before="50" w:after="60"/>
              <w:cnfStyle w:val="000000000000" w:firstRow="0" w:lastRow="0" w:firstColumn="0" w:lastColumn="0" w:oddVBand="0" w:evenVBand="0" w:oddHBand="0" w:evenHBand="0" w:firstRowFirstColumn="0" w:firstRowLastColumn="0" w:lastRowFirstColumn="0" w:lastRowLastColumn="0"/>
            </w:pPr>
            <w:r w:rsidRPr="00AA2A48">
              <w:t>0</w:t>
            </w:r>
          </w:p>
        </w:tc>
      </w:tr>
      <w:tr w:rsidR="00616487" w:rsidRPr="005C7CAC" w14:paraId="570145CE" w14:textId="77777777" w:rsidTr="00D46E6D">
        <w:tc>
          <w:tcPr>
            <w:cnfStyle w:val="001000000000" w:firstRow="0" w:lastRow="0" w:firstColumn="1" w:lastColumn="0" w:oddVBand="0" w:evenVBand="0" w:oddHBand="0" w:evenHBand="0" w:firstRowFirstColumn="0" w:firstRowLastColumn="0" w:lastRowFirstColumn="0" w:lastRowLastColumn="0"/>
            <w:tcW w:w="329" w:type="pct"/>
            <w:tcBorders>
              <w:top w:val="single" w:sz="4" w:space="0" w:color="auto"/>
              <w:bottom w:val="single" w:sz="4" w:space="0" w:color="auto"/>
            </w:tcBorders>
          </w:tcPr>
          <w:p w14:paraId="6C1CE3DC" w14:textId="33B90201" w:rsidR="00616487" w:rsidRPr="005C7CAC" w:rsidRDefault="00616487" w:rsidP="00CE1948">
            <w:pPr>
              <w:pStyle w:val="TableText"/>
              <w:spacing w:before="50" w:after="50"/>
              <w:rPr>
                <w:rStyle w:val="Bold"/>
              </w:rPr>
            </w:pPr>
            <w:r w:rsidRPr="005C7CAC">
              <w:rPr>
                <w:rStyle w:val="Bold"/>
              </w:rPr>
              <w:t>Total Senior employees</w:t>
            </w:r>
          </w:p>
        </w:tc>
        <w:tc>
          <w:tcPr>
            <w:tcW w:w="329" w:type="pct"/>
            <w:tcBorders>
              <w:top w:val="single" w:sz="4" w:space="0" w:color="auto"/>
              <w:bottom w:val="single" w:sz="4" w:space="0" w:color="auto"/>
            </w:tcBorders>
          </w:tcPr>
          <w:p w14:paraId="2B5E67C8" w14:textId="1CC6792B"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36</w:t>
            </w:r>
          </w:p>
        </w:tc>
        <w:tc>
          <w:tcPr>
            <w:tcW w:w="330" w:type="pct"/>
            <w:tcBorders>
              <w:top w:val="single" w:sz="4" w:space="0" w:color="auto"/>
              <w:bottom w:val="single" w:sz="4" w:space="0" w:color="auto"/>
            </w:tcBorders>
          </w:tcPr>
          <w:p w14:paraId="5FC03D0B" w14:textId="7C187F3D"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30.7</w:t>
            </w:r>
          </w:p>
        </w:tc>
        <w:tc>
          <w:tcPr>
            <w:tcW w:w="362" w:type="pct"/>
            <w:tcBorders>
              <w:top w:val="single" w:sz="4" w:space="0" w:color="auto"/>
              <w:bottom w:val="single" w:sz="4" w:space="0" w:color="auto"/>
            </w:tcBorders>
          </w:tcPr>
          <w:p w14:paraId="6CF2C395" w14:textId="0CBFDCA3"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24</w:t>
            </w:r>
          </w:p>
        </w:tc>
        <w:tc>
          <w:tcPr>
            <w:tcW w:w="329" w:type="pct"/>
            <w:tcBorders>
              <w:top w:val="single" w:sz="4" w:space="0" w:color="auto"/>
              <w:bottom w:val="single" w:sz="4" w:space="0" w:color="auto"/>
            </w:tcBorders>
          </w:tcPr>
          <w:p w14:paraId="38461D3F" w14:textId="47FAA262"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9</w:t>
            </w:r>
          </w:p>
        </w:tc>
        <w:tc>
          <w:tcPr>
            <w:tcW w:w="329" w:type="pct"/>
            <w:tcBorders>
              <w:top w:val="single" w:sz="4" w:space="0" w:color="auto"/>
              <w:bottom w:val="single" w:sz="4" w:space="0" w:color="auto"/>
            </w:tcBorders>
          </w:tcPr>
          <w:p w14:paraId="74DCC5F0" w14:textId="28A20A69"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27.7</w:t>
            </w:r>
          </w:p>
        </w:tc>
        <w:tc>
          <w:tcPr>
            <w:tcW w:w="329" w:type="pct"/>
            <w:tcBorders>
              <w:top w:val="single" w:sz="4" w:space="0" w:color="auto"/>
              <w:bottom w:val="single" w:sz="4" w:space="0" w:color="auto"/>
            </w:tcBorders>
          </w:tcPr>
          <w:p w14:paraId="54A2700A" w14:textId="2F2F48AA"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w:t>
            </w:r>
          </w:p>
        </w:tc>
        <w:tc>
          <w:tcPr>
            <w:tcW w:w="350" w:type="pct"/>
            <w:tcBorders>
              <w:top w:val="single" w:sz="4" w:space="0" w:color="auto"/>
              <w:bottom w:val="single" w:sz="4" w:space="0" w:color="auto"/>
            </w:tcBorders>
          </w:tcPr>
          <w:p w14:paraId="76B1002D" w14:textId="5098DD12"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w:t>
            </w:r>
          </w:p>
        </w:tc>
        <w:tc>
          <w:tcPr>
            <w:tcW w:w="341" w:type="pct"/>
            <w:tcBorders>
              <w:top w:val="single" w:sz="4" w:space="0" w:color="auto"/>
              <w:bottom w:val="single" w:sz="4" w:space="0" w:color="auto"/>
            </w:tcBorders>
          </w:tcPr>
          <w:p w14:paraId="7F60C8A9" w14:textId="46163A08"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40</w:t>
            </w:r>
          </w:p>
        </w:tc>
        <w:tc>
          <w:tcPr>
            <w:tcW w:w="312" w:type="pct"/>
            <w:tcBorders>
              <w:top w:val="single" w:sz="4" w:space="0" w:color="auto"/>
              <w:bottom w:val="single" w:sz="4" w:space="0" w:color="auto"/>
            </w:tcBorders>
          </w:tcPr>
          <w:p w14:paraId="3EFF0796" w14:textId="53B86249"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34.4</w:t>
            </w:r>
          </w:p>
        </w:tc>
        <w:tc>
          <w:tcPr>
            <w:tcW w:w="313" w:type="pct"/>
            <w:tcBorders>
              <w:top w:val="single" w:sz="4" w:space="0" w:color="auto"/>
              <w:bottom w:val="single" w:sz="4" w:space="0" w:color="auto"/>
            </w:tcBorders>
          </w:tcPr>
          <w:p w14:paraId="58D2D9A3" w14:textId="36B4A23B"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29</w:t>
            </w:r>
          </w:p>
        </w:tc>
        <w:tc>
          <w:tcPr>
            <w:tcW w:w="362" w:type="pct"/>
            <w:tcBorders>
              <w:top w:val="single" w:sz="4" w:space="0" w:color="auto"/>
              <w:bottom w:val="single" w:sz="4" w:space="0" w:color="auto"/>
            </w:tcBorders>
          </w:tcPr>
          <w:p w14:paraId="2BF41B62" w14:textId="54F42D66"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7</w:t>
            </w:r>
          </w:p>
        </w:tc>
        <w:tc>
          <w:tcPr>
            <w:tcW w:w="329" w:type="pct"/>
            <w:tcBorders>
              <w:top w:val="single" w:sz="4" w:space="0" w:color="auto"/>
              <w:bottom w:val="single" w:sz="4" w:space="0" w:color="auto"/>
            </w:tcBorders>
          </w:tcPr>
          <w:p w14:paraId="4ECB37EC" w14:textId="3389DCB4"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30.6</w:t>
            </w:r>
          </w:p>
        </w:tc>
        <w:tc>
          <w:tcPr>
            <w:tcW w:w="329" w:type="pct"/>
            <w:tcBorders>
              <w:top w:val="single" w:sz="4" w:space="0" w:color="auto"/>
              <w:bottom w:val="single" w:sz="4" w:space="0" w:color="auto"/>
            </w:tcBorders>
          </w:tcPr>
          <w:p w14:paraId="652D30D9" w14:textId="442D103E"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w:t>
            </w:r>
          </w:p>
        </w:tc>
        <w:tc>
          <w:tcPr>
            <w:tcW w:w="327" w:type="pct"/>
            <w:tcBorders>
              <w:top w:val="single" w:sz="4" w:space="0" w:color="auto"/>
              <w:bottom w:val="single" w:sz="4" w:space="0" w:color="auto"/>
            </w:tcBorders>
          </w:tcPr>
          <w:p w14:paraId="11B7E60D" w14:textId="17E1F5B3"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3.8</w:t>
            </w:r>
          </w:p>
        </w:tc>
      </w:tr>
      <w:tr w:rsidR="00616487" w:rsidRPr="005C7CAC" w14:paraId="3564740A" w14:textId="77777777" w:rsidTr="00D46E6D">
        <w:tc>
          <w:tcPr>
            <w:cnfStyle w:val="001000000000" w:firstRow="0" w:lastRow="0" w:firstColumn="1" w:lastColumn="0" w:oddVBand="0" w:evenVBand="0" w:oddHBand="0" w:evenHBand="0" w:firstRowFirstColumn="0" w:firstRowLastColumn="0" w:lastRowFirstColumn="0" w:lastRowLastColumn="0"/>
            <w:tcW w:w="329" w:type="pct"/>
            <w:tcBorders>
              <w:top w:val="single" w:sz="4" w:space="0" w:color="auto"/>
            </w:tcBorders>
          </w:tcPr>
          <w:p w14:paraId="2DE46341" w14:textId="016EF442" w:rsidR="00616487" w:rsidRPr="005C7CAC" w:rsidRDefault="00616487" w:rsidP="00CE1948">
            <w:pPr>
              <w:pStyle w:val="TableText"/>
              <w:spacing w:before="50" w:after="50"/>
              <w:rPr>
                <w:rStyle w:val="Bold"/>
              </w:rPr>
            </w:pPr>
            <w:r w:rsidRPr="005C7CAC">
              <w:rPr>
                <w:rStyle w:val="Bold"/>
              </w:rPr>
              <w:t>Total employees</w:t>
            </w:r>
          </w:p>
        </w:tc>
        <w:tc>
          <w:tcPr>
            <w:tcW w:w="329" w:type="pct"/>
            <w:tcBorders>
              <w:top w:val="single" w:sz="4" w:space="0" w:color="auto"/>
            </w:tcBorders>
          </w:tcPr>
          <w:p w14:paraId="2DC0792D" w14:textId="5930BDE1"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2,167</w:t>
            </w:r>
          </w:p>
        </w:tc>
        <w:tc>
          <w:tcPr>
            <w:tcW w:w="330" w:type="pct"/>
            <w:tcBorders>
              <w:top w:val="single" w:sz="4" w:space="0" w:color="auto"/>
            </w:tcBorders>
          </w:tcPr>
          <w:p w14:paraId="4BF56E8A" w14:textId="3DF5795D"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2,042.6</w:t>
            </w:r>
          </w:p>
        </w:tc>
        <w:tc>
          <w:tcPr>
            <w:tcW w:w="362" w:type="pct"/>
            <w:tcBorders>
              <w:top w:val="single" w:sz="4" w:space="0" w:color="auto"/>
            </w:tcBorders>
          </w:tcPr>
          <w:p w14:paraId="219E9101" w14:textId="4E27E609"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1,484</w:t>
            </w:r>
          </w:p>
        </w:tc>
        <w:tc>
          <w:tcPr>
            <w:tcW w:w="329" w:type="pct"/>
            <w:tcBorders>
              <w:top w:val="single" w:sz="4" w:space="0" w:color="auto"/>
            </w:tcBorders>
          </w:tcPr>
          <w:p w14:paraId="5B2DAA47" w14:textId="7853E843"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283</w:t>
            </w:r>
          </w:p>
        </w:tc>
        <w:tc>
          <w:tcPr>
            <w:tcW w:w="329" w:type="pct"/>
            <w:tcBorders>
              <w:top w:val="single" w:sz="4" w:space="0" w:color="auto"/>
            </w:tcBorders>
          </w:tcPr>
          <w:p w14:paraId="01EA5A9C" w14:textId="75287EE0"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1,661.8</w:t>
            </w:r>
          </w:p>
        </w:tc>
        <w:tc>
          <w:tcPr>
            <w:tcW w:w="329" w:type="pct"/>
            <w:tcBorders>
              <w:top w:val="single" w:sz="4" w:space="0" w:color="auto"/>
            </w:tcBorders>
          </w:tcPr>
          <w:p w14:paraId="16A2CCF8" w14:textId="456328EB"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400</w:t>
            </w:r>
          </w:p>
        </w:tc>
        <w:tc>
          <w:tcPr>
            <w:tcW w:w="350" w:type="pct"/>
            <w:tcBorders>
              <w:top w:val="single" w:sz="4" w:space="0" w:color="auto"/>
            </w:tcBorders>
          </w:tcPr>
          <w:p w14:paraId="7E9E05B5" w14:textId="37511F4E"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380.8</w:t>
            </w:r>
          </w:p>
        </w:tc>
        <w:tc>
          <w:tcPr>
            <w:tcW w:w="341" w:type="pct"/>
            <w:tcBorders>
              <w:top w:val="single" w:sz="4" w:space="0" w:color="auto"/>
            </w:tcBorders>
          </w:tcPr>
          <w:p w14:paraId="0F4DE9C4" w14:textId="49D7D1B8"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2,370</w:t>
            </w:r>
          </w:p>
        </w:tc>
        <w:tc>
          <w:tcPr>
            <w:tcW w:w="312" w:type="pct"/>
            <w:tcBorders>
              <w:top w:val="single" w:sz="4" w:space="0" w:color="auto"/>
            </w:tcBorders>
          </w:tcPr>
          <w:p w14:paraId="3B0DC52B" w14:textId="3139639D"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2,216.3</w:t>
            </w:r>
          </w:p>
        </w:tc>
        <w:tc>
          <w:tcPr>
            <w:tcW w:w="313" w:type="pct"/>
            <w:tcBorders>
              <w:top w:val="single" w:sz="4" w:space="0" w:color="auto"/>
            </w:tcBorders>
          </w:tcPr>
          <w:p w14:paraId="1A51C89B" w14:textId="4ABBDD5E"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1,622</w:t>
            </w:r>
          </w:p>
        </w:tc>
        <w:tc>
          <w:tcPr>
            <w:tcW w:w="362" w:type="pct"/>
            <w:tcBorders>
              <w:top w:val="single" w:sz="4" w:space="0" w:color="auto"/>
            </w:tcBorders>
          </w:tcPr>
          <w:p w14:paraId="4E89AECF" w14:textId="279ABD6A"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306</w:t>
            </w:r>
          </w:p>
        </w:tc>
        <w:tc>
          <w:tcPr>
            <w:tcW w:w="329" w:type="pct"/>
            <w:tcBorders>
              <w:top w:val="single" w:sz="4" w:space="0" w:color="auto"/>
            </w:tcBorders>
          </w:tcPr>
          <w:p w14:paraId="13042680" w14:textId="6352D6FC"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1,814.8</w:t>
            </w:r>
          </w:p>
        </w:tc>
        <w:tc>
          <w:tcPr>
            <w:tcW w:w="329" w:type="pct"/>
            <w:tcBorders>
              <w:top w:val="single" w:sz="4" w:space="0" w:color="auto"/>
            </w:tcBorders>
          </w:tcPr>
          <w:p w14:paraId="2145B42D" w14:textId="192215DD"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442</w:t>
            </w:r>
          </w:p>
        </w:tc>
        <w:tc>
          <w:tcPr>
            <w:tcW w:w="327" w:type="pct"/>
            <w:tcBorders>
              <w:top w:val="single" w:sz="4" w:space="0" w:color="auto"/>
            </w:tcBorders>
          </w:tcPr>
          <w:p w14:paraId="0A1DD441" w14:textId="27DAECE1" w:rsidR="00616487" w:rsidRPr="005C7CAC" w:rsidRDefault="008826AF" w:rsidP="00CE1948">
            <w:pPr>
              <w:pStyle w:val="TableText"/>
              <w:spacing w:before="50" w:after="50"/>
              <w:cnfStyle w:val="000000000000" w:firstRow="0" w:lastRow="0" w:firstColumn="0" w:lastColumn="0" w:oddVBand="0" w:evenVBand="0" w:oddHBand="0" w:evenHBand="0" w:firstRowFirstColumn="0" w:firstRowLastColumn="0" w:lastRowFirstColumn="0" w:lastRowLastColumn="0"/>
              <w:rPr>
                <w:rStyle w:val="Bold"/>
              </w:rPr>
            </w:pPr>
            <w:r w:rsidRPr="005C7CAC">
              <w:rPr>
                <w:rStyle w:val="Bold"/>
              </w:rPr>
              <w:t>401.5</w:t>
            </w:r>
          </w:p>
        </w:tc>
      </w:tr>
    </w:tbl>
    <w:p w14:paraId="4F0877A5" w14:textId="00A18005" w:rsidR="004B6BAC" w:rsidRPr="00A1246A" w:rsidRDefault="004B6BAC" w:rsidP="004B6BAC">
      <w:pPr>
        <w:pStyle w:val="NotesText"/>
      </w:pPr>
      <w:bookmarkStart w:id="114" w:name="Notesheading"/>
      <w:r w:rsidRPr="00A1246A">
        <w:t>Notes</w:t>
      </w:r>
    </w:p>
    <w:bookmarkEnd w:id="114"/>
    <w:p w14:paraId="61EF60E3" w14:textId="022347DD" w:rsidR="008826AF" w:rsidRDefault="008826AF" w:rsidP="008124F4">
      <w:pPr>
        <w:pStyle w:val="NotesNumberedList"/>
        <w:numPr>
          <w:ilvl w:val="0"/>
          <w:numId w:val="13"/>
        </w:numPr>
      </w:pPr>
      <w:r>
        <w:t>All figures reflect active employees in the last pay period of June each year. The figures exclude those persons on leave without pay or absent on secondment, external contractors/consultants and temporary staff employed through recruitment agencies. ‘Ongoing employee’ means people engaged on open-ended contracts of employment and executive officers on a standard executive contract who were active in the last pay period of June each year. Judicial officers are not included.</w:t>
      </w:r>
    </w:p>
    <w:p w14:paraId="62FB00B6" w14:textId="04C5A7FF" w:rsidR="008826AF" w:rsidRDefault="008826AF" w:rsidP="008124F4">
      <w:pPr>
        <w:pStyle w:val="NotesNumberedList"/>
        <w:numPr>
          <w:ilvl w:val="0"/>
          <w:numId w:val="13"/>
        </w:numPr>
      </w:pPr>
      <w:r>
        <w:t xml:space="preserve">The above figures include all employees defined as </w:t>
      </w:r>
      <w:r w:rsidR="009B1462">
        <w:t>Court Services Victoria</w:t>
      </w:r>
      <w:r>
        <w:t xml:space="preserve"> staff in section 3 of the </w:t>
      </w:r>
      <w:r w:rsidR="009B1462">
        <w:t>Court Services Victoria</w:t>
      </w:r>
      <w:r>
        <w:t xml:space="preserve">; the </w:t>
      </w:r>
      <w:r w:rsidR="009B1462">
        <w:t>Court Services Victoria</w:t>
      </w:r>
      <w:r>
        <w:t xml:space="preserve"> Chief Executive Officer; a Court Chief Executive Officer; a person employed under section 36; a judicial employee.</w:t>
      </w:r>
    </w:p>
    <w:p w14:paraId="0DBA84D0" w14:textId="77777777" w:rsidR="008826AF" w:rsidRDefault="008826AF" w:rsidP="0019682B">
      <w:pPr>
        <w:pStyle w:val="NotesNumberedList"/>
      </w:pPr>
      <w:r>
        <w:t>The above figures do not include the Chief Executive Officer of the College; staff employed under section 16 (2) of the Judicial College of Victoria Act 2001; the Director of the Commission or staff of the Commission under the Judicial Commission of Victoria Act 2016, as the College and the Commission are separate reporting entities.</w:t>
      </w:r>
    </w:p>
    <w:p w14:paraId="4B50D091" w14:textId="3897B653" w:rsidR="004B6BAC" w:rsidRPr="00A1246A" w:rsidRDefault="008826AF" w:rsidP="0019682B">
      <w:pPr>
        <w:pStyle w:val="NotesNumberedList"/>
      </w:pPr>
      <w:r>
        <w:t xml:space="preserve">For the purposes of practicality, as a true reflection of the </w:t>
      </w:r>
      <w:r w:rsidR="009B1462">
        <w:t>Court Services Victoria</w:t>
      </w:r>
      <w:r>
        <w:t xml:space="preserve"> workforce, and for ease of comparison with data reported in previous years, </w:t>
      </w:r>
      <w:r w:rsidR="00A10DBB">
        <w:t>Full-time Equivalent</w:t>
      </w:r>
      <w:r>
        <w:t xml:space="preserve"> figures have not been rounded to the nearest whole number.</w:t>
      </w:r>
    </w:p>
    <w:p w14:paraId="5DDC44DE" w14:textId="77777777" w:rsidR="0041797C" w:rsidRDefault="0041797C" w:rsidP="004B6BAC">
      <w:pPr>
        <w:pStyle w:val="Heading2"/>
        <w:sectPr w:rsidR="0041797C" w:rsidSect="00CF2D24">
          <w:pgSz w:w="23808" w:h="16840" w:orient="landscape" w:code="8"/>
          <w:pgMar w:top="1134" w:right="1134" w:bottom="1134" w:left="1134" w:header="567" w:footer="567" w:gutter="0"/>
          <w:cols w:space="720"/>
          <w:docGrid w:linePitch="299"/>
        </w:sectPr>
      </w:pPr>
    </w:p>
    <w:p w14:paraId="765E245D" w14:textId="30475566" w:rsidR="004B6BAC" w:rsidRPr="007A0D86" w:rsidRDefault="00281083" w:rsidP="004B6BAC">
      <w:pPr>
        <w:pStyle w:val="Heading2"/>
      </w:pPr>
      <w:bookmarkStart w:id="115" w:name="_Ref22639970"/>
      <w:bookmarkStart w:id="116" w:name="_Toc62808086"/>
      <w:r>
        <w:t xml:space="preserve"> </w:t>
      </w:r>
      <w:r w:rsidR="004B6BAC" w:rsidRPr="007A0D86">
        <w:t>Executive Officer Data</w:t>
      </w:r>
      <w:bookmarkEnd w:id="115"/>
      <w:bookmarkEnd w:id="116"/>
    </w:p>
    <w:p w14:paraId="22B0B45A" w14:textId="77777777" w:rsidR="0054635B" w:rsidRDefault="0054635B" w:rsidP="0054635B">
      <w:pPr>
        <w:pStyle w:val="BodyText"/>
      </w:pPr>
      <w:r>
        <w:t>An executive officer is defined as a person employed as a public service body head or other executive under Part 3, Division 5 of the Public Administration Act 2004. All figures reflect employment levels at the last full pay period in June of the current and corresponding previous reporting year.</w:t>
      </w:r>
    </w:p>
    <w:p w14:paraId="4615078D" w14:textId="258E9DB2" w:rsidR="0054635B" w:rsidRDefault="0054635B" w:rsidP="0054635B">
      <w:pPr>
        <w:pStyle w:val="BodyText"/>
      </w:pPr>
      <w:r>
        <w:t>The definition of executive officer does not include Governor in Council appointments as statutory office holders.</w:t>
      </w:r>
    </w:p>
    <w:p w14:paraId="74BE71C5" w14:textId="0E42094F" w:rsidR="004B6BAC" w:rsidRPr="007A0D86" w:rsidRDefault="001D5E45" w:rsidP="001D5E45">
      <w:pPr>
        <w:pStyle w:val="Caption"/>
      </w:pPr>
      <w:r>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6</w:t>
      </w:r>
      <w:r w:rsidR="00D42A70">
        <w:rPr>
          <w:noProof/>
        </w:rPr>
        <w:fldChar w:fldCharType="end"/>
      </w:r>
      <w:r w:rsidR="004B6BAC" w:rsidRPr="007A0D86">
        <w:t xml:space="preserve">: Number </w:t>
      </w:r>
      <w:r w:rsidR="008C0C18">
        <w:t>of</w:t>
      </w:r>
      <w:r w:rsidR="004B6BAC" w:rsidRPr="007A0D86">
        <w:t xml:space="preserve"> Executive Officers </w:t>
      </w:r>
      <w:r w:rsidR="006F3CF5">
        <w:t xml:space="preserve">by Gender </w:t>
      </w:r>
      <w:proofErr w:type="gramStart"/>
      <w:r w:rsidR="006F3CF5">
        <w:t>at</w:t>
      </w:r>
      <w:proofErr w:type="gramEnd"/>
      <w:r w:rsidR="004B6BAC" w:rsidRPr="007A0D86">
        <w:t xml:space="preserve"> 30 June 20</w:t>
      </w:r>
      <w:r w:rsidR="0054635B">
        <w:t>20</w:t>
      </w:r>
    </w:p>
    <w:tbl>
      <w:tblPr>
        <w:tblStyle w:val="AccessibleTableNumerical"/>
        <w:tblW w:w="5000" w:type="pct"/>
        <w:tblLook w:val="06E0" w:firstRow="1" w:lastRow="1" w:firstColumn="1" w:lastColumn="0" w:noHBand="1" w:noVBand="1"/>
      </w:tblPr>
      <w:tblGrid>
        <w:gridCol w:w="978"/>
        <w:gridCol w:w="966"/>
        <w:gridCol w:w="1053"/>
        <w:gridCol w:w="1037"/>
        <w:gridCol w:w="1051"/>
        <w:gridCol w:w="1068"/>
        <w:gridCol w:w="1051"/>
        <w:gridCol w:w="1387"/>
        <w:gridCol w:w="1051"/>
      </w:tblGrid>
      <w:tr w:rsidR="002C7628" w:rsidRPr="008C0C18" w14:paraId="3A70C228" w14:textId="77777777" w:rsidTr="002252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 w:type="pct"/>
          </w:tcPr>
          <w:p w14:paraId="71FD269B" w14:textId="77777777" w:rsidR="00E314AD" w:rsidRPr="008C0C18" w:rsidRDefault="00E314AD" w:rsidP="008C0C18">
            <w:pPr>
              <w:pStyle w:val="TableText"/>
            </w:pPr>
            <w:bookmarkStart w:id="117" w:name="ColumnTitle_27"/>
            <w:r w:rsidRPr="008C0C18">
              <w:t>Class</w:t>
            </w:r>
          </w:p>
        </w:tc>
        <w:tc>
          <w:tcPr>
            <w:tcW w:w="501" w:type="pct"/>
            <w:vAlign w:val="bottom"/>
          </w:tcPr>
          <w:p w14:paraId="17BEEED0" w14:textId="6D9401F4"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All</w:t>
            </w:r>
            <w:r w:rsidR="0022522B">
              <w:br/>
            </w:r>
            <w:r w:rsidR="00E314AD" w:rsidRPr="008C0C18">
              <w:t>Number</w:t>
            </w:r>
          </w:p>
        </w:tc>
        <w:tc>
          <w:tcPr>
            <w:tcW w:w="546" w:type="pct"/>
            <w:vAlign w:val="bottom"/>
          </w:tcPr>
          <w:p w14:paraId="12DC67A0" w14:textId="493CC52D"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All</w:t>
            </w:r>
            <w:r w:rsidR="0022522B">
              <w:br/>
            </w:r>
            <w:r w:rsidR="00E314AD" w:rsidRPr="008C0C18">
              <w:t>Variance</w:t>
            </w:r>
          </w:p>
        </w:tc>
        <w:tc>
          <w:tcPr>
            <w:tcW w:w="538" w:type="pct"/>
            <w:vAlign w:val="bottom"/>
          </w:tcPr>
          <w:p w14:paraId="2C80123C" w14:textId="068B2EC7"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Women</w:t>
            </w:r>
            <w:r w:rsidR="0022522B">
              <w:br/>
            </w:r>
            <w:r w:rsidR="00E314AD" w:rsidRPr="008C0C18">
              <w:t>Number</w:t>
            </w:r>
          </w:p>
        </w:tc>
        <w:tc>
          <w:tcPr>
            <w:tcW w:w="545" w:type="pct"/>
            <w:vAlign w:val="bottom"/>
          </w:tcPr>
          <w:p w14:paraId="4848489C" w14:textId="04DD3493"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Women</w:t>
            </w:r>
            <w:r w:rsidR="0022522B">
              <w:br/>
            </w:r>
            <w:r w:rsidR="00E314AD" w:rsidRPr="008C0C18">
              <w:t>Variance</w:t>
            </w:r>
          </w:p>
        </w:tc>
        <w:tc>
          <w:tcPr>
            <w:tcW w:w="554" w:type="pct"/>
            <w:vAlign w:val="bottom"/>
          </w:tcPr>
          <w:p w14:paraId="18166716" w14:textId="69AB0445"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Men</w:t>
            </w:r>
            <w:r w:rsidR="0022522B">
              <w:br/>
            </w:r>
            <w:r w:rsidR="00E314AD" w:rsidRPr="008C0C18">
              <w:t>Number</w:t>
            </w:r>
          </w:p>
        </w:tc>
        <w:tc>
          <w:tcPr>
            <w:tcW w:w="545" w:type="pct"/>
            <w:vAlign w:val="bottom"/>
          </w:tcPr>
          <w:p w14:paraId="2E7D6560" w14:textId="021F9FEA"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Men</w:t>
            </w:r>
            <w:r w:rsidR="0022522B">
              <w:br/>
            </w:r>
            <w:r w:rsidR="00E314AD" w:rsidRPr="008C0C18">
              <w:t>Variance</w:t>
            </w:r>
          </w:p>
        </w:tc>
        <w:tc>
          <w:tcPr>
            <w:tcW w:w="719" w:type="pct"/>
            <w:vAlign w:val="bottom"/>
          </w:tcPr>
          <w:p w14:paraId="1BA6D810" w14:textId="29B24F33"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Self-described</w:t>
            </w:r>
            <w:r w:rsidR="0022522B">
              <w:br/>
            </w:r>
            <w:r w:rsidR="00E314AD" w:rsidRPr="008C0C18">
              <w:t>Number</w:t>
            </w:r>
          </w:p>
        </w:tc>
        <w:tc>
          <w:tcPr>
            <w:tcW w:w="545" w:type="pct"/>
            <w:vAlign w:val="bottom"/>
          </w:tcPr>
          <w:p w14:paraId="6ABB9C86" w14:textId="0AF161A1" w:rsidR="00E314AD" w:rsidRPr="008C0C18" w:rsidRDefault="002C7628" w:rsidP="0022522B">
            <w:pPr>
              <w:pStyle w:val="TableText"/>
              <w:cnfStyle w:val="100000000000" w:firstRow="1" w:lastRow="0" w:firstColumn="0" w:lastColumn="0" w:oddVBand="0" w:evenVBand="0" w:oddHBand="0" w:evenHBand="0" w:firstRowFirstColumn="0" w:firstRowLastColumn="0" w:lastRowFirstColumn="0" w:lastRowLastColumn="0"/>
            </w:pPr>
            <w:r w:rsidRPr="008C0C18">
              <w:t>Self-described</w:t>
            </w:r>
            <w:r w:rsidR="0022522B">
              <w:br/>
            </w:r>
            <w:r w:rsidR="00E314AD" w:rsidRPr="008C0C18">
              <w:t>Variance</w:t>
            </w:r>
          </w:p>
        </w:tc>
      </w:tr>
      <w:bookmarkEnd w:id="117"/>
      <w:tr w:rsidR="002C7628" w:rsidRPr="008C0C18" w14:paraId="78D84086" w14:textId="77777777" w:rsidTr="008C0C18">
        <w:tc>
          <w:tcPr>
            <w:cnfStyle w:val="001000000000" w:firstRow="0" w:lastRow="0" w:firstColumn="1" w:lastColumn="0" w:oddVBand="0" w:evenVBand="0" w:oddHBand="0" w:evenHBand="0" w:firstRowFirstColumn="0" w:firstRowLastColumn="0" w:lastRowFirstColumn="0" w:lastRowLastColumn="0"/>
            <w:tcW w:w="507" w:type="pct"/>
          </w:tcPr>
          <w:p w14:paraId="12D54D94" w14:textId="77777777" w:rsidR="00E314AD" w:rsidRPr="008C0C18" w:rsidRDefault="00E314AD" w:rsidP="008C0C18">
            <w:pPr>
              <w:pStyle w:val="TableText"/>
            </w:pPr>
            <w:r w:rsidRPr="008C0C18">
              <w:t>EO-1</w:t>
            </w:r>
          </w:p>
        </w:tc>
        <w:tc>
          <w:tcPr>
            <w:tcW w:w="501" w:type="pct"/>
          </w:tcPr>
          <w:p w14:paraId="1C0DE077" w14:textId="77777777" w:rsidR="00E314AD" w:rsidRPr="008C0C18" w:rsidRDefault="00E314AD" w:rsidP="008C0C18">
            <w:pPr>
              <w:pStyle w:val="TableText"/>
              <w:cnfStyle w:val="000000000000" w:firstRow="0" w:lastRow="0" w:firstColumn="0" w:lastColumn="0" w:oddVBand="0" w:evenVBand="0" w:oddHBand="0" w:evenHBand="0" w:firstRowFirstColumn="0" w:firstRowLastColumn="0" w:lastRowFirstColumn="0" w:lastRowLastColumn="0"/>
            </w:pPr>
            <w:r w:rsidRPr="008C0C18">
              <w:t>1</w:t>
            </w:r>
          </w:p>
        </w:tc>
        <w:tc>
          <w:tcPr>
            <w:tcW w:w="546" w:type="pct"/>
          </w:tcPr>
          <w:p w14:paraId="5B68E376" w14:textId="77777777" w:rsidR="00E314AD" w:rsidRPr="008C0C18" w:rsidRDefault="00E314AD" w:rsidP="008C0C18">
            <w:pPr>
              <w:pStyle w:val="TableText"/>
              <w:cnfStyle w:val="000000000000" w:firstRow="0" w:lastRow="0" w:firstColumn="0" w:lastColumn="0" w:oddVBand="0" w:evenVBand="0" w:oddHBand="0" w:evenHBand="0" w:firstRowFirstColumn="0" w:firstRowLastColumn="0" w:lastRowFirstColumn="0" w:lastRowLastColumn="0"/>
            </w:pPr>
            <w:r w:rsidRPr="008C0C18">
              <w:t>0</w:t>
            </w:r>
          </w:p>
        </w:tc>
        <w:tc>
          <w:tcPr>
            <w:tcW w:w="538" w:type="pct"/>
          </w:tcPr>
          <w:p w14:paraId="61EB027A" w14:textId="77777777" w:rsidR="00E314AD" w:rsidRPr="008C0C18" w:rsidRDefault="00E314AD" w:rsidP="008C0C18">
            <w:pPr>
              <w:pStyle w:val="TableText"/>
              <w:cnfStyle w:val="000000000000" w:firstRow="0" w:lastRow="0" w:firstColumn="0" w:lastColumn="0" w:oddVBand="0" w:evenVBand="0" w:oddHBand="0" w:evenHBand="0" w:firstRowFirstColumn="0" w:firstRowLastColumn="0" w:lastRowFirstColumn="0" w:lastRowLastColumn="0"/>
            </w:pPr>
            <w:r w:rsidRPr="008C0C18">
              <w:t>1</w:t>
            </w:r>
          </w:p>
        </w:tc>
        <w:tc>
          <w:tcPr>
            <w:tcW w:w="545" w:type="pct"/>
          </w:tcPr>
          <w:p w14:paraId="0FCAEFA5" w14:textId="6E0A47EA"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54" w:type="pct"/>
          </w:tcPr>
          <w:p w14:paraId="775840F0" w14:textId="12B35F32"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45" w:type="pct"/>
          </w:tcPr>
          <w:p w14:paraId="0FC039A4" w14:textId="6FA55322"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719" w:type="pct"/>
          </w:tcPr>
          <w:p w14:paraId="5C700532" w14:textId="4229757A"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45" w:type="pct"/>
          </w:tcPr>
          <w:p w14:paraId="508426FB" w14:textId="6CFD51D5"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r>
      <w:tr w:rsidR="002C7628" w:rsidRPr="008C0C18" w14:paraId="7D201B64" w14:textId="77777777" w:rsidTr="008C0C18">
        <w:tc>
          <w:tcPr>
            <w:cnfStyle w:val="001000000000" w:firstRow="0" w:lastRow="0" w:firstColumn="1" w:lastColumn="0" w:oddVBand="0" w:evenVBand="0" w:oddHBand="0" w:evenHBand="0" w:firstRowFirstColumn="0" w:firstRowLastColumn="0" w:lastRowFirstColumn="0" w:lastRowLastColumn="0"/>
            <w:tcW w:w="507" w:type="pct"/>
          </w:tcPr>
          <w:p w14:paraId="1B30509D" w14:textId="77777777" w:rsidR="00E314AD" w:rsidRPr="008C0C18" w:rsidRDefault="00E314AD" w:rsidP="008C0C18">
            <w:pPr>
              <w:pStyle w:val="TableText"/>
            </w:pPr>
            <w:r w:rsidRPr="008C0C18">
              <w:t>EO-2</w:t>
            </w:r>
          </w:p>
        </w:tc>
        <w:tc>
          <w:tcPr>
            <w:tcW w:w="501" w:type="pct"/>
          </w:tcPr>
          <w:p w14:paraId="27915B4C" w14:textId="38136B60"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6</w:t>
            </w:r>
          </w:p>
        </w:tc>
        <w:tc>
          <w:tcPr>
            <w:tcW w:w="546" w:type="pct"/>
          </w:tcPr>
          <w:p w14:paraId="0E68384C" w14:textId="2D96CFC4"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-1</w:t>
            </w:r>
          </w:p>
        </w:tc>
        <w:tc>
          <w:tcPr>
            <w:tcW w:w="538" w:type="pct"/>
          </w:tcPr>
          <w:p w14:paraId="4F446C3D" w14:textId="503C3D7F"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3</w:t>
            </w:r>
          </w:p>
        </w:tc>
        <w:tc>
          <w:tcPr>
            <w:tcW w:w="545" w:type="pct"/>
          </w:tcPr>
          <w:p w14:paraId="0EF93595" w14:textId="2D622068"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54" w:type="pct"/>
          </w:tcPr>
          <w:p w14:paraId="09894B4E" w14:textId="1E5F324D"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3</w:t>
            </w:r>
          </w:p>
        </w:tc>
        <w:tc>
          <w:tcPr>
            <w:tcW w:w="545" w:type="pct"/>
          </w:tcPr>
          <w:p w14:paraId="731AAF52" w14:textId="0483C6B6"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-1</w:t>
            </w:r>
          </w:p>
        </w:tc>
        <w:tc>
          <w:tcPr>
            <w:tcW w:w="719" w:type="pct"/>
          </w:tcPr>
          <w:p w14:paraId="61C4E1A3" w14:textId="769F7FC0"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45" w:type="pct"/>
          </w:tcPr>
          <w:p w14:paraId="59110600" w14:textId="4F048822"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r>
      <w:tr w:rsidR="002C7628" w:rsidRPr="008C0C18" w14:paraId="01E28BA1" w14:textId="77777777" w:rsidTr="008C0C18">
        <w:tc>
          <w:tcPr>
            <w:cnfStyle w:val="001000000000" w:firstRow="0" w:lastRow="0" w:firstColumn="1" w:lastColumn="0" w:oddVBand="0" w:evenVBand="0" w:oddHBand="0" w:evenHBand="0" w:firstRowFirstColumn="0" w:firstRowLastColumn="0" w:lastRowFirstColumn="0" w:lastRowLastColumn="0"/>
            <w:tcW w:w="507" w:type="pct"/>
          </w:tcPr>
          <w:p w14:paraId="53C7D306" w14:textId="77777777" w:rsidR="00E314AD" w:rsidRPr="008C0C18" w:rsidRDefault="00E314AD" w:rsidP="008C0C18">
            <w:pPr>
              <w:pStyle w:val="TableText"/>
            </w:pPr>
            <w:r w:rsidRPr="008C0C18">
              <w:t>EO-3</w:t>
            </w:r>
          </w:p>
        </w:tc>
        <w:tc>
          <w:tcPr>
            <w:tcW w:w="501" w:type="pct"/>
          </w:tcPr>
          <w:p w14:paraId="33F76539" w14:textId="084B7B50"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11</w:t>
            </w:r>
          </w:p>
        </w:tc>
        <w:tc>
          <w:tcPr>
            <w:tcW w:w="546" w:type="pct"/>
          </w:tcPr>
          <w:p w14:paraId="34F2FF98" w14:textId="577CB35B"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+4</w:t>
            </w:r>
          </w:p>
        </w:tc>
        <w:tc>
          <w:tcPr>
            <w:tcW w:w="538" w:type="pct"/>
          </w:tcPr>
          <w:p w14:paraId="6944336C" w14:textId="306B3E8C"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7</w:t>
            </w:r>
          </w:p>
        </w:tc>
        <w:tc>
          <w:tcPr>
            <w:tcW w:w="545" w:type="pct"/>
          </w:tcPr>
          <w:p w14:paraId="7875A1D4" w14:textId="1B057745"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+2</w:t>
            </w:r>
          </w:p>
        </w:tc>
        <w:tc>
          <w:tcPr>
            <w:tcW w:w="554" w:type="pct"/>
          </w:tcPr>
          <w:p w14:paraId="53CE3BEC" w14:textId="6AE78BB6"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4</w:t>
            </w:r>
          </w:p>
        </w:tc>
        <w:tc>
          <w:tcPr>
            <w:tcW w:w="545" w:type="pct"/>
          </w:tcPr>
          <w:p w14:paraId="29DDBAF5" w14:textId="3ED28E08"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+2</w:t>
            </w:r>
          </w:p>
        </w:tc>
        <w:tc>
          <w:tcPr>
            <w:tcW w:w="719" w:type="pct"/>
          </w:tcPr>
          <w:p w14:paraId="3A5A03E6" w14:textId="3D8F46EC"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c>
          <w:tcPr>
            <w:tcW w:w="545" w:type="pct"/>
          </w:tcPr>
          <w:p w14:paraId="2A545F8E" w14:textId="7767A7D1" w:rsidR="00E314AD"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0</w:t>
            </w:r>
          </w:p>
        </w:tc>
      </w:tr>
      <w:tr w:rsidR="002C7628" w:rsidRPr="006F3CF5" w14:paraId="6FDC29D3" w14:textId="77777777" w:rsidTr="008C0C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6B134613" w14:textId="77777777" w:rsidR="00E314AD" w:rsidRPr="006F3CF5" w:rsidRDefault="00E314AD" w:rsidP="008C0C18">
            <w:pPr>
              <w:pStyle w:val="TableText"/>
              <w:rPr>
                <w:rStyle w:val="Bold"/>
              </w:rPr>
            </w:pPr>
            <w:r w:rsidRPr="006F3CF5">
              <w:rPr>
                <w:rStyle w:val="Bold"/>
              </w:rPr>
              <w:t>Total</w:t>
            </w:r>
          </w:p>
        </w:tc>
        <w:tc>
          <w:tcPr>
            <w:tcW w:w="501" w:type="pct"/>
          </w:tcPr>
          <w:p w14:paraId="5D7435A6" w14:textId="117B01B7"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18</w:t>
            </w:r>
          </w:p>
        </w:tc>
        <w:tc>
          <w:tcPr>
            <w:tcW w:w="546" w:type="pct"/>
          </w:tcPr>
          <w:p w14:paraId="4E3AFDB1" w14:textId="2DCE6E4D"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w:t>
            </w:r>
          </w:p>
        </w:tc>
        <w:tc>
          <w:tcPr>
            <w:tcW w:w="538" w:type="pct"/>
          </w:tcPr>
          <w:p w14:paraId="482347B7" w14:textId="3FB3F874"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w:t>
            </w:r>
          </w:p>
        </w:tc>
        <w:tc>
          <w:tcPr>
            <w:tcW w:w="545" w:type="pct"/>
          </w:tcPr>
          <w:p w14:paraId="0C831E36" w14:textId="7194DB99"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w:t>
            </w:r>
          </w:p>
        </w:tc>
        <w:tc>
          <w:tcPr>
            <w:tcW w:w="554" w:type="pct"/>
          </w:tcPr>
          <w:p w14:paraId="1D2AB238" w14:textId="42B336D6"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7</w:t>
            </w:r>
          </w:p>
        </w:tc>
        <w:tc>
          <w:tcPr>
            <w:tcW w:w="545" w:type="pct"/>
          </w:tcPr>
          <w:p w14:paraId="0A03D574" w14:textId="452DFF13"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w:t>
            </w:r>
          </w:p>
        </w:tc>
        <w:tc>
          <w:tcPr>
            <w:tcW w:w="719" w:type="pct"/>
          </w:tcPr>
          <w:p w14:paraId="50208514" w14:textId="4A6FD9CB"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0</w:t>
            </w:r>
          </w:p>
        </w:tc>
        <w:tc>
          <w:tcPr>
            <w:tcW w:w="545" w:type="pct"/>
          </w:tcPr>
          <w:p w14:paraId="0A9E241D" w14:textId="50623235" w:rsidR="00E314AD" w:rsidRPr="006F3CF5"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0</w:t>
            </w:r>
          </w:p>
        </w:tc>
      </w:tr>
    </w:tbl>
    <w:p w14:paraId="1A06A568" w14:textId="77777777" w:rsidR="0022522B" w:rsidRDefault="004B6BAC" w:rsidP="0022522B">
      <w:pPr>
        <w:pStyle w:val="NotesText"/>
      </w:pPr>
      <w:r w:rsidRPr="0022522B">
        <w:t>Note</w:t>
      </w:r>
      <w:r w:rsidRPr="00A1246A">
        <w:t>:</w:t>
      </w:r>
    </w:p>
    <w:p w14:paraId="39055B43" w14:textId="0C0439D0" w:rsidR="00E952AB" w:rsidRDefault="004B6BAC" w:rsidP="008C0C18">
      <w:pPr>
        <w:pStyle w:val="NotesText"/>
        <w:spacing w:before="240"/>
      </w:pPr>
      <w:r w:rsidRPr="00A1246A">
        <w:t>‘Variance’ refers to the variation in number between the current and previous reporting periods.</w:t>
      </w:r>
    </w:p>
    <w:p w14:paraId="756F6119" w14:textId="0959B5B9" w:rsidR="0054635B" w:rsidRDefault="0054635B" w:rsidP="0054635B">
      <w:pPr>
        <w:pStyle w:val="BodyText"/>
      </w:pPr>
      <w:r>
        <w:t xml:space="preserve">The number of executives in the Report of Operations is based on the number of executive positions that are occupied at the end of the financial year. </w:t>
      </w:r>
      <w:hyperlink w:anchor="Note93" w:history="1">
        <w:r w:rsidR="00B85F52" w:rsidRPr="00B85F52">
          <w:t>Note 9.3</w:t>
        </w:r>
      </w:hyperlink>
      <w:r>
        <w:t xml:space="preserve"> in the Financial Statements lists the actual number of executive officers and the total remuneration paid to executive officers over the course of the reporting period. </w:t>
      </w:r>
      <w:hyperlink w:anchor="Note93" w:history="1">
        <w:r w:rsidR="00B85F52" w:rsidRPr="00B85F52">
          <w:t>Note 9.3</w:t>
        </w:r>
      </w:hyperlink>
      <w:r>
        <w:t xml:space="preserve"> does not include the </w:t>
      </w:r>
      <w:r w:rsidR="009B1462">
        <w:t>Court Services Victoria</w:t>
      </w:r>
      <w:r>
        <w:t xml:space="preserve"> Chief Executive Officer (Accountable Officer), the Chief Executive Officer of the College, or the Director of the Commission, nor does it distinguish between executive levels or disclose separations. Separations are executives who have left </w:t>
      </w:r>
      <w:r w:rsidR="009B1462">
        <w:t>Court Services Victoria</w:t>
      </w:r>
      <w:r>
        <w:t xml:space="preserve"> during the relevant reporting period. To assist readers, these numbers are reconciled in </w:t>
      </w:r>
      <w:r w:rsidR="009B5ABB">
        <w:fldChar w:fldCharType="begin"/>
      </w:r>
      <w:r w:rsidR="009B5ABB">
        <w:instrText xml:space="preserve"> REF _Ref61956847 \h </w:instrText>
      </w:r>
      <w:r w:rsidR="009B5ABB">
        <w:fldChar w:fldCharType="separate"/>
      </w:r>
      <w:r w:rsidR="00D46E6D" w:rsidRPr="007A0D86">
        <w:t>Table</w:t>
      </w:r>
      <w:r w:rsidR="00D46E6D">
        <w:t xml:space="preserve"> </w:t>
      </w:r>
      <w:r w:rsidR="00D46E6D">
        <w:rPr>
          <w:noProof/>
        </w:rPr>
        <w:t>7</w:t>
      </w:r>
      <w:r w:rsidR="009B5ABB">
        <w:fldChar w:fldCharType="end"/>
      </w:r>
      <w:r>
        <w:t>.</w:t>
      </w:r>
    </w:p>
    <w:p w14:paraId="2B2231FD" w14:textId="5274D725" w:rsidR="004B6BAC" w:rsidRDefault="004B6BAC" w:rsidP="001D5E45">
      <w:pPr>
        <w:pStyle w:val="Caption"/>
      </w:pPr>
      <w:bookmarkStart w:id="118" w:name="_Ref61956847"/>
      <w:r w:rsidRPr="007A0D86">
        <w:t>Table</w:t>
      </w:r>
      <w:r w:rsidR="001D5E45">
        <w:t xml:space="preserv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7</w:t>
      </w:r>
      <w:r w:rsidR="00D42A70">
        <w:rPr>
          <w:noProof/>
        </w:rPr>
        <w:fldChar w:fldCharType="end"/>
      </w:r>
      <w:bookmarkEnd w:id="118"/>
      <w:r w:rsidRPr="007A0D86">
        <w:t xml:space="preserve">: Reconciliation </w:t>
      </w:r>
      <w:r w:rsidR="008C0C18">
        <w:t>of</w:t>
      </w:r>
      <w:r w:rsidRPr="007A0D86">
        <w:t xml:space="preserve"> Executive Numbers</w:t>
      </w:r>
    </w:p>
    <w:tbl>
      <w:tblPr>
        <w:tblStyle w:val="AccessibleTableNumerical"/>
        <w:tblW w:w="5000" w:type="pct"/>
        <w:tblLook w:val="06E0" w:firstRow="1" w:lastRow="1" w:firstColumn="1" w:lastColumn="0" w:noHBand="1" w:noVBand="1"/>
      </w:tblPr>
      <w:tblGrid>
        <w:gridCol w:w="6499"/>
        <w:gridCol w:w="1645"/>
        <w:gridCol w:w="1498"/>
      </w:tblGrid>
      <w:tr w:rsidR="008C0C18" w:rsidRPr="008C0C18" w14:paraId="0298C4CB" w14:textId="77777777" w:rsidTr="00EA2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0" w:type="pct"/>
          </w:tcPr>
          <w:p w14:paraId="0AD2B540" w14:textId="77777777" w:rsidR="008C0C18" w:rsidRPr="008C0C18" w:rsidRDefault="008C0C18" w:rsidP="008C0C18">
            <w:pPr>
              <w:pStyle w:val="TableText"/>
            </w:pPr>
            <w:bookmarkStart w:id="119" w:name="ColumnTitle_28"/>
            <w:r w:rsidRPr="008C0C18">
              <w:t>Item</w:t>
            </w:r>
          </w:p>
        </w:tc>
        <w:tc>
          <w:tcPr>
            <w:tcW w:w="853" w:type="pct"/>
            <w:vAlign w:val="bottom"/>
          </w:tcPr>
          <w:p w14:paraId="50800B20" w14:textId="61B76835" w:rsidR="008C0C18" w:rsidRPr="008C0C18" w:rsidRDefault="0054635B" w:rsidP="00EA2965">
            <w:pPr>
              <w:pStyle w:val="TableText"/>
              <w:cnfStyle w:val="100000000000" w:firstRow="1" w:lastRow="0" w:firstColumn="0" w:lastColumn="0" w:oddVBand="0" w:evenVBand="0" w:oddHBand="0" w:evenHBand="0" w:firstRowFirstColumn="0" w:firstRowLastColumn="0" w:lastRowFirstColumn="0" w:lastRowLastColumn="0"/>
            </w:pPr>
            <w:r>
              <w:t>2019</w:t>
            </w:r>
          </w:p>
        </w:tc>
        <w:tc>
          <w:tcPr>
            <w:tcW w:w="777" w:type="pct"/>
            <w:vAlign w:val="bottom"/>
          </w:tcPr>
          <w:p w14:paraId="5B37B147" w14:textId="02216843" w:rsidR="008C0C18" w:rsidRPr="008C0C18" w:rsidRDefault="0054635B" w:rsidP="00EA2965">
            <w:pPr>
              <w:pStyle w:val="TableText"/>
              <w:cnfStyle w:val="100000000000" w:firstRow="1" w:lastRow="0" w:firstColumn="0" w:lastColumn="0" w:oddVBand="0" w:evenVBand="0" w:oddHBand="0" w:evenHBand="0" w:firstRowFirstColumn="0" w:firstRowLastColumn="0" w:lastRowFirstColumn="0" w:lastRowLastColumn="0"/>
            </w:pPr>
            <w:r>
              <w:t>2020</w:t>
            </w:r>
          </w:p>
        </w:tc>
      </w:tr>
      <w:bookmarkEnd w:id="119"/>
      <w:tr w:rsidR="008C0C18" w:rsidRPr="008C0C18" w14:paraId="0C49C48D" w14:textId="77777777" w:rsidTr="00064640">
        <w:tc>
          <w:tcPr>
            <w:cnfStyle w:val="001000000000" w:firstRow="0" w:lastRow="0" w:firstColumn="1" w:lastColumn="0" w:oddVBand="0" w:evenVBand="0" w:oddHBand="0" w:evenHBand="0" w:firstRowFirstColumn="0" w:firstRowLastColumn="0" w:lastRowFirstColumn="0" w:lastRowLastColumn="0"/>
            <w:tcW w:w="3370" w:type="pct"/>
          </w:tcPr>
          <w:p w14:paraId="39C2449D" w14:textId="77777777" w:rsidR="008C0C18" w:rsidRPr="008C0C18" w:rsidRDefault="008C0C18" w:rsidP="008C0C18">
            <w:pPr>
              <w:pStyle w:val="TableText"/>
            </w:pPr>
            <w:r w:rsidRPr="008C0C18">
              <w:t>Executives (as listed in Financial Statement)</w:t>
            </w:r>
          </w:p>
        </w:tc>
        <w:tc>
          <w:tcPr>
            <w:tcW w:w="853" w:type="pct"/>
          </w:tcPr>
          <w:p w14:paraId="6CCEFC99" w14:textId="50F79B8B"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19</w:t>
            </w:r>
          </w:p>
        </w:tc>
        <w:tc>
          <w:tcPr>
            <w:tcW w:w="777" w:type="pct"/>
          </w:tcPr>
          <w:p w14:paraId="5BBD67F3" w14:textId="64DF0164"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22</w:t>
            </w:r>
          </w:p>
        </w:tc>
      </w:tr>
      <w:tr w:rsidR="008C0C18" w:rsidRPr="008C0C18" w14:paraId="7861F3B8" w14:textId="77777777" w:rsidTr="00064640">
        <w:tc>
          <w:tcPr>
            <w:cnfStyle w:val="001000000000" w:firstRow="0" w:lastRow="0" w:firstColumn="1" w:lastColumn="0" w:oddVBand="0" w:evenVBand="0" w:oddHBand="0" w:evenHBand="0" w:firstRowFirstColumn="0" w:firstRowLastColumn="0" w:lastRowFirstColumn="0" w:lastRowLastColumn="0"/>
            <w:tcW w:w="3370" w:type="pct"/>
          </w:tcPr>
          <w:p w14:paraId="0505FE96" w14:textId="77777777" w:rsidR="008C0C18" w:rsidRPr="008C0C18" w:rsidRDefault="008C0C18" w:rsidP="008C0C18">
            <w:pPr>
              <w:pStyle w:val="TableText"/>
            </w:pPr>
            <w:r w:rsidRPr="008C0C18">
              <w:t>Accountable Officer</w:t>
            </w:r>
          </w:p>
        </w:tc>
        <w:tc>
          <w:tcPr>
            <w:tcW w:w="853" w:type="pct"/>
          </w:tcPr>
          <w:p w14:paraId="52047E28" w14:textId="2E5DEC8D"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2</w:t>
            </w:r>
          </w:p>
        </w:tc>
        <w:tc>
          <w:tcPr>
            <w:tcW w:w="777" w:type="pct"/>
          </w:tcPr>
          <w:p w14:paraId="1168B12E" w14:textId="7F1A044B"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1</w:t>
            </w:r>
          </w:p>
        </w:tc>
      </w:tr>
      <w:tr w:rsidR="008C0C18" w:rsidRPr="008C0C18" w14:paraId="0F59F079" w14:textId="77777777" w:rsidTr="00064640">
        <w:tc>
          <w:tcPr>
            <w:cnfStyle w:val="001000000000" w:firstRow="0" w:lastRow="0" w:firstColumn="1" w:lastColumn="0" w:oddVBand="0" w:evenVBand="0" w:oddHBand="0" w:evenHBand="0" w:firstRowFirstColumn="0" w:firstRowLastColumn="0" w:lastRowFirstColumn="0" w:lastRowLastColumn="0"/>
            <w:tcW w:w="3370" w:type="pct"/>
          </w:tcPr>
          <w:p w14:paraId="60CFDB05" w14:textId="77777777" w:rsidR="008C0C18" w:rsidRPr="008C0C18" w:rsidRDefault="008C0C18" w:rsidP="008C0C18">
            <w:pPr>
              <w:pStyle w:val="TableText"/>
            </w:pPr>
            <w:r w:rsidRPr="008C0C18">
              <w:t>Less Separations</w:t>
            </w:r>
          </w:p>
        </w:tc>
        <w:tc>
          <w:tcPr>
            <w:tcW w:w="853" w:type="pct"/>
          </w:tcPr>
          <w:p w14:paraId="21122E5A" w14:textId="2422F7E9"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(6)</w:t>
            </w:r>
          </w:p>
        </w:tc>
        <w:tc>
          <w:tcPr>
            <w:tcW w:w="777" w:type="pct"/>
          </w:tcPr>
          <w:p w14:paraId="5188FCE0" w14:textId="0122A445" w:rsidR="008C0C18" w:rsidRPr="008C0C18" w:rsidRDefault="0054635B" w:rsidP="008C0C18">
            <w:pPr>
              <w:pStyle w:val="TableText"/>
              <w:cnfStyle w:val="000000000000" w:firstRow="0" w:lastRow="0" w:firstColumn="0" w:lastColumn="0" w:oddVBand="0" w:evenVBand="0" w:oddHBand="0" w:evenHBand="0" w:firstRowFirstColumn="0" w:firstRowLastColumn="0" w:lastRowFirstColumn="0" w:lastRowLastColumn="0"/>
            </w:pPr>
            <w:r>
              <w:t>(5)</w:t>
            </w:r>
          </w:p>
        </w:tc>
      </w:tr>
      <w:tr w:rsidR="008C0C18" w:rsidRPr="00C21B98" w14:paraId="31128C64" w14:textId="77777777" w:rsidTr="00064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pct"/>
          </w:tcPr>
          <w:p w14:paraId="086B164C" w14:textId="77777777" w:rsidR="008C0C18" w:rsidRPr="00C21B98" w:rsidRDefault="008C0C18" w:rsidP="008C0C18">
            <w:pPr>
              <w:pStyle w:val="TableText"/>
              <w:rPr>
                <w:rStyle w:val="Bold"/>
              </w:rPr>
            </w:pPr>
            <w:r w:rsidRPr="00C21B98">
              <w:rPr>
                <w:rStyle w:val="Bold"/>
              </w:rPr>
              <w:t xml:space="preserve">Total executive numbers </w:t>
            </w:r>
            <w:proofErr w:type="gramStart"/>
            <w:r w:rsidRPr="00C21B98">
              <w:rPr>
                <w:rStyle w:val="Bold"/>
              </w:rPr>
              <w:t>at</w:t>
            </w:r>
            <w:proofErr w:type="gramEnd"/>
            <w:r w:rsidRPr="00C21B98">
              <w:rPr>
                <w:rStyle w:val="Bold"/>
              </w:rPr>
              <w:t xml:space="preserve"> 30 June</w:t>
            </w:r>
          </w:p>
        </w:tc>
        <w:tc>
          <w:tcPr>
            <w:tcW w:w="853" w:type="pct"/>
          </w:tcPr>
          <w:p w14:paraId="0F4307E7" w14:textId="5435B995" w:rsidR="008C0C18" w:rsidRPr="00C21B98"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15</w:t>
            </w:r>
          </w:p>
        </w:tc>
        <w:tc>
          <w:tcPr>
            <w:tcW w:w="777" w:type="pct"/>
          </w:tcPr>
          <w:p w14:paraId="1992D56E" w14:textId="28EDB83A" w:rsidR="008C0C18" w:rsidRPr="00C21B98" w:rsidRDefault="0054635B" w:rsidP="008C0C18">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18</w:t>
            </w:r>
          </w:p>
        </w:tc>
      </w:tr>
    </w:tbl>
    <w:p w14:paraId="45757A22" w14:textId="77777777" w:rsidR="00E952AB" w:rsidRDefault="004B6BAC" w:rsidP="004B6BAC">
      <w:pPr>
        <w:pStyle w:val="NotesText"/>
      </w:pPr>
      <w:r w:rsidRPr="007A0D86">
        <w:t>Note:</w:t>
      </w:r>
    </w:p>
    <w:p w14:paraId="0C86FE27" w14:textId="4E745380" w:rsidR="0054635B" w:rsidRDefault="0054635B" w:rsidP="002C4179">
      <w:pPr>
        <w:pStyle w:val="NotesText"/>
        <w:keepNext w:val="0"/>
      </w:pPr>
      <w:r w:rsidRPr="0022522B">
        <w:t xml:space="preserve">The Chief Executive Officer of the College and the Director of the Commission are excluded from the above table. </w:t>
      </w:r>
      <w:r w:rsidR="0022522B">
        <w:br/>
      </w:r>
      <w:r w:rsidRPr="0022522B">
        <w:t>The</w:t>
      </w:r>
      <w:r>
        <w:t xml:space="preserve"> College and the Commission are separate reporting entities and produce their own annual reports.</w:t>
      </w:r>
    </w:p>
    <w:p w14:paraId="3B2B85C9" w14:textId="13E33BC9" w:rsidR="0054635B" w:rsidRDefault="0054635B" w:rsidP="002C4179">
      <w:pPr>
        <w:pStyle w:val="BodyText"/>
        <w:keepNext/>
      </w:pPr>
      <w:r>
        <w:t xml:space="preserve">The following table discloses the annualised total salary for senior employees of </w:t>
      </w:r>
      <w:r w:rsidR="009B1462">
        <w:t>Court Services Victoria</w:t>
      </w:r>
      <w:r>
        <w:t>, categorised by classification. The salary amount is reported as the full-time annualised salary.</w:t>
      </w:r>
    </w:p>
    <w:p w14:paraId="4391D6D9" w14:textId="3BEF888B" w:rsidR="004B6BAC" w:rsidRPr="007A0D86" w:rsidRDefault="004B6BAC" w:rsidP="001D5E45">
      <w:pPr>
        <w:pStyle w:val="Caption"/>
      </w:pPr>
      <w:r w:rsidRPr="007A0D86">
        <w:t>Ta</w:t>
      </w:r>
      <w:r w:rsidR="00C21B98">
        <w:t xml:space="preserve">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8</w:t>
      </w:r>
      <w:r w:rsidR="00D42A70">
        <w:rPr>
          <w:noProof/>
        </w:rPr>
        <w:fldChar w:fldCharType="end"/>
      </w:r>
      <w:r w:rsidR="00C21B98">
        <w:t>: Annualised Total Salary f</w:t>
      </w:r>
      <w:r w:rsidRPr="007A0D86">
        <w:t xml:space="preserve">or Executives </w:t>
      </w:r>
      <w:r w:rsidR="005F68BF">
        <w:t>and</w:t>
      </w:r>
      <w:r w:rsidRPr="007A0D86">
        <w:t xml:space="preserve"> Other Senior Employees</w:t>
      </w:r>
    </w:p>
    <w:tbl>
      <w:tblPr>
        <w:tblStyle w:val="AccessibleTableNumerical"/>
        <w:tblW w:w="5000" w:type="pct"/>
        <w:tblLook w:val="06E0" w:firstRow="1" w:lastRow="1" w:firstColumn="1" w:lastColumn="0" w:noHBand="1" w:noVBand="1"/>
      </w:tblPr>
      <w:tblGrid>
        <w:gridCol w:w="4016"/>
        <w:gridCol w:w="3055"/>
        <w:gridCol w:w="2571"/>
      </w:tblGrid>
      <w:tr w:rsidR="000945F9" w:rsidRPr="000945F9" w14:paraId="01963775" w14:textId="77777777" w:rsidTr="002252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3" w:type="pct"/>
          </w:tcPr>
          <w:p w14:paraId="2AB28D32" w14:textId="77777777" w:rsidR="000945F9" w:rsidRPr="000945F9" w:rsidRDefault="000945F9" w:rsidP="00E24B44">
            <w:pPr>
              <w:pStyle w:val="TableText"/>
              <w:keepNext/>
            </w:pPr>
            <w:bookmarkStart w:id="120" w:name="ColumnTitle_29"/>
            <w:r w:rsidRPr="000945F9">
              <w:t>Income Band</w:t>
            </w:r>
          </w:p>
        </w:tc>
        <w:tc>
          <w:tcPr>
            <w:tcW w:w="1584" w:type="pct"/>
            <w:vAlign w:val="bottom"/>
          </w:tcPr>
          <w:p w14:paraId="1EDF8D09" w14:textId="77777777" w:rsidR="000945F9" w:rsidRPr="000945F9" w:rsidRDefault="000945F9" w:rsidP="0022522B">
            <w:pPr>
              <w:pStyle w:val="TableText"/>
              <w:cnfStyle w:val="100000000000" w:firstRow="1" w:lastRow="0" w:firstColumn="0" w:lastColumn="0" w:oddVBand="0" w:evenVBand="0" w:oddHBand="0" w:evenHBand="0" w:firstRowFirstColumn="0" w:firstRowLastColumn="0" w:lastRowFirstColumn="0" w:lastRowLastColumn="0"/>
            </w:pPr>
            <w:r w:rsidRPr="000945F9">
              <w:t>Executives</w:t>
            </w:r>
          </w:p>
        </w:tc>
        <w:tc>
          <w:tcPr>
            <w:tcW w:w="1333" w:type="pct"/>
            <w:vAlign w:val="bottom"/>
          </w:tcPr>
          <w:p w14:paraId="01324BE5" w14:textId="46781BB4" w:rsidR="000945F9" w:rsidRPr="000945F9" w:rsidRDefault="00A10DBB" w:rsidP="0022522B">
            <w:pPr>
              <w:pStyle w:val="TableText"/>
              <w:cnfStyle w:val="100000000000" w:firstRow="1" w:lastRow="0" w:firstColumn="0" w:lastColumn="0" w:oddVBand="0" w:evenVBand="0" w:oddHBand="0" w:evenHBand="0" w:firstRowFirstColumn="0" w:firstRowLastColumn="0" w:lastRowFirstColumn="0" w:lastRowLastColumn="0"/>
            </w:pPr>
            <w:r>
              <w:t>Senior Technical Specialist</w:t>
            </w:r>
          </w:p>
        </w:tc>
      </w:tr>
      <w:bookmarkEnd w:id="120"/>
      <w:tr w:rsidR="000945F9" w:rsidRPr="000945F9" w14:paraId="177C8EE3"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7ADA3DDF" w14:textId="77777777" w:rsidR="000945F9" w:rsidRPr="000945F9" w:rsidRDefault="000945F9" w:rsidP="00E24B44">
            <w:pPr>
              <w:pStyle w:val="TableText"/>
              <w:keepNext/>
            </w:pPr>
            <w:r w:rsidRPr="000945F9">
              <w:t>&lt; $160,000</w:t>
            </w:r>
          </w:p>
        </w:tc>
        <w:tc>
          <w:tcPr>
            <w:tcW w:w="1584" w:type="pct"/>
          </w:tcPr>
          <w:p w14:paraId="21848C75" w14:textId="0627E189" w:rsidR="000945F9" w:rsidRPr="000945F9" w:rsidRDefault="0054635B" w:rsidP="00E24B44">
            <w:pPr>
              <w:pStyle w:val="TableText"/>
              <w:keepNext/>
              <w:cnfStyle w:val="000000000000" w:firstRow="0" w:lastRow="0" w:firstColumn="0" w:lastColumn="0" w:oddVBand="0" w:evenVBand="0" w:oddHBand="0" w:evenHBand="0" w:firstRowFirstColumn="0" w:firstRowLastColumn="0" w:lastRowFirstColumn="0" w:lastRowLastColumn="0"/>
            </w:pPr>
            <w:r>
              <w:t>1</w:t>
            </w:r>
          </w:p>
        </w:tc>
        <w:tc>
          <w:tcPr>
            <w:tcW w:w="1333" w:type="pct"/>
          </w:tcPr>
          <w:p w14:paraId="750D3A25" w14:textId="0CDE1D77" w:rsidR="000945F9" w:rsidRPr="000945F9" w:rsidRDefault="0054635B" w:rsidP="00E24B44">
            <w:pPr>
              <w:pStyle w:val="TableText"/>
              <w:keepNext/>
              <w:cnfStyle w:val="000000000000" w:firstRow="0" w:lastRow="0" w:firstColumn="0" w:lastColumn="0" w:oddVBand="0" w:evenVBand="0" w:oddHBand="0" w:evenHBand="0" w:firstRowFirstColumn="0" w:firstRowLastColumn="0" w:lastRowFirstColumn="0" w:lastRowLastColumn="0"/>
            </w:pPr>
            <w:r>
              <w:t>0</w:t>
            </w:r>
          </w:p>
        </w:tc>
      </w:tr>
      <w:tr w:rsidR="000945F9" w:rsidRPr="000945F9" w14:paraId="5C714A1E"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20824E3E" w14:textId="77777777" w:rsidR="000945F9" w:rsidRPr="000945F9" w:rsidRDefault="000945F9" w:rsidP="00E24B44">
            <w:pPr>
              <w:pStyle w:val="TableText"/>
              <w:keepNext/>
            </w:pPr>
            <w:r w:rsidRPr="000945F9">
              <w:t>$160,000–$179,999</w:t>
            </w:r>
          </w:p>
        </w:tc>
        <w:tc>
          <w:tcPr>
            <w:tcW w:w="1584" w:type="pct"/>
          </w:tcPr>
          <w:p w14:paraId="420067B5" w14:textId="3531CA74" w:rsidR="000945F9" w:rsidRPr="000945F9" w:rsidRDefault="0054635B" w:rsidP="00E24B44">
            <w:pPr>
              <w:pStyle w:val="TableText"/>
              <w:keepNext/>
              <w:cnfStyle w:val="000000000000" w:firstRow="0" w:lastRow="0" w:firstColumn="0" w:lastColumn="0" w:oddVBand="0" w:evenVBand="0" w:oddHBand="0" w:evenHBand="0" w:firstRowFirstColumn="0" w:firstRowLastColumn="0" w:lastRowFirstColumn="0" w:lastRowLastColumn="0"/>
            </w:pPr>
            <w:r>
              <w:t>2</w:t>
            </w:r>
          </w:p>
        </w:tc>
        <w:tc>
          <w:tcPr>
            <w:tcW w:w="1333" w:type="pct"/>
          </w:tcPr>
          <w:p w14:paraId="249753A9" w14:textId="2E09D948" w:rsidR="000945F9" w:rsidRPr="000945F9" w:rsidRDefault="0054635B" w:rsidP="00E24B44">
            <w:pPr>
              <w:pStyle w:val="TableText"/>
              <w:keepNext/>
              <w:cnfStyle w:val="000000000000" w:firstRow="0" w:lastRow="0" w:firstColumn="0" w:lastColumn="0" w:oddVBand="0" w:evenVBand="0" w:oddHBand="0" w:evenHBand="0" w:firstRowFirstColumn="0" w:firstRowLastColumn="0" w:lastRowFirstColumn="0" w:lastRowLastColumn="0"/>
            </w:pPr>
            <w:r>
              <w:t>5</w:t>
            </w:r>
          </w:p>
        </w:tc>
      </w:tr>
      <w:tr w:rsidR="000945F9" w:rsidRPr="000945F9" w14:paraId="786CB07B"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013544EF" w14:textId="77777777" w:rsidR="000945F9" w:rsidRPr="000945F9" w:rsidRDefault="000945F9" w:rsidP="000945F9">
            <w:pPr>
              <w:pStyle w:val="TableText"/>
            </w:pPr>
            <w:r w:rsidRPr="000945F9">
              <w:t>$180,000–$199,999</w:t>
            </w:r>
          </w:p>
        </w:tc>
        <w:tc>
          <w:tcPr>
            <w:tcW w:w="1584" w:type="pct"/>
          </w:tcPr>
          <w:p w14:paraId="73A224BE" w14:textId="4225F746"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7</w:t>
            </w:r>
          </w:p>
        </w:tc>
        <w:tc>
          <w:tcPr>
            <w:tcW w:w="1333" w:type="pct"/>
          </w:tcPr>
          <w:p w14:paraId="2E687567" w14:textId="2797AA68"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4</w:t>
            </w:r>
          </w:p>
        </w:tc>
      </w:tr>
      <w:tr w:rsidR="000945F9" w:rsidRPr="000945F9" w14:paraId="4434494C"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7CBB4422" w14:textId="77777777" w:rsidR="000945F9" w:rsidRPr="000945F9" w:rsidRDefault="000945F9" w:rsidP="000945F9">
            <w:pPr>
              <w:pStyle w:val="TableText"/>
            </w:pPr>
            <w:r w:rsidRPr="000945F9">
              <w:t>$200,000–$219,999</w:t>
            </w:r>
          </w:p>
        </w:tc>
        <w:tc>
          <w:tcPr>
            <w:tcW w:w="1584" w:type="pct"/>
          </w:tcPr>
          <w:p w14:paraId="3731CA75" w14:textId="0F8129D8"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1</w:t>
            </w:r>
          </w:p>
        </w:tc>
        <w:tc>
          <w:tcPr>
            <w:tcW w:w="1333" w:type="pct"/>
          </w:tcPr>
          <w:p w14:paraId="0C30B8F5" w14:textId="4C3FC282"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4</w:t>
            </w:r>
          </w:p>
        </w:tc>
      </w:tr>
      <w:tr w:rsidR="000945F9" w:rsidRPr="000945F9" w14:paraId="45CAA0B2"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24ECCE97" w14:textId="77777777" w:rsidR="000945F9" w:rsidRPr="000945F9" w:rsidRDefault="000945F9" w:rsidP="000945F9">
            <w:pPr>
              <w:pStyle w:val="TableText"/>
            </w:pPr>
            <w:r w:rsidRPr="000945F9">
              <w:t>$220,000–$239,999</w:t>
            </w:r>
          </w:p>
        </w:tc>
        <w:tc>
          <w:tcPr>
            <w:tcW w:w="1584" w:type="pct"/>
          </w:tcPr>
          <w:p w14:paraId="2BBE3280" w14:textId="001BCD50" w:rsidR="000945F9" w:rsidRPr="00A653A8" w:rsidRDefault="0054635B" w:rsidP="000945F9">
            <w:pPr>
              <w:pStyle w:val="TableText"/>
              <w:cnfStyle w:val="000000000000" w:firstRow="0" w:lastRow="0" w:firstColumn="0" w:lastColumn="0" w:oddVBand="0" w:evenVBand="0" w:oddHBand="0" w:evenHBand="0" w:firstRowFirstColumn="0" w:firstRowLastColumn="0" w:lastRowFirstColumn="0" w:lastRowLastColumn="0"/>
            </w:pPr>
            <w:r w:rsidRPr="00A653A8">
              <w:t>1</w:t>
            </w:r>
          </w:p>
        </w:tc>
        <w:tc>
          <w:tcPr>
            <w:tcW w:w="1333" w:type="pct"/>
          </w:tcPr>
          <w:p w14:paraId="3AA42274" w14:textId="2D82F810" w:rsidR="000945F9" w:rsidRPr="00A653A8" w:rsidRDefault="0054635B" w:rsidP="000945F9">
            <w:pPr>
              <w:pStyle w:val="TableText"/>
              <w:cnfStyle w:val="000000000000" w:firstRow="0" w:lastRow="0" w:firstColumn="0" w:lastColumn="0" w:oddVBand="0" w:evenVBand="0" w:oddHBand="0" w:evenHBand="0" w:firstRowFirstColumn="0" w:firstRowLastColumn="0" w:lastRowFirstColumn="0" w:lastRowLastColumn="0"/>
            </w:pPr>
            <w:r w:rsidRPr="00A653A8">
              <w:t>9</w:t>
            </w:r>
            <w:hyperlink w:anchor="Table8note3" w:history="1">
              <w:r w:rsidR="00AA73A6">
                <w:rPr>
                  <w:vertAlign w:val="superscript"/>
                </w:rPr>
                <w:t>(3)</w:t>
              </w:r>
            </w:hyperlink>
          </w:p>
        </w:tc>
      </w:tr>
      <w:tr w:rsidR="000945F9" w:rsidRPr="000945F9" w14:paraId="15C90B63"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09839D5E" w14:textId="77777777" w:rsidR="000945F9" w:rsidRPr="000945F9" w:rsidRDefault="000945F9" w:rsidP="000945F9">
            <w:pPr>
              <w:pStyle w:val="TableText"/>
            </w:pPr>
            <w:r w:rsidRPr="000945F9">
              <w:t>$240,000–$259,999</w:t>
            </w:r>
          </w:p>
        </w:tc>
        <w:tc>
          <w:tcPr>
            <w:tcW w:w="1584" w:type="pct"/>
          </w:tcPr>
          <w:p w14:paraId="1938C451" w14:textId="4FEE9C88" w:rsidR="000945F9" w:rsidRPr="00A653A8" w:rsidRDefault="0054635B" w:rsidP="000945F9">
            <w:pPr>
              <w:pStyle w:val="TableText"/>
              <w:cnfStyle w:val="000000000000" w:firstRow="0" w:lastRow="0" w:firstColumn="0" w:lastColumn="0" w:oddVBand="0" w:evenVBand="0" w:oddHBand="0" w:evenHBand="0" w:firstRowFirstColumn="0" w:firstRowLastColumn="0" w:lastRowFirstColumn="0" w:lastRowLastColumn="0"/>
            </w:pPr>
            <w:r w:rsidRPr="00A653A8">
              <w:t>2</w:t>
            </w:r>
            <w:hyperlink w:anchor="Table8note4" w:history="1">
              <w:r w:rsidR="00AA73A6">
                <w:rPr>
                  <w:vertAlign w:val="superscript"/>
                </w:rPr>
                <w:t>(4)</w:t>
              </w:r>
            </w:hyperlink>
          </w:p>
        </w:tc>
        <w:tc>
          <w:tcPr>
            <w:tcW w:w="1333" w:type="pct"/>
          </w:tcPr>
          <w:p w14:paraId="31D00E80" w14:textId="297282FE" w:rsidR="000945F9" w:rsidRPr="00A653A8" w:rsidRDefault="0054635B" w:rsidP="000945F9">
            <w:pPr>
              <w:pStyle w:val="TableText"/>
              <w:cnfStyle w:val="000000000000" w:firstRow="0" w:lastRow="0" w:firstColumn="0" w:lastColumn="0" w:oddVBand="0" w:evenVBand="0" w:oddHBand="0" w:evenHBand="0" w:firstRowFirstColumn="0" w:firstRowLastColumn="0" w:lastRowFirstColumn="0" w:lastRowLastColumn="0"/>
            </w:pPr>
            <w:r w:rsidRPr="00A653A8">
              <w:t>0</w:t>
            </w:r>
          </w:p>
        </w:tc>
      </w:tr>
      <w:tr w:rsidR="000945F9" w:rsidRPr="000945F9" w14:paraId="66263C5E"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5CC681FF" w14:textId="77777777" w:rsidR="000945F9" w:rsidRPr="000945F9" w:rsidRDefault="000945F9" w:rsidP="000945F9">
            <w:pPr>
              <w:pStyle w:val="TableText"/>
            </w:pPr>
            <w:r w:rsidRPr="000945F9">
              <w:t>$260,000–$279,999</w:t>
            </w:r>
          </w:p>
        </w:tc>
        <w:tc>
          <w:tcPr>
            <w:tcW w:w="1584" w:type="pct"/>
          </w:tcPr>
          <w:p w14:paraId="4675F3D8" w14:textId="1AFB0311"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0</w:t>
            </w:r>
          </w:p>
        </w:tc>
        <w:tc>
          <w:tcPr>
            <w:tcW w:w="1333" w:type="pct"/>
          </w:tcPr>
          <w:p w14:paraId="36188800" w14:textId="73CE4E60"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0</w:t>
            </w:r>
          </w:p>
        </w:tc>
      </w:tr>
      <w:tr w:rsidR="000945F9" w:rsidRPr="000945F9" w14:paraId="5490264A" w14:textId="77777777" w:rsidTr="00064640">
        <w:tc>
          <w:tcPr>
            <w:cnfStyle w:val="001000000000" w:firstRow="0" w:lastRow="0" w:firstColumn="1" w:lastColumn="0" w:oddVBand="0" w:evenVBand="0" w:oddHBand="0" w:evenHBand="0" w:firstRowFirstColumn="0" w:firstRowLastColumn="0" w:lastRowFirstColumn="0" w:lastRowLastColumn="0"/>
            <w:tcW w:w="2083" w:type="pct"/>
          </w:tcPr>
          <w:p w14:paraId="63E6D037" w14:textId="77777777" w:rsidR="000945F9" w:rsidRPr="000945F9" w:rsidRDefault="000945F9" w:rsidP="000945F9">
            <w:pPr>
              <w:pStyle w:val="TableText"/>
            </w:pPr>
            <w:r w:rsidRPr="000945F9">
              <w:t>$280,000–$499,999</w:t>
            </w:r>
          </w:p>
        </w:tc>
        <w:tc>
          <w:tcPr>
            <w:tcW w:w="1584" w:type="pct"/>
          </w:tcPr>
          <w:p w14:paraId="28CEC7AA" w14:textId="721833AA" w:rsidR="000945F9" w:rsidRPr="000945F9" w:rsidRDefault="0054635B" w:rsidP="000945F9">
            <w:pPr>
              <w:pStyle w:val="TableText"/>
              <w:cnfStyle w:val="000000000000" w:firstRow="0" w:lastRow="0" w:firstColumn="0" w:lastColumn="0" w:oddVBand="0" w:evenVBand="0" w:oddHBand="0" w:evenHBand="0" w:firstRowFirstColumn="0" w:firstRowLastColumn="0" w:lastRowFirstColumn="0" w:lastRowLastColumn="0"/>
            </w:pPr>
            <w:r>
              <w:t>3</w:t>
            </w:r>
          </w:p>
        </w:tc>
        <w:tc>
          <w:tcPr>
            <w:tcW w:w="1333" w:type="pct"/>
          </w:tcPr>
          <w:p w14:paraId="1FCE9E00" w14:textId="77777777" w:rsidR="000945F9" w:rsidRPr="000945F9" w:rsidRDefault="000945F9" w:rsidP="000945F9">
            <w:pPr>
              <w:pStyle w:val="TableText"/>
              <w:cnfStyle w:val="000000000000" w:firstRow="0" w:lastRow="0" w:firstColumn="0" w:lastColumn="0" w:oddVBand="0" w:evenVBand="0" w:oddHBand="0" w:evenHBand="0" w:firstRowFirstColumn="0" w:firstRowLastColumn="0" w:lastRowFirstColumn="0" w:lastRowLastColumn="0"/>
            </w:pPr>
            <w:r w:rsidRPr="000945F9">
              <w:t>0</w:t>
            </w:r>
          </w:p>
        </w:tc>
      </w:tr>
      <w:tr w:rsidR="000945F9" w:rsidRPr="00EA2965" w14:paraId="6DE90D65" w14:textId="77777777" w:rsidTr="00064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pct"/>
          </w:tcPr>
          <w:p w14:paraId="3919B8E1" w14:textId="77777777" w:rsidR="000945F9" w:rsidRPr="00EA2965" w:rsidRDefault="000945F9" w:rsidP="000945F9">
            <w:pPr>
              <w:pStyle w:val="TableText"/>
              <w:rPr>
                <w:rStyle w:val="Bold"/>
              </w:rPr>
            </w:pPr>
            <w:r w:rsidRPr="00EA2965">
              <w:rPr>
                <w:rStyle w:val="Bold"/>
              </w:rPr>
              <w:t>Total</w:t>
            </w:r>
          </w:p>
        </w:tc>
        <w:tc>
          <w:tcPr>
            <w:tcW w:w="1584" w:type="pct"/>
          </w:tcPr>
          <w:p w14:paraId="2AD65AF8" w14:textId="1CF97E6E" w:rsidR="000945F9" w:rsidRPr="00EA2965" w:rsidRDefault="0054635B" w:rsidP="000945F9">
            <w:pPr>
              <w:pStyle w:val="TableText"/>
              <w:cnfStyle w:val="010000000000" w:firstRow="0" w:lastRow="1" w:firstColumn="0" w:lastColumn="0" w:oddVBand="0" w:evenVBand="0" w:oddHBand="0" w:evenHBand="0" w:firstRowFirstColumn="0" w:firstRowLastColumn="0" w:lastRowFirstColumn="0" w:lastRowLastColumn="0"/>
              <w:rPr>
                <w:rStyle w:val="Bold"/>
              </w:rPr>
            </w:pPr>
            <w:r w:rsidRPr="00EA2965">
              <w:rPr>
                <w:rStyle w:val="Bold"/>
              </w:rPr>
              <w:t>17</w:t>
            </w:r>
          </w:p>
        </w:tc>
        <w:tc>
          <w:tcPr>
            <w:tcW w:w="1333" w:type="pct"/>
          </w:tcPr>
          <w:p w14:paraId="7C6C9DA7" w14:textId="034ECA2C" w:rsidR="000945F9" w:rsidRPr="00EA2965" w:rsidRDefault="0054635B" w:rsidP="000945F9">
            <w:pPr>
              <w:pStyle w:val="TableText"/>
              <w:cnfStyle w:val="010000000000" w:firstRow="0" w:lastRow="1" w:firstColumn="0" w:lastColumn="0" w:oddVBand="0" w:evenVBand="0" w:oddHBand="0" w:evenHBand="0" w:firstRowFirstColumn="0" w:firstRowLastColumn="0" w:lastRowFirstColumn="0" w:lastRowLastColumn="0"/>
              <w:rPr>
                <w:rStyle w:val="Bold"/>
              </w:rPr>
            </w:pPr>
            <w:r w:rsidRPr="00EA2965">
              <w:rPr>
                <w:rStyle w:val="Bold"/>
              </w:rPr>
              <w:t>22</w:t>
            </w:r>
          </w:p>
        </w:tc>
      </w:tr>
    </w:tbl>
    <w:p w14:paraId="0B924CBC" w14:textId="77777777" w:rsidR="00E952AB" w:rsidRPr="00A1246A" w:rsidRDefault="004B6BAC" w:rsidP="004B6BAC">
      <w:pPr>
        <w:pStyle w:val="NotesText"/>
      </w:pPr>
      <w:r w:rsidRPr="00A1246A">
        <w:t>Notes</w:t>
      </w:r>
    </w:p>
    <w:p w14:paraId="56C3C922" w14:textId="70A8C884" w:rsidR="0022522B" w:rsidRDefault="0022522B" w:rsidP="00F110E7">
      <w:pPr>
        <w:pStyle w:val="NotesNumberedList"/>
        <w:numPr>
          <w:ilvl w:val="0"/>
          <w:numId w:val="14"/>
        </w:numPr>
      </w:pPr>
      <w:bookmarkStart w:id="121" w:name="Table8note1"/>
      <w:bookmarkEnd w:id="121"/>
      <w:r>
        <w:t>The contracted remuneration of executives and payments to senior staff is the total salary amount, excluding superannuation (company and employee), and vehicle leasing arrangements as at the last full pay period in June of the reporting period.</w:t>
      </w:r>
    </w:p>
    <w:p w14:paraId="11EFD799" w14:textId="3CEBD31D" w:rsidR="0022522B" w:rsidRDefault="0022522B" w:rsidP="00F110E7">
      <w:pPr>
        <w:pStyle w:val="NotesNumberedList"/>
        <w:numPr>
          <w:ilvl w:val="0"/>
          <w:numId w:val="14"/>
        </w:numPr>
      </w:pPr>
      <w:bookmarkStart w:id="122" w:name="Table8note2"/>
      <w:bookmarkEnd w:id="122"/>
      <w:r>
        <w:t xml:space="preserve">This table does not include the </w:t>
      </w:r>
      <w:r w:rsidR="009B1462">
        <w:t>Court Services Victoria</w:t>
      </w:r>
      <w:r>
        <w:t xml:space="preserve"> Chief Executive Officer (Accountable Officer), the Chief Executive Officer of the College, or the Director of Commission as the College and the Commission are separate reporting entities.</w:t>
      </w:r>
    </w:p>
    <w:p w14:paraId="51AF1496" w14:textId="4F3CCF92" w:rsidR="0022522B" w:rsidRDefault="0022522B" w:rsidP="00F110E7">
      <w:pPr>
        <w:pStyle w:val="NotesNumberedList"/>
        <w:numPr>
          <w:ilvl w:val="0"/>
          <w:numId w:val="14"/>
        </w:numPr>
      </w:pPr>
      <w:bookmarkStart w:id="123" w:name="Table8note3"/>
      <w:bookmarkEnd w:id="123"/>
      <w:r>
        <w:t xml:space="preserve">There are seven employees employed on a part-time basis: 2 at 0.1 </w:t>
      </w:r>
      <w:r w:rsidR="00A10DBB">
        <w:t>Full-time Equivalent</w:t>
      </w:r>
      <w:r>
        <w:t xml:space="preserve"> rate, 4 at 0.2 </w:t>
      </w:r>
      <w:r w:rsidR="00A10DBB">
        <w:t>Full-time Equivalent</w:t>
      </w:r>
      <w:r>
        <w:t xml:space="preserve"> rate, and 1 at 0.8 </w:t>
      </w:r>
      <w:r w:rsidR="00A10DBB">
        <w:t>Full-time Equivalent</w:t>
      </w:r>
      <w:r>
        <w:t xml:space="preserve"> rate.</w:t>
      </w:r>
    </w:p>
    <w:p w14:paraId="30B42FDD" w14:textId="2C44338A" w:rsidR="0022522B" w:rsidRDefault="0022522B" w:rsidP="00F110E7">
      <w:pPr>
        <w:pStyle w:val="NotesNumberedList"/>
        <w:numPr>
          <w:ilvl w:val="0"/>
          <w:numId w:val="14"/>
        </w:numPr>
      </w:pPr>
      <w:bookmarkStart w:id="124" w:name="Table8note4"/>
      <w:bookmarkEnd w:id="124"/>
      <w:r>
        <w:t xml:space="preserve">There is one executive employed on a part-time basis at a 0.6 </w:t>
      </w:r>
      <w:r w:rsidR="00A10DBB">
        <w:t>Full-time Equivalent</w:t>
      </w:r>
      <w:r>
        <w:t xml:space="preserve"> rate.</w:t>
      </w:r>
    </w:p>
    <w:p w14:paraId="079B72C7" w14:textId="131A3689" w:rsidR="004B6BAC" w:rsidRPr="007A0D86" w:rsidRDefault="004B6BAC" w:rsidP="004B6BAC">
      <w:pPr>
        <w:pStyle w:val="Heading3"/>
      </w:pPr>
      <w:bookmarkStart w:id="125" w:name="_Ref22639980"/>
      <w:bookmarkStart w:id="126" w:name="_Toc62808087"/>
      <w:r w:rsidRPr="007A0D86">
        <w:t xml:space="preserve">Employment </w:t>
      </w:r>
      <w:r w:rsidR="005F68BF">
        <w:t>and</w:t>
      </w:r>
      <w:r w:rsidRPr="007A0D86">
        <w:t xml:space="preserve"> Conduct Principles</w:t>
      </w:r>
      <w:bookmarkEnd w:id="125"/>
      <w:bookmarkEnd w:id="126"/>
    </w:p>
    <w:p w14:paraId="3F84F136" w14:textId="5CAA330B" w:rsidR="002E6CA3" w:rsidRDefault="009B1462" w:rsidP="002E6CA3">
      <w:pPr>
        <w:pStyle w:val="BodyText"/>
      </w:pPr>
      <w:r>
        <w:t>Court Services Victoria</w:t>
      </w:r>
      <w:r w:rsidR="002E6CA3">
        <w:t xml:space="preserve"> continued to respect and uphold the Victorian Public Sector Employment Principles and Standards of fair and reasonable treatment, merit in employment, equal employment opportunity, upholding human rights, ensuring a reasonable avenue of redress, and fostering the development of a career public service.</w:t>
      </w:r>
    </w:p>
    <w:p w14:paraId="0E66C30E" w14:textId="0E48FDC3" w:rsidR="002E6CA3" w:rsidRDefault="009B1462" w:rsidP="002E6CA3">
      <w:pPr>
        <w:pStyle w:val="BodyText"/>
      </w:pPr>
      <w:r>
        <w:t>Court Services Victoria</w:t>
      </w:r>
      <w:r w:rsidR="002E6CA3">
        <w:t xml:space="preserve"> is committed to applying merit and equity principles when appointing staff. Selection processes ensure applicants are assessed without discrimination on the basis of the key selection criteria and key accountabilities. Training is provided to hiring managers and selection and recruitment processes are continuously improved to ensure fair and equitable processes. Employees have been correctly classified in workforce data collections.</w:t>
      </w:r>
    </w:p>
    <w:p w14:paraId="3EC40325" w14:textId="49C6A21D" w:rsidR="004B6BAC" w:rsidRPr="007A0D86" w:rsidRDefault="002E6CA3" w:rsidP="004B6BAC">
      <w:pPr>
        <w:pStyle w:val="Heading2"/>
      </w:pPr>
      <w:bookmarkStart w:id="127" w:name="_Ref22639988"/>
      <w:bookmarkStart w:id="128" w:name="_Toc62808088"/>
      <w:r>
        <w:t>Performance Against OH&amp;S Measures</w:t>
      </w:r>
      <w:bookmarkEnd w:id="127"/>
      <w:bookmarkEnd w:id="128"/>
    </w:p>
    <w:p w14:paraId="31DCF271" w14:textId="0D7F2C9B" w:rsidR="002E6CA3" w:rsidRDefault="002E6CA3" w:rsidP="002E6CA3">
      <w:pPr>
        <w:pStyle w:val="BodyText"/>
      </w:pPr>
      <w:r>
        <w:t xml:space="preserve">There were 18 standard WorkSafe claims lodged during 2019-20, compared with 17 claims for the previous financial year. The number of claims exceeding 13 weeks of paid compensation reduced from five to three during 2019-20, with </w:t>
      </w:r>
      <w:r w:rsidR="009B1462">
        <w:t>Court Services Victoria</w:t>
      </w:r>
      <w:r>
        <w:t xml:space="preserve"> being able to offer suitable and sustainable duties across all jurisdictions. There was a continued focus on supporting staff who lodge a claim.</w:t>
      </w:r>
    </w:p>
    <w:p w14:paraId="58016613" w14:textId="1AE42AE7" w:rsidR="002E6CA3" w:rsidRDefault="002E6CA3" w:rsidP="002E6CA3">
      <w:pPr>
        <w:pStyle w:val="BodyText"/>
      </w:pPr>
      <w:r>
        <w:t xml:space="preserve">During 2019-20, there was a total of 251 reported incidents compared to 164 in 2018-19. The number of incidents reported by </w:t>
      </w:r>
      <w:r w:rsidR="009B1462">
        <w:t>Court Services Victoria</w:t>
      </w:r>
      <w:r>
        <w:t xml:space="preserve"> staff was 183 and a further 68 incidents were lodged by court users. The increase in the number of reported incidents can in part be attributed to the Victorian bushfires and the coronavirus (COVID-19) pandemic, when staff were encouraged to report any incidents, including potential incidents and near misses, to inform a proactive approach to health, safety and risk management.</w:t>
      </w:r>
    </w:p>
    <w:p w14:paraId="2B51CCD0" w14:textId="6AF47345" w:rsidR="002E6CA3" w:rsidRDefault="002E6CA3" w:rsidP="002E6CA3">
      <w:pPr>
        <w:pStyle w:val="BodyText"/>
      </w:pPr>
      <w:r>
        <w:t xml:space="preserve">The increase in reporting of incidents generally demonstrates the increasing awareness of the importance of reporting hazards, near misses and incidents, including those related to the environment. </w:t>
      </w:r>
      <w:r w:rsidR="009B1462">
        <w:t>Court Services Victoria</w:t>
      </w:r>
      <w:r>
        <w:t xml:space="preserve"> will continue to promote the importance of reporting health and safety issues, risks and hazards to assist in minimising the risks to staff and court users. The raising and reporting of issues is an effective method of capturing data to identify future risks to enable a proactive approach to health and safety.</w:t>
      </w:r>
    </w:p>
    <w:p w14:paraId="61A2D21D" w14:textId="010EEFD1" w:rsidR="004B6BAC" w:rsidRPr="007A0D86" w:rsidRDefault="004B6BAC" w:rsidP="001D5E45">
      <w:pPr>
        <w:pStyle w:val="Caption"/>
      </w:pPr>
      <w:bookmarkStart w:id="129" w:name="_Ref22666193"/>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9</w:t>
      </w:r>
      <w:r w:rsidR="00D42A70">
        <w:rPr>
          <w:noProof/>
        </w:rPr>
        <w:fldChar w:fldCharType="end"/>
      </w:r>
      <w:bookmarkEnd w:id="129"/>
      <w:r w:rsidRPr="007A0D86">
        <w:t>: Performance Against OH&amp;S Measures</w:t>
      </w:r>
    </w:p>
    <w:tbl>
      <w:tblPr>
        <w:tblStyle w:val="AccessibleTableNumerical"/>
        <w:tblW w:w="5000" w:type="pct"/>
        <w:tblLook w:val="04A0" w:firstRow="1" w:lastRow="0" w:firstColumn="1" w:lastColumn="0" w:noHBand="0" w:noVBand="1"/>
      </w:tblPr>
      <w:tblGrid>
        <w:gridCol w:w="1389"/>
        <w:gridCol w:w="3601"/>
        <w:gridCol w:w="1550"/>
        <w:gridCol w:w="1552"/>
        <w:gridCol w:w="1550"/>
      </w:tblGrid>
      <w:tr w:rsidR="00ED3811" w:rsidRPr="00580DDC" w14:paraId="518C8EEA" w14:textId="77777777" w:rsidTr="00A60B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0" w:type="pct"/>
          </w:tcPr>
          <w:p w14:paraId="2D89A9E7" w14:textId="531C65EE" w:rsidR="00ED3811" w:rsidRPr="00580DDC" w:rsidRDefault="00ED3811" w:rsidP="00580DDC">
            <w:pPr>
              <w:pStyle w:val="TableText"/>
            </w:pPr>
            <w:bookmarkStart w:id="130" w:name="ColumnTitle_30"/>
            <w:r w:rsidRPr="00580DDC">
              <w:t>Measure</w:t>
            </w:r>
          </w:p>
        </w:tc>
        <w:tc>
          <w:tcPr>
            <w:tcW w:w="1867" w:type="pct"/>
            <w:vAlign w:val="bottom"/>
          </w:tcPr>
          <w:p w14:paraId="1547CD8D" w14:textId="7D5DACAD" w:rsidR="00ED3811" w:rsidRPr="00580DDC" w:rsidRDefault="00ED3811" w:rsidP="00A60B02">
            <w:pPr>
              <w:pStyle w:val="TableText"/>
              <w:jc w:val="left"/>
              <w:cnfStyle w:val="100000000000" w:firstRow="1" w:lastRow="0" w:firstColumn="0" w:lastColumn="0" w:oddVBand="0" w:evenVBand="0" w:oddHBand="0" w:evenHBand="0" w:firstRowFirstColumn="0" w:firstRowLastColumn="0" w:lastRowFirstColumn="0" w:lastRowLastColumn="0"/>
            </w:pPr>
            <w:r w:rsidRPr="00580DDC">
              <w:t>KPI</w:t>
            </w:r>
          </w:p>
        </w:tc>
        <w:tc>
          <w:tcPr>
            <w:tcW w:w="804" w:type="pct"/>
            <w:vAlign w:val="bottom"/>
          </w:tcPr>
          <w:p w14:paraId="7EA54A66" w14:textId="75BDE847" w:rsidR="00ED3811" w:rsidRPr="00580DDC" w:rsidRDefault="0019682B" w:rsidP="00A60B02">
            <w:pPr>
              <w:pStyle w:val="TableText"/>
              <w:cnfStyle w:val="100000000000" w:firstRow="1" w:lastRow="0" w:firstColumn="0" w:lastColumn="0" w:oddVBand="0" w:evenVBand="0" w:oddHBand="0" w:evenHBand="0" w:firstRowFirstColumn="0" w:firstRowLastColumn="0" w:lastRowFirstColumn="0" w:lastRowLastColumn="0"/>
            </w:pPr>
            <w:r>
              <w:t>2017-18</w:t>
            </w:r>
          </w:p>
        </w:tc>
        <w:tc>
          <w:tcPr>
            <w:tcW w:w="805" w:type="pct"/>
            <w:vAlign w:val="bottom"/>
          </w:tcPr>
          <w:p w14:paraId="26242364" w14:textId="621AAEDC" w:rsidR="00ED3811" w:rsidRPr="00580DDC" w:rsidRDefault="0019682B" w:rsidP="00A60B02">
            <w:pPr>
              <w:pStyle w:val="TableText"/>
              <w:cnfStyle w:val="100000000000" w:firstRow="1" w:lastRow="0" w:firstColumn="0" w:lastColumn="0" w:oddVBand="0" w:evenVBand="0" w:oddHBand="0" w:evenHBand="0" w:firstRowFirstColumn="0" w:firstRowLastColumn="0" w:lastRowFirstColumn="0" w:lastRowLastColumn="0"/>
            </w:pPr>
            <w:r>
              <w:t>2018-19</w:t>
            </w:r>
          </w:p>
        </w:tc>
        <w:tc>
          <w:tcPr>
            <w:tcW w:w="804" w:type="pct"/>
            <w:vAlign w:val="bottom"/>
          </w:tcPr>
          <w:p w14:paraId="536E8260" w14:textId="0D2586A0" w:rsidR="00ED3811" w:rsidRPr="00580DDC" w:rsidRDefault="0019682B" w:rsidP="00A60B02">
            <w:pPr>
              <w:pStyle w:val="TableText"/>
              <w:cnfStyle w:val="100000000000" w:firstRow="1" w:lastRow="0" w:firstColumn="0" w:lastColumn="0" w:oddVBand="0" w:evenVBand="0" w:oddHBand="0" w:evenHBand="0" w:firstRowFirstColumn="0" w:firstRowLastColumn="0" w:lastRowFirstColumn="0" w:lastRowLastColumn="0"/>
            </w:pPr>
            <w:r>
              <w:t>2019-20</w:t>
            </w:r>
          </w:p>
        </w:tc>
      </w:tr>
      <w:bookmarkEnd w:id="130"/>
      <w:tr w:rsidR="00ED3811" w:rsidRPr="00ED3811" w14:paraId="575EBD2F"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0F40C216" w14:textId="3655CD06" w:rsidR="00ED3811" w:rsidRPr="00ED3811" w:rsidRDefault="00ED3811" w:rsidP="00ED3811">
            <w:pPr>
              <w:pStyle w:val="TableText"/>
            </w:pPr>
            <w:r w:rsidRPr="00ED3811">
              <w:t>Incidents</w:t>
            </w:r>
          </w:p>
        </w:tc>
        <w:tc>
          <w:tcPr>
            <w:tcW w:w="1867" w:type="pct"/>
          </w:tcPr>
          <w:p w14:paraId="42627173" w14:textId="7556BCBD" w:rsidR="00ED3811" w:rsidRPr="00A1246A" w:rsidRDefault="00A1246A" w:rsidP="00580DDC">
            <w:pPr>
              <w:pStyle w:val="TableText"/>
              <w:jc w:val="left"/>
              <w:cnfStyle w:val="000000000000" w:firstRow="0" w:lastRow="0" w:firstColumn="0" w:lastColumn="0" w:oddVBand="0" w:evenVBand="0" w:oddHBand="0" w:evenHBand="0" w:firstRowFirstColumn="0" w:firstRowLastColumn="0" w:lastRowFirstColumn="0" w:lastRowLastColumn="0"/>
              <w:rPr>
                <w:vertAlign w:val="superscript"/>
              </w:rPr>
            </w:pPr>
            <w:r>
              <w:t>Number of incidents</w:t>
            </w:r>
            <w:hyperlink w:anchor="Table9note1" w:history="1">
              <w:r w:rsidR="00E33E0D" w:rsidRPr="00E33E0D">
                <w:rPr>
                  <w:vertAlign w:val="superscript"/>
                </w:rPr>
                <w:t>(1)</w:t>
              </w:r>
            </w:hyperlink>
          </w:p>
        </w:tc>
        <w:tc>
          <w:tcPr>
            <w:tcW w:w="804" w:type="pct"/>
          </w:tcPr>
          <w:p w14:paraId="55A7301A" w14:textId="05DC3FF9" w:rsidR="00ED3811" w:rsidRPr="00ED3811" w:rsidRDefault="0019682B" w:rsidP="00ED3811">
            <w:pPr>
              <w:pStyle w:val="TableText"/>
              <w:cnfStyle w:val="000000000000" w:firstRow="0" w:lastRow="0" w:firstColumn="0" w:lastColumn="0" w:oddVBand="0" w:evenVBand="0" w:oddHBand="0" w:evenHBand="0" w:firstRowFirstColumn="0" w:firstRowLastColumn="0" w:lastRowFirstColumn="0" w:lastRowLastColumn="0"/>
            </w:pPr>
            <w:r>
              <w:t>159</w:t>
            </w:r>
          </w:p>
        </w:tc>
        <w:tc>
          <w:tcPr>
            <w:tcW w:w="805" w:type="pct"/>
          </w:tcPr>
          <w:p w14:paraId="09ED41CC" w14:textId="6A4642E9" w:rsidR="00ED3811" w:rsidRPr="00ED3811" w:rsidRDefault="0019682B" w:rsidP="00ED3811">
            <w:pPr>
              <w:pStyle w:val="TableText"/>
              <w:cnfStyle w:val="000000000000" w:firstRow="0" w:lastRow="0" w:firstColumn="0" w:lastColumn="0" w:oddVBand="0" w:evenVBand="0" w:oddHBand="0" w:evenHBand="0" w:firstRowFirstColumn="0" w:firstRowLastColumn="0" w:lastRowFirstColumn="0" w:lastRowLastColumn="0"/>
            </w:pPr>
            <w:r>
              <w:t>164</w:t>
            </w:r>
          </w:p>
        </w:tc>
        <w:tc>
          <w:tcPr>
            <w:tcW w:w="804" w:type="pct"/>
          </w:tcPr>
          <w:p w14:paraId="6E01D53F" w14:textId="5BCB2D33" w:rsidR="00ED3811" w:rsidRPr="00ED3811" w:rsidRDefault="0019682B" w:rsidP="00ED3811">
            <w:pPr>
              <w:pStyle w:val="TableText"/>
              <w:cnfStyle w:val="000000000000" w:firstRow="0" w:lastRow="0" w:firstColumn="0" w:lastColumn="0" w:oddVBand="0" w:evenVBand="0" w:oddHBand="0" w:evenHBand="0" w:firstRowFirstColumn="0" w:firstRowLastColumn="0" w:lastRowFirstColumn="0" w:lastRowLastColumn="0"/>
            </w:pPr>
            <w:r>
              <w:t>251</w:t>
            </w:r>
          </w:p>
        </w:tc>
      </w:tr>
      <w:tr w:rsidR="00ED3811" w:rsidRPr="00E33E0D" w14:paraId="1039C315"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03643B4B" w14:textId="43B7AB23" w:rsidR="00ED3811" w:rsidRPr="00E33E0D" w:rsidRDefault="00ED3811" w:rsidP="00ED3811">
            <w:pPr>
              <w:pStyle w:val="TableText"/>
            </w:pPr>
            <w:r w:rsidRPr="00E33E0D">
              <w:t>Incidents</w:t>
            </w:r>
          </w:p>
        </w:tc>
        <w:tc>
          <w:tcPr>
            <w:tcW w:w="1867" w:type="pct"/>
          </w:tcPr>
          <w:p w14:paraId="37435CF3" w14:textId="16869030"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Rate per 100 </w:t>
            </w:r>
            <w:r w:rsidR="00A10DBB">
              <w:t>Full-time Equivalent</w:t>
            </w:r>
            <w:hyperlink w:anchor="Table9note2" w:history="1">
              <w:r w:rsidR="00E33E0D" w:rsidRPr="00E33E0D">
                <w:rPr>
                  <w:vertAlign w:val="superscript"/>
                </w:rPr>
                <w:t>(2)</w:t>
              </w:r>
            </w:hyperlink>
          </w:p>
        </w:tc>
        <w:tc>
          <w:tcPr>
            <w:tcW w:w="804" w:type="pct"/>
          </w:tcPr>
          <w:p w14:paraId="2E51B2AA" w14:textId="2BA18DE5"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7.2</w:t>
            </w:r>
          </w:p>
        </w:tc>
        <w:tc>
          <w:tcPr>
            <w:tcW w:w="805" w:type="pct"/>
          </w:tcPr>
          <w:p w14:paraId="0F3FFC2D" w14:textId="3034BF0C"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6.7</w:t>
            </w:r>
          </w:p>
        </w:tc>
        <w:tc>
          <w:tcPr>
            <w:tcW w:w="804" w:type="pct"/>
          </w:tcPr>
          <w:p w14:paraId="24BA0AB7" w14:textId="04F6F79C"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6.4</w:t>
            </w:r>
          </w:p>
        </w:tc>
      </w:tr>
      <w:tr w:rsidR="00ED3811" w:rsidRPr="00E33E0D" w14:paraId="706F3E84"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658E4B7C" w14:textId="782D3228" w:rsidR="00ED3811" w:rsidRPr="00E33E0D" w:rsidRDefault="00ED3811" w:rsidP="00ED3811">
            <w:pPr>
              <w:pStyle w:val="TableText"/>
            </w:pPr>
            <w:r w:rsidRPr="00E33E0D">
              <w:t>Incidents</w:t>
            </w:r>
          </w:p>
        </w:tc>
        <w:tc>
          <w:tcPr>
            <w:tcW w:w="1867" w:type="pct"/>
          </w:tcPr>
          <w:p w14:paraId="1EF2D35A" w14:textId="55E73CDB"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Number of incidents requiring first aid a</w:t>
            </w:r>
            <w:r w:rsidR="00A1246A" w:rsidRPr="00E33E0D">
              <w:t>nd/or further medical treatment</w:t>
            </w:r>
          </w:p>
        </w:tc>
        <w:tc>
          <w:tcPr>
            <w:tcW w:w="804" w:type="pct"/>
          </w:tcPr>
          <w:p w14:paraId="64A2EE79" w14:textId="686C058C"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96</w:t>
            </w:r>
          </w:p>
        </w:tc>
        <w:tc>
          <w:tcPr>
            <w:tcW w:w="805" w:type="pct"/>
          </w:tcPr>
          <w:p w14:paraId="59A37C6F" w14:textId="583D1D9A"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87</w:t>
            </w:r>
          </w:p>
        </w:tc>
        <w:tc>
          <w:tcPr>
            <w:tcW w:w="804" w:type="pct"/>
          </w:tcPr>
          <w:p w14:paraId="6FE99E6A" w14:textId="4D4F2771"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119</w:t>
            </w:r>
          </w:p>
        </w:tc>
      </w:tr>
      <w:tr w:rsidR="00ED3811" w:rsidRPr="00E33E0D" w14:paraId="26BA3008"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11CCBF02" w14:textId="21C8EEBB" w:rsidR="00ED3811" w:rsidRPr="00E33E0D" w:rsidRDefault="00A1246A" w:rsidP="00ED3811">
            <w:pPr>
              <w:pStyle w:val="TableText"/>
            </w:pPr>
            <w:r w:rsidRPr="00E33E0D">
              <w:t>Claims</w:t>
            </w:r>
            <w:hyperlink w:anchor="Table9note3" w:history="1">
              <w:r w:rsidR="00E33E0D" w:rsidRPr="00E33E0D">
                <w:rPr>
                  <w:vertAlign w:val="superscript"/>
                </w:rPr>
                <w:t>(3)</w:t>
              </w:r>
            </w:hyperlink>
          </w:p>
        </w:tc>
        <w:tc>
          <w:tcPr>
            <w:tcW w:w="1867" w:type="pct"/>
          </w:tcPr>
          <w:p w14:paraId="76C85AA8" w14:textId="77777777"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Number of standard claims</w:t>
            </w:r>
          </w:p>
        </w:tc>
        <w:tc>
          <w:tcPr>
            <w:tcW w:w="804" w:type="pct"/>
          </w:tcPr>
          <w:p w14:paraId="7F4AE24D" w14:textId="0EAB306E"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16</w:t>
            </w:r>
          </w:p>
        </w:tc>
        <w:tc>
          <w:tcPr>
            <w:tcW w:w="805" w:type="pct"/>
          </w:tcPr>
          <w:p w14:paraId="76D8AD2A" w14:textId="1C4AFD4B"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17</w:t>
            </w:r>
          </w:p>
        </w:tc>
        <w:tc>
          <w:tcPr>
            <w:tcW w:w="804" w:type="pct"/>
          </w:tcPr>
          <w:p w14:paraId="71781493" w14:textId="581D5E84"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18</w:t>
            </w:r>
          </w:p>
        </w:tc>
      </w:tr>
      <w:tr w:rsidR="00E33E0D" w:rsidRPr="00E33E0D" w14:paraId="778B6485"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4FD17AA6" w14:textId="15B9B2B7" w:rsidR="00E33E0D" w:rsidRPr="00E33E0D" w:rsidRDefault="00E33E0D" w:rsidP="00E33E0D">
            <w:pPr>
              <w:pStyle w:val="TableText"/>
            </w:pPr>
            <w:r w:rsidRPr="00FC21E6">
              <w:t>Claims</w:t>
            </w:r>
            <w:hyperlink w:anchor="Table9note3" w:history="1">
              <w:r w:rsidRPr="00FC21E6">
                <w:rPr>
                  <w:vertAlign w:val="superscript"/>
                </w:rPr>
                <w:t>(3)</w:t>
              </w:r>
            </w:hyperlink>
          </w:p>
        </w:tc>
        <w:tc>
          <w:tcPr>
            <w:tcW w:w="1867" w:type="pct"/>
          </w:tcPr>
          <w:p w14:paraId="325B00AE" w14:textId="5D0AC8BF" w:rsidR="00E33E0D" w:rsidRPr="00E33E0D" w:rsidRDefault="00E33E0D" w:rsidP="00E33E0D">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Rate per 100 </w:t>
            </w:r>
            <w:r w:rsidR="00A10DBB">
              <w:t>Full-time Equivalent</w:t>
            </w:r>
          </w:p>
        </w:tc>
        <w:tc>
          <w:tcPr>
            <w:tcW w:w="804" w:type="pct"/>
          </w:tcPr>
          <w:p w14:paraId="6835ECE6" w14:textId="6A5416EA"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0.7204</w:t>
            </w:r>
          </w:p>
        </w:tc>
        <w:tc>
          <w:tcPr>
            <w:tcW w:w="805" w:type="pct"/>
          </w:tcPr>
          <w:p w14:paraId="77CE1DA6" w14:textId="7B207E38"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0.69901</w:t>
            </w:r>
          </w:p>
        </w:tc>
        <w:tc>
          <w:tcPr>
            <w:tcW w:w="804" w:type="pct"/>
          </w:tcPr>
          <w:p w14:paraId="3954714D" w14:textId="5EF2265E"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0.68702</w:t>
            </w:r>
          </w:p>
        </w:tc>
      </w:tr>
      <w:tr w:rsidR="00E33E0D" w:rsidRPr="00E33E0D" w14:paraId="3420A1F7"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399C4272" w14:textId="1009DAAB" w:rsidR="00E33E0D" w:rsidRPr="00E33E0D" w:rsidRDefault="00E33E0D" w:rsidP="00E33E0D">
            <w:pPr>
              <w:pStyle w:val="TableText"/>
            </w:pPr>
            <w:r w:rsidRPr="00FC21E6">
              <w:t>Claims</w:t>
            </w:r>
            <w:hyperlink w:anchor="Table9note3" w:history="1">
              <w:r w:rsidRPr="00FC21E6">
                <w:rPr>
                  <w:vertAlign w:val="superscript"/>
                </w:rPr>
                <w:t>(3)</w:t>
              </w:r>
            </w:hyperlink>
          </w:p>
        </w:tc>
        <w:tc>
          <w:tcPr>
            <w:tcW w:w="1867" w:type="pct"/>
          </w:tcPr>
          <w:p w14:paraId="3AADDA45" w14:textId="77777777" w:rsidR="00E33E0D" w:rsidRPr="00E33E0D" w:rsidRDefault="00E33E0D" w:rsidP="00E33E0D">
            <w:pPr>
              <w:pStyle w:val="TableText"/>
              <w:jc w:val="left"/>
              <w:cnfStyle w:val="000000000000" w:firstRow="0" w:lastRow="0" w:firstColumn="0" w:lastColumn="0" w:oddVBand="0" w:evenVBand="0" w:oddHBand="0" w:evenHBand="0" w:firstRowFirstColumn="0" w:firstRowLastColumn="0" w:lastRowFirstColumn="0" w:lastRowLastColumn="0"/>
            </w:pPr>
            <w:r w:rsidRPr="00E33E0D">
              <w:t>Number of lost time claims</w:t>
            </w:r>
          </w:p>
        </w:tc>
        <w:tc>
          <w:tcPr>
            <w:tcW w:w="804" w:type="pct"/>
          </w:tcPr>
          <w:p w14:paraId="3A9B4E27" w14:textId="1F220A67"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6</w:t>
            </w:r>
          </w:p>
        </w:tc>
        <w:tc>
          <w:tcPr>
            <w:tcW w:w="805" w:type="pct"/>
          </w:tcPr>
          <w:p w14:paraId="7311F3C6" w14:textId="2F49806B"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6</w:t>
            </w:r>
          </w:p>
        </w:tc>
        <w:tc>
          <w:tcPr>
            <w:tcW w:w="804" w:type="pct"/>
          </w:tcPr>
          <w:p w14:paraId="12C1E952" w14:textId="0727BFA2" w:rsidR="00E33E0D" w:rsidRPr="00E33E0D" w:rsidRDefault="00A60B02" w:rsidP="00E33E0D">
            <w:pPr>
              <w:pStyle w:val="TableText"/>
              <w:cnfStyle w:val="000000000000" w:firstRow="0" w:lastRow="0" w:firstColumn="0" w:lastColumn="0" w:oddVBand="0" w:evenVBand="0" w:oddHBand="0" w:evenHBand="0" w:firstRowFirstColumn="0" w:firstRowLastColumn="0" w:lastRowFirstColumn="0" w:lastRowLastColumn="0"/>
            </w:pPr>
            <w:r>
              <w:t>8</w:t>
            </w:r>
          </w:p>
        </w:tc>
      </w:tr>
      <w:tr w:rsidR="00E33E0D" w:rsidRPr="00E33E0D" w14:paraId="57DB2045"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62F25CE4" w14:textId="651690D6" w:rsidR="00E33E0D" w:rsidRPr="00E33E0D" w:rsidRDefault="00E33E0D" w:rsidP="00E33E0D">
            <w:pPr>
              <w:pStyle w:val="TableText"/>
            </w:pPr>
            <w:r w:rsidRPr="00FC21E6">
              <w:t>Claims</w:t>
            </w:r>
            <w:hyperlink w:anchor="Table9note3" w:history="1">
              <w:r w:rsidRPr="00FC21E6">
                <w:rPr>
                  <w:vertAlign w:val="superscript"/>
                </w:rPr>
                <w:t>(3)</w:t>
              </w:r>
            </w:hyperlink>
          </w:p>
        </w:tc>
        <w:tc>
          <w:tcPr>
            <w:tcW w:w="1867" w:type="pct"/>
          </w:tcPr>
          <w:p w14:paraId="06E280B5" w14:textId="604C10ED" w:rsidR="00E33E0D" w:rsidRPr="00E33E0D" w:rsidRDefault="00E33E0D" w:rsidP="00E33E0D">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Rate per 100 </w:t>
            </w:r>
            <w:r w:rsidR="00A10DBB">
              <w:t>Full-time Equivalent</w:t>
            </w:r>
          </w:p>
        </w:tc>
        <w:tc>
          <w:tcPr>
            <w:tcW w:w="804" w:type="pct"/>
          </w:tcPr>
          <w:p w14:paraId="3A70461E" w14:textId="3F6875CF"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0.27015</w:t>
            </w:r>
          </w:p>
        </w:tc>
        <w:tc>
          <w:tcPr>
            <w:tcW w:w="805" w:type="pct"/>
          </w:tcPr>
          <w:p w14:paraId="003EC6BE" w14:textId="2AA27FEB"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0.24671</w:t>
            </w:r>
          </w:p>
        </w:tc>
        <w:tc>
          <w:tcPr>
            <w:tcW w:w="804" w:type="pct"/>
          </w:tcPr>
          <w:p w14:paraId="035B1256" w14:textId="2A445C31"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0.30534</w:t>
            </w:r>
          </w:p>
        </w:tc>
      </w:tr>
      <w:tr w:rsidR="00E33E0D" w:rsidRPr="00E33E0D" w14:paraId="29EF9902"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0C71D3AB" w14:textId="2DBF3CDB" w:rsidR="00E33E0D" w:rsidRPr="00E33E0D" w:rsidRDefault="00E33E0D" w:rsidP="00E33E0D">
            <w:pPr>
              <w:pStyle w:val="TableText"/>
            </w:pPr>
            <w:r w:rsidRPr="00FC21E6">
              <w:t>Claims</w:t>
            </w:r>
            <w:hyperlink w:anchor="Table9note3" w:history="1">
              <w:r w:rsidRPr="00FC21E6">
                <w:rPr>
                  <w:vertAlign w:val="superscript"/>
                </w:rPr>
                <w:t>(3)</w:t>
              </w:r>
            </w:hyperlink>
          </w:p>
        </w:tc>
        <w:tc>
          <w:tcPr>
            <w:tcW w:w="1867" w:type="pct"/>
          </w:tcPr>
          <w:p w14:paraId="05D1F73B" w14:textId="3A63EE4E" w:rsidR="00E33E0D" w:rsidRPr="00E33E0D" w:rsidRDefault="00E33E0D" w:rsidP="00E33E0D">
            <w:pPr>
              <w:pStyle w:val="TableText"/>
              <w:jc w:val="left"/>
              <w:cnfStyle w:val="000000000000" w:firstRow="0" w:lastRow="0" w:firstColumn="0" w:lastColumn="0" w:oddVBand="0" w:evenVBand="0" w:oddHBand="0" w:evenHBand="0" w:firstRowFirstColumn="0" w:firstRowLastColumn="0" w:lastRowFirstColumn="0" w:lastRowLastColumn="0"/>
            </w:pPr>
            <w:r w:rsidRPr="00E33E0D">
              <w:t>Number of claims exceeding 13 weeks</w:t>
            </w:r>
          </w:p>
        </w:tc>
        <w:tc>
          <w:tcPr>
            <w:tcW w:w="804" w:type="pct"/>
          </w:tcPr>
          <w:p w14:paraId="63063712" w14:textId="381ADF23"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1</w:t>
            </w:r>
          </w:p>
        </w:tc>
        <w:tc>
          <w:tcPr>
            <w:tcW w:w="805" w:type="pct"/>
          </w:tcPr>
          <w:p w14:paraId="007BA6ED" w14:textId="62AB0328"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5</w:t>
            </w:r>
          </w:p>
        </w:tc>
        <w:tc>
          <w:tcPr>
            <w:tcW w:w="804" w:type="pct"/>
          </w:tcPr>
          <w:p w14:paraId="22BF8F77" w14:textId="356E4AF1"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3</w:t>
            </w:r>
          </w:p>
        </w:tc>
      </w:tr>
      <w:tr w:rsidR="00E33E0D" w:rsidRPr="00E33E0D" w14:paraId="7E1E9F59"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67CD995C" w14:textId="1C8E729B" w:rsidR="00E33E0D" w:rsidRPr="00E33E0D" w:rsidRDefault="00E33E0D" w:rsidP="00E33E0D">
            <w:pPr>
              <w:pStyle w:val="TableText"/>
            </w:pPr>
            <w:r w:rsidRPr="00FC21E6">
              <w:t>Claims</w:t>
            </w:r>
            <w:hyperlink w:anchor="Table9note3" w:history="1">
              <w:r w:rsidRPr="00FC21E6">
                <w:rPr>
                  <w:vertAlign w:val="superscript"/>
                </w:rPr>
                <w:t>(3)</w:t>
              </w:r>
            </w:hyperlink>
          </w:p>
        </w:tc>
        <w:tc>
          <w:tcPr>
            <w:tcW w:w="1867" w:type="pct"/>
          </w:tcPr>
          <w:p w14:paraId="55814662" w14:textId="5DAEB223" w:rsidR="00E33E0D" w:rsidRPr="00E33E0D" w:rsidRDefault="00E33E0D" w:rsidP="00E33E0D">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Rate per 100 </w:t>
            </w:r>
            <w:r w:rsidR="00A10DBB">
              <w:t>Full-time Equivalent</w:t>
            </w:r>
          </w:p>
        </w:tc>
        <w:tc>
          <w:tcPr>
            <w:tcW w:w="804" w:type="pct"/>
          </w:tcPr>
          <w:p w14:paraId="5B760B98" w14:textId="7CC9FFD4"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0.04502</w:t>
            </w:r>
          </w:p>
        </w:tc>
        <w:tc>
          <w:tcPr>
            <w:tcW w:w="805" w:type="pct"/>
          </w:tcPr>
          <w:p w14:paraId="5AA7B8EF" w14:textId="7777C782"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0.20559</w:t>
            </w:r>
          </w:p>
        </w:tc>
        <w:tc>
          <w:tcPr>
            <w:tcW w:w="804" w:type="pct"/>
          </w:tcPr>
          <w:p w14:paraId="6F6E862F" w14:textId="7F5E8313" w:rsidR="00E33E0D" w:rsidRPr="00E33E0D" w:rsidRDefault="00E33E0D" w:rsidP="00E33E0D">
            <w:pPr>
              <w:pStyle w:val="TableText"/>
              <w:cnfStyle w:val="000000000000" w:firstRow="0" w:lastRow="0" w:firstColumn="0" w:lastColumn="0" w:oddVBand="0" w:evenVBand="0" w:oddHBand="0" w:evenHBand="0" w:firstRowFirstColumn="0" w:firstRowLastColumn="0" w:lastRowFirstColumn="0" w:lastRowLastColumn="0"/>
            </w:pPr>
            <w:r w:rsidRPr="00E33E0D">
              <w:t>0.1145</w:t>
            </w:r>
          </w:p>
        </w:tc>
      </w:tr>
      <w:tr w:rsidR="00ED3811" w:rsidRPr="00E33E0D" w14:paraId="41878537"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77D41749" w14:textId="2E40B582" w:rsidR="00ED3811" w:rsidRPr="00E33E0D" w:rsidRDefault="00ED3811" w:rsidP="00ED3811">
            <w:pPr>
              <w:pStyle w:val="TableText"/>
            </w:pPr>
            <w:r w:rsidRPr="00E33E0D">
              <w:t>Fatalities</w:t>
            </w:r>
            <w:hyperlink w:anchor="Table9note3" w:history="1">
              <w:r w:rsidR="0099282F" w:rsidRPr="00E33E0D">
                <w:rPr>
                  <w:vertAlign w:val="superscript"/>
                </w:rPr>
                <w:t>(3)</w:t>
              </w:r>
            </w:hyperlink>
          </w:p>
        </w:tc>
        <w:tc>
          <w:tcPr>
            <w:tcW w:w="1867" w:type="pct"/>
          </w:tcPr>
          <w:p w14:paraId="1E8E3266" w14:textId="680D1941"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Fatality claim</w:t>
            </w:r>
            <w:r w:rsidR="00A1246A" w:rsidRPr="00E33E0D">
              <w:t>s</w:t>
            </w:r>
          </w:p>
        </w:tc>
        <w:tc>
          <w:tcPr>
            <w:tcW w:w="804" w:type="pct"/>
          </w:tcPr>
          <w:p w14:paraId="503035AA" w14:textId="503F1EC2"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w:t>
            </w:r>
          </w:p>
        </w:tc>
        <w:tc>
          <w:tcPr>
            <w:tcW w:w="805" w:type="pct"/>
          </w:tcPr>
          <w:p w14:paraId="6487A6F4" w14:textId="2F0D5F3A"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0</w:t>
            </w:r>
          </w:p>
        </w:tc>
        <w:tc>
          <w:tcPr>
            <w:tcW w:w="804" w:type="pct"/>
          </w:tcPr>
          <w:p w14:paraId="431CC392" w14:textId="56AE4EFA"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0</w:t>
            </w:r>
          </w:p>
        </w:tc>
      </w:tr>
      <w:tr w:rsidR="00ED3811" w:rsidRPr="00E33E0D" w14:paraId="0DC93D1E"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070E6C45" w14:textId="03800463" w:rsidR="00ED3811" w:rsidRPr="00E33E0D" w:rsidRDefault="00ED3811" w:rsidP="00ED3811">
            <w:pPr>
              <w:pStyle w:val="TableText"/>
            </w:pPr>
            <w:r w:rsidRPr="00E33E0D">
              <w:t>Claims costs</w:t>
            </w:r>
            <w:hyperlink w:anchor="Table9note3" w:history="1">
              <w:r w:rsidR="0099282F" w:rsidRPr="00E33E0D">
                <w:rPr>
                  <w:vertAlign w:val="superscript"/>
                </w:rPr>
                <w:t>(3)</w:t>
              </w:r>
            </w:hyperlink>
          </w:p>
        </w:tc>
        <w:tc>
          <w:tcPr>
            <w:tcW w:w="1867" w:type="pct"/>
          </w:tcPr>
          <w:p w14:paraId="4F5C4C03" w14:textId="06154DFF" w:rsidR="00ED3811" w:rsidRPr="00E33E0D" w:rsidRDefault="00A1246A"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Average cost per standard claim</w:t>
            </w:r>
            <w:hyperlink w:anchor="Table9note4" w:history="1">
              <w:r w:rsidR="0099282F" w:rsidRPr="0099282F">
                <w:rPr>
                  <w:vertAlign w:val="superscript"/>
                </w:rPr>
                <w:t>(4)</w:t>
              </w:r>
            </w:hyperlink>
          </w:p>
        </w:tc>
        <w:tc>
          <w:tcPr>
            <w:tcW w:w="804" w:type="pct"/>
          </w:tcPr>
          <w:p w14:paraId="22DCEABB" w14:textId="3211F04B"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$115,217</w:t>
            </w:r>
          </w:p>
        </w:tc>
        <w:tc>
          <w:tcPr>
            <w:tcW w:w="805" w:type="pct"/>
          </w:tcPr>
          <w:p w14:paraId="1025C108" w14:textId="2C5EABD1"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$92,654</w:t>
            </w:r>
          </w:p>
        </w:tc>
        <w:tc>
          <w:tcPr>
            <w:tcW w:w="804" w:type="pct"/>
          </w:tcPr>
          <w:p w14:paraId="136B131F" w14:textId="68D62638"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$66,415</w:t>
            </w:r>
          </w:p>
        </w:tc>
      </w:tr>
      <w:tr w:rsidR="00ED3811" w:rsidRPr="00E33E0D" w14:paraId="74372CB3"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7C3A6BDB" w14:textId="77777777" w:rsidR="00ED3811" w:rsidRPr="00E33E0D" w:rsidRDefault="00ED3811" w:rsidP="00ED3811">
            <w:pPr>
              <w:pStyle w:val="TableText"/>
            </w:pPr>
            <w:r w:rsidRPr="00E33E0D">
              <w:t>Return to work</w:t>
            </w:r>
          </w:p>
        </w:tc>
        <w:tc>
          <w:tcPr>
            <w:tcW w:w="1867" w:type="pct"/>
          </w:tcPr>
          <w:p w14:paraId="6848A718" w14:textId="32E3C5FC"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Percentage claims with RTW plan </w:t>
            </w:r>
            <w:r w:rsidRPr="00E33E0D">
              <w:br/>
              <w:t>&gt;30 days</w:t>
            </w:r>
          </w:p>
        </w:tc>
        <w:tc>
          <w:tcPr>
            <w:tcW w:w="804" w:type="pct"/>
          </w:tcPr>
          <w:p w14:paraId="463F2B58"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100%</w:t>
            </w:r>
          </w:p>
        </w:tc>
        <w:tc>
          <w:tcPr>
            <w:tcW w:w="805" w:type="pct"/>
          </w:tcPr>
          <w:p w14:paraId="006EB0D4"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100%</w:t>
            </w:r>
          </w:p>
        </w:tc>
        <w:tc>
          <w:tcPr>
            <w:tcW w:w="804" w:type="pct"/>
          </w:tcPr>
          <w:p w14:paraId="31827109"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100%</w:t>
            </w:r>
          </w:p>
        </w:tc>
      </w:tr>
      <w:tr w:rsidR="00ED3811" w:rsidRPr="00E33E0D" w14:paraId="41EFBCB0"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30EAA970" w14:textId="0F383AC0" w:rsidR="00ED3811" w:rsidRPr="00E33E0D" w:rsidRDefault="00ED3811" w:rsidP="00ED3811">
            <w:pPr>
              <w:pStyle w:val="TableText"/>
            </w:pPr>
            <w:r w:rsidRPr="00E33E0D">
              <w:t>Management commitment</w:t>
            </w:r>
          </w:p>
        </w:tc>
        <w:tc>
          <w:tcPr>
            <w:tcW w:w="1867" w:type="pct"/>
          </w:tcPr>
          <w:p w14:paraId="357305A7" w14:textId="60EDA18D"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 xml:space="preserve">Evidence of OH&amp;S policy statement, OH&amp;S objectives, regular reporting to senior management of OH&amp;S, and OH&amp;S plans (signed by </w:t>
            </w:r>
            <w:r w:rsidR="00E57EEE" w:rsidRPr="00E33E0D">
              <w:t>Chief Executive Officer</w:t>
            </w:r>
            <w:r w:rsidRPr="00E33E0D">
              <w:t xml:space="preserve"> or</w:t>
            </w:r>
            <w:r w:rsidR="00D45E5B" w:rsidRPr="00E33E0D">
              <w:t xml:space="preserve"> </w:t>
            </w:r>
            <w:r w:rsidRPr="00E33E0D">
              <w:t>equivalent)</w:t>
            </w:r>
          </w:p>
        </w:tc>
        <w:tc>
          <w:tcPr>
            <w:tcW w:w="804" w:type="pct"/>
          </w:tcPr>
          <w:p w14:paraId="18ACBAF3"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5" w:type="pct"/>
          </w:tcPr>
          <w:p w14:paraId="358CC99B"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4" w:type="pct"/>
          </w:tcPr>
          <w:p w14:paraId="751F042A"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r>
      <w:tr w:rsidR="00ED3811" w:rsidRPr="00E33E0D" w14:paraId="2EE75ADE"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2526887A" w14:textId="5B8A3375" w:rsidR="00ED3811" w:rsidRPr="00E33E0D" w:rsidRDefault="00ED3811" w:rsidP="00ED3811">
            <w:pPr>
              <w:pStyle w:val="TableText"/>
            </w:pPr>
            <w:r w:rsidRPr="00E33E0D">
              <w:t>Management commitment</w:t>
            </w:r>
          </w:p>
        </w:tc>
        <w:tc>
          <w:tcPr>
            <w:tcW w:w="1867" w:type="pct"/>
          </w:tcPr>
          <w:p w14:paraId="524E704F" w14:textId="77777777"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Evidence of OH&amp;S criteria(s) in purchasing guidelines (including goods, services and personnel)</w:t>
            </w:r>
          </w:p>
        </w:tc>
        <w:tc>
          <w:tcPr>
            <w:tcW w:w="804" w:type="pct"/>
          </w:tcPr>
          <w:p w14:paraId="26376530"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5" w:type="pct"/>
          </w:tcPr>
          <w:p w14:paraId="363197CA"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4" w:type="pct"/>
          </w:tcPr>
          <w:p w14:paraId="2798E073"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r>
      <w:tr w:rsidR="00ED3811" w:rsidRPr="00E33E0D" w14:paraId="105C6FD2"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1A15E0F7" w14:textId="5FE50477" w:rsidR="00ED3811" w:rsidRPr="00E33E0D" w:rsidRDefault="00ED3811" w:rsidP="00ED3811">
            <w:pPr>
              <w:pStyle w:val="TableText"/>
            </w:pPr>
            <w:r w:rsidRPr="00E33E0D">
              <w:t>Consultation and participation</w:t>
            </w:r>
          </w:p>
        </w:tc>
        <w:tc>
          <w:tcPr>
            <w:tcW w:w="1867" w:type="pct"/>
          </w:tcPr>
          <w:p w14:paraId="54641F4C" w14:textId="77777777"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Evidence of agreed structure of designated workgroups (DWGs), health and safety representatives (HSRs), and issue resolution procedures (IRPs)</w:t>
            </w:r>
          </w:p>
        </w:tc>
        <w:tc>
          <w:tcPr>
            <w:tcW w:w="804" w:type="pct"/>
          </w:tcPr>
          <w:p w14:paraId="20118FF6"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5" w:type="pct"/>
          </w:tcPr>
          <w:p w14:paraId="5CCC92AD"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4" w:type="pct"/>
          </w:tcPr>
          <w:p w14:paraId="2F23ED89"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r>
      <w:tr w:rsidR="00ED3811" w:rsidRPr="00E33E0D" w14:paraId="2FDC8B1C"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453A96F7" w14:textId="538572C4" w:rsidR="00ED3811" w:rsidRPr="00E33E0D" w:rsidRDefault="00ED3811" w:rsidP="00ED3811">
            <w:pPr>
              <w:pStyle w:val="TableText"/>
            </w:pPr>
            <w:r w:rsidRPr="00E33E0D">
              <w:t>Consultation and participation</w:t>
            </w:r>
          </w:p>
        </w:tc>
        <w:tc>
          <w:tcPr>
            <w:tcW w:w="1867" w:type="pct"/>
          </w:tcPr>
          <w:p w14:paraId="73BE6D1A" w14:textId="352CFA5E"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Compliance with agreed structure on</w:t>
            </w:r>
            <w:r w:rsidR="00D45E5B" w:rsidRPr="00E33E0D">
              <w:t xml:space="preserve"> </w:t>
            </w:r>
            <w:r w:rsidR="00A60B02">
              <w:t>DWGs, HSRs and IRPs</w:t>
            </w:r>
          </w:p>
        </w:tc>
        <w:tc>
          <w:tcPr>
            <w:tcW w:w="804" w:type="pct"/>
          </w:tcPr>
          <w:p w14:paraId="6B6C6372"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5" w:type="pct"/>
          </w:tcPr>
          <w:p w14:paraId="383006EC"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c>
          <w:tcPr>
            <w:tcW w:w="804" w:type="pct"/>
          </w:tcPr>
          <w:p w14:paraId="258664FA" w14:textId="77777777" w:rsidR="00ED3811" w:rsidRPr="00E33E0D" w:rsidRDefault="00ED3811" w:rsidP="00ED3811">
            <w:pPr>
              <w:pStyle w:val="TableText"/>
              <w:cnfStyle w:val="000000000000" w:firstRow="0" w:lastRow="0" w:firstColumn="0" w:lastColumn="0" w:oddVBand="0" w:evenVBand="0" w:oddHBand="0" w:evenHBand="0" w:firstRowFirstColumn="0" w:firstRowLastColumn="0" w:lastRowFirstColumn="0" w:lastRowLastColumn="0"/>
            </w:pPr>
            <w:r w:rsidRPr="00E33E0D">
              <w:t>Completed</w:t>
            </w:r>
          </w:p>
        </w:tc>
      </w:tr>
      <w:tr w:rsidR="00ED3811" w:rsidRPr="00ED3811" w14:paraId="7141F6CC" w14:textId="77777777" w:rsidTr="005123D2">
        <w:tc>
          <w:tcPr>
            <w:cnfStyle w:val="001000000000" w:firstRow="0" w:lastRow="0" w:firstColumn="1" w:lastColumn="0" w:oddVBand="0" w:evenVBand="0" w:oddHBand="0" w:evenHBand="0" w:firstRowFirstColumn="0" w:firstRowLastColumn="0" w:lastRowFirstColumn="0" w:lastRowLastColumn="0"/>
            <w:tcW w:w="720" w:type="pct"/>
          </w:tcPr>
          <w:p w14:paraId="47787F7E" w14:textId="4C59F427" w:rsidR="00ED3811" w:rsidRPr="00E33E0D" w:rsidRDefault="00ED3811" w:rsidP="00ED3811">
            <w:pPr>
              <w:pStyle w:val="TableText"/>
            </w:pPr>
            <w:r w:rsidRPr="00E33E0D">
              <w:t>Risk Management</w:t>
            </w:r>
          </w:p>
        </w:tc>
        <w:tc>
          <w:tcPr>
            <w:tcW w:w="1867" w:type="pct"/>
          </w:tcPr>
          <w:p w14:paraId="74BFD1A6" w14:textId="27852382" w:rsidR="00ED3811" w:rsidRPr="00E33E0D" w:rsidRDefault="00ED3811" w:rsidP="00580DDC">
            <w:pPr>
              <w:pStyle w:val="TableText"/>
              <w:jc w:val="left"/>
              <w:cnfStyle w:val="000000000000" w:firstRow="0" w:lastRow="0" w:firstColumn="0" w:lastColumn="0" w:oddVBand="0" w:evenVBand="0" w:oddHBand="0" w:evenHBand="0" w:firstRowFirstColumn="0" w:firstRowLastColumn="0" w:lastRowFirstColumn="0" w:lastRowLastColumn="0"/>
            </w:pPr>
            <w:r w:rsidRPr="00E33E0D">
              <w:t>Number of Improvement Notices issued a</w:t>
            </w:r>
            <w:r w:rsidR="00A1246A" w:rsidRPr="00E33E0D">
              <w:t xml:space="preserve">cross </w:t>
            </w:r>
            <w:r w:rsidR="009B1462">
              <w:t>Court Services Victoria</w:t>
            </w:r>
            <w:r w:rsidR="00E57EEE" w:rsidRPr="00E33E0D">
              <w:t xml:space="preserve"> </w:t>
            </w:r>
            <w:r w:rsidR="00A1246A" w:rsidRPr="00E33E0D">
              <w:t>by WorkSafe Inspector</w:t>
            </w:r>
          </w:p>
        </w:tc>
        <w:tc>
          <w:tcPr>
            <w:tcW w:w="804" w:type="pct"/>
          </w:tcPr>
          <w:p w14:paraId="7DDAB514" w14:textId="22101BE3"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1</w:t>
            </w:r>
          </w:p>
        </w:tc>
        <w:tc>
          <w:tcPr>
            <w:tcW w:w="805" w:type="pct"/>
          </w:tcPr>
          <w:p w14:paraId="4A61B022" w14:textId="36400B2D" w:rsidR="00ED3811" w:rsidRPr="00E33E0D"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6</w:t>
            </w:r>
          </w:p>
        </w:tc>
        <w:tc>
          <w:tcPr>
            <w:tcW w:w="804" w:type="pct"/>
          </w:tcPr>
          <w:p w14:paraId="20AEE989" w14:textId="6BCE64C7" w:rsidR="00ED3811" w:rsidRPr="00ED3811" w:rsidRDefault="0019682B" w:rsidP="00ED3811">
            <w:pPr>
              <w:pStyle w:val="TableText"/>
              <w:cnfStyle w:val="000000000000" w:firstRow="0" w:lastRow="0" w:firstColumn="0" w:lastColumn="0" w:oddVBand="0" w:evenVBand="0" w:oddHBand="0" w:evenHBand="0" w:firstRowFirstColumn="0" w:firstRowLastColumn="0" w:lastRowFirstColumn="0" w:lastRowLastColumn="0"/>
            </w:pPr>
            <w:r w:rsidRPr="00E33E0D">
              <w:t>2</w:t>
            </w:r>
          </w:p>
        </w:tc>
      </w:tr>
    </w:tbl>
    <w:p w14:paraId="22FE5BDD" w14:textId="77777777" w:rsidR="004B6BAC" w:rsidRPr="00A1246A" w:rsidRDefault="004B6BAC" w:rsidP="005123D2">
      <w:pPr>
        <w:pStyle w:val="NotesText"/>
      </w:pPr>
      <w:r w:rsidRPr="00A1246A">
        <w:t>Notes:</w:t>
      </w:r>
    </w:p>
    <w:p w14:paraId="781B86E9" w14:textId="03BF03F7" w:rsidR="00E33E0D" w:rsidRDefault="00E33E0D" w:rsidP="00F110E7">
      <w:pPr>
        <w:pStyle w:val="NotesNumberedList"/>
        <w:numPr>
          <w:ilvl w:val="0"/>
          <w:numId w:val="15"/>
        </w:numPr>
      </w:pPr>
      <w:bookmarkStart w:id="131" w:name="Table9note1"/>
      <w:bookmarkStart w:id="132" w:name="Note1Table9"/>
      <w:bookmarkEnd w:id="131"/>
      <w:r>
        <w:t>Includes staff and court users.</w:t>
      </w:r>
    </w:p>
    <w:p w14:paraId="53138E0E" w14:textId="76CCE843" w:rsidR="00E33E0D" w:rsidRDefault="00A10DBB" w:rsidP="00F110E7">
      <w:pPr>
        <w:pStyle w:val="NotesNumberedList"/>
        <w:numPr>
          <w:ilvl w:val="0"/>
          <w:numId w:val="15"/>
        </w:numPr>
      </w:pPr>
      <w:bookmarkStart w:id="133" w:name="Table9note2"/>
      <w:bookmarkEnd w:id="133"/>
      <w:r>
        <w:t>Full-time Equivalent</w:t>
      </w:r>
      <w:r w:rsidR="00E33E0D">
        <w:t xml:space="preserve"> is based on number of staff incidents only.</w:t>
      </w:r>
    </w:p>
    <w:p w14:paraId="303DA134" w14:textId="77053C67" w:rsidR="00E33E0D" w:rsidRDefault="00E33E0D" w:rsidP="00F110E7">
      <w:pPr>
        <w:pStyle w:val="NotesNumberedList"/>
        <w:numPr>
          <w:ilvl w:val="0"/>
          <w:numId w:val="15"/>
        </w:numPr>
      </w:pPr>
      <w:bookmarkStart w:id="134" w:name="Table9note3"/>
      <w:bookmarkEnd w:id="134"/>
      <w:r>
        <w:t>WorkSafe Victoria data for 2019-20 was received on 8 September 2020.</w:t>
      </w:r>
    </w:p>
    <w:p w14:paraId="2C2D179F" w14:textId="5B4F3C3C" w:rsidR="00E33E0D" w:rsidRDefault="00E33E0D" w:rsidP="00F110E7">
      <w:pPr>
        <w:pStyle w:val="NotesNumberedList"/>
        <w:numPr>
          <w:ilvl w:val="0"/>
          <w:numId w:val="15"/>
        </w:numPr>
      </w:pPr>
      <w:bookmarkStart w:id="135" w:name="Table9note4"/>
      <w:bookmarkEnd w:id="135"/>
      <w:r>
        <w:t>The average claim costs reported each financial year is subject to change as costs vary over time to incorporate payments made to date and estimated future payments.</w:t>
      </w:r>
    </w:p>
    <w:p w14:paraId="1109D675" w14:textId="1BB0E5C7" w:rsidR="0019682B" w:rsidRDefault="0019682B" w:rsidP="0019682B">
      <w:pPr>
        <w:pStyle w:val="Heading3"/>
      </w:pPr>
      <w:bookmarkStart w:id="136" w:name="_Ref61895587"/>
      <w:bookmarkStart w:id="137" w:name="_Toc62808089"/>
      <w:bookmarkEnd w:id="132"/>
      <w:r w:rsidRPr="0019682B">
        <w:t>Regular Internal Audits</w:t>
      </w:r>
      <w:r>
        <w:t xml:space="preserve"> </w:t>
      </w:r>
      <w:r w:rsidRPr="0019682B">
        <w:t xml:space="preserve">Conducted </w:t>
      </w:r>
      <w:r>
        <w:t>a</w:t>
      </w:r>
      <w:r w:rsidRPr="0019682B">
        <w:t>nd Issues</w:t>
      </w:r>
      <w:r>
        <w:t xml:space="preserve"> </w:t>
      </w:r>
      <w:r w:rsidRPr="0019682B">
        <w:t xml:space="preserve">Identified </w:t>
      </w:r>
      <w:r>
        <w:t>a</w:t>
      </w:r>
      <w:r w:rsidRPr="0019682B">
        <w:t xml:space="preserve">nd Actioned </w:t>
      </w:r>
      <w:r>
        <w:br/>
        <w:t>during 2019-20</w:t>
      </w:r>
      <w:bookmarkEnd w:id="136"/>
      <w:bookmarkEnd w:id="137"/>
    </w:p>
    <w:p w14:paraId="55109D3E" w14:textId="2E1A0466" w:rsidR="0019682B" w:rsidRDefault="009B1462" w:rsidP="0019682B">
      <w:pPr>
        <w:pStyle w:val="ListBullet"/>
      </w:pPr>
      <w:r>
        <w:t>Court Services Victoria</w:t>
      </w:r>
      <w:r w:rsidR="0019682B">
        <w:t xml:space="preserve"> and the jurisdictions continued to monitor and undertake workplace inspections to identify physical, psychological and environmental risks, and implement changes to address risks.</w:t>
      </w:r>
    </w:p>
    <w:p w14:paraId="3AA5802E" w14:textId="0761A370" w:rsidR="0019682B" w:rsidRDefault="0019682B" w:rsidP="0019682B">
      <w:pPr>
        <w:pStyle w:val="ListBullet"/>
      </w:pPr>
      <w:r>
        <w:t>All Provisional Improvement Notices and WorkSafe notices were 100% actioned during 2019-20.</w:t>
      </w:r>
    </w:p>
    <w:p w14:paraId="092F77C3" w14:textId="693126AA" w:rsidR="0019682B" w:rsidRDefault="0019682B" w:rsidP="00A636B5">
      <w:pPr>
        <w:pStyle w:val="ListBullet"/>
      </w:pPr>
      <w:r>
        <w:t>Extensive coronavirus (COVID-19) risk assessments and audits were conducted during the second half of the financial year to ensure safety for those essential staff who were permitted to attend workplaces, and to prepare for a return of staff working remotely when restrictions are lifted.</w:t>
      </w:r>
    </w:p>
    <w:p w14:paraId="558B236C" w14:textId="50EC425C" w:rsidR="0019682B" w:rsidRDefault="0019682B" w:rsidP="00A636B5">
      <w:pPr>
        <w:pStyle w:val="ListBullet"/>
      </w:pPr>
      <w:r>
        <w:t>Risks when working from home were continually monitored and staff consulted on control measures and supports to minimise risks and improve health and wellbeing.</w:t>
      </w:r>
    </w:p>
    <w:p w14:paraId="10F9E27A" w14:textId="30937736" w:rsidR="0019682B" w:rsidRDefault="00B555AF" w:rsidP="00B555AF">
      <w:pPr>
        <w:pStyle w:val="Heading3"/>
      </w:pPr>
      <w:bookmarkStart w:id="138" w:name="_Toc62808090"/>
      <w:r>
        <w:t xml:space="preserve">Managers, Health and Safety Representatives and Other Staff Trained </w:t>
      </w:r>
      <w:r>
        <w:br/>
        <w:t>during 2019-20</w:t>
      </w:r>
      <w:bookmarkEnd w:id="138"/>
    </w:p>
    <w:p w14:paraId="2612BE1E" w14:textId="00FAAD3A" w:rsidR="0019682B" w:rsidRDefault="009B1462" w:rsidP="00A636B5">
      <w:pPr>
        <w:pStyle w:val="ListBullet"/>
      </w:pPr>
      <w:r>
        <w:t>Court Services Victoria</w:t>
      </w:r>
      <w:r w:rsidR="0019682B">
        <w:t xml:space="preserve"> managers and staff are encouraged to undertake professional development opportunities including those relating to health, safety and wellbeing.</w:t>
      </w:r>
    </w:p>
    <w:p w14:paraId="1277A2A9" w14:textId="6E2205F4" w:rsidR="0019682B" w:rsidRDefault="0019682B" w:rsidP="00A636B5">
      <w:pPr>
        <w:pStyle w:val="ListBullet"/>
      </w:pPr>
      <w:r>
        <w:t>Health and Safety Representatives were encouraged to undertake the initial five-day training and refresher training to better equipment them to undertake their roles.</w:t>
      </w:r>
    </w:p>
    <w:p w14:paraId="2B0DC152" w14:textId="53FE88FA" w:rsidR="0019682B" w:rsidRDefault="0019682B" w:rsidP="00A636B5">
      <w:pPr>
        <w:pStyle w:val="ListBullet"/>
      </w:pPr>
      <w:r>
        <w:t>A range of mental health and wellbeing programs were developed to support managers and assist staff working remotely as a result of the coronavirus (COVID-19) pandemic. This included sessions on leading in anxious times for managers; taking care of mental health and wellbeing for both managers and staff; and mindfulness.</w:t>
      </w:r>
    </w:p>
    <w:p w14:paraId="49BE34DD" w14:textId="759CD5A9" w:rsidR="0019682B" w:rsidRDefault="00B555AF" w:rsidP="00A636B5">
      <w:pPr>
        <w:pStyle w:val="ListBullet"/>
      </w:pPr>
      <w:r>
        <w:t>O</w:t>
      </w:r>
      <w:r w:rsidR="0019682B">
        <w:t>ther key initiatives included:</w:t>
      </w:r>
    </w:p>
    <w:p w14:paraId="6DDC3773" w14:textId="48F27B3E" w:rsidR="0019682B" w:rsidRDefault="0019682B" w:rsidP="00A636B5">
      <w:pPr>
        <w:pStyle w:val="ListBullet2"/>
      </w:pPr>
      <w:r>
        <w:t>the provision of vicarious trauma professional development workshops</w:t>
      </w:r>
    </w:p>
    <w:p w14:paraId="344816E9" w14:textId="7FD3FDAC" w:rsidR="0019682B" w:rsidRDefault="0019682B" w:rsidP="00B555AF">
      <w:pPr>
        <w:pStyle w:val="ListBullet2"/>
      </w:pPr>
      <w:r>
        <w:t>development of ergonomic videos</w:t>
      </w:r>
    </w:p>
    <w:p w14:paraId="41ADDD9D" w14:textId="145A9D32" w:rsidR="0019682B" w:rsidRDefault="0019682B" w:rsidP="00A636B5">
      <w:pPr>
        <w:pStyle w:val="ListBullet2"/>
      </w:pPr>
      <w:r>
        <w:t>superannuation presentations and the opportunity for staff to have a 1:1 session</w:t>
      </w:r>
    </w:p>
    <w:p w14:paraId="2BFCDE6F" w14:textId="7FC92DCB" w:rsidR="00B555AF" w:rsidRPr="00B555AF" w:rsidRDefault="0019682B" w:rsidP="00A636B5">
      <w:pPr>
        <w:pStyle w:val="ListBullet2"/>
      </w:pPr>
      <w:r>
        <w:t>activities for Women’s Health Week Men’s Health Week; and RUOK? Day.</w:t>
      </w:r>
    </w:p>
    <w:p w14:paraId="52761699" w14:textId="7E6FD251" w:rsidR="004B6BAC" w:rsidRPr="007A0D86" w:rsidRDefault="00035DFD" w:rsidP="005A746E">
      <w:pPr>
        <w:pStyle w:val="Heading1"/>
      </w:pPr>
      <w:bookmarkStart w:id="139" w:name="_Toc62808091"/>
      <w:r w:rsidRPr="007A0D86">
        <w:t>Section 4: Other Disclosures</w:t>
      </w:r>
      <w:bookmarkEnd w:id="139"/>
    </w:p>
    <w:p w14:paraId="142FA7F0" w14:textId="77777777" w:rsidR="00E952AB" w:rsidRDefault="004B6BAC" w:rsidP="004B6BAC">
      <w:pPr>
        <w:pStyle w:val="Heading2"/>
      </w:pPr>
      <w:bookmarkStart w:id="140" w:name="_Ref22640359"/>
      <w:bookmarkStart w:id="141" w:name="_Ref22643683"/>
      <w:bookmarkStart w:id="142" w:name="_Toc62808092"/>
      <w:r w:rsidRPr="007A0D86">
        <w:t>Local Jobs First</w:t>
      </w:r>
      <w:bookmarkEnd w:id="140"/>
      <w:bookmarkEnd w:id="141"/>
      <w:bookmarkEnd w:id="142"/>
    </w:p>
    <w:p w14:paraId="1FD53C80" w14:textId="61D8BD75" w:rsidR="00DE136E" w:rsidRDefault="00DE136E" w:rsidP="00DE136E">
      <w:pPr>
        <w:pStyle w:val="BodyText"/>
      </w:pPr>
      <w:r>
        <w:t xml:space="preserve">The </w:t>
      </w:r>
      <w:r w:rsidRPr="0099282F">
        <w:rPr>
          <w:rStyle w:val="Italics"/>
        </w:rPr>
        <w:t>Local Jobs First Act 2003</w:t>
      </w:r>
      <w:r>
        <w:t xml:space="preserve"> introduced in August 2018 brings together the Victorian Industry Participation Policy (VIPP) and Major Project Skills Guarantee (MPSG) policy which were previously administered separately.</w:t>
      </w:r>
    </w:p>
    <w:p w14:paraId="7A0E1341" w14:textId="2C4106D0" w:rsidR="00DE136E" w:rsidRDefault="00DE136E" w:rsidP="00DE136E">
      <w:pPr>
        <w:pStyle w:val="BodyText"/>
      </w:pPr>
      <w:r>
        <w:t xml:space="preserve">Departments and public sector bodies are required to apply the Local Jobs First policy in all projects valued at $3 million or more in Metropolitan Melbourne or for </w:t>
      </w:r>
      <w:proofErr w:type="spellStart"/>
      <w:r>
        <w:t>statewide</w:t>
      </w:r>
      <w:proofErr w:type="spellEnd"/>
      <w:r>
        <w:t xml:space="preserve"> projects, or $1 million or more for projects in regional Victoria.</w:t>
      </w:r>
    </w:p>
    <w:p w14:paraId="51416A48" w14:textId="77777777" w:rsidR="00DE136E" w:rsidRDefault="00DE136E" w:rsidP="00DE136E">
      <w:pPr>
        <w:pStyle w:val="BodyText"/>
      </w:pPr>
      <w:r>
        <w:t>Major Project Skills Guarantee applies to all construction projects valued at $20 million or more.</w:t>
      </w:r>
    </w:p>
    <w:p w14:paraId="71E50B49" w14:textId="7731A51E" w:rsidR="00DE136E" w:rsidRDefault="00DE136E" w:rsidP="00DE136E">
      <w:pPr>
        <w:pStyle w:val="BodyText"/>
      </w:pPr>
      <w:r>
        <w:t>The Major Project Skills Guarantee guidelines and Victorian Industry Participation Policy guidelines continue to apply to Major Project Skills Guarantee applicable and Victorian Industry Participation Policy applicable projects respectively where contracts have been entered prior to 15 August 2018.</w:t>
      </w:r>
    </w:p>
    <w:p w14:paraId="39C0315A" w14:textId="38FC78A9" w:rsidR="00DE136E" w:rsidRDefault="00DE136E" w:rsidP="00DE136E">
      <w:pPr>
        <w:pStyle w:val="Heading3"/>
      </w:pPr>
      <w:bookmarkStart w:id="143" w:name="_Toc62808093"/>
      <w:r>
        <w:t>Projects Commenced – Local Jobs First Standard</w:t>
      </w:r>
      <w:bookmarkEnd w:id="143"/>
    </w:p>
    <w:p w14:paraId="44F70DDF" w14:textId="0755A087" w:rsidR="00DE136E" w:rsidRDefault="00DE136E" w:rsidP="00DE136E">
      <w:pPr>
        <w:pStyle w:val="BodyText"/>
      </w:pPr>
      <w:r>
        <w:t xml:space="preserve">During 2019-20, </w:t>
      </w:r>
      <w:r w:rsidR="009B1462">
        <w:t>Court Services Victoria</w:t>
      </w:r>
      <w:r>
        <w:t xml:space="preserve"> commenced nine Local Jobs First standard projects totalling $26.02 million. Of those projects, one was located in regional Victoria, with an average commitment of 80 per cent of local content, and seven in metropolitan Melbourne, with an average commitment of 85 per cent local content. One project commenced that occurred </w:t>
      </w:r>
      <w:proofErr w:type="spellStart"/>
      <w:r>
        <w:t>statewide</w:t>
      </w:r>
      <w:proofErr w:type="spellEnd"/>
      <w:r>
        <w:t>, with an average commitment of 100 per cent local content. The Major Project Skills Guarantee applied to this project.</w:t>
      </w:r>
    </w:p>
    <w:p w14:paraId="0E91B572" w14:textId="39B7EBD0" w:rsidR="00DE136E" w:rsidRDefault="00DE136E" w:rsidP="00DE136E">
      <w:pPr>
        <w:pStyle w:val="BodyText"/>
      </w:pPr>
      <w:r>
        <w:t>The outcomes expected from the implementation of the Local Jobs First policy to these projects where information was provided, are as follows:</w:t>
      </w:r>
    </w:p>
    <w:p w14:paraId="717EC18E" w14:textId="41555897" w:rsidR="00DE136E" w:rsidRDefault="00DE136E" w:rsidP="00A636B5">
      <w:pPr>
        <w:pStyle w:val="ListBullet"/>
      </w:pPr>
      <w:r>
        <w:t>An average of 86 per cent of local content commitment was made.</w:t>
      </w:r>
    </w:p>
    <w:p w14:paraId="79639AF8" w14:textId="7A2C50BE" w:rsidR="00DE136E" w:rsidRDefault="00DE136E" w:rsidP="00A636B5">
      <w:pPr>
        <w:pStyle w:val="ListBullet"/>
      </w:pPr>
      <w:r>
        <w:t>A total of 109.34 jobs (annualised employee equivalent (AEE)) were committed, including the creation of 12 new jobs and the retention of 97.34 existing jobs (AEE).</w:t>
      </w:r>
    </w:p>
    <w:p w14:paraId="5B3A0243" w14:textId="4BEE59B8" w:rsidR="00DE136E" w:rsidRDefault="00DE136E" w:rsidP="00A636B5">
      <w:pPr>
        <w:pStyle w:val="ListBullet"/>
      </w:pPr>
      <w:r>
        <w:t>A total of 12.02 positions for apprentices, traineeships, and cadets.</w:t>
      </w:r>
    </w:p>
    <w:p w14:paraId="320562B8" w14:textId="2EF163AD" w:rsidR="00DE136E" w:rsidRDefault="00DE136E" w:rsidP="00DE136E">
      <w:pPr>
        <w:pStyle w:val="Heading3"/>
      </w:pPr>
      <w:bookmarkStart w:id="144" w:name="_Toc62808094"/>
      <w:r>
        <w:t>Projects Completed – Local Jobs First Standard</w:t>
      </w:r>
      <w:bookmarkEnd w:id="144"/>
    </w:p>
    <w:p w14:paraId="6CB01882" w14:textId="352E6A40" w:rsidR="00DE136E" w:rsidRDefault="00DE136E" w:rsidP="00DE136E">
      <w:pPr>
        <w:pStyle w:val="BodyText"/>
      </w:pPr>
      <w:r>
        <w:t xml:space="preserve">During 2019-20, </w:t>
      </w:r>
      <w:r w:rsidR="009B1462">
        <w:t>Court Services Victoria</w:t>
      </w:r>
      <w:r>
        <w:t xml:space="preserve"> completed two Local Jobs First standard projects, totalling $4.04 million. Of those projects, one was located in regional Victoria. No completed projects occurred </w:t>
      </w:r>
      <w:proofErr w:type="spellStart"/>
      <w:r>
        <w:t>statewide</w:t>
      </w:r>
      <w:proofErr w:type="spellEnd"/>
      <w:r>
        <w:t>. The Major Project Skills Guarantee did not apply to these projects.</w:t>
      </w:r>
    </w:p>
    <w:p w14:paraId="5AEC24BB" w14:textId="5300DD9B" w:rsidR="00DE136E" w:rsidRDefault="00DE136E" w:rsidP="00DE136E">
      <w:pPr>
        <w:pStyle w:val="BodyText"/>
      </w:pPr>
      <w:r>
        <w:t>The outcomes expected from the implementation of the Local Jobs First policy to these projects where information was provided, were as follows:</w:t>
      </w:r>
    </w:p>
    <w:p w14:paraId="20B4FD9F" w14:textId="0F645CA0" w:rsidR="00DE136E" w:rsidRDefault="00DE136E" w:rsidP="00A636B5">
      <w:pPr>
        <w:pStyle w:val="ListBullet"/>
      </w:pPr>
      <w:r>
        <w:t>An average of 92 per cent of local content commitment was made.</w:t>
      </w:r>
    </w:p>
    <w:p w14:paraId="1F766B46" w14:textId="2C6434D8" w:rsidR="00DE136E" w:rsidRDefault="00DE136E" w:rsidP="00A636B5">
      <w:pPr>
        <w:pStyle w:val="ListBullet"/>
      </w:pPr>
      <w:r>
        <w:t>A total of 8.69 (AEE) positions were committed, including the creation of 2.77 jobs and the retention of 5.92 existing jobs (AEE).</w:t>
      </w:r>
    </w:p>
    <w:p w14:paraId="7ED02A62" w14:textId="245438C3" w:rsidR="00DE136E" w:rsidRDefault="00DE136E" w:rsidP="00A636B5">
      <w:pPr>
        <w:pStyle w:val="ListBullet"/>
      </w:pPr>
      <w:r>
        <w:t>No new apprenticeships, traineeships and cadets were created, however 3 existing apprenticeships, traineeships were retained.</w:t>
      </w:r>
    </w:p>
    <w:p w14:paraId="25F7E58C" w14:textId="3F806DA6" w:rsidR="00DE136E" w:rsidRDefault="00DE136E" w:rsidP="002C4179">
      <w:pPr>
        <w:pStyle w:val="Heading3"/>
        <w:pageBreakBefore/>
      </w:pPr>
      <w:bookmarkStart w:id="145" w:name="_Toc62808095"/>
      <w:r>
        <w:t>Projects Commenced – Local Jobs First Strategic</w:t>
      </w:r>
      <w:bookmarkEnd w:id="145"/>
    </w:p>
    <w:p w14:paraId="2A109C0A" w14:textId="5F85EF7F" w:rsidR="00DE136E" w:rsidRDefault="00DE136E" w:rsidP="00DE136E">
      <w:pPr>
        <w:pStyle w:val="BodyText"/>
      </w:pPr>
      <w:r>
        <w:t xml:space="preserve">During 2019-20, </w:t>
      </w:r>
      <w:r w:rsidR="009B1462">
        <w:t>Court Services Victoria</w:t>
      </w:r>
      <w:r>
        <w:t xml:space="preserve"> did not commence any Local Jobs First Strategic projects.</w:t>
      </w:r>
    </w:p>
    <w:p w14:paraId="3A74D629" w14:textId="68983877" w:rsidR="00DE136E" w:rsidRDefault="00DE136E" w:rsidP="00DE136E">
      <w:pPr>
        <w:pStyle w:val="Heading3"/>
      </w:pPr>
      <w:bookmarkStart w:id="146" w:name="_Toc62808096"/>
      <w:r>
        <w:t>Projects Completed – Local Jobs First Strategic</w:t>
      </w:r>
      <w:bookmarkEnd w:id="146"/>
    </w:p>
    <w:p w14:paraId="153DE14F" w14:textId="656699DE" w:rsidR="00DE136E" w:rsidRDefault="00DE136E" w:rsidP="00DE136E">
      <w:pPr>
        <w:pStyle w:val="BodyText"/>
      </w:pPr>
      <w:r>
        <w:t xml:space="preserve">During 2019-20, </w:t>
      </w:r>
      <w:r w:rsidR="009B1462">
        <w:t>Court Services Victoria</w:t>
      </w:r>
      <w:r>
        <w:t xml:space="preserve"> did not complete any Local Jobs First Strategic projects.</w:t>
      </w:r>
    </w:p>
    <w:p w14:paraId="51F8C8DB" w14:textId="4235CE37" w:rsidR="00DE136E" w:rsidRDefault="00DE136E" w:rsidP="00DE136E">
      <w:pPr>
        <w:pStyle w:val="Heading3"/>
      </w:pPr>
      <w:bookmarkStart w:id="147" w:name="_Toc62808097"/>
      <w:r>
        <w:t>Reporting Requirements – All Projects</w:t>
      </w:r>
      <w:bookmarkEnd w:id="147"/>
    </w:p>
    <w:p w14:paraId="0AB0EB1D" w14:textId="097A2E6E" w:rsidR="00DE136E" w:rsidRDefault="00DE136E" w:rsidP="00DE136E">
      <w:pPr>
        <w:pStyle w:val="BodyText"/>
      </w:pPr>
      <w:r>
        <w:t>During 2019-20, there were ten small-to-medium sized businesses that prepared a Local Industry Development Plan for contracts successfully appointed as Principal Contractor.</w:t>
      </w:r>
    </w:p>
    <w:p w14:paraId="31DE836B" w14:textId="22F928F8" w:rsidR="00DE136E" w:rsidRDefault="00DE136E" w:rsidP="00DE136E">
      <w:pPr>
        <w:pStyle w:val="BodyText"/>
      </w:pPr>
      <w:r>
        <w:t>During 2019-20, 41 small-to-medium sized businesses were engaged through the supply chain on these projects.</w:t>
      </w:r>
    </w:p>
    <w:p w14:paraId="66C10DC4" w14:textId="5E4D40CD" w:rsidR="00DE136E" w:rsidRDefault="00DE136E" w:rsidP="00DE136E">
      <w:pPr>
        <w:pStyle w:val="Heading3"/>
      </w:pPr>
      <w:bookmarkStart w:id="148" w:name="_Toc62808098"/>
      <w:r>
        <w:t>Reporting Requirements – Grants</w:t>
      </w:r>
      <w:bookmarkEnd w:id="148"/>
    </w:p>
    <w:p w14:paraId="497045D3" w14:textId="7D0FE52B" w:rsidR="00DE136E" w:rsidRDefault="00DE136E" w:rsidP="00DE136E">
      <w:pPr>
        <w:pStyle w:val="BodyText"/>
      </w:pPr>
      <w:r>
        <w:t>There were no grants during 2019-20 which entailed a conversation with the Industry Capability Network (Victoria) Ltd.</w:t>
      </w:r>
    </w:p>
    <w:p w14:paraId="5B0D35D5" w14:textId="0D3B8127" w:rsidR="004B6BAC" w:rsidRPr="007A0D86" w:rsidRDefault="00C21B98" w:rsidP="004B6BAC">
      <w:pPr>
        <w:pStyle w:val="Heading2"/>
      </w:pPr>
      <w:bookmarkStart w:id="149" w:name="_Ref22640201"/>
      <w:bookmarkStart w:id="150" w:name="_Ref22643656"/>
      <w:bookmarkStart w:id="151" w:name="_Toc62808099"/>
      <w:r>
        <w:t>Compliance w</w:t>
      </w:r>
      <w:r w:rsidR="004B6BAC" w:rsidRPr="007A0D86">
        <w:t>ith Building Act 1993</w:t>
      </w:r>
      <w:bookmarkEnd w:id="149"/>
      <w:bookmarkEnd w:id="150"/>
      <w:bookmarkEnd w:id="151"/>
    </w:p>
    <w:p w14:paraId="6A88F2FB" w14:textId="59D431AE" w:rsidR="00DE136E" w:rsidRDefault="009B1462" w:rsidP="00DE136E">
      <w:pPr>
        <w:pStyle w:val="BodyText"/>
      </w:pPr>
      <w:r>
        <w:t>Court Services Victoria</w:t>
      </w:r>
      <w:r w:rsidR="00DE136E">
        <w:t xml:space="preserve"> complies with the building and maintenance provisions of the </w:t>
      </w:r>
      <w:r w:rsidR="00DE136E" w:rsidRPr="0099282F">
        <w:rPr>
          <w:rStyle w:val="Italics"/>
        </w:rPr>
        <w:t>Building Act 1993</w:t>
      </w:r>
      <w:r w:rsidR="00DE136E">
        <w:t>, the Building Regulations 2018 and relevant provisions of the National Construction Code.</w:t>
      </w:r>
    </w:p>
    <w:p w14:paraId="5E23D3E8" w14:textId="0089BAFB" w:rsidR="00DE136E" w:rsidRDefault="009B1462" w:rsidP="00DE136E">
      <w:pPr>
        <w:pStyle w:val="BodyText"/>
      </w:pPr>
      <w:r>
        <w:t>Court Services Victoria</w:t>
      </w:r>
      <w:r w:rsidR="00DE136E">
        <w:t xml:space="preserve"> applies the guidance to the Asset Management Accountability Framework in so far as it relates to the compliance with building regulations, the safety and fitness to occupy facilities, and application to new building and construction works.</w:t>
      </w:r>
    </w:p>
    <w:p w14:paraId="1F8545A6" w14:textId="3D61853D" w:rsidR="00DE136E" w:rsidRDefault="00DE136E" w:rsidP="00DE136E">
      <w:pPr>
        <w:pStyle w:val="Heading3"/>
      </w:pPr>
      <w:bookmarkStart w:id="152" w:name="_Toc62808100"/>
      <w:r>
        <w:t>Scope of Properties</w:t>
      </w:r>
      <w:bookmarkEnd w:id="152"/>
    </w:p>
    <w:p w14:paraId="4F9B237C" w14:textId="652A9631" w:rsidR="00DE136E" w:rsidRDefault="009B1462" w:rsidP="00DE136E">
      <w:pPr>
        <w:pStyle w:val="BodyText"/>
      </w:pPr>
      <w:r>
        <w:t>Court Services Victoria</w:t>
      </w:r>
      <w:r w:rsidR="00DE136E">
        <w:t xml:space="preserve"> manages a diverse asset base of 51 owned facilities that range from major purpose-built court buildings concentrated in the CBD and metropolitan Melbourne, to single-room court facilities dispersed throughout regional Victoria. In some cases, </w:t>
      </w:r>
      <w:r>
        <w:t>Court Services Victoria</w:t>
      </w:r>
      <w:r w:rsidR="00DE136E">
        <w:t xml:space="preserve"> manages and maintains facilities where there is a co-shared arrangement with the Department of Justice and Community Safety. Many </w:t>
      </w:r>
      <w:r>
        <w:t>Court Services Victoria</w:t>
      </w:r>
      <w:r w:rsidR="00DE136E">
        <w:t xml:space="preserve"> facilities also include custody suites which are managed by Victoria Police and/or Corrections Victoria.</w:t>
      </w:r>
    </w:p>
    <w:p w14:paraId="4864F230" w14:textId="7E26CEC5" w:rsidR="00DE136E" w:rsidRDefault="00DE136E" w:rsidP="00DE136E">
      <w:pPr>
        <w:pStyle w:val="Heading3"/>
      </w:pPr>
      <w:bookmarkStart w:id="153" w:name="_Toc62808101"/>
      <w:r>
        <w:t>New and Existing Building Standards</w:t>
      </w:r>
      <w:bookmarkEnd w:id="153"/>
    </w:p>
    <w:p w14:paraId="3440C392" w14:textId="3CDD367F" w:rsidR="00DE136E" w:rsidRDefault="00DE136E" w:rsidP="00DE136E">
      <w:pPr>
        <w:pStyle w:val="BodyText"/>
      </w:pPr>
      <w:r>
        <w:t xml:space="preserve">During 2019-20, </w:t>
      </w:r>
      <w:r w:rsidR="009B1462">
        <w:t>Court Services Victoria</w:t>
      </w:r>
      <w:r>
        <w:t xml:space="preserve"> conducted 121 major works projects (valued over $50,000) in court locations across Victoria. All new work, and redevelopment of existing properties, is carried out to conform to current Building Regulations and the provisions of the Building Act.</w:t>
      </w:r>
    </w:p>
    <w:p w14:paraId="413D721B" w14:textId="4B2F9BB0" w:rsidR="00DE136E" w:rsidRDefault="00DE136E" w:rsidP="00DE136E">
      <w:pPr>
        <w:pStyle w:val="BodyText"/>
      </w:pPr>
      <w:r>
        <w:t>The municipal Building Surveyor or the relevant building surveyor issues either a Certificate of Final Inspection for upgrades or alterations to an existing building for which an Occupancy Permit has already been issued or deemed to be issued, or an Occupancy Permit for all new facilities and change of use and/or classification.</w:t>
      </w:r>
    </w:p>
    <w:p w14:paraId="6F1C07FC" w14:textId="15728EBA" w:rsidR="00DE136E" w:rsidRDefault="00DE136E" w:rsidP="002C4179">
      <w:pPr>
        <w:pStyle w:val="Heading3"/>
        <w:pageBreakBefore/>
      </w:pPr>
      <w:bookmarkStart w:id="154" w:name="_Toc62808102"/>
      <w:r>
        <w:t xml:space="preserve">Maintenance of </w:t>
      </w:r>
      <w:r w:rsidR="009B1462">
        <w:t>Court Services Victoria</w:t>
      </w:r>
      <w:r>
        <w:t xml:space="preserve"> Owned Facilities</w:t>
      </w:r>
      <w:bookmarkEnd w:id="154"/>
    </w:p>
    <w:p w14:paraId="5208188A" w14:textId="4F70EFD6" w:rsidR="00DE136E" w:rsidRDefault="009B1462" w:rsidP="00DE136E">
      <w:pPr>
        <w:pStyle w:val="BodyText"/>
      </w:pPr>
      <w:r>
        <w:t>Court Services Victoria</w:t>
      </w:r>
      <w:r w:rsidR="00DE136E">
        <w:t xml:space="preserve"> owned buildings satisfy the maintenance provisions of building regulations through management by internal resources and external contractors. </w:t>
      </w:r>
      <w:r>
        <w:t>Court Services Victoria</w:t>
      </w:r>
      <w:r w:rsidR="00DE136E">
        <w:t xml:space="preserve"> administers the issues on which maintenance standards rely, such as competencies of personnel, monitoring, reporting and auditing of servicing and maintenance systems. The implementation of the Courts Asset Information Management System and development of a four-year plan of asset maintenance, upgrades and renewals will enable </w:t>
      </w:r>
      <w:r>
        <w:t>Court Services Victoria</w:t>
      </w:r>
      <w:r w:rsidR="00DE136E">
        <w:t xml:space="preserve"> to deliver strong outcomes in this area into the future.</w:t>
      </w:r>
    </w:p>
    <w:p w14:paraId="396D7C2B" w14:textId="36A049DD" w:rsidR="00DE136E" w:rsidRDefault="009B1462" w:rsidP="00DE136E">
      <w:pPr>
        <w:pStyle w:val="BodyText"/>
      </w:pPr>
      <w:r>
        <w:t>Court Services Victoria</w:t>
      </w:r>
      <w:r w:rsidR="00DE136E">
        <w:t xml:space="preserve"> receives maintenance statements from contractors and ensures evidence-based asset compliance is achieved by auditing all maintenance logbooks, records and databases and providing the annual Essential Safety Measures Report for each facility.</w:t>
      </w:r>
    </w:p>
    <w:p w14:paraId="3C272E2A" w14:textId="6947CEFE" w:rsidR="00DE136E" w:rsidRDefault="00DE136E" w:rsidP="00DE136E">
      <w:pPr>
        <w:pStyle w:val="BodyText"/>
      </w:pPr>
      <w:r>
        <w:t>In 2019-20, any identified and prioritised non-compliances were scheduled to be undertaken as part of the upgrade works across all facilities.</w:t>
      </w:r>
    </w:p>
    <w:p w14:paraId="1CC2F2B9" w14:textId="7B19B02A" w:rsidR="00DE136E" w:rsidRDefault="00DE136E" w:rsidP="00DE136E">
      <w:pPr>
        <w:pStyle w:val="BodyText"/>
      </w:pPr>
      <w:r>
        <w:t>The Victorian Government Shared Services Provider manages maintenance for leased facilities, excluding the County Court which is managed through a public-private partnership.</w:t>
      </w:r>
    </w:p>
    <w:p w14:paraId="778A0F29" w14:textId="516420AC" w:rsidR="00DE136E" w:rsidRDefault="00DE136E" w:rsidP="00DE136E">
      <w:pPr>
        <w:pStyle w:val="BodyText"/>
      </w:pPr>
      <w:r>
        <w:t>Occupational health and safety, functionality for service delivery and upkeep of plant and equipment are key priorities for the allocation of funding for maintenance. All legislative requirements for asbestos inspections and monitoring have been met and coordinated to the satisfaction of the Victorian Asbestos Eradication Agency.</w:t>
      </w:r>
    </w:p>
    <w:p w14:paraId="0AE1ACC9" w14:textId="20D2BE73" w:rsidR="00DE136E" w:rsidRDefault="00DE136E" w:rsidP="00DE136E">
      <w:pPr>
        <w:pStyle w:val="BodyText"/>
      </w:pPr>
      <w:r>
        <w:t>Legionella risks are managed by ensuring compliance with Legionella-related Acts and Regulations.</w:t>
      </w:r>
    </w:p>
    <w:p w14:paraId="50062FCF" w14:textId="7ABE0F8C" w:rsidR="00DE136E" w:rsidRDefault="00DE136E" w:rsidP="00DE136E">
      <w:pPr>
        <w:pStyle w:val="BodyText"/>
      </w:pPr>
      <w:r>
        <w:t xml:space="preserve">To date there are no emergency orders or building orders issued in relation to </w:t>
      </w:r>
      <w:r w:rsidR="009B1462">
        <w:t>Court Services Victoria</w:t>
      </w:r>
      <w:r>
        <w:t xml:space="preserve"> owned facilities.</w:t>
      </w:r>
    </w:p>
    <w:p w14:paraId="6A589A7F" w14:textId="646EBCB1" w:rsidR="00DE136E" w:rsidRDefault="00DE136E" w:rsidP="00DE136E">
      <w:pPr>
        <w:pStyle w:val="BodyText"/>
      </w:pPr>
      <w:r>
        <w:t xml:space="preserve">As part of the audit of Government buildings for risks associated with the presence of Aluminium Composite Panel cladding it was identified that cladding at the Melbourne Children’s Court should be replaced. </w:t>
      </w:r>
      <w:r w:rsidR="009B1462">
        <w:t>Court Services Victoria</w:t>
      </w:r>
      <w:r>
        <w:t xml:space="preserve"> is currently working with Cladding Safety Victoria to deliver this work, with the cladding to be replaced by 30 June 2021</w:t>
      </w:r>
    </w:p>
    <w:p w14:paraId="668289D2" w14:textId="77777777" w:rsidR="004B6BAC" w:rsidRPr="007A0D86" w:rsidRDefault="004B6BAC" w:rsidP="004B6BAC">
      <w:pPr>
        <w:pStyle w:val="Heading2"/>
      </w:pPr>
      <w:bookmarkStart w:id="155" w:name="_Ref22640306"/>
      <w:bookmarkStart w:id="156" w:name="_Toc62808103"/>
      <w:r w:rsidRPr="007A0D86">
        <w:t>Government Advertising Expenditure</w:t>
      </w:r>
      <w:bookmarkEnd w:id="155"/>
      <w:bookmarkEnd w:id="156"/>
    </w:p>
    <w:p w14:paraId="5E401043" w14:textId="31F8C042" w:rsidR="00A636B5" w:rsidRDefault="009B1462" w:rsidP="00A636B5">
      <w:pPr>
        <w:pStyle w:val="BodyText"/>
      </w:pPr>
      <w:r>
        <w:t>Court Services Victoria</w:t>
      </w:r>
      <w:r w:rsidR="00A636B5">
        <w:t xml:space="preserve"> did not conduct any advertising campaign in the financial year 2019-20.</w:t>
      </w:r>
    </w:p>
    <w:p w14:paraId="220292C4" w14:textId="418ABE59" w:rsidR="004B6BAC" w:rsidRPr="007A0D86" w:rsidRDefault="00C21B98" w:rsidP="004B6BAC">
      <w:pPr>
        <w:pStyle w:val="Heading2"/>
      </w:pPr>
      <w:bookmarkStart w:id="157" w:name="_Toc62808104"/>
      <w:r>
        <w:t>Compliance w</w:t>
      </w:r>
      <w:r w:rsidR="004B6BAC" w:rsidRPr="007A0D86">
        <w:t xml:space="preserve">ith </w:t>
      </w:r>
      <w:r w:rsidR="00E952AB">
        <w:t>the</w:t>
      </w:r>
      <w:r w:rsidR="004B6BAC" w:rsidRPr="007A0D86">
        <w:t xml:space="preserve"> </w:t>
      </w:r>
      <w:proofErr w:type="spellStart"/>
      <w:r w:rsidR="004B6BAC" w:rsidRPr="007A0D86">
        <w:t>DataVic</w:t>
      </w:r>
      <w:proofErr w:type="spellEnd"/>
      <w:r w:rsidR="004B6BAC" w:rsidRPr="007A0D86">
        <w:t xml:space="preserve"> Access Policy</w:t>
      </w:r>
      <w:bookmarkEnd w:id="157"/>
    </w:p>
    <w:p w14:paraId="3AE10398" w14:textId="5918ABA0" w:rsidR="00A636B5" w:rsidRDefault="00A636B5" w:rsidP="00A636B5">
      <w:pPr>
        <w:pStyle w:val="BodyText"/>
      </w:pPr>
      <w:r>
        <w:t xml:space="preserve">Consistent with the </w:t>
      </w:r>
      <w:proofErr w:type="spellStart"/>
      <w:r>
        <w:t>DataVic</w:t>
      </w:r>
      <w:proofErr w:type="spellEnd"/>
      <w:r>
        <w:t xml:space="preserve"> Access Policy issued by the Victorian Government in 2012, the information included in this Annual Report will be available on our website in machine-readable format.</w:t>
      </w:r>
    </w:p>
    <w:p w14:paraId="325C16E2" w14:textId="014128DD" w:rsidR="00A636B5" w:rsidRDefault="00A636B5" w:rsidP="00A636B5">
      <w:pPr>
        <w:pStyle w:val="Heading2"/>
      </w:pPr>
      <w:bookmarkStart w:id="158" w:name="_Toc62808105"/>
      <w:r>
        <w:t>Statement of Competitive Neutrality Policy</w:t>
      </w:r>
      <w:bookmarkEnd w:id="158"/>
    </w:p>
    <w:p w14:paraId="1E5D2E90" w14:textId="16571EAC" w:rsidR="00A636B5" w:rsidRDefault="00A636B5" w:rsidP="00A636B5">
      <w:pPr>
        <w:pStyle w:val="BodyText"/>
      </w:pPr>
      <w:r>
        <w:t>Competitive neutrality requires government businesses to ensure where services compete, or potentially compete with the private sector, any advantage arising solely from their government ownership be removed if it is not in the public interest.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w:t>
      </w:r>
    </w:p>
    <w:p w14:paraId="76C82344" w14:textId="7266854C" w:rsidR="00A636B5" w:rsidRDefault="009B1462" w:rsidP="00A636B5">
      <w:pPr>
        <w:pStyle w:val="BodyText"/>
      </w:pPr>
      <w:r>
        <w:t>Court Services Victoria</w:t>
      </w:r>
      <w:r w:rsidR="00A636B5">
        <w:t xml:space="preserve"> is working towards developing a documented approach to competitive neutrality in accordance with Victoria’s Competitive Neutrality Policy.</w:t>
      </w:r>
    </w:p>
    <w:p w14:paraId="613C28B3" w14:textId="3141B9B4" w:rsidR="00A636B5" w:rsidRDefault="00A636B5" w:rsidP="00A636B5">
      <w:pPr>
        <w:pStyle w:val="Heading2"/>
      </w:pPr>
      <w:bookmarkStart w:id="159" w:name="_Ref61896013"/>
      <w:bookmarkStart w:id="160" w:name="_Ref61897368"/>
      <w:bookmarkStart w:id="161" w:name="_Toc62808106"/>
      <w:r>
        <w:t>Compliance with the Public Interest Disclosures Act</w:t>
      </w:r>
      <w:bookmarkEnd w:id="159"/>
      <w:bookmarkEnd w:id="160"/>
      <w:bookmarkEnd w:id="161"/>
    </w:p>
    <w:p w14:paraId="34CAA079" w14:textId="77777777" w:rsidR="0002407D" w:rsidRDefault="00A636B5" w:rsidP="00A636B5">
      <w:pPr>
        <w:pStyle w:val="BodyText"/>
      </w:pPr>
      <w:r>
        <w:t xml:space="preserve">The </w:t>
      </w:r>
      <w:r w:rsidRPr="0099282F">
        <w:rPr>
          <w:rStyle w:val="Italics"/>
        </w:rPr>
        <w:t>Public Interest Disclosures Act 2012</w:t>
      </w:r>
      <w:r>
        <w:t xml:space="preserve"> (formerly known as the </w:t>
      </w:r>
      <w:r w:rsidRPr="0099282F">
        <w:rPr>
          <w:rStyle w:val="Italics"/>
        </w:rPr>
        <w:t>Protected Disclosure Act 2012</w:t>
      </w:r>
      <w:r>
        <w:t>) encourages and assists people in making disclosures of improper conduct by public officers and public bodies. The Public Interest Disclosures Act provides certain protection to people who make disclosures in accordance with the Act and establishes a system for the matters disclosed to be investigated, and rectifying action to be taken.</w:t>
      </w:r>
    </w:p>
    <w:p w14:paraId="1FFD27EF" w14:textId="4F68D425" w:rsidR="00A636B5" w:rsidRDefault="009B1462" w:rsidP="00A636B5">
      <w:pPr>
        <w:pStyle w:val="BodyText"/>
      </w:pPr>
      <w:r>
        <w:t>Court Services Victoria</w:t>
      </w:r>
      <w:r w:rsidR="00A636B5">
        <w:t xml:space="preserve"> does not tolerate improper conduct by employees, nor reprisals against those who come forward to disclose such conduct. </w:t>
      </w:r>
      <w:r>
        <w:t>Court Services Victoria</w:t>
      </w:r>
      <w:r w:rsidR="00A636B5">
        <w:t xml:space="preserve"> is committed to ensuring transparency and accountability in administrative and management practices and supports the making of disclosures that reveal improper conduct including corrupt conduct, dishonest performance of public functions, substantial mismanagement of public resources, or conduct involving a substantial risk to public health and safety, or the environment.</w:t>
      </w:r>
    </w:p>
    <w:p w14:paraId="53AF170F" w14:textId="491ACD3B" w:rsidR="0002407D" w:rsidRDefault="009B1462" w:rsidP="0002407D">
      <w:pPr>
        <w:pStyle w:val="BodyText"/>
      </w:pPr>
      <w:r>
        <w:t>Court Services Victoria</w:t>
      </w:r>
      <w:r w:rsidR="0002407D">
        <w:t xml:space="preserve"> will take all reasonable steps to protect people who make such disclosures from any detrimental action in reprisal for making the disclosure. </w:t>
      </w:r>
      <w:r>
        <w:t>Court Services Victoria</w:t>
      </w:r>
      <w:r w:rsidR="0002407D">
        <w:t xml:space="preserve"> will also afford natural justice to the person who is the subject of the disclosure to the extent it is legally possible.</w:t>
      </w:r>
    </w:p>
    <w:p w14:paraId="7F147CC0" w14:textId="715D9079" w:rsidR="0002407D" w:rsidRDefault="0002407D" w:rsidP="0002407D">
      <w:pPr>
        <w:pStyle w:val="Heading3"/>
      </w:pPr>
      <w:bookmarkStart w:id="162" w:name="_Toc62808107"/>
      <w:r>
        <w:t>Reporting Procedures</w:t>
      </w:r>
      <w:bookmarkEnd w:id="162"/>
    </w:p>
    <w:p w14:paraId="6C24EE72" w14:textId="4F06D58E" w:rsidR="0002407D" w:rsidRDefault="0002407D" w:rsidP="0002407D">
      <w:pPr>
        <w:pStyle w:val="BodyText"/>
      </w:pPr>
      <w:r>
        <w:t xml:space="preserve">Disclosure of improper conduct or detrimental action by </w:t>
      </w:r>
      <w:r w:rsidR="009B1462">
        <w:t>Court Services Victoria</w:t>
      </w:r>
      <w:r>
        <w:t>, or any of its employees or officers, may be made to:</w:t>
      </w:r>
    </w:p>
    <w:p w14:paraId="556DCE24" w14:textId="4C55593F" w:rsidR="0002407D" w:rsidRDefault="0002407D" w:rsidP="0002407D">
      <w:pPr>
        <w:pStyle w:val="NoSpacing"/>
      </w:pPr>
      <w:r>
        <w:t>The Independent Broad-based Anti-Corruption Commission (IBAC)</w:t>
      </w:r>
    </w:p>
    <w:p w14:paraId="7FD224B1" w14:textId="4B7C75C0" w:rsidR="0002407D" w:rsidRDefault="0002407D" w:rsidP="0002407D">
      <w:pPr>
        <w:pStyle w:val="NoSpacing"/>
      </w:pPr>
      <w:r>
        <w:t>Level 1, North Tower, 459 Collins Street,</w:t>
      </w:r>
    </w:p>
    <w:p w14:paraId="3BD6866C" w14:textId="1C62584F" w:rsidR="0002407D" w:rsidRDefault="0002407D" w:rsidP="0002407D">
      <w:pPr>
        <w:pStyle w:val="NoSpacing"/>
      </w:pPr>
      <w:r>
        <w:t>Melbourne Vic 3000</w:t>
      </w:r>
    </w:p>
    <w:p w14:paraId="2FEFBB45" w14:textId="694B70D7" w:rsidR="0002407D" w:rsidRDefault="0002407D" w:rsidP="0002407D">
      <w:pPr>
        <w:pStyle w:val="NoSpacing"/>
      </w:pPr>
      <w:r>
        <w:t>Telephone: 1300 735 135</w:t>
      </w:r>
    </w:p>
    <w:p w14:paraId="0E34DE32" w14:textId="4284CD02" w:rsidR="0099282F" w:rsidRDefault="00C9062D" w:rsidP="0002407D">
      <w:pPr>
        <w:pStyle w:val="NoSpacing"/>
      </w:pPr>
      <w:hyperlink r:id="rId31" w:history="1">
        <w:r w:rsidR="0099282F" w:rsidRPr="0099282F">
          <w:rPr>
            <w:rStyle w:val="Hyperlink"/>
          </w:rPr>
          <w:t>IBAC Website</w:t>
        </w:r>
      </w:hyperlink>
      <w:r w:rsidR="0099282F">
        <w:rPr>
          <w:rStyle w:val="FootnoteReference"/>
        </w:rPr>
        <w:footnoteReference w:id="2"/>
      </w:r>
    </w:p>
    <w:p w14:paraId="08C87BAC" w14:textId="00D21D0F" w:rsidR="0002407D" w:rsidRDefault="0002407D" w:rsidP="0002407D">
      <w:pPr>
        <w:pStyle w:val="Heading3"/>
      </w:pPr>
      <w:bookmarkStart w:id="163" w:name="_Toc62808108"/>
      <w:r>
        <w:t>Further Information</w:t>
      </w:r>
      <w:bookmarkEnd w:id="163"/>
    </w:p>
    <w:p w14:paraId="69F34BDD" w14:textId="0AA57A29" w:rsidR="0002407D" w:rsidRDefault="0002407D" w:rsidP="0002407D">
      <w:pPr>
        <w:pStyle w:val="BodyText"/>
      </w:pPr>
      <w:r>
        <w:t xml:space="preserve">Further Information about what constitutes improper conduct, how to make a disclosure, what happens when a disclosure is made, the protections and support available to disclosers, and the support available to a </w:t>
      </w:r>
      <w:r w:rsidR="009B1462">
        <w:t>Court Services Victoria</w:t>
      </w:r>
      <w:r>
        <w:t xml:space="preserve"> employee who is being investigated can be found in the Making and Handling Public Interest Disclosures Policy. To request a copy of the Policy, please contact </w:t>
      </w:r>
      <w:hyperlink r:id="rId32" w:history="1">
        <w:r w:rsidR="0056749D" w:rsidRPr="00C037E1">
          <w:rPr>
            <w:rStyle w:val="Hyperlink"/>
          </w:rPr>
          <w:t>feedback@courts.vic.gov.au</w:t>
        </w:r>
      </w:hyperlink>
      <w:r>
        <w:t>.</w:t>
      </w:r>
    </w:p>
    <w:p w14:paraId="6D5E9D03" w14:textId="4EE86587" w:rsidR="0002407D" w:rsidRDefault="0002407D" w:rsidP="0002407D">
      <w:pPr>
        <w:pStyle w:val="Heading2"/>
      </w:pPr>
      <w:bookmarkStart w:id="164" w:name="_Ref61896043"/>
      <w:bookmarkStart w:id="165" w:name="_Ref61897405"/>
      <w:bookmarkStart w:id="166" w:name="_Toc62808109"/>
      <w:r>
        <w:t>Compliance with the Carers Recognition Act 2012</w:t>
      </w:r>
      <w:bookmarkEnd w:id="164"/>
      <w:bookmarkEnd w:id="165"/>
      <w:bookmarkEnd w:id="166"/>
    </w:p>
    <w:p w14:paraId="221CD398" w14:textId="4A782AE2" w:rsidR="0002407D" w:rsidRDefault="009B1462" w:rsidP="0002407D">
      <w:pPr>
        <w:pStyle w:val="BodyText"/>
      </w:pPr>
      <w:r>
        <w:t>Court Services Victoria</w:t>
      </w:r>
      <w:r w:rsidR="0002407D">
        <w:t xml:space="preserve"> has taken all practical measures to comply with its obligations under the </w:t>
      </w:r>
      <w:r w:rsidR="0002407D" w:rsidRPr="0099282F">
        <w:rPr>
          <w:rStyle w:val="Italics"/>
        </w:rPr>
        <w:t>Carers Recognition Act 2012</w:t>
      </w:r>
      <w:r w:rsidR="0002407D">
        <w:t xml:space="preserve"> by providing all new employees with information about their rights under the legislation and ensuring that existing employees who have carer responsibilities are supported to balance work responsibilities and caring commitments in accordance with the Victorian Public Service Enterprise Agreement 2016.</w:t>
      </w:r>
    </w:p>
    <w:p w14:paraId="4FC181E6" w14:textId="6BF28A10" w:rsidR="00A636B5" w:rsidRDefault="009B1462" w:rsidP="0002407D">
      <w:pPr>
        <w:pStyle w:val="BodyText"/>
      </w:pPr>
      <w:r>
        <w:t>Court Services Victoria</w:t>
      </w:r>
      <w:r w:rsidR="0002407D">
        <w:t xml:space="preserve"> also considers the care relationship principles when setting policies and developing programs. A number of </w:t>
      </w:r>
      <w:r>
        <w:t>Court Services Victoria</w:t>
      </w:r>
      <w:r w:rsidR="0002407D">
        <w:t xml:space="preserve"> people management policies, resources and programs reflect the guiding principles of the Carers Recognition Act. In particular during 2019-20, several new initiatives were introduced in order to support employees with caring responsibilities during the coronavirus (COVID-19) pandemic. This included extended provisions of the Employee Assistance Program, additional leave provisions, Frequently Asked Questions guidance, and targeted supports for working parents.</w:t>
      </w:r>
    </w:p>
    <w:p w14:paraId="6374F8CF" w14:textId="77777777" w:rsidR="004B6BAC" w:rsidRPr="007A0D86" w:rsidRDefault="004B6BAC" w:rsidP="004B6BAC">
      <w:pPr>
        <w:pStyle w:val="Heading2"/>
      </w:pPr>
      <w:bookmarkStart w:id="167" w:name="_Toc62808110"/>
      <w:r w:rsidRPr="007A0D86">
        <w:t>Consultancy Expenditure</w:t>
      </w:r>
      <w:bookmarkEnd w:id="167"/>
    </w:p>
    <w:p w14:paraId="197A00A2" w14:textId="14D944A5" w:rsidR="004B6BAC" w:rsidRPr="007A0D86" w:rsidRDefault="004B6BAC" w:rsidP="004B6BAC">
      <w:pPr>
        <w:pStyle w:val="Heading3"/>
      </w:pPr>
      <w:bookmarkStart w:id="168" w:name="_Ref22640275"/>
      <w:bookmarkStart w:id="169" w:name="_Toc62808111"/>
      <w:r w:rsidRPr="007A0D86">
        <w:t xml:space="preserve">Details </w:t>
      </w:r>
      <w:r w:rsidR="008C0C18">
        <w:t>of</w:t>
      </w:r>
      <w:r w:rsidR="00C21B98">
        <w:t xml:space="preserve"> Consultancies Valued at $10,000 o</w:t>
      </w:r>
      <w:r w:rsidRPr="007A0D86">
        <w:t>r Greater</w:t>
      </w:r>
      <w:bookmarkEnd w:id="168"/>
      <w:bookmarkEnd w:id="169"/>
    </w:p>
    <w:p w14:paraId="0CC3EF29" w14:textId="77777777" w:rsidR="00C9062D" w:rsidRPr="003A0C7A" w:rsidRDefault="00C9062D" w:rsidP="00C9062D">
      <w:pPr>
        <w:rPr>
          <w:rFonts w:ascii="Arial" w:hAnsi="Arial"/>
          <w:color w:val="000000"/>
        </w:rPr>
      </w:pPr>
      <w:r w:rsidRPr="00264C09">
        <w:rPr>
          <w:rFonts w:ascii="Arial" w:hAnsi="Arial"/>
          <w:color w:val="000000"/>
        </w:rPr>
        <w:t>In 2019-20, there were 28 consultancies where the total fees payable to the consultants were $10,000 or greater. The total expenditure incurred during 2019-20 in relation to these consultancies is $4.55 million (excluding GST).</w:t>
      </w:r>
    </w:p>
    <w:p w14:paraId="14AA773E" w14:textId="77777777" w:rsidR="00C9062D" w:rsidRPr="003A0C7A" w:rsidRDefault="004B6BAC" w:rsidP="00C9062D">
      <w:pPr>
        <w:keepNext/>
        <w:tabs>
          <w:tab w:val="left" w:pos="1134"/>
        </w:tabs>
        <w:spacing w:before="120" w:after="120"/>
        <w:ind w:left="1134" w:hanging="1134"/>
        <w:rPr>
          <w:rFonts w:ascii="Arial Bold" w:hAnsi="Arial Bold"/>
          <w:bCs/>
          <w:sz w:val="20"/>
        </w:rPr>
      </w:pPr>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10</w:t>
      </w:r>
      <w:r w:rsidR="00D42A70">
        <w:rPr>
          <w:noProof/>
        </w:rPr>
        <w:fldChar w:fldCharType="end"/>
      </w:r>
      <w:r w:rsidRPr="007A0D86">
        <w:t xml:space="preserve">: Consultancies Valued </w:t>
      </w:r>
      <w:r w:rsidR="00C21B98">
        <w:t>at $10,000 o</w:t>
      </w:r>
      <w:r w:rsidRPr="007A0D86">
        <w:t>r Greater</w:t>
      </w:r>
      <w:bookmarkStart w:id="170" w:name="_Ref22640281"/>
    </w:p>
    <w:tbl>
      <w:tblPr>
        <w:tblStyle w:val="TableGrid"/>
        <w:tblW w:w="5000" w:type="pct"/>
        <w:tblLook w:val="0420" w:firstRow="1" w:lastRow="0" w:firstColumn="0" w:lastColumn="0" w:noHBand="0" w:noVBand="1"/>
      </w:tblPr>
      <w:tblGrid>
        <w:gridCol w:w="1976"/>
        <w:gridCol w:w="2963"/>
        <w:gridCol w:w="1607"/>
        <w:gridCol w:w="1549"/>
        <w:gridCol w:w="1547"/>
      </w:tblGrid>
      <w:tr w:rsidR="00C9062D" w:rsidRPr="003A0C7A" w14:paraId="12DF972A" w14:textId="77777777" w:rsidTr="00C9062D">
        <w:trPr>
          <w:cnfStyle w:val="100000000000" w:firstRow="1" w:lastRow="0" w:firstColumn="0" w:lastColumn="0" w:oddVBand="0" w:evenVBand="0" w:oddHBand="0" w:evenHBand="0" w:firstRowFirstColumn="0" w:firstRowLastColumn="0" w:lastRowFirstColumn="0" w:lastRowLastColumn="0"/>
        </w:trPr>
        <w:tc>
          <w:tcPr>
            <w:tcW w:w="1031" w:type="pct"/>
            <w:vAlign w:val="bottom"/>
          </w:tcPr>
          <w:p w14:paraId="6AAD2FDB" w14:textId="77777777" w:rsidR="00C9062D" w:rsidRPr="003A0C7A" w:rsidRDefault="00C9062D" w:rsidP="00C9062D">
            <w:pPr>
              <w:rPr>
                <w:sz w:val="20"/>
              </w:rPr>
            </w:pPr>
            <w:bookmarkStart w:id="171" w:name="ColumnTitle_31"/>
            <w:r w:rsidRPr="003A0C7A">
              <w:rPr>
                <w:sz w:val="20"/>
              </w:rPr>
              <w:t>Consultant</w:t>
            </w:r>
          </w:p>
        </w:tc>
        <w:tc>
          <w:tcPr>
            <w:tcW w:w="1542" w:type="pct"/>
            <w:vAlign w:val="bottom"/>
          </w:tcPr>
          <w:p w14:paraId="1111D674" w14:textId="77777777" w:rsidR="00C9062D" w:rsidRPr="003A0C7A" w:rsidRDefault="00C9062D" w:rsidP="00C9062D">
            <w:pPr>
              <w:rPr>
                <w:sz w:val="20"/>
              </w:rPr>
            </w:pPr>
            <w:r w:rsidRPr="003A0C7A">
              <w:rPr>
                <w:sz w:val="20"/>
              </w:rPr>
              <w:t>Purpose of consultancy</w:t>
            </w:r>
          </w:p>
        </w:tc>
        <w:tc>
          <w:tcPr>
            <w:tcW w:w="810" w:type="pct"/>
            <w:vAlign w:val="bottom"/>
          </w:tcPr>
          <w:p w14:paraId="745CD736" w14:textId="77777777" w:rsidR="00C9062D" w:rsidRPr="003A0C7A" w:rsidRDefault="00C9062D" w:rsidP="00C9062D">
            <w:pPr>
              <w:jc w:val="right"/>
              <w:rPr>
                <w:sz w:val="20"/>
              </w:rPr>
            </w:pPr>
            <w:r w:rsidRPr="003A0C7A">
              <w:rPr>
                <w:sz w:val="20"/>
              </w:rPr>
              <w:t>Total approved project fee</w:t>
            </w:r>
            <w:r w:rsidRPr="003A0C7A">
              <w:rPr>
                <w:sz w:val="20"/>
              </w:rPr>
              <w:br/>
              <w:t>$ (excl. GST)</w:t>
            </w:r>
          </w:p>
        </w:tc>
        <w:tc>
          <w:tcPr>
            <w:tcW w:w="809" w:type="pct"/>
            <w:vAlign w:val="bottom"/>
          </w:tcPr>
          <w:p w14:paraId="28B91FDD" w14:textId="77777777" w:rsidR="00C9062D" w:rsidRPr="003A0C7A" w:rsidRDefault="00C9062D" w:rsidP="00C9062D">
            <w:pPr>
              <w:jc w:val="right"/>
              <w:rPr>
                <w:sz w:val="20"/>
              </w:rPr>
            </w:pPr>
            <w:r w:rsidRPr="003A0C7A">
              <w:rPr>
                <w:sz w:val="20"/>
              </w:rPr>
              <w:t>Expenditure</w:t>
            </w:r>
            <w:r w:rsidRPr="003A0C7A">
              <w:rPr>
                <w:sz w:val="20"/>
              </w:rPr>
              <w:br/>
              <w:t xml:space="preserve">$ (excl. GST) </w:t>
            </w:r>
          </w:p>
        </w:tc>
        <w:tc>
          <w:tcPr>
            <w:tcW w:w="808" w:type="pct"/>
            <w:vAlign w:val="bottom"/>
          </w:tcPr>
          <w:p w14:paraId="610834D4" w14:textId="77777777" w:rsidR="00C9062D" w:rsidRPr="003A0C7A" w:rsidRDefault="00C9062D" w:rsidP="00C9062D">
            <w:pPr>
              <w:jc w:val="right"/>
              <w:rPr>
                <w:sz w:val="20"/>
              </w:rPr>
            </w:pPr>
            <w:r w:rsidRPr="003A0C7A">
              <w:rPr>
                <w:sz w:val="20"/>
              </w:rPr>
              <w:t>Future Expenditure</w:t>
            </w:r>
            <w:r w:rsidRPr="003A0C7A">
              <w:rPr>
                <w:sz w:val="20"/>
              </w:rPr>
              <w:br/>
              <w:t>$ (excl. GST)</w:t>
            </w:r>
          </w:p>
        </w:tc>
      </w:tr>
      <w:bookmarkEnd w:id="171"/>
      <w:tr w:rsidR="00C9062D" w:rsidRPr="003A0C7A" w14:paraId="68BCE93B" w14:textId="77777777" w:rsidTr="00C9062D">
        <w:tc>
          <w:tcPr>
            <w:tcW w:w="1031" w:type="pct"/>
          </w:tcPr>
          <w:p w14:paraId="26B6DA2F" w14:textId="77777777" w:rsidR="00C9062D" w:rsidRPr="003A0C7A" w:rsidRDefault="00C9062D" w:rsidP="00C9062D">
            <w:pPr>
              <w:rPr>
                <w:rFonts w:ascii="Arial" w:hAnsi="Arial"/>
                <w:sz w:val="20"/>
              </w:rPr>
            </w:pPr>
            <w:r w:rsidRPr="003A0C7A">
              <w:rPr>
                <w:rFonts w:ascii="Arial" w:hAnsi="Arial"/>
                <w:sz w:val="20"/>
              </w:rPr>
              <w:t>4C Management Solutions Pty Ltd</w:t>
            </w:r>
          </w:p>
        </w:tc>
        <w:tc>
          <w:tcPr>
            <w:tcW w:w="1542" w:type="pct"/>
          </w:tcPr>
          <w:p w14:paraId="4FDD1231" w14:textId="77777777" w:rsidR="00C9062D" w:rsidRPr="003A0C7A" w:rsidRDefault="00C9062D" w:rsidP="00C9062D">
            <w:pPr>
              <w:rPr>
                <w:rFonts w:ascii="Arial" w:hAnsi="Arial"/>
                <w:sz w:val="20"/>
              </w:rPr>
            </w:pPr>
            <w:r w:rsidRPr="003A0C7A">
              <w:rPr>
                <w:rFonts w:ascii="Arial" w:hAnsi="Arial"/>
                <w:sz w:val="20"/>
              </w:rPr>
              <w:t>Court Services Victoria Fleet Management Review</w:t>
            </w:r>
          </w:p>
        </w:tc>
        <w:tc>
          <w:tcPr>
            <w:tcW w:w="810" w:type="pct"/>
          </w:tcPr>
          <w:p w14:paraId="6F0FC8D3" w14:textId="77777777" w:rsidR="00C9062D" w:rsidRPr="003A0C7A" w:rsidRDefault="00C9062D" w:rsidP="00C9062D">
            <w:pPr>
              <w:jc w:val="right"/>
              <w:rPr>
                <w:rFonts w:ascii="Arial" w:hAnsi="Arial"/>
                <w:sz w:val="20"/>
              </w:rPr>
            </w:pPr>
            <w:r w:rsidRPr="003A0C7A">
              <w:rPr>
                <w:rFonts w:ascii="Arial" w:hAnsi="Arial"/>
                <w:sz w:val="20"/>
              </w:rPr>
              <w:t>$24,360.00</w:t>
            </w:r>
          </w:p>
        </w:tc>
        <w:tc>
          <w:tcPr>
            <w:tcW w:w="809" w:type="pct"/>
          </w:tcPr>
          <w:p w14:paraId="4B983D7D" w14:textId="77777777" w:rsidR="00C9062D" w:rsidRPr="003A0C7A" w:rsidRDefault="00C9062D" w:rsidP="00C9062D">
            <w:pPr>
              <w:jc w:val="right"/>
              <w:rPr>
                <w:rFonts w:ascii="Arial" w:hAnsi="Arial"/>
                <w:sz w:val="20"/>
              </w:rPr>
            </w:pPr>
            <w:r w:rsidRPr="003A0C7A">
              <w:rPr>
                <w:rFonts w:ascii="Arial" w:hAnsi="Arial"/>
                <w:sz w:val="20"/>
              </w:rPr>
              <w:t>$24,360.00</w:t>
            </w:r>
          </w:p>
        </w:tc>
        <w:tc>
          <w:tcPr>
            <w:tcW w:w="808" w:type="pct"/>
          </w:tcPr>
          <w:p w14:paraId="2A7BC18C"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4C7E4146" w14:textId="77777777" w:rsidTr="00C9062D">
        <w:tc>
          <w:tcPr>
            <w:tcW w:w="1031" w:type="pct"/>
          </w:tcPr>
          <w:p w14:paraId="324C6050" w14:textId="77777777" w:rsidR="00C9062D" w:rsidRPr="003A0C7A" w:rsidRDefault="00C9062D" w:rsidP="00C9062D">
            <w:pPr>
              <w:rPr>
                <w:rFonts w:ascii="Arial" w:hAnsi="Arial"/>
                <w:sz w:val="20"/>
              </w:rPr>
            </w:pPr>
            <w:proofErr w:type="spellStart"/>
            <w:r w:rsidRPr="003A0C7A">
              <w:rPr>
                <w:rFonts w:ascii="Arial" w:hAnsi="Arial"/>
                <w:sz w:val="20"/>
              </w:rPr>
              <w:t>Atlin</w:t>
            </w:r>
            <w:proofErr w:type="spellEnd"/>
            <w:r w:rsidRPr="003A0C7A">
              <w:rPr>
                <w:rFonts w:ascii="Arial" w:hAnsi="Arial"/>
                <w:sz w:val="20"/>
              </w:rPr>
              <w:t xml:space="preserve"> Pty Ltd</w:t>
            </w:r>
          </w:p>
        </w:tc>
        <w:tc>
          <w:tcPr>
            <w:tcW w:w="1542" w:type="pct"/>
          </w:tcPr>
          <w:p w14:paraId="3717BBC6" w14:textId="77777777" w:rsidR="00C9062D" w:rsidRPr="003A0C7A" w:rsidRDefault="00C9062D" w:rsidP="00C9062D">
            <w:pPr>
              <w:rPr>
                <w:rFonts w:ascii="Arial" w:hAnsi="Arial"/>
                <w:sz w:val="20"/>
              </w:rPr>
            </w:pPr>
            <w:r w:rsidRPr="003A0C7A">
              <w:rPr>
                <w:rFonts w:ascii="Arial" w:hAnsi="Arial"/>
                <w:sz w:val="20"/>
              </w:rPr>
              <w:t>Organisational Change Support Services</w:t>
            </w:r>
          </w:p>
        </w:tc>
        <w:tc>
          <w:tcPr>
            <w:tcW w:w="810" w:type="pct"/>
          </w:tcPr>
          <w:p w14:paraId="248B6530" w14:textId="77777777" w:rsidR="00C9062D" w:rsidRPr="003A0C7A" w:rsidRDefault="00C9062D" w:rsidP="00C9062D">
            <w:pPr>
              <w:jc w:val="right"/>
              <w:rPr>
                <w:rFonts w:ascii="Arial" w:hAnsi="Arial"/>
                <w:sz w:val="20"/>
              </w:rPr>
            </w:pPr>
            <w:r w:rsidRPr="003A0C7A">
              <w:rPr>
                <w:rFonts w:ascii="Arial" w:hAnsi="Arial"/>
                <w:sz w:val="20"/>
              </w:rPr>
              <w:t>$5,676,480.00</w:t>
            </w:r>
          </w:p>
        </w:tc>
        <w:tc>
          <w:tcPr>
            <w:tcW w:w="809" w:type="pct"/>
          </w:tcPr>
          <w:p w14:paraId="12B59624" w14:textId="77777777" w:rsidR="00C9062D" w:rsidRPr="003A0C7A" w:rsidRDefault="00C9062D" w:rsidP="00C9062D">
            <w:pPr>
              <w:jc w:val="right"/>
              <w:rPr>
                <w:rFonts w:ascii="Arial" w:hAnsi="Arial"/>
                <w:sz w:val="20"/>
              </w:rPr>
            </w:pPr>
            <w:r w:rsidRPr="003A0C7A">
              <w:rPr>
                <w:rFonts w:ascii="Arial" w:hAnsi="Arial"/>
                <w:sz w:val="20"/>
              </w:rPr>
              <w:t>$1,574,900.95</w:t>
            </w:r>
          </w:p>
        </w:tc>
        <w:tc>
          <w:tcPr>
            <w:tcW w:w="808" w:type="pct"/>
          </w:tcPr>
          <w:p w14:paraId="5B4DA34A" w14:textId="77777777" w:rsidR="00C9062D" w:rsidRPr="003A0C7A" w:rsidRDefault="00C9062D" w:rsidP="00C9062D">
            <w:pPr>
              <w:jc w:val="right"/>
              <w:rPr>
                <w:rFonts w:ascii="Arial" w:hAnsi="Arial"/>
                <w:sz w:val="20"/>
              </w:rPr>
            </w:pPr>
            <w:r w:rsidRPr="003A0C7A">
              <w:rPr>
                <w:rFonts w:ascii="Arial" w:hAnsi="Arial"/>
                <w:sz w:val="20"/>
              </w:rPr>
              <w:t>$4,101,579.05</w:t>
            </w:r>
          </w:p>
        </w:tc>
      </w:tr>
      <w:tr w:rsidR="00C9062D" w:rsidRPr="003A0C7A" w14:paraId="262C2DFC" w14:textId="77777777" w:rsidTr="00C9062D">
        <w:tc>
          <w:tcPr>
            <w:tcW w:w="1031" w:type="pct"/>
          </w:tcPr>
          <w:p w14:paraId="229AE9C8" w14:textId="77777777" w:rsidR="00C9062D" w:rsidRPr="003A0C7A" w:rsidRDefault="00C9062D" w:rsidP="00C9062D">
            <w:pPr>
              <w:rPr>
                <w:rFonts w:ascii="Arial" w:hAnsi="Arial"/>
                <w:sz w:val="20"/>
              </w:rPr>
            </w:pPr>
            <w:r w:rsidRPr="003A0C7A">
              <w:rPr>
                <w:rFonts w:ascii="Arial" w:hAnsi="Arial"/>
                <w:sz w:val="20"/>
              </w:rPr>
              <w:t>Brendan Devine</w:t>
            </w:r>
          </w:p>
        </w:tc>
        <w:tc>
          <w:tcPr>
            <w:tcW w:w="1542" w:type="pct"/>
          </w:tcPr>
          <w:p w14:paraId="2C075ED8" w14:textId="77777777" w:rsidR="00C9062D" w:rsidRPr="003A0C7A" w:rsidRDefault="00C9062D" w:rsidP="00C9062D">
            <w:pPr>
              <w:rPr>
                <w:rFonts w:ascii="Arial" w:hAnsi="Arial"/>
                <w:sz w:val="20"/>
              </w:rPr>
            </w:pPr>
            <w:r w:rsidRPr="003A0C7A">
              <w:rPr>
                <w:rFonts w:ascii="Arial" w:hAnsi="Arial"/>
                <w:sz w:val="20"/>
              </w:rPr>
              <w:t>GIPS and SCV Services Integration</w:t>
            </w:r>
          </w:p>
        </w:tc>
        <w:tc>
          <w:tcPr>
            <w:tcW w:w="810" w:type="pct"/>
          </w:tcPr>
          <w:p w14:paraId="31CE5F5C" w14:textId="77777777" w:rsidR="00C9062D" w:rsidRPr="003A0C7A" w:rsidRDefault="00C9062D" w:rsidP="00C9062D">
            <w:pPr>
              <w:jc w:val="right"/>
              <w:rPr>
                <w:rFonts w:ascii="Arial" w:hAnsi="Arial"/>
                <w:sz w:val="20"/>
              </w:rPr>
            </w:pPr>
            <w:r w:rsidRPr="003A0C7A">
              <w:rPr>
                <w:rFonts w:ascii="Arial" w:hAnsi="Arial"/>
                <w:sz w:val="20"/>
              </w:rPr>
              <w:t>$72,000.00</w:t>
            </w:r>
          </w:p>
        </w:tc>
        <w:tc>
          <w:tcPr>
            <w:tcW w:w="809" w:type="pct"/>
          </w:tcPr>
          <w:p w14:paraId="552D0C8F" w14:textId="77777777" w:rsidR="00C9062D" w:rsidRPr="003A0C7A" w:rsidRDefault="00C9062D" w:rsidP="00C9062D">
            <w:pPr>
              <w:jc w:val="right"/>
              <w:rPr>
                <w:rFonts w:ascii="Arial" w:hAnsi="Arial"/>
                <w:sz w:val="20"/>
              </w:rPr>
            </w:pPr>
            <w:r w:rsidRPr="003A0C7A">
              <w:rPr>
                <w:rFonts w:ascii="Arial" w:hAnsi="Arial"/>
                <w:sz w:val="20"/>
              </w:rPr>
              <w:t>$18,000.00</w:t>
            </w:r>
          </w:p>
        </w:tc>
        <w:tc>
          <w:tcPr>
            <w:tcW w:w="808" w:type="pct"/>
          </w:tcPr>
          <w:p w14:paraId="3C47B65F" w14:textId="77777777" w:rsidR="00C9062D" w:rsidRPr="003A0C7A" w:rsidRDefault="00C9062D" w:rsidP="00C9062D">
            <w:pPr>
              <w:jc w:val="right"/>
              <w:rPr>
                <w:rFonts w:ascii="Arial" w:hAnsi="Arial"/>
                <w:sz w:val="20"/>
              </w:rPr>
            </w:pPr>
            <w:r w:rsidRPr="003A0C7A">
              <w:rPr>
                <w:rFonts w:ascii="Arial" w:hAnsi="Arial"/>
                <w:sz w:val="20"/>
              </w:rPr>
              <w:t>$54,000.00</w:t>
            </w:r>
          </w:p>
        </w:tc>
      </w:tr>
      <w:tr w:rsidR="00C9062D" w:rsidRPr="003A0C7A" w14:paraId="5D8B77E7" w14:textId="77777777" w:rsidTr="00C9062D">
        <w:tc>
          <w:tcPr>
            <w:tcW w:w="1031" w:type="pct"/>
          </w:tcPr>
          <w:p w14:paraId="07ECDD5D" w14:textId="77777777" w:rsidR="00C9062D" w:rsidRPr="003A0C7A" w:rsidRDefault="00C9062D" w:rsidP="00C9062D">
            <w:pPr>
              <w:rPr>
                <w:rFonts w:ascii="Arial" w:hAnsi="Arial"/>
                <w:sz w:val="20"/>
              </w:rPr>
            </w:pPr>
            <w:r w:rsidRPr="003A0C7A">
              <w:rPr>
                <w:rFonts w:ascii="Arial" w:hAnsi="Arial"/>
                <w:sz w:val="20"/>
              </w:rPr>
              <w:t>Clear Horizon Consulting Pty Ltd</w:t>
            </w:r>
          </w:p>
        </w:tc>
        <w:tc>
          <w:tcPr>
            <w:tcW w:w="1542" w:type="pct"/>
          </w:tcPr>
          <w:p w14:paraId="24F4F0D5" w14:textId="77777777" w:rsidR="00C9062D" w:rsidRPr="003A0C7A" w:rsidRDefault="00C9062D" w:rsidP="00C9062D">
            <w:pPr>
              <w:rPr>
                <w:rFonts w:ascii="Arial" w:hAnsi="Arial"/>
                <w:sz w:val="20"/>
              </w:rPr>
            </w:pPr>
            <w:r w:rsidRPr="003A0C7A">
              <w:rPr>
                <w:rFonts w:ascii="Arial" w:hAnsi="Arial"/>
                <w:sz w:val="20"/>
              </w:rPr>
              <w:t>Evaluation of Mildura FVIO Breaches Pilot Project</w:t>
            </w:r>
          </w:p>
        </w:tc>
        <w:tc>
          <w:tcPr>
            <w:tcW w:w="810" w:type="pct"/>
          </w:tcPr>
          <w:p w14:paraId="63C7F01F" w14:textId="77777777" w:rsidR="00C9062D" w:rsidRPr="003A0C7A" w:rsidRDefault="00C9062D" w:rsidP="00C9062D">
            <w:pPr>
              <w:jc w:val="right"/>
              <w:rPr>
                <w:rFonts w:ascii="Arial" w:hAnsi="Arial"/>
                <w:sz w:val="20"/>
              </w:rPr>
            </w:pPr>
            <w:r w:rsidRPr="003A0C7A">
              <w:rPr>
                <w:rFonts w:ascii="Arial" w:hAnsi="Arial"/>
                <w:sz w:val="20"/>
              </w:rPr>
              <w:t>$107,759.09</w:t>
            </w:r>
          </w:p>
        </w:tc>
        <w:tc>
          <w:tcPr>
            <w:tcW w:w="809" w:type="pct"/>
          </w:tcPr>
          <w:p w14:paraId="0853BFD0" w14:textId="77777777" w:rsidR="00C9062D" w:rsidRPr="003A0C7A" w:rsidRDefault="00C9062D" w:rsidP="00C9062D">
            <w:pPr>
              <w:jc w:val="right"/>
              <w:rPr>
                <w:rFonts w:ascii="Arial" w:hAnsi="Arial"/>
                <w:sz w:val="20"/>
              </w:rPr>
            </w:pPr>
            <w:r w:rsidRPr="003A0C7A">
              <w:rPr>
                <w:rFonts w:ascii="Arial" w:hAnsi="Arial"/>
                <w:sz w:val="20"/>
              </w:rPr>
              <w:t>$10,616.00</w:t>
            </w:r>
          </w:p>
        </w:tc>
        <w:tc>
          <w:tcPr>
            <w:tcW w:w="808" w:type="pct"/>
          </w:tcPr>
          <w:p w14:paraId="0FF24D48" w14:textId="77777777" w:rsidR="00C9062D" w:rsidRPr="003A0C7A" w:rsidRDefault="00C9062D" w:rsidP="00C9062D">
            <w:pPr>
              <w:jc w:val="right"/>
              <w:rPr>
                <w:rFonts w:ascii="Arial" w:hAnsi="Arial"/>
                <w:sz w:val="20"/>
              </w:rPr>
            </w:pPr>
            <w:r w:rsidRPr="003A0C7A">
              <w:rPr>
                <w:rFonts w:ascii="Arial" w:hAnsi="Arial"/>
                <w:sz w:val="20"/>
              </w:rPr>
              <w:t>$97,143.09</w:t>
            </w:r>
          </w:p>
        </w:tc>
      </w:tr>
      <w:tr w:rsidR="00C9062D" w:rsidRPr="003A0C7A" w14:paraId="056000B2" w14:textId="77777777" w:rsidTr="00C9062D">
        <w:tc>
          <w:tcPr>
            <w:tcW w:w="1031" w:type="pct"/>
          </w:tcPr>
          <w:p w14:paraId="4A83D453" w14:textId="77777777" w:rsidR="00C9062D" w:rsidRPr="003A0C7A" w:rsidRDefault="00C9062D" w:rsidP="00C9062D">
            <w:pPr>
              <w:rPr>
                <w:rFonts w:ascii="Arial" w:hAnsi="Arial"/>
                <w:sz w:val="20"/>
              </w:rPr>
            </w:pPr>
            <w:proofErr w:type="spellStart"/>
            <w:r w:rsidRPr="003A0C7A">
              <w:rPr>
                <w:rFonts w:ascii="Arial" w:hAnsi="Arial"/>
                <w:sz w:val="20"/>
              </w:rPr>
              <w:t>Connley</w:t>
            </w:r>
            <w:proofErr w:type="spellEnd"/>
            <w:r w:rsidRPr="003A0C7A">
              <w:rPr>
                <w:rFonts w:ascii="Arial" w:hAnsi="Arial"/>
                <w:sz w:val="20"/>
              </w:rPr>
              <w:t xml:space="preserve"> Walker Pty Ltd</w:t>
            </w:r>
          </w:p>
        </w:tc>
        <w:tc>
          <w:tcPr>
            <w:tcW w:w="1542" w:type="pct"/>
          </w:tcPr>
          <w:p w14:paraId="3E755436" w14:textId="77777777" w:rsidR="00C9062D" w:rsidRPr="003A0C7A" w:rsidRDefault="00C9062D" w:rsidP="00C9062D">
            <w:pPr>
              <w:rPr>
                <w:rFonts w:ascii="Arial" w:hAnsi="Arial"/>
                <w:sz w:val="20"/>
              </w:rPr>
            </w:pPr>
            <w:r w:rsidRPr="003A0C7A">
              <w:rPr>
                <w:rFonts w:ascii="Arial" w:hAnsi="Arial"/>
                <w:sz w:val="20"/>
              </w:rPr>
              <w:t>Court Services Victoria Security Framework, Baseline Security Standards and Physical Security Plans</w:t>
            </w:r>
          </w:p>
        </w:tc>
        <w:tc>
          <w:tcPr>
            <w:tcW w:w="810" w:type="pct"/>
          </w:tcPr>
          <w:p w14:paraId="362C7036" w14:textId="77777777" w:rsidR="00C9062D" w:rsidRPr="003A0C7A" w:rsidRDefault="00C9062D" w:rsidP="00C9062D">
            <w:pPr>
              <w:jc w:val="right"/>
              <w:rPr>
                <w:rFonts w:ascii="Arial" w:hAnsi="Arial"/>
                <w:sz w:val="20"/>
              </w:rPr>
            </w:pPr>
            <w:r w:rsidRPr="003A0C7A">
              <w:rPr>
                <w:rFonts w:ascii="Arial" w:hAnsi="Arial"/>
                <w:sz w:val="20"/>
              </w:rPr>
              <w:t>$78,400.00</w:t>
            </w:r>
          </w:p>
        </w:tc>
        <w:tc>
          <w:tcPr>
            <w:tcW w:w="809" w:type="pct"/>
          </w:tcPr>
          <w:p w14:paraId="61D9A43A" w14:textId="77777777" w:rsidR="00C9062D" w:rsidRPr="003A0C7A" w:rsidRDefault="00C9062D" w:rsidP="00C9062D">
            <w:pPr>
              <w:jc w:val="right"/>
              <w:rPr>
                <w:rFonts w:ascii="Arial" w:hAnsi="Arial"/>
                <w:sz w:val="20"/>
              </w:rPr>
            </w:pPr>
            <w:r w:rsidRPr="003A0C7A">
              <w:rPr>
                <w:rFonts w:ascii="Arial" w:hAnsi="Arial"/>
                <w:sz w:val="20"/>
              </w:rPr>
              <w:t>$78,400.00</w:t>
            </w:r>
          </w:p>
        </w:tc>
        <w:tc>
          <w:tcPr>
            <w:tcW w:w="808" w:type="pct"/>
          </w:tcPr>
          <w:p w14:paraId="757E3263"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7B0AC369" w14:textId="77777777" w:rsidTr="00C9062D">
        <w:tc>
          <w:tcPr>
            <w:tcW w:w="1031" w:type="pct"/>
          </w:tcPr>
          <w:p w14:paraId="4F076289" w14:textId="77777777" w:rsidR="00C9062D" w:rsidRPr="003A0C7A" w:rsidRDefault="00C9062D" w:rsidP="00C9062D">
            <w:pPr>
              <w:rPr>
                <w:rFonts w:ascii="Arial" w:hAnsi="Arial"/>
                <w:sz w:val="20"/>
              </w:rPr>
            </w:pPr>
            <w:r w:rsidRPr="003A0C7A">
              <w:rPr>
                <w:rFonts w:ascii="Arial" w:hAnsi="Arial"/>
                <w:sz w:val="20"/>
              </w:rPr>
              <w:t>DB Moore Conflict Management</w:t>
            </w:r>
          </w:p>
        </w:tc>
        <w:tc>
          <w:tcPr>
            <w:tcW w:w="1542" w:type="pct"/>
          </w:tcPr>
          <w:p w14:paraId="695C129C" w14:textId="77777777" w:rsidR="00C9062D" w:rsidRPr="003A0C7A" w:rsidRDefault="00C9062D" w:rsidP="00C9062D">
            <w:pPr>
              <w:rPr>
                <w:rFonts w:ascii="Arial" w:hAnsi="Arial"/>
                <w:sz w:val="20"/>
              </w:rPr>
            </w:pPr>
            <w:r w:rsidRPr="003A0C7A">
              <w:rPr>
                <w:rFonts w:ascii="Arial" w:hAnsi="Arial"/>
                <w:sz w:val="20"/>
              </w:rPr>
              <w:t>Advice on Neighbourhood Justice Centre Community Peacemaking Project</w:t>
            </w:r>
          </w:p>
        </w:tc>
        <w:tc>
          <w:tcPr>
            <w:tcW w:w="810" w:type="pct"/>
          </w:tcPr>
          <w:p w14:paraId="0C42D9A5" w14:textId="77777777" w:rsidR="00C9062D" w:rsidRPr="003A0C7A" w:rsidRDefault="00C9062D" w:rsidP="00C9062D">
            <w:pPr>
              <w:jc w:val="right"/>
              <w:rPr>
                <w:rFonts w:ascii="Arial" w:hAnsi="Arial"/>
                <w:sz w:val="20"/>
              </w:rPr>
            </w:pPr>
            <w:r w:rsidRPr="003A0C7A">
              <w:rPr>
                <w:rFonts w:ascii="Arial" w:hAnsi="Arial"/>
                <w:sz w:val="20"/>
              </w:rPr>
              <w:t>$22,000.00</w:t>
            </w:r>
          </w:p>
        </w:tc>
        <w:tc>
          <w:tcPr>
            <w:tcW w:w="809" w:type="pct"/>
          </w:tcPr>
          <w:p w14:paraId="7BA442CA" w14:textId="77777777" w:rsidR="00C9062D" w:rsidRPr="003A0C7A" w:rsidRDefault="00C9062D" w:rsidP="00C9062D">
            <w:pPr>
              <w:jc w:val="right"/>
              <w:rPr>
                <w:rFonts w:ascii="Arial" w:hAnsi="Arial"/>
                <w:sz w:val="20"/>
              </w:rPr>
            </w:pPr>
            <w:r w:rsidRPr="003A0C7A">
              <w:rPr>
                <w:rFonts w:ascii="Arial" w:hAnsi="Arial"/>
                <w:sz w:val="20"/>
              </w:rPr>
              <w:t>$20,000.00</w:t>
            </w:r>
          </w:p>
        </w:tc>
        <w:tc>
          <w:tcPr>
            <w:tcW w:w="808" w:type="pct"/>
          </w:tcPr>
          <w:p w14:paraId="67A333E5" w14:textId="77777777" w:rsidR="00C9062D" w:rsidRPr="003A0C7A" w:rsidRDefault="00C9062D" w:rsidP="00C9062D">
            <w:pPr>
              <w:jc w:val="right"/>
              <w:rPr>
                <w:rFonts w:ascii="Arial" w:hAnsi="Arial"/>
                <w:sz w:val="20"/>
              </w:rPr>
            </w:pPr>
            <w:r w:rsidRPr="003A0C7A">
              <w:rPr>
                <w:rFonts w:ascii="Arial" w:hAnsi="Arial"/>
                <w:sz w:val="20"/>
              </w:rPr>
              <w:t>$2,000.00</w:t>
            </w:r>
          </w:p>
        </w:tc>
      </w:tr>
      <w:tr w:rsidR="00C9062D" w:rsidRPr="003A0C7A" w14:paraId="56BCBD99" w14:textId="77777777" w:rsidTr="00C9062D">
        <w:tc>
          <w:tcPr>
            <w:tcW w:w="1031" w:type="pct"/>
          </w:tcPr>
          <w:p w14:paraId="66F79093" w14:textId="77777777" w:rsidR="00C9062D" w:rsidRPr="003A0C7A" w:rsidRDefault="00C9062D" w:rsidP="00C9062D">
            <w:pPr>
              <w:rPr>
                <w:rFonts w:ascii="Arial" w:hAnsi="Arial"/>
                <w:sz w:val="20"/>
              </w:rPr>
            </w:pPr>
            <w:r w:rsidRPr="003A0C7A">
              <w:rPr>
                <w:rFonts w:ascii="Arial" w:hAnsi="Arial"/>
                <w:sz w:val="20"/>
              </w:rPr>
              <w:t>Deloitte Risk Advisory Pty Limited</w:t>
            </w:r>
          </w:p>
        </w:tc>
        <w:tc>
          <w:tcPr>
            <w:tcW w:w="1542" w:type="pct"/>
          </w:tcPr>
          <w:p w14:paraId="427233F0" w14:textId="77777777" w:rsidR="00C9062D" w:rsidRPr="003A0C7A" w:rsidRDefault="00C9062D" w:rsidP="00C9062D">
            <w:pPr>
              <w:rPr>
                <w:rFonts w:ascii="Arial" w:hAnsi="Arial"/>
                <w:sz w:val="20"/>
              </w:rPr>
            </w:pPr>
            <w:r w:rsidRPr="003A0C7A">
              <w:rPr>
                <w:rFonts w:ascii="Arial" w:hAnsi="Arial"/>
                <w:sz w:val="20"/>
              </w:rPr>
              <w:t>Fraud and Corruption Risk Assessment</w:t>
            </w:r>
          </w:p>
        </w:tc>
        <w:tc>
          <w:tcPr>
            <w:tcW w:w="810" w:type="pct"/>
          </w:tcPr>
          <w:p w14:paraId="323F648A" w14:textId="77777777" w:rsidR="00C9062D" w:rsidRPr="003A0C7A" w:rsidRDefault="00C9062D" w:rsidP="00C9062D">
            <w:pPr>
              <w:jc w:val="right"/>
              <w:rPr>
                <w:rFonts w:ascii="Arial" w:hAnsi="Arial"/>
                <w:sz w:val="20"/>
              </w:rPr>
            </w:pPr>
            <w:r w:rsidRPr="003A0C7A">
              <w:rPr>
                <w:rFonts w:ascii="Arial" w:hAnsi="Arial"/>
                <w:sz w:val="20"/>
              </w:rPr>
              <w:t>$113,348.00</w:t>
            </w:r>
          </w:p>
        </w:tc>
        <w:tc>
          <w:tcPr>
            <w:tcW w:w="809" w:type="pct"/>
          </w:tcPr>
          <w:p w14:paraId="4500E09E" w14:textId="77777777" w:rsidR="00C9062D" w:rsidRPr="003A0C7A" w:rsidRDefault="00C9062D" w:rsidP="00C9062D">
            <w:pPr>
              <w:jc w:val="right"/>
              <w:rPr>
                <w:rFonts w:ascii="Arial" w:hAnsi="Arial"/>
                <w:sz w:val="20"/>
              </w:rPr>
            </w:pPr>
            <w:r w:rsidRPr="003A0C7A">
              <w:rPr>
                <w:rFonts w:ascii="Arial" w:hAnsi="Arial"/>
                <w:sz w:val="20"/>
              </w:rPr>
              <w:t>$45,903.28</w:t>
            </w:r>
          </w:p>
        </w:tc>
        <w:tc>
          <w:tcPr>
            <w:tcW w:w="808" w:type="pct"/>
          </w:tcPr>
          <w:p w14:paraId="4DB5E91C" w14:textId="77777777" w:rsidR="00C9062D" w:rsidRPr="003A0C7A" w:rsidRDefault="00C9062D" w:rsidP="00C9062D">
            <w:pPr>
              <w:jc w:val="right"/>
              <w:rPr>
                <w:rFonts w:ascii="Arial" w:hAnsi="Arial"/>
                <w:sz w:val="20"/>
              </w:rPr>
            </w:pPr>
            <w:r w:rsidRPr="003A0C7A">
              <w:rPr>
                <w:rFonts w:ascii="Arial" w:hAnsi="Arial"/>
                <w:sz w:val="20"/>
              </w:rPr>
              <w:t>$67,444.72</w:t>
            </w:r>
          </w:p>
        </w:tc>
      </w:tr>
      <w:tr w:rsidR="00C9062D" w:rsidRPr="003A0C7A" w14:paraId="143FDB7E" w14:textId="77777777" w:rsidTr="00C9062D">
        <w:tc>
          <w:tcPr>
            <w:tcW w:w="1031" w:type="pct"/>
          </w:tcPr>
          <w:p w14:paraId="21C27C09" w14:textId="77777777" w:rsidR="00C9062D" w:rsidRPr="003A0C7A" w:rsidRDefault="00C9062D" w:rsidP="00C9062D">
            <w:pPr>
              <w:rPr>
                <w:rFonts w:ascii="Arial" w:hAnsi="Arial"/>
                <w:sz w:val="20"/>
              </w:rPr>
            </w:pPr>
            <w:r w:rsidRPr="003A0C7A">
              <w:rPr>
                <w:rFonts w:ascii="Arial" w:hAnsi="Arial"/>
                <w:sz w:val="20"/>
              </w:rPr>
              <w:t xml:space="preserve">Deloitte </w:t>
            </w:r>
            <w:proofErr w:type="spellStart"/>
            <w:r w:rsidRPr="003A0C7A">
              <w:rPr>
                <w:rFonts w:ascii="Arial" w:hAnsi="Arial"/>
                <w:sz w:val="20"/>
              </w:rPr>
              <w:t>Touche</w:t>
            </w:r>
            <w:proofErr w:type="spellEnd"/>
            <w:r w:rsidRPr="003A0C7A">
              <w:rPr>
                <w:rFonts w:ascii="Arial" w:hAnsi="Arial"/>
                <w:sz w:val="20"/>
              </w:rPr>
              <w:t xml:space="preserve"> Tohmatsu</w:t>
            </w:r>
          </w:p>
        </w:tc>
        <w:tc>
          <w:tcPr>
            <w:tcW w:w="1542" w:type="pct"/>
          </w:tcPr>
          <w:p w14:paraId="3D1D3CDC" w14:textId="77777777" w:rsidR="00C9062D" w:rsidRPr="003A0C7A" w:rsidRDefault="00C9062D" w:rsidP="00C9062D">
            <w:pPr>
              <w:rPr>
                <w:rFonts w:ascii="Arial" w:hAnsi="Arial"/>
                <w:sz w:val="20"/>
              </w:rPr>
            </w:pPr>
            <w:r w:rsidRPr="003A0C7A">
              <w:rPr>
                <w:rFonts w:ascii="Arial" w:hAnsi="Arial"/>
                <w:sz w:val="20"/>
              </w:rPr>
              <w:t>Future Directions for Courts Family Violence Reform</w:t>
            </w:r>
          </w:p>
        </w:tc>
        <w:tc>
          <w:tcPr>
            <w:tcW w:w="810" w:type="pct"/>
          </w:tcPr>
          <w:p w14:paraId="25B4AABA" w14:textId="77777777" w:rsidR="00C9062D" w:rsidRPr="003A0C7A" w:rsidRDefault="00C9062D" w:rsidP="00C9062D">
            <w:pPr>
              <w:jc w:val="right"/>
              <w:rPr>
                <w:rFonts w:ascii="Arial" w:hAnsi="Arial"/>
                <w:sz w:val="20"/>
              </w:rPr>
            </w:pPr>
            <w:r w:rsidRPr="003A0C7A">
              <w:rPr>
                <w:rFonts w:ascii="Arial" w:hAnsi="Arial"/>
                <w:sz w:val="20"/>
              </w:rPr>
              <w:t>$135,787.30</w:t>
            </w:r>
          </w:p>
        </w:tc>
        <w:tc>
          <w:tcPr>
            <w:tcW w:w="809" w:type="pct"/>
          </w:tcPr>
          <w:p w14:paraId="1F065D24" w14:textId="77777777" w:rsidR="00C9062D" w:rsidRPr="003A0C7A" w:rsidRDefault="00C9062D" w:rsidP="00C9062D">
            <w:pPr>
              <w:jc w:val="right"/>
              <w:rPr>
                <w:rFonts w:ascii="Arial" w:hAnsi="Arial"/>
                <w:sz w:val="20"/>
              </w:rPr>
            </w:pPr>
            <w:r w:rsidRPr="003A0C7A">
              <w:rPr>
                <w:rFonts w:ascii="Arial" w:hAnsi="Arial"/>
                <w:sz w:val="20"/>
              </w:rPr>
              <w:t>$135,787.30</w:t>
            </w:r>
          </w:p>
        </w:tc>
        <w:tc>
          <w:tcPr>
            <w:tcW w:w="808" w:type="pct"/>
          </w:tcPr>
          <w:p w14:paraId="522FF110"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1871A358" w14:textId="77777777" w:rsidTr="00C9062D">
        <w:tc>
          <w:tcPr>
            <w:tcW w:w="1031" w:type="pct"/>
          </w:tcPr>
          <w:p w14:paraId="70D41ABB" w14:textId="77777777" w:rsidR="00C9062D" w:rsidRPr="003A0C7A" w:rsidRDefault="00C9062D" w:rsidP="00C9062D">
            <w:pPr>
              <w:rPr>
                <w:rFonts w:ascii="Arial" w:hAnsi="Arial"/>
                <w:sz w:val="20"/>
              </w:rPr>
            </w:pPr>
            <w:r w:rsidRPr="003A0C7A">
              <w:rPr>
                <w:rFonts w:ascii="Arial" w:hAnsi="Arial"/>
                <w:sz w:val="20"/>
              </w:rPr>
              <w:t>FBG Group Pty Ltd</w:t>
            </w:r>
          </w:p>
        </w:tc>
        <w:tc>
          <w:tcPr>
            <w:tcW w:w="1542" w:type="pct"/>
          </w:tcPr>
          <w:p w14:paraId="14126D59" w14:textId="77777777" w:rsidR="00C9062D" w:rsidRPr="003A0C7A" w:rsidRDefault="00C9062D" w:rsidP="00C9062D">
            <w:pPr>
              <w:rPr>
                <w:rFonts w:ascii="Arial" w:hAnsi="Arial"/>
                <w:sz w:val="20"/>
              </w:rPr>
            </w:pPr>
            <w:r w:rsidRPr="003A0C7A">
              <w:rPr>
                <w:rFonts w:ascii="Arial" w:hAnsi="Arial"/>
                <w:sz w:val="20"/>
              </w:rPr>
              <w:t>Coroner Court Supervision Program Development</w:t>
            </w:r>
          </w:p>
        </w:tc>
        <w:tc>
          <w:tcPr>
            <w:tcW w:w="810" w:type="pct"/>
          </w:tcPr>
          <w:p w14:paraId="21F9BB16" w14:textId="77777777" w:rsidR="00C9062D" w:rsidRPr="003A0C7A" w:rsidRDefault="00C9062D" w:rsidP="00C9062D">
            <w:pPr>
              <w:jc w:val="right"/>
              <w:rPr>
                <w:rFonts w:ascii="Arial" w:hAnsi="Arial"/>
                <w:sz w:val="20"/>
              </w:rPr>
            </w:pPr>
            <w:r w:rsidRPr="003A0C7A">
              <w:rPr>
                <w:rFonts w:ascii="Arial" w:hAnsi="Arial"/>
                <w:sz w:val="20"/>
              </w:rPr>
              <w:t>$31,500.00</w:t>
            </w:r>
          </w:p>
        </w:tc>
        <w:tc>
          <w:tcPr>
            <w:tcW w:w="809" w:type="pct"/>
          </w:tcPr>
          <w:p w14:paraId="048B06F9" w14:textId="77777777" w:rsidR="00C9062D" w:rsidRPr="003A0C7A" w:rsidRDefault="00C9062D" w:rsidP="00C9062D">
            <w:pPr>
              <w:jc w:val="right"/>
              <w:rPr>
                <w:rFonts w:ascii="Arial" w:hAnsi="Arial"/>
                <w:sz w:val="20"/>
              </w:rPr>
            </w:pPr>
            <w:r w:rsidRPr="003A0C7A">
              <w:rPr>
                <w:rFonts w:ascii="Arial" w:hAnsi="Arial"/>
                <w:sz w:val="20"/>
              </w:rPr>
              <w:t>$15,650.00</w:t>
            </w:r>
          </w:p>
        </w:tc>
        <w:tc>
          <w:tcPr>
            <w:tcW w:w="808" w:type="pct"/>
          </w:tcPr>
          <w:p w14:paraId="649738F9" w14:textId="77777777" w:rsidR="00C9062D" w:rsidRPr="003A0C7A" w:rsidRDefault="00C9062D" w:rsidP="00C9062D">
            <w:pPr>
              <w:jc w:val="right"/>
              <w:rPr>
                <w:rFonts w:ascii="Arial" w:hAnsi="Arial"/>
                <w:sz w:val="20"/>
              </w:rPr>
            </w:pPr>
            <w:r w:rsidRPr="003A0C7A">
              <w:rPr>
                <w:rFonts w:ascii="Arial" w:hAnsi="Arial"/>
                <w:sz w:val="20"/>
              </w:rPr>
              <w:t>$15,850.00</w:t>
            </w:r>
          </w:p>
        </w:tc>
      </w:tr>
      <w:tr w:rsidR="00C9062D" w:rsidRPr="003A0C7A" w14:paraId="7F47EFAC" w14:textId="77777777" w:rsidTr="00C9062D">
        <w:tc>
          <w:tcPr>
            <w:tcW w:w="1031" w:type="pct"/>
          </w:tcPr>
          <w:p w14:paraId="5A94163F" w14:textId="77777777" w:rsidR="00C9062D" w:rsidRPr="003A0C7A" w:rsidRDefault="00C9062D" w:rsidP="00C9062D">
            <w:pPr>
              <w:rPr>
                <w:rFonts w:ascii="Arial" w:hAnsi="Arial"/>
                <w:sz w:val="20"/>
              </w:rPr>
            </w:pPr>
            <w:r w:rsidRPr="003A0C7A">
              <w:rPr>
                <w:rFonts w:ascii="Arial" w:hAnsi="Arial"/>
                <w:sz w:val="20"/>
              </w:rPr>
              <w:t>Grosvenor Management Consulting Pty Ltd</w:t>
            </w:r>
          </w:p>
        </w:tc>
        <w:tc>
          <w:tcPr>
            <w:tcW w:w="1542" w:type="pct"/>
          </w:tcPr>
          <w:p w14:paraId="7E266053" w14:textId="77777777" w:rsidR="00C9062D" w:rsidRPr="003A0C7A" w:rsidRDefault="00C9062D" w:rsidP="00C9062D">
            <w:pPr>
              <w:rPr>
                <w:rFonts w:ascii="Arial" w:hAnsi="Arial"/>
                <w:sz w:val="20"/>
              </w:rPr>
            </w:pPr>
            <w:r w:rsidRPr="003A0C7A">
              <w:rPr>
                <w:rFonts w:ascii="Arial" w:hAnsi="Arial"/>
                <w:sz w:val="20"/>
              </w:rPr>
              <w:t>Court Services Victoria Governance and Strategic Directions Review</w:t>
            </w:r>
          </w:p>
        </w:tc>
        <w:tc>
          <w:tcPr>
            <w:tcW w:w="810" w:type="pct"/>
          </w:tcPr>
          <w:p w14:paraId="214A5082" w14:textId="77777777" w:rsidR="00C9062D" w:rsidRPr="003A0C7A" w:rsidRDefault="00C9062D" w:rsidP="00C9062D">
            <w:pPr>
              <w:jc w:val="right"/>
              <w:rPr>
                <w:rFonts w:ascii="Arial" w:hAnsi="Arial"/>
                <w:sz w:val="20"/>
              </w:rPr>
            </w:pPr>
            <w:r w:rsidRPr="003A0C7A">
              <w:rPr>
                <w:rFonts w:ascii="Arial" w:hAnsi="Arial"/>
                <w:sz w:val="20"/>
              </w:rPr>
              <w:t>$218,191.82</w:t>
            </w:r>
          </w:p>
        </w:tc>
        <w:tc>
          <w:tcPr>
            <w:tcW w:w="809" w:type="pct"/>
          </w:tcPr>
          <w:p w14:paraId="3AFF448C" w14:textId="77777777" w:rsidR="00C9062D" w:rsidRPr="003A0C7A" w:rsidRDefault="00C9062D" w:rsidP="00C9062D">
            <w:pPr>
              <w:jc w:val="right"/>
              <w:rPr>
                <w:rFonts w:ascii="Arial" w:hAnsi="Arial"/>
                <w:sz w:val="20"/>
              </w:rPr>
            </w:pPr>
            <w:r w:rsidRPr="003A0C7A">
              <w:rPr>
                <w:rFonts w:ascii="Arial" w:hAnsi="Arial"/>
                <w:sz w:val="20"/>
              </w:rPr>
              <w:t>$25,000.00</w:t>
            </w:r>
          </w:p>
        </w:tc>
        <w:tc>
          <w:tcPr>
            <w:tcW w:w="808" w:type="pct"/>
          </w:tcPr>
          <w:p w14:paraId="6DF586F9" w14:textId="77777777" w:rsidR="00C9062D" w:rsidRPr="003A0C7A" w:rsidRDefault="00C9062D" w:rsidP="00C9062D">
            <w:pPr>
              <w:jc w:val="right"/>
              <w:rPr>
                <w:rFonts w:ascii="Arial" w:hAnsi="Arial"/>
                <w:sz w:val="20"/>
              </w:rPr>
            </w:pPr>
            <w:r w:rsidRPr="003A0C7A">
              <w:rPr>
                <w:rFonts w:ascii="Arial" w:hAnsi="Arial"/>
                <w:sz w:val="20"/>
              </w:rPr>
              <w:t>$193,191.82</w:t>
            </w:r>
          </w:p>
        </w:tc>
      </w:tr>
      <w:tr w:rsidR="00C9062D" w:rsidRPr="003A0C7A" w14:paraId="39623222" w14:textId="77777777" w:rsidTr="00C9062D">
        <w:tc>
          <w:tcPr>
            <w:tcW w:w="1031" w:type="pct"/>
          </w:tcPr>
          <w:p w14:paraId="05C28503" w14:textId="77777777" w:rsidR="00C9062D" w:rsidRPr="003A0C7A" w:rsidRDefault="00C9062D" w:rsidP="00C9062D">
            <w:pPr>
              <w:rPr>
                <w:rFonts w:ascii="Arial" w:hAnsi="Arial"/>
                <w:sz w:val="20"/>
              </w:rPr>
            </w:pPr>
            <w:r w:rsidRPr="003A0C7A">
              <w:rPr>
                <w:rFonts w:ascii="Arial" w:hAnsi="Arial"/>
                <w:sz w:val="20"/>
              </w:rPr>
              <w:t>Grosvenor Management Consulting Pty Ltd</w:t>
            </w:r>
          </w:p>
        </w:tc>
        <w:tc>
          <w:tcPr>
            <w:tcW w:w="1542" w:type="pct"/>
          </w:tcPr>
          <w:p w14:paraId="12756A62" w14:textId="77777777" w:rsidR="00C9062D" w:rsidRPr="003A0C7A" w:rsidRDefault="00C9062D" w:rsidP="00C9062D">
            <w:pPr>
              <w:rPr>
                <w:rFonts w:ascii="Arial" w:hAnsi="Arial"/>
                <w:sz w:val="20"/>
              </w:rPr>
            </w:pPr>
            <w:r w:rsidRPr="003A0C7A">
              <w:rPr>
                <w:rFonts w:ascii="Arial" w:hAnsi="Arial"/>
                <w:sz w:val="20"/>
              </w:rPr>
              <w:t>Developing Court Services Victoria Future Directions and Strategic Plan</w:t>
            </w:r>
          </w:p>
        </w:tc>
        <w:tc>
          <w:tcPr>
            <w:tcW w:w="810" w:type="pct"/>
          </w:tcPr>
          <w:p w14:paraId="3D7EDE1C" w14:textId="77777777" w:rsidR="00C9062D" w:rsidRPr="003A0C7A" w:rsidRDefault="00C9062D" w:rsidP="00C9062D">
            <w:pPr>
              <w:jc w:val="right"/>
              <w:rPr>
                <w:rFonts w:ascii="Arial" w:hAnsi="Arial"/>
                <w:sz w:val="20"/>
              </w:rPr>
            </w:pPr>
            <w:r w:rsidRPr="003A0C7A">
              <w:rPr>
                <w:rFonts w:ascii="Arial" w:hAnsi="Arial"/>
                <w:sz w:val="20"/>
              </w:rPr>
              <w:t>$120,000.00</w:t>
            </w:r>
          </w:p>
        </w:tc>
        <w:tc>
          <w:tcPr>
            <w:tcW w:w="809" w:type="pct"/>
          </w:tcPr>
          <w:p w14:paraId="471BADF7" w14:textId="77777777" w:rsidR="00C9062D" w:rsidRPr="003A0C7A" w:rsidRDefault="00C9062D" w:rsidP="00C9062D">
            <w:pPr>
              <w:jc w:val="right"/>
              <w:rPr>
                <w:rFonts w:ascii="Arial" w:hAnsi="Arial"/>
                <w:sz w:val="20"/>
              </w:rPr>
            </w:pPr>
            <w:r w:rsidRPr="003A0C7A">
              <w:rPr>
                <w:rFonts w:ascii="Arial" w:hAnsi="Arial"/>
                <w:sz w:val="20"/>
              </w:rPr>
              <w:t>$42,500.00</w:t>
            </w:r>
          </w:p>
        </w:tc>
        <w:tc>
          <w:tcPr>
            <w:tcW w:w="808" w:type="pct"/>
          </w:tcPr>
          <w:p w14:paraId="0BEDB5C0" w14:textId="77777777" w:rsidR="00C9062D" w:rsidRPr="003A0C7A" w:rsidRDefault="00C9062D" w:rsidP="00C9062D">
            <w:pPr>
              <w:jc w:val="right"/>
              <w:rPr>
                <w:rFonts w:ascii="Arial" w:hAnsi="Arial"/>
                <w:sz w:val="20"/>
              </w:rPr>
            </w:pPr>
            <w:r w:rsidRPr="003A0C7A">
              <w:rPr>
                <w:rFonts w:ascii="Arial" w:hAnsi="Arial"/>
                <w:sz w:val="20"/>
              </w:rPr>
              <w:t>$77,500.00</w:t>
            </w:r>
          </w:p>
        </w:tc>
      </w:tr>
      <w:tr w:rsidR="00C9062D" w:rsidRPr="003A0C7A" w14:paraId="211AC73B" w14:textId="77777777" w:rsidTr="00C9062D">
        <w:tc>
          <w:tcPr>
            <w:tcW w:w="1031" w:type="pct"/>
          </w:tcPr>
          <w:p w14:paraId="072A22B7" w14:textId="77777777" w:rsidR="00C9062D" w:rsidRPr="003A0C7A" w:rsidRDefault="00C9062D" w:rsidP="00C9062D">
            <w:pPr>
              <w:rPr>
                <w:rFonts w:ascii="Arial" w:hAnsi="Arial"/>
                <w:sz w:val="20"/>
              </w:rPr>
            </w:pPr>
            <w:r w:rsidRPr="003A0C7A">
              <w:rPr>
                <w:rFonts w:ascii="Arial" w:hAnsi="Arial"/>
                <w:sz w:val="20"/>
              </w:rPr>
              <w:t>Hassell Limited</w:t>
            </w:r>
          </w:p>
        </w:tc>
        <w:tc>
          <w:tcPr>
            <w:tcW w:w="1542" w:type="pct"/>
          </w:tcPr>
          <w:p w14:paraId="76826A38" w14:textId="77777777" w:rsidR="00C9062D" w:rsidRPr="003A0C7A" w:rsidRDefault="00C9062D" w:rsidP="00C9062D">
            <w:pPr>
              <w:rPr>
                <w:rFonts w:ascii="Arial" w:hAnsi="Arial"/>
                <w:sz w:val="20"/>
              </w:rPr>
            </w:pPr>
            <w:r w:rsidRPr="003A0C7A">
              <w:rPr>
                <w:rFonts w:ascii="Arial" w:hAnsi="Arial"/>
                <w:sz w:val="20"/>
              </w:rPr>
              <w:t>Development of Court Services Victoria Victoria-wide Strategic Asset Plan</w:t>
            </w:r>
          </w:p>
        </w:tc>
        <w:tc>
          <w:tcPr>
            <w:tcW w:w="810" w:type="pct"/>
          </w:tcPr>
          <w:p w14:paraId="0431D8D7" w14:textId="77777777" w:rsidR="00C9062D" w:rsidRPr="003A0C7A" w:rsidRDefault="00C9062D" w:rsidP="00C9062D">
            <w:pPr>
              <w:jc w:val="right"/>
              <w:rPr>
                <w:rFonts w:ascii="Arial" w:hAnsi="Arial"/>
                <w:sz w:val="20"/>
              </w:rPr>
            </w:pPr>
            <w:r w:rsidRPr="003A0C7A">
              <w:rPr>
                <w:rFonts w:ascii="Arial" w:hAnsi="Arial"/>
                <w:sz w:val="20"/>
              </w:rPr>
              <w:t>$568,995.37</w:t>
            </w:r>
          </w:p>
        </w:tc>
        <w:tc>
          <w:tcPr>
            <w:tcW w:w="809" w:type="pct"/>
          </w:tcPr>
          <w:p w14:paraId="07585234" w14:textId="77777777" w:rsidR="00C9062D" w:rsidRPr="003A0C7A" w:rsidRDefault="00C9062D" w:rsidP="00C9062D">
            <w:pPr>
              <w:jc w:val="right"/>
              <w:rPr>
                <w:rFonts w:ascii="Arial" w:hAnsi="Arial"/>
                <w:sz w:val="20"/>
              </w:rPr>
            </w:pPr>
            <w:r w:rsidRPr="003A0C7A">
              <w:rPr>
                <w:rFonts w:ascii="Arial" w:hAnsi="Arial"/>
                <w:sz w:val="20"/>
              </w:rPr>
              <w:t>$568,995.37</w:t>
            </w:r>
          </w:p>
        </w:tc>
        <w:tc>
          <w:tcPr>
            <w:tcW w:w="808" w:type="pct"/>
          </w:tcPr>
          <w:p w14:paraId="62563ACD"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3646BBE8" w14:textId="77777777" w:rsidTr="00C9062D">
        <w:tc>
          <w:tcPr>
            <w:tcW w:w="1031" w:type="pct"/>
          </w:tcPr>
          <w:p w14:paraId="1B59E679" w14:textId="77777777" w:rsidR="00C9062D" w:rsidRPr="003A0C7A" w:rsidRDefault="00C9062D" w:rsidP="00C9062D">
            <w:pPr>
              <w:rPr>
                <w:rFonts w:ascii="Arial" w:hAnsi="Arial"/>
                <w:sz w:val="20"/>
              </w:rPr>
            </w:pPr>
            <w:r>
              <w:rPr>
                <w:rFonts w:ascii="Arial" w:hAnsi="Arial"/>
                <w:sz w:val="20"/>
              </w:rPr>
              <w:t>Jacobs Group Australia Pty Ltd</w:t>
            </w:r>
          </w:p>
        </w:tc>
        <w:tc>
          <w:tcPr>
            <w:tcW w:w="1542" w:type="pct"/>
          </w:tcPr>
          <w:p w14:paraId="62EB60BC" w14:textId="77777777" w:rsidR="00C9062D" w:rsidRPr="003A0C7A" w:rsidRDefault="00C9062D" w:rsidP="00C9062D">
            <w:pPr>
              <w:rPr>
                <w:rFonts w:ascii="Arial" w:hAnsi="Arial"/>
                <w:sz w:val="20"/>
              </w:rPr>
            </w:pPr>
            <w:r>
              <w:rPr>
                <w:rFonts w:ascii="Arial" w:hAnsi="Arial"/>
                <w:sz w:val="20"/>
              </w:rPr>
              <w:t>Comprehensive assessment of Security technology and systems across Victorian Courts and Tribunals</w:t>
            </w:r>
          </w:p>
        </w:tc>
        <w:tc>
          <w:tcPr>
            <w:tcW w:w="810" w:type="pct"/>
          </w:tcPr>
          <w:p w14:paraId="7AEAEFA6" w14:textId="77777777" w:rsidR="00C9062D" w:rsidRPr="003A0C7A" w:rsidRDefault="00C9062D" w:rsidP="00C9062D">
            <w:pPr>
              <w:jc w:val="right"/>
              <w:rPr>
                <w:rFonts w:ascii="Arial" w:hAnsi="Arial"/>
                <w:sz w:val="20"/>
              </w:rPr>
            </w:pPr>
            <w:r>
              <w:rPr>
                <w:rFonts w:ascii="Arial" w:hAnsi="Arial"/>
                <w:sz w:val="20"/>
              </w:rPr>
              <w:t>$299,411.00</w:t>
            </w:r>
          </w:p>
        </w:tc>
        <w:tc>
          <w:tcPr>
            <w:tcW w:w="809" w:type="pct"/>
          </w:tcPr>
          <w:p w14:paraId="21F8ADF7" w14:textId="77777777" w:rsidR="00C9062D" w:rsidRPr="003A0C7A" w:rsidRDefault="00C9062D" w:rsidP="00C9062D">
            <w:pPr>
              <w:jc w:val="right"/>
              <w:rPr>
                <w:rFonts w:ascii="Arial" w:hAnsi="Arial"/>
                <w:sz w:val="20"/>
              </w:rPr>
            </w:pPr>
            <w:r>
              <w:rPr>
                <w:rFonts w:ascii="Arial" w:hAnsi="Arial"/>
                <w:sz w:val="20"/>
              </w:rPr>
              <w:t>$30,668.00</w:t>
            </w:r>
          </w:p>
        </w:tc>
        <w:tc>
          <w:tcPr>
            <w:tcW w:w="808" w:type="pct"/>
          </w:tcPr>
          <w:p w14:paraId="5C369D8B" w14:textId="77777777" w:rsidR="00C9062D" w:rsidRPr="003A0C7A" w:rsidRDefault="00C9062D" w:rsidP="00C9062D">
            <w:pPr>
              <w:jc w:val="right"/>
              <w:rPr>
                <w:rFonts w:ascii="Arial" w:hAnsi="Arial"/>
                <w:sz w:val="20"/>
              </w:rPr>
            </w:pPr>
            <w:r>
              <w:rPr>
                <w:rFonts w:ascii="Arial" w:hAnsi="Arial"/>
                <w:sz w:val="20"/>
              </w:rPr>
              <w:t>$216,302.00</w:t>
            </w:r>
          </w:p>
        </w:tc>
      </w:tr>
      <w:tr w:rsidR="00C9062D" w:rsidRPr="003A0C7A" w14:paraId="09509912" w14:textId="77777777" w:rsidTr="00C9062D">
        <w:tc>
          <w:tcPr>
            <w:tcW w:w="1031" w:type="pct"/>
          </w:tcPr>
          <w:p w14:paraId="52A38806" w14:textId="77777777" w:rsidR="00C9062D" w:rsidRPr="003A0C7A" w:rsidRDefault="00C9062D" w:rsidP="00C9062D">
            <w:pPr>
              <w:rPr>
                <w:rFonts w:ascii="Arial" w:hAnsi="Arial"/>
                <w:sz w:val="20"/>
              </w:rPr>
            </w:pPr>
            <w:r>
              <w:rPr>
                <w:rFonts w:ascii="Arial" w:hAnsi="Arial"/>
                <w:sz w:val="20"/>
              </w:rPr>
              <w:t>Monash University</w:t>
            </w:r>
          </w:p>
        </w:tc>
        <w:tc>
          <w:tcPr>
            <w:tcW w:w="1542" w:type="pct"/>
          </w:tcPr>
          <w:p w14:paraId="66A638BA" w14:textId="77777777" w:rsidR="00C9062D" w:rsidRPr="003A0C7A" w:rsidRDefault="00C9062D" w:rsidP="00C9062D">
            <w:pPr>
              <w:rPr>
                <w:rFonts w:ascii="Arial" w:hAnsi="Arial"/>
                <w:sz w:val="20"/>
              </w:rPr>
            </w:pPr>
            <w:r>
              <w:rPr>
                <w:rFonts w:ascii="Arial" w:hAnsi="Arial"/>
                <w:sz w:val="20"/>
              </w:rPr>
              <w:t xml:space="preserve">Evaluation of </w:t>
            </w:r>
            <w:proofErr w:type="gramStart"/>
            <w:r>
              <w:rPr>
                <w:rFonts w:ascii="Arial" w:hAnsi="Arial"/>
                <w:sz w:val="20"/>
              </w:rPr>
              <w:t>Fast Tracking</w:t>
            </w:r>
            <w:proofErr w:type="gramEnd"/>
            <w:r>
              <w:rPr>
                <w:rFonts w:ascii="Arial" w:hAnsi="Arial"/>
                <w:sz w:val="20"/>
              </w:rPr>
              <w:t xml:space="preserve"> Initiative</w:t>
            </w:r>
          </w:p>
        </w:tc>
        <w:tc>
          <w:tcPr>
            <w:tcW w:w="810" w:type="pct"/>
          </w:tcPr>
          <w:p w14:paraId="11DB1CA7" w14:textId="77777777" w:rsidR="00C9062D" w:rsidRPr="003A0C7A" w:rsidRDefault="00C9062D" w:rsidP="00C9062D">
            <w:pPr>
              <w:jc w:val="right"/>
              <w:rPr>
                <w:rFonts w:ascii="Arial" w:hAnsi="Arial"/>
                <w:sz w:val="20"/>
              </w:rPr>
            </w:pPr>
            <w:r>
              <w:rPr>
                <w:rFonts w:ascii="Arial" w:hAnsi="Arial"/>
                <w:sz w:val="20"/>
              </w:rPr>
              <w:t>$181,108.00</w:t>
            </w:r>
          </w:p>
        </w:tc>
        <w:tc>
          <w:tcPr>
            <w:tcW w:w="809" w:type="pct"/>
          </w:tcPr>
          <w:p w14:paraId="1DE6E76B" w14:textId="77777777" w:rsidR="00C9062D" w:rsidRPr="003A0C7A" w:rsidRDefault="00C9062D" w:rsidP="00C9062D">
            <w:pPr>
              <w:jc w:val="right"/>
              <w:rPr>
                <w:rFonts w:ascii="Arial" w:hAnsi="Arial"/>
                <w:sz w:val="20"/>
              </w:rPr>
            </w:pPr>
            <w:r>
              <w:rPr>
                <w:rFonts w:ascii="Arial" w:hAnsi="Arial"/>
                <w:sz w:val="20"/>
              </w:rPr>
              <w:t>$181,108.00</w:t>
            </w:r>
          </w:p>
        </w:tc>
        <w:tc>
          <w:tcPr>
            <w:tcW w:w="808" w:type="pct"/>
          </w:tcPr>
          <w:p w14:paraId="3E48C8EA" w14:textId="77777777" w:rsidR="00C9062D" w:rsidRPr="003A0C7A" w:rsidRDefault="00C9062D" w:rsidP="00C9062D">
            <w:pPr>
              <w:jc w:val="right"/>
              <w:rPr>
                <w:rFonts w:ascii="Arial" w:hAnsi="Arial"/>
                <w:sz w:val="20"/>
              </w:rPr>
            </w:pPr>
            <w:r>
              <w:rPr>
                <w:rFonts w:ascii="Arial" w:hAnsi="Arial"/>
                <w:sz w:val="20"/>
              </w:rPr>
              <w:t>0</w:t>
            </w:r>
          </w:p>
        </w:tc>
      </w:tr>
      <w:tr w:rsidR="00C9062D" w:rsidRPr="003A0C7A" w14:paraId="2A78FC55" w14:textId="77777777" w:rsidTr="00C9062D">
        <w:tc>
          <w:tcPr>
            <w:tcW w:w="1031" w:type="pct"/>
          </w:tcPr>
          <w:p w14:paraId="740CF5C4" w14:textId="77777777" w:rsidR="00C9062D" w:rsidRPr="003A0C7A" w:rsidRDefault="00C9062D" w:rsidP="00C9062D">
            <w:pPr>
              <w:rPr>
                <w:rFonts w:ascii="Arial" w:hAnsi="Arial"/>
                <w:sz w:val="20"/>
              </w:rPr>
            </w:pPr>
            <w:r w:rsidRPr="003A0C7A">
              <w:rPr>
                <w:rFonts w:ascii="Arial" w:hAnsi="Arial"/>
                <w:sz w:val="20"/>
              </w:rPr>
              <w:t>Nous Group Pty Ltd</w:t>
            </w:r>
          </w:p>
        </w:tc>
        <w:tc>
          <w:tcPr>
            <w:tcW w:w="1542" w:type="pct"/>
          </w:tcPr>
          <w:p w14:paraId="303D632E" w14:textId="77777777" w:rsidR="00C9062D" w:rsidRPr="003A0C7A" w:rsidRDefault="00C9062D" w:rsidP="00C9062D">
            <w:pPr>
              <w:rPr>
                <w:rFonts w:ascii="Arial" w:hAnsi="Arial"/>
                <w:sz w:val="20"/>
              </w:rPr>
            </w:pPr>
            <w:r w:rsidRPr="003A0C7A">
              <w:rPr>
                <w:rFonts w:ascii="Arial" w:hAnsi="Arial"/>
                <w:sz w:val="20"/>
              </w:rPr>
              <w:t>SCV Reimagining Registry Services Review</w:t>
            </w:r>
          </w:p>
        </w:tc>
        <w:tc>
          <w:tcPr>
            <w:tcW w:w="810" w:type="pct"/>
          </w:tcPr>
          <w:p w14:paraId="3E12A2AB" w14:textId="77777777" w:rsidR="00C9062D" w:rsidRPr="003A0C7A" w:rsidRDefault="00C9062D" w:rsidP="00C9062D">
            <w:pPr>
              <w:jc w:val="right"/>
              <w:rPr>
                <w:rFonts w:ascii="Arial" w:hAnsi="Arial"/>
                <w:sz w:val="20"/>
              </w:rPr>
            </w:pPr>
            <w:r w:rsidRPr="003A0C7A">
              <w:rPr>
                <w:rFonts w:ascii="Arial" w:hAnsi="Arial"/>
                <w:sz w:val="20"/>
              </w:rPr>
              <w:t>$328,636.36</w:t>
            </w:r>
          </w:p>
        </w:tc>
        <w:tc>
          <w:tcPr>
            <w:tcW w:w="809" w:type="pct"/>
          </w:tcPr>
          <w:p w14:paraId="6BF7547B" w14:textId="77777777" w:rsidR="00C9062D" w:rsidRPr="003A0C7A" w:rsidRDefault="00C9062D" w:rsidP="00C9062D">
            <w:pPr>
              <w:jc w:val="right"/>
              <w:rPr>
                <w:rFonts w:ascii="Arial" w:hAnsi="Arial"/>
                <w:sz w:val="20"/>
              </w:rPr>
            </w:pPr>
            <w:r w:rsidRPr="003A0C7A">
              <w:rPr>
                <w:rFonts w:ascii="Arial" w:hAnsi="Arial"/>
                <w:sz w:val="20"/>
              </w:rPr>
              <w:t>$60,000.00</w:t>
            </w:r>
          </w:p>
        </w:tc>
        <w:tc>
          <w:tcPr>
            <w:tcW w:w="808" w:type="pct"/>
          </w:tcPr>
          <w:p w14:paraId="0A70F523" w14:textId="77777777" w:rsidR="00C9062D" w:rsidRPr="003A0C7A" w:rsidRDefault="00C9062D" w:rsidP="00C9062D">
            <w:pPr>
              <w:jc w:val="right"/>
              <w:rPr>
                <w:rFonts w:ascii="Arial" w:hAnsi="Arial"/>
                <w:sz w:val="20"/>
              </w:rPr>
            </w:pPr>
            <w:r w:rsidRPr="003A0C7A">
              <w:rPr>
                <w:rFonts w:ascii="Arial" w:hAnsi="Arial"/>
                <w:sz w:val="20"/>
              </w:rPr>
              <w:t>$268,636.36</w:t>
            </w:r>
          </w:p>
        </w:tc>
      </w:tr>
      <w:tr w:rsidR="00C9062D" w:rsidRPr="003A0C7A" w14:paraId="1528C4D7" w14:textId="77777777" w:rsidTr="00C9062D">
        <w:tc>
          <w:tcPr>
            <w:tcW w:w="1031" w:type="pct"/>
          </w:tcPr>
          <w:p w14:paraId="7E7520B1" w14:textId="77777777" w:rsidR="00C9062D" w:rsidRPr="003A0C7A" w:rsidRDefault="00C9062D" w:rsidP="00C9062D">
            <w:pPr>
              <w:rPr>
                <w:rFonts w:ascii="Arial" w:hAnsi="Arial"/>
                <w:sz w:val="20"/>
              </w:rPr>
            </w:pPr>
            <w:r w:rsidRPr="003A0C7A">
              <w:rPr>
                <w:rFonts w:ascii="Arial" w:hAnsi="Arial"/>
                <w:sz w:val="20"/>
              </w:rPr>
              <w:t>Nous Group Pty Ltd</w:t>
            </w:r>
          </w:p>
        </w:tc>
        <w:tc>
          <w:tcPr>
            <w:tcW w:w="1542" w:type="pct"/>
          </w:tcPr>
          <w:p w14:paraId="6E742201" w14:textId="77777777" w:rsidR="00C9062D" w:rsidRPr="003A0C7A" w:rsidRDefault="00C9062D" w:rsidP="00C9062D">
            <w:pPr>
              <w:rPr>
                <w:rFonts w:ascii="Arial" w:hAnsi="Arial"/>
                <w:sz w:val="20"/>
              </w:rPr>
            </w:pPr>
            <w:r w:rsidRPr="003A0C7A">
              <w:rPr>
                <w:rFonts w:ascii="Arial" w:hAnsi="Arial"/>
                <w:sz w:val="20"/>
              </w:rPr>
              <w:t>Development of a Positive Workplace Behaviours Framework for the Coroners Court</w:t>
            </w:r>
          </w:p>
        </w:tc>
        <w:tc>
          <w:tcPr>
            <w:tcW w:w="810" w:type="pct"/>
          </w:tcPr>
          <w:p w14:paraId="78497C5E" w14:textId="77777777" w:rsidR="00C9062D" w:rsidRPr="003A0C7A" w:rsidRDefault="00C9062D" w:rsidP="00C9062D">
            <w:pPr>
              <w:jc w:val="right"/>
              <w:rPr>
                <w:rFonts w:ascii="Arial" w:hAnsi="Arial"/>
                <w:sz w:val="20"/>
              </w:rPr>
            </w:pPr>
            <w:r w:rsidRPr="003A0C7A">
              <w:rPr>
                <w:rFonts w:ascii="Arial" w:hAnsi="Arial"/>
                <w:sz w:val="20"/>
              </w:rPr>
              <w:t>$64,310.00</w:t>
            </w:r>
          </w:p>
        </w:tc>
        <w:tc>
          <w:tcPr>
            <w:tcW w:w="809" w:type="pct"/>
          </w:tcPr>
          <w:p w14:paraId="363513AA" w14:textId="77777777" w:rsidR="00C9062D" w:rsidRPr="003A0C7A" w:rsidRDefault="00C9062D" w:rsidP="00C9062D">
            <w:pPr>
              <w:jc w:val="right"/>
              <w:rPr>
                <w:rFonts w:ascii="Arial" w:hAnsi="Arial"/>
                <w:sz w:val="20"/>
              </w:rPr>
            </w:pPr>
            <w:r w:rsidRPr="003A0C7A">
              <w:rPr>
                <w:rFonts w:ascii="Arial" w:hAnsi="Arial"/>
                <w:sz w:val="20"/>
              </w:rPr>
              <w:t>$64,310.00</w:t>
            </w:r>
          </w:p>
        </w:tc>
        <w:tc>
          <w:tcPr>
            <w:tcW w:w="808" w:type="pct"/>
          </w:tcPr>
          <w:p w14:paraId="2D4041CB"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55AB0B93" w14:textId="77777777" w:rsidTr="00C9062D">
        <w:tc>
          <w:tcPr>
            <w:tcW w:w="1031" w:type="pct"/>
          </w:tcPr>
          <w:p w14:paraId="58143981" w14:textId="77777777" w:rsidR="00C9062D" w:rsidRPr="003A0C7A" w:rsidRDefault="00C9062D" w:rsidP="00C9062D">
            <w:pPr>
              <w:rPr>
                <w:rFonts w:ascii="Arial" w:hAnsi="Arial"/>
                <w:sz w:val="20"/>
              </w:rPr>
            </w:pPr>
            <w:r w:rsidRPr="003A0C7A">
              <w:rPr>
                <w:rFonts w:ascii="Arial" w:hAnsi="Arial"/>
                <w:sz w:val="20"/>
              </w:rPr>
              <w:t>Nous Group Pty Ltd</w:t>
            </w:r>
          </w:p>
        </w:tc>
        <w:tc>
          <w:tcPr>
            <w:tcW w:w="1542" w:type="pct"/>
          </w:tcPr>
          <w:p w14:paraId="1AEEFC0E" w14:textId="77777777" w:rsidR="00C9062D" w:rsidRPr="003A0C7A" w:rsidRDefault="00C9062D" w:rsidP="00C9062D">
            <w:pPr>
              <w:rPr>
                <w:rFonts w:ascii="Arial" w:hAnsi="Arial"/>
                <w:sz w:val="20"/>
              </w:rPr>
            </w:pPr>
            <w:r w:rsidRPr="003A0C7A">
              <w:rPr>
                <w:rFonts w:ascii="Arial" w:hAnsi="Arial"/>
                <w:sz w:val="20"/>
              </w:rPr>
              <w:t>Advice of MCV Family Violence Client Experience Strategy</w:t>
            </w:r>
          </w:p>
        </w:tc>
        <w:tc>
          <w:tcPr>
            <w:tcW w:w="810" w:type="pct"/>
          </w:tcPr>
          <w:p w14:paraId="5D487808" w14:textId="77777777" w:rsidR="00C9062D" w:rsidRPr="003A0C7A" w:rsidRDefault="00C9062D" w:rsidP="00C9062D">
            <w:pPr>
              <w:jc w:val="right"/>
              <w:rPr>
                <w:rFonts w:ascii="Arial" w:hAnsi="Arial"/>
                <w:sz w:val="20"/>
              </w:rPr>
            </w:pPr>
            <w:r w:rsidRPr="003A0C7A">
              <w:rPr>
                <w:rFonts w:ascii="Arial" w:hAnsi="Arial"/>
                <w:sz w:val="20"/>
              </w:rPr>
              <w:t>$181,818.18</w:t>
            </w:r>
          </w:p>
        </w:tc>
        <w:tc>
          <w:tcPr>
            <w:tcW w:w="809" w:type="pct"/>
          </w:tcPr>
          <w:p w14:paraId="4031A7AB" w14:textId="77777777" w:rsidR="00C9062D" w:rsidRPr="003A0C7A" w:rsidRDefault="00C9062D" w:rsidP="00C9062D">
            <w:pPr>
              <w:jc w:val="right"/>
              <w:rPr>
                <w:rFonts w:ascii="Arial" w:hAnsi="Arial"/>
                <w:sz w:val="20"/>
              </w:rPr>
            </w:pPr>
            <w:r w:rsidRPr="003A0C7A">
              <w:rPr>
                <w:rFonts w:ascii="Arial" w:hAnsi="Arial"/>
                <w:sz w:val="20"/>
              </w:rPr>
              <w:t>$181,818.18</w:t>
            </w:r>
          </w:p>
        </w:tc>
        <w:tc>
          <w:tcPr>
            <w:tcW w:w="808" w:type="pct"/>
          </w:tcPr>
          <w:p w14:paraId="4BFA2004"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4DD28AA9" w14:textId="77777777" w:rsidTr="00C9062D">
        <w:tc>
          <w:tcPr>
            <w:tcW w:w="1031" w:type="pct"/>
          </w:tcPr>
          <w:p w14:paraId="1DE7E33E" w14:textId="77777777" w:rsidR="00C9062D" w:rsidRPr="003A0C7A" w:rsidRDefault="00C9062D" w:rsidP="00C9062D">
            <w:pPr>
              <w:rPr>
                <w:rFonts w:ascii="Arial" w:hAnsi="Arial"/>
                <w:sz w:val="20"/>
              </w:rPr>
            </w:pPr>
            <w:r w:rsidRPr="003A0C7A">
              <w:rPr>
                <w:rFonts w:ascii="Arial" w:hAnsi="Arial"/>
                <w:sz w:val="20"/>
              </w:rPr>
              <w:t>Nous Group Pty Ltd</w:t>
            </w:r>
          </w:p>
        </w:tc>
        <w:tc>
          <w:tcPr>
            <w:tcW w:w="1542" w:type="pct"/>
          </w:tcPr>
          <w:p w14:paraId="64057705" w14:textId="77777777" w:rsidR="00C9062D" w:rsidRPr="003A0C7A" w:rsidRDefault="00C9062D" w:rsidP="00C9062D">
            <w:pPr>
              <w:rPr>
                <w:rFonts w:ascii="Arial" w:hAnsi="Arial"/>
                <w:sz w:val="20"/>
              </w:rPr>
            </w:pPr>
            <w:r>
              <w:rPr>
                <w:rFonts w:ascii="Arial" w:hAnsi="Arial"/>
                <w:sz w:val="20"/>
              </w:rPr>
              <w:t>Evaluation of LGBTI Practitioners Trial</w:t>
            </w:r>
          </w:p>
        </w:tc>
        <w:tc>
          <w:tcPr>
            <w:tcW w:w="810" w:type="pct"/>
          </w:tcPr>
          <w:p w14:paraId="40B3EF2E" w14:textId="77777777" w:rsidR="00C9062D" w:rsidRPr="003A0C7A" w:rsidRDefault="00C9062D" w:rsidP="00C9062D">
            <w:pPr>
              <w:jc w:val="right"/>
              <w:rPr>
                <w:rFonts w:ascii="Arial" w:hAnsi="Arial"/>
                <w:sz w:val="20"/>
              </w:rPr>
            </w:pPr>
            <w:r>
              <w:rPr>
                <w:rFonts w:ascii="Arial" w:hAnsi="Arial"/>
                <w:sz w:val="20"/>
              </w:rPr>
              <w:t>$121,000.00</w:t>
            </w:r>
          </w:p>
        </w:tc>
        <w:tc>
          <w:tcPr>
            <w:tcW w:w="809" w:type="pct"/>
          </w:tcPr>
          <w:p w14:paraId="51EB94EC" w14:textId="77777777" w:rsidR="00C9062D" w:rsidRPr="003A0C7A" w:rsidRDefault="00C9062D" w:rsidP="00C9062D">
            <w:pPr>
              <w:jc w:val="right"/>
              <w:rPr>
                <w:rFonts w:ascii="Arial" w:hAnsi="Arial"/>
                <w:sz w:val="20"/>
              </w:rPr>
            </w:pPr>
            <w:r>
              <w:rPr>
                <w:rFonts w:ascii="Arial" w:hAnsi="Arial"/>
                <w:sz w:val="20"/>
              </w:rPr>
              <w:t>$120,557.00</w:t>
            </w:r>
          </w:p>
        </w:tc>
        <w:tc>
          <w:tcPr>
            <w:tcW w:w="808" w:type="pct"/>
          </w:tcPr>
          <w:p w14:paraId="55BCFA13" w14:textId="77777777" w:rsidR="00C9062D" w:rsidRPr="003A0C7A" w:rsidRDefault="00C9062D" w:rsidP="00C9062D">
            <w:pPr>
              <w:jc w:val="right"/>
              <w:rPr>
                <w:rFonts w:ascii="Arial" w:hAnsi="Arial"/>
                <w:sz w:val="20"/>
              </w:rPr>
            </w:pPr>
            <w:r>
              <w:rPr>
                <w:rFonts w:ascii="Arial" w:hAnsi="Arial"/>
                <w:sz w:val="20"/>
              </w:rPr>
              <w:t>0</w:t>
            </w:r>
          </w:p>
        </w:tc>
      </w:tr>
      <w:tr w:rsidR="00C9062D" w:rsidRPr="003A0C7A" w14:paraId="2B59AB01" w14:textId="77777777" w:rsidTr="00C9062D">
        <w:tc>
          <w:tcPr>
            <w:tcW w:w="1031" w:type="pct"/>
          </w:tcPr>
          <w:p w14:paraId="211E547B" w14:textId="77777777" w:rsidR="00C9062D" w:rsidRPr="003A0C7A" w:rsidRDefault="00C9062D" w:rsidP="00C9062D">
            <w:pPr>
              <w:rPr>
                <w:rFonts w:ascii="Arial" w:hAnsi="Arial"/>
                <w:sz w:val="20"/>
              </w:rPr>
            </w:pPr>
            <w:r>
              <w:rPr>
                <w:rFonts w:ascii="Arial" w:hAnsi="Arial"/>
                <w:sz w:val="20"/>
              </w:rPr>
              <w:t>Price Waterhouse Coopers</w:t>
            </w:r>
          </w:p>
        </w:tc>
        <w:tc>
          <w:tcPr>
            <w:tcW w:w="1542" w:type="pct"/>
          </w:tcPr>
          <w:p w14:paraId="239BB96B" w14:textId="77777777" w:rsidR="00C9062D" w:rsidRPr="003A0C7A" w:rsidRDefault="00C9062D" w:rsidP="00C9062D">
            <w:pPr>
              <w:rPr>
                <w:rFonts w:ascii="Arial" w:hAnsi="Arial"/>
                <w:sz w:val="20"/>
              </w:rPr>
            </w:pPr>
            <w:r>
              <w:rPr>
                <w:rFonts w:ascii="Arial" w:hAnsi="Arial"/>
                <w:sz w:val="20"/>
              </w:rPr>
              <w:t>Evaluation of Remote Hearing Trial</w:t>
            </w:r>
          </w:p>
        </w:tc>
        <w:tc>
          <w:tcPr>
            <w:tcW w:w="810" w:type="pct"/>
          </w:tcPr>
          <w:p w14:paraId="28250355" w14:textId="77777777" w:rsidR="00C9062D" w:rsidRPr="003A0C7A" w:rsidRDefault="00C9062D" w:rsidP="00C9062D">
            <w:pPr>
              <w:jc w:val="right"/>
              <w:rPr>
                <w:rFonts w:ascii="Arial" w:hAnsi="Arial"/>
                <w:sz w:val="20"/>
              </w:rPr>
            </w:pPr>
            <w:r>
              <w:rPr>
                <w:rFonts w:ascii="Arial" w:hAnsi="Arial"/>
                <w:sz w:val="20"/>
              </w:rPr>
              <w:t>$88,439.00</w:t>
            </w:r>
          </w:p>
        </w:tc>
        <w:tc>
          <w:tcPr>
            <w:tcW w:w="809" w:type="pct"/>
          </w:tcPr>
          <w:p w14:paraId="2EFD95F8" w14:textId="77777777" w:rsidR="00C9062D" w:rsidRPr="003A0C7A" w:rsidRDefault="00C9062D" w:rsidP="00C9062D">
            <w:pPr>
              <w:jc w:val="right"/>
              <w:rPr>
                <w:rFonts w:ascii="Arial" w:hAnsi="Arial"/>
                <w:sz w:val="20"/>
              </w:rPr>
            </w:pPr>
            <w:r>
              <w:rPr>
                <w:rFonts w:ascii="Arial" w:hAnsi="Arial"/>
                <w:sz w:val="20"/>
              </w:rPr>
              <w:t>$88,439.00</w:t>
            </w:r>
          </w:p>
        </w:tc>
        <w:tc>
          <w:tcPr>
            <w:tcW w:w="808" w:type="pct"/>
          </w:tcPr>
          <w:p w14:paraId="516F0683" w14:textId="77777777" w:rsidR="00C9062D" w:rsidRPr="003A0C7A" w:rsidRDefault="00C9062D" w:rsidP="00C9062D">
            <w:pPr>
              <w:jc w:val="right"/>
              <w:rPr>
                <w:rFonts w:ascii="Arial" w:hAnsi="Arial"/>
                <w:sz w:val="20"/>
              </w:rPr>
            </w:pPr>
            <w:r>
              <w:rPr>
                <w:rFonts w:ascii="Arial" w:hAnsi="Arial"/>
                <w:sz w:val="20"/>
              </w:rPr>
              <w:t>0</w:t>
            </w:r>
          </w:p>
        </w:tc>
      </w:tr>
      <w:tr w:rsidR="00C9062D" w:rsidRPr="003A0C7A" w14:paraId="0817B73C" w14:textId="77777777" w:rsidTr="00C9062D">
        <w:tc>
          <w:tcPr>
            <w:tcW w:w="1031" w:type="pct"/>
          </w:tcPr>
          <w:p w14:paraId="2A020FEB" w14:textId="77777777" w:rsidR="00C9062D" w:rsidRPr="003A0C7A" w:rsidRDefault="00C9062D" w:rsidP="00C9062D">
            <w:pPr>
              <w:rPr>
                <w:rFonts w:ascii="Arial" w:hAnsi="Arial"/>
                <w:sz w:val="20"/>
              </w:rPr>
            </w:pPr>
            <w:r w:rsidRPr="003A0C7A">
              <w:rPr>
                <w:rFonts w:ascii="Arial" w:hAnsi="Arial"/>
                <w:sz w:val="20"/>
              </w:rPr>
              <w:t>Project Squared Pty Ltd</w:t>
            </w:r>
          </w:p>
        </w:tc>
        <w:tc>
          <w:tcPr>
            <w:tcW w:w="1542" w:type="pct"/>
          </w:tcPr>
          <w:p w14:paraId="2C2979F2" w14:textId="77777777" w:rsidR="00C9062D" w:rsidRPr="003A0C7A" w:rsidRDefault="00C9062D" w:rsidP="00C9062D">
            <w:pPr>
              <w:rPr>
                <w:rFonts w:ascii="Arial" w:hAnsi="Arial"/>
                <w:sz w:val="20"/>
              </w:rPr>
            </w:pPr>
            <w:r w:rsidRPr="003A0C7A">
              <w:rPr>
                <w:rFonts w:ascii="Arial" w:hAnsi="Arial"/>
                <w:sz w:val="20"/>
              </w:rPr>
              <w:t>Court Services Victoria Emergency COVID-19 Program Management Services</w:t>
            </w:r>
          </w:p>
        </w:tc>
        <w:tc>
          <w:tcPr>
            <w:tcW w:w="810" w:type="pct"/>
          </w:tcPr>
          <w:p w14:paraId="4E380F02" w14:textId="77777777" w:rsidR="00C9062D" w:rsidRPr="003A0C7A" w:rsidRDefault="00C9062D" w:rsidP="00C9062D">
            <w:pPr>
              <w:jc w:val="right"/>
              <w:rPr>
                <w:rFonts w:ascii="Arial" w:hAnsi="Arial"/>
                <w:sz w:val="20"/>
              </w:rPr>
            </w:pPr>
            <w:r w:rsidRPr="003A0C7A">
              <w:rPr>
                <w:rFonts w:ascii="Arial" w:hAnsi="Arial"/>
                <w:sz w:val="20"/>
              </w:rPr>
              <w:t>$360,000.00</w:t>
            </w:r>
          </w:p>
        </w:tc>
        <w:tc>
          <w:tcPr>
            <w:tcW w:w="809" w:type="pct"/>
          </w:tcPr>
          <w:p w14:paraId="57A48E40" w14:textId="77777777" w:rsidR="00C9062D" w:rsidRPr="003A0C7A" w:rsidRDefault="00C9062D" w:rsidP="00C9062D">
            <w:pPr>
              <w:jc w:val="right"/>
              <w:rPr>
                <w:rFonts w:ascii="Arial" w:hAnsi="Arial"/>
                <w:sz w:val="20"/>
              </w:rPr>
            </w:pPr>
            <w:r w:rsidRPr="003A0C7A">
              <w:rPr>
                <w:rFonts w:ascii="Arial" w:hAnsi="Arial"/>
                <w:sz w:val="20"/>
              </w:rPr>
              <w:t>$360,000.00</w:t>
            </w:r>
          </w:p>
        </w:tc>
        <w:tc>
          <w:tcPr>
            <w:tcW w:w="808" w:type="pct"/>
          </w:tcPr>
          <w:p w14:paraId="5EF214E0"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01BF2526" w14:textId="77777777" w:rsidTr="00C9062D">
        <w:tc>
          <w:tcPr>
            <w:tcW w:w="1031" w:type="pct"/>
          </w:tcPr>
          <w:p w14:paraId="10DD34D1" w14:textId="77777777" w:rsidR="00C9062D" w:rsidRPr="003A0C7A" w:rsidRDefault="00C9062D" w:rsidP="00C9062D">
            <w:pPr>
              <w:rPr>
                <w:rFonts w:ascii="Arial" w:hAnsi="Arial"/>
                <w:sz w:val="20"/>
              </w:rPr>
            </w:pPr>
            <w:r w:rsidRPr="003A0C7A">
              <w:rPr>
                <w:rFonts w:ascii="Arial" w:hAnsi="Arial"/>
                <w:sz w:val="20"/>
              </w:rPr>
              <w:t>Project Willoughby</w:t>
            </w:r>
          </w:p>
        </w:tc>
        <w:tc>
          <w:tcPr>
            <w:tcW w:w="1542" w:type="pct"/>
          </w:tcPr>
          <w:p w14:paraId="113FFC5D" w14:textId="77777777" w:rsidR="00C9062D" w:rsidRPr="003A0C7A" w:rsidRDefault="00C9062D" w:rsidP="00C9062D">
            <w:pPr>
              <w:rPr>
                <w:rFonts w:ascii="Arial" w:hAnsi="Arial"/>
                <w:sz w:val="20"/>
              </w:rPr>
            </w:pPr>
            <w:r w:rsidRPr="003A0C7A">
              <w:rPr>
                <w:rFonts w:ascii="Arial" w:hAnsi="Arial"/>
                <w:sz w:val="20"/>
              </w:rPr>
              <w:t>Court Services Victoria – AMAF Implementation Support and SAMP Review</w:t>
            </w:r>
          </w:p>
        </w:tc>
        <w:tc>
          <w:tcPr>
            <w:tcW w:w="810" w:type="pct"/>
          </w:tcPr>
          <w:p w14:paraId="5EC1255E" w14:textId="77777777" w:rsidR="00C9062D" w:rsidRPr="003A0C7A" w:rsidRDefault="00C9062D" w:rsidP="00C9062D">
            <w:pPr>
              <w:jc w:val="right"/>
              <w:rPr>
                <w:rFonts w:ascii="Arial" w:hAnsi="Arial"/>
                <w:sz w:val="20"/>
              </w:rPr>
            </w:pPr>
            <w:r w:rsidRPr="003A0C7A">
              <w:rPr>
                <w:rFonts w:ascii="Arial" w:hAnsi="Arial"/>
                <w:sz w:val="20"/>
              </w:rPr>
              <w:t>$39,500.00</w:t>
            </w:r>
          </w:p>
        </w:tc>
        <w:tc>
          <w:tcPr>
            <w:tcW w:w="809" w:type="pct"/>
          </w:tcPr>
          <w:p w14:paraId="32C38015" w14:textId="77777777" w:rsidR="00C9062D" w:rsidRPr="003A0C7A" w:rsidRDefault="00C9062D" w:rsidP="00C9062D">
            <w:pPr>
              <w:jc w:val="right"/>
              <w:rPr>
                <w:rFonts w:ascii="Arial" w:hAnsi="Arial"/>
                <w:sz w:val="20"/>
              </w:rPr>
            </w:pPr>
            <w:r w:rsidRPr="003A0C7A">
              <w:rPr>
                <w:rFonts w:ascii="Arial" w:hAnsi="Arial"/>
                <w:sz w:val="20"/>
              </w:rPr>
              <w:t>$37,916.00</w:t>
            </w:r>
          </w:p>
        </w:tc>
        <w:tc>
          <w:tcPr>
            <w:tcW w:w="808" w:type="pct"/>
          </w:tcPr>
          <w:p w14:paraId="111585EA" w14:textId="77777777" w:rsidR="00C9062D" w:rsidRPr="003A0C7A" w:rsidRDefault="00C9062D" w:rsidP="00C9062D">
            <w:pPr>
              <w:jc w:val="right"/>
              <w:rPr>
                <w:rFonts w:ascii="Arial" w:hAnsi="Arial"/>
                <w:sz w:val="20"/>
              </w:rPr>
            </w:pPr>
            <w:r w:rsidRPr="003A0C7A">
              <w:rPr>
                <w:rFonts w:ascii="Arial" w:hAnsi="Arial"/>
                <w:sz w:val="20"/>
              </w:rPr>
              <w:t>$1,584.00</w:t>
            </w:r>
          </w:p>
        </w:tc>
      </w:tr>
      <w:tr w:rsidR="00C9062D" w:rsidRPr="003A0C7A" w14:paraId="02D1EFE4" w14:textId="77777777" w:rsidTr="00C9062D">
        <w:tc>
          <w:tcPr>
            <w:tcW w:w="1031" w:type="pct"/>
          </w:tcPr>
          <w:p w14:paraId="1D00CCB1" w14:textId="77777777" w:rsidR="00C9062D" w:rsidRPr="003A0C7A" w:rsidRDefault="00C9062D" w:rsidP="00C9062D">
            <w:pPr>
              <w:rPr>
                <w:rFonts w:ascii="Arial" w:hAnsi="Arial"/>
                <w:sz w:val="20"/>
              </w:rPr>
            </w:pPr>
            <w:r>
              <w:rPr>
                <w:rFonts w:ascii="Arial" w:hAnsi="Arial"/>
                <w:sz w:val="20"/>
              </w:rPr>
              <w:t>Protiviti</w:t>
            </w:r>
          </w:p>
        </w:tc>
        <w:tc>
          <w:tcPr>
            <w:tcW w:w="1542" w:type="pct"/>
          </w:tcPr>
          <w:p w14:paraId="42B96A62" w14:textId="77777777" w:rsidR="00C9062D" w:rsidRPr="003A0C7A" w:rsidRDefault="00C9062D" w:rsidP="00C9062D">
            <w:pPr>
              <w:rPr>
                <w:rFonts w:ascii="Arial" w:hAnsi="Arial"/>
                <w:sz w:val="20"/>
              </w:rPr>
            </w:pPr>
            <w:r>
              <w:rPr>
                <w:rFonts w:ascii="Arial" w:hAnsi="Arial"/>
                <w:sz w:val="20"/>
              </w:rPr>
              <w:t>Review of Contract Management Practices</w:t>
            </w:r>
          </w:p>
        </w:tc>
        <w:tc>
          <w:tcPr>
            <w:tcW w:w="810" w:type="pct"/>
          </w:tcPr>
          <w:p w14:paraId="5E331867" w14:textId="77777777" w:rsidR="00C9062D" w:rsidRPr="003A0C7A" w:rsidRDefault="00C9062D" w:rsidP="00C9062D">
            <w:pPr>
              <w:jc w:val="right"/>
              <w:rPr>
                <w:rFonts w:ascii="Arial" w:hAnsi="Arial"/>
                <w:sz w:val="20"/>
              </w:rPr>
            </w:pPr>
            <w:r>
              <w:rPr>
                <w:rFonts w:ascii="Arial" w:hAnsi="Arial"/>
                <w:sz w:val="20"/>
              </w:rPr>
              <w:t>$65,800.00</w:t>
            </w:r>
          </w:p>
        </w:tc>
        <w:tc>
          <w:tcPr>
            <w:tcW w:w="809" w:type="pct"/>
          </w:tcPr>
          <w:p w14:paraId="693C0959" w14:textId="77777777" w:rsidR="00C9062D" w:rsidRPr="003A0C7A" w:rsidRDefault="00C9062D" w:rsidP="00C9062D">
            <w:pPr>
              <w:jc w:val="right"/>
              <w:rPr>
                <w:rFonts w:ascii="Arial" w:hAnsi="Arial"/>
                <w:sz w:val="20"/>
              </w:rPr>
            </w:pPr>
            <w:r>
              <w:rPr>
                <w:rFonts w:ascii="Arial" w:hAnsi="Arial"/>
                <w:sz w:val="20"/>
              </w:rPr>
              <w:t>$65,800.00</w:t>
            </w:r>
          </w:p>
        </w:tc>
        <w:tc>
          <w:tcPr>
            <w:tcW w:w="808" w:type="pct"/>
          </w:tcPr>
          <w:p w14:paraId="3F3F84AE" w14:textId="77777777" w:rsidR="00C9062D" w:rsidRPr="003A0C7A" w:rsidRDefault="00C9062D" w:rsidP="00C9062D">
            <w:pPr>
              <w:jc w:val="right"/>
              <w:rPr>
                <w:rFonts w:ascii="Arial" w:hAnsi="Arial"/>
                <w:sz w:val="20"/>
              </w:rPr>
            </w:pPr>
            <w:r>
              <w:rPr>
                <w:rFonts w:ascii="Arial" w:hAnsi="Arial"/>
                <w:sz w:val="20"/>
              </w:rPr>
              <w:t>0</w:t>
            </w:r>
          </w:p>
        </w:tc>
      </w:tr>
      <w:tr w:rsidR="00C9062D" w:rsidRPr="003A0C7A" w14:paraId="55C4E03D" w14:textId="77777777" w:rsidTr="00C9062D">
        <w:tc>
          <w:tcPr>
            <w:tcW w:w="1031" w:type="pct"/>
          </w:tcPr>
          <w:p w14:paraId="4AECA7CA" w14:textId="77777777" w:rsidR="00C9062D" w:rsidRPr="003A0C7A" w:rsidRDefault="00C9062D" w:rsidP="00C9062D">
            <w:pPr>
              <w:rPr>
                <w:rFonts w:ascii="Arial" w:hAnsi="Arial"/>
                <w:sz w:val="20"/>
              </w:rPr>
            </w:pPr>
            <w:r w:rsidRPr="003A0C7A">
              <w:rPr>
                <w:rFonts w:ascii="Arial" w:hAnsi="Arial"/>
                <w:sz w:val="20"/>
              </w:rPr>
              <w:t>RMIT University</w:t>
            </w:r>
          </w:p>
        </w:tc>
        <w:tc>
          <w:tcPr>
            <w:tcW w:w="1542" w:type="pct"/>
          </w:tcPr>
          <w:p w14:paraId="73EDBF6F" w14:textId="77777777" w:rsidR="00C9062D" w:rsidRPr="003A0C7A" w:rsidRDefault="00C9062D" w:rsidP="00C9062D">
            <w:pPr>
              <w:rPr>
                <w:rFonts w:ascii="Arial" w:hAnsi="Arial"/>
                <w:sz w:val="20"/>
              </w:rPr>
            </w:pPr>
            <w:r w:rsidRPr="003A0C7A">
              <w:rPr>
                <w:rFonts w:ascii="Arial" w:hAnsi="Arial"/>
                <w:sz w:val="20"/>
              </w:rPr>
              <w:t>Provision of the Human Centred Design Reform Project</w:t>
            </w:r>
          </w:p>
        </w:tc>
        <w:tc>
          <w:tcPr>
            <w:tcW w:w="810" w:type="pct"/>
          </w:tcPr>
          <w:p w14:paraId="02D5E802" w14:textId="77777777" w:rsidR="00C9062D" w:rsidRPr="003A0C7A" w:rsidRDefault="00C9062D" w:rsidP="00C9062D">
            <w:pPr>
              <w:jc w:val="right"/>
              <w:rPr>
                <w:rFonts w:ascii="Arial" w:hAnsi="Arial"/>
                <w:sz w:val="20"/>
              </w:rPr>
            </w:pPr>
            <w:r w:rsidRPr="003A0C7A">
              <w:rPr>
                <w:rFonts w:ascii="Arial" w:hAnsi="Arial"/>
                <w:sz w:val="20"/>
              </w:rPr>
              <w:t>$636,363.55</w:t>
            </w:r>
          </w:p>
        </w:tc>
        <w:tc>
          <w:tcPr>
            <w:tcW w:w="809" w:type="pct"/>
          </w:tcPr>
          <w:p w14:paraId="633250BE" w14:textId="77777777" w:rsidR="00C9062D" w:rsidRPr="003A0C7A" w:rsidRDefault="00C9062D" w:rsidP="00C9062D">
            <w:pPr>
              <w:jc w:val="right"/>
              <w:rPr>
                <w:rFonts w:ascii="Arial" w:hAnsi="Arial"/>
                <w:sz w:val="20"/>
              </w:rPr>
            </w:pPr>
            <w:r w:rsidRPr="003A0C7A">
              <w:rPr>
                <w:rFonts w:ascii="Arial" w:hAnsi="Arial"/>
                <w:sz w:val="20"/>
              </w:rPr>
              <w:t>$357,954.48</w:t>
            </w:r>
          </w:p>
        </w:tc>
        <w:tc>
          <w:tcPr>
            <w:tcW w:w="808" w:type="pct"/>
          </w:tcPr>
          <w:p w14:paraId="1C5075D3" w14:textId="77777777" w:rsidR="00C9062D" w:rsidRPr="003A0C7A" w:rsidRDefault="00C9062D" w:rsidP="00C9062D">
            <w:pPr>
              <w:jc w:val="right"/>
              <w:rPr>
                <w:rFonts w:ascii="Arial" w:hAnsi="Arial"/>
                <w:sz w:val="20"/>
              </w:rPr>
            </w:pPr>
            <w:r w:rsidRPr="003A0C7A">
              <w:rPr>
                <w:rFonts w:ascii="Arial" w:hAnsi="Arial"/>
                <w:sz w:val="20"/>
              </w:rPr>
              <w:t>$278,409.07</w:t>
            </w:r>
          </w:p>
        </w:tc>
      </w:tr>
      <w:tr w:rsidR="00C9062D" w:rsidRPr="003A0C7A" w14:paraId="16EAD193" w14:textId="77777777" w:rsidTr="00C9062D">
        <w:tc>
          <w:tcPr>
            <w:tcW w:w="1031" w:type="pct"/>
          </w:tcPr>
          <w:p w14:paraId="7CDB7406" w14:textId="77777777" w:rsidR="00C9062D" w:rsidRPr="003A0C7A" w:rsidRDefault="00C9062D" w:rsidP="00C9062D">
            <w:pPr>
              <w:rPr>
                <w:rFonts w:ascii="Arial" w:hAnsi="Arial"/>
                <w:sz w:val="20"/>
              </w:rPr>
            </w:pPr>
            <w:r w:rsidRPr="003A0C7A">
              <w:rPr>
                <w:rFonts w:ascii="Arial" w:hAnsi="Arial"/>
                <w:sz w:val="20"/>
              </w:rPr>
              <w:t>RMIT University</w:t>
            </w:r>
          </w:p>
        </w:tc>
        <w:tc>
          <w:tcPr>
            <w:tcW w:w="1542" w:type="pct"/>
          </w:tcPr>
          <w:p w14:paraId="09FF11A7" w14:textId="77777777" w:rsidR="00C9062D" w:rsidRPr="003A0C7A" w:rsidRDefault="00C9062D" w:rsidP="00C9062D">
            <w:pPr>
              <w:rPr>
                <w:rFonts w:ascii="Arial" w:hAnsi="Arial"/>
                <w:sz w:val="20"/>
              </w:rPr>
            </w:pPr>
            <w:r w:rsidRPr="003A0C7A">
              <w:rPr>
                <w:rFonts w:ascii="Arial" w:hAnsi="Arial"/>
                <w:sz w:val="20"/>
              </w:rPr>
              <w:t>PIP – FVPPU – ICCM Program Design</w:t>
            </w:r>
          </w:p>
        </w:tc>
        <w:tc>
          <w:tcPr>
            <w:tcW w:w="810" w:type="pct"/>
          </w:tcPr>
          <w:p w14:paraId="1954F6BB" w14:textId="77777777" w:rsidR="00C9062D" w:rsidRPr="003A0C7A" w:rsidRDefault="00C9062D" w:rsidP="00C9062D">
            <w:pPr>
              <w:jc w:val="right"/>
              <w:rPr>
                <w:rFonts w:ascii="Arial" w:hAnsi="Arial"/>
                <w:sz w:val="20"/>
              </w:rPr>
            </w:pPr>
            <w:r w:rsidRPr="003A0C7A">
              <w:rPr>
                <w:rFonts w:ascii="Arial" w:hAnsi="Arial"/>
                <w:sz w:val="20"/>
              </w:rPr>
              <w:t>$124,590.00</w:t>
            </w:r>
          </w:p>
        </w:tc>
        <w:tc>
          <w:tcPr>
            <w:tcW w:w="809" w:type="pct"/>
          </w:tcPr>
          <w:p w14:paraId="6B8A2D36" w14:textId="77777777" w:rsidR="00C9062D" w:rsidRPr="003A0C7A" w:rsidRDefault="00C9062D" w:rsidP="00C9062D">
            <w:pPr>
              <w:jc w:val="right"/>
              <w:rPr>
                <w:rFonts w:ascii="Arial" w:hAnsi="Arial"/>
                <w:sz w:val="20"/>
              </w:rPr>
            </w:pPr>
            <w:r w:rsidRPr="003A0C7A">
              <w:rPr>
                <w:rFonts w:ascii="Arial" w:hAnsi="Arial"/>
                <w:sz w:val="20"/>
              </w:rPr>
              <w:t>$124,590.00</w:t>
            </w:r>
          </w:p>
        </w:tc>
        <w:tc>
          <w:tcPr>
            <w:tcW w:w="808" w:type="pct"/>
          </w:tcPr>
          <w:p w14:paraId="2EF5632F" w14:textId="77777777" w:rsidR="00C9062D" w:rsidRPr="003A0C7A" w:rsidRDefault="00C9062D" w:rsidP="00C9062D">
            <w:pPr>
              <w:jc w:val="right"/>
              <w:rPr>
                <w:rFonts w:ascii="Arial" w:hAnsi="Arial"/>
                <w:sz w:val="20"/>
              </w:rPr>
            </w:pPr>
            <w:r w:rsidRPr="003A0C7A">
              <w:rPr>
                <w:rFonts w:ascii="Arial" w:hAnsi="Arial"/>
                <w:sz w:val="20"/>
              </w:rPr>
              <w:t>0</w:t>
            </w:r>
          </w:p>
        </w:tc>
      </w:tr>
      <w:tr w:rsidR="00C9062D" w:rsidRPr="003A0C7A" w14:paraId="775FE08F" w14:textId="77777777" w:rsidTr="00C9062D">
        <w:tc>
          <w:tcPr>
            <w:tcW w:w="1031" w:type="pct"/>
          </w:tcPr>
          <w:p w14:paraId="4976C387" w14:textId="77777777" w:rsidR="00C9062D" w:rsidRPr="003A0C7A" w:rsidRDefault="00C9062D" w:rsidP="00C9062D">
            <w:pPr>
              <w:rPr>
                <w:rFonts w:ascii="Arial" w:hAnsi="Arial"/>
                <w:sz w:val="20"/>
              </w:rPr>
            </w:pPr>
            <w:r w:rsidRPr="003A0C7A">
              <w:rPr>
                <w:rFonts w:ascii="Arial" w:hAnsi="Arial"/>
                <w:sz w:val="20"/>
              </w:rPr>
              <w:t>RPS AAP Consulting Pty Ltd</w:t>
            </w:r>
          </w:p>
        </w:tc>
        <w:tc>
          <w:tcPr>
            <w:tcW w:w="1542" w:type="pct"/>
          </w:tcPr>
          <w:p w14:paraId="6C37E4B0" w14:textId="77777777" w:rsidR="00C9062D" w:rsidRPr="003A0C7A" w:rsidRDefault="00C9062D" w:rsidP="00C9062D">
            <w:pPr>
              <w:rPr>
                <w:rFonts w:ascii="Arial" w:hAnsi="Arial"/>
                <w:sz w:val="20"/>
              </w:rPr>
            </w:pPr>
            <w:r w:rsidRPr="003A0C7A">
              <w:rPr>
                <w:rFonts w:ascii="Arial" w:hAnsi="Arial"/>
                <w:sz w:val="20"/>
              </w:rPr>
              <w:t>Project Management Support Services – 223 William Street Recovery Project</w:t>
            </w:r>
          </w:p>
        </w:tc>
        <w:tc>
          <w:tcPr>
            <w:tcW w:w="810" w:type="pct"/>
          </w:tcPr>
          <w:p w14:paraId="374D1B31" w14:textId="77777777" w:rsidR="00C9062D" w:rsidRPr="003A0C7A" w:rsidRDefault="00C9062D" w:rsidP="00C9062D">
            <w:pPr>
              <w:jc w:val="right"/>
              <w:rPr>
                <w:rFonts w:ascii="Arial" w:hAnsi="Arial"/>
                <w:sz w:val="20"/>
              </w:rPr>
            </w:pPr>
            <w:r w:rsidRPr="003A0C7A">
              <w:rPr>
                <w:rFonts w:ascii="Arial" w:hAnsi="Arial"/>
                <w:sz w:val="20"/>
              </w:rPr>
              <w:t>$45,454.55</w:t>
            </w:r>
          </w:p>
        </w:tc>
        <w:tc>
          <w:tcPr>
            <w:tcW w:w="809" w:type="pct"/>
          </w:tcPr>
          <w:p w14:paraId="2418E5F8" w14:textId="77777777" w:rsidR="00C9062D" w:rsidRPr="003A0C7A" w:rsidRDefault="00C9062D" w:rsidP="00C9062D">
            <w:pPr>
              <w:jc w:val="right"/>
              <w:rPr>
                <w:rFonts w:ascii="Arial" w:hAnsi="Arial"/>
                <w:sz w:val="20"/>
              </w:rPr>
            </w:pPr>
            <w:r w:rsidRPr="003A0C7A">
              <w:rPr>
                <w:rFonts w:ascii="Arial" w:hAnsi="Arial"/>
                <w:sz w:val="20"/>
              </w:rPr>
              <w:t>$44,160.00</w:t>
            </w:r>
          </w:p>
        </w:tc>
        <w:tc>
          <w:tcPr>
            <w:tcW w:w="808" w:type="pct"/>
          </w:tcPr>
          <w:p w14:paraId="6A3B134A" w14:textId="77777777" w:rsidR="00C9062D" w:rsidRPr="003A0C7A" w:rsidRDefault="00C9062D" w:rsidP="00C9062D">
            <w:pPr>
              <w:jc w:val="right"/>
              <w:rPr>
                <w:rFonts w:ascii="Arial" w:hAnsi="Arial"/>
                <w:sz w:val="20"/>
              </w:rPr>
            </w:pPr>
            <w:r w:rsidRPr="003A0C7A">
              <w:rPr>
                <w:rFonts w:ascii="Arial" w:hAnsi="Arial"/>
                <w:sz w:val="20"/>
              </w:rPr>
              <w:t>$1,294.55</w:t>
            </w:r>
          </w:p>
        </w:tc>
      </w:tr>
      <w:tr w:rsidR="00C9062D" w:rsidRPr="003A0C7A" w14:paraId="6E22FB89" w14:textId="77777777" w:rsidTr="00C9062D">
        <w:tc>
          <w:tcPr>
            <w:tcW w:w="1031" w:type="pct"/>
          </w:tcPr>
          <w:p w14:paraId="3436D69F" w14:textId="77777777" w:rsidR="00C9062D" w:rsidRPr="003A0C7A" w:rsidRDefault="00C9062D" w:rsidP="00C9062D">
            <w:pPr>
              <w:rPr>
                <w:rFonts w:ascii="Arial" w:hAnsi="Arial"/>
                <w:sz w:val="20"/>
              </w:rPr>
            </w:pPr>
            <w:r w:rsidRPr="003A0C7A">
              <w:rPr>
                <w:rFonts w:ascii="Arial" w:hAnsi="Arial"/>
                <w:sz w:val="20"/>
              </w:rPr>
              <w:t>Swinburne University of Technology</w:t>
            </w:r>
          </w:p>
        </w:tc>
        <w:tc>
          <w:tcPr>
            <w:tcW w:w="1542" w:type="pct"/>
          </w:tcPr>
          <w:p w14:paraId="36D4513A" w14:textId="77777777" w:rsidR="00C9062D" w:rsidRPr="003A0C7A" w:rsidRDefault="00C9062D" w:rsidP="00C9062D">
            <w:pPr>
              <w:rPr>
                <w:rFonts w:ascii="Arial" w:hAnsi="Arial"/>
                <w:sz w:val="20"/>
              </w:rPr>
            </w:pPr>
            <w:r w:rsidRPr="003A0C7A">
              <w:rPr>
                <w:rFonts w:ascii="Arial" w:hAnsi="Arial"/>
                <w:sz w:val="20"/>
              </w:rPr>
              <w:t>Evaluation of MCV Family Violence Reform</w:t>
            </w:r>
          </w:p>
        </w:tc>
        <w:tc>
          <w:tcPr>
            <w:tcW w:w="810" w:type="pct"/>
          </w:tcPr>
          <w:p w14:paraId="0A3CF225" w14:textId="77777777" w:rsidR="00C9062D" w:rsidRPr="003A0C7A" w:rsidRDefault="00C9062D" w:rsidP="00C9062D">
            <w:pPr>
              <w:jc w:val="right"/>
              <w:rPr>
                <w:rFonts w:ascii="Arial" w:hAnsi="Arial"/>
                <w:sz w:val="20"/>
              </w:rPr>
            </w:pPr>
            <w:r w:rsidRPr="003A0C7A">
              <w:rPr>
                <w:rFonts w:ascii="Arial" w:hAnsi="Arial"/>
                <w:sz w:val="20"/>
              </w:rPr>
              <w:t>$614,101.82</w:t>
            </w:r>
          </w:p>
        </w:tc>
        <w:tc>
          <w:tcPr>
            <w:tcW w:w="809" w:type="pct"/>
          </w:tcPr>
          <w:p w14:paraId="5F222146" w14:textId="77777777" w:rsidR="00C9062D" w:rsidRPr="003A0C7A" w:rsidRDefault="00C9062D" w:rsidP="00C9062D">
            <w:pPr>
              <w:jc w:val="right"/>
              <w:rPr>
                <w:rFonts w:ascii="Arial" w:hAnsi="Arial"/>
                <w:sz w:val="20"/>
              </w:rPr>
            </w:pPr>
            <w:r w:rsidRPr="003A0C7A">
              <w:rPr>
                <w:rFonts w:ascii="Arial" w:hAnsi="Arial"/>
                <w:sz w:val="20"/>
              </w:rPr>
              <w:t>$122,820.00</w:t>
            </w:r>
          </w:p>
        </w:tc>
        <w:tc>
          <w:tcPr>
            <w:tcW w:w="808" w:type="pct"/>
          </w:tcPr>
          <w:p w14:paraId="3B635E3C" w14:textId="77777777" w:rsidR="00C9062D" w:rsidRPr="003A0C7A" w:rsidRDefault="00C9062D" w:rsidP="00C9062D">
            <w:pPr>
              <w:jc w:val="right"/>
              <w:rPr>
                <w:rFonts w:ascii="Arial" w:hAnsi="Arial"/>
                <w:sz w:val="20"/>
              </w:rPr>
            </w:pPr>
            <w:r w:rsidRPr="003A0C7A">
              <w:rPr>
                <w:rFonts w:ascii="Arial" w:hAnsi="Arial"/>
                <w:sz w:val="20"/>
              </w:rPr>
              <w:t>$491,281.82</w:t>
            </w:r>
          </w:p>
        </w:tc>
      </w:tr>
      <w:tr w:rsidR="00C9062D" w:rsidRPr="003A0C7A" w14:paraId="1DB723BA" w14:textId="77777777" w:rsidTr="00C9062D">
        <w:tc>
          <w:tcPr>
            <w:tcW w:w="1031" w:type="pct"/>
          </w:tcPr>
          <w:p w14:paraId="4F18AB82" w14:textId="77777777" w:rsidR="00C9062D" w:rsidRPr="003A0C7A" w:rsidRDefault="00C9062D" w:rsidP="00C9062D">
            <w:pPr>
              <w:rPr>
                <w:rFonts w:ascii="Arial" w:hAnsi="Arial"/>
                <w:sz w:val="20"/>
              </w:rPr>
            </w:pPr>
            <w:proofErr w:type="spellStart"/>
            <w:r w:rsidRPr="003A0C7A">
              <w:rPr>
                <w:rFonts w:ascii="Arial" w:hAnsi="Arial"/>
                <w:sz w:val="20"/>
              </w:rPr>
              <w:t>Treehaus</w:t>
            </w:r>
            <w:proofErr w:type="spellEnd"/>
          </w:p>
        </w:tc>
        <w:tc>
          <w:tcPr>
            <w:tcW w:w="1542" w:type="pct"/>
          </w:tcPr>
          <w:p w14:paraId="00787412" w14:textId="77777777" w:rsidR="00C9062D" w:rsidRPr="003A0C7A" w:rsidRDefault="00C9062D" w:rsidP="00C9062D">
            <w:pPr>
              <w:rPr>
                <w:rFonts w:ascii="Arial" w:hAnsi="Arial"/>
                <w:sz w:val="20"/>
              </w:rPr>
            </w:pPr>
            <w:r w:rsidRPr="003A0C7A">
              <w:rPr>
                <w:rFonts w:ascii="Arial" w:hAnsi="Arial"/>
                <w:sz w:val="20"/>
              </w:rPr>
              <w:t>Community Based Venues Project – Evaluation Framework Development and Implementation</w:t>
            </w:r>
          </w:p>
        </w:tc>
        <w:tc>
          <w:tcPr>
            <w:tcW w:w="810" w:type="pct"/>
          </w:tcPr>
          <w:p w14:paraId="280981D9" w14:textId="77777777" w:rsidR="00C9062D" w:rsidRPr="003A0C7A" w:rsidRDefault="00C9062D" w:rsidP="00C9062D">
            <w:pPr>
              <w:jc w:val="right"/>
              <w:rPr>
                <w:rFonts w:ascii="Arial" w:hAnsi="Arial"/>
                <w:sz w:val="20"/>
              </w:rPr>
            </w:pPr>
            <w:r w:rsidRPr="003A0C7A">
              <w:rPr>
                <w:rFonts w:ascii="Arial" w:hAnsi="Arial"/>
                <w:sz w:val="20"/>
              </w:rPr>
              <w:t>$33,650.00</w:t>
            </w:r>
          </w:p>
        </w:tc>
        <w:tc>
          <w:tcPr>
            <w:tcW w:w="809" w:type="pct"/>
          </w:tcPr>
          <w:p w14:paraId="0FC73B3A" w14:textId="77777777" w:rsidR="00C9062D" w:rsidRPr="003A0C7A" w:rsidRDefault="00C9062D" w:rsidP="00C9062D">
            <w:pPr>
              <w:jc w:val="right"/>
              <w:rPr>
                <w:rFonts w:ascii="Arial" w:hAnsi="Arial"/>
                <w:sz w:val="20"/>
              </w:rPr>
            </w:pPr>
            <w:r w:rsidRPr="003A0C7A">
              <w:rPr>
                <w:rFonts w:ascii="Arial" w:hAnsi="Arial"/>
                <w:sz w:val="20"/>
              </w:rPr>
              <w:t>$18,657.19</w:t>
            </w:r>
          </w:p>
        </w:tc>
        <w:tc>
          <w:tcPr>
            <w:tcW w:w="808" w:type="pct"/>
          </w:tcPr>
          <w:p w14:paraId="6937D36E" w14:textId="77777777" w:rsidR="00C9062D" w:rsidRPr="003A0C7A" w:rsidRDefault="00C9062D" w:rsidP="00C9062D">
            <w:pPr>
              <w:jc w:val="right"/>
              <w:rPr>
                <w:rFonts w:ascii="Arial" w:hAnsi="Arial"/>
                <w:sz w:val="20"/>
              </w:rPr>
            </w:pPr>
            <w:r w:rsidRPr="003A0C7A">
              <w:rPr>
                <w:rFonts w:ascii="Arial" w:hAnsi="Arial"/>
                <w:sz w:val="20"/>
              </w:rPr>
              <w:t>$14,992.81</w:t>
            </w:r>
          </w:p>
        </w:tc>
      </w:tr>
      <w:tr w:rsidR="00C9062D" w:rsidRPr="003A0C7A" w14:paraId="5B687109" w14:textId="77777777" w:rsidTr="00C9062D">
        <w:tc>
          <w:tcPr>
            <w:tcW w:w="1031" w:type="pct"/>
          </w:tcPr>
          <w:p w14:paraId="15E26300" w14:textId="77777777" w:rsidR="00C9062D" w:rsidRPr="003A0C7A" w:rsidRDefault="00C9062D" w:rsidP="00C9062D">
            <w:pPr>
              <w:rPr>
                <w:rFonts w:ascii="Arial" w:hAnsi="Arial"/>
                <w:sz w:val="20"/>
              </w:rPr>
            </w:pPr>
            <w:r w:rsidRPr="003A0C7A">
              <w:rPr>
                <w:rFonts w:ascii="Arial" w:hAnsi="Arial"/>
                <w:sz w:val="20"/>
              </w:rPr>
              <w:t>Versa Agency</w:t>
            </w:r>
          </w:p>
        </w:tc>
        <w:tc>
          <w:tcPr>
            <w:tcW w:w="1542" w:type="pct"/>
          </w:tcPr>
          <w:p w14:paraId="28FCB4F8" w14:textId="77777777" w:rsidR="00C9062D" w:rsidRPr="003A0C7A" w:rsidRDefault="00C9062D" w:rsidP="00C9062D">
            <w:pPr>
              <w:rPr>
                <w:rFonts w:ascii="Arial" w:hAnsi="Arial"/>
                <w:sz w:val="20"/>
              </w:rPr>
            </w:pPr>
            <w:r w:rsidRPr="003A0C7A">
              <w:rPr>
                <w:rFonts w:ascii="Arial" w:hAnsi="Arial"/>
                <w:sz w:val="20"/>
              </w:rPr>
              <w:t>Consultancy work for Stage 2 build of Children’s Court website development project</w:t>
            </w:r>
          </w:p>
        </w:tc>
        <w:tc>
          <w:tcPr>
            <w:tcW w:w="810" w:type="pct"/>
          </w:tcPr>
          <w:p w14:paraId="01B749E4" w14:textId="77777777" w:rsidR="00C9062D" w:rsidRPr="003A0C7A" w:rsidRDefault="00C9062D" w:rsidP="00C9062D">
            <w:pPr>
              <w:jc w:val="right"/>
              <w:rPr>
                <w:rFonts w:ascii="Arial" w:hAnsi="Arial"/>
                <w:sz w:val="20"/>
              </w:rPr>
            </w:pPr>
            <w:r w:rsidRPr="003A0C7A">
              <w:rPr>
                <w:rFonts w:ascii="Arial" w:hAnsi="Arial"/>
                <w:sz w:val="20"/>
              </w:rPr>
              <w:t>$175,612.80</w:t>
            </w:r>
          </w:p>
        </w:tc>
        <w:tc>
          <w:tcPr>
            <w:tcW w:w="809" w:type="pct"/>
          </w:tcPr>
          <w:p w14:paraId="6F9A615A" w14:textId="77777777" w:rsidR="00C9062D" w:rsidRPr="003A0C7A" w:rsidRDefault="00C9062D" w:rsidP="00C9062D">
            <w:pPr>
              <w:jc w:val="right"/>
              <w:rPr>
                <w:rFonts w:ascii="Arial" w:hAnsi="Arial"/>
                <w:sz w:val="20"/>
              </w:rPr>
            </w:pPr>
            <w:r w:rsidRPr="003A0C7A">
              <w:rPr>
                <w:rFonts w:ascii="Arial" w:hAnsi="Arial"/>
                <w:sz w:val="20"/>
              </w:rPr>
              <w:t>$127,718.40</w:t>
            </w:r>
          </w:p>
        </w:tc>
        <w:tc>
          <w:tcPr>
            <w:tcW w:w="808" w:type="pct"/>
          </w:tcPr>
          <w:p w14:paraId="1095BC60" w14:textId="77777777" w:rsidR="00C9062D" w:rsidRPr="003A0C7A" w:rsidRDefault="00C9062D" w:rsidP="00C9062D">
            <w:pPr>
              <w:jc w:val="right"/>
              <w:rPr>
                <w:rFonts w:ascii="Arial" w:hAnsi="Arial"/>
                <w:sz w:val="20"/>
              </w:rPr>
            </w:pPr>
            <w:r w:rsidRPr="003A0C7A">
              <w:rPr>
                <w:rFonts w:ascii="Arial" w:hAnsi="Arial"/>
                <w:sz w:val="20"/>
              </w:rPr>
              <w:t>$47,894.40</w:t>
            </w:r>
          </w:p>
        </w:tc>
      </w:tr>
      <w:tr w:rsidR="00C9062D" w:rsidRPr="003A0C7A" w14:paraId="7595C12D" w14:textId="77777777" w:rsidTr="00C9062D">
        <w:tc>
          <w:tcPr>
            <w:tcW w:w="1031" w:type="pct"/>
          </w:tcPr>
          <w:p w14:paraId="50C54F05" w14:textId="77777777" w:rsidR="00C9062D" w:rsidRPr="003A0C7A" w:rsidRDefault="00C9062D" w:rsidP="00C9062D">
            <w:pPr>
              <w:rPr>
                <w:rFonts w:ascii="Arial Bold" w:hAnsi="Arial Bold"/>
                <w:sz w:val="20"/>
              </w:rPr>
            </w:pPr>
            <w:r w:rsidRPr="003A0C7A">
              <w:rPr>
                <w:rFonts w:ascii="Arial Bold" w:hAnsi="Arial Bold"/>
                <w:sz w:val="20"/>
              </w:rPr>
              <w:t>Consultancy above $10,000</w:t>
            </w:r>
          </w:p>
        </w:tc>
        <w:tc>
          <w:tcPr>
            <w:tcW w:w="1542" w:type="pct"/>
          </w:tcPr>
          <w:p w14:paraId="3C754A1C" w14:textId="77777777" w:rsidR="00C9062D" w:rsidRPr="003A0C7A" w:rsidRDefault="00C9062D" w:rsidP="00C9062D">
            <w:pPr>
              <w:rPr>
                <w:rFonts w:ascii="Arial" w:hAnsi="Arial"/>
              </w:rPr>
            </w:pPr>
            <w:r w:rsidRPr="003A0C7A">
              <w:rPr>
                <w:rFonts w:ascii="Arial" w:hAnsi="Arial"/>
              </w:rPr>
              <w:t>N/A</w:t>
            </w:r>
          </w:p>
        </w:tc>
        <w:tc>
          <w:tcPr>
            <w:tcW w:w="810" w:type="pct"/>
          </w:tcPr>
          <w:p w14:paraId="7AA8DF19" w14:textId="0B1E9737" w:rsidR="00C9062D" w:rsidRPr="003A0C7A" w:rsidRDefault="00C9062D" w:rsidP="00C9062D">
            <w:pPr>
              <w:jc w:val="right"/>
              <w:rPr>
                <w:rFonts w:ascii="Arial Bold" w:hAnsi="Arial Bold"/>
                <w:sz w:val="20"/>
              </w:rPr>
            </w:pPr>
            <w:r w:rsidRPr="003A0C7A">
              <w:rPr>
                <w:rFonts w:ascii="Arial Bold" w:hAnsi="Arial Bold"/>
                <w:sz w:val="20"/>
              </w:rPr>
              <w:t>$</w:t>
            </w:r>
            <w:r w:rsidRPr="00C9062D">
              <w:rPr>
                <w:rFonts w:ascii="Arial Bold" w:hAnsi="Arial Bold"/>
                <w:sz w:val="20"/>
              </w:rPr>
              <w:t>10,528,616.84</w:t>
            </w:r>
          </w:p>
        </w:tc>
        <w:tc>
          <w:tcPr>
            <w:tcW w:w="809" w:type="pct"/>
          </w:tcPr>
          <w:p w14:paraId="3B83B480" w14:textId="77777777" w:rsidR="00C9062D" w:rsidRPr="003A0C7A" w:rsidRDefault="00C9062D" w:rsidP="00C9062D">
            <w:pPr>
              <w:jc w:val="right"/>
              <w:rPr>
                <w:rFonts w:ascii="Arial Bold" w:hAnsi="Arial Bold"/>
                <w:sz w:val="20"/>
              </w:rPr>
            </w:pPr>
            <w:r w:rsidRPr="003A0C7A">
              <w:rPr>
                <w:rFonts w:ascii="Arial Bold" w:hAnsi="Arial Bold"/>
                <w:sz w:val="20"/>
              </w:rPr>
              <w:t>$4,</w:t>
            </w:r>
            <w:r>
              <w:rPr>
                <w:rFonts w:ascii="Arial Bold" w:hAnsi="Arial Bold"/>
                <w:sz w:val="20"/>
              </w:rPr>
              <w:t>546</w:t>
            </w:r>
            <w:r w:rsidRPr="003A0C7A">
              <w:rPr>
                <w:rFonts w:ascii="Arial Bold" w:hAnsi="Arial Bold"/>
                <w:sz w:val="20"/>
              </w:rPr>
              <w:t>,</w:t>
            </w:r>
            <w:r>
              <w:rPr>
                <w:rFonts w:ascii="Arial Bold" w:hAnsi="Arial Bold"/>
                <w:sz w:val="20"/>
              </w:rPr>
              <w:t>629</w:t>
            </w:r>
            <w:r w:rsidRPr="003A0C7A">
              <w:rPr>
                <w:rFonts w:ascii="Arial Bold" w:hAnsi="Arial Bold"/>
                <w:sz w:val="20"/>
              </w:rPr>
              <w:t>.15</w:t>
            </w:r>
          </w:p>
        </w:tc>
        <w:tc>
          <w:tcPr>
            <w:tcW w:w="808" w:type="pct"/>
          </w:tcPr>
          <w:p w14:paraId="46B05410" w14:textId="77777777" w:rsidR="00C9062D" w:rsidRPr="003A0C7A" w:rsidRDefault="00C9062D" w:rsidP="00C9062D">
            <w:pPr>
              <w:jc w:val="right"/>
              <w:rPr>
                <w:rFonts w:ascii="Arial Bold" w:hAnsi="Arial Bold"/>
                <w:sz w:val="20"/>
              </w:rPr>
            </w:pPr>
            <w:r w:rsidRPr="003A0C7A">
              <w:rPr>
                <w:rFonts w:ascii="Arial Bold" w:hAnsi="Arial Bold"/>
                <w:sz w:val="20"/>
              </w:rPr>
              <w:t>$5,</w:t>
            </w:r>
            <w:r>
              <w:rPr>
                <w:rFonts w:ascii="Arial Bold" w:hAnsi="Arial Bold"/>
                <w:sz w:val="20"/>
              </w:rPr>
              <w:t>929</w:t>
            </w:r>
            <w:r w:rsidRPr="003A0C7A">
              <w:rPr>
                <w:rFonts w:ascii="Arial Bold" w:hAnsi="Arial Bold"/>
                <w:sz w:val="20"/>
              </w:rPr>
              <w:t>,</w:t>
            </w:r>
            <w:r>
              <w:rPr>
                <w:rFonts w:ascii="Arial Bold" w:hAnsi="Arial Bold"/>
                <w:sz w:val="20"/>
              </w:rPr>
              <w:t>103</w:t>
            </w:r>
            <w:r w:rsidRPr="003A0C7A">
              <w:rPr>
                <w:rFonts w:ascii="Arial Bold" w:hAnsi="Arial Bold"/>
                <w:sz w:val="20"/>
              </w:rPr>
              <w:t>.69</w:t>
            </w:r>
          </w:p>
        </w:tc>
      </w:tr>
    </w:tbl>
    <w:p w14:paraId="2E778226" w14:textId="0D20D39C" w:rsidR="004B6BAC" w:rsidRPr="007A0D86" w:rsidRDefault="004B6BAC" w:rsidP="00C9062D">
      <w:pPr>
        <w:pStyle w:val="Heading3"/>
      </w:pPr>
      <w:bookmarkStart w:id="172" w:name="_Toc62808112"/>
      <w:r w:rsidRPr="00D9306E">
        <w:t xml:space="preserve">Details </w:t>
      </w:r>
      <w:r w:rsidR="008C0C18" w:rsidRPr="00D9306E">
        <w:t>of</w:t>
      </w:r>
      <w:r w:rsidR="00C21B98" w:rsidRPr="00D9306E">
        <w:t xml:space="preserve"> Consultancies Valued u</w:t>
      </w:r>
      <w:r w:rsidRPr="00D9306E">
        <w:t>nder $10,000</w:t>
      </w:r>
      <w:bookmarkEnd w:id="170"/>
      <w:bookmarkEnd w:id="172"/>
    </w:p>
    <w:p w14:paraId="7B684E9E" w14:textId="60DE1486" w:rsidR="00C9062D" w:rsidRPr="00495B1A" w:rsidRDefault="00C9062D" w:rsidP="00C9062D">
      <w:bookmarkStart w:id="173" w:name="_Ref61895350"/>
      <w:r w:rsidRPr="00495B1A">
        <w:t>In 2019-20, there was one consultancy engaged where the total fee payable to the individual consultancy was less than $10</w:t>
      </w:r>
      <w:r>
        <w:t>,</w:t>
      </w:r>
      <w:r w:rsidRPr="00495B1A">
        <w:t>000. Risk Logic Pty Ltd was engaged to review CSV’s Pandemic Plan at a total cost of $4,310 (excl. GST).</w:t>
      </w:r>
    </w:p>
    <w:p w14:paraId="51DFA3DA" w14:textId="149CCB23" w:rsidR="00D9306E" w:rsidRDefault="00D9306E" w:rsidP="00D9306E">
      <w:pPr>
        <w:pStyle w:val="Heading3"/>
      </w:pPr>
      <w:bookmarkStart w:id="174" w:name="_Toc62808113"/>
      <w:r>
        <w:t>Disclosure of Major Contracts</w:t>
      </w:r>
      <w:bookmarkEnd w:id="173"/>
      <w:bookmarkEnd w:id="174"/>
    </w:p>
    <w:p w14:paraId="0B72DEC6" w14:textId="5CD42F94" w:rsidR="00D9306E" w:rsidRDefault="009B1462" w:rsidP="00D9306E">
      <w:pPr>
        <w:pStyle w:val="BodyText"/>
      </w:pPr>
      <w:r>
        <w:t>Court Services Victoria</w:t>
      </w:r>
      <w:r w:rsidR="00D9306E">
        <w:t xml:space="preserve"> entered into three contracts greater than $10 million in the year ended 30 June 2020.</w:t>
      </w:r>
    </w:p>
    <w:p w14:paraId="2E04B089" w14:textId="1522F937" w:rsidR="004B6BAC" w:rsidRDefault="004B6BAC" w:rsidP="001D5E45">
      <w:pPr>
        <w:pStyle w:val="Caption"/>
      </w:pPr>
      <w:r w:rsidRPr="0099282F">
        <w:t xml:space="preserve">Table </w:t>
      </w:r>
      <w:r w:rsidR="00D42A70" w:rsidRPr="0099282F">
        <w:rPr>
          <w:noProof/>
        </w:rPr>
        <w:fldChar w:fldCharType="begin"/>
      </w:r>
      <w:r w:rsidR="00D42A70" w:rsidRPr="0099282F">
        <w:rPr>
          <w:noProof/>
        </w:rPr>
        <w:instrText xml:space="preserve"> SEQ Table \* ARABIC </w:instrText>
      </w:r>
      <w:r w:rsidR="00D42A70" w:rsidRPr="0099282F">
        <w:rPr>
          <w:noProof/>
        </w:rPr>
        <w:fldChar w:fldCharType="separate"/>
      </w:r>
      <w:r w:rsidR="00D46E6D">
        <w:rPr>
          <w:noProof/>
        </w:rPr>
        <w:t>11</w:t>
      </w:r>
      <w:r w:rsidR="00D42A70" w:rsidRPr="0099282F">
        <w:rPr>
          <w:noProof/>
        </w:rPr>
        <w:fldChar w:fldCharType="end"/>
      </w:r>
      <w:r w:rsidRPr="0099282F">
        <w:t xml:space="preserve">: </w:t>
      </w:r>
      <w:r w:rsidR="006B18EC" w:rsidRPr="0099282F">
        <w:t xml:space="preserve">Contracts </w:t>
      </w:r>
      <w:r w:rsidR="0036141C">
        <w:t>G</w:t>
      </w:r>
      <w:r w:rsidR="006B18EC" w:rsidRPr="0099282F">
        <w:t xml:space="preserve">reater than $10 </w:t>
      </w:r>
      <w:r w:rsidR="0036141C">
        <w:t>M</w:t>
      </w:r>
      <w:r w:rsidR="006B18EC" w:rsidRPr="0099282F">
        <w:t>illion</w:t>
      </w:r>
    </w:p>
    <w:tbl>
      <w:tblPr>
        <w:tblStyle w:val="TableGrid"/>
        <w:tblW w:w="0" w:type="auto"/>
        <w:tblLook w:val="04A0" w:firstRow="1" w:lastRow="0" w:firstColumn="1" w:lastColumn="0" w:noHBand="0" w:noVBand="1"/>
      </w:tblPr>
      <w:tblGrid>
        <w:gridCol w:w="1923"/>
        <w:gridCol w:w="2750"/>
        <w:gridCol w:w="1564"/>
        <w:gridCol w:w="1479"/>
        <w:gridCol w:w="1926"/>
      </w:tblGrid>
      <w:tr w:rsidR="003776A7" w14:paraId="1B9FE214" w14:textId="77777777" w:rsidTr="004A2A0D">
        <w:trPr>
          <w:cnfStyle w:val="100000000000" w:firstRow="1" w:lastRow="0" w:firstColumn="0" w:lastColumn="0" w:oddVBand="0" w:evenVBand="0" w:oddHBand="0" w:evenHBand="0" w:firstRowFirstColumn="0" w:firstRowLastColumn="0" w:lastRowFirstColumn="0" w:lastRowLastColumn="0"/>
        </w:trPr>
        <w:tc>
          <w:tcPr>
            <w:tcW w:w="1923" w:type="dxa"/>
            <w:vAlign w:val="bottom"/>
          </w:tcPr>
          <w:p w14:paraId="075AA564" w14:textId="5C3CE1EE" w:rsidR="003776A7" w:rsidRDefault="003776A7" w:rsidP="00C631AF">
            <w:pPr>
              <w:pStyle w:val="TableText"/>
            </w:pPr>
            <w:bookmarkStart w:id="175" w:name="ColumnTitle_36117"/>
            <w:r>
              <w:t>Company</w:t>
            </w:r>
          </w:p>
        </w:tc>
        <w:tc>
          <w:tcPr>
            <w:tcW w:w="2750" w:type="dxa"/>
            <w:vAlign w:val="bottom"/>
          </w:tcPr>
          <w:p w14:paraId="3B87981D" w14:textId="798253E4" w:rsidR="003776A7" w:rsidRDefault="003776A7" w:rsidP="00C631AF">
            <w:pPr>
              <w:pStyle w:val="TableText"/>
            </w:pPr>
            <w:r>
              <w:t>Descriptions</w:t>
            </w:r>
          </w:p>
        </w:tc>
        <w:tc>
          <w:tcPr>
            <w:tcW w:w="1564" w:type="dxa"/>
            <w:vAlign w:val="bottom"/>
          </w:tcPr>
          <w:p w14:paraId="5BE35F82" w14:textId="1EB80D16" w:rsidR="003776A7" w:rsidRDefault="00C9062D" w:rsidP="00C631AF">
            <w:pPr>
              <w:pStyle w:val="TableText"/>
            </w:pPr>
            <w:r>
              <w:t>Start date</w:t>
            </w:r>
          </w:p>
        </w:tc>
        <w:tc>
          <w:tcPr>
            <w:tcW w:w="1479" w:type="dxa"/>
            <w:vAlign w:val="bottom"/>
          </w:tcPr>
          <w:p w14:paraId="3CD3E94D" w14:textId="14989239" w:rsidR="003776A7" w:rsidRDefault="003776A7" w:rsidP="00C631AF">
            <w:pPr>
              <w:pStyle w:val="TableText"/>
            </w:pPr>
            <w:r>
              <w:t>End date</w:t>
            </w:r>
          </w:p>
        </w:tc>
        <w:tc>
          <w:tcPr>
            <w:tcW w:w="1926" w:type="dxa"/>
            <w:vAlign w:val="bottom"/>
          </w:tcPr>
          <w:p w14:paraId="28A9F81B" w14:textId="1C614D6A" w:rsidR="003776A7" w:rsidRDefault="003776A7" w:rsidP="004A2A0D">
            <w:pPr>
              <w:pStyle w:val="TableText"/>
              <w:jc w:val="right"/>
            </w:pPr>
            <w:r>
              <w:t>Contract value</w:t>
            </w:r>
            <w:r w:rsidR="00C9062D">
              <w:br/>
            </w:r>
            <w:r>
              <w:t>$ (</w:t>
            </w:r>
            <w:r w:rsidR="00C9062D">
              <w:t>excl.</w:t>
            </w:r>
            <w:r>
              <w:t xml:space="preserve"> GST)</w:t>
            </w:r>
          </w:p>
        </w:tc>
      </w:tr>
      <w:bookmarkEnd w:id="175"/>
      <w:tr w:rsidR="003776A7" w14:paraId="7DF6547C" w14:textId="77777777" w:rsidTr="004A2A0D">
        <w:tc>
          <w:tcPr>
            <w:tcW w:w="1923" w:type="dxa"/>
          </w:tcPr>
          <w:p w14:paraId="5FB0CA91" w14:textId="271E1263" w:rsidR="003776A7" w:rsidRDefault="003776A7" w:rsidP="00C631AF">
            <w:pPr>
              <w:pStyle w:val="TableText"/>
            </w:pPr>
            <w:r>
              <w:t>John Wardle Pty Ltd</w:t>
            </w:r>
          </w:p>
        </w:tc>
        <w:tc>
          <w:tcPr>
            <w:tcW w:w="2750" w:type="dxa"/>
          </w:tcPr>
          <w:p w14:paraId="1C580A73" w14:textId="4A8587CC" w:rsidR="003776A7" w:rsidRDefault="003776A7" w:rsidP="00C631AF">
            <w:pPr>
              <w:pStyle w:val="TableText"/>
            </w:pPr>
            <w:r>
              <w:t>Consultant overseeing Bendigo Law Court Project</w:t>
            </w:r>
          </w:p>
        </w:tc>
        <w:tc>
          <w:tcPr>
            <w:tcW w:w="1564" w:type="dxa"/>
          </w:tcPr>
          <w:p w14:paraId="78959539" w14:textId="775C68B2" w:rsidR="003776A7" w:rsidRDefault="003776A7" w:rsidP="00C631AF">
            <w:pPr>
              <w:pStyle w:val="TableText"/>
            </w:pPr>
            <w:r>
              <w:t>8/11/2019</w:t>
            </w:r>
          </w:p>
        </w:tc>
        <w:tc>
          <w:tcPr>
            <w:tcW w:w="1479" w:type="dxa"/>
          </w:tcPr>
          <w:p w14:paraId="1D8A956F" w14:textId="5B906C61" w:rsidR="003776A7" w:rsidRDefault="003776A7" w:rsidP="00C631AF">
            <w:pPr>
              <w:pStyle w:val="TableText"/>
            </w:pPr>
            <w:r>
              <w:t>31/12/2023</w:t>
            </w:r>
          </w:p>
        </w:tc>
        <w:tc>
          <w:tcPr>
            <w:tcW w:w="1926" w:type="dxa"/>
          </w:tcPr>
          <w:p w14:paraId="68938230" w14:textId="6553BDFD" w:rsidR="003776A7" w:rsidRDefault="003776A7" w:rsidP="004A2A0D">
            <w:pPr>
              <w:pStyle w:val="TableText"/>
              <w:jc w:val="right"/>
            </w:pPr>
            <w:r>
              <w:t>$10,095,265</w:t>
            </w:r>
          </w:p>
        </w:tc>
      </w:tr>
      <w:tr w:rsidR="003776A7" w14:paraId="366785CE" w14:textId="77777777" w:rsidTr="004A2A0D">
        <w:tc>
          <w:tcPr>
            <w:tcW w:w="1923" w:type="dxa"/>
          </w:tcPr>
          <w:p w14:paraId="78F10A1F" w14:textId="7D69C52F" w:rsidR="003776A7" w:rsidRDefault="003776A7" w:rsidP="00C631AF">
            <w:pPr>
              <w:pStyle w:val="TableText"/>
            </w:pPr>
            <w:r>
              <w:t>Uniting Victoria and Tasmania Ltd</w:t>
            </w:r>
          </w:p>
        </w:tc>
        <w:tc>
          <w:tcPr>
            <w:tcW w:w="2750" w:type="dxa"/>
          </w:tcPr>
          <w:p w14:paraId="521E34BB" w14:textId="68DFAB78" w:rsidR="003776A7" w:rsidRDefault="003776A7" w:rsidP="00C631AF">
            <w:pPr>
              <w:pStyle w:val="TableText"/>
            </w:pPr>
            <w:r>
              <w:t>FVR – Court mandated counselling – Men’s Behaviour Program</w:t>
            </w:r>
          </w:p>
        </w:tc>
        <w:tc>
          <w:tcPr>
            <w:tcW w:w="1564" w:type="dxa"/>
          </w:tcPr>
          <w:p w14:paraId="6BD9D24E" w14:textId="27C2EB18" w:rsidR="003776A7" w:rsidRDefault="003776A7" w:rsidP="00C631AF">
            <w:pPr>
              <w:pStyle w:val="TableText"/>
            </w:pPr>
            <w:r>
              <w:t>1/01/2020</w:t>
            </w:r>
          </w:p>
        </w:tc>
        <w:tc>
          <w:tcPr>
            <w:tcW w:w="1479" w:type="dxa"/>
          </w:tcPr>
          <w:p w14:paraId="1E65FB84" w14:textId="173F0FE5" w:rsidR="003776A7" w:rsidRDefault="003776A7" w:rsidP="00C631AF">
            <w:pPr>
              <w:pStyle w:val="TableText"/>
            </w:pPr>
            <w:r>
              <w:t>30/06/2023</w:t>
            </w:r>
          </w:p>
        </w:tc>
        <w:tc>
          <w:tcPr>
            <w:tcW w:w="1926" w:type="dxa"/>
          </w:tcPr>
          <w:p w14:paraId="496EB020" w14:textId="12D78730" w:rsidR="003776A7" w:rsidRDefault="003776A7" w:rsidP="004A2A0D">
            <w:pPr>
              <w:pStyle w:val="TableText"/>
              <w:jc w:val="right"/>
            </w:pPr>
            <w:r>
              <w:t>$12,674,581</w:t>
            </w:r>
          </w:p>
        </w:tc>
      </w:tr>
      <w:tr w:rsidR="003776A7" w14:paraId="471A27AC" w14:textId="77777777" w:rsidTr="004A2A0D">
        <w:tc>
          <w:tcPr>
            <w:tcW w:w="1923" w:type="dxa"/>
          </w:tcPr>
          <w:p w14:paraId="3AAF3F04" w14:textId="3F74A080" w:rsidR="003776A7" w:rsidRDefault="003776A7" w:rsidP="00C631AF">
            <w:pPr>
              <w:pStyle w:val="TableText"/>
            </w:pPr>
            <w:r>
              <w:t>Family Life Ltd</w:t>
            </w:r>
          </w:p>
        </w:tc>
        <w:tc>
          <w:tcPr>
            <w:tcW w:w="2750" w:type="dxa"/>
          </w:tcPr>
          <w:p w14:paraId="70114A4D" w14:textId="14D24EC9" w:rsidR="003776A7" w:rsidRDefault="003776A7" w:rsidP="00C631AF">
            <w:pPr>
              <w:pStyle w:val="TableText"/>
            </w:pPr>
            <w:r>
              <w:t>FVR – Court mandated counselling</w:t>
            </w:r>
          </w:p>
        </w:tc>
        <w:tc>
          <w:tcPr>
            <w:tcW w:w="1564" w:type="dxa"/>
          </w:tcPr>
          <w:p w14:paraId="625C619C" w14:textId="3B56BD40" w:rsidR="003776A7" w:rsidRDefault="003776A7" w:rsidP="00C631AF">
            <w:pPr>
              <w:pStyle w:val="TableText"/>
            </w:pPr>
            <w:r>
              <w:t>1/01/2020</w:t>
            </w:r>
          </w:p>
        </w:tc>
        <w:tc>
          <w:tcPr>
            <w:tcW w:w="1479" w:type="dxa"/>
          </w:tcPr>
          <w:p w14:paraId="0D197E68" w14:textId="49C886CB" w:rsidR="003776A7" w:rsidRDefault="003776A7" w:rsidP="00C631AF">
            <w:pPr>
              <w:pStyle w:val="TableText"/>
            </w:pPr>
            <w:r>
              <w:t>30/06/2023</w:t>
            </w:r>
          </w:p>
        </w:tc>
        <w:tc>
          <w:tcPr>
            <w:tcW w:w="1926" w:type="dxa"/>
          </w:tcPr>
          <w:p w14:paraId="2613225E" w14:textId="1222A81C" w:rsidR="003776A7" w:rsidRDefault="003776A7" w:rsidP="004A2A0D">
            <w:pPr>
              <w:pStyle w:val="TableText"/>
              <w:jc w:val="right"/>
            </w:pPr>
            <w:r>
              <w:t>$12,272,276</w:t>
            </w:r>
          </w:p>
        </w:tc>
      </w:tr>
    </w:tbl>
    <w:p w14:paraId="6E6686F9" w14:textId="17F10C31" w:rsidR="00E811ED" w:rsidRDefault="00E811ED" w:rsidP="00E811ED">
      <w:pPr>
        <w:pStyle w:val="Heading2"/>
      </w:pPr>
      <w:bookmarkStart w:id="176" w:name="_Ref61896170"/>
      <w:bookmarkStart w:id="177" w:name="_Toc62808114"/>
      <w:r>
        <w:t>Information and Communication Technology Expenditure</w:t>
      </w:r>
      <w:bookmarkEnd w:id="176"/>
      <w:bookmarkEnd w:id="177"/>
    </w:p>
    <w:p w14:paraId="4A05D5D2" w14:textId="4694E290" w:rsidR="00E811ED" w:rsidRDefault="00E811ED" w:rsidP="00E811ED">
      <w:pPr>
        <w:pStyle w:val="BodyText"/>
      </w:pPr>
      <w:r>
        <w:t xml:space="preserve">For the 2019-20 reporting period, </w:t>
      </w:r>
      <w:r w:rsidR="009B1462">
        <w:t>Court Services Victoria</w:t>
      </w:r>
      <w:r>
        <w:t xml:space="preserve"> had a total ICT expenditure of $79 million, with the details shown below.</w:t>
      </w:r>
    </w:p>
    <w:p w14:paraId="0910DD75" w14:textId="1EF2F343" w:rsidR="003776A7" w:rsidRDefault="00E811ED" w:rsidP="00E811ED">
      <w:pPr>
        <w:pStyle w:val="Caption"/>
      </w:pPr>
      <w:r>
        <w:t xml:space="preserve">Table </w:t>
      </w:r>
      <w:fldSimple w:instr=" SEQ Table \* ARABIC ">
        <w:r w:rsidR="00D46E6D">
          <w:rPr>
            <w:noProof/>
          </w:rPr>
          <w:t>12</w:t>
        </w:r>
      </w:fldSimple>
      <w:r>
        <w:t>: Information and Communication Technology Expenditure</w:t>
      </w:r>
    </w:p>
    <w:tbl>
      <w:tblPr>
        <w:tblStyle w:val="AccessibleTableNumerical"/>
        <w:tblW w:w="5000" w:type="pct"/>
        <w:tblLook w:val="06A0" w:firstRow="1" w:lastRow="0" w:firstColumn="1" w:lastColumn="0" w:noHBand="1" w:noVBand="1"/>
      </w:tblPr>
      <w:tblGrid>
        <w:gridCol w:w="2832"/>
        <w:gridCol w:w="2272"/>
        <w:gridCol w:w="2268"/>
        <w:gridCol w:w="2270"/>
      </w:tblGrid>
      <w:tr w:rsidR="001B22E9" w:rsidRPr="001B22E9" w14:paraId="0757019A" w14:textId="77777777" w:rsidTr="005D26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9" w:type="pct"/>
          </w:tcPr>
          <w:p w14:paraId="53DE5285" w14:textId="1310A1AB" w:rsidR="001B22E9" w:rsidRPr="001B22E9" w:rsidRDefault="001B22E9" w:rsidP="00C631AF">
            <w:pPr>
              <w:pStyle w:val="TableText"/>
            </w:pPr>
            <w:bookmarkStart w:id="178" w:name="ColumnTitle_32"/>
            <w:r w:rsidRPr="001B22E9">
              <w:t>All operational ICT expenditure</w:t>
            </w:r>
          </w:p>
          <w:p w14:paraId="780F16ED" w14:textId="567899C4" w:rsidR="001B22E9" w:rsidRPr="001B22E9" w:rsidRDefault="001B22E9" w:rsidP="00C631AF">
            <w:pPr>
              <w:pStyle w:val="TableText"/>
            </w:pPr>
            <w:r w:rsidRPr="001B22E9">
              <w:t>Business-as-usual (BAU)</w:t>
            </w:r>
            <w:r w:rsidRPr="001B22E9">
              <w:br/>
              <w:t xml:space="preserve">ICT expenditure </w:t>
            </w:r>
            <w:r w:rsidRPr="001B22E9">
              <w:br/>
              <w:t>($ thou</w:t>
            </w:r>
            <w:r w:rsidR="0017011F">
              <w:t>s</w:t>
            </w:r>
            <w:r w:rsidRPr="001B22E9">
              <w:t>and)</w:t>
            </w:r>
          </w:p>
        </w:tc>
        <w:tc>
          <w:tcPr>
            <w:tcW w:w="1178" w:type="pct"/>
            <w:vAlign w:val="bottom"/>
          </w:tcPr>
          <w:p w14:paraId="264ACB23" w14:textId="58326FD6" w:rsidR="00E811ED" w:rsidRDefault="00E811ED" w:rsidP="005D26A6">
            <w:pPr>
              <w:pStyle w:val="TableText"/>
              <w:cnfStyle w:val="100000000000" w:firstRow="1" w:lastRow="0" w:firstColumn="0" w:lastColumn="0" w:oddVBand="0" w:evenVBand="0" w:oddHBand="0" w:evenHBand="0" w:firstRowFirstColumn="0" w:firstRowLastColumn="0" w:lastRowFirstColumn="0" w:lastRowLastColumn="0"/>
            </w:pPr>
            <w:r>
              <w:t>ICT expenditure related to projects to create or enhance ICT capabilities</w:t>
            </w:r>
          </w:p>
          <w:p w14:paraId="75EF7BEE" w14:textId="447DD7F5" w:rsidR="001B22E9" w:rsidRPr="001B22E9" w:rsidRDefault="001B22E9" w:rsidP="005D26A6">
            <w:pPr>
              <w:pStyle w:val="TableText"/>
              <w:cnfStyle w:val="100000000000" w:firstRow="1" w:lastRow="0" w:firstColumn="0" w:lastColumn="0" w:oddVBand="0" w:evenVBand="0" w:oddHBand="0" w:evenHBand="0" w:firstRowFirstColumn="0" w:firstRowLastColumn="0" w:lastRowFirstColumn="0" w:lastRowLastColumn="0"/>
            </w:pPr>
            <w:r w:rsidRPr="001B22E9">
              <w:t>Non business-as-usual</w:t>
            </w:r>
            <w:r w:rsidR="0017011F">
              <w:t xml:space="preserve"> </w:t>
            </w:r>
            <w:r w:rsidRPr="001B22E9">
              <w:t>(non-BAU)</w:t>
            </w:r>
            <w:r w:rsidR="0017011F">
              <w:t xml:space="preserve"> </w:t>
            </w:r>
            <w:r w:rsidRPr="001B22E9">
              <w:br/>
              <w:t>ICT expenditure</w:t>
            </w:r>
            <w:r w:rsidR="0017011F">
              <w:t xml:space="preserve"> </w:t>
            </w:r>
            <w:r w:rsidRPr="001B22E9">
              <w:br/>
              <w:t>($ thousand)</w:t>
            </w:r>
          </w:p>
        </w:tc>
        <w:tc>
          <w:tcPr>
            <w:tcW w:w="1176" w:type="pct"/>
            <w:vAlign w:val="bottom"/>
          </w:tcPr>
          <w:p w14:paraId="2A480EFE" w14:textId="77777777" w:rsidR="00E811ED" w:rsidRDefault="00E811ED" w:rsidP="00C631AF">
            <w:pPr>
              <w:pStyle w:val="TableText"/>
              <w:cnfStyle w:val="100000000000" w:firstRow="1" w:lastRow="0" w:firstColumn="0" w:lastColumn="0" w:oddVBand="0" w:evenVBand="0" w:oddHBand="0" w:evenHBand="0" w:firstRowFirstColumn="0" w:firstRowLastColumn="0" w:lastRowFirstColumn="0" w:lastRowLastColumn="0"/>
            </w:pPr>
            <w:r>
              <w:t>ICT expenditure related to projects to create or enhance ICT capabilities</w:t>
            </w:r>
          </w:p>
          <w:p w14:paraId="7F7240C9" w14:textId="283E6E21" w:rsidR="001B22E9" w:rsidRPr="001B22E9" w:rsidRDefault="001B22E9" w:rsidP="00C631AF">
            <w:pPr>
              <w:pStyle w:val="TableText"/>
              <w:cnfStyle w:val="100000000000" w:firstRow="1" w:lastRow="0" w:firstColumn="0" w:lastColumn="0" w:oddVBand="0" w:evenVBand="0" w:oddHBand="0" w:evenHBand="0" w:firstRowFirstColumn="0" w:firstRowLastColumn="0" w:lastRowFirstColumn="0" w:lastRowLastColumn="0"/>
            </w:pPr>
            <w:r w:rsidRPr="001B22E9">
              <w:t>Operational</w:t>
            </w:r>
            <w:r w:rsidR="0017011F">
              <w:t xml:space="preserve"> </w:t>
            </w:r>
            <w:r w:rsidRPr="001B22E9">
              <w:br/>
              <w:t>expenditure</w:t>
            </w:r>
            <w:r w:rsidR="0017011F">
              <w:t xml:space="preserve"> </w:t>
            </w:r>
            <w:r w:rsidR="0017011F">
              <w:br/>
            </w:r>
            <w:r w:rsidRPr="001B22E9">
              <w:t>($ thousand)</w:t>
            </w:r>
          </w:p>
        </w:tc>
        <w:tc>
          <w:tcPr>
            <w:tcW w:w="1178" w:type="pct"/>
            <w:vAlign w:val="bottom"/>
          </w:tcPr>
          <w:p w14:paraId="09E88F12" w14:textId="77777777" w:rsidR="00E811ED" w:rsidRDefault="00E811ED" w:rsidP="00C631AF">
            <w:pPr>
              <w:pStyle w:val="TableText"/>
              <w:cnfStyle w:val="100000000000" w:firstRow="1" w:lastRow="0" w:firstColumn="0" w:lastColumn="0" w:oddVBand="0" w:evenVBand="0" w:oddHBand="0" w:evenHBand="0" w:firstRowFirstColumn="0" w:firstRowLastColumn="0" w:lastRowFirstColumn="0" w:lastRowLastColumn="0"/>
            </w:pPr>
            <w:r>
              <w:t>ICT expenditure related to projects to create or enhance ICT capabilities</w:t>
            </w:r>
          </w:p>
          <w:p w14:paraId="5D2C4B70" w14:textId="2973E30B" w:rsidR="001B22E9" w:rsidRPr="001B22E9" w:rsidRDefault="001B22E9" w:rsidP="00C631AF">
            <w:pPr>
              <w:pStyle w:val="TableText"/>
              <w:cnfStyle w:val="100000000000" w:firstRow="1" w:lastRow="0" w:firstColumn="0" w:lastColumn="0" w:oddVBand="0" w:evenVBand="0" w:oddHBand="0" w:evenHBand="0" w:firstRowFirstColumn="0" w:firstRowLastColumn="0" w:lastRowFirstColumn="0" w:lastRowLastColumn="0"/>
            </w:pPr>
            <w:r w:rsidRPr="001B22E9">
              <w:t>Capital</w:t>
            </w:r>
            <w:r w:rsidRPr="001B22E9">
              <w:br/>
              <w:t>expenditure</w:t>
            </w:r>
            <w:r w:rsidRPr="001B22E9">
              <w:br/>
              <w:t>($ thousand)</w:t>
            </w:r>
          </w:p>
        </w:tc>
      </w:tr>
      <w:bookmarkEnd w:id="178"/>
      <w:tr w:rsidR="001B22E9" w:rsidRPr="001B22E9" w14:paraId="4ABBE20C" w14:textId="77777777" w:rsidTr="00E811ED">
        <w:tc>
          <w:tcPr>
            <w:cnfStyle w:val="001000000000" w:firstRow="0" w:lastRow="0" w:firstColumn="1" w:lastColumn="0" w:oddVBand="0" w:evenVBand="0" w:oddHBand="0" w:evenHBand="0" w:firstRowFirstColumn="0" w:firstRowLastColumn="0" w:lastRowFirstColumn="0" w:lastRowLastColumn="0"/>
            <w:tcW w:w="1469" w:type="pct"/>
          </w:tcPr>
          <w:p w14:paraId="5A45EE60" w14:textId="4071C114" w:rsidR="001B22E9" w:rsidRPr="001B22E9" w:rsidRDefault="001B22E9" w:rsidP="001B22E9">
            <w:pPr>
              <w:pStyle w:val="TableText"/>
            </w:pPr>
            <w:r w:rsidRPr="001B22E9">
              <w:t>4</w:t>
            </w:r>
            <w:r w:rsidR="0017011F">
              <w:t>2,583</w:t>
            </w:r>
            <w:r w:rsidRPr="001B22E9">
              <w:t xml:space="preserve"> Total</w:t>
            </w:r>
          </w:p>
          <w:p w14:paraId="4447D0D8" w14:textId="5934148D" w:rsidR="001B22E9" w:rsidRPr="001B22E9" w:rsidRDefault="001B22E9" w:rsidP="001B22E9">
            <w:pPr>
              <w:pStyle w:val="TableText"/>
            </w:pPr>
            <w:r w:rsidRPr="001B22E9">
              <w:t>(Total = Operational expenditure and capital expenditure)</w:t>
            </w:r>
          </w:p>
        </w:tc>
        <w:tc>
          <w:tcPr>
            <w:tcW w:w="1178" w:type="pct"/>
          </w:tcPr>
          <w:p w14:paraId="1223D5F3" w14:textId="48ED1111" w:rsidR="001B22E9" w:rsidRPr="001B22E9" w:rsidRDefault="0017011F" w:rsidP="001B22E9">
            <w:pPr>
              <w:pStyle w:val="TableText"/>
              <w:cnfStyle w:val="000000000000" w:firstRow="0" w:lastRow="0" w:firstColumn="0" w:lastColumn="0" w:oddVBand="0" w:evenVBand="0" w:oddHBand="0" w:evenHBand="0" w:firstRowFirstColumn="0" w:firstRowLastColumn="0" w:lastRowFirstColumn="0" w:lastRowLastColumn="0"/>
            </w:pPr>
            <w:r>
              <w:t>36,442</w:t>
            </w:r>
          </w:p>
        </w:tc>
        <w:tc>
          <w:tcPr>
            <w:tcW w:w="1176" w:type="pct"/>
          </w:tcPr>
          <w:p w14:paraId="03D378D6" w14:textId="00B5CD09" w:rsidR="001B22E9" w:rsidRPr="001B22E9" w:rsidRDefault="0017011F" w:rsidP="001B22E9">
            <w:pPr>
              <w:pStyle w:val="TableText"/>
              <w:cnfStyle w:val="000000000000" w:firstRow="0" w:lastRow="0" w:firstColumn="0" w:lastColumn="0" w:oddVBand="0" w:evenVBand="0" w:oddHBand="0" w:evenHBand="0" w:firstRowFirstColumn="0" w:firstRowLastColumn="0" w:lastRowFirstColumn="0" w:lastRowLastColumn="0"/>
            </w:pPr>
            <w:r>
              <w:t>30,005</w:t>
            </w:r>
          </w:p>
        </w:tc>
        <w:tc>
          <w:tcPr>
            <w:tcW w:w="1178" w:type="pct"/>
          </w:tcPr>
          <w:p w14:paraId="62CF6E00" w14:textId="37E9A2C7" w:rsidR="001B22E9" w:rsidRPr="001B22E9" w:rsidRDefault="0017011F" w:rsidP="001B22E9">
            <w:pPr>
              <w:pStyle w:val="TableText"/>
              <w:cnfStyle w:val="000000000000" w:firstRow="0" w:lastRow="0" w:firstColumn="0" w:lastColumn="0" w:oddVBand="0" w:evenVBand="0" w:oddHBand="0" w:evenHBand="0" w:firstRowFirstColumn="0" w:firstRowLastColumn="0" w:lastRowFirstColumn="0" w:lastRowLastColumn="0"/>
            </w:pPr>
            <w:r>
              <w:t>6,437</w:t>
            </w:r>
          </w:p>
        </w:tc>
      </w:tr>
    </w:tbl>
    <w:p w14:paraId="7A867A37" w14:textId="77777777" w:rsidR="004B6BAC" w:rsidRPr="007A0D86" w:rsidRDefault="004B6BAC" w:rsidP="004B6BAC">
      <w:pPr>
        <w:pStyle w:val="NotesText"/>
      </w:pPr>
      <w:r w:rsidRPr="007A0D86">
        <w:t>Notes:</w:t>
      </w:r>
    </w:p>
    <w:p w14:paraId="700B09F8" w14:textId="07E4439E" w:rsidR="0017011F" w:rsidRDefault="0017011F" w:rsidP="00F110E7">
      <w:pPr>
        <w:pStyle w:val="NotesNumberedList"/>
        <w:numPr>
          <w:ilvl w:val="0"/>
          <w:numId w:val="16"/>
        </w:numPr>
      </w:pPr>
      <w:r>
        <w:t xml:space="preserve">ICT expenditure refers to </w:t>
      </w:r>
      <w:r w:rsidR="009B1462">
        <w:t>Court Services Victoria</w:t>
      </w:r>
      <w:r>
        <w:t>’s costs in providing business-enabling ICT services within the current reporting period. It comprises BAU ICT expenditure and non-BAU ICT expenditure.</w:t>
      </w:r>
    </w:p>
    <w:p w14:paraId="728A596A" w14:textId="1351D2AB" w:rsidR="0017011F" w:rsidRDefault="0017011F" w:rsidP="00F110E7">
      <w:pPr>
        <w:pStyle w:val="NotesNumberedList"/>
        <w:numPr>
          <w:ilvl w:val="0"/>
          <w:numId w:val="16"/>
        </w:numPr>
      </w:pPr>
      <w:r>
        <w:t xml:space="preserve">Non-BAU ICT expenditure relates to extending or enhancing </w:t>
      </w:r>
      <w:r w:rsidR="009B1462">
        <w:t>Court Services Victoria</w:t>
      </w:r>
      <w:r>
        <w:t>’s current ICT capabilities.</w:t>
      </w:r>
    </w:p>
    <w:p w14:paraId="0D6A1774" w14:textId="41C32FD9" w:rsidR="0017011F" w:rsidRDefault="0017011F" w:rsidP="00F110E7">
      <w:pPr>
        <w:pStyle w:val="NotesNumberedList"/>
        <w:numPr>
          <w:ilvl w:val="0"/>
          <w:numId w:val="16"/>
        </w:numPr>
      </w:pPr>
      <w:r>
        <w:t>BAU ICT expenditure is all remaining ICT expenditure that primarily relates to ongoing activities to operate and maintain the current ICT capability.</w:t>
      </w:r>
    </w:p>
    <w:p w14:paraId="60BDE120" w14:textId="7DD6451E" w:rsidR="004B6BAC" w:rsidRPr="007A0D86" w:rsidRDefault="004B6BAC" w:rsidP="004B6BAC">
      <w:pPr>
        <w:pStyle w:val="Heading2"/>
      </w:pPr>
      <w:bookmarkStart w:id="179" w:name="_Ref22640064"/>
      <w:bookmarkStart w:id="180" w:name="_Ref22643636"/>
      <w:bookmarkStart w:id="181" w:name="_Toc62808115"/>
      <w:r w:rsidRPr="007A0D86">
        <w:t xml:space="preserve">Freedom </w:t>
      </w:r>
      <w:r w:rsidR="008C0C18">
        <w:t>of</w:t>
      </w:r>
      <w:r w:rsidRPr="007A0D86">
        <w:t xml:space="preserve"> Information</w:t>
      </w:r>
      <w:bookmarkEnd w:id="179"/>
      <w:bookmarkEnd w:id="180"/>
      <w:bookmarkEnd w:id="181"/>
    </w:p>
    <w:p w14:paraId="6D2A5756" w14:textId="6CBD64D1" w:rsidR="0017011F" w:rsidRDefault="0017011F" w:rsidP="0017011F">
      <w:pPr>
        <w:pStyle w:val="BodyText"/>
      </w:pPr>
      <w:r>
        <w:t xml:space="preserve">During 2019-20, </w:t>
      </w:r>
      <w:r w:rsidR="009B1462">
        <w:t>Court Services Victoria</w:t>
      </w:r>
      <w:r>
        <w:t xml:space="preserve"> received 53 Freedom of Information (FOI) requests. Of these requests, 27 were requests for personal documents and 26 were non-personal requests.</w:t>
      </w:r>
    </w:p>
    <w:p w14:paraId="568A980A" w14:textId="5B4FAF38" w:rsidR="0017011F" w:rsidRDefault="009B1462" w:rsidP="0017011F">
      <w:pPr>
        <w:pStyle w:val="BodyText"/>
      </w:pPr>
      <w:r>
        <w:t>Court Services Victoria</w:t>
      </w:r>
      <w:r w:rsidR="0017011F">
        <w:t xml:space="preserve"> made 15 FOI decisions during the 12 months ending 30 June 2020. All 15 decisions were made within the statutory time period as required under section 21 of the </w:t>
      </w:r>
      <w:r w:rsidR="0017011F" w:rsidRPr="00C631AF">
        <w:rPr>
          <w:rStyle w:val="Italics"/>
        </w:rPr>
        <w:t>Freedom of Information Act 1982</w:t>
      </w:r>
      <w:r w:rsidR="005D26A6">
        <w:rPr>
          <w:rStyle w:val="Italics"/>
        </w:rPr>
        <w:t xml:space="preserve"> </w:t>
      </w:r>
      <w:r w:rsidR="0017011F" w:rsidRPr="00C631AF">
        <w:rPr>
          <w:rStyle w:val="Italics"/>
        </w:rPr>
        <w:t>(FOI Act)</w:t>
      </w:r>
      <w:r w:rsidR="0017011F">
        <w:t>.</w:t>
      </w:r>
    </w:p>
    <w:p w14:paraId="2523FD22" w14:textId="5CAEDD3A" w:rsidR="0017011F" w:rsidRDefault="0017011F" w:rsidP="0017011F">
      <w:pPr>
        <w:pStyle w:val="BodyText"/>
      </w:pPr>
      <w:r>
        <w:t xml:space="preserve">Of the remaining 38 requests, 31 were for documents excluded from the </w:t>
      </w:r>
      <w:r w:rsidR="00A10DBB">
        <w:t>freedom of information</w:t>
      </w:r>
      <w:r>
        <w:t xml:space="preserve"> process, two were invalid requests, one was withdrawn by the applicant and four are still being processed.</w:t>
      </w:r>
    </w:p>
    <w:p w14:paraId="40DBFADE" w14:textId="33913DE8" w:rsidR="0017011F" w:rsidRDefault="0017011F" w:rsidP="0017011F">
      <w:pPr>
        <w:pStyle w:val="BodyText"/>
      </w:pPr>
      <w:r>
        <w:t xml:space="preserve">During 2019-20, four requests were subject to review by the Office of the Victorian Information Commissioner (OVIC). OVIC affirmed </w:t>
      </w:r>
      <w:r w:rsidR="009B1462">
        <w:t>Court Services Victoria</w:t>
      </w:r>
      <w:r>
        <w:t>’s decision</w:t>
      </w:r>
      <w:r w:rsidR="001242F5">
        <w:t xml:space="preserve"> </w:t>
      </w:r>
      <w:r>
        <w:t>in three matters. One review is pending. One complaint was received and dismissed by OVIC.</w:t>
      </w:r>
    </w:p>
    <w:p w14:paraId="6030D88F" w14:textId="53BC4C4F" w:rsidR="005447CB" w:rsidRPr="007A0D86" w:rsidRDefault="005447CB" w:rsidP="001D5E45">
      <w:pPr>
        <w:pStyle w:val="Caption"/>
      </w:pPr>
      <w:r w:rsidRPr="007A0D86">
        <w:t xml:space="preserve">Table </w:t>
      </w:r>
      <w:r w:rsidR="00D42A70">
        <w:rPr>
          <w:noProof/>
        </w:rPr>
        <w:fldChar w:fldCharType="begin"/>
      </w:r>
      <w:r w:rsidR="00D42A70">
        <w:rPr>
          <w:noProof/>
        </w:rPr>
        <w:instrText xml:space="preserve"> SEQ Table \* ARABIC </w:instrText>
      </w:r>
      <w:r w:rsidR="00D42A70">
        <w:rPr>
          <w:noProof/>
        </w:rPr>
        <w:fldChar w:fldCharType="separate"/>
      </w:r>
      <w:r w:rsidR="00D46E6D">
        <w:rPr>
          <w:noProof/>
        </w:rPr>
        <w:t>13</w:t>
      </w:r>
      <w:r w:rsidR="00D42A70">
        <w:rPr>
          <w:noProof/>
        </w:rPr>
        <w:fldChar w:fldCharType="end"/>
      </w:r>
      <w:r w:rsidRPr="007A0D86">
        <w:t xml:space="preserve">: Freedom </w:t>
      </w:r>
      <w:r>
        <w:t>of</w:t>
      </w:r>
      <w:r w:rsidRPr="007A0D86">
        <w:t xml:space="preserve"> Information Outcomes</w:t>
      </w:r>
    </w:p>
    <w:tbl>
      <w:tblPr>
        <w:tblStyle w:val="AccessibleTableNumerical"/>
        <w:tblW w:w="5000" w:type="pct"/>
        <w:tblLook w:val="06A0" w:firstRow="1" w:lastRow="0" w:firstColumn="1" w:lastColumn="0" w:noHBand="1" w:noVBand="1"/>
      </w:tblPr>
      <w:tblGrid>
        <w:gridCol w:w="7600"/>
        <w:gridCol w:w="2042"/>
      </w:tblGrid>
      <w:tr w:rsidR="005447CB" w:rsidRPr="005447CB" w14:paraId="1F6BA703" w14:textId="77777777" w:rsidTr="00C631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1" w:type="pct"/>
          </w:tcPr>
          <w:p w14:paraId="40CA53B7" w14:textId="3A992811" w:rsidR="005447CB" w:rsidRPr="005447CB" w:rsidRDefault="00E57EEE" w:rsidP="005447CB">
            <w:pPr>
              <w:pStyle w:val="TableText"/>
            </w:pPr>
            <w:bookmarkStart w:id="182" w:name="ColumnTitle_33"/>
            <w:r>
              <w:t>Freedom of Information</w:t>
            </w:r>
            <w:r w:rsidR="005447CB" w:rsidRPr="005447CB">
              <w:t xml:space="preserve"> Outcome</w:t>
            </w:r>
          </w:p>
        </w:tc>
        <w:tc>
          <w:tcPr>
            <w:tcW w:w="1059" w:type="pct"/>
            <w:vAlign w:val="bottom"/>
          </w:tcPr>
          <w:p w14:paraId="2CFA751D" w14:textId="77777777" w:rsidR="005447CB" w:rsidRPr="005447CB" w:rsidRDefault="005447CB" w:rsidP="00C631AF">
            <w:pPr>
              <w:pStyle w:val="TableText"/>
              <w:cnfStyle w:val="100000000000" w:firstRow="1" w:lastRow="0" w:firstColumn="0" w:lastColumn="0" w:oddVBand="0" w:evenVBand="0" w:oddHBand="0" w:evenHBand="0" w:firstRowFirstColumn="0" w:firstRowLastColumn="0" w:lastRowFirstColumn="0" w:lastRowLastColumn="0"/>
            </w:pPr>
            <w:r w:rsidRPr="005447CB">
              <w:t>Number of requests</w:t>
            </w:r>
          </w:p>
        </w:tc>
      </w:tr>
      <w:bookmarkEnd w:id="182"/>
      <w:tr w:rsidR="005447CB" w:rsidRPr="005447CB" w14:paraId="4F5B0B05"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7FF2F0E2" w14:textId="66BF114A" w:rsidR="005447CB" w:rsidRPr="00C631AF" w:rsidRDefault="005447CB" w:rsidP="0004641D">
            <w:pPr>
              <w:pStyle w:val="TableText"/>
              <w:spacing w:before="60" w:after="60"/>
            </w:pPr>
            <w:r w:rsidRPr="00C631AF">
              <w:t xml:space="preserve">Court documents excluded from the </w:t>
            </w:r>
            <w:r w:rsidR="00A10DBB">
              <w:t>Freedom of Information</w:t>
            </w:r>
            <w:r w:rsidR="0017011F" w:rsidRPr="00C631AF">
              <w:t xml:space="preserve"> Act</w:t>
            </w:r>
            <w:r w:rsidRPr="00C631AF">
              <w:t xml:space="preserve"> or documents that are publicly available or available to the public for a fee (sections</w:t>
            </w:r>
            <w:r w:rsidR="00D45E5B" w:rsidRPr="00C631AF">
              <w:t xml:space="preserve"> </w:t>
            </w:r>
            <w:r w:rsidRPr="00C631AF">
              <w:t xml:space="preserve">14(1)(a) and 14(1)(b) of the </w:t>
            </w:r>
            <w:r w:rsidR="00A10DBB">
              <w:t>Freedom of Information</w:t>
            </w:r>
            <w:r w:rsidR="0017011F" w:rsidRPr="00C631AF">
              <w:t xml:space="preserve"> Act</w:t>
            </w:r>
            <w:r w:rsidRPr="00C631AF">
              <w:t>)</w:t>
            </w:r>
          </w:p>
        </w:tc>
        <w:tc>
          <w:tcPr>
            <w:tcW w:w="1059" w:type="pct"/>
          </w:tcPr>
          <w:p w14:paraId="2610034B" w14:textId="65B35584"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31</w:t>
            </w:r>
          </w:p>
        </w:tc>
      </w:tr>
      <w:tr w:rsidR="0017011F" w:rsidRPr="00C21B98" w14:paraId="4A8DC52F"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2E15B6C7" w14:textId="09E91048" w:rsidR="0017011F" w:rsidRPr="00C631AF" w:rsidRDefault="0017011F" w:rsidP="0004641D">
            <w:pPr>
              <w:pStyle w:val="TableText"/>
              <w:spacing w:before="60" w:after="60"/>
              <w:rPr>
                <w:rStyle w:val="Bold"/>
              </w:rPr>
            </w:pPr>
            <w:r w:rsidRPr="00C631AF">
              <w:rPr>
                <w:rStyle w:val="Bold"/>
              </w:rPr>
              <w:t>Invalid requests – total</w:t>
            </w:r>
          </w:p>
        </w:tc>
        <w:tc>
          <w:tcPr>
            <w:tcW w:w="1059" w:type="pct"/>
          </w:tcPr>
          <w:p w14:paraId="1211A904" w14:textId="4D2258F2" w:rsidR="0017011F" w:rsidRPr="00C21B98"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rPr>
                <w:rStyle w:val="Bold"/>
              </w:rPr>
            </w:pPr>
            <w:r>
              <w:rPr>
                <w:rStyle w:val="Bold"/>
              </w:rPr>
              <w:t>2</w:t>
            </w:r>
          </w:p>
        </w:tc>
      </w:tr>
      <w:tr w:rsidR="005447CB" w:rsidRPr="00C21B98" w14:paraId="1B95B336"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72C29030" w14:textId="77777777" w:rsidR="005447CB" w:rsidRPr="00C21B98" w:rsidRDefault="005447CB" w:rsidP="0004641D">
            <w:pPr>
              <w:pStyle w:val="TableText"/>
              <w:spacing w:before="60" w:after="60"/>
              <w:rPr>
                <w:rStyle w:val="Bold"/>
              </w:rPr>
            </w:pPr>
            <w:r w:rsidRPr="00C21B98">
              <w:rPr>
                <w:rStyle w:val="Bold"/>
              </w:rPr>
              <w:t>Valid requests (application fee paid or waived) – total</w:t>
            </w:r>
          </w:p>
        </w:tc>
        <w:tc>
          <w:tcPr>
            <w:tcW w:w="1059" w:type="pct"/>
          </w:tcPr>
          <w:p w14:paraId="2D226552" w14:textId="2B089E62" w:rsidR="005447CB" w:rsidRPr="00C21B98"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rPr>
                <w:rStyle w:val="Bold"/>
              </w:rPr>
            </w:pPr>
            <w:r>
              <w:rPr>
                <w:rStyle w:val="Bold"/>
              </w:rPr>
              <w:t>20</w:t>
            </w:r>
          </w:p>
        </w:tc>
      </w:tr>
      <w:tr w:rsidR="005447CB" w:rsidRPr="005447CB" w14:paraId="7BF7704F"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5908EFD7" w14:textId="77777777" w:rsidR="005447CB" w:rsidRPr="005447CB" w:rsidRDefault="005447CB" w:rsidP="0004641D">
            <w:pPr>
              <w:pStyle w:val="TableTextBullet1"/>
              <w:spacing w:before="60" w:after="60"/>
            </w:pPr>
            <w:r w:rsidRPr="005447CB">
              <w:t>Access granted in full</w:t>
            </w:r>
          </w:p>
        </w:tc>
        <w:tc>
          <w:tcPr>
            <w:tcW w:w="1059" w:type="pct"/>
          </w:tcPr>
          <w:p w14:paraId="46E5E10C" w14:textId="118E42DB"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0</w:t>
            </w:r>
          </w:p>
        </w:tc>
      </w:tr>
      <w:tr w:rsidR="005447CB" w:rsidRPr="005447CB" w14:paraId="6FB8B6F3"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5E9C7691" w14:textId="77777777" w:rsidR="005447CB" w:rsidRPr="005447CB" w:rsidRDefault="005447CB" w:rsidP="0004641D">
            <w:pPr>
              <w:pStyle w:val="TableTextBullet1"/>
              <w:spacing w:before="60" w:after="60"/>
            </w:pPr>
            <w:r w:rsidRPr="005447CB">
              <w:t>Access granted in part</w:t>
            </w:r>
          </w:p>
        </w:tc>
        <w:tc>
          <w:tcPr>
            <w:tcW w:w="1059" w:type="pct"/>
          </w:tcPr>
          <w:p w14:paraId="337D79DC" w14:textId="4CF48915"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5</w:t>
            </w:r>
          </w:p>
        </w:tc>
      </w:tr>
      <w:tr w:rsidR="005447CB" w:rsidRPr="005447CB" w14:paraId="1EE73A7F"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1C4F73CD" w14:textId="77777777" w:rsidR="005447CB" w:rsidRPr="005447CB" w:rsidRDefault="005447CB" w:rsidP="0004641D">
            <w:pPr>
              <w:pStyle w:val="TableTextBullet1"/>
              <w:spacing w:before="60" w:after="60"/>
            </w:pPr>
            <w:r w:rsidRPr="005447CB">
              <w:t>Access denied</w:t>
            </w:r>
          </w:p>
        </w:tc>
        <w:tc>
          <w:tcPr>
            <w:tcW w:w="1059" w:type="pct"/>
          </w:tcPr>
          <w:p w14:paraId="2F1A4C20" w14:textId="7E120890"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3</w:t>
            </w:r>
          </w:p>
        </w:tc>
      </w:tr>
      <w:tr w:rsidR="005447CB" w:rsidRPr="005447CB" w14:paraId="72325810"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27BBEFEE" w14:textId="77777777" w:rsidR="005447CB" w:rsidRPr="005447CB" w:rsidRDefault="005447CB" w:rsidP="0004641D">
            <w:pPr>
              <w:pStyle w:val="TableTextBullet1"/>
              <w:spacing w:before="60" w:after="60"/>
            </w:pPr>
            <w:r w:rsidRPr="005447CB">
              <w:t>No document exists/no document located</w:t>
            </w:r>
          </w:p>
        </w:tc>
        <w:tc>
          <w:tcPr>
            <w:tcW w:w="1059" w:type="pct"/>
          </w:tcPr>
          <w:p w14:paraId="6FF05679" w14:textId="59ADA8AC"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1</w:t>
            </w:r>
          </w:p>
        </w:tc>
      </w:tr>
      <w:tr w:rsidR="005447CB" w:rsidRPr="005447CB" w14:paraId="242B9844"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1069649D" w14:textId="77777777" w:rsidR="005447CB" w:rsidRPr="005447CB" w:rsidRDefault="005447CB" w:rsidP="0004641D">
            <w:pPr>
              <w:pStyle w:val="TableTextBullet1"/>
              <w:spacing w:before="60" w:after="60"/>
            </w:pPr>
            <w:r w:rsidRPr="005447CB">
              <w:t>Transferred to another agency</w:t>
            </w:r>
          </w:p>
        </w:tc>
        <w:tc>
          <w:tcPr>
            <w:tcW w:w="1059" w:type="pct"/>
          </w:tcPr>
          <w:p w14:paraId="364585D2" w14:textId="2AD4E33B"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0</w:t>
            </w:r>
          </w:p>
        </w:tc>
      </w:tr>
      <w:tr w:rsidR="005447CB" w:rsidRPr="005447CB" w14:paraId="4472C5D8"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377D2D6A" w14:textId="77777777" w:rsidR="005447CB" w:rsidRPr="005447CB" w:rsidRDefault="005447CB" w:rsidP="0004641D">
            <w:pPr>
              <w:pStyle w:val="TableTextBullet1"/>
              <w:spacing w:before="60" w:after="60"/>
            </w:pPr>
            <w:r w:rsidRPr="005447CB">
              <w:t>Refused without identifying documents</w:t>
            </w:r>
          </w:p>
        </w:tc>
        <w:tc>
          <w:tcPr>
            <w:tcW w:w="1059" w:type="pct"/>
          </w:tcPr>
          <w:p w14:paraId="584404A3" w14:textId="512D376F"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6</w:t>
            </w:r>
          </w:p>
        </w:tc>
      </w:tr>
      <w:tr w:rsidR="005447CB" w:rsidRPr="005447CB" w14:paraId="7E04F012"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021CC724" w14:textId="77777777" w:rsidR="005447CB" w:rsidRPr="005447CB" w:rsidRDefault="005447CB" w:rsidP="0004641D">
            <w:pPr>
              <w:pStyle w:val="TableTextBullet1"/>
              <w:spacing w:before="60" w:after="60"/>
            </w:pPr>
            <w:r w:rsidRPr="005447CB">
              <w:t>Not processed</w:t>
            </w:r>
          </w:p>
        </w:tc>
        <w:tc>
          <w:tcPr>
            <w:tcW w:w="1059" w:type="pct"/>
          </w:tcPr>
          <w:p w14:paraId="25105120" w14:textId="7B666246"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0</w:t>
            </w:r>
          </w:p>
        </w:tc>
      </w:tr>
      <w:tr w:rsidR="005447CB" w:rsidRPr="005447CB" w14:paraId="636B7F07"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1E7AE345" w14:textId="77777777" w:rsidR="005447CB" w:rsidRPr="005447CB" w:rsidRDefault="005447CB" w:rsidP="0004641D">
            <w:pPr>
              <w:pStyle w:val="TableTextBullet1"/>
              <w:spacing w:before="60" w:after="60"/>
            </w:pPr>
            <w:r w:rsidRPr="005447CB">
              <w:t>Not proceeded with</w:t>
            </w:r>
          </w:p>
        </w:tc>
        <w:tc>
          <w:tcPr>
            <w:tcW w:w="1059" w:type="pct"/>
          </w:tcPr>
          <w:p w14:paraId="6B6D83F0" w14:textId="04914F47"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0</w:t>
            </w:r>
          </w:p>
        </w:tc>
      </w:tr>
      <w:tr w:rsidR="005447CB" w:rsidRPr="005447CB" w14:paraId="1361BDC5" w14:textId="77777777" w:rsidTr="005447CB">
        <w:tc>
          <w:tcPr>
            <w:cnfStyle w:val="001000000000" w:firstRow="0" w:lastRow="0" w:firstColumn="1" w:lastColumn="0" w:oddVBand="0" w:evenVBand="0" w:oddHBand="0" w:evenHBand="0" w:firstRowFirstColumn="0" w:firstRowLastColumn="0" w:lastRowFirstColumn="0" w:lastRowLastColumn="0"/>
            <w:tcW w:w="3941" w:type="pct"/>
          </w:tcPr>
          <w:p w14:paraId="2DF51EAA" w14:textId="77777777" w:rsidR="005447CB" w:rsidRPr="005447CB" w:rsidRDefault="005447CB" w:rsidP="0004641D">
            <w:pPr>
              <w:pStyle w:val="TableTextBullet1"/>
              <w:spacing w:before="60" w:after="60"/>
            </w:pPr>
            <w:r w:rsidRPr="005447CB">
              <w:t>Withdrawn</w:t>
            </w:r>
          </w:p>
        </w:tc>
        <w:tc>
          <w:tcPr>
            <w:tcW w:w="1059" w:type="pct"/>
          </w:tcPr>
          <w:p w14:paraId="2FA6218C" w14:textId="38CEA043"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1</w:t>
            </w:r>
          </w:p>
        </w:tc>
      </w:tr>
      <w:tr w:rsidR="005447CB" w:rsidRPr="005447CB" w14:paraId="7027D628" w14:textId="77777777" w:rsidTr="00D46E6D">
        <w:tc>
          <w:tcPr>
            <w:cnfStyle w:val="001000000000" w:firstRow="0" w:lastRow="0" w:firstColumn="1" w:lastColumn="0" w:oddVBand="0" w:evenVBand="0" w:oddHBand="0" w:evenHBand="0" w:firstRowFirstColumn="0" w:firstRowLastColumn="0" w:lastRowFirstColumn="0" w:lastRowLastColumn="0"/>
            <w:tcW w:w="3941" w:type="pct"/>
            <w:tcBorders>
              <w:bottom w:val="single" w:sz="4" w:space="0" w:color="auto"/>
            </w:tcBorders>
          </w:tcPr>
          <w:p w14:paraId="27B9F41A" w14:textId="77777777" w:rsidR="005447CB" w:rsidRPr="005447CB" w:rsidRDefault="005447CB" w:rsidP="0004641D">
            <w:pPr>
              <w:pStyle w:val="TableTextBullet1"/>
              <w:spacing w:before="60" w:after="60"/>
            </w:pPr>
            <w:r w:rsidRPr="005447CB">
              <w:t>In process</w:t>
            </w:r>
          </w:p>
        </w:tc>
        <w:tc>
          <w:tcPr>
            <w:tcW w:w="1059" w:type="pct"/>
            <w:tcBorders>
              <w:bottom w:val="single" w:sz="4" w:space="0" w:color="auto"/>
            </w:tcBorders>
          </w:tcPr>
          <w:p w14:paraId="23D65281" w14:textId="603EB75F" w:rsidR="005447CB" w:rsidRPr="005447CB"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pPr>
            <w:r>
              <w:t>4</w:t>
            </w:r>
          </w:p>
        </w:tc>
      </w:tr>
      <w:tr w:rsidR="005447CB" w:rsidRPr="00C21B98" w14:paraId="3D342983" w14:textId="77777777" w:rsidTr="00D46E6D">
        <w:tc>
          <w:tcPr>
            <w:cnfStyle w:val="001000000000" w:firstRow="0" w:lastRow="0" w:firstColumn="1" w:lastColumn="0" w:oddVBand="0" w:evenVBand="0" w:oddHBand="0" w:evenHBand="0" w:firstRowFirstColumn="0" w:firstRowLastColumn="0" w:lastRowFirstColumn="0" w:lastRowLastColumn="0"/>
            <w:tcW w:w="3941" w:type="pct"/>
            <w:tcBorders>
              <w:top w:val="single" w:sz="4" w:space="0" w:color="auto"/>
              <w:bottom w:val="single" w:sz="4" w:space="0" w:color="auto"/>
            </w:tcBorders>
          </w:tcPr>
          <w:p w14:paraId="434FBEAF" w14:textId="77777777" w:rsidR="005447CB" w:rsidRPr="00C21B98" w:rsidRDefault="005447CB" w:rsidP="0004641D">
            <w:pPr>
              <w:pStyle w:val="TableText"/>
              <w:spacing w:before="60" w:after="60"/>
              <w:rPr>
                <w:rStyle w:val="Bold"/>
              </w:rPr>
            </w:pPr>
            <w:r w:rsidRPr="00C21B98">
              <w:rPr>
                <w:rStyle w:val="Bold"/>
              </w:rPr>
              <w:t>Total requests received</w:t>
            </w:r>
          </w:p>
        </w:tc>
        <w:tc>
          <w:tcPr>
            <w:tcW w:w="1059" w:type="pct"/>
            <w:tcBorders>
              <w:top w:val="single" w:sz="4" w:space="0" w:color="auto"/>
              <w:bottom w:val="single" w:sz="4" w:space="0" w:color="auto"/>
            </w:tcBorders>
          </w:tcPr>
          <w:p w14:paraId="655306AE" w14:textId="43B8E57F" w:rsidR="005447CB" w:rsidRPr="00C21B98" w:rsidRDefault="0017011F" w:rsidP="0004641D">
            <w:pPr>
              <w:pStyle w:val="TableText"/>
              <w:spacing w:before="60" w:after="60"/>
              <w:cnfStyle w:val="000000000000" w:firstRow="0" w:lastRow="0" w:firstColumn="0" w:lastColumn="0" w:oddVBand="0" w:evenVBand="0" w:oddHBand="0" w:evenHBand="0" w:firstRowFirstColumn="0" w:firstRowLastColumn="0" w:lastRowFirstColumn="0" w:lastRowLastColumn="0"/>
              <w:rPr>
                <w:rStyle w:val="Bold"/>
              </w:rPr>
            </w:pPr>
            <w:r>
              <w:rPr>
                <w:rStyle w:val="Bold"/>
              </w:rPr>
              <w:t>53</w:t>
            </w:r>
          </w:p>
        </w:tc>
      </w:tr>
    </w:tbl>
    <w:p w14:paraId="066ACD92" w14:textId="77777777" w:rsidR="00E952AB" w:rsidRDefault="004B6BAC" w:rsidP="002C4179">
      <w:pPr>
        <w:pStyle w:val="Heading3"/>
        <w:spacing w:before="120"/>
      </w:pPr>
      <w:bookmarkStart w:id="183" w:name="_Toc62808116"/>
      <w:r w:rsidRPr="007A0D86">
        <w:t>Court Documents</w:t>
      </w:r>
      <w:bookmarkEnd w:id="183"/>
    </w:p>
    <w:p w14:paraId="1BFAB6CB" w14:textId="50933CC0" w:rsidR="0017011F" w:rsidRDefault="0017011F" w:rsidP="0017011F">
      <w:pPr>
        <w:pStyle w:val="BodyText"/>
      </w:pPr>
      <w:r>
        <w:t xml:space="preserve">The </w:t>
      </w:r>
      <w:r w:rsidR="00A10DBB">
        <w:t>Freedom of Information</w:t>
      </w:r>
      <w:r>
        <w:t xml:space="preserve"> Act does not apply to documents held by courts in respect of their judicial functions (section 6 of the </w:t>
      </w:r>
      <w:r w:rsidR="00A10DBB">
        <w:t>Freedom of Information</w:t>
      </w:r>
      <w:r>
        <w:t xml:space="preserve"> Act). Each court or tribunal has its own arrangements for accessing such documents and applicants are encouraged to contact the relevant court or tribunal in the first instance for these types of documents. Contact details can be found on each court or tribunal’s website.</w:t>
      </w:r>
    </w:p>
    <w:p w14:paraId="7C434A8E" w14:textId="2E6B395D" w:rsidR="0017011F" w:rsidRDefault="0017011F" w:rsidP="002C4179">
      <w:pPr>
        <w:pStyle w:val="Heading3"/>
        <w:spacing w:before="120"/>
      </w:pPr>
      <w:bookmarkStart w:id="184" w:name="_Toc62808117"/>
      <w:r>
        <w:t>Making a Request</w:t>
      </w:r>
      <w:bookmarkEnd w:id="184"/>
    </w:p>
    <w:p w14:paraId="37982772" w14:textId="5CE9029F" w:rsidR="0017011F" w:rsidRDefault="0017011F" w:rsidP="0017011F">
      <w:pPr>
        <w:pStyle w:val="BodyText"/>
      </w:pPr>
      <w:r>
        <w:t xml:space="preserve">Access to documents available under </w:t>
      </w:r>
      <w:r w:rsidR="00A10DBB">
        <w:t>Freedom of Information</w:t>
      </w:r>
      <w:r>
        <w:t xml:space="preserve"> may be obtained by making a written request to </w:t>
      </w:r>
      <w:r w:rsidR="009B1462">
        <w:t>Court Services Victoria</w:t>
      </w:r>
      <w:r>
        <w:t xml:space="preserve"> </w:t>
      </w:r>
      <w:r w:rsidR="00A10DBB">
        <w:t>Freedom of Information</w:t>
      </w:r>
      <w:r>
        <w:t xml:space="preserve">, in accordance with section 17 of the </w:t>
      </w:r>
      <w:r w:rsidR="00A10DBB">
        <w:t>Freedom of Information</w:t>
      </w:r>
      <w:r>
        <w:t xml:space="preserve"> Act. Requests for documents in the possession of </w:t>
      </w:r>
      <w:r w:rsidR="009B1462">
        <w:t>Court Services Victoria</w:t>
      </w:r>
      <w:r>
        <w:t xml:space="preserve"> should be made in writing, accompanied by the application fee or request for a fee waiver, and be addressed to:</w:t>
      </w:r>
    </w:p>
    <w:p w14:paraId="5240A4AB" w14:textId="41922452" w:rsidR="0017011F" w:rsidRDefault="0017011F" w:rsidP="0017011F">
      <w:pPr>
        <w:pStyle w:val="NoSpacing"/>
      </w:pPr>
      <w:r>
        <w:t>Court Services Victoria Freedom of Information</w:t>
      </w:r>
    </w:p>
    <w:p w14:paraId="14FA2112" w14:textId="6791F246" w:rsidR="0017011F" w:rsidRDefault="0017011F" w:rsidP="0017011F">
      <w:pPr>
        <w:pStyle w:val="NoSpacing"/>
      </w:pPr>
      <w:r>
        <w:t>PO Box 13193</w:t>
      </w:r>
    </w:p>
    <w:p w14:paraId="5AD3670F" w14:textId="0D712F8E" w:rsidR="0017011F" w:rsidRDefault="0017011F" w:rsidP="0017011F">
      <w:pPr>
        <w:pStyle w:val="NoSpacing"/>
      </w:pPr>
      <w:r>
        <w:t>Law Courts Vic 8010</w:t>
      </w:r>
    </w:p>
    <w:p w14:paraId="7B259B23" w14:textId="4218860E" w:rsidR="0017011F" w:rsidRDefault="0017011F" w:rsidP="0017011F">
      <w:pPr>
        <w:pStyle w:val="NoSpacing"/>
      </w:pPr>
      <w:r>
        <w:t xml:space="preserve">Email </w:t>
      </w:r>
      <w:hyperlink r:id="rId33" w:history="1">
        <w:r w:rsidR="00C631AF" w:rsidRPr="009E3D4D">
          <w:rPr>
            <w:rStyle w:val="Hyperlink"/>
          </w:rPr>
          <w:t>foi@courts.vic.gov.au</w:t>
        </w:r>
      </w:hyperlink>
    </w:p>
    <w:p w14:paraId="400E35B4" w14:textId="473BE5D5" w:rsidR="0017011F" w:rsidRDefault="0017011F" w:rsidP="0017011F">
      <w:pPr>
        <w:pStyle w:val="BodyText"/>
      </w:pPr>
      <w:r>
        <w:t>Requests can also be lodged online on at</w:t>
      </w:r>
      <w:r w:rsidR="00C631AF">
        <w:t xml:space="preserve"> the</w:t>
      </w:r>
      <w:r>
        <w:t xml:space="preserve"> </w:t>
      </w:r>
      <w:hyperlink r:id="rId34" w:history="1">
        <w:r w:rsidR="00C631AF" w:rsidRPr="00C631AF">
          <w:rPr>
            <w:rStyle w:val="Hyperlink"/>
          </w:rPr>
          <w:t>Office of the Victorian Information Commissioner website</w:t>
        </w:r>
      </w:hyperlink>
      <w:bookmarkStart w:id="185" w:name="_Ref61903709"/>
      <w:r w:rsidR="00C631AF">
        <w:rPr>
          <w:rStyle w:val="FootnoteReference"/>
        </w:rPr>
        <w:footnoteReference w:id="3"/>
      </w:r>
      <w:bookmarkEnd w:id="185"/>
      <w:r w:rsidR="00C631AF">
        <w:t>.</w:t>
      </w:r>
    </w:p>
    <w:p w14:paraId="0E16E9E6" w14:textId="11A3CD2D" w:rsidR="0017011F" w:rsidRDefault="0017011F" w:rsidP="0017011F">
      <w:pPr>
        <w:pStyle w:val="BodyText"/>
      </w:pPr>
      <w:r>
        <w:t>Access charges may also apply once documents have been processed and a decision on access is made (</w:t>
      </w:r>
      <w:proofErr w:type="gramStart"/>
      <w:r>
        <w:t>e.g.</w:t>
      </w:r>
      <w:proofErr w:type="gramEnd"/>
      <w:r>
        <w:t xml:space="preserve"> photocopying or search and retrieval charges).</w:t>
      </w:r>
    </w:p>
    <w:p w14:paraId="64E95388" w14:textId="60E4ACDD" w:rsidR="0017011F" w:rsidRDefault="0017011F" w:rsidP="0017011F">
      <w:pPr>
        <w:pStyle w:val="BodyText"/>
      </w:pPr>
      <w:r>
        <w:t xml:space="preserve">Further information regarding </w:t>
      </w:r>
      <w:r w:rsidR="00A10DBB">
        <w:t>Freedom of Information</w:t>
      </w:r>
      <w:r>
        <w:t xml:space="preserve"> can be found</w:t>
      </w:r>
      <w:r w:rsidR="002C4179">
        <w:t xml:space="preserve"> at the </w:t>
      </w:r>
      <w:r w:rsidR="002C4179" w:rsidRPr="008D27DE">
        <w:t>OVIC website</w:t>
      </w:r>
      <w:r w:rsidR="008D27DE">
        <w:fldChar w:fldCharType="begin"/>
      </w:r>
      <w:r w:rsidR="008D27DE">
        <w:instrText xml:space="preserve"> NOTEREF _Ref61903709 \f \h </w:instrText>
      </w:r>
      <w:r w:rsidR="008D27DE">
        <w:fldChar w:fldCharType="separate"/>
      </w:r>
      <w:r w:rsidR="00D46E6D" w:rsidRPr="00D46E6D">
        <w:rPr>
          <w:rStyle w:val="FootnoteReference"/>
        </w:rPr>
        <w:t>2</w:t>
      </w:r>
      <w:r w:rsidR="008D27DE">
        <w:fldChar w:fldCharType="end"/>
      </w:r>
      <w:r w:rsidRPr="008D27DE">
        <w:t xml:space="preserve">. </w:t>
      </w:r>
      <w:r w:rsidR="009B1462">
        <w:t>Court Services Victoria</w:t>
      </w:r>
      <w:r w:rsidRPr="008D27DE">
        <w:t>’s Part 2 Information Statement can be found on our website.</w:t>
      </w:r>
    </w:p>
    <w:p w14:paraId="32B4CE8D" w14:textId="77777777" w:rsidR="004B6BAC" w:rsidRPr="007A0D86" w:rsidRDefault="004B6BAC" w:rsidP="00453384">
      <w:pPr>
        <w:pStyle w:val="Heading2"/>
        <w:pageBreakBefore/>
      </w:pPr>
      <w:bookmarkStart w:id="186" w:name="_Ref22640430"/>
      <w:bookmarkStart w:id="187" w:name="_Toc62808118"/>
      <w:r w:rsidRPr="007A0D86">
        <w:t>Court Services Victoria Financial Management Compliance Attestation Statement</w:t>
      </w:r>
      <w:bookmarkEnd w:id="186"/>
      <w:bookmarkEnd w:id="187"/>
    </w:p>
    <w:p w14:paraId="2AECDFA6" w14:textId="4C5339B4" w:rsidR="0017011F" w:rsidRDefault="0017011F" w:rsidP="0017011F">
      <w:pPr>
        <w:pStyle w:val="BodyText"/>
      </w:pPr>
      <w:r>
        <w:t xml:space="preserve">I, the Honourable Chief Justice Mary Anne Ferguson, on behalf of the Responsible Body, certify that Court Services Victoria has complied with the applicable Standing Directions of the Minister for Finance under the </w:t>
      </w:r>
      <w:r w:rsidRPr="00BC1972">
        <w:rPr>
          <w:i/>
          <w:iCs/>
        </w:rPr>
        <w:t xml:space="preserve">Financial Management Act 1994 </w:t>
      </w:r>
      <w:r>
        <w:t>and Instructions.</w:t>
      </w:r>
    </w:p>
    <w:p w14:paraId="5C4CAF0E" w14:textId="7021F8F4" w:rsidR="0017011F" w:rsidRDefault="0017011F" w:rsidP="00D10FB6">
      <w:pPr>
        <w:pStyle w:val="NoSpacing"/>
      </w:pPr>
      <w:r>
        <w:t>The Honourable Chief Justice</w:t>
      </w:r>
    </w:p>
    <w:p w14:paraId="04E49E6E" w14:textId="77777777" w:rsidR="0017011F" w:rsidRDefault="0017011F" w:rsidP="00D10FB6">
      <w:pPr>
        <w:pStyle w:val="NoSpacing"/>
      </w:pPr>
      <w:r>
        <w:t>Mary Anne Ferguson</w:t>
      </w:r>
    </w:p>
    <w:p w14:paraId="519E9C7B" w14:textId="77777777" w:rsidR="0017011F" w:rsidRDefault="0017011F" w:rsidP="00D10FB6">
      <w:pPr>
        <w:pStyle w:val="NoSpacing"/>
      </w:pPr>
      <w:r>
        <w:t>Chair of the Courts Council</w:t>
      </w:r>
    </w:p>
    <w:p w14:paraId="5464C2F2" w14:textId="54D78285" w:rsidR="0017011F" w:rsidRDefault="0017011F" w:rsidP="00D10FB6">
      <w:pPr>
        <w:pStyle w:val="NoSpacing"/>
      </w:pPr>
      <w:r>
        <w:t>8 December 2020</w:t>
      </w:r>
    </w:p>
    <w:p w14:paraId="31522F72" w14:textId="72A50C8F" w:rsidR="004B6BAC" w:rsidRPr="007A0D86" w:rsidRDefault="004B6BAC" w:rsidP="004B6BAC">
      <w:pPr>
        <w:pStyle w:val="Heading2"/>
      </w:pPr>
      <w:bookmarkStart w:id="188" w:name="_Ref22640343"/>
      <w:bookmarkStart w:id="189" w:name="_Toc62808119"/>
      <w:r w:rsidRPr="007A0D86">
        <w:t xml:space="preserve">Statement </w:t>
      </w:r>
      <w:r w:rsidR="008C0C18">
        <w:t>of</w:t>
      </w:r>
      <w:r w:rsidRPr="007A0D86">
        <w:t xml:space="preserve"> Availability </w:t>
      </w:r>
      <w:r w:rsidR="008C0C18">
        <w:t>of</w:t>
      </w:r>
      <w:r w:rsidRPr="007A0D86">
        <w:t xml:space="preserve"> Other Information</w:t>
      </w:r>
      <w:bookmarkEnd w:id="188"/>
      <w:bookmarkEnd w:id="189"/>
    </w:p>
    <w:p w14:paraId="3FFF4A53" w14:textId="458A25CA" w:rsidR="00D10FB6" w:rsidRDefault="00D10FB6" w:rsidP="00D10FB6">
      <w:pPr>
        <w:pStyle w:val="BodyText"/>
      </w:pPr>
      <w:r>
        <w:t xml:space="preserve">Under Financial Reporting Direction (FRD) 22H Standard Disclosures in the Report of Operations, </w:t>
      </w:r>
      <w:r w:rsidR="009B1462">
        <w:t>Court Services Victoria</w:t>
      </w:r>
      <w:r>
        <w:t xml:space="preserve"> is required to retain the following information for the 2019-20 financial year and make it available upon request (subject to freedom of information requirements, if applicable).</w:t>
      </w:r>
    </w:p>
    <w:p w14:paraId="719CFA6C" w14:textId="50265739" w:rsidR="00D10FB6" w:rsidRDefault="00D10FB6" w:rsidP="007B198D">
      <w:pPr>
        <w:pStyle w:val="ListAlpha1"/>
        <w:spacing w:before="0" w:after="0"/>
      </w:pPr>
      <w:r>
        <w:t>A statement that declarations of pecuniary interests have been duly completed by all relevant officers.</w:t>
      </w:r>
    </w:p>
    <w:p w14:paraId="7CDEDA60" w14:textId="22D763DE" w:rsidR="00D10FB6" w:rsidRDefault="00D10FB6" w:rsidP="007B198D">
      <w:pPr>
        <w:pStyle w:val="ListAlpha1"/>
        <w:spacing w:before="0" w:after="0"/>
      </w:pPr>
      <w:r>
        <w:t>Details of shares held by a senior officer as nominee or held beneficially in a statutory authority or subsidiary.</w:t>
      </w:r>
    </w:p>
    <w:p w14:paraId="3E7D1C8B" w14:textId="12470AB3" w:rsidR="00D10FB6" w:rsidRDefault="00D10FB6" w:rsidP="007B198D">
      <w:pPr>
        <w:pStyle w:val="ListAlpha1"/>
        <w:spacing w:before="0" w:after="0"/>
      </w:pPr>
      <w:r>
        <w:t xml:space="preserve">Details of publications produced by </w:t>
      </w:r>
      <w:r w:rsidR="009B1462">
        <w:t>Court Services Victoria</w:t>
      </w:r>
      <w:r>
        <w:t xml:space="preserve"> about itself, and how these can be obtained.</w:t>
      </w:r>
    </w:p>
    <w:p w14:paraId="4A02308A" w14:textId="1BEFA75A" w:rsidR="00D10FB6" w:rsidRDefault="00D10FB6" w:rsidP="007B198D">
      <w:pPr>
        <w:pStyle w:val="ListAlpha1"/>
        <w:spacing w:before="0" w:after="0"/>
      </w:pPr>
      <w:r>
        <w:t xml:space="preserve">Details of changes in prices, fees, charges, rates and levies charged by </w:t>
      </w:r>
      <w:r w:rsidR="009B1462">
        <w:t>Court Services Victoria</w:t>
      </w:r>
      <w:r>
        <w:t>.</w:t>
      </w:r>
    </w:p>
    <w:p w14:paraId="7BE4E25B" w14:textId="4FB2BB8F" w:rsidR="00D10FB6" w:rsidRDefault="00D10FB6" w:rsidP="007B198D">
      <w:pPr>
        <w:pStyle w:val="ListAlpha1"/>
        <w:spacing w:before="0" w:after="0"/>
      </w:pPr>
      <w:r>
        <w:t xml:space="preserve">Details of any major external reviews carried out on </w:t>
      </w:r>
      <w:r w:rsidR="009B1462">
        <w:t>Court Services Victoria</w:t>
      </w:r>
      <w:r>
        <w:t>.</w:t>
      </w:r>
    </w:p>
    <w:p w14:paraId="46187570" w14:textId="18816116" w:rsidR="00D10FB6" w:rsidRDefault="00D10FB6" w:rsidP="007B198D">
      <w:pPr>
        <w:pStyle w:val="ListAlpha1"/>
        <w:spacing w:before="0" w:after="0"/>
      </w:pPr>
      <w:r>
        <w:t xml:space="preserve">Details of major research and development activities undertaken by </w:t>
      </w:r>
      <w:r w:rsidR="009B1462">
        <w:t>Court Services Victoria</w:t>
      </w:r>
      <w:r>
        <w:t>.</w:t>
      </w:r>
    </w:p>
    <w:p w14:paraId="25B3F065" w14:textId="520EE600" w:rsidR="00D10FB6" w:rsidRDefault="00D10FB6" w:rsidP="007B198D">
      <w:pPr>
        <w:pStyle w:val="ListAlpha1"/>
        <w:spacing w:before="0" w:after="0"/>
      </w:pPr>
      <w:r>
        <w:t>Details of overseas visits undertaken including a summary of the objectives and outcomes of each visit.</w:t>
      </w:r>
    </w:p>
    <w:p w14:paraId="4547FCB5" w14:textId="185AB7DE" w:rsidR="00D10FB6" w:rsidRDefault="00D10FB6" w:rsidP="007B198D">
      <w:pPr>
        <w:pStyle w:val="ListAlpha1"/>
        <w:spacing w:before="0" w:after="0"/>
      </w:pPr>
      <w:r>
        <w:t xml:space="preserve">Details of major promotional, public relations and marketing activities undertaken by </w:t>
      </w:r>
      <w:r w:rsidR="009B1462">
        <w:t>Court Services Victoria</w:t>
      </w:r>
      <w:r>
        <w:t xml:space="preserve"> to develop community awareness of </w:t>
      </w:r>
      <w:r w:rsidR="009B1462">
        <w:t>Court Services Victoria</w:t>
      </w:r>
      <w:r>
        <w:t xml:space="preserve"> and its services</w:t>
      </w:r>
    </w:p>
    <w:p w14:paraId="58C9DDB5" w14:textId="7B6D9336" w:rsidR="00D10FB6" w:rsidRDefault="00D10FB6" w:rsidP="007B198D">
      <w:pPr>
        <w:pStyle w:val="ListAlpha1"/>
        <w:spacing w:before="0" w:after="0"/>
      </w:pPr>
      <w:r>
        <w:t>Details of assessments and measures undertaken to improve the occupational health and safety of employees.</w:t>
      </w:r>
    </w:p>
    <w:p w14:paraId="3E7068FF" w14:textId="6EF203E8" w:rsidR="00D10FB6" w:rsidRDefault="00D10FB6" w:rsidP="007B198D">
      <w:pPr>
        <w:pStyle w:val="ListAlpha1"/>
        <w:spacing w:before="0" w:after="0"/>
      </w:pPr>
      <w:r>
        <w:t xml:space="preserve">A general statement on industrial relations within </w:t>
      </w:r>
      <w:r w:rsidR="009B1462">
        <w:t>Court Services Victoria</w:t>
      </w:r>
      <w:r>
        <w:t xml:space="preserve"> and details of time lost through industrial accidents and disputes.</w:t>
      </w:r>
    </w:p>
    <w:p w14:paraId="117C079A" w14:textId="15E44BC8" w:rsidR="00D10FB6" w:rsidRDefault="00D10FB6" w:rsidP="007B198D">
      <w:pPr>
        <w:pStyle w:val="ListAlpha1"/>
        <w:spacing w:before="0" w:after="0"/>
      </w:pPr>
      <w:r>
        <w:t xml:space="preserve">A list of major committees sponsored by </w:t>
      </w:r>
      <w:r w:rsidR="009B1462">
        <w:t>Court Services Victoria</w:t>
      </w:r>
      <w:r>
        <w:t>, the purposes of each committee and the extent to which the purposes have been achieved.</w:t>
      </w:r>
    </w:p>
    <w:p w14:paraId="4D241488" w14:textId="7E49B770" w:rsidR="00D10FB6" w:rsidRDefault="00D10FB6" w:rsidP="007B198D">
      <w:pPr>
        <w:pStyle w:val="ListAlpha1"/>
        <w:spacing w:before="0" w:after="0"/>
      </w:pPr>
      <w:r>
        <w:t>Details of all consultancies and contractors including:</w:t>
      </w:r>
    </w:p>
    <w:p w14:paraId="7C348EC1" w14:textId="319195C3" w:rsidR="00D10FB6" w:rsidRDefault="00D10FB6" w:rsidP="007B198D">
      <w:pPr>
        <w:pStyle w:val="ListAlpha2"/>
        <w:spacing w:before="0" w:after="0"/>
      </w:pPr>
      <w:r>
        <w:t>consultants/contractors engaged,</w:t>
      </w:r>
    </w:p>
    <w:p w14:paraId="07556ACB" w14:textId="3005C0DF" w:rsidR="00D10FB6" w:rsidRDefault="00D10FB6" w:rsidP="007B198D">
      <w:pPr>
        <w:pStyle w:val="ListAlpha2"/>
        <w:spacing w:before="0" w:after="0"/>
      </w:pPr>
      <w:r>
        <w:t>services provided, and</w:t>
      </w:r>
    </w:p>
    <w:p w14:paraId="4641A9AD" w14:textId="47181137" w:rsidR="00D10FB6" w:rsidRDefault="00D10FB6" w:rsidP="007B198D">
      <w:pPr>
        <w:pStyle w:val="ListAlpha2"/>
        <w:spacing w:before="0" w:after="0"/>
      </w:pPr>
      <w:r>
        <w:t>expenditure committed to for each engagement.</w:t>
      </w:r>
    </w:p>
    <w:p w14:paraId="60171967" w14:textId="575BED59" w:rsidR="00D10FB6" w:rsidRDefault="00D10FB6" w:rsidP="00895F89">
      <w:pPr>
        <w:pStyle w:val="BodyText"/>
        <w:keepNext/>
      </w:pPr>
      <w:r>
        <w:t>The information is available on request from:</w:t>
      </w:r>
    </w:p>
    <w:p w14:paraId="7136702A" w14:textId="447028D8" w:rsidR="00D10FB6" w:rsidRDefault="00D10FB6" w:rsidP="00D10FB6">
      <w:pPr>
        <w:pStyle w:val="NoSpacing"/>
      </w:pPr>
      <w:r>
        <w:t>Court Services Victoria</w:t>
      </w:r>
    </w:p>
    <w:p w14:paraId="5079DCBD" w14:textId="105100B0" w:rsidR="00D10FB6" w:rsidRDefault="00D10FB6" w:rsidP="00D10FB6">
      <w:pPr>
        <w:pStyle w:val="NoSpacing"/>
      </w:pPr>
      <w:r>
        <w:t>PO Box 13193</w:t>
      </w:r>
    </w:p>
    <w:p w14:paraId="6E1624A3" w14:textId="62C7CF05" w:rsidR="00D10FB6" w:rsidRDefault="00D10FB6" w:rsidP="00D10FB6">
      <w:pPr>
        <w:pStyle w:val="NoSpacing"/>
      </w:pPr>
      <w:r>
        <w:t>Law Courts Vic 8010</w:t>
      </w:r>
    </w:p>
    <w:p w14:paraId="158D1604" w14:textId="083DFD5F" w:rsidR="00D10FB6" w:rsidRDefault="00D10FB6" w:rsidP="00D10FB6">
      <w:pPr>
        <w:pStyle w:val="NoSpacing"/>
      </w:pPr>
      <w:r>
        <w:t xml:space="preserve">Email: </w:t>
      </w:r>
      <w:hyperlink r:id="rId35" w:history="1">
        <w:r w:rsidR="00DC3C8A" w:rsidRPr="009E3D4D">
          <w:rPr>
            <w:rStyle w:val="Hyperlink"/>
          </w:rPr>
          <w:t>feedback@courts.vic.gov.au</w:t>
        </w:r>
      </w:hyperlink>
    </w:p>
    <w:p w14:paraId="7A36BDA0" w14:textId="77777777" w:rsidR="00E952AB" w:rsidRDefault="004B6BAC" w:rsidP="007B198D">
      <w:pPr>
        <w:pStyle w:val="Heading2"/>
        <w:pageBreakBefore/>
      </w:pPr>
      <w:bookmarkStart w:id="190" w:name="_Ref22639921"/>
      <w:bookmarkStart w:id="191" w:name="_Toc62808120"/>
      <w:r w:rsidRPr="007A0D86">
        <w:t>Disclosure Index</w:t>
      </w:r>
      <w:bookmarkEnd w:id="190"/>
      <w:bookmarkEnd w:id="191"/>
    </w:p>
    <w:p w14:paraId="08F1FDF9" w14:textId="1EF57FF3" w:rsidR="00564C4B" w:rsidRDefault="00564C4B" w:rsidP="00564C4B">
      <w:pPr>
        <w:pStyle w:val="BodyText"/>
      </w:pPr>
      <w:r>
        <w:t xml:space="preserve">The </w:t>
      </w:r>
      <w:r w:rsidR="009B1462">
        <w:t>Court Services Victoria</w:t>
      </w:r>
      <w:r>
        <w:t xml:space="preserve"> Annual Report 2019-20 is prepared in accordance with all relevant Victorian legislation and pronouncements. This index has been prepared to facilitate identification of </w:t>
      </w:r>
      <w:r w:rsidR="009B1462">
        <w:t>Court Services Victoria</w:t>
      </w:r>
      <w:r>
        <w:t>’s compliance with statutory disclosures requirements.</w:t>
      </w:r>
    </w:p>
    <w:p w14:paraId="19C61BDF" w14:textId="77777777" w:rsidR="00FD3644" w:rsidRPr="00FD3644" w:rsidRDefault="00FD3644" w:rsidP="00FD3644">
      <w:pPr>
        <w:pStyle w:val="NoSpacing"/>
        <w:rPr>
          <w:rStyle w:val="Bold"/>
        </w:rPr>
      </w:pPr>
      <w:r w:rsidRPr="00FD3644">
        <w:rPr>
          <w:rStyle w:val="Bold"/>
        </w:rPr>
        <w:t>Ministerial Directions and Financial Reporting Directions</w:t>
      </w:r>
    </w:p>
    <w:p w14:paraId="2F1A29E6" w14:textId="61BEB2C7" w:rsidR="00FD3644" w:rsidRPr="00FD3644" w:rsidRDefault="00FD3644" w:rsidP="00FD3644">
      <w:pPr>
        <w:pStyle w:val="NoSpacing"/>
        <w:rPr>
          <w:rStyle w:val="Bold"/>
        </w:rPr>
      </w:pPr>
      <w:r w:rsidRPr="00FD3644">
        <w:rPr>
          <w:rStyle w:val="Bold"/>
        </w:rPr>
        <w:t>Report of Operations</w:t>
      </w:r>
    </w:p>
    <w:p w14:paraId="6BDD589A" w14:textId="5FA9B0D3" w:rsidR="00FD3644" w:rsidRPr="00C21B98" w:rsidRDefault="00FD3644" w:rsidP="004B6BAC">
      <w:pPr>
        <w:pStyle w:val="BodyText"/>
      </w:pPr>
      <w:r w:rsidRPr="00C21B98">
        <w:t>Charter and purpose</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210C7271" w14:textId="77777777" w:rsidTr="00102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4916A278" w14:textId="77777777" w:rsidR="00FD3644" w:rsidRPr="00FD3644" w:rsidRDefault="00FD3644" w:rsidP="00FD3644">
            <w:pPr>
              <w:pStyle w:val="TableText"/>
            </w:pPr>
            <w:bookmarkStart w:id="192" w:name="ColumnTitle_34"/>
            <w:r w:rsidRPr="00FD3644">
              <w:t>Legislation</w:t>
            </w:r>
          </w:p>
        </w:tc>
        <w:tc>
          <w:tcPr>
            <w:tcW w:w="3288" w:type="pct"/>
            <w:vAlign w:val="bottom"/>
          </w:tcPr>
          <w:p w14:paraId="0463A014" w14:textId="77777777" w:rsidR="00FD3644" w:rsidRPr="00FD3644" w:rsidRDefault="00FD3644" w:rsidP="00102B95">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7D00C181" w14:textId="77777777" w:rsidR="00FD3644" w:rsidRPr="005B6A29" w:rsidRDefault="00FD3644" w:rsidP="00102B95">
            <w:pPr>
              <w:pStyle w:val="TableText"/>
              <w:cnfStyle w:val="100000000000" w:firstRow="1" w:lastRow="0" w:firstColumn="0" w:lastColumn="0" w:oddVBand="0" w:evenVBand="0" w:oddHBand="0" w:evenHBand="0" w:firstRowFirstColumn="0" w:firstRowLastColumn="0" w:lastRowFirstColumn="0" w:lastRowLastColumn="0"/>
              <w:rPr>
                <w:highlight w:val="yellow"/>
              </w:rPr>
            </w:pPr>
            <w:r w:rsidRPr="00D63B3E">
              <w:t>Page</w:t>
            </w:r>
          </w:p>
        </w:tc>
      </w:tr>
      <w:bookmarkEnd w:id="192"/>
      <w:tr w:rsidR="00FD3644" w:rsidRPr="00FD3644" w14:paraId="2D38D728"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212C3A2A" w14:textId="7CE052E1" w:rsidR="00FD3644" w:rsidRPr="00FD3644" w:rsidRDefault="00FD3644" w:rsidP="00FD3644">
            <w:pPr>
              <w:pStyle w:val="TableText"/>
            </w:pPr>
            <w:r>
              <w:t>FRD 22H</w:t>
            </w:r>
          </w:p>
        </w:tc>
        <w:tc>
          <w:tcPr>
            <w:tcW w:w="3288" w:type="pct"/>
          </w:tcPr>
          <w:p w14:paraId="38C02D0F" w14:textId="44D88C30"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 xml:space="preserve">Manner of establishment and the relevant </w:t>
            </w:r>
            <w:r w:rsidRPr="007B198D">
              <w:t>ministers</w:t>
            </w:r>
          </w:p>
        </w:tc>
        <w:tc>
          <w:tcPr>
            <w:tcW w:w="768" w:type="pct"/>
          </w:tcPr>
          <w:p w14:paraId="3F8D5D15" w14:textId="150FB5A1" w:rsidR="00FD3644" w:rsidRPr="007B198D" w:rsidRDefault="00F04016" w:rsidP="00B7700E">
            <w:pPr>
              <w:pStyle w:val="TableText"/>
              <w:cnfStyle w:val="000000000000" w:firstRow="0" w:lastRow="0" w:firstColumn="0" w:lastColumn="0" w:oddVBand="0" w:evenVBand="0" w:oddHBand="0" w:evenHBand="0" w:firstRowFirstColumn="0" w:firstRowLastColumn="0" w:lastRowFirstColumn="0" w:lastRowLastColumn="0"/>
              <w:rPr>
                <w:rStyle w:val="Hyperlink"/>
              </w:rPr>
            </w:pPr>
            <w:r w:rsidRPr="007B198D">
              <w:rPr>
                <w:rStyle w:val="Hyperlink"/>
              </w:rPr>
              <w:fldChar w:fldCharType="begin"/>
            </w:r>
            <w:r w:rsidRPr="007B198D">
              <w:rPr>
                <w:rStyle w:val="Hyperlink"/>
              </w:rPr>
              <w:instrText xml:space="preserve"> PAGEREF _Ref61894339 \h </w:instrText>
            </w:r>
            <w:r w:rsidRPr="007B198D">
              <w:rPr>
                <w:rStyle w:val="Hyperlink"/>
              </w:rPr>
            </w:r>
            <w:r w:rsidRPr="007B198D">
              <w:rPr>
                <w:rStyle w:val="Hyperlink"/>
              </w:rPr>
              <w:fldChar w:fldCharType="separate"/>
            </w:r>
            <w:r w:rsidR="007F340A">
              <w:rPr>
                <w:rStyle w:val="Hyperlink"/>
                <w:noProof/>
              </w:rPr>
              <w:t>11</w:t>
            </w:r>
            <w:r w:rsidRPr="007B198D">
              <w:rPr>
                <w:rStyle w:val="Hyperlink"/>
              </w:rPr>
              <w:fldChar w:fldCharType="end"/>
            </w:r>
          </w:p>
        </w:tc>
      </w:tr>
      <w:tr w:rsidR="00FD3644" w:rsidRPr="00FD3644" w14:paraId="353EB020"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5DA8E252" w14:textId="4BB1287C" w:rsidR="00FD3644" w:rsidRPr="00FD3644" w:rsidRDefault="00FD3644" w:rsidP="00FD3644">
            <w:pPr>
              <w:pStyle w:val="TableText"/>
            </w:pPr>
            <w:r>
              <w:t>FRD 22H</w:t>
            </w:r>
          </w:p>
        </w:tc>
        <w:tc>
          <w:tcPr>
            <w:tcW w:w="3288" w:type="pct"/>
          </w:tcPr>
          <w:p w14:paraId="32FF52FC" w14:textId="666AE966"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Purpose, functions, powers and duties</w:t>
            </w:r>
          </w:p>
        </w:tc>
        <w:tc>
          <w:tcPr>
            <w:tcW w:w="768" w:type="pct"/>
          </w:tcPr>
          <w:p w14:paraId="081F564E" w14:textId="1B64BEB5" w:rsidR="00FD3644" w:rsidRPr="00A1246A" w:rsidRDefault="00F04016"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_Ref22639603 \h </w:instrText>
            </w:r>
            <w:r>
              <w:fldChar w:fldCharType="separate"/>
            </w:r>
            <w:r w:rsidR="007F340A">
              <w:rPr>
                <w:noProof/>
              </w:rPr>
              <w:t>11</w:t>
            </w:r>
            <w:r>
              <w:fldChar w:fldCharType="end"/>
            </w:r>
          </w:p>
        </w:tc>
      </w:tr>
      <w:tr w:rsidR="00FD3644" w:rsidRPr="00FD3644" w14:paraId="4800F80F"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5F91C910" w14:textId="50F087C9" w:rsidR="00FD3644" w:rsidRPr="00FD3644" w:rsidRDefault="00FD3644" w:rsidP="00FD3644">
            <w:pPr>
              <w:pStyle w:val="TableText"/>
            </w:pPr>
            <w:r>
              <w:t>FRD 8D</w:t>
            </w:r>
          </w:p>
        </w:tc>
        <w:tc>
          <w:tcPr>
            <w:tcW w:w="3288" w:type="pct"/>
          </w:tcPr>
          <w:p w14:paraId="76DB4D91" w14:textId="3696018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Objectives, indicators and outputs</w:t>
            </w:r>
          </w:p>
        </w:tc>
        <w:tc>
          <w:tcPr>
            <w:tcW w:w="768" w:type="pct"/>
          </w:tcPr>
          <w:p w14:paraId="563B9CF3" w14:textId="0880441D" w:rsidR="00FD3644" w:rsidRPr="00A1246A" w:rsidRDefault="00F04016"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_Ref61894470 \h </w:instrText>
            </w:r>
            <w:r>
              <w:fldChar w:fldCharType="separate"/>
            </w:r>
            <w:r w:rsidR="007F340A">
              <w:rPr>
                <w:noProof/>
              </w:rPr>
              <w:t>36</w:t>
            </w:r>
            <w:r>
              <w:fldChar w:fldCharType="end"/>
            </w:r>
          </w:p>
        </w:tc>
      </w:tr>
      <w:tr w:rsidR="00FD3644" w:rsidRPr="00FD3644" w14:paraId="04391BDE"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B0D9673" w14:textId="45142DFF" w:rsidR="00FD3644" w:rsidRPr="00FD3644" w:rsidRDefault="00FD3644" w:rsidP="00FD3644">
            <w:pPr>
              <w:pStyle w:val="TableText"/>
            </w:pPr>
            <w:r>
              <w:t>FRD 22H</w:t>
            </w:r>
          </w:p>
        </w:tc>
        <w:tc>
          <w:tcPr>
            <w:tcW w:w="3288" w:type="pct"/>
          </w:tcPr>
          <w:p w14:paraId="0351BC9B" w14:textId="3235789D"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Key Initiatives and projects</w:t>
            </w:r>
          </w:p>
        </w:tc>
        <w:tc>
          <w:tcPr>
            <w:tcW w:w="768" w:type="pct"/>
          </w:tcPr>
          <w:p w14:paraId="71BD3F7A" w14:textId="139C0812" w:rsidR="00FD3644" w:rsidRPr="00A1246A" w:rsidRDefault="00657C6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_Ref22639669 \h </w:instrText>
            </w:r>
            <w:r>
              <w:fldChar w:fldCharType="separate"/>
            </w:r>
            <w:r w:rsidR="007F340A">
              <w:rPr>
                <w:noProof/>
              </w:rPr>
              <w:t>21</w:t>
            </w:r>
            <w:r>
              <w:fldChar w:fldCharType="end"/>
            </w:r>
            <w:r>
              <w:t>-</w:t>
            </w:r>
            <w:r w:rsidR="00F04016">
              <w:fldChar w:fldCharType="begin"/>
            </w:r>
            <w:r w:rsidR="00F04016">
              <w:instrText xml:space="preserve"> PAGEREF _Ref61894790 \h </w:instrText>
            </w:r>
            <w:r w:rsidR="00F04016">
              <w:fldChar w:fldCharType="separate"/>
            </w:r>
            <w:r w:rsidR="007F340A">
              <w:rPr>
                <w:noProof/>
              </w:rPr>
              <w:t>36</w:t>
            </w:r>
            <w:r w:rsidR="00F04016">
              <w:fldChar w:fldCharType="end"/>
            </w:r>
          </w:p>
        </w:tc>
      </w:tr>
      <w:tr w:rsidR="00FD3644" w:rsidRPr="00FD3644" w14:paraId="60866C3E"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5C46B80" w14:textId="4838FD94" w:rsidR="00FD3644" w:rsidRPr="00FD3644" w:rsidRDefault="00FD3644" w:rsidP="00FD3644">
            <w:pPr>
              <w:pStyle w:val="TableText"/>
            </w:pPr>
            <w:r>
              <w:t>FRD 22H</w:t>
            </w:r>
          </w:p>
        </w:tc>
        <w:tc>
          <w:tcPr>
            <w:tcW w:w="3288" w:type="pct"/>
          </w:tcPr>
          <w:p w14:paraId="3B5D0623" w14:textId="4D64E3F1"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Nature and range of services provided</w:t>
            </w:r>
          </w:p>
        </w:tc>
        <w:tc>
          <w:tcPr>
            <w:tcW w:w="768" w:type="pct"/>
          </w:tcPr>
          <w:p w14:paraId="7AC1311F" w14:textId="5C5D7859" w:rsidR="00FD3644" w:rsidRPr="00A1246A" w:rsidRDefault="00F04016"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_Ref22639669 \h </w:instrText>
            </w:r>
            <w:r>
              <w:fldChar w:fldCharType="separate"/>
            </w:r>
            <w:r w:rsidR="007F340A">
              <w:rPr>
                <w:noProof/>
              </w:rPr>
              <w:t>21</w:t>
            </w:r>
            <w:r>
              <w:fldChar w:fldCharType="end"/>
            </w:r>
            <w:r>
              <w:t>-</w:t>
            </w:r>
            <w:r>
              <w:fldChar w:fldCharType="begin"/>
            </w:r>
            <w:r>
              <w:instrText xml:space="preserve"> PAGEREF _Ref61894790 \h </w:instrText>
            </w:r>
            <w:r>
              <w:fldChar w:fldCharType="separate"/>
            </w:r>
            <w:r w:rsidR="007F340A">
              <w:rPr>
                <w:noProof/>
              </w:rPr>
              <w:t>36</w:t>
            </w:r>
            <w:r>
              <w:fldChar w:fldCharType="end"/>
            </w:r>
          </w:p>
        </w:tc>
      </w:tr>
    </w:tbl>
    <w:p w14:paraId="3AE1F9BB" w14:textId="0C5F4339" w:rsidR="004B6BAC" w:rsidRPr="00C21B98" w:rsidRDefault="00FD3644" w:rsidP="004B6BAC">
      <w:pPr>
        <w:pStyle w:val="BodyText"/>
      </w:pPr>
      <w:r w:rsidRPr="00C21B98">
        <w:t>Management and structure</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65C35D38"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25AB1F69" w14:textId="77777777" w:rsidR="00FD3644" w:rsidRPr="00FD3644" w:rsidRDefault="00FD3644" w:rsidP="00AC0BBF">
            <w:pPr>
              <w:pStyle w:val="TableText"/>
            </w:pPr>
            <w:bookmarkStart w:id="193" w:name="ColumnTitle_35"/>
            <w:r w:rsidRPr="00FD3644">
              <w:t>Legislation</w:t>
            </w:r>
          </w:p>
        </w:tc>
        <w:tc>
          <w:tcPr>
            <w:tcW w:w="3288" w:type="pct"/>
            <w:vAlign w:val="bottom"/>
          </w:tcPr>
          <w:p w14:paraId="30E0BE9C" w14:textId="77777777" w:rsidR="00FD3644" w:rsidRPr="00FD3644" w:rsidRDefault="00FD3644" w:rsidP="00B7700E">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38FD3ABE" w14:textId="77777777" w:rsidR="00FD3644" w:rsidRPr="00FD3644" w:rsidRDefault="00FD3644"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193"/>
      <w:tr w:rsidR="00FD3644" w:rsidRPr="00FD3644" w14:paraId="7078C27C"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12DC1127" w14:textId="610A5301" w:rsidR="00FD3644" w:rsidRPr="00FD3644" w:rsidRDefault="00FD3644" w:rsidP="00FD3644">
            <w:pPr>
              <w:pStyle w:val="TableText"/>
            </w:pPr>
            <w:r>
              <w:t>FRD 22H</w:t>
            </w:r>
          </w:p>
        </w:tc>
        <w:tc>
          <w:tcPr>
            <w:tcW w:w="3288" w:type="pct"/>
          </w:tcPr>
          <w:p w14:paraId="1F8AB68C" w14:textId="641F40C0"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Organisational structure</w:t>
            </w:r>
          </w:p>
        </w:tc>
        <w:tc>
          <w:tcPr>
            <w:tcW w:w="768" w:type="pct"/>
          </w:tcPr>
          <w:p w14:paraId="2789E73C" w14:textId="7DB4E6AC" w:rsidR="00FD3644" w:rsidRPr="00FD3644" w:rsidRDefault="00F04016"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_Ref22639729 \h </w:instrText>
            </w:r>
            <w:r>
              <w:fldChar w:fldCharType="separate"/>
            </w:r>
            <w:r w:rsidR="007F340A">
              <w:rPr>
                <w:noProof/>
              </w:rPr>
              <w:t>12</w:t>
            </w:r>
            <w:r>
              <w:fldChar w:fldCharType="end"/>
            </w:r>
          </w:p>
        </w:tc>
      </w:tr>
    </w:tbl>
    <w:p w14:paraId="054E2939" w14:textId="1AA31BDC" w:rsidR="00FD3644" w:rsidRPr="00C21B98" w:rsidRDefault="00FD3644" w:rsidP="004B6BAC">
      <w:pPr>
        <w:pStyle w:val="BodyText"/>
      </w:pPr>
      <w:r w:rsidRPr="00C21B98">
        <w:t>Financial and other information</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1E6D4C2B"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51360C3A" w14:textId="77777777" w:rsidR="00FD3644" w:rsidRPr="00FD3644" w:rsidRDefault="00FD3644" w:rsidP="00AC0BBF">
            <w:pPr>
              <w:pStyle w:val="TableText"/>
            </w:pPr>
            <w:bookmarkStart w:id="194" w:name="ColumnTitle_36"/>
            <w:r w:rsidRPr="00FD3644">
              <w:t>Legislation</w:t>
            </w:r>
          </w:p>
        </w:tc>
        <w:tc>
          <w:tcPr>
            <w:tcW w:w="3288" w:type="pct"/>
            <w:vAlign w:val="bottom"/>
          </w:tcPr>
          <w:p w14:paraId="217FF0F4" w14:textId="77777777" w:rsidR="00FD3644" w:rsidRPr="00FD3644" w:rsidRDefault="00FD3644" w:rsidP="00B7700E">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444B78FD" w14:textId="77777777" w:rsidR="00FD3644" w:rsidRPr="00FD3644" w:rsidRDefault="00FD3644"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194"/>
      <w:tr w:rsidR="00FD3644" w:rsidRPr="00FD3644" w14:paraId="3B8233E4"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CD779B2" w14:textId="5E2C401C" w:rsidR="00FD3644" w:rsidRPr="00FD3644" w:rsidRDefault="00FD3644" w:rsidP="00FD3644">
            <w:pPr>
              <w:pStyle w:val="TableText"/>
            </w:pPr>
            <w:r>
              <w:t>FRD 8D</w:t>
            </w:r>
          </w:p>
        </w:tc>
        <w:tc>
          <w:tcPr>
            <w:tcW w:w="3288" w:type="pct"/>
          </w:tcPr>
          <w:p w14:paraId="21648938" w14:textId="62A4585F"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Performance against output performance measures</w:t>
            </w:r>
          </w:p>
        </w:tc>
        <w:tc>
          <w:tcPr>
            <w:tcW w:w="768" w:type="pct"/>
          </w:tcPr>
          <w:p w14:paraId="28F0DE05" w14:textId="477A0EC3" w:rsidR="00FD3644" w:rsidRPr="00FD3644" w:rsidRDefault="00F04016"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_Ref22639770 \h </w:instrText>
            </w:r>
            <w:r>
              <w:fldChar w:fldCharType="separate"/>
            </w:r>
            <w:r w:rsidR="007F340A">
              <w:rPr>
                <w:noProof/>
              </w:rPr>
              <w:t>37</w:t>
            </w:r>
            <w:r>
              <w:fldChar w:fldCharType="end"/>
            </w:r>
            <w:r w:rsidR="005104C0">
              <w:t>-</w:t>
            </w:r>
            <w:r w:rsidR="005104C0">
              <w:fldChar w:fldCharType="begin"/>
            </w:r>
            <w:r w:rsidR="005104C0">
              <w:instrText xml:space="preserve"> PAGEREF Costheading \h </w:instrText>
            </w:r>
            <w:r w:rsidR="005104C0">
              <w:fldChar w:fldCharType="separate"/>
            </w:r>
            <w:r w:rsidR="007F340A">
              <w:rPr>
                <w:noProof/>
              </w:rPr>
              <w:t>44</w:t>
            </w:r>
            <w:r w:rsidR="005104C0">
              <w:fldChar w:fldCharType="end"/>
            </w:r>
          </w:p>
        </w:tc>
      </w:tr>
      <w:tr w:rsidR="00FD3644" w:rsidRPr="00FD3644" w14:paraId="11A71FF3"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C877246" w14:textId="6D91B230" w:rsidR="00FD3644" w:rsidRPr="00FD3644" w:rsidRDefault="00FD3644" w:rsidP="00FD3644">
            <w:pPr>
              <w:pStyle w:val="TableText"/>
            </w:pPr>
            <w:r>
              <w:t>FRD 8D</w:t>
            </w:r>
          </w:p>
        </w:tc>
        <w:tc>
          <w:tcPr>
            <w:tcW w:w="3288" w:type="pct"/>
          </w:tcPr>
          <w:p w14:paraId="0337C625" w14:textId="096DC11E"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Budget portfolio outcomes</w:t>
            </w:r>
          </w:p>
        </w:tc>
        <w:tc>
          <w:tcPr>
            <w:tcW w:w="768" w:type="pct"/>
          </w:tcPr>
          <w:p w14:paraId="0DB91D56" w14:textId="62CE0955" w:rsidR="00FD3644" w:rsidRPr="00FD3644" w:rsidRDefault="005104C0"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_Ref22639801 \h </w:instrText>
            </w:r>
            <w:r>
              <w:fldChar w:fldCharType="separate"/>
            </w:r>
            <w:r w:rsidR="007F340A">
              <w:rPr>
                <w:noProof/>
              </w:rPr>
              <w:t>45</w:t>
            </w:r>
            <w:r>
              <w:fldChar w:fldCharType="end"/>
            </w:r>
          </w:p>
        </w:tc>
      </w:tr>
      <w:tr w:rsidR="00FD3644" w:rsidRPr="00FD3644" w14:paraId="2E8105B0"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2EEF045" w14:textId="6E3E8736" w:rsidR="00FD3644" w:rsidRPr="00FD3644" w:rsidRDefault="00FD3644" w:rsidP="00FD3644">
            <w:pPr>
              <w:pStyle w:val="TableText"/>
            </w:pPr>
            <w:r>
              <w:t>FRD 10A</w:t>
            </w:r>
          </w:p>
        </w:tc>
        <w:tc>
          <w:tcPr>
            <w:tcW w:w="3288" w:type="pct"/>
          </w:tcPr>
          <w:p w14:paraId="0384815A" w14:textId="6FD627E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Disclosure index</w:t>
            </w:r>
          </w:p>
        </w:tc>
        <w:tc>
          <w:tcPr>
            <w:tcW w:w="768" w:type="pct"/>
          </w:tcPr>
          <w:p w14:paraId="0D631DF5" w14:textId="11419AAD" w:rsidR="00FD3644" w:rsidRPr="00FD3644" w:rsidRDefault="005104C0"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_Ref22639921 \h </w:instrText>
            </w:r>
            <w:r>
              <w:fldChar w:fldCharType="separate"/>
            </w:r>
            <w:r w:rsidR="007F340A">
              <w:rPr>
                <w:noProof/>
              </w:rPr>
              <w:t>65</w:t>
            </w:r>
            <w:r>
              <w:fldChar w:fldCharType="end"/>
            </w:r>
            <w:r>
              <w:t>-</w:t>
            </w:r>
            <w:r>
              <w:fldChar w:fldCharType="begin"/>
            </w:r>
            <w:r>
              <w:instrText xml:space="preserve"> PAGEREF Legislationheading \h </w:instrText>
            </w:r>
            <w:r>
              <w:fldChar w:fldCharType="separate"/>
            </w:r>
            <w:r w:rsidR="007F340A">
              <w:rPr>
                <w:noProof/>
              </w:rPr>
              <w:t>67</w:t>
            </w:r>
            <w:r>
              <w:fldChar w:fldCharType="end"/>
            </w:r>
          </w:p>
        </w:tc>
      </w:tr>
      <w:tr w:rsidR="00FD3644" w:rsidRPr="00FD3644" w14:paraId="260B1FAF"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91E01C7" w14:textId="1C0FEE45" w:rsidR="00FD3644" w:rsidRPr="00FD3644" w:rsidRDefault="00FD3644" w:rsidP="00FD3644">
            <w:pPr>
              <w:pStyle w:val="TableText"/>
            </w:pPr>
            <w:r>
              <w:t>FRD 12B</w:t>
            </w:r>
          </w:p>
        </w:tc>
        <w:tc>
          <w:tcPr>
            <w:tcW w:w="3288" w:type="pct"/>
          </w:tcPr>
          <w:p w14:paraId="0F373425" w14:textId="2A349141"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Disclosure of major contracts</w:t>
            </w:r>
          </w:p>
        </w:tc>
        <w:tc>
          <w:tcPr>
            <w:tcW w:w="768" w:type="pct"/>
          </w:tcPr>
          <w:p w14:paraId="53D824DD" w14:textId="147732F1"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_Ref61895350 \h </w:instrText>
            </w:r>
            <w:r>
              <w:fldChar w:fldCharType="separate"/>
            </w:r>
            <w:r w:rsidR="007F340A">
              <w:rPr>
                <w:noProof/>
              </w:rPr>
              <w:t>61</w:t>
            </w:r>
            <w:r>
              <w:fldChar w:fldCharType="end"/>
            </w:r>
          </w:p>
        </w:tc>
      </w:tr>
      <w:tr w:rsidR="00FD3644" w:rsidRPr="00FD3644" w14:paraId="1BDDA92B"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735A834" w14:textId="69FF56A0" w:rsidR="00FD3644" w:rsidRPr="00FD3644" w:rsidRDefault="00FD3644" w:rsidP="00FD3644">
            <w:pPr>
              <w:pStyle w:val="TableText"/>
            </w:pPr>
            <w:r>
              <w:t>FRD 15E</w:t>
            </w:r>
          </w:p>
        </w:tc>
        <w:tc>
          <w:tcPr>
            <w:tcW w:w="3288" w:type="pct"/>
          </w:tcPr>
          <w:p w14:paraId="6082C514" w14:textId="03AB338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Executive Officer disclosures</w:t>
            </w:r>
          </w:p>
        </w:tc>
        <w:tc>
          <w:tcPr>
            <w:tcW w:w="768" w:type="pct"/>
          </w:tcPr>
          <w:p w14:paraId="13CF8994" w14:textId="59D4FFFD"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_Ref22639970 \h </w:instrText>
            </w:r>
            <w:r>
              <w:fldChar w:fldCharType="separate"/>
            </w:r>
            <w:r w:rsidR="007F340A">
              <w:rPr>
                <w:noProof/>
              </w:rPr>
              <w:t>51</w:t>
            </w:r>
            <w:r>
              <w:fldChar w:fldCharType="end"/>
            </w:r>
            <w:r>
              <w:t>-</w:t>
            </w:r>
            <w:r>
              <w:fldChar w:fldCharType="begin"/>
            </w:r>
            <w:r>
              <w:instrText xml:space="preserve"> PAGEREF _Ref22639980 \h </w:instrText>
            </w:r>
            <w:r>
              <w:fldChar w:fldCharType="separate"/>
            </w:r>
            <w:r w:rsidR="007F340A">
              <w:rPr>
                <w:noProof/>
              </w:rPr>
              <w:t>52</w:t>
            </w:r>
            <w:r>
              <w:fldChar w:fldCharType="end"/>
            </w:r>
          </w:p>
        </w:tc>
      </w:tr>
      <w:tr w:rsidR="00FD3644" w:rsidRPr="00FD3644" w14:paraId="625C1E46"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76CC8B5" w14:textId="38EB51D3" w:rsidR="00FD3644" w:rsidRPr="00FD3644" w:rsidRDefault="00FD3644" w:rsidP="00FD3644">
            <w:pPr>
              <w:pStyle w:val="TableText"/>
            </w:pPr>
            <w:r>
              <w:t>FRD 22H</w:t>
            </w:r>
          </w:p>
        </w:tc>
        <w:tc>
          <w:tcPr>
            <w:tcW w:w="3288" w:type="pct"/>
          </w:tcPr>
          <w:p w14:paraId="335C95E8" w14:textId="36AEE844"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Employment and conduct principles</w:t>
            </w:r>
          </w:p>
        </w:tc>
        <w:tc>
          <w:tcPr>
            <w:tcW w:w="768" w:type="pct"/>
          </w:tcPr>
          <w:p w14:paraId="01EFAA12" w14:textId="11E8A472"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_Ref22639980 \h </w:instrText>
            </w:r>
            <w:r>
              <w:fldChar w:fldCharType="separate"/>
            </w:r>
            <w:r w:rsidR="007F340A">
              <w:rPr>
                <w:noProof/>
              </w:rPr>
              <w:t>52</w:t>
            </w:r>
            <w:r>
              <w:fldChar w:fldCharType="end"/>
            </w:r>
          </w:p>
        </w:tc>
      </w:tr>
      <w:tr w:rsidR="00FD3644" w:rsidRPr="00FD3644" w14:paraId="31455A86"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4EE4B6C" w14:textId="03C410C3" w:rsidR="00FD3644" w:rsidRPr="00FD3644" w:rsidRDefault="00FD3644" w:rsidP="00FD3644">
            <w:pPr>
              <w:pStyle w:val="TableText"/>
            </w:pPr>
            <w:r>
              <w:t>FRD 22H</w:t>
            </w:r>
          </w:p>
        </w:tc>
        <w:tc>
          <w:tcPr>
            <w:tcW w:w="3288" w:type="pct"/>
          </w:tcPr>
          <w:p w14:paraId="04D04169" w14:textId="13C3BEB7"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Occupational health and safety policy</w:t>
            </w:r>
          </w:p>
        </w:tc>
        <w:tc>
          <w:tcPr>
            <w:tcW w:w="768" w:type="pct"/>
          </w:tcPr>
          <w:p w14:paraId="4469FE16" w14:textId="0D75B9E7"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_Ref22639988 \h </w:instrText>
            </w:r>
            <w:r>
              <w:fldChar w:fldCharType="separate"/>
            </w:r>
            <w:r w:rsidR="007F340A">
              <w:rPr>
                <w:noProof/>
              </w:rPr>
              <w:t>52</w:t>
            </w:r>
            <w:r>
              <w:fldChar w:fldCharType="end"/>
            </w:r>
            <w:r>
              <w:t>-</w:t>
            </w:r>
            <w:r>
              <w:fldChar w:fldCharType="begin"/>
            </w:r>
            <w:r>
              <w:instrText xml:space="preserve"> PAGEREF _Ref61895587 \h </w:instrText>
            </w:r>
            <w:r>
              <w:fldChar w:fldCharType="separate"/>
            </w:r>
            <w:r w:rsidR="007F340A">
              <w:rPr>
                <w:noProof/>
              </w:rPr>
              <w:t>54</w:t>
            </w:r>
            <w:r>
              <w:fldChar w:fldCharType="end"/>
            </w:r>
          </w:p>
        </w:tc>
      </w:tr>
      <w:tr w:rsidR="00FD3644" w:rsidRPr="00FD3644" w14:paraId="1D43B7A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2A61B45B" w14:textId="3AC771F9" w:rsidR="00FD3644" w:rsidRPr="00FD3644" w:rsidRDefault="00FD3644" w:rsidP="00FD3644">
            <w:pPr>
              <w:pStyle w:val="TableText"/>
            </w:pPr>
            <w:r>
              <w:t>FRD 22H</w:t>
            </w:r>
          </w:p>
        </w:tc>
        <w:tc>
          <w:tcPr>
            <w:tcW w:w="3288" w:type="pct"/>
          </w:tcPr>
          <w:p w14:paraId="0150D5D0" w14:textId="106C37AD"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Summary of the financial results for the year</w:t>
            </w:r>
          </w:p>
        </w:tc>
        <w:tc>
          <w:tcPr>
            <w:tcW w:w="768" w:type="pct"/>
          </w:tcPr>
          <w:p w14:paraId="15273C5F" w14:textId="013C1A8D"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_Ref22640000 \h </w:instrText>
            </w:r>
            <w:r>
              <w:fldChar w:fldCharType="separate"/>
            </w:r>
            <w:r w:rsidR="007F340A">
              <w:rPr>
                <w:noProof/>
              </w:rPr>
              <w:t>44</w:t>
            </w:r>
            <w:r>
              <w:fldChar w:fldCharType="end"/>
            </w:r>
          </w:p>
        </w:tc>
      </w:tr>
      <w:tr w:rsidR="00FD3644" w:rsidRPr="00FD3644" w14:paraId="7B6F5E4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35364EE8" w14:textId="04B32501" w:rsidR="00FD3644" w:rsidRPr="00FD3644" w:rsidRDefault="00FD3644" w:rsidP="00FD3644">
            <w:pPr>
              <w:pStyle w:val="TableText"/>
            </w:pPr>
            <w:r>
              <w:t>FRD 22H</w:t>
            </w:r>
          </w:p>
        </w:tc>
        <w:tc>
          <w:tcPr>
            <w:tcW w:w="3288" w:type="pct"/>
          </w:tcPr>
          <w:p w14:paraId="7F7DF9BD" w14:textId="679F411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Significant changes in financial position during the year</w:t>
            </w:r>
          </w:p>
        </w:tc>
        <w:tc>
          <w:tcPr>
            <w:tcW w:w="768" w:type="pct"/>
          </w:tcPr>
          <w:p w14:paraId="1EE2BCBD" w14:textId="63913C96" w:rsidR="00FD3644" w:rsidRPr="00FD3644" w:rsidRDefault="00FD3644" w:rsidP="00B7700E">
            <w:pPr>
              <w:pStyle w:val="TableText"/>
              <w:cnfStyle w:val="000000000000" w:firstRow="0" w:lastRow="0" w:firstColumn="0" w:lastColumn="0" w:oddVBand="0" w:evenVBand="0" w:oddHBand="0" w:evenHBand="0" w:firstRowFirstColumn="0" w:firstRowLastColumn="0" w:lastRowFirstColumn="0" w:lastRowLastColumn="0"/>
            </w:pPr>
            <w:r>
              <w:t>NA</w:t>
            </w:r>
          </w:p>
        </w:tc>
      </w:tr>
      <w:tr w:rsidR="00FD3644" w:rsidRPr="00FD3644" w14:paraId="0779DC10"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FED9BEB" w14:textId="55CE44E5" w:rsidR="00FD3644" w:rsidRPr="00FD3644" w:rsidRDefault="00FD3644" w:rsidP="00FD3644">
            <w:pPr>
              <w:pStyle w:val="TableText"/>
            </w:pPr>
            <w:r>
              <w:t>FRD 22H</w:t>
            </w:r>
          </w:p>
        </w:tc>
        <w:tc>
          <w:tcPr>
            <w:tcW w:w="3288" w:type="pct"/>
          </w:tcPr>
          <w:p w14:paraId="59837424" w14:textId="6535EF70"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Major changes or factors affecting performance</w:t>
            </w:r>
          </w:p>
        </w:tc>
        <w:tc>
          <w:tcPr>
            <w:tcW w:w="768" w:type="pct"/>
          </w:tcPr>
          <w:p w14:paraId="230B66F7" w14:textId="612F8B41" w:rsidR="00FD3644" w:rsidRPr="00FD3644" w:rsidRDefault="00FD3644" w:rsidP="00B7700E">
            <w:pPr>
              <w:pStyle w:val="TableText"/>
              <w:cnfStyle w:val="000000000000" w:firstRow="0" w:lastRow="0" w:firstColumn="0" w:lastColumn="0" w:oddVBand="0" w:evenVBand="0" w:oddHBand="0" w:evenHBand="0" w:firstRowFirstColumn="0" w:firstRowLastColumn="0" w:lastRowFirstColumn="0" w:lastRowLastColumn="0"/>
            </w:pPr>
            <w:r>
              <w:t>NA</w:t>
            </w:r>
          </w:p>
        </w:tc>
      </w:tr>
      <w:tr w:rsidR="00FD3644" w:rsidRPr="00FD3644" w14:paraId="0FF5BB74"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57D73983" w14:textId="77FE2835" w:rsidR="00FD3644" w:rsidRPr="00FD3644" w:rsidRDefault="00FD3644" w:rsidP="00FD3644">
            <w:pPr>
              <w:pStyle w:val="TableText"/>
            </w:pPr>
            <w:r>
              <w:t>FRD 22H</w:t>
            </w:r>
          </w:p>
        </w:tc>
        <w:tc>
          <w:tcPr>
            <w:tcW w:w="3288" w:type="pct"/>
          </w:tcPr>
          <w:p w14:paraId="76C62988" w14:textId="6C59732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Subsequent events</w:t>
            </w:r>
          </w:p>
        </w:tc>
        <w:tc>
          <w:tcPr>
            <w:tcW w:w="768" w:type="pct"/>
          </w:tcPr>
          <w:p w14:paraId="2B344988" w14:textId="39BF0D87"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_Ref61895733 \h </w:instrText>
            </w:r>
            <w:r>
              <w:fldChar w:fldCharType="separate"/>
            </w:r>
            <w:r w:rsidR="007F340A">
              <w:rPr>
                <w:noProof/>
              </w:rPr>
              <w:t>132</w:t>
            </w:r>
            <w:r>
              <w:fldChar w:fldCharType="end"/>
            </w:r>
          </w:p>
        </w:tc>
      </w:tr>
      <w:tr w:rsidR="00FD3644" w:rsidRPr="00FD3644" w14:paraId="7206E83C"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F79C383" w14:textId="2EF36BDE" w:rsidR="00FD3644" w:rsidRPr="00FD3644" w:rsidRDefault="00FD3644" w:rsidP="00FD3644">
            <w:pPr>
              <w:pStyle w:val="TableText"/>
            </w:pPr>
            <w:r>
              <w:t>FRD 22H</w:t>
            </w:r>
          </w:p>
        </w:tc>
        <w:tc>
          <w:tcPr>
            <w:tcW w:w="3288" w:type="pct"/>
          </w:tcPr>
          <w:p w14:paraId="2D4E7951" w14:textId="4B7DFB9D"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Application and operation of Freedom of Information Act 1982 (Vic)</w:t>
            </w:r>
          </w:p>
        </w:tc>
        <w:tc>
          <w:tcPr>
            <w:tcW w:w="768" w:type="pct"/>
          </w:tcPr>
          <w:p w14:paraId="3690F4AA" w14:textId="75B9A94A"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_Ref22640064 \h </w:instrText>
            </w:r>
            <w:r>
              <w:fldChar w:fldCharType="separate"/>
            </w:r>
            <w:r w:rsidR="007F340A">
              <w:rPr>
                <w:noProof/>
              </w:rPr>
              <w:t>62</w:t>
            </w:r>
            <w:r>
              <w:fldChar w:fldCharType="end"/>
            </w:r>
          </w:p>
        </w:tc>
      </w:tr>
      <w:tr w:rsidR="00FD3644" w:rsidRPr="00FD3644" w14:paraId="55437DA0"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3CBCF4DB" w14:textId="6C4885C0" w:rsidR="00FD3644" w:rsidRPr="00FD3644" w:rsidRDefault="00FD3644" w:rsidP="00FD3644">
            <w:pPr>
              <w:pStyle w:val="TableText"/>
            </w:pPr>
            <w:r>
              <w:t>FRD 22H</w:t>
            </w:r>
          </w:p>
        </w:tc>
        <w:tc>
          <w:tcPr>
            <w:tcW w:w="3288" w:type="pct"/>
          </w:tcPr>
          <w:p w14:paraId="380A4608" w14:textId="445DDE20"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Compliance with building and maintenance provisions of Building</w:t>
            </w:r>
            <w:r w:rsidR="00D45E5B">
              <w:t xml:space="preserve"> </w:t>
            </w:r>
            <w:r>
              <w:t>Act 1993 (Vic)</w:t>
            </w:r>
          </w:p>
        </w:tc>
        <w:tc>
          <w:tcPr>
            <w:tcW w:w="768" w:type="pct"/>
          </w:tcPr>
          <w:p w14:paraId="7D2D7DE4" w14:textId="1A725006"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_Ref22640201 \h </w:instrText>
            </w:r>
            <w:r>
              <w:fldChar w:fldCharType="separate"/>
            </w:r>
            <w:r w:rsidR="007F340A">
              <w:rPr>
                <w:noProof/>
              </w:rPr>
              <w:t>56</w:t>
            </w:r>
            <w:r>
              <w:fldChar w:fldCharType="end"/>
            </w:r>
          </w:p>
        </w:tc>
      </w:tr>
      <w:tr w:rsidR="00FD3644" w:rsidRPr="00FD3644" w14:paraId="57272242"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433D5F9" w14:textId="3D23C4F0" w:rsidR="00FD3644" w:rsidRPr="00FD3644" w:rsidRDefault="00FD3644" w:rsidP="00FD3644">
            <w:pPr>
              <w:pStyle w:val="TableText"/>
            </w:pPr>
            <w:r>
              <w:t>FRD 22H</w:t>
            </w:r>
          </w:p>
        </w:tc>
        <w:tc>
          <w:tcPr>
            <w:tcW w:w="3288" w:type="pct"/>
          </w:tcPr>
          <w:p w14:paraId="03A49B43" w14:textId="2046FFA2"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Statement on National Competition Policy</w:t>
            </w:r>
          </w:p>
        </w:tc>
        <w:tc>
          <w:tcPr>
            <w:tcW w:w="768" w:type="pct"/>
          </w:tcPr>
          <w:p w14:paraId="5CE4F8BC" w14:textId="4C6F65C6" w:rsidR="00FD3644" w:rsidRPr="00FD3644" w:rsidRDefault="0078337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_Ref22640201 \h </w:instrText>
            </w:r>
            <w:r>
              <w:fldChar w:fldCharType="separate"/>
            </w:r>
            <w:r w:rsidR="007F340A">
              <w:rPr>
                <w:noProof/>
              </w:rPr>
              <w:t>56</w:t>
            </w:r>
            <w:r>
              <w:fldChar w:fldCharType="end"/>
            </w:r>
          </w:p>
        </w:tc>
      </w:tr>
      <w:tr w:rsidR="00FD3644" w:rsidRPr="00FD3644" w14:paraId="4765E352"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0ED24392" w14:textId="7BB8E23D" w:rsidR="00FD3644" w:rsidRPr="00FD3644" w:rsidRDefault="00FD3644" w:rsidP="00FD3644">
            <w:pPr>
              <w:pStyle w:val="TableText"/>
            </w:pPr>
            <w:r>
              <w:t>FRD 22H</w:t>
            </w:r>
          </w:p>
        </w:tc>
        <w:tc>
          <w:tcPr>
            <w:tcW w:w="3288" w:type="pct"/>
          </w:tcPr>
          <w:p w14:paraId="3376FABA" w14:textId="7ECC3E22"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Application and operation of the Protected Disclosure Act 2012 (Vic)</w:t>
            </w:r>
          </w:p>
        </w:tc>
        <w:tc>
          <w:tcPr>
            <w:tcW w:w="768" w:type="pct"/>
          </w:tcPr>
          <w:p w14:paraId="767D7E5E" w14:textId="63B2C8A3"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_Ref61896013 \h </w:instrText>
            </w:r>
            <w:r>
              <w:fldChar w:fldCharType="separate"/>
            </w:r>
            <w:r w:rsidR="007F340A">
              <w:rPr>
                <w:noProof/>
              </w:rPr>
              <w:t>58</w:t>
            </w:r>
            <w:r>
              <w:fldChar w:fldCharType="end"/>
            </w:r>
          </w:p>
        </w:tc>
      </w:tr>
      <w:tr w:rsidR="00FD3644" w:rsidRPr="00FD3644" w14:paraId="7FFFB881"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6D3A77D" w14:textId="3BCBEF4C" w:rsidR="00FD3644" w:rsidRPr="00FD3644" w:rsidRDefault="00FD3644" w:rsidP="00FD3644">
            <w:pPr>
              <w:pStyle w:val="TableText"/>
            </w:pPr>
            <w:r>
              <w:t>FRD 22H</w:t>
            </w:r>
          </w:p>
        </w:tc>
        <w:tc>
          <w:tcPr>
            <w:tcW w:w="3288" w:type="pct"/>
          </w:tcPr>
          <w:p w14:paraId="30CD5AA0" w14:textId="19A80AC2"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Application and operation of the Carers Recognition Act 2012 (Vic)</w:t>
            </w:r>
          </w:p>
        </w:tc>
        <w:tc>
          <w:tcPr>
            <w:tcW w:w="768" w:type="pct"/>
          </w:tcPr>
          <w:p w14:paraId="511A7B79" w14:textId="7DC03708"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_Ref61896043 \h </w:instrText>
            </w:r>
            <w:r>
              <w:fldChar w:fldCharType="separate"/>
            </w:r>
            <w:r w:rsidR="007F340A">
              <w:rPr>
                <w:noProof/>
              </w:rPr>
              <w:t>58</w:t>
            </w:r>
            <w:r>
              <w:fldChar w:fldCharType="end"/>
            </w:r>
          </w:p>
        </w:tc>
      </w:tr>
      <w:tr w:rsidR="00FD3644" w:rsidRPr="00FD3644" w14:paraId="423903FA"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088731AA" w14:textId="56D3EE7A" w:rsidR="00FD3644" w:rsidRPr="00FD3644" w:rsidRDefault="00FD3644" w:rsidP="00FD3644">
            <w:pPr>
              <w:pStyle w:val="TableText"/>
            </w:pPr>
            <w:r>
              <w:t>FRD 22H</w:t>
            </w:r>
          </w:p>
        </w:tc>
        <w:tc>
          <w:tcPr>
            <w:tcW w:w="3288" w:type="pct"/>
          </w:tcPr>
          <w:p w14:paraId="458907F2" w14:textId="1B709670"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Details of consultancies over $10,000</w:t>
            </w:r>
          </w:p>
        </w:tc>
        <w:tc>
          <w:tcPr>
            <w:tcW w:w="768" w:type="pct"/>
          </w:tcPr>
          <w:p w14:paraId="3502A9CE" w14:textId="34E2217E"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_Ref22640275 \h </w:instrText>
            </w:r>
            <w:r>
              <w:fldChar w:fldCharType="separate"/>
            </w:r>
            <w:r w:rsidR="007F340A">
              <w:rPr>
                <w:noProof/>
              </w:rPr>
              <w:t>59</w:t>
            </w:r>
            <w:r>
              <w:fldChar w:fldCharType="end"/>
            </w:r>
          </w:p>
        </w:tc>
      </w:tr>
      <w:tr w:rsidR="00FD3644" w:rsidRPr="00FD3644" w14:paraId="62474EF9"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0E859460" w14:textId="6CD5C694" w:rsidR="00FD3644" w:rsidRPr="00FD3644" w:rsidRDefault="00FD3644" w:rsidP="00FD3644">
            <w:pPr>
              <w:pStyle w:val="TableText"/>
            </w:pPr>
            <w:r>
              <w:t>FRD 22H</w:t>
            </w:r>
          </w:p>
        </w:tc>
        <w:tc>
          <w:tcPr>
            <w:tcW w:w="3288" w:type="pct"/>
          </w:tcPr>
          <w:p w14:paraId="3599D542" w14:textId="603007BC"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Details of consultancies under $10,000</w:t>
            </w:r>
          </w:p>
        </w:tc>
        <w:tc>
          <w:tcPr>
            <w:tcW w:w="768" w:type="pct"/>
          </w:tcPr>
          <w:p w14:paraId="69970929" w14:textId="42928DFE"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_Ref22640281 \h </w:instrText>
            </w:r>
            <w:r>
              <w:fldChar w:fldCharType="separate"/>
            </w:r>
            <w:r w:rsidR="007F340A">
              <w:rPr>
                <w:noProof/>
              </w:rPr>
              <w:t>59</w:t>
            </w:r>
            <w:r>
              <w:fldChar w:fldCharType="end"/>
            </w:r>
          </w:p>
        </w:tc>
      </w:tr>
      <w:tr w:rsidR="00FD3644" w:rsidRPr="00FD3644" w14:paraId="652F7EE9"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08170AE" w14:textId="4807CBFC" w:rsidR="00FD3644" w:rsidRPr="00FD3644" w:rsidRDefault="00FD3644" w:rsidP="00FD3644">
            <w:pPr>
              <w:pStyle w:val="TableText"/>
            </w:pPr>
            <w:r>
              <w:t>FRD 22H</w:t>
            </w:r>
          </w:p>
        </w:tc>
        <w:tc>
          <w:tcPr>
            <w:tcW w:w="3288" w:type="pct"/>
          </w:tcPr>
          <w:p w14:paraId="60CCADC2" w14:textId="6E295A96"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Disclosure of government advertising expenditure</w:t>
            </w:r>
          </w:p>
        </w:tc>
        <w:tc>
          <w:tcPr>
            <w:tcW w:w="768" w:type="pct"/>
          </w:tcPr>
          <w:p w14:paraId="2732DC05" w14:textId="33EC12ED"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_Ref22640306 \h </w:instrText>
            </w:r>
            <w:r>
              <w:fldChar w:fldCharType="separate"/>
            </w:r>
            <w:r w:rsidR="007F340A">
              <w:rPr>
                <w:noProof/>
              </w:rPr>
              <w:t>57</w:t>
            </w:r>
            <w:r>
              <w:fldChar w:fldCharType="end"/>
            </w:r>
          </w:p>
        </w:tc>
      </w:tr>
      <w:tr w:rsidR="00FD3644" w:rsidRPr="00FD3644" w14:paraId="2992312F"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F5B4DA5" w14:textId="63C64060" w:rsidR="00FD3644" w:rsidRPr="00FD3644" w:rsidRDefault="00FD3644" w:rsidP="00FD3644">
            <w:pPr>
              <w:pStyle w:val="TableText"/>
            </w:pPr>
            <w:r>
              <w:t>FRD 22H</w:t>
            </w:r>
          </w:p>
        </w:tc>
        <w:tc>
          <w:tcPr>
            <w:tcW w:w="3288" w:type="pct"/>
          </w:tcPr>
          <w:p w14:paraId="7CBE8BF4" w14:textId="47A09C6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Disclosure of ICT expenditure</w:t>
            </w:r>
          </w:p>
        </w:tc>
        <w:tc>
          <w:tcPr>
            <w:tcW w:w="768" w:type="pct"/>
          </w:tcPr>
          <w:p w14:paraId="350C07C0" w14:textId="2382A764"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_Ref61896170 \h </w:instrText>
            </w:r>
            <w:r>
              <w:fldChar w:fldCharType="separate"/>
            </w:r>
            <w:r w:rsidR="007F340A">
              <w:rPr>
                <w:noProof/>
              </w:rPr>
              <w:t>61</w:t>
            </w:r>
            <w:r>
              <w:fldChar w:fldCharType="end"/>
            </w:r>
          </w:p>
        </w:tc>
      </w:tr>
      <w:tr w:rsidR="00FD3644" w:rsidRPr="00FD3644" w14:paraId="25FB75C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D75DD72" w14:textId="64CB8B4E" w:rsidR="00FD3644" w:rsidRPr="00FD3644" w:rsidRDefault="00FD3644" w:rsidP="00FD3644">
            <w:pPr>
              <w:pStyle w:val="TableText"/>
            </w:pPr>
            <w:r>
              <w:t>FRD 22H</w:t>
            </w:r>
          </w:p>
        </w:tc>
        <w:tc>
          <w:tcPr>
            <w:tcW w:w="3288" w:type="pct"/>
          </w:tcPr>
          <w:p w14:paraId="5DBD4690" w14:textId="6FAC28F1"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Statement of availability of other information</w:t>
            </w:r>
          </w:p>
        </w:tc>
        <w:tc>
          <w:tcPr>
            <w:tcW w:w="768" w:type="pct"/>
          </w:tcPr>
          <w:p w14:paraId="4148EEBC" w14:textId="01480BAD" w:rsidR="00FD3644" w:rsidRPr="00FD3644" w:rsidRDefault="00657C6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_Ref22640343 \h </w:instrText>
            </w:r>
            <w:r>
              <w:fldChar w:fldCharType="separate"/>
            </w:r>
            <w:r w:rsidR="007F340A">
              <w:rPr>
                <w:noProof/>
              </w:rPr>
              <w:t>64</w:t>
            </w:r>
            <w:r>
              <w:fldChar w:fldCharType="end"/>
            </w:r>
          </w:p>
        </w:tc>
      </w:tr>
      <w:tr w:rsidR="00FD3644" w:rsidRPr="00FD3644" w14:paraId="119CBB53"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C0F39E8" w14:textId="64E05BFF" w:rsidR="00FD3644" w:rsidRPr="00FD3644" w:rsidRDefault="00FD3644" w:rsidP="00FD3644">
            <w:pPr>
              <w:pStyle w:val="TableText"/>
            </w:pPr>
            <w:r>
              <w:t>FRD 25D</w:t>
            </w:r>
          </w:p>
        </w:tc>
        <w:tc>
          <w:tcPr>
            <w:tcW w:w="3288" w:type="pct"/>
          </w:tcPr>
          <w:p w14:paraId="6F2D755C" w14:textId="0E362732"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Local Jobs First</w:t>
            </w:r>
          </w:p>
        </w:tc>
        <w:tc>
          <w:tcPr>
            <w:tcW w:w="768" w:type="pct"/>
          </w:tcPr>
          <w:p w14:paraId="3DFC42D5" w14:textId="1C0C73C2" w:rsidR="00FD3644" w:rsidRPr="00FD3644" w:rsidRDefault="00657C6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_Ref22640359 \h </w:instrText>
            </w:r>
            <w:r>
              <w:fldChar w:fldCharType="separate"/>
            </w:r>
            <w:r w:rsidR="007F340A">
              <w:rPr>
                <w:noProof/>
              </w:rPr>
              <w:t>55</w:t>
            </w:r>
            <w:r>
              <w:fldChar w:fldCharType="end"/>
            </w:r>
          </w:p>
        </w:tc>
      </w:tr>
      <w:tr w:rsidR="00FD3644" w:rsidRPr="00FD3644" w14:paraId="7FA4C4BC"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C90343A" w14:textId="2FEAF067" w:rsidR="00FD3644" w:rsidRPr="00FD3644" w:rsidRDefault="00FD3644" w:rsidP="00FD3644">
            <w:pPr>
              <w:pStyle w:val="TableText"/>
            </w:pPr>
            <w:r>
              <w:t>FRD 29C</w:t>
            </w:r>
          </w:p>
        </w:tc>
        <w:tc>
          <w:tcPr>
            <w:tcW w:w="3288" w:type="pct"/>
          </w:tcPr>
          <w:p w14:paraId="433084B7" w14:textId="63156DDE"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Workforce data disclosures</w:t>
            </w:r>
          </w:p>
        </w:tc>
        <w:tc>
          <w:tcPr>
            <w:tcW w:w="768" w:type="pct"/>
          </w:tcPr>
          <w:p w14:paraId="37602CD5" w14:textId="1694D785"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_Ref22640371 \h </w:instrText>
            </w:r>
            <w:r>
              <w:fldChar w:fldCharType="separate"/>
            </w:r>
            <w:r w:rsidR="007F340A">
              <w:rPr>
                <w:noProof/>
              </w:rPr>
              <w:t>48</w:t>
            </w:r>
            <w:r>
              <w:fldChar w:fldCharType="end"/>
            </w:r>
            <w:r>
              <w:t>-</w:t>
            </w:r>
            <w:r>
              <w:fldChar w:fldCharType="begin"/>
            </w:r>
            <w:r>
              <w:instrText xml:space="preserve"> PAGEREF Notesheading \h </w:instrText>
            </w:r>
            <w:r>
              <w:fldChar w:fldCharType="separate"/>
            </w:r>
            <w:r w:rsidR="007F340A">
              <w:rPr>
                <w:noProof/>
              </w:rPr>
              <w:t>50</w:t>
            </w:r>
            <w:r>
              <w:fldChar w:fldCharType="end"/>
            </w:r>
          </w:p>
        </w:tc>
      </w:tr>
    </w:tbl>
    <w:p w14:paraId="0BC2B4DB" w14:textId="4E65E73D" w:rsidR="00FD3644" w:rsidRPr="00C21B98" w:rsidRDefault="00FD3644" w:rsidP="004B6BAC">
      <w:pPr>
        <w:pStyle w:val="BodyText"/>
      </w:pPr>
      <w:r w:rsidRPr="00C21B98">
        <w:t>Compliance attestation and declaration</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2C2F67BF"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3F0180B0" w14:textId="77777777" w:rsidR="00FD3644" w:rsidRPr="00FD3644" w:rsidRDefault="00FD3644" w:rsidP="00AC0BBF">
            <w:pPr>
              <w:pStyle w:val="TableText"/>
            </w:pPr>
            <w:bookmarkStart w:id="195" w:name="ColumnTitle_37"/>
            <w:r w:rsidRPr="00FD3644">
              <w:t>Legislation</w:t>
            </w:r>
          </w:p>
        </w:tc>
        <w:tc>
          <w:tcPr>
            <w:tcW w:w="3288" w:type="pct"/>
            <w:vAlign w:val="bottom"/>
          </w:tcPr>
          <w:p w14:paraId="37B2B7FB" w14:textId="77777777" w:rsidR="00FD3644" w:rsidRPr="00FD3644" w:rsidRDefault="00FD3644" w:rsidP="00B7700E">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5E48DC11" w14:textId="77777777" w:rsidR="00FD3644" w:rsidRPr="00FD3644" w:rsidRDefault="00FD3644"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195"/>
      <w:tr w:rsidR="00FD3644" w:rsidRPr="00FD3644" w14:paraId="41E3076F"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1A9D8F8" w14:textId="0A73B27A" w:rsidR="00FD3644" w:rsidRPr="00FD3644" w:rsidRDefault="00FD3644" w:rsidP="00FD3644">
            <w:pPr>
              <w:pStyle w:val="TableText"/>
            </w:pPr>
            <w:r>
              <w:t>SD 5.143</w:t>
            </w:r>
          </w:p>
        </w:tc>
        <w:tc>
          <w:tcPr>
            <w:tcW w:w="3288" w:type="pct"/>
          </w:tcPr>
          <w:p w14:paraId="4BF59D93" w14:textId="13929E75"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Attestation for compliance with Ministerial Standing Direction</w:t>
            </w:r>
          </w:p>
        </w:tc>
        <w:tc>
          <w:tcPr>
            <w:tcW w:w="768" w:type="pct"/>
          </w:tcPr>
          <w:p w14:paraId="28AAF76E" w14:textId="57DF02C0" w:rsidR="00FD3644" w:rsidRPr="00FD3644" w:rsidRDefault="007801AA"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_Ref22640430 \h </w:instrText>
            </w:r>
            <w:r>
              <w:fldChar w:fldCharType="separate"/>
            </w:r>
            <w:r w:rsidR="007F340A">
              <w:rPr>
                <w:noProof/>
              </w:rPr>
              <w:t>64</w:t>
            </w:r>
            <w:r>
              <w:fldChar w:fldCharType="end"/>
            </w:r>
          </w:p>
        </w:tc>
      </w:tr>
      <w:tr w:rsidR="00FD3644" w:rsidRPr="00FD3644" w14:paraId="689861D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20E57F0" w14:textId="709FCCC2" w:rsidR="00FD3644" w:rsidRPr="00FD3644" w:rsidRDefault="00FD3644" w:rsidP="00FD3644">
            <w:pPr>
              <w:pStyle w:val="TableText"/>
            </w:pPr>
            <w:r>
              <w:t>SD 5.2.3</w:t>
            </w:r>
          </w:p>
        </w:tc>
        <w:tc>
          <w:tcPr>
            <w:tcW w:w="3288" w:type="pct"/>
          </w:tcPr>
          <w:p w14:paraId="3B50637C" w14:textId="3D7F24CA"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Declaration in report of operations</w:t>
            </w:r>
          </w:p>
        </w:tc>
        <w:tc>
          <w:tcPr>
            <w:tcW w:w="768" w:type="pct"/>
          </w:tcPr>
          <w:p w14:paraId="160568F6" w14:textId="46AE3031" w:rsidR="00FD3644" w:rsidRPr="00FD3644" w:rsidRDefault="00AA489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RespBodyDeclheading \h </w:instrText>
            </w:r>
            <w:r>
              <w:fldChar w:fldCharType="separate"/>
            </w:r>
            <w:r w:rsidR="007F340A">
              <w:rPr>
                <w:noProof/>
              </w:rPr>
              <w:t>7</w:t>
            </w:r>
            <w:r>
              <w:fldChar w:fldCharType="end"/>
            </w:r>
          </w:p>
        </w:tc>
      </w:tr>
    </w:tbl>
    <w:p w14:paraId="3664F91C" w14:textId="631D1C94" w:rsidR="00FD3644" w:rsidRDefault="00FD3644" w:rsidP="004B6BAC">
      <w:pPr>
        <w:pStyle w:val="BodyText"/>
        <w:rPr>
          <w:rStyle w:val="Bold"/>
        </w:rPr>
      </w:pPr>
      <w:r w:rsidRPr="00FD3644">
        <w:rPr>
          <w:rStyle w:val="Bold"/>
        </w:rPr>
        <w:t xml:space="preserve">Financial </w:t>
      </w:r>
      <w:r w:rsidR="00C21B98">
        <w:rPr>
          <w:rStyle w:val="Bold"/>
        </w:rPr>
        <w:t>Statements</w:t>
      </w:r>
    </w:p>
    <w:p w14:paraId="330EF7A4" w14:textId="0EB1C0C9" w:rsidR="00FD3644" w:rsidRDefault="00FD3644" w:rsidP="00FD3644">
      <w:pPr>
        <w:pStyle w:val="BodyText"/>
      </w:pPr>
      <w:r w:rsidRPr="00FD3644">
        <w:t>Declaration</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0A4AB1D0"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045C7789" w14:textId="5DDBB95C" w:rsidR="00FD3644" w:rsidRPr="00FD3644" w:rsidRDefault="00FD3644" w:rsidP="00FD3644">
            <w:pPr>
              <w:pStyle w:val="TableText"/>
            </w:pPr>
            <w:bookmarkStart w:id="196" w:name="ColumnTitle_38"/>
            <w:r w:rsidRPr="00FD3644">
              <w:t>Legislation</w:t>
            </w:r>
          </w:p>
        </w:tc>
        <w:tc>
          <w:tcPr>
            <w:tcW w:w="3288" w:type="pct"/>
            <w:vAlign w:val="bottom"/>
          </w:tcPr>
          <w:p w14:paraId="6A62774B" w14:textId="5162F4A8" w:rsidR="00FD3644" w:rsidRPr="00FD3644" w:rsidRDefault="00FD3644" w:rsidP="00B7700E">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5E875EBF" w14:textId="5C50C2FF" w:rsidR="00FD3644" w:rsidRPr="00FD3644" w:rsidRDefault="00FD3644"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196"/>
      <w:tr w:rsidR="00FD3644" w:rsidRPr="00FD3644" w14:paraId="5E055F5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D64266E" w14:textId="029D7DC7" w:rsidR="00FD3644" w:rsidRPr="00FD3644" w:rsidRDefault="00FD3644" w:rsidP="00FD3644">
            <w:pPr>
              <w:pStyle w:val="TableText"/>
            </w:pPr>
            <w:r>
              <w:t>SD 5.2.2</w:t>
            </w:r>
          </w:p>
        </w:tc>
        <w:tc>
          <w:tcPr>
            <w:tcW w:w="3288" w:type="pct"/>
          </w:tcPr>
          <w:p w14:paraId="36233064" w14:textId="6EEEF6C9" w:rsidR="00FD3644" w:rsidRPr="00FD3644" w:rsidRDefault="00FD3644" w:rsidP="00FD3644">
            <w:pPr>
              <w:pStyle w:val="TableText"/>
              <w:jc w:val="left"/>
              <w:cnfStyle w:val="000000000000" w:firstRow="0" w:lastRow="0" w:firstColumn="0" w:lastColumn="0" w:oddVBand="0" w:evenVBand="0" w:oddHBand="0" w:evenHBand="0" w:firstRowFirstColumn="0" w:firstRowLastColumn="0" w:lastRowFirstColumn="0" w:lastRowLastColumn="0"/>
            </w:pPr>
            <w:r>
              <w:t>Declaration in financial statements</w:t>
            </w:r>
          </w:p>
        </w:tc>
        <w:tc>
          <w:tcPr>
            <w:tcW w:w="768" w:type="pct"/>
          </w:tcPr>
          <w:p w14:paraId="7F042B7D" w14:textId="5A05F5F6" w:rsidR="00FD3644" w:rsidRPr="00FD3644" w:rsidRDefault="00AA4892"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_Ref22643949 \h </w:instrText>
            </w:r>
            <w:r>
              <w:fldChar w:fldCharType="separate"/>
            </w:r>
            <w:r w:rsidR="007F340A">
              <w:rPr>
                <w:noProof/>
              </w:rPr>
              <w:t>69</w:t>
            </w:r>
            <w:r>
              <w:fldChar w:fldCharType="end"/>
            </w:r>
          </w:p>
        </w:tc>
      </w:tr>
    </w:tbl>
    <w:p w14:paraId="3F20B163" w14:textId="757D0FAA" w:rsidR="00FD3644" w:rsidRDefault="00FD3644" w:rsidP="00FD3644">
      <w:pPr>
        <w:pStyle w:val="BodyText"/>
      </w:pPr>
      <w:r w:rsidRPr="00FD3644">
        <w:t>Other requirements under Standing Directions 5.2</w:t>
      </w:r>
    </w:p>
    <w:tbl>
      <w:tblPr>
        <w:tblStyle w:val="AccessibleTableNumerical"/>
        <w:tblW w:w="5000" w:type="pct"/>
        <w:tblLook w:val="06A0" w:firstRow="1" w:lastRow="0" w:firstColumn="1" w:lastColumn="0" w:noHBand="1" w:noVBand="1"/>
      </w:tblPr>
      <w:tblGrid>
        <w:gridCol w:w="1820"/>
        <w:gridCol w:w="6341"/>
        <w:gridCol w:w="1481"/>
      </w:tblGrid>
      <w:tr w:rsidR="00FD3644" w:rsidRPr="00FD3644" w14:paraId="32CCD1D6"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6441E773" w14:textId="77777777" w:rsidR="00FD3644" w:rsidRPr="00FD3644" w:rsidRDefault="00FD3644" w:rsidP="00AC0BBF">
            <w:pPr>
              <w:pStyle w:val="TableText"/>
            </w:pPr>
            <w:bookmarkStart w:id="197" w:name="ColumnTitle_39"/>
            <w:r w:rsidRPr="00FD3644">
              <w:t>Legislation</w:t>
            </w:r>
          </w:p>
        </w:tc>
        <w:tc>
          <w:tcPr>
            <w:tcW w:w="3288" w:type="pct"/>
            <w:vAlign w:val="bottom"/>
          </w:tcPr>
          <w:p w14:paraId="4F59015D" w14:textId="77777777" w:rsidR="00FD3644" w:rsidRPr="00FD3644" w:rsidRDefault="00FD3644" w:rsidP="00B7700E">
            <w:pPr>
              <w:pStyle w:val="TableT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24963DC7" w14:textId="77777777" w:rsidR="00FD3644" w:rsidRPr="00FD3644" w:rsidRDefault="00FD3644"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197"/>
      <w:tr w:rsidR="00FD3644" w:rsidRPr="00FD3644" w14:paraId="44ECD917"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769AD0B6" w14:textId="524336A4" w:rsidR="00FD3644" w:rsidRPr="00FD3644" w:rsidRDefault="00FD3644" w:rsidP="00FD3644">
            <w:pPr>
              <w:pStyle w:val="TableText"/>
            </w:pPr>
            <w:r>
              <w:t>SD 5.2.1(a)</w:t>
            </w:r>
          </w:p>
        </w:tc>
        <w:tc>
          <w:tcPr>
            <w:tcW w:w="3288" w:type="pct"/>
          </w:tcPr>
          <w:p w14:paraId="2C45CB62" w14:textId="7794227E" w:rsidR="00FD3644" w:rsidRPr="00FD3644" w:rsidRDefault="00FD3644" w:rsidP="00597900">
            <w:pPr>
              <w:pStyle w:val="TableText"/>
              <w:jc w:val="left"/>
              <w:cnfStyle w:val="000000000000" w:firstRow="0" w:lastRow="0" w:firstColumn="0" w:lastColumn="0" w:oddVBand="0" w:evenVBand="0" w:oddHBand="0" w:evenHBand="0" w:firstRowFirstColumn="0" w:firstRowLastColumn="0" w:lastRowFirstColumn="0" w:lastRowLastColumn="0"/>
            </w:pPr>
            <w:r>
              <w:t>Compliance with Australian accounting standards and other authoritative pronouncements</w:t>
            </w:r>
          </w:p>
        </w:tc>
        <w:tc>
          <w:tcPr>
            <w:tcW w:w="768" w:type="pct"/>
          </w:tcPr>
          <w:p w14:paraId="0C982C6C" w14:textId="415D4711" w:rsidR="00FD3644" w:rsidRPr="00FD3644" w:rsidRDefault="00D05123"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_Ref61896770 \h </w:instrText>
            </w:r>
            <w:r>
              <w:fldChar w:fldCharType="separate"/>
            </w:r>
            <w:r w:rsidR="007F340A">
              <w:rPr>
                <w:noProof/>
              </w:rPr>
              <w:t>79</w:t>
            </w:r>
            <w:r>
              <w:fldChar w:fldCharType="end"/>
            </w:r>
          </w:p>
        </w:tc>
      </w:tr>
      <w:tr w:rsidR="00FD3644" w:rsidRPr="00FD3644" w14:paraId="71A09C70"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11C99A5A" w14:textId="4E0BE95C" w:rsidR="00FD3644" w:rsidRPr="00FD3644" w:rsidRDefault="00FD3644" w:rsidP="00FD3644">
            <w:pPr>
              <w:pStyle w:val="TableText"/>
            </w:pPr>
            <w:r>
              <w:t>SD 5.2.1(a)</w:t>
            </w:r>
          </w:p>
        </w:tc>
        <w:tc>
          <w:tcPr>
            <w:tcW w:w="3288" w:type="pct"/>
          </w:tcPr>
          <w:p w14:paraId="7E3317FA" w14:textId="3A044AE2" w:rsidR="00FD3644" w:rsidRPr="00FD3644" w:rsidRDefault="00FD3644" w:rsidP="00597900">
            <w:pPr>
              <w:pStyle w:val="TableText"/>
              <w:jc w:val="left"/>
              <w:cnfStyle w:val="000000000000" w:firstRow="0" w:lastRow="0" w:firstColumn="0" w:lastColumn="0" w:oddVBand="0" w:evenVBand="0" w:oddHBand="0" w:evenHBand="0" w:firstRowFirstColumn="0" w:firstRowLastColumn="0" w:lastRowFirstColumn="0" w:lastRowLastColumn="0"/>
            </w:pPr>
            <w:r>
              <w:t>Compliance with Ministerial Directions</w:t>
            </w:r>
          </w:p>
        </w:tc>
        <w:tc>
          <w:tcPr>
            <w:tcW w:w="768" w:type="pct"/>
          </w:tcPr>
          <w:p w14:paraId="092BD540" w14:textId="5AC7378D" w:rsidR="00FD3644" w:rsidRPr="00FD3644" w:rsidRDefault="0087581F"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_Ref22643291 \h </w:instrText>
            </w:r>
            <w:r>
              <w:fldChar w:fldCharType="separate"/>
            </w:r>
            <w:r w:rsidR="007F340A">
              <w:rPr>
                <w:noProof/>
              </w:rPr>
              <w:t>74</w:t>
            </w:r>
            <w:r>
              <w:fldChar w:fldCharType="end"/>
            </w:r>
            <w:r>
              <w:t>-</w:t>
            </w:r>
            <w:r>
              <w:fldChar w:fldCharType="begin"/>
            </w:r>
            <w:r>
              <w:instrText xml:space="preserve"> PAGEREF _Ref22643315 \h </w:instrText>
            </w:r>
            <w:r>
              <w:fldChar w:fldCharType="separate"/>
            </w:r>
            <w:r w:rsidR="007F340A">
              <w:rPr>
                <w:noProof/>
              </w:rPr>
              <w:t>145</w:t>
            </w:r>
            <w:r>
              <w:fldChar w:fldCharType="end"/>
            </w:r>
          </w:p>
        </w:tc>
      </w:tr>
      <w:tr w:rsidR="00FD3644" w:rsidRPr="00FD3644" w14:paraId="286B632A"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2398C0E" w14:textId="59283AA7" w:rsidR="00FD3644" w:rsidRPr="00FD3644" w:rsidRDefault="00FD3644" w:rsidP="00FD3644">
            <w:pPr>
              <w:pStyle w:val="TableText"/>
            </w:pPr>
            <w:r>
              <w:t>SD5.2.1(b)</w:t>
            </w:r>
          </w:p>
        </w:tc>
        <w:tc>
          <w:tcPr>
            <w:tcW w:w="3288" w:type="pct"/>
          </w:tcPr>
          <w:p w14:paraId="54BED7B1" w14:textId="775EF401" w:rsidR="00FD3644" w:rsidRPr="00FD3644" w:rsidRDefault="00FD3644" w:rsidP="00597900">
            <w:pPr>
              <w:pStyle w:val="TableText"/>
              <w:jc w:val="left"/>
              <w:cnfStyle w:val="000000000000" w:firstRow="0" w:lastRow="0" w:firstColumn="0" w:lastColumn="0" w:oddVBand="0" w:evenVBand="0" w:oddHBand="0" w:evenHBand="0" w:firstRowFirstColumn="0" w:firstRowLastColumn="0" w:lastRowFirstColumn="0" w:lastRowLastColumn="0"/>
            </w:pPr>
            <w:r>
              <w:t>Compliance with Model Financial Report</w:t>
            </w:r>
          </w:p>
        </w:tc>
        <w:tc>
          <w:tcPr>
            <w:tcW w:w="768" w:type="pct"/>
          </w:tcPr>
          <w:p w14:paraId="38657CA4" w14:textId="48CB5966" w:rsidR="00FD3644" w:rsidRPr="00FD3644" w:rsidRDefault="0087581F"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_Ref22643291 \h </w:instrText>
            </w:r>
            <w:r>
              <w:fldChar w:fldCharType="separate"/>
            </w:r>
            <w:r w:rsidR="007F340A">
              <w:rPr>
                <w:noProof/>
              </w:rPr>
              <w:t>74</w:t>
            </w:r>
            <w:r>
              <w:fldChar w:fldCharType="end"/>
            </w:r>
            <w:r>
              <w:t>-</w:t>
            </w:r>
            <w:r>
              <w:fldChar w:fldCharType="begin"/>
            </w:r>
            <w:r>
              <w:instrText xml:space="preserve"> PAGEREF _Ref22643315 \h </w:instrText>
            </w:r>
            <w:r>
              <w:fldChar w:fldCharType="separate"/>
            </w:r>
            <w:r w:rsidR="007F340A">
              <w:rPr>
                <w:noProof/>
              </w:rPr>
              <w:t>145</w:t>
            </w:r>
            <w:r>
              <w:fldChar w:fldCharType="end"/>
            </w:r>
          </w:p>
        </w:tc>
      </w:tr>
    </w:tbl>
    <w:p w14:paraId="7F376C5D" w14:textId="33F460E1" w:rsidR="00FD3644" w:rsidRDefault="0096366A" w:rsidP="001B4ACB">
      <w:pPr>
        <w:pStyle w:val="BodyText"/>
        <w:keepNext/>
      </w:pPr>
      <w:r w:rsidRPr="0096366A">
        <w:t>Other disclosures as required by FRDs in notes to the financial statements</w:t>
      </w:r>
    </w:p>
    <w:tbl>
      <w:tblPr>
        <w:tblStyle w:val="AccessibleTableNumerical"/>
        <w:tblW w:w="5000" w:type="pct"/>
        <w:tblLook w:val="06A0" w:firstRow="1" w:lastRow="0" w:firstColumn="1" w:lastColumn="0" w:noHBand="1" w:noVBand="1"/>
      </w:tblPr>
      <w:tblGrid>
        <w:gridCol w:w="1820"/>
        <w:gridCol w:w="6341"/>
        <w:gridCol w:w="1481"/>
      </w:tblGrid>
      <w:tr w:rsidR="0096366A" w:rsidRPr="00FD3644" w14:paraId="43E5A6EE"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Pr>
          <w:p w14:paraId="6F7C5110" w14:textId="77777777" w:rsidR="0096366A" w:rsidRPr="00FD3644" w:rsidRDefault="0096366A" w:rsidP="001B4ACB">
            <w:pPr>
              <w:pStyle w:val="TableText"/>
              <w:keepNext/>
            </w:pPr>
            <w:bookmarkStart w:id="198" w:name="ColumnTitle_40"/>
            <w:r w:rsidRPr="00FD3644">
              <w:t>Legislation</w:t>
            </w:r>
          </w:p>
        </w:tc>
        <w:tc>
          <w:tcPr>
            <w:tcW w:w="3288" w:type="pct"/>
            <w:vAlign w:val="bottom"/>
          </w:tcPr>
          <w:p w14:paraId="0F3ED26C" w14:textId="77777777" w:rsidR="0096366A" w:rsidRPr="00FD3644" w:rsidRDefault="0096366A" w:rsidP="001B4ACB">
            <w:pPr>
              <w:pStyle w:val="TableText"/>
              <w:keepNext/>
              <w:jc w:val="left"/>
              <w:cnfStyle w:val="100000000000" w:firstRow="1" w:lastRow="0" w:firstColumn="0" w:lastColumn="0" w:oddVBand="0" w:evenVBand="0" w:oddHBand="0" w:evenHBand="0" w:firstRowFirstColumn="0" w:firstRowLastColumn="0" w:lastRowFirstColumn="0" w:lastRowLastColumn="0"/>
            </w:pPr>
            <w:r w:rsidRPr="00FD3644">
              <w:t>Requirement</w:t>
            </w:r>
          </w:p>
        </w:tc>
        <w:tc>
          <w:tcPr>
            <w:tcW w:w="768" w:type="pct"/>
            <w:vAlign w:val="bottom"/>
          </w:tcPr>
          <w:p w14:paraId="781B219E" w14:textId="77777777" w:rsidR="0096366A" w:rsidRPr="00FD3644" w:rsidRDefault="0096366A" w:rsidP="001B4ACB">
            <w:pPr>
              <w:pStyle w:val="TableText"/>
              <w:keepNext/>
              <w:cnfStyle w:val="100000000000" w:firstRow="1" w:lastRow="0" w:firstColumn="0" w:lastColumn="0" w:oddVBand="0" w:evenVBand="0" w:oddHBand="0" w:evenHBand="0" w:firstRowFirstColumn="0" w:firstRowLastColumn="0" w:lastRowFirstColumn="0" w:lastRowLastColumn="0"/>
            </w:pPr>
            <w:r w:rsidRPr="00FD3644">
              <w:t>Page</w:t>
            </w:r>
          </w:p>
        </w:tc>
      </w:tr>
      <w:bookmarkEnd w:id="198"/>
      <w:tr w:rsidR="0096366A" w:rsidRPr="00FD3644" w14:paraId="5A96191D"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887F3C0" w14:textId="3FB44E8F" w:rsidR="0096366A" w:rsidRPr="00FD3644" w:rsidRDefault="0096366A" w:rsidP="001B4ACB">
            <w:pPr>
              <w:pStyle w:val="TableText"/>
              <w:keepNext/>
            </w:pPr>
            <w:r>
              <w:t>FRD 9B</w:t>
            </w:r>
          </w:p>
        </w:tc>
        <w:tc>
          <w:tcPr>
            <w:tcW w:w="3288" w:type="pct"/>
          </w:tcPr>
          <w:p w14:paraId="229EDDE6" w14:textId="52E22AC7" w:rsidR="0096366A" w:rsidRPr="00FD3644" w:rsidRDefault="0096366A"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Departmental disclosure of administered assets and</w:t>
            </w:r>
            <w:r w:rsidR="00D45E5B">
              <w:t xml:space="preserve"> </w:t>
            </w:r>
            <w:r>
              <w:t>liabilities</w:t>
            </w:r>
            <w:r w:rsidR="00D45E5B">
              <w:t xml:space="preserve"> </w:t>
            </w:r>
            <w:r>
              <w:t>by</w:t>
            </w:r>
            <w:r w:rsidR="00D45E5B">
              <w:t xml:space="preserve"> </w:t>
            </w:r>
            <w:r>
              <w:t>activity</w:t>
            </w:r>
          </w:p>
        </w:tc>
        <w:tc>
          <w:tcPr>
            <w:tcW w:w="768" w:type="pct"/>
          </w:tcPr>
          <w:p w14:paraId="43B38F87" w14:textId="64E61693" w:rsidR="0096366A" w:rsidRPr="00FD3644" w:rsidRDefault="00D05123" w:rsidP="001B4ACB">
            <w:pPr>
              <w:pStyle w:val="TableText"/>
              <w:keepN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_Ref61896816 \h </w:instrText>
            </w:r>
            <w:r>
              <w:fldChar w:fldCharType="separate"/>
            </w:r>
            <w:r w:rsidR="007F340A">
              <w:rPr>
                <w:noProof/>
              </w:rPr>
              <w:t>93</w:t>
            </w:r>
            <w:r>
              <w:fldChar w:fldCharType="end"/>
            </w:r>
            <w:r>
              <w:t>-</w:t>
            </w:r>
            <w:r>
              <w:fldChar w:fldCharType="begin"/>
            </w:r>
            <w:r>
              <w:instrText xml:space="preserve"> PAGEREF Noteheading43 \h </w:instrText>
            </w:r>
            <w:r>
              <w:fldChar w:fldCharType="separate"/>
            </w:r>
            <w:r w:rsidR="007F340A">
              <w:rPr>
                <w:noProof/>
              </w:rPr>
              <w:t>94</w:t>
            </w:r>
            <w:r>
              <w:fldChar w:fldCharType="end"/>
            </w:r>
          </w:p>
        </w:tc>
      </w:tr>
      <w:tr w:rsidR="0096366A" w:rsidRPr="00FD3644" w14:paraId="27C2ED43"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03BE2B14" w14:textId="13043A0B" w:rsidR="0096366A" w:rsidRPr="00FD3644" w:rsidRDefault="0096366A" w:rsidP="001B4ACB">
            <w:pPr>
              <w:pStyle w:val="TableText"/>
              <w:keepNext/>
            </w:pPr>
            <w:r>
              <w:t>FRD 11A</w:t>
            </w:r>
          </w:p>
        </w:tc>
        <w:tc>
          <w:tcPr>
            <w:tcW w:w="3288" w:type="pct"/>
          </w:tcPr>
          <w:p w14:paraId="318755B7" w14:textId="2433785D" w:rsidR="0096366A" w:rsidRPr="00FD3644" w:rsidRDefault="0096366A"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Disclosure of ex-gratia expenses</w:t>
            </w:r>
          </w:p>
        </w:tc>
        <w:tc>
          <w:tcPr>
            <w:tcW w:w="768" w:type="pct"/>
          </w:tcPr>
          <w:p w14:paraId="2FF010D8" w14:textId="25F32051" w:rsidR="0096366A" w:rsidRPr="00FD3644" w:rsidRDefault="00D05123" w:rsidP="001B4ACB">
            <w:pPr>
              <w:pStyle w:val="TableText"/>
              <w:keepN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_Ref61896947 \h </w:instrText>
            </w:r>
            <w:r>
              <w:fldChar w:fldCharType="separate"/>
            </w:r>
            <w:r w:rsidR="007F340A">
              <w:rPr>
                <w:noProof/>
              </w:rPr>
              <w:t>128</w:t>
            </w:r>
            <w:r>
              <w:fldChar w:fldCharType="end"/>
            </w:r>
          </w:p>
        </w:tc>
      </w:tr>
      <w:tr w:rsidR="0096366A" w:rsidRPr="00FD3644" w14:paraId="41E563A5"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F762BFC" w14:textId="5C226912" w:rsidR="0096366A" w:rsidRPr="00FD3644" w:rsidRDefault="0096366A" w:rsidP="001B4ACB">
            <w:pPr>
              <w:pStyle w:val="TableText"/>
              <w:keepNext/>
            </w:pPr>
            <w:r>
              <w:t>FRD 13</w:t>
            </w:r>
          </w:p>
        </w:tc>
        <w:tc>
          <w:tcPr>
            <w:tcW w:w="3288" w:type="pct"/>
          </w:tcPr>
          <w:p w14:paraId="038250EC" w14:textId="2F25BFD7" w:rsidR="0096366A" w:rsidRPr="00FD3644" w:rsidRDefault="0096366A" w:rsidP="001B4ACB">
            <w:pPr>
              <w:pStyle w:val="TableText"/>
              <w:keepNext/>
              <w:jc w:val="left"/>
              <w:cnfStyle w:val="000000000000" w:firstRow="0" w:lastRow="0" w:firstColumn="0" w:lastColumn="0" w:oddVBand="0" w:evenVBand="0" w:oddHBand="0" w:evenHBand="0" w:firstRowFirstColumn="0" w:firstRowLastColumn="0" w:lastRowFirstColumn="0" w:lastRowLastColumn="0"/>
            </w:pPr>
            <w:r>
              <w:t>Disclosure of parliamentary appropriations</w:t>
            </w:r>
          </w:p>
        </w:tc>
        <w:tc>
          <w:tcPr>
            <w:tcW w:w="768" w:type="pct"/>
          </w:tcPr>
          <w:p w14:paraId="39671034" w14:textId="4E8E614E" w:rsidR="0096366A" w:rsidRPr="00FD3644" w:rsidRDefault="00D05123" w:rsidP="001B4ACB">
            <w:pPr>
              <w:pStyle w:val="TableText"/>
              <w:keepN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_Ref22643389 \h </w:instrText>
            </w:r>
            <w:r>
              <w:fldChar w:fldCharType="separate"/>
            </w:r>
            <w:r w:rsidR="007F340A">
              <w:rPr>
                <w:noProof/>
              </w:rPr>
              <w:t>81</w:t>
            </w:r>
            <w:r>
              <w:fldChar w:fldCharType="end"/>
            </w:r>
          </w:p>
        </w:tc>
      </w:tr>
      <w:tr w:rsidR="0096366A" w:rsidRPr="00FD3644" w14:paraId="45C36FB6"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5440083C" w14:textId="0DD643EF" w:rsidR="0096366A" w:rsidRPr="00FD3644" w:rsidRDefault="0096366A" w:rsidP="0096366A">
            <w:pPr>
              <w:pStyle w:val="TableText"/>
            </w:pPr>
            <w:r>
              <w:t>FRD 21C</w:t>
            </w:r>
          </w:p>
        </w:tc>
        <w:tc>
          <w:tcPr>
            <w:tcW w:w="3288" w:type="pct"/>
          </w:tcPr>
          <w:p w14:paraId="3788DA76" w14:textId="6FF8F1A0" w:rsidR="0096366A" w:rsidRPr="00FD3644" w:rsidRDefault="0096366A" w:rsidP="0096366A">
            <w:pPr>
              <w:pStyle w:val="TableText"/>
              <w:jc w:val="left"/>
              <w:cnfStyle w:val="000000000000" w:firstRow="0" w:lastRow="0" w:firstColumn="0" w:lastColumn="0" w:oddVBand="0" w:evenVBand="0" w:oddHBand="0" w:evenHBand="0" w:firstRowFirstColumn="0" w:firstRowLastColumn="0" w:lastRowFirstColumn="0" w:lastRowLastColumn="0"/>
            </w:pPr>
            <w:r>
              <w:t>Disclosures of responsible persons, executive officers and other personnel (contractors with significant management responsibilities) in the Financial Report</w:t>
            </w:r>
          </w:p>
        </w:tc>
        <w:tc>
          <w:tcPr>
            <w:tcW w:w="768" w:type="pct"/>
          </w:tcPr>
          <w:p w14:paraId="1831B397" w14:textId="292BD12D" w:rsidR="0096366A" w:rsidRPr="00FD3644" w:rsidRDefault="00D05123"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_Ref61897029 \h </w:instrText>
            </w:r>
            <w:r>
              <w:fldChar w:fldCharType="separate"/>
            </w:r>
            <w:r w:rsidR="007F340A">
              <w:rPr>
                <w:noProof/>
              </w:rPr>
              <w:t>128</w:t>
            </w:r>
            <w:r>
              <w:fldChar w:fldCharType="end"/>
            </w:r>
            <w:r>
              <w:t>-</w:t>
            </w:r>
            <w:r>
              <w:fldChar w:fldCharType="begin"/>
            </w:r>
            <w:r>
              <w:instrText xml:space="preserve"> PAGEREF _Ref61897040 \h </w:instrText>
            </w:r>
            <w:r>
              <w:fldChar w:fldCharType="separate"/>
            </w:r>
            <w:r w:rsidR="007F340A">
              <w:rPr>
                <w:noProof/>
              </w:rPr>
              <w:t>129</w:t>
            </w:r>
            <w:r>
              <w:fldChar w:fldCharType="end"/>
            </w:r>
          </w:p>
        </w:tc>
      </w:tr>
      <w:tr w:rsidR="0096366A" w:rsidRPr="00FD3644" w14:paraId="6AEE78FB"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4698C654" w14:textId="778AD8BF" w:rsidR="0096366A" w:rsidRPr="00FD3644" w:rsidRDefault="0096366A" w:rsidP="0096366A">
            <w:pPr>
              <w:pStyle w:val="TableText"/>
            </w:pPr>
            <w:r>
              <w:t>FRD 103H</w:t>
            </w:r>
          </w:p>
        </w:tc>
        <w:tc>
          <w:tcPr>
            <w:tcW w:w="3288" w:type="pct"/>
          </w:tcPr>
          <w:p w14:paraId="6DFD6F23" w14:textId="24AA0888" w:rsidR="0096366A" w:rsidRPr="00FD3644" w:rsidRDefault="0096366A" w:rsidP="0096366A">
            <w:pPr>
              <w:pStyle w:val="TableText"/>
              <w:jc w:val="left"/>
              <w:cnfStyle w:val="000000000000" w:firstRow="0" w:lastRow="0" w:firstColumn="0" w:lastColumn="0" w:oddVBand="0" w:evenVBand="0" w:oddHBand="0" w:evenHBand="0" w:firstRowFirstColumn="0" w:firstRowLastColumn="0" w:lastRowFirstColumn="0" w:lastRowLastColumn="0"/>
            </w:pPr>
            <w:r>
              <w:t>Non-financial physical assets</w:t>
            </w:r>
          </w:p>
        </w:tc>
        <w:tc>
          <w:tcPr>
            <w:tcW w:w="768" w:type="pct"/>
          </w:tcPr>
          <w:p w14:paraId="2E9D7DC3" w14:textId="72BE19A1" w:rsidR="0096366A" w:rsidRPr="00FD3644" w:rsidRDefault="00D05123"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_Ref22643438 \h </w:instrText>
            </w:r>
            <w:r>
              <w:fldChar w:fldCharType="separate"/>
            </w:r>
            <w:r w:rsidR="007F340A">
              <w:rPr>
                <w:noProof/>
              </w:rPr>
              <w:t>95</w:t>
            </w:r>
            <w:r>
              <w:fldChar w:fldCharType="end"/>
            </w:r>
            <w:r>
              <w:t>-</w:t>
            </w:r>
            <w:r>
              <w:fldChar w:fldCharType="begin"/>
            </w:r>
            <w:r>
              <w:instrText xml:space="preserve"> PAGEREF _Ref61897102 \h </w:instrText>
            </w:r>
            <w:r>
              <w:fldChar w:fldCharType="separate"/>
            </w:r>
            <w:r w:rsidR="007F340A">
              <w:rPr>
                <w:noProof/>
              </w:rPr>
              <w:t>104</w:t>
            </w:r>
            <w:r>
              <w:fldChar w:fldCharType="end"/>
            </w:r>
          </w:p>
        </w:tc>
      </w:tr>
      <w:tr w:rsidR="0096366A" w:rsidRPr="00FD3644" w14:paraId="6F433942"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6B78D43F" w14:textId="2A312927" w:rsidR="0096366A" w:rsidRPr="00FD3644" w:rsidRDefault="0096366A" w:rsidP="0096366A">
            <w:pPr>
              <w:pStyle w:val="TableText"/>
            </w:pPr>
            <w:r>
              <w:t>FRD 110A</w:t>
            </w:r>
          </w:p>
        </w:tc>
        <w:tc>
          <w:tcPr>
            <w:tcW w:w="3288" w:type="pct"/>
          </w:tcPr>
          <w:p w14:paraId="157374DE" w14:textId="3B048493" w:rsidR="0096366A" w:rsidRPr="00FD3644" w:rsidRDefault="0096366A" w:rsidP="0096366A">
            <w:pPr>
              <w:pStyle w:val="TableText"/>
              <w:jc w:val="left"/>
              <w:cnfStyle w:val="000000000000" w:firstRow="0" w:lastRow="0" w:firstColumn="0" w:lastColumn="0" w:oddVBand="0" w:evenVBand="0" w:oddHBand="0" w:evenHBand="0" w:firstRowFirstColumn="0" w:firstRowLastColumn="0" w:lastRowFirstColumn="0" w:lastRowLastColumn="0"/>
            </w:pPr>
            <w:r>
              <w:t>Cash flow statements</w:t>
            </w:r>
          </w:p>
        </w:tc>
        <w:tc>
          <w:tcPr>
            <w:tcW w:w="768" w:type="pct"/>
          </w:tcPr>
          <w:p w14:paraId="0957256B" w14:textId="0E20DB66" w:rsidR="0096366A" w:rsidRPr="00FD3644" w:rsidRDefault="00D05123"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_Ref22643514 \h </w:instrText>
            </w:r>
            <w:r>
              <w:fldChar w:fldCharType="separate"/>
            </w:r>
            <w:r w:rsidR="007F340A">
              <w:rPr>
                <w:noProof/>
              </w:rPr>
              <w:t>76</w:t>
            </w:r>
            <w:r>
              <w:fldChar w:fldCharType="end"/>
            </w:r>
          </w:p>
        </w:tc>
      </w:tr>
      <w:tr w:rsidR="0096366A" w:rsidRPr="00FD3644" w14:paraId="02AFF56A" w14:textId="77777777" w:rsidTr="00B7700E">
        <w:tc>
          <w:tcPr>
            <w:cnfStyle w:val="001000000000" w:firstRow="0" w:lastRow="0" w:firstColumn="1" w:lastColumn="0" w:oddVBand="0" w:evenVBand="0" w:oddHBand="0" w:evenHBand="0" w:firstRowFirstColumn="0" w:firstRowLastColumn="0" w:lastRowFirstColumn="0" w:lastRowLastColumn="0"/>
            <w:tcW w:w="944" w:type="pct"/>
          </w:tcPr>
          <w:p w14:paraId="39375C62" w14:textId="4CBFD657" w:rsidR="0096366A" w:rsidRPr="00FD3644" w:rsidRDefault="0096366A" w:rsidP="0096366A">
            <w:pPr>
              <w:pStyle w:val="TableText"/>
            </w:pPr>
            <w:r>
              <w:t>FRD 112D</w:t>
            </w:r>
          </w:p>
        </w:tc>
        <w:tc>
          <w:tcPr>
            <w:tcW w:w="3288" w:type="pct"/>
          </w:tcPr>
          <w:p w14:paraId="1BDFF6F1" w14:textId="768EACC1" w:rsidR="0096366A" w:rsidRPr="00FD3644" w:rsidRDefault="0096366A" w:rsidP="0096366A">
            <w:pPr>
              <w:pStyle w:val="TableText"/>
              <w:jc w:val="left"/>
              <w:cnfStyle w:val="000000000000" w:firstRow="0" w:lastRow="0" w:firstColumn="0" w:lastColumn="0" w:oddVBand="0" w:evenVBand="0" w:oddHBand="0" w:evenHBand="0" w:firstRowFirstColumn="0" w:firstRowLastColumn="0" w:lastRowFirstColumn="0" w:lastRowLastColumn="0"/>
            </w:pPr>
            <w:r>
              <w:t>Defined benefit superannuation obligations</w:t>
            </w:r>
          </w:p>
        </w:tc>
        <w:tc>
          <w:tcPr>
            <w:tcW w:w="768" w:type="pct"/>
          </w:tcPr>
          <w:p w14:paraId="7A113F22" w14:textId="5923751B"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_Ref22644020 \h </w:instrText>
            </w:r>
            <w:r>
              <w:fldChar w:fldCharType="separate"/>
            </w:r>
            <w:r w:rsidR="007F340A">
              <w:rPr>
                <w:noProof/>
              </w:rPr>
              <w:t>84</w:t>
            </w:r>
            <w:r>
              <w:fldChar w:fldCharType="end"/>
            </w:r>
          </w:p>
        </w:tc>
      </w:tr>
    </w:tbl>
    <w:p w14:paraId="0F6145F2" w14:textId="1B3D93AD" w:rsidR="0096366A" w:rsidRPr="008C17D7" w:rsidRDefault="0096366A" w:rsidP="0096366A">
      <w:pPr>
        <w:pStyle w:val="BodyText"/>
        <w:rPr>
          <w:rStyle w:val="Bold"/>
        </w:rPr>
      </w:pPr>
      <w:bookmarkStart w:id="199" w:name="Legislationheading"/>
      <w:r w:rsidRPr="008C17D7">
        <w:rPr>
          <w:rStyle w:val="Bold"/>
        </w:rPr>
        <w:t>Legislation</w:t>
      </w:r>
    </w:p>
    <w:tbl>
      <w:tblPr>
        <w:tblStyle w:val="AccessibleTableNumerical"/>
        <w:tblW w:w="5000" w:type="pct"/>
        <w:tblLook w:val="06A0" w:firstRow="1" w:lastRow="0" w:firstColumn="1" w:lastColumn="0" w:noHBand="1" w:noVBand="1"/>
      </w:tblPr>
      <w:tblGrid>
        <w:gridCol w:w="8223"/>
        <w:gridCol w:w="1419"/>
      </w:tblGrid>
      <w:tr w:rsidR="0096366A" w:rsidRPr="00FD3644" w14:paraId="642E1291" w14:textId="77777777" w:rsidTr="00B7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4" w:type="pct"/>
          </w:tcPr>
          <w:p w14:paraId="21C51907" w14:textId="77777777" w:rsidR="0096366A" w:rsidRPr="00FD3644" w:rsidRDefault="0096366A" w:rsidP="00AC0BBF">
            <w:pPr>
              <w:pStyle w:val="TableText"/>
            </w:pPr>
            <w:bookmarkStart w:id="200" w:name="ColumnTitle_41"/>
            <w:bookmarkEnd w:id="199"/>
            <w:r w:rsidRPr="00FD3644">
              <w:t>Legislation</w:t>
            </w:r>
          </w:p>
        </w:tc>
        <w:tc>
          <w:tcPr>
            <w:tcW w:w="736" w:type="pct"/>
            <w:vAlign w:val="bottom"/>
          </w:tcPr>
          <w:p w14:paraId="2865CB1E" w14:textId="77777777" w:rsidR="0096366A" w:rsidRPr="00FD3644" w:rsidRDefault="0096366A" w:rsidP="00B7700E">
            <w:pPr>
              <w:pStyle w:val="TableText"/>
              <w:cnfStyle w:val="100000000000" w:firstRow="1" w:lastRow="0" w:firstColumn="0" w:lastColumn="0" w:oddVBand="0" w:evenVBand="0" w:oddHBand="0" w:evenHBand="0" w:firstRowFirstColumn="0" w:firstRowLastColumn="0" w:lastRowFirstColumn="0" w:lastRowLastColumn="0"/>
            </w:pPr>
            <w:r w:rsidRPr="00FD3644">
              <w:t>Page</w:t>
            </w:r>
          </w:p>
        </w:tc>
      </w:tr>
      <w:bookmarkEnd w:id="200"/>
      <w:tr w:rsidR="0096366A" w:rsidRPr="00FD3644" w14:paraId="5C28EBFB"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5B206214" w14:textId="79AB53E5" w:rsidR="0096366A" w:rsidRPr="00FD3644" w:rsidRDefault="0096366A" w:rsidP="0096366A">
            <w:pPr>
              <w:pStyle w:val="TableText"/>
            </w:pPr>
            <w:r>
              <w:t>Freedom of Information Act 1982</w:t>
            </w:r>
          </w:p>
        </w:tc>
        <w:tc>
          <w:tcPr>
            <w:tcW w:w="736" w:type="pct"/>
          </w:tcPr>
          <w:p w14:paraId="045F6EC3" w14:textId="6BC30ED5"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_Ref22640064 \h </w:instrText>
            </w:r>
            <w:r>
              <w:fldChar w:fldCharType="separate"/>
            </w:r>
            <w:r w:rsidR="007F340A">
              <w:rPr>
                <w:noProof/>
              </w:rPr>
              <w:t>62</w:t>
            </w:r>
            <w:r>
              <w:fldChar w:fldCharType="end"/>
            </w:r>
          </w:p>
        </w:tc>
      </w:tr>
      <w:tr w:rsidR="0096366A" w:rsidRPr="00FD3644" w14:paraId="14FEACED"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12005958" w14:textId="6EA83445" w:rsidR="0096366A" w:rsidRPr="00FD3644" w:rsidRDefault="0096366A" w:rsidP="0096366A">
            <w:pPr>
              <w:pStyle w:val="TableText"/>
            </w:pPr>
            <w:r>
              <w:t>Building Act 1993</w:t>
            </w:r>
          </w:p>
        </w:tc>
        <w:tc>
          <w:tcPr>
            <w:tcW w:w="736" w:type="pct"/>
          </w:tcPr>
          <w:p w14:paraId="3270306E" w14:textId="3009F9F8"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_Ref22640201 \h </w:instrText>
            </w:r>
            <w:r>
              <w:fldChar w:fldCharType="separate"/>
            </w:r>
            <w:r w:rsidR="007F340A">
              <w:rPr>
                <w:noProof/>
              </w:rPr>
              <w:t>56</w:t>
            </w:r>
            <w:r>
              <w:fldChar w:fldCharType="end"/>
            </w:r>
          </w:p>
        </w:tc>
      </w:tr>
      <w:tr w:rsidR="0096366A" w:rsidRPr="00FD3644" w14:paraId="0032DADB"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26AE3D4A" w14:textId="41A96929" w:rsidR="0096366A" w:rsidRPr="00FD3644" w:rsidRDefault="0096366A" w:rsidP="0096366A">
            <w:pPr>
              <w:pStyle w:val="TableText"/>
            </w:pPr>
            <w:r>
              <w:t>Protected Disclosure Act 2012</w:t>
            </w:r>
          </w:p>
        </w:tc>
        <w:tc>
          <w:tcPr>
            <w:tcW w:w="736" w:type="pct"/>
          </w:tcPr>
          <w:p w14:paraId="0571F78F" w14:textId="05714513"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_Ref61897368 \h </w:instrText>
            </w:r>
            <w:r>
              <w:fldChar w:fldCharType="separate"/>
            </w:r>
            <w:r w:rsidR="007F340A">
              <w:rPr>
                <w:noProof/>
              </w:rPr>
              <w:t>58</w:t>
            </w:r>
            <w:r>
              <w:fldChar w:fldCharType="end"/>
            </w:r>
          </w:p>
        </w:tc>
      </w:tr>
      <w:tr w:rsidR="0096366A" w:rsidRPr="00FD3644" w14:paraId="29D3FFE3"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17F52BDC" w14:textId="3BE6C27A" w:rsidR="0096366A" w:rsidRPr="00FD3644" w:rsidRDefault="0096366A" w:rsidP="0096366A">
            <w:pPr>
              <w:pStyle w:val="TableText"/>
            </w:pPr>
            <w:r>
              <w:t>Carers Recognition Act 2012</w:t>
            </w:r>
          </w:p>
        </w:tc>
        <w:tc>
          <w:tcPr>
            <w:tcW w:w="736" w:type="pct"/>
          </w:tcPr>
          <w:p w14:paraId="33A05B1C" w14:textId="26037FB3"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_Ref61897405 \h </w:instrText>
            </w:r>
            <w:r>
              <w:fldChar w:fldCharType="separate"/>
            </w:r>
            <w:r w:rsidR="007F340A">
              <w:rPr>
                <w:noProof/>
              </w:rPr>
              <w:t>58</w:t>
            </w:r>
            <w:r>
              <w:fldChar w:fldCharType="end"/>
            </w:r>
          </w:p>
        </w:tc>
      </w:tr>
      <w:tr w:rsidR="0096366A" w:rsidRPr="00FD3644" w14:paraId="18FE8EA7"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19FBB143" w14:textId="35B19B45" w:rsidR="0096366A" w:rsidRPr="00FD3644" w:rsidRDefault="0096366A" w:rsidP="0096366A">
            <w:pPr>
              <w:pStyle w:val="TableText"/>
            </w:pPr>
            <w:r>
              <w:t>Local Jobs First Act 2003</w:t>
            </w:r>
          </w:p>
        </w:tc>
        <w:tc>
          <w:tcPr>
            <w:tcW w:w="736" w:type="pct"/>
          </w:tcPr>
          <w:p w14:paraId="67CC0592" w14:textId="1D16A4F1"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_Ref22640359 \h </w:instrText>
            </w:r>
            <w:r>
              <w:fldChar w:fldCharType="separate"/>
            </w:r>
            <w:r w:rsidR="007F340A">
              <w:rPr>
                <w:noProof/>
              </w:rPr>
              <w:t>55</w:t>
            </w:r>
            <w:r>
              <w:fldChar w:fldCharType="end"/>
            </w:r>
          </w:p>
        </w:tc>
      </w:tr>
      <w:tr w:rsidR="0096366A" w:rsidRPr="00FD3644" w14:paraId="76FF2FA0"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00E856A7" w14:textId="4DC679AC" w:rsidR="0096366A" w:rsidRPr="00FD3644" w:rsidRDefault="0096366A" w:rsidP="0096366A">
            <w:pPr>
              <w:pStyle w:val="TableText"/>
            </w:pPr>
            <w:r>
              <w:t>Financial Management Act 1994</w:t>
            </w:r>
          </w:p>
        </w:tc>
        <w:tc>
          <w:tcPr>
            <w:tcW w:w="736" w:type="pct"/>
          </w:tcPr>
          <w:p w14:paraId="6C50E8C8" w14:textId="30FD1593"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_Ref61897554 \h </w:instrText>
            </w:r>
            <w:r>
              <w:fldChar w:fldCharType="separate"/>
            </w:r>
            <w:r w:rsidR="007F340A">
              <w:rPr>
                <w:noProof/>
              </w:rPr>
              <w:t>79</w:t>
            </w:r>
            <w:r>
              <w:fldChar w:fldCharType="end"/>
            </w:r>
          </w:p>
        </w:tc>
      </w:tr>
      <w:tr w:rsidR="0096366A" w:rsidRPr="00FD3644" w14:paraId="67A32A97" w14:textId="77777777" w:rsidTr="00B7700E">
        <w:tc>
          <w:tcPr>
            <w:cnfStyle w:val="001000000000" w:firstRow="0" w:lastRow="0" w:firstColumn="1" w:lastColumn="0" w:oddVBand="0" w:evenVBand="0" w:oddHBand="0" w:evenHBand="0" w:firstRowFirstColumn="0" w:firstRowLastColumn="0" w:lastRowFirstColumn="0" w:lastRowLastColumn="0"/>
            <w:tcW w:w="4264" w:type="pct"/>
          </w:tcPr>
          <w:p w14:paraId="273E4E30" w14:textId="140297B5" w:rsidR="0096366A" w:rsidRPr="00FD3644" w:rsidRDefault="0096366A" w:rsidP="0096366A">
            <w:pPr>
              <w:pStyle w:val="TableText"/>
            </w:pPr>
            <w:r>
              <w:t>Court Services Victoria Act 2014</w:t>
            </w:r>
          </w:p>
        </w:tc>
        <w:tc>
          <w:tcPr>
            <w:tcW w:w="736" w:type="pct"/>
          </w:tcPr>
          <w:p w14:paraId="1C4A40C3" w14:textId="634D488A" w:rsidR="0096366A" w:rsidRPr="00FD3644" w:rsidRDefault="00D63B3E" w:rsidP="00B7700E">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_Ref22639770 \h </w:instrText>
            </w:r>
            <w:r>
              <w:fldChar w:fldCharType="separate"/>
            </w:r>
            <w:r w:rsidR="007F340A">
              <w:rPr>
                <w:noProof/>
              </w:rPr>
              <w:t>37</w:t>
            </w:r>
            <w:r>
              <w:fldChar w:fldCharType="end"/>
            </w:r>
          </w:p>
        </w:tc>
      </w:tr>
    </w:tbl>
    <w:p w14:paraId="569CD755" w14:textId="176A8C56" w:rsidR="004B6BAC" w:rsidRDefault="004B6BAC" w:rsidP="005A746E">
      <w:pPr>
        <w:pStyle w:val="Heading1"/>
      </w:pPr>
      <w:bookmarkStart w:id="201" w:name="_Toc62808121"/>
      <w:r w:rsidRPr="007A0D86">
        <w:t xml:space="preserve">Section 5: Financial Statements </w:t>
      </w:r>
      <w:r w:rsidR="003A01DA">
        <w:t>f</w:t>
      </w:r>
      <w:r w:rsidRPr="007A0D86">
        <w:t xml:space="preserve">or </w:t>
      </w:r>
      <w:r w:rsidR="003A01DA">
        <w:t>t</w:t>
      </w:r>
      <w:r w:rsidRPr="007A0D86">
        <w:t>he Financial Year Ended 30 June 20</w:t>
      </w:r>
      <w:r w:rsidR="00180280">
        <w:t>20</w:t>
      </w:r>
      <w:bookmarkEnd w:id="201"/>
    </w:p>
    <w:p w14:paraId="44B9FD72" w14:textId="2E3CD449" w:rsidR="008C17D7" w:rsidRPr="005B36EA" w:rsidRDefault="008C17D7" w:rsidP="008C17D7">
      <w:pPr>
        <w:pStyle w:val="Heading2"/>
      </w:pPr>
      <w:bookmarkStart w:id="202" w:name="_Toc62808122"/>
      <w:r w:rsidRPr="005B36EA">
        <w:t>Contents</w:t>
      </w:r>
      <w:bookmarkEnd w:id="202"/>
    </w:p>
    <w:p w14:paraId="6E171EC6" w14:textId="64BA676E" w:rsidR="003A01DA" w:rsidRPr="005B36EA" w:rsidRDefault="00C9062D" w:rsidP="003A01DA">
      <w:pPr>
        <w:pStyle w:val="BodyText"/>
      </w:pPr>
      <w:hyperlink w:anchor="__AHow_this_report" w:history="1">
        <w:r w:rsidR="003A01DA" w:rsidRPr="005B36EA">
          <w:rPr>
            <w:rStyle w:val="Hyperlink"/>
          </w:rPr>
          <w:t>How this report is structured</w:t>
        </w:r>
      </w:hyperlink>
    </w:p>
    <w:p w14:paraId="08047B0F" w14:textId="64993B4C" w:rsidR="003A01DA" w:rsidRPr="005B36EA" w:rsidRDefault="00C9062D" w:rsidP="003A01DA">
      <w:pPr>
        <w:pStyle w:val="BodyText"/>
      </w:pPr>
      <w:hyperlink w:anchor="_Declaration_in_the" w:history="1">
        <w:r w:rsidR="003A01DA" w:rsidRPr="005B36EA">
          <w:rPr>
            <w:rStyle w:val="Hyperlink"/>
          </w:rPr>
          <w:t>Declaration in the financial statements</w:t>
        </w:r>
      </w:hyperlink>
    </w:p>
    <w:p w14:paraId="2EF19BEF" w14:textId="46064EFE" w:rsidR="003A01DA" w:rsidRPr="005B36EA" w:rsidRDefault="00C9062D" w:rsidP="003A01DA">
      <w:pPr>
        <w:pStyle w:val="BodyText"/>
      </w:pPr>
      <w:hyperlink w:anchor="_Independent_Auditors_Report" w:history="1">
        <w:r w:rsidR="003A01DA" w:rsidRPr="005B36EA">
          <w:rPr>
            <w:rStyle w:val="Hyperlink"/>
          </w:rPr>
          <w:t>Independent Auditor</w:t>
        </w:r>
        <w:r w:rsidR="00BC1972">
          <w:rPr>
            <w:rStyle w:val="Hyperlink"/>
          </w:rPr>
          <w:t>’</w:t>
        </w:r>
        <w:r w:rsidR="003A01DA" w:rsidRPr="005B36EA">
          <w:rPr>
            <w:rStyle w:val="Hyperlink"/>
          </w:rPr>
          <w:t>s Report</w:t>
        </w:r>
      </w:hyperlink>
    </w:p>
    <w:p w14:paraId="05F7DD1F" w14:textId="0B4DC1D3" w:rsidR="003A01DA" w:rsidRPr="005B36EA" w:rsidRDefault="00C9062D" w:rsidP="003A01DA">
      <w:pPr>
        <w:pStyle w:val="BodyText"/>
      </w:pPr>
      <w:hyperlink w:anchor="_Comprehensive_Operating_Statement" w:history="1">
        <w:r w:rsidR="003A01DA" w:rsidRPr="005B36EA">
          <w:rPr>
            <w:rStyle w:val="Hyperlink"/>
          </w:rPr>
          <w:t>Comprehensive operating statement</w:t>
        </w:r>
      </w:hyperlink>
    </w:p>
    <w:p w14:paraId="10EA91B5" w14:textId="76579F98" w:rsidR="003A01DA" w:rsidRPr="005B36EA" w:rsidRDefault="00C9062D" w:rsidP="003A01DA">
      <w:pPr>
        <w:pStyle w:val="BodyText"/>
      </w:pPr>
      <w:hyperlink w:anchor="_Balance_Sheet_as" w:history="1">
        <w:r w:rsidR="003A01DA" w:rsidRPr="005B36EA">
          <w:rPr>
            <w:rStyle w:val="Hyperlink"/>
          </w:rPr>
          <w:t xml:space="preserve">Balance </w:t>
        </w:r>
        <w:r w:rsidR="00BC1972">
          <w:rPr>
            <w:rStyle w:val="Hyperlink"/>
          </w:rPr>
          <w:t>s</w:t>
        </w:r>
        <w:r w:rsidR="003A01DA" w:rsidRPr="005B36EA">
          <w:rPr>
            <w:rStyle w:val="Hyperlink"/>
          </w:rPr>
          <w:t>heet</w:t>
        </w:r>
      </w:hyperlink>
    </w:p>
    <w:p w14:paraId="11E47D03" w14:textId="183083F7" w:rsidR="003A01DA" w:rsidRPr="005B36EA" w:rsidRDefault="00C9062D" w:rsidP="003A01DA">
      <w:pPr>
        <w:pStyle w:val="BodyText"/>
      </w:pPr>
      <w:hyperlink w:anchor="_Cash_Flow_Statement" w:history="1">
        <w:r w:rsidR="003A01DA" w:rsidRPr="005B36EA">
          <w:rPr>
            <w:rStyle w:val="Hyperlink"/>
          </w:rPr>
          <w:t>Cash flow statement</w:t>
        </w:r>
      </w:hyperlink>
    </w:p>
    <w:p w14:paraId="059C8EAC" w14:textId="1D11AB14" w:rsidR="003A01DA" w:rsidRPr="005B36EA" w:rsidRDefault="00C9062D" w:rsidP="003A01DA">
      <w:pPr>
        <w:pStyle w:val="BodyText"/>
      </w:pPr>
      <w:hyperlink w:anchor="_Statement__of" w:history="1">
        <w:r w:rsidR="003A01DA" w:rsidRPr="005B36EA">
          <w:rPr>
            <w:rStyle w:val="Hyperlink"/>
          </w:rPr>
          <w:t xml:space="preserve">Statement of </w:t>
        </w:r>
        <w:r w:rsidR="003A01DA" w:rsidRPr="005B36EA">
          <w:rPr>
            <w:rStyle w:val="Hyperlink"/>
          </w:rPr>
          <w:t>c</w:t>
        </w:r>
        <w:r w:rsidR="003A01DA" w:rsidRPr="005B36EA">
          <w:rPr>
            <w:rStyle w:val="Hyperlink"/>
          </w:rPr>
          <w:t>hanges in equity</w:t>
        </w:r>
      </w:hyperlink>
    </w:p>
    <w:p w14:paraId="621A00E6" w14:textId="318AADE2" w:rsidR="003A01DA" w:rsidRPr="005B36EA" w:rsidRDefault="00C9062D" w:rsidP="003A01DA">
      <w:pPr>
        <w:pStyle w:val="BodyText"/>
      </w:pPr>
      <w:hyperlink w:anchor="_Note_1._About" w:history="1">
        <w:r w:rsidR="003A01DA" w:rsidRPr="005B36EA">
          <w:rPr>
            <w:rStyle w:val="Hyperlink"/>
          </w:rPr>
          <w:t>Note 1. About this report</w:t>
        </w:r>
      </w:hyperlink>
    </w:p>
    <w:p w14:paraId="1AA15C09" w14:textId="76FE60F9" w:rsidR="003A01DA" w:rsidRPr="005B36EA" w:rsidRDefault="00C9062D" w:rsidP="003A01DA">
      <w:pPr>
        <w:pStyle w:val="BodyText"/>
      </w:pPr>
      <w:hyperlink w:anchor="_Note_2._Funding" w:history="1">
        <w:r w:rsidR="003A01DA" w:rsidRPr="005B36EA">
          <w:rPr>
            <w:rStyle w:val="Hyperlink"/>
          </w:rPr>
          <w:t>Note 2. F</w:t>
        </w:r>
        <w:r w:rsidR="003A01DA" w:rsidRPr="005B36EA">
          <w:rPr>
            <w:rStyle w:val="Hyperlink"/>
          </w:rPr>
          <w:t>u</w:t>
        </w:r>
        <w:r w:rsidR="003A01DA" w:rsidRPr="005B36EA">
          <w:rPr>
            <w:rStyle w:val="Hyperlink"/>
          </w:rPr>
          <w:t>nding delivery of our services</w:t>
        </w:r>
      </w:hyperlink>
    </w:p>
    <w:p w14:paraId="3B548F00" w14:textId="42DCA9C2" w:rsidR="003A01DA" w:rsidRPr="005B36EA" w:rsidRDefault="00C9062D" w:rsidP="003A01DA">
      <w:pPr>
        <w:pStyle w:val="BodyText"/>
      </w:pPr>
      <w:hyperlink w:anchor="_Note_3._The" w:history="1">
        <w:r w:rsidR="003A01DA" w:rsidRPr="005B36EA">
          <w:rPr>
            <w:rStyle w:val="Hyperlink"/>
          </w:rPr>
          <w:t xml:space="preserve">Note 3. </w:t>
        </w:r>
        <w:r w:rsidR="006A197A" w:rsidRPr="005B36EA">
          <w:rPr>
            <w:rStyle w:val="Hyperlink"/>
          </w:rPr>
          <w:t>T</w:t>
        </w:r>
        <w:r w:rsidR="00E952AB" w:rsidRPr="005B36EA">
          <w:rPr>
            <w:rStyle w:val="Hyperlink"/>
          </w:rPr>
          <w:t>he</w:t>
        </w:r>
        <w:r w:rsidR="003A01DA" w:rsidRPr="005B36EA">
          <w:rPr>
            <w:rStyle w:val="Hyperlink"/>
          </w:rPr>
          <w:t xml:space="preserve"> cost of delivering services</w:t>
        </w:r>
      </w:hyperlink>
    </w:p>
    <w:p w14:paraId="35FEC2A6" w14:textId="63455E36" w:rsidR="003A01DA" w:rsidRPr="005B36EA" w:rsidRDefault="00C9062D" w:rsidP="003A01DA">
      <w:pPr>
        <w:pStyle w:val="BodyText"/>
      </w:pPr>
      <w:hyperlink w:anchor="_Note_4._Disaggregated" w:history="1">
        <w:r w:rsidR="003A01DA" w:rsidRPr="005B36EA">
          <w:rPr>
            <w:rStyle w:val="Hyperlink"/>
          </w:rPr>
          <w:t>Note 4. Disaggregated financial information by output</w:t>
        </w:r>
      </w:hyperlink>
    </w:p>
    <w:p w14:paraId="097E375F" w14:textId="7AA9D5E7" w:rsidR="003A01DA" w:rsidRPr="00971696" w:rsidRDefault="00C9062D" w:rsidP="003A01DA">
      <w:pPr>
        <w:pStyle w:val="BodyText"/>
      </w:pPr>
      <w:hyperlink w:anchor="_Note_5._Key" w:history="1">
        <w:r w:rsidR="003A01DA" w:rsidRPr="00971696">
          <w:rPr>
            <w:rStyle w:val="Hyperlink"/>
          </w:rPr>
          <w:t>Note 5. Key assets available to support output delivery</w:t>
        </w:r>
      </w:hyperlink>
    </w:p>
    <w:p w14:paraId="4A1EDB8D" w14:textId="20CCE790" w:rsidR="003A01DA" w:rsidRPr="00971696" w:rsidRDefault="00C9062D" w:rsidP="003A01DA">
      <w:pPr>
        <w:pStyle w:val="BodyText"/>
      </w:pPr>
      <w:hyperlink w:anchor="_Note_6._Other" w:history="1">
        <w:r w:rsidR="003A01DA" w:rsidRPr="00971696">
          <w:rPr>
            <w:rStyle w:val="Hyperlink"/>
          </w:rPr>
          <w:t>Note 6. Other assets and liabilities</w:t>
        </w:r>
      </w:hyperlink>
    </w:p>
    <w:p w14:paraId="1CD9983A" w14:textId="3D3FB2B0" w:rsidR="003A01DA" w:rsidRPr="00971696" w:rsidRDefault="00C9062D" w:rsidP="003A01DA">
      <w:pPr>
        <w:pStyle w:val="BodyText"/>
      </w:pPr>
      <w:hyperlink w:anchor="_Note_7._Financing" w:history="1">
        <w:r w:rsidR="003A01DA" w:rsidRPr="00971696">
          <w:rPr>
            <w:rStyle w:val="Hyperlink"/>
          </w:rPr>
          <w:t>Note 7. Financing our operations</w:t>
        </w:r>
      </w:hyperlink>
    </w:p>
    <w:p w14:paraId="62B1A10A" w14:textId="16E016FC" w:rsidR="003A01DA" w:rsidRPr="00971696" w:rsidRDefault="00C9062D" w:rsidP="003A01DA">
      <w:pPr>
        <w:pStyle w:val="BodyText"/>
      </w:pPr>
      <w:hyperlink w:anchor="_Note_8._Risks," w:history="1">
        <w:r w:rsidR="003A01DA" w:rsidRPr="00971696">
          <w:rPr>
            <w:rStyle w:val="Hyperlink"/>
          </w:rPr>
          <w:t>Note 8. Risks, contingencies and valuation judgements</w:t>
        </w:r>
      </w:hyperlink>
    </w:p>
    <w:p w14:paraId="537BF0C5" w14:textId="30246A42" w:rsidR="003A01DA" w:rsidRDefault="00C9062D" w:rsidP="003A01DA">
      <w:pPr>
        <w:pStyle w:val="BodyText"/>
        <w:rPr>
          <w:rStyle w:val="Hyperlink"/>
        </w:rPr>
      </w:pPr>
      <w:hyperlink w:anchor="_Note_9._Other" w:history="1">
        <w:r w:rsidR="003A01DA" w:rsidRPr="00971696">
          <w:rPr>
            <w:rStyle w:val="Hyperlink"/>
          </w:rPr>
          <w:t>Note 9. Other disclosures</w:t>
        </w:r>
      </w:hyperlink>
    </w:p>
    <w:p w14:paraId="0A882341" w14:textId="77777777" w:rsidR="0044720F" w:rsidRDefault="00C9062D" w:rsidP="0044720F">
      <w:pPr>
        <w:pStyle w:val="BodyText"/>
        <w:rPr>
          <w:rStyle w:val="Hyperlink"/>
        </w:rPr>
      </w:pPr>
      <w:hyperlink w:anchor="Note10" w:history="1">
        <w:r w:rsidR="0044720F">
          <w:rPr>
            <w:rStyle w:val="Hyperlink"/>
          </w:rPr>
          <w:t>Note 10. Correction of a prior period error</w:t>
        </w:r>
      </w:hyperlink>
    </w:p>
    <w:p w14:paraId="1F03A40A" w14:textId="64973E96" w:rsidR="0049527E" w:rsidRDefault="00C9062D" w:rsidP="0044720F">
      <w:pPr>
        <w:pStyle w:val="BodyText"/>
        <w:rPr>
          <w:rStyle w:val="Hyperlink"/>
        </w:rPr>
      </w:pPr>
      <w:hyperlink w:anchor="Note11" w:history="1">
        <w:r w:rsidR="0044720F">
          <w:rPr>
            <w:rStyle w:val="Hyperlink"/>
          </w:rPr>
          <w:t>Note 11. Glossary of technical terms and style conventions</w:t>
        </w:r>
      </w:hyperlink>
    </w:p>
    <w:p w14:paraId="46193A02" w14:textId="6101BA2A" w:rsidR="003A01DA" w:rsidRDefault="003A01DA" w:rsidP="000C4EFC">
      <w:pPr>
        <w:pStyle w:val="Heading2"/>
        <w:pageBreakBefore/>
      </w:pPr>
      <w:bookmarkStart w:id="203" w:name="__AHow_this_report"/>
      <w:bookmarkStart w:id="204" w:name="_Ref22643949"/>
      <w:bookmarkStart w:id="205" w:name="_Toc62808123"/>
      <w:bookmarkEnd w:id="203"/>
      <w:r>
        <w:t>How this report is structured</w:t>
      </w:r>
      <w:bookmarkEnd w:id="204"/>
      <w:bookmarkEnd w:id="205"/>
    </w:p>
    <w:p w14:paraId="30C01033" w14:textId="1A166D13" w:rsidR="0057550A" w:rsidRDefault="0057550A" w:rsidP="0057550A">
      <w:pPr>
        <w:pStyle w:val="BodyText"/>
      </w:pPr>
      <w:r>
        <w:t xml:space="preserve">Court Services Victoria (CSV) has presented its audited general purpose financial statements for the financial year ended 30 June 2020 in the following structure to provide users with the information about </w:t>
      </w:r>
      <w:r w:rsidR="009B1462">
        <w:t>Court Services Victoria</w:t>
      </w:r>
      <w:r>
        <w:t>’s stewardship of resources entrusted to it.</w:t>
      </w:r>
    </w:p>
    <w:p w14:paraId="533A33EA" w14:textId="640B8449" w:rsidR="0057550A" w:rsidRDefault="0057550A" w:rsidP="0057550A">
      <w:pPr>
        <w:pStyle w:val="BodyText"/>
      </w:pPr>
      <w:r>
        <w:t>Declarations:</w:t>
      </w:r>
    </w:p>
    <w:p w14:paraId="7AE68B78" w14:textId="5B52CBAF" w:rsidR="0057550A" w:rsidRDefault="0057550A" w:rsidP="0057550A">
      <w:pPr>
        <w:pStyle w:val="ListBullet"/>
      </w:pPr>
      <w:r>
        <w:t>Declaration in the financial statements</w:t>
      </w:r>
    </w:p>
    <w:p w14:paraId="79817745" w14:textId="2E479913" w:rsidR="0057550A" w:rsidRDefault="0057550A" w:rsidP="0057550A">
      <w:pPr>
        <w:pStyle w:val="ListBullet"/>
      </w:pPr>
      <w:r>
        <w:t>Independent Auditor's Report</w:t>
      </w:r>
    </w:p>
    <w:p w14:paraId="76C99BDB" w14:textId="5E673E6A" w:rsidR="0057550A" w:rsidRDefault="0057550A" w:rsidP="0057550A">
      <w:pPr>
        <w:pStyle w:val="BodyText"/>
      </w:pPr>
      <w:r>
        <w:t>Financial Statements:</w:t>
      </w:r>
    </w:p>
    <w:p w14:paraId="2F6D2243" w14:textId="131383A4" w:rsidR="0057550A" w:rsidRDefault="0057550A" w:rsidP="0057550A">
      <w:pPr>
        <w:pStyle w:val="ListBullet"/>
      </w:pPr>
      <w:r>
        <w:t>Comprehensive operating statement</w:t>
      </w:r>
    </w:p>
    <w:p w14:paraId="08C82801" w14:textId="209C8035" w:rsidR="0057550A" w:rsidRDefault="0057550A" w:rsidP="0057550A">
      <w:pPr>
        <w:pStyle w:val="ListBullet"/>
      </w:pPr>
      <w:r>
        <w:t>Balance sheet</w:t>
      </w:r>
    </w:p>
    <w:p w14:paraId="01B362AB" w14:textId="38A2E465" w:rsidR="0057550A" w:rsidRDefault="0057550A" w:rsidP="0057550A">
      <w:pPr>
        <w:pStyle w:val="ListBullet"/>
      </w:pPr>
      <w:r>
        <w:t>Cash flow statement</w:t>
      </w:r>
    </w:p>
    <w:p w14:paraId="46A1CBB9" w14:textId="5D28D54D" w:rsidR="0057550A" w:rsidRDefault="0057550A" w:rsidP="0057550A">
      <w:pPr>
        <w:pStyle w:val="ListBullet"/>
      </w:pPr>
      <w:r>
        <w:t>Statement of changes in equity</w:t>
      </w:r>
    </w:p>
    <w:p w14:paraId="7EB1C331" w14:textId="77777777" w:rsidR="00B372E3" w:rsidRPr="00B372E3" w:rsidRDefault="00B372E3" w:rsidP="00B372E3">
      <w:pPr>
        <w:pStyle w:val="BodyText"/>
      </w:pPr>
      <w:r w:rsidRPr="00B372E3">
        <w:t>Notes to the financial statements</w:t>
      </w:r>
    </w:p>
    <w:p w14:paraId="68D74F06" w14:textId="77777777" w:rsidR="00E952AB" w:rsidRDefault="00B372E3" w:rsidP="00B372E3">
      <w:pPr>
        <w:pStyle w:val="ListNumber"/>
      </w:pPr>
      <w:r w:rsidRPr="00B372E3">
        <w:t>About this report</w:t>
      </w:r>
    </w:p>
    <w:p w14:paraId="2824410B" w14:textId="0BB08B94" w:rsidR="00B372E3" w:rsidRPr="00B372E3" w:rsidRDefault="00E952AB" w:rsidP="00B372E3">
      <w:pPr>
        <w:pStyle w:val="ListContinue"/>
      </w:pPr>
      <w:r>
        <w:t>The</w:t>
      </w:r>
      <w:r w:rsidR="00B372E3" w:rsidRPr="00B372E3">
        <w:t xml:space="preserve"> basis on which the financial statements have been prepared and compliance with</w:t>
      </w:r>
      <w:r w:rsidR="00D45E5B">
        <w:t xml:space="preserve"> </w:t>
      </w:r>
      <w:r w:rsidR="00B372E3" w:rsidRPr="00B372E3">
        <w:t>reporting</w:t>
      </w:r>
      <w:r w:rsidR="00D45E5B">
        <w:t xml:space="preserve"> </w:t>
      </w:r>
      <w:r w:rsidR="00B372E3" w:rsidRPr="00B372E3">
        <w:t>regulations</w:t>
      </w:r>
    </w:p>
    <w:p w14:paraId="11E009E2" w14:textId="2C2C8E1F" w:rsidR="00B372E3" w:rsidRPr="00B372E3" w:rsidRDefault="00B372E3" w:rsidP="00B372E3">
      <w:pPr>
        <w:pStyle w:val="ListNumber"/>
      </w:pPr>
      <w:r w:rsidRPr="00B372E3">
        <w:t>Funding delivery of our services</w:t>
      </w:r>
    </w:p>
    <w:p w14:paraId="5AE7D022" w14:textId="3AEF4826" w:rsidR="00B372E3" w:rsidRPr="00B372E3" w:rsidRDefault="00B372E3" w:rsidP="00B372E3">
      <w:pPr>
        <w:pStyle w:val="ListContinue"/>
      </w:pPr>
      <w:r w:rsidRPr="00B372E3">
        <w:t>2.1</w:t>
      </w:r>
      <w:r>
        <w:tab/>
      </w:r>
      <w:r w:rsidRPr="00B372E3">
        <w:t>Summary of income that funds the delivery of our services</w:t>
      </w:r>
    </w:p>
    <w:p w14:paraId="0A288890" w14:textId="565EDCD1" w:rsidR="00B372E3" w:rsidRPr="00B372E3" w:rsidRDefault="00B372E3" w:rsidP="00B372E3">
      <w:pPr>
        <w:pStyle w:val="ListContinue"/>
      </w:pPr>
      <w:r w:rsidRPr="00B372E3">
        <w:t xml:space="preserve">2.2 </w:t>
      </w:r>
      <w:r w:rsidRPr="00B372E3">
        <w:tab/>
        <w:t>Appropriations</w:t>
      </w:r>
    </w:p>
    <w:p w14:paraId="500BB87B" w14:textId="05001192" w:rsidR="00B372E3" w:rsidRPr="00B372E3" w:rsidRDefault="00B372E3" w:rsidP="00B372E3">
      <w:pPr>
        <w:pStyle w:val="ListContinue"/>
      </w:pPr>
      <w:r w:rsidRPr="00B372E3">
        <w:t xml:space="preserve">2.3 </w:t>
      </w:r>
      <w:r w:rsidRPr="00B372E3">
        <w:tab/>
        <w:t>Summary of compliance with annual Parliamentary and special appropriations</w:t>
      </w:r>
    </w:p>
    <w:p w14:paraId="6CB11B0D" w14:textId="3F9F0982" w:rsidR="00B372E3" w:rsidRPr="00B372E3" w:rsidRDefault="00B372E3" w:rsidP="00B372E3">
      <w:pPr>
        <w:pStyle w:val="ListContinue"/>
      </w:pPr>
      <w:r w:rsidRPr="00B372E3">
        <w:t xml:space="preserve">2.4 </w:t>
      </w:r>
      <w:r w:rsidRPr="00B372E3">
        <w:tab/>
        <w:t>Income from transactions</w:t>
      </w:r>
    </w:p>
    <w:p w14:paraId="69E785C6" w14:textId="77777777" w:rsidR="00E952AB" w:rsidRDefault="00B372E3" w:rsidP="00B372E3">
      <w:pPr>
        <w:pStyle w:val="ListContinue"/>
      </w:pPr>
      <w:r w:rsidRPr="00B372E3">
        <w:t xml:space="preserve">2.5 </w:t>
      </w:r>
      <w:r w:rsidRPr="00B372E3">
        <w:tab/>
        <w:t>Annotated income agreements</w:t>
      </w:r>
    </w:p>
    <w:p w14:paraId="61CFD224" w14:textId="7203E5FA" w:rsidR="00B372E3" w:rsidRPr="00B372E3" w:rsidRDefault="00E952AB" w:rsidP="00B372E3">
      <w:pPr>
        <w:pStyle w:val="ListNumber"/>
      </w:pPr>
      <w:r>
        <w:t>The</w:t>
      </w:r>
      <w:r w:rsidR="00B372E3" w:rsidRPr="00B372E3">
        <w:t xml:space="preserve"> cost of delivering services</w:t>
      </w:r>
    </w:p>
    <w:p w14:paraId="7CBD8F48" w14:textId="6CA7E3DD" w:rsidR="00B372E3" w:rsidRPr="00B372E3" w:rsidRDefault="00B372E3" w:rsidP="00B372E3">
      <w:pPr>
        <w:pStyle w:val="ListContinue"/>
      </w:pPr>
      <w:r w:rsidRPr="00B372E3">
        <w:t xml:space="preserve">3.1 </w:t>
      </w:r>
      <w:r w:rsidRPr="00B372E3">
        <w:tab/>
        <w:t>Expenses incurred in delivery of services</w:t>
      </w:r>
    </w:p>
    <w:p w14:paraId="0F2EC60E" w14:textId="0E5EB6E1" w:rsidR="00B372E3" w:rsidRPr="00B372E3" w:rsidRDefault="00B372E3" w:rsidP="00B372E3">
      <w:pPr>
        <w:pStyle w:val="ListContinue"/>
      </w:pPr>
      <w:r w:rsidRPr="00B372E3">
        <w:t xml:space="preserve">3.2 </w:t>
      </w:r>
      <w:r w:rsidRPr="00B372E3">
        <w:tab/>
        <w:t>Grant and other transfers</w:t>
      </w:r>
    </w:p>
    <w:p w14:paraId="1070B52C" w14:textId="4EF3DE8E" w:rsidR="00B372E3" w:rsidRPr="00B372E3" w:rsidRDefault="00B372E3" w:rsidP="00B372E3">
      <w:pPr>
        <w:pStyle w:val="ListContinue"/>
      </w:pPr>
      <w:r w:rsidRPr="00B372E3">
        <w:t xml:space="preserve">3.3 </w:t>
      </w:r>
      <w:r w:rsidRPr="00B372E3">
        <w:tab/>
        <w:t>Capital asset charge</w:t>
      </w:r>
    </w:p>
    <w:p w14:paraId="4EE3014C" w14:textId="32A00892" w:rsidR="00B372E3" w:rsidRPr="00B372E3" w:rsidRDefault="00B372E3" w:rsidP="00B372E3">
      <w:pPr>
        <w:pStyle w:val="ListContinue"/>
      </w:pPr>
      <w:r w:rsidRPr="00B372E3">
        <w:t xml:space="preserve">3.4 </w:t>
      </w:r>
      <w:r w:rsidRPr="00B372E3">
        <w:tab/>
        <w:t>Supplies and services</w:t>
      </w:r>
    </w:p>
    <w:p w14:paraId="75B58FCE" w14:textId="2C45006F" w:rsidR="00B372E3" w:rsidRPr="00B372E3" w:rsidRDefault="00B372E3" w:rsidP="00B372E3">
      <w:pPr>
        <w:pStyle w:val="ListNumber"/>
      </w:pPr>
      <w:r w:rsidRPr="00B372E3">
        <w:t>Disaggregated financial information by output</w:t>
      </w:r>
    </w:p>
    <w:p w14:paraId="515AD1D0" w14:textId="1DA334A2" w:rsidR="00B372E3" w:rsidRPr="00B372E3" w:rsidRDefault="00B372E3" w:rsidP="00B372E3">
      <w:pPr>
        <w:pStyle w:val="ListContinue"/>
      </w:pPr>
      <w:r w:rsidRPr="00B372E3">
        <w:t xml:space="preserve">4.1 </w:t>
      </w:r>
      <w:r w:rsidRPr="00B372E3">
        <w:tab/>
      </w:r>
      <w:r w:rsidR="009B1462">
        <w:t>Court Services Victoria</w:t>
      </w:r>
      <w:r w:rsidR="0057550A">
        <w:t xml:space="preserve">’s </w:t>
      </w:r>
      <w:r w:rsidRPr="00B372E3">
        <w:t>outputs - descriptions and objectives</w:t>
      </w:r>
    </w:p>
    <w:p w14:paraId="242FFBB2" w14:textId="5B098B2D" w:rsidR="00B372E3" w:rsidRPr="00B372E3" w:rsidRDefault="00B372E3" w:rsidP="00B372E3">
      <w:pPr>
        <w:pStyle w:val="ListContinue"/>
      </w:pPr>
      <w:r w:rsidRPr="00B372E3">
        <w:t xml:space="preserve">4.2 </w:t>
      </w:r>
      <w:r w:rsidRPr="00B372E3">
        <w:tab/>
        <w:t>Controlled items</w:t>
      </w:r>
    </w:p>
    <w:p w14:paraId="5FD79B0D" w14:textId="4C88E6C0" w:rsidR="00B372E3" w:rsidRPr="00B372E3" w:rsidRDefault="00B372E3" w:rsidP="00B372E3">
      <w:pPr>
        <w:pStyle w:val="ListContinue"/>
      </w:pPr>
      <w:r w:rsidRPr="00B372E3">
        <w:t xml:space="preserve">4.3 </w:t>
      </w:r>
      <w:r>
        <w:tab/>
      </w:r>
      <w:r w:rsidRPr="00B372E3">
        <w:t>Administered items</w:t>
      </w:r>
    </w:p>
    <w:p w14:paraId="6D64352F" w14:textId="4E36FE80" w:rsidR="00B372E3" w:rsidRPr="00B372E3" w:rsidRDefault="00B372E3" w:rsidP="00B372E3">
      <w:pPr>
        <w:pStyle w:val="ListNumber"/>
      </w:pPr>
      <w:r w:rsidRPr="00B372E3">
        <w:t>Key assets available to support output delivery</w:t>
      </w:r>
    </w:p>
    <w:p w14:paraId="385948C1" w14:textId="14808261" w:rsidR="00B372E3" w:rsidRPr="00B372E3" w:rsidRDefault="00B372E3" w:rsidP="00B372E3">
      <w:pPr>
        <w:pStyle w:val="ListContinue"/>
      </w:pPr>
      <w:r w:rsidRPr="00B372E3">
        <w:t xml:space="preserve">5.1 </w:t>
      </w:r>
      <w:r w:rsidRPr="00B372E3">
        <w:tab/>
        <w:t>Property, plant and equipment</w:t>
      </w:r>
    </w:p>
    <w:p w14:paraId="5448F78B" w14:textId="78E5D8D8" w:rsidR="00B372E3" w:rsidRPr="00B372E3" w:rsidRDefault="00B372E3" w:rsidP="00B372E3">
      <w:pPr>
        <w:pStyle w:val="ListContinue"/>
      </w:pPr>
      <w:r w:rsidRPr="00B372E3">
        <w:t xml:space="preserve">5.2 </w:t>
      </w:r>
      <w:r w:rsidRPr="00B372E3">
        <w:tab/>
        <w:t>Intangible assets</w:t>
      </w:r>
    </w:p>
    <w:p w14:paraId="0E4D6AC3" w14:textId="3015B465" w:rsidR="00B372E3" w:rsidRPr="00B372E3" w:rsidRDefault="00B372E3" w:rsidP="00B372E3">
      <w:pPr>
        <w:pStyle w:val="ListNumber"/>
        <w:keepNext/>
      </w:pPr>
      <w:r w:rsidRPr="00B372E3">
        <w:t>Other assets and liabilities</w:t>
      </w:r>
    </w:p>
    <w:p w14:paraId="4B057775" w14:textId="79930CAD" w:rsidR="00B372E3" w:rsidRPr="00B372E3" w:rsidRDefault="00B372E3" w:rsidP="00B372E3">
      <w:pPr>
        <w:pStyle w:val="ListContinue"/>
        <w:keepNext/>
      </w:pPr>
      <w:r w:rsidRPr="00B372E3">
        <w:t xml:space="preserve">6.1 </w:t>
      </w:r>
      <w:r w:rsidRPr="00B372E3">
        <w:tab/>
        <w:t>Receivables</w:t>
      </w:r>
    </w:p>
    <w:p w14:paraId="2BC49B52" w14:textId="6F59D8C2" w:rsidR="00B372E3" w:rsidRPr="00B372E3" w:rsidRDefault="00B372E3" w:rsidP="0057550A">
      <w:pPr>
        <w:pStyle w:val="ListContinue"/>
      </w:pPr>
      <w:r w:rsidRPr="00B372E3">
        <w:t xml:space="preserve">6.2 </w:t>
      </w:r>
      <w:r w:rsidR="0057550A">
        <w:tab/>
      </w:r>
      <w:r w:rsidRPr="0057550A">
        <w:t>Payables</w:t>
      </w:r>
    </w:p>
    <w:p w14:paraId="30876E22" w14:textId="163AD8D7" w:rsidR="00B372E3" w:rsidRPr="00B372E3" w:rsidRDefault="00B372E3" w:rsidP="00B372E3">
      <w:pPr>
        <w:pStyle w:val="ListNumber"/>
      </w:pPr>
      <w:r w:rsidRPr="00B372E3">
        <w:t>Financing our operations</w:t>
      </w:r>
    </w:p>
    <w:p w14:paraId="5698E3EB" w14:textId="06EC22FF" w:rsidR="00B372E3" w:rsidRPr="00B372E3" w:rsidRDefault="00B372E3" w:rsidP="00B372E3">
      <w:pPr>
        <w:pStyle w:val="ListContinue"/>
      </w:pPr>
      <w:r w:rsidRPr="00B372E3">
        <w:t xml:space="preserve">7.1 </w:t>
      </w:r>
      <w:r w:rsidRPr="00B372E3">
        <w:tab/>
      </w:r>
      <w:r w:rsidR="0057550A">
        <w:t>Lease liabilities (</w:t>
      </w:r>
      <w:r w:rsidR="009B1462">
        <w:t>Court Services Victoria</w:t>
      </w:r>
      <w:r w:rsidR="0057550A">
        <w:t xml:space="preserve"> as lessee)</w:t>
      </w:r>
    </w:p>
    <w:p w14:paraId="426C98D8" w14:textId="4B0FBC9B" w:rsidR="00B372E3" w:rsidRPr="00B372E3" w:rsidRDefault="00B372E3" w:rsidP="00B372E3">
      <w:pPr>
        <w:pStyle w:val="ListContinue"/>
      </w:pPr>
      <w:r w:rsidRPr="00B372E3">
        <w:t xml:space="preserve">7.2 </w:t>
      </w:r>
      <w:r w:rsidRPr="00B372E3">
        <w:tab/>
        <w:t>Cash flow information and balances</w:t>
      </w:r>
    </w:p>
    <w:p w14:paraId="5B307494" w14:textId="25F5A4D4" w:rsidR="00B372E3" w:rsidRPr="00B372E3" w:rsidRDefault="00B372E3" w:rsidP="00B372E3">
      <w:pPr>
        <w:pStyle w:val="ListContinue"/>
      </w:pPr>
      <w:r w:rsidRPr="00B372E3">
        <w:t xml:space="preserve">7.3 </w:t>
      </w:r>
      <w:r w:rsidRPr="00B372E3">
        <w:tab/>
        <w:t>Trust account balances</w:t>
      </w:r>
    </w:p>
    <w:p w14:paraId="6CF530FF" w14:textId="1B140C67" w:rsidR="00B372E3" w:rsidRPr="00B372E3" w:rsidRDefault="00B372E3" w:rsidP="00B372E3">
      <w:pPr>
        <w:pStyle w:val="ListContinue"/>
      </w:pPr>
      <w:r w:rsidRPr="00B372E3">
        <w:t xml:space="preserve">7.4 </w:t>
      </w:r>
      <w:r w:rsidRPr="00B372E3">
        <w:tab/>
        <w:t>Commitments for expenditure</w:t>
      </w:r>
    </w:p>
    <w:p w14:paraId="76F800D9" w14:textId="760BBC26" w:rsidR="00B372E3" w:rsidRPr="00B372E3" w:rsidRDefault="00B372E3" w:rsidP="00B372E3">
      <w:pPr>
        <w:pStyle w:val="ListNumber"/>
      </w:pPr>
      <w:r w:rsidRPr="00B372E3">
        <w:t>Risks, contingencies and valuation judgements</w:t>
      </w:r>
    </w:p>
    <w:p w14:paraId="23457BF8" w14:textId="2457D103" w:rsidR="00B372E3" w:rsidRPr="00B372E3" w:rsidRDefault="00B372E3" w:rsidP="00B372E3">
      <w:pPr>
        <w:pStyle w:val="ListContinue"/>
      </w:pPr>
      <w:r w:rsidRPr="00B372E3">
        <w:t xml:space="preserve">8.1 </w:t>
      </w:r>
      <w:r w:rsidRPr="00B372E3">
        <w:tab/>
        <w:t>Financial instruments specific disclosures</w:t>
      </w:r>
    </w:p>
    <w:p w14:paraId="3BB1ABBE" w14:textId="3428C12C" w:rsidR="00B372E3" w:rsidRPr="00B372E3" w:rsidRDefault="00B372E3" w:rsidP="00B372E3">
      <w:pPr>
        <w:pStyle w:val="ListContinue"/>
      </w:pPr>
      <w:r w:rsidRPr="00B372E3">
        <w:t xml:space="preserve">8.2 </w:t>
      </w:r>
      <w:r w:rsidRPr="00B372E3">
        <w:tab/>
        <w:t>Contingent assets and contingent liabilities</w:t>
      </w:r>
    </w:p>
    <w:p w14:paraId="2A1658EA" w14:textId="5985741B" w:rsidR="00B372E3" w:rsidRPr="00B372E3" w:rsidRDefault="00B372E3" w:rsidP="00B372E3">
      <w:pPr>
        <w:pStyle w:val="ListContinue"/>
      </w:pPr>
      <w:r w:rsidRPr="00B372E3">
        <w:t xml:space="preserve">8.3 </w:t>
      </w:r>
      <w:r w:rsidRPr="00B372E3">
        <w:tab/>
        <w:t>Fair value determination</w:t>
      </w:r>
    </w:p>
    <w:p w14:paraId="365DC806" w14:textId="2178BB66" w:rsidR="00B372E3" w:rsidRPr="00B372E3" w:rsidRDefault="00B372E3" w:rsidP="00B372E3">
      <w:pPr>
        <w:pStyle w:val="ListNumber"/>
      </w:pPr>
      <w:r w:rsidRPr="00B372E3">
        <w:t>Other disclosures</w:t>
      </w:r>
    </w:p>
    <w:p w14:paraId="46CF5ECD" w14:textId="4EC9F5F1" w:rsidR="00B372E3" w:rsidRPr="00B372E3" w:rsidRDefault="00B372E3" w:rsidP="00B372E3">
      <w:pPr>
        <w:pStyle w:val="ListContinue"/>
      </w:pPr>
      <w:r w:rsidRPr="00B372E3">
        <w:t xml:space="preserve">9.1 </w:t>
      </w:r>
      <w:r w:rsidRPr="00B372E3">
        <w:tab/>
        <w:t>Other economic flows included in net result</w:t>
      </w:r>
    </w:p>
    <w:p w14:paraId="1C74C966" w14:textId="2747E15D" w:rsidR="00B372E3" w:rsidRPr="00B372E3" w:rsidRDefault="00B372E3" w:rsidP="00B372E3">
      <w:pPr>
        <w:pStyle w:val="ListContinue"/>
      </w:pPr>
      <w:r w:rsidRPr="00B372E3">
        <w:t xml:space="preserve">9.2 </w:t>
      </w:r>
      <w:r w:rsidRPr="00B372E3">
        <w:tab/>
      </w:r>
      <w:r w:rsidR="0057550A">
        <w:t>Ex-gratia expenses</w:t>
      </w:r>
    </w:p>
    <w:p w14:paraId="475F093F" w14:textId="372415D8" w:rsidR="00B372E3" w:rsidRPr="00B372E3" w:rsidRDefault="00B372E3" w:rsidP="00B372E3">
      <w:pPr>
        <w:pStyle w:val="ListContinue"/>
      </w:pPr>
      <w:r w:rsidRPr="00B372E3">
        <w:t xml:space="preserve">9.3 </w:t>
      </w:r>
      <w:r w:rsidRPr="00B372E3">
        <w:tab/>
      </w:r>
      <w:r w:rsidR="0057550A">
        <w:t>Responsible persons</w:t>
      </w:r>
    </w:p>
    <w:p w14:paraId="23F2A2C2" w14:textId="5DC9A192" w:rsidR="00B372E3" w:rsidRPr="00B372E3" w:rsidRDefault="00B372E3" w:rsidP="00B372E3">
      <w:pPr>
        <w:pStyle w:val="ListContinue"/>
      </w:pPr>
      <w:r w:rsidRPr="00B372E3">
        <w:t xml:space="preserve">9.4 </w:t>
      </w:r>
      <w:r w:rsidRPr="00B372E3">
        <w:tab/>
      </w:r>
      <w:r w:rsidR="0057550A">
        <w:t>Remuneration of executives</w:t>
      </w:r>
    </w:p>
    <w:p w14:paraId="2E5AC365" w14:textId="64D586C2" w:rsidR="00B372E3" w:rsidRPr="00B372E3" w:rsidRDefault="00B372E3" w:rsidP="00B372E3">
      <w:pPr>
        <w:pStyle w:val="ListContinue"/>
      </w:pPr>
      <w:r w:rsidRPr="00B372E3">
        <w:t xml:space="preserve">9.5 </w:t>
      </w:r>
      <w:r w:rsidRPr="00B372E3">
        <w:tab/>
      </w:r>
      <w:r w:rsidR="0057550A">
        <w:t>Key Management Personnel</w:t>
      </w:r>
    </w:p>
    <w:p w14:paraId="6B06C824" w14:textId="58B02F17" w:rsidR="00B372E3" w:rsidRPr="00B372E3" w:rsidRDefault="00B372E3" w:rsidP="00B372E3">
      <w:pPr>
        <w:pStyle w:val="ListContinue"/>
      </w:pPr>
      <w:r w:rsidRPr="00B372E3">
        <w:t xml:space="preserve">9.6 </w:t>
      </w:r>
      <w:r w:rsidRPr="00B372E3">
        <w:tab/>
      </w:r>
      <w:r w:rsidR="0057550A">
        <w:t>Remuneration of auditors</w:t>
      </w:r>
    </w:p>
    <w:p w14:paraId="7E38EDBB" w14:textId="2AFD9500" w:rsidR="00B372E3" w:rsidRPr="00B372E3" w:rsidRDefault="00B372E3" w:rsidP="00B372E3">
      <w:pPr>
        <w:pStyle w:val="ListContinue"/>
      </w:pPr>
      <w:r w:rsidRPr="00B372E3">
        <w:t xml:space="preserve">9.7 </w:t>
      </w:r>
      <w:r w:rsidRPr="00B372E3">
        <w:tab/>
      </w:r>
      <w:r w:rsidR="0057550A">
        <w:t>Subsequent events</w:t>
      </w:r>
    </w:p>
    <w:p w14:paraId="69052B6C" w14:textId="56226E69" w:rsidR="00B372E3" w:rsidRDefault="00B372E3" w:rsidP="00B372E3">
      <w:pPr>
        <w:pStyle w:val="ListContinue"/>
      </w:pPr>
      <w:r w:rsidRPr="00B372E3">
        <w:t xml:space="preserve">9.8 </w:t>
      </w:r>
      <w:r w:rsidRPr="00B372E3">
        <w:tab/>
      </w:r>
      <w:r w:rsidR="0057550A">
        <w:t>Other accounting policies</w:t>
      </w:r>
    </w:p>
    <w:p w14:paraId="01F288FE" w14:textId="7D31050E" w:rsidR="0057550A" w:rsidRDefault="0057550A" w:rsidP="00B372E3">
      <w:pPr>
        <w:pStyle w:val="ListContinue"/>
      </w:pPr>
      <w:r>
        <w:t xml:space="preserve">9.9 </w:t>
      </w:r>
      <w:r>
        <w:tab/>
        <w:t>Change in accounting policies</w:t>
      </w:r>
    </w:p>
    <w:p w14:paraId="5C9BDA54" w14:textId="197E6152" w:rsidR="0057550A" w:rsidRPr="00B372E3" w:rsidRDefault="0057550A" w:rsidP="00B372E3">
      <w:pPr>
        <w:pStyle w:val="ListContinue"/>
      </w:pPr>
      <w:r>
        <w:t xml:space="preserve">9.10 </w:t>
      </w:r>
      <w:r>
        <w:tab/>
        <w:t>Australian Accounting Standards issued that are not yet effective</w:t>
      </w:r>
    </w:p>
    <w:p w14:paraId="0F89DB44" w14:textId="25559DB7" w:rsidR="0057550A" w:rsidRDefault="0057550A" w:rsidP="00B372E3">
      <w:pPr>
        <w:pStyle w:val="ListNumber"/>
      </w:pPr>
      <w:r>
        <w:t>Correction of a prior period error</w:t>
      </w:r>
    </w:p>
    <w:p w14:paraId="60902A4E" w14:textId="5FD26211" w:rsidR="0057550A" w:rsidRDefault="0057550A" w:rsidP="0057550A">
      <w:pPr>
        <w:pStyle w:val="ListContinue"/>
      </w:pPr>
      <w:r>
        <w:t xml:space="preserve">10.1 </w:t>
      </w:r>
      <w:r>
        <w:tab/>
        <w:t>Impact of correction of an error on the comprehensive operating statement</w:t>
      </w:r>
    </w:p>
    <w:p w14:paraId="2509082F" w14:textId="07B9E8A2" w:rsidR="0057550A" w:rsidRDefault="0057550A" w:rsidP="0057550A">
      <w:pPr>
        <w:pStyle w:val="ListContinue"/>
      </w:pPr>
      <w:r>
        <w:t xml:space="preserve">10.2 </w:t>
      </w:r>
      <w:r>
        <w:tab/>
        <w:t>Impact of correction of an error on the balance sheet</w:t>
      </w:r>
    </w:p>
    <w:p w14:paraId="065FBE42" w14:textId="0ED80022" w:rsidR="00B372E3" w:rsidRDefault="00B372E3" w:rsidP="00B372E3">
      <w:pPr>
        <w:pStyle w:val="ListNumber"/>
      </w:pPr>
      <w:r w:rsidRPr="00B372E3">
        <w:t>Glossary of technical terms and style conventions</w:t>
      </w:r>
    </w:p>
    <w:p w14:paraId="3838966E" w14:textId="1A1916BB" w:rsidR="00E952AB" w:rsidRDefault="00B372E3" w:rsidP="000C4EFC">
      <w:pPr>
        <w:pStyle w:val="Heading2"/>
        <w:pageBreakBefore/>
      </w:pPr>
      <w:bookmarkStart w:id="206" w:name="_Declaration_in_the"/>
      <w:bookmarkStart w:id="207" w:name="_Ref22640477"/>
      <w:bookmarkStart w:id="208" w:name="_Ref22643959"/>
      <w:bookmarkStart w:id="209" w:name="_Toc62808124"/>
      <w:bookmarkEnd w:id="206"/>
      <w:r>
        <w:t xml:space="preserve">Declaration in the </w:t>
      </w:r>
      <w:r w:rsidR="00C416B8">
        <w:t>F</w:t>
      </w:r>
      <w:r>
        <w:t>inancial</w:t>
      </w:r>
      <w:r w:rsidR="00D45E5B">
        <w:t xml:space="preserve"> </w:t>
      </w:r>
      <w:r w:rsidR="00C416B8">
        <w:t>S</w:t>
      </w:r>
      <w:r>
        <w:t>tatements</w:t>
      </w:r>
      <w:bookmarkEnd w:id="207"/>
      <w:bookmarkEnd w:id="208"/>
      <w:bookmarkEnd w:id="209"/>
    </w:p>
    <w:p w14:paraId="16FFAE7E" w14:textId="4732CC4C" w:rsidR="00C416B8" w:rsidRDefault="00C416B8" w:rsidP="00C416B8">
      <w:pPr>
        <w:pStyle w:val="BodyText"/>
      </w:pPr>
      <w:r>
        <w:t xml:space="preserve">The attached financial statements for Court Services Victoria have been prepared in accordance with Direction 5.2 of the Standing Directions of the Assistant Treasurer under the </w:t>
      </w:r>
      <w:r w:rsidRPr="00DF23EE">
        <w:rPr>
          <w:rStyle w:val="Italics"/>
        </w:rPr>
        <w:t>Financial Management Act 1994</w:t>
      </w:r>
      <w:r>
        <w:t>, applicable Financial Reporting Directions, Australian Accounting Standards including interpretations, and other mandatory professional reporting requirements.</w:t>
      </w:r>
    </w:p>
    <w:p w14:paraId="5C0291DC" w14:textId="08B7A50D" w:rsidR="00C416B8" w:rsidRDefault="00C416B8" w:rsidP="00C416B8">
      <w:pPr>
        <w:pStyle w:val="BodyText"/>
      </w:pPr>
      <w:r>
        <w:t xml:space="preserve">We further state that, in our opinion, the information set out in the comprehensive operating statement, balance sheet, cash flow statement, statement of changes in equity and accompanying notes, presents fairly the financial transactions during the year ended 30 June 2020 and financial position of Court Services Victoria </w:t>
      </w:r>
      <w:proofErr w:type="gramStart"/>
      <w:r>
        <w:t>at</w:t>
      </w:r>
      <w:proofErr w:type="gramEnd"/>
      <w:r>
        <w:t xml:space="preserve"> 30 June 2020.</w:t>
      </w:r>
    </w:p>
    <w:p w14:paraId="1A2ACD69" w14:textId="2C90A3E1" w:rsidR="00C416B8" w:rsidRDefault="00C416B8" w:rsidP="00C416B8">
      <w:pPr>
        <w:pStyle w:val="BodyText"/>
      </w:pPr>
      <w:r>
        <w:t>At the time of signing, we are not aware of any circumstance that would render any particulars included in the financial statements to be misleading or inaccurate.</w:t>
      </w:r>
    </w:p>
    <w:p w14:paraId="731CD3FE" w14:textId="09673213" w:rsidR="00C416B8" w:rsidRDefault="00C416B8" w:rsidP="00C416B8">
      <w:pPr>
        <w:pStyle w:val="BodyText"/>
      </w:pPr>
      <w:r>
        <w:t>We authorise the attached financial statements for issue on 8 December 2020.</w:t>
      </w:r>
    </w:p>
    <w:p w14:paraId="7076EE3D" w14:textId="03B7A819" w:rsidR="00B372E3" w:rsidRDefault="00E952AB" w:rsidP="00823887">
      <w:pPr>
        <w:pStyle w:val="BodyText"/>
        <w:spacing w:before="480"/>
      </w:pPr>
      <w:r>
        <w:t>The</w:t>
      </w:r>
      <w:r w:rsidR="00B372E3">
        <w:t xml:space="preserve"> Honourable Chief Justice</w:t>
      </w:r>
      <w:r w:rsidR="00B372E3">
        <w:br/>
        <w:t>Mary Anne Ferguson</w:t>
      </w:r>
      <w:r w:rsidR="00B372E3">
        <w:br/>
        <w:t>Chair of the Courts Council</w:t>
      </w:r>
      <w:r w:rsidR="00B372E3">
        <w:br/>
        <w:t>Court Services Victoria</w:t>
      </w:r>
      <w:r w:rsidR="00B372E3">
        <w:br/>
        <w:t>Melbourne</w:t>
      </w:r>
      <w:r w:rsidR="00B372E3">
        <w:br/>
      </w:r>
      <w:r w:rsidR="00C416B8">
        <w:t>8 December 2020</w:t>
      </w:r>
    </w:p>
    <w:p w14:paraId="4DEE234F" w14:textId="56DCA2AE" w:rsidR="00B372E3" w:rsidRDefault="00B372E3" w:rsidP="00823887">
      <w:pPr>
        <w:pStyle w:val="BodyText"/>
        <w:spacing w:before="480"/>
      </w:pPr>
      <w:r>
        <w:t>Louise Anderson</w:t>
      </w:r>
      <w:r>
        <w:br/>
        <w:t>Chief Executive Officer</w:t>
      </w:r>
      <w:r>
        <w:br/>
        <w:t>Court Services Victoria</w:t>
      </w:r>
      <w:r>
        <w:br/>
        <w:t>Melbourne</w:t>
      </w:r>
      <w:r>
        <w:br/>
      </w:r>
      <w:r w:rsidR="00C416B8">
        <w:t>8 December 2020</w:t>
      </w:r>
    </w:p>
    <w:p w14:paraId="5309CDF5" w14:textId="2E05A7D5" w:rsidR="00B372E3" w:rsidRDefault="00B372E3" w:rsidP="00823887">
      <w:pPr>
        <w:pStyle w:val="BodyText"/>
        <w:spacing w:before="480"/>
      </w:pPr>
      <w:r>
        <w:t>Salvatore Costanzo</w:t>
      </w:r>
      <w:r>
        <w:br/>
        <w:t>Chief Finance Officer</w:t>
      </w:r>
      <w:r>
        <w:br/>
        <w:t>Court Services Victoria</w:t>
      </w:r>
      <w:r>
        <w:br/>
        <w:t>Melbourne</w:t>
      </w:r>
      <w:r>
        <w:br/>
      </w:r>
      <w:r w:rsidR="00C416B8">
        <w:t>8 December 2020</w:t>
      </w:r>
    </w:p>
    <w:p w14:paraId="4A4950D1" w14:textId="71E84085" w:rsidR="009D43BD" w:rsidRDefault="009D43BD" w:rsidP="000C4EFC">
      <w:pPr>
        <w:pStyle w:val="Heading2"/>
        <w:pageBreakBefore/>
      </w:pPr>
      <w:bookmarkStart w:id="210" w:name="_Independent_Auditors_Report"/>
      <w:bookmarkStart w:id="211" w:name="_Ref22643967"/>
      <w:bookmarkStart w:id="212" w:name="_Toc62808125"/>
      <w:bookmarkEnd w:id="210"/>
      <w:r w:rsidRPr="009D43BD">
        <w:t>Independent Auditor</w:t>
      </w:r>
      <w:r w:rsidR="00BC1972">
        <w:t>’</w:t>
      </w:r>
      <w:r w:rsidRPr="009D43BD">
        <w:t>s Report</w:t>
      </w:r>
      <w:bookmarkEnd w:id="211"/>
      <w:bookmarkEnd w:id="212"/>
    </w:p>
    <w:p w14:paraId="49FD87AB" w14:textId="77777777" w:rsidR="009D43BD" w:rsidRDefault="009D43BD" w:rsidP="009D43BD">
      <w:pPr>
        <w:pStyle w:val="NoSpacing"/>
        <w:jc w:val="right"/>
      </w:pPr>
      <w:r w:rsidRPr="00E4478B">
        <w:t>Victorian Auditor-General’s Office</w:t>
      </w:r>
    </w:p>
    <w:p w14:paraId="1E4A9080" w14:textId="77777777" w:rsidR="009D43BD" w:rsidRPr="00E4478B" w:rsidRDefault="009D43BD" w:rsidP="009D43BD">
      <w:pPr>
        <w:pStyle w:val="NoSpacing"/>
        <w:jc w:val="right"/>
      </w:pPr>
      <w:r w:rsidRPr="009F22D2">
        <w:t xml:space="preserve">Level </w:t>
      </w:r>
      <w:r>
        <w:t>31</w:t>
      </w:r>
      <w:r w:rsidRPr="00E4478B">
        <w:t>, 35 Collins Street</w:t>
      </w:r>
      <w:r>
        <w:t>,</w:t>
      </w:r>
      <w:r w:rsidRPr="00E4478B">
        <w:t xml:space="preserve"> Melbourne VIC 3000</w:t>
      </w:r>
    </w:p>
    <w:p w14:paraId="2D964F20" w14:textId="77777777" w:rsidR="009D43BD" w:rsidRPr="00E4478B" w:rsidRDefault="009D43BD" w:rsidP="009D43BD">
      <w:pPr>
        <w:pStyle w:val="NoSpacing"/>
        <w:jc w:val="right"/>
      </w:pPr>
      <w:r w:rsidRPr="00E4478B">
        <w:t xml:space="preserve">Telephone </w:t>
      </w:r>
      <w:r>
        <w:t>03 8601 7000</w:t>
      </w:r>
    </w:p>
    <w:p w14:paraId="7A66432E" w14:textId="41CC0238" w:rsidR="009D43BD" w:rsidRDefault="009D43BD" w:rsidP="00DF23EE">
      <w:pPr>
        <w:pStyle w:val="NoSpacing"/>
        <w:jc w:val="right"/>
        <w:rPr>
          <w:rStyle w:val="Hyperlink"/>
        </w:rPr>
      </w:pPr>
      <w:r w:rsidRPr="00E4478B">
        <w:t xml:space="preserve">Email </w:t>
      </w:r>
      <w:hyperlink r:id="rId36" w:history="1">
        <w:r w:rsidRPr="001E66B5">
          <w:rPr>
            <w:rStyle w:val="Hyperlink"/>
          </w:rPr>
          <w:t>enquiries@audit.vic.gov.au</w:t>
        </w:r>
      </w:hyperlink>
    </w:p>
    <w:p w14:paraId="4A7E037F" w14:textId="3CABA585" w:rsidR="00DF23EE" w:rsidRDefault="00C9062D" w:rsidP="009D43BD">
      <w:pPr>
        <w:pStyle w:val="NoSpacing"/>
        <w:spacing w:after="240"/>
        <w:jc w:val="right"/>
      </w:pPr>
      <w:hyperlink r:id="rId37" w:history="1">
        <w:r w:rsidR="00DF23EE" w:rsidRPr="00DF23EE">
          <w:rPr>
            <w:rStyle w:val="Hyperlink"/>
          </w:rPr>
          <w:t>Website</w:t>
        </w:r>
      </w:hyperlink>
      <w:r w:rsidR="00DF23EE">
        <w:rPr>
          <w:rStyle w:val="FootnoteReference"/>
        </w:rPr>
        <w:footnoteReference w:id="4"/>
      </w:r>
    </w:p>
    <w:p w14:paraId="402C43A2" w14:textId="77777777" w:rsidR="009D43BD" w:rsidRPr="007B3E41" w:rsidRDefault="009D43BD" w:rsidP="009D43BD">
      <w:pPr>
        <w:pStyle w:val="BodyText"/>
      </w:pPr>
      <w:r w:rsidRPr="007B3E41">
        <w:rPr>
          <w:rStyle w:val="Bold"/>
        </w:rPr>
        <w:t xml:space="preserve">Independent Auditor’s Report </w:t>
      </w:r>
      <w:r w:rsidRPr="007B3E41">
        <w:rPr>
          <w:rStyle w:val="Bold"/>
        </w:rPr>
        <w:br/>
      </w:r>
      <w:r w:rsidRPr="007B3E41">
        <w:t>To the Courts Council of Court Services Victoria</w:t>
      </w:r>
    </w:p>
    <w:p w14:paraId="7D2B6481" w14:textId="3031AA6C" w:rsidR="009D43BD" w:rsidRDefault="009D43BD" w:rsidP="009D43BD">
      <w:pPr>
        <w:pStyle w:val="BodyText"/>
        <w:spacing w:before="480"/>
        <w:rPr>
          <w:rStyle w:val="Bold"/>
        </w:rPr>
      </w:pPr>
      <w:r w:rsidRPr="00CE4527">
        <w:rPr>
          <w:rStyle w:val="Bold"/>
        </w:rPr>
        <w:t>Opinion</w:t>
      </w:r>
    </w:p>
    <w:p w14:paraId="7CBEBA65" w14:textId="0BD49283" w:rsidR="00062640" w:rsidRPr="00062640" w:rsidRDefault="00062640" w:rsidP="00062640">
      <w:pPr>
        <w:pStyle w:val="BodyText"/>
        <w:spacing w:before="480"/>
      </w:pPr>
      <w:r w:rsidRPr="00062640">
        <w:t>I have audited the financial report of the Court Services Victoria (the Authority) which</w:t>
      </w:r>
      <w:r>
        <w:t xml:space="preserve"> </w:t>
      </w:r>
      <w:r w:rsidRPr="00062640">
        <w:t>comprises the:</w:t>
      </w:r>
    </w:p>
    <w:p w14:paraId="6689F793" w14:textId="75890D21" w:rsidR="00062640" w:rsidRPr="00062640" w:rsidRDefault="00062640" w:rsidP="00062640">
      <w:pPr>
        <w:pStyle w:val="ListBullet"/>
        <w:spacing w:before="60" w:after="60" w:line="288" w:lineRule="auto"/>
      </w:pPr>
      <w:r w:rsidRPr="00062640">
        <w:t xml:space="preserve">balance sheet as </w:t>
      </w:r>
      <w:proofErr w:type="gramStart"/>
      <w:r w:rsidRPr="00062640">
        <w:t>at</w:t>
      </w:r>
      <w:proofErr w:type="gramEnd"/>
      <w:r w:rsidRPr="00062640">
        <w:t xml:space="preserve"> 30 June 2020</w:t>
      </w:r>
    </w:p>
    <w:p w14:paraId="4F3C9580" w14:textId="38537A56" w:rsidR="00062640" w:rsidRPr="00062640" w:rsidRDefault="00062640" w:rsidP="00062640">
      <w:pPr>
        <w:pStyle w:val="ListBullet"/>
        <w:spacing w:before="60" w:after="60" w:line="288" w:lineRule="auto"/>
      </w:pPr>
      <w:r w:rsidRPr="00062640">
        <w:t>comprehensive operating statement for the year then ended</w:t>
      </w:r>
    </w:p>
    <w:p w14:paraId="51CC884B" w14:textId="25C9ADAA" w:rsidR="00062640" w:rsidRPr="00062640" w:rsidRDefault="00062640" w:rsidP="00062640">
      <w:pPr>
        <w:pStyle w:val="ListBullet"/>
        <w:spacing w:before="60" w:after="60" w:line="288" w:lineRule="auto"/>
      </w:pPr>
      <w:r w:rsidRPr="00062640">
        <w:t>statement of changes in equity for the year then ended</w:t>
      </w:r>
    </w:p>
    <w:p w14:paraId="2E9597F6" w14:textId="45182434" w:rsidR="00062640" w:rsidRPr="00062640" w:rsidRDefault="00062640" w:rsidP="00062640">
      <w:pPr>
        <w:pStyle w:val="ListBullet"/>
        <w:spacing w:before="60" w:after="60" w:line="288" w:lineRule="auto"/>
      </w:pPr>
      <w:r w:rsidRPr="00062640">
        <w:t>cash flow statement for the year then ended</w:t>
      </w:r>
    </w:p>
    <w:p w14:paraId="3BF395BA" w14:textId="6BEB0AE1" w:rsidR="00062640" w:rsidRPr="00062640" w:rsidRDefault="00062640" w:rsidP="00062640">
      <w:pPr>
        <w:pStyle w:val="ListBullet"/>
        <w:spacing w:before="60" w:after="60" w:line="288" w:lineRule="auto"/>
      </w:pPr>
      <w:r w:rsidRPr="00062640">
        <w:t>notes to the financial statements, including significant accounting policies</w:t>
      </w:r>
    </w:p>
    <w:p w14:paraId="0AC3E6DA" w14:textId="4A31C9BD" w:rsidR="00062640" w:rsidRPr="00062640" w:rsidRDefault="00062640" w:rsidP="00062640">
      <w:pPr>
        <w:pStyle w:val="ListBullet"/>
        <w:spacing w:before="60" w:after="60" w:line="288" w:lineRule="auto"/>
      </w:pPr>
      <w:r w:rsidRPr="00062640">
        <w:t>declaration in the financial statements.</w:t>
      </w:r>
    </w:p>
    <w:p w14:paraId="5D0584AC" w14:textId="5F36031E" w:rsidR="00062640" w:rsidRDefault="00062640" w:rsidP="00062640">
      <w:pPr>
        <w:pStyle w:val="BodyText"/>
      </w:pPr>
      <w:r w:rsidRPr="00062640">
        <w:t>In my opinion the financial report presents fairly, in all material respects, the financial</w:t>
      </w:r>
      <w:r>
        <w:t xml:space="preserve"> </w:t>
      </w:r>
      <w:r w:rsidRPr="00062640">
        <w:t xml:space="preserve">position of the Authority as </w:t>
      </w:r>
      <w:proofErr w:type="gramStart"/>
      <w:r w:rsidRPr="00062640">
        <w:t>at</w:t>
      </w:r>
      <w:proofErr w:type="gramEnd"/>
      <w:r w:rsidRPr="00062640">
        <w:t xml:space="preserve"> 30 June 2020 and its financial performance and cash flows for</w:t>
      </w:r>
      <w:r>
        <w:t xml:space="preserve"> </w:t>
      </w:r>
      <w:r w:rsidRPr="00062640">
        <w:t>the year then ended in accordance with the financial reporting requirements of Part 7 of the</w:t>
      </w:r>
      <w:r>
        <w:t xml:space="preserve"> </w:t>
      </w:r>
      <w:r w:rsidRPr="00DF23EE">
        <w:rPr>
          <w:rStyle w:val="Italics"/>
        </w:rPr>
        <w:t>Financial Management Act 1994</w:t>
      </w:r>
      <w:r w:rsidRPr="00062640">
        <w:t xml:space="preserve"> and applicable Australian Accounting Standards.</w:t>
      </w:r>
    </w:p>
    <w:p w14:paraId="36228ADD" w14:textId="1CB8AD0A" w:rsidR="00062640" w:rsidRPr="00062640" w:rsidRDefault="00062640" w:rsidP="00062640">
      <w:pPr>
        <w:pStyle w:val="BodyText"/>
        <w:rPr>
          <w:rStyle w:val="Bold"/>
        </w:rPr>
      </w:pPr>
      <w:r w:rsidRPr="00062640">
        <w:rPr>
          <w:rStyle w:val="Bold"/>
        </w:rPr>
        <w:t>Basis for opinion</w:t>
      </w:r>
    </w:p>
    <w:p w14:paraId="653DBAE6" w14:textId="506E0105" w:rsidR="00062640" w:rsidRPr="00062640" w:rsidRDefault="00062640" w:rsidP="00062640">
      <w:pPr>
        <w:pStyle w:val="BodyText"/>
      </w:pPr>
      <w:r w:rsidRPr="00062640">
        <w:t xml:space="preserve">I have conducted my audit in accordance with the </w:t>
      </w:r>
      <w:r w:rsidRPr="00DF23EE">
        <w:rPr>
          <w:rStyle w:val="Italics"/>
        </w:rPr>
        <w:t>Audit Act 1994</w:t>
      </w:r>
      <w:r w:rsidRPr="00062640">
        <w:t xml:space="preserve"> which incorporates the</w:t>
      </w:r>
      <w:r>
        <w:t xml:space="preserve"> </w:t>
      </w:r>
      <w:r w:rsidRPr="00062640">
        <w:t>Australian Auditing Standards. I further describe my responsibilities under that Act and</w:t>
      </w:r>
      <w:r>
        <w:t xml:space="preserve"> </w:t>
      </w:r>
      <w:r w:rsidRPr="00062640">
        <w:t xml:space="preserve">those standards in the </w:t>
      </w:r>
      <w:r w:rsidRPr="00D3293F">
        <w:rPr>
          <w:rStyle w:val="Italics"/>
        </w:rPr>
        <w:t>Auditor’s Responsibilities for the Audit of the Financial Report</w:t>
      </w:r>
      <w:r w:rsidRPr="00062640">
        <w:t xml:space="preserve"> section</w:t>
      </w:r>
      <w:r>
        <w:t xml:space="preserve"> </w:t>
      </w:r>
      <w:r w:rsidRPr="00062640">
        <w:t>of my report.</w:t>
      </w:r>
    </w:p>
    <w:p w14:paraId="11700118" w14:textId="2B892B5E" w:rsidR="00062640" w:rsidRPr="00062640" w:rsidRDefault="00062640" w:rsidP="00062640">
      <w:pPr>
        <w:pStyle w:val="BodyText"/>
      </w:pPr>
      <w:r w:rsidRPr="00062640">
        <w:t xml:space="preserve">My independence is established by the </w:t>
      </w:r>
      <w:r w:rsidRPr="00D3293F">
        <w:rPr>
          <w:rStyle w:val="Italics"/>
        </w:rPr>
        <w:t>Constitution Act 1975</w:t>
      </w:r>
      <w:r w:rsidRPr="00062640">
        <w:t>. My staff and I are</w:t>
      </w:r>
      <w:r>
        <w:t xml:space="preserve"> </w:t>
      </w:r>
      <w:r w:rsidRPr="00062640">
        <w:t>independent of the Authority in accordance with the ethical requirements of the Accounting</w:t>
      </w:r>
      <w:r>
        <w:t xml:space="preserve"> </w:t>
      </w:r>
      <w:r w:rsidRPr="00062640">
        <w:t xml:space="preserve">Professional and Ethical Standards Board’s APES 110 </w:t>
      </w:r>
      <w:r w:rsidRPr="00D3293F">
        <w:rPr>
          <w:rStyle w:val="Italics"/>
        </w:rPr>
        <w:t>Code of Ethics for Professional Accountants</w:t>
      </w:r>
      <w:r w:rsidRPr="00062640">
        <w:t xml:space="preserve"> (the Code) that are relevant to my audit of the financial report in Victoria. My</w:t>
      </w:r>
      <w:r>
        <w:t xml:space="preserve"> </w:t>
      </w:r>
      <w:r w:rsidRPr="00062640">
        <w:t>staff and I have also fulfilled our other ethical responsibilities in accordance with the Code.</w:t>
      </w:r>
    </w:p>
    <w:p w14:paraId="7E6E1861" w14:textId="75A3BB71" w:rsidR="00062640" w:rsidRDefault="00062640" w:rsidP="00062640">
      <w:pPr>
        <w:pStyle w:val="BodyText"/>
      </w:pPr>
      <w:r w:rsidRPr="00062640">
        <w:t>I believe that the audit evidence I have obtained is sufficient and appropriate to provide a</w:t>
      </w:r>
      <w:r>
        <w:t xml:space="preserve"> </w:t>
      </w:r>
      <w:r w:rsidRPr="00062640">
        <w:t>basis for my opinion.</w:t>
      </w:r>
    </w:p>
    <w:p w14:paraId="255AE3F3" w14:textId="4B03CC1C" w:rsidR="00062640" w:rsidRPr="00062640" w:rsidRDefault="00062640" w:rsidP="00895F89">
      <w:pPr>
        <w:pStyle w:val="BodyText"/>
        <w:rPr>
          <w:rStyle w:val="Bold"/>
        </w:rPr>
      </w:pPr>
      <w:r w:rsidRPr="00062640">
        <w:rPr>
          <w:rStyle w:val="Bold"/>
        </w:rPr>
        <w:t>The Courts Council’s responsibilities for the financial report</w:t>
      </w:r>
    </w:p>
    <w:p w14:paraId="43EDABC7" w14:textId="0E2AADEB" w:rsidR="00062640" w:rsidRPr="00062640" w:rsidRDefault="00062640" w:rsidP="00895F89">
      <w:pPr>
        <w:pStyle w:val="BodyText"/>
        <w:spacing w:after="120"/>
      </w:pPr>
      <w:r w:rsidRPr="00062640">
        <w:t xml:space="preserve">The Courts </w:t>
      </w:r>
      <w:r w:rsidRPr="00967CAC">
        <w:t>Council</w:t>
      </w:r>
      <w:r w:rsidRPr="00062640">
        <w:t xml:space="preserve"> is responsible for the preparation and fair presentation of the Authority's</w:t>
      </w:r>
      <w:r w:rsidR="00967CAC">
        <w:t xml:space="preserve"> </w:t>
      </w:r>
      <w:r w:rsidRPr="00062640">
        <w:t xml:space="preserve">financial report in accordance with Australian Accounting Standards and the </w:t>
      </w:r>
      <w:r w:rsidRPr="00D3293F">
        <w:rPr>
          <w:rStyle w:val="Italics"/>
        </w:rPr>
        <w:t>Financial</w:t>
      </w:r>
      <w:r w:rsidR="00967CAC" w:rsidRPr="00D3293F">
        <w:rPr>
          <w:rStyle w:val="Italics"/>
        </w:rPr>
        <w:t xml:space="preserve"> </w:t>
      </w:r>
      <w:r w:rsidRPr="00D3293F">
        <w:rPr>
          <w:rStyle w:val="Italics"/>
        </w:rPr>
        <w:t>Management Act 1994</w:t>
      </w:r>
      <w:r w:rsidRPr="00062640">
        <w:t>, and for such internal control as the Courts Council determines is</w:t>
      </w:r>
      <w:r w:rsidR="00967CAC">
        <w:t xml:space="preserve"> </w:t>
      </w:r>
      <w:r w:rsidRPr="00062640">
        <w:t>necessary to enable the preparation and fair presentation of a financial report that is free</w:t>
      </w:r>
      <w:r w:rsidR="00967CAC">
        <w:t xml:space="preserve"> </w:t>
      </w:r>
      <w:r w:rsidRPr="00062640">
        <w:t>from material misstatement, whether due to fraud or error.</w:t>
      </w:r>
    </w:p>
    <w:p w14:paraId="7C63C2E7" w14:textId="5CE180F4" w:rsidR="00062640" w:rsidRDefault="00062640" w:rsidP="00895F89">
      <w:pPr>
        <w:pStyle w:val="BodyText"/>
        <w:spacing w:before="120" w:after="120"/>
      </w:pPr>
      <w:r w:rsidRPr="00062640">
        <w:t xml:space="preserve">In preparing the financial report, the Courts Council </w:t>
      </w:r>
      <w:r w:rsidRPr="00967CAC">
        <w:t>is</w:t>
      </w:r>
      <w:r w:rsidRPr="00062640">
        <w:t xml:space="preserve"> responsible for assessing the</w:t>
      </w:r>
      <w:r w:rsidR="00967CAC">
        <w:t xml:space="preserve"> </w:t>
      </w:r>
      <w:r w:rsidRPr="00062640">
        <w:t>Authority’s ability to continue as a going concern, disclosing, as applicable, matters related</w:t>
      </w:r>
      <w:r w:rsidR="00967CAC">
        <w:t xml:space="preserve"> </w:t>
      </w:r>
      <w:r w:rsidRPr="00062640">
        <w:t>to going concern and using the going concern basis of accounting unless it is inappropriate</w:t>
      </w:r>
      <w:r w:rsidR="00967CAC">
        <w:t xml:space="preserve"> </w:t>
      </w:r>
      <w:r w:rsidRPr="00062640">
        <w:t>to do so.</w:t>
      </w:r>
    </w:p>
    <w:p w14:paraId="1B4DEFC9" w14:textId="10C3720C" w:rsidR="00062640" w:rsidRDefault="00967CAC" w:rsidP="00895F89">
      <w:pPr>
        <w:pStyle w:val="BodyText"/>
        <w:spacing w:before="120" w:after="120"/>
        <w:rPr>
          <w:rStyle w:val="Bold"/>
        </w:rPr>
      </w:pPr>
      <w:r w:rsidRPr="00967CAC">
        <w:rPr>
          <w:rStyle w:val="Bold"/>
        </w:rPr>
        <w:t>Auditor’s responsibilities</w:t>
      </w:r>
      <w:r>
        <w:rPr>
          <w:rStyle w:val="Bold"/>
        </w:rPr>
        <w:t xml:space="preserve"> </w:t>
      </w:r>
      <w:r w:rsidRPr="00967CAC">
        <w:rPr>
          <w:rStyle w:val="Bold"/>
        </w:rPr>
        <w:t>for the audit</w:t>
      </w:r>
      <w:r>
        <w:rPr>
          <w:rStyle w:val="Bold"/>
        </w:rPr>
        <w:t xml:space="preserve"> </w:t>
      </w:r>
      <w:r w:rsidRPr="00967CAC">
        <w:rPr>
          <w:rStyle w:val="Bold"/>
        </w:rPr>
        <w:t>of the financial</w:t>
      </w:r>
      <w:r>
        <w:rPr>
          <w:rStyle w:val="Bold"/>
        </w:rPr>
        <w:t xml:space="preserve"> </w:t>
      </w:r>
      <w:r w:rsidRPr="00967CAC">
        <w:rPr>
          <w:rStyle w:val="Bold"/>
        </w:rPr>
        <w:t>report</w:t>
      </w:r>
    </w:p>
    <w:p w14:paraId="2929EC9D" w14:textId="24DCD1C4" w:rsidR="00967CAC" w:rsidRDefault="00967CAC" w:rsidP="00895F89">
      <w:pPr>
        <w:pStyle w:val="BodyText"/>
        <w:spacing w:before="120" w:after="120"/>
      </w:pPr>
      <w:r>
        <w:t xml:space="preserve">As required by the </w:t>
      </w:r>
      <w:r w:rsidRPr="00D3293F">
        <w:rPr>
          <w:rStyle w:val="Italics"/>
        </w:rPr>
        <w:t>Audit Act 1994</w:t>
      </w:r>
      <w:r>
        <w:t xml:space="preserve">, 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w:t>
      </w:r>
      <w:proofErr w:type="gramStart"/>
      <w:r>
        <w:t>assurance, but</w:t>
      </w:r>
      <w:proofErr w:type="gramEnd"/>
      <w:r>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14:paraId="1EE07137" w14:textId="24BCE196" w:rsidR="00967CAC" w:rsidRDefault="00967CAC" w:rsidP="00895F89">
      <w:pPr>
        <w:pStyle w:val="BodyText"/>
        <w:spacing w:before="120" w:after="120"/>
      </w:pPr>
      <w:r>
        <w:t>As part of an audit in accordance with the Australian Auditing Standards, I exercise professional judgement and maintain professional scepticism throughout the audit. I also:</w:t>
      </w:r>
    </w:p>
    <w:p w14:paraId="47C29859" w14:textId="1C765C6E" w:rsidR="00967CAC" w:rsidRDefault="00967CAC" w:rsidP="00322440">
      <w:pPr>
        <w:pStyle w:val="ListBullet"/>
        <w:spacing w:before="60" w:after="60" w:line="288" w:lineRule="auto"/>
      </w:pPr>
      <w: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13145373" w14:textId="6C266250" w:rsidR="00967CAC" w:rsidRDefault="00967CAC" w:rsidP="00322440">
      <w:pPr>
        <w:pStyle w:val="ListBullet"/>
        <w:spacing w:before="60" w:after="60" w:line="288" w:lineRule="auto"/>
      </w:pPr>
      <w:r>
        <w:t>obtain an understanding of internal control relevant to the audit in order to design audit procedures that are appropriate in the circumstances, but not for the purpose of expressing an opinion on the effectiveness of the Authority’s internal control.</w:t>
      </w:r>
    </w:p>
    <w:p w14:paraId="53418408" w14:textId="44E6E3DD" w:rsidR="00967CAC" w:rsidRDefault="00967CAC" w:rsidP="00322440">
      <w:pPr>
        <w:pStyle w:val="ListBullet"/>
        <w:spacing w:before="60" w:after="60" w:line="288" w:lineRule="auto"/>
      </w:pPr>
      <w:r>
        <w:t>evaluate the appropriateness of accounting policies used and the reasonableness of accounting estimates and related disclosures made by the Courts Council.</w:t>
      </w:r>
    </w:p>
    <w:p w14:paraId="0FB1323C" w14:textId="0AFD1D3E" w:rsidR="00967CAC" w:rsidRDefault="00967CAC" w:rsidP="00322440">
      <w:pPr>
        <w:pStyle w:val="ListBullet"/>
        <w:spacing w:before="60" w:after="60" w:line="288" w:lineRule="auto"/>
      </w:pPr>
      <w:r>
        <w:t>conclude on the appropriateness of the Courts Council’s use of the going concern basis of accounting and, based on the audit evidence obtained, whether a material uncertainty exists related to events or conditions that may cast significant doubt on the Authority’s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Authority to cease to continue as a going concern.</w:t>
      </w:r>
    </w:p>
    <w:p w14:paraId="362C0FDB" w14:textId="0ED23329" w:rsidR="00967CAC" w:rsidRDefault="00967CAC" w:rsidP="00322440">
      <w:pPr>
        <w:pStyle w:val="ListBullet"/>
        <w:spacing w:before="60" w:after="60" w:line="288" w:lineRule="auto"/>
      </w:pPr>
      <w:r>
        <w:t>evaluate the overall presentation, structure and content of the financial report, including the disclosures, and whether the financial report represents the underlying transactions and events in a manner that achieves fair presentation.</w:t>
      </w:r>
    </w:p>
    <w:p w14:paraId="34FAF154" w14:textId="2B0F6C84" w:rsidR="00967CAC" w:rsidRDefault="00967CAC" w:rsidP="00895F89">
      <w:pPr>
        <w:pStyle w:val="BodyText"/>
        <w:spacing w:before="120" w:after="120"/>
      </w:pPr>
      <w:r>
        <w:t>I communicate with the Courts Council regarding, among other matters, the planned scope and timing of the audit and significant audit findings, including any significant deficiencies in internal control that I identify during my audit.</w:t>
      </w:r>
    </w:p>
    <w:p w14:paraId="766F319D" w14:textId="613A6C18" w:rsidR="009D43BD" w:rsidRPr="000D2418" w:rsidRDefault="00967CAC" w:rsidP="009D43BD">
      <w:pPr>
        <w:pStyle w:val="NoSpacing"/>
      </w:pPr>
      <w:r>
        <w:t>Janaka Kumara</w:t>
      </w:r>
    </w:p>
    <w:p w14:paraId="22CF3D63" w14:textId="77777777" w:rsidR="009D43BD" w:rsidRDefault="009D43BD" w:rsidP="009D43BD">
      <w:pPr>
        <w:pStyle w:val="NoSpacing"/>
      </w:pPr>
      <w:r>
        <w:t>as delegate for the Auditor-General of Victoria</w:t>
      </w:r>
    </w:p>
    <w:p w14:paraId="1B65FC25" w14:textId="6A3C91AE" w:rsidR="009D43BD" w:rsidRDefault="008C17D7" w:rsidP="00895F89">
      <w:pPr>
        <w:pStyle w:val="BodyText"/>
        <w:spacing w:before="0" w:after="0"/>
      </w:pPr>
      <w:r>
        <w:t>Melbourne</w:t>
      </w:r>
      <w:r>
        <w:br/>
      </w:r>
      <w:r w:rsidR="00967CAC">
        <w:t>10 December 2020</w:t>
      </w:r>
    </w:p>
    <w:p w14:paraId="7ED886DC" w14:textId="04B5184F" w:rsidR="00417B1B" w:rsidRDefault="00417B1B" w:rsidP="00417B1B">
      <w:pPr>
        <w:pStyle w:val="Heading2"/>
      </w:pPr>
      <w:bookmarkStart w:id="213" w:name="_Comprehensive_Operating_Statement"/>
      <w:bookmarkStart w:id="214" w:name="_Ref22643291"/>
      <w:bookmarkStart w:id="215" w:name="_Ref22643975"/>
      <w:bookmarkStart w:id="216" w:name="_Toc62808126"/>
      <w:bookmarkEnd w:id="213"/>
      <w:r w:rsidRPr="00DA103D">
        <w:t xml:space="preserve">Comprehensive </w:t>
      </w:r>
      <w:r w:rsidR="008C17D7">
        <w:t>Operating Statement</w:t>
      </w:r>
      <w:r w:rsidR="008C17D7">
        <w:br/>
      </w:r>
      <w:r w:rsidR="008C17D7" w:rsidRPr="005F2304">
        <w:t>f</w:t>
      </w:r>
      <w:r w:rsidRPr="005F2304">
        <w:t xml:space="preserve">or </w:t>
      </w:r>
      <w:r w:rsidR="00E952AB" w:rsidRPr="005F2304">
        <w:t>the</w:t>
      </w:r>
      <w:r w:rsidRPr="005F2304">
        <w:t xml:space="preserve"> Financial Year Ended 30 June 20</w:t>
      </w:r>
      <w:r w:rsidR="00967CAC" w:rsidRPr="005F2304">
        <w:t>20</w:t>
      </w:r>
      <w:bookmarkEnd w:id="214"/>
      <w:bookmarkEnd w:id="215"/>
      <w:bookmarkEnd w:id="216"/>
    </w:p>
    <w:tbl>
      <w:tblPr>
        <w:tblStyle w:val="AccessibleTableNumerical"/>
        <w:tblW w:w="5000" w:type="pct"/>
        <w:tblLook w:val="04A0" w:firstRow="1" w:lastRow="0" w:firstColumn="1" w:lastColumn="0" w:noHBand="0" w:noVBand="1"/>
      </w:tblPr>
      <w:tblGrid>
        <w:gridCol w:w="6042"/>
        <w:gridCol w:w="1201"/>
        <w:gridCol w:w="1201"/>
        <w:gridCol w:w="1198"/>
      </w:tblGrid>
      <w:tr w:rsidR="00417B1B" w:rsidRPr="002856BA" w14:paraId="275CBC54" w14:textId="77777777" w:rsidTr="008C17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3" w:type="pct"/>
          </w:tcPr>
          <w:p w14:paraId="53BA8FA5" w14:textId="4D358BFE" w:rsidR="00417B1B" w:rsidRPr="00DA103D" w:rsidRDefault="00612E18" w:rsidP="00AC0BBF">
            <w:pPr>
              <w:pStyle w:val="TableText"/>
            </w:pPr>
            <w:bookmarkStart w:id="217" w:name="ColumnTitle_42"/>
            <w:r>
              <w:t>Item</w:t>
            </w:r>
          </w:p>
        </w:tc>
        <w:tc>
          <w:tcPr>
            <w:tcW w:w="623" w:type="pct"/>
            <w:vAlign w:val="bottom"/>
          </w:tcPr>
          <w:p w14:paraId="3725922C" w14:textId="77777777" w:rsidR="00417B1B" w:rsidRPr="00DA103D"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DA103D">
              <w:t>Note</w:t>
            </w:r>
          </w:p>
        </w:tc>
        <w:tc>
          <w:tcPr>
            <w:tcW w:w="623" w:type="pct"/>
            <w:vAlign w:val="bottom"/>
          </w:tcPr>
          <w:p w14:paraId="376564AC" w14:textId="2B1D23F8" w:rsidR="00417B1B" w:rsidRPr="00DA103D"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DA103D">
              <w:t>20</w:t>
            </w:r>
            <w:r w:rsidR="002856BA">
              <w:t>20</w:t>
            </w:r>
            <w:r w:rsidRPr="00DA103D">
              <w:br/>
              <w:t>$'000</w:t>
            </w:r>
          </w:p>
        </w:tc>
        <w:tc>
          <w:tcPr>
            <w:tcW w:w="621" w:type="pct"/>
            <w:vAlign w:val="bottom"/>
          </w:tcPr>
          <w:p w14:paraId="47D3E749" w14:textId="42301665" w:rsidR="00417B1B" w:rsidRPr="002856BA" w:rsidRDefault="00417B1B" w:rsidP="008C17D7">
            <w:pPr>
              <w:pStyle w:val="TableText"/>
              <w:cnfStyle w:val="100000000000" w:firstRow="1" w:lastRow="0" w:firstColumn="0" w:lastColumn="0" w:oddVBand="0" w:evenVBand="0" w:oddHBand="0" w:evenHBand="0" w:firstRowFirstColumn="0" w:firstRowLastColumn="0" w:lastRowFirstColumn="0" w:lastRowLastColumn="0"/>
              <w:rPr>
                <w:highlight w:val="yellow"/>
              </w:rPr>
            </w:pPr>
            <w:r w:rsidRPr="000C0321">
              <w:t>201</w:t>
            </w:r>
            <w:r w:rsidR="002856BA" w:rsidRPr="000C0321">
              <w:t>9</w:t>
            </w:r>
            <w:r w:rsidRPr="000C0321">
              <w:br/>
              <w:t>$'000</w:t>
            </w:r>
            <w:hyperlink w:anchor="CompOperatingnote" w:history="1">
              <w:r w:rsidR="00ED2290" w:rsidRPr="00ED2290">
                <w:rPr>
                  <w:vertAlign w:val="superscript"/>
                </w:rPr>
                <w:t>(1)</w:t>
              </w:r>
            </w:hyperlink>
          </w:p>
        </w:tc>
      </w:tr>
      <w:bookmarkEnd w:id="217"/>
      <w:tr w:rsidR="00417B1B" w:rsidRPr="00612E18" w14:paraId="510DB97A"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2BB1B011" w14:textId="77777777" w:rsidR="00417B1B" w:rsidRPr="00612E18" w:rsidRDefault="00417B1B" w:rsidP="00AC0BBF">
            <w:pPr>
              <w:pStyle w:val="TableText"/>
              <w:rPr>
                <w:rStyle w:val="Bold"/>
              </w:rPr>
            </w:pPr>
            <w:r w:rsidRPr="00612E18">
              <w:rPr>
                <w:rStyle w:val="Bold"/>
              </w:rPr>
              <w:t>Continuing operations</w:t>
            </w:r>
          </w:p>
        </w:tc>
        <w:tc>
          <w:tcPr>
            <w:tcW w:w="623" w:type="pct"/>
          </w:tcPr>
          <w:p w14:paraId="5ABC55F0" w14:textId="0D1CCB46"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Pr>
          <w:p w14:paraId="0639C942" w14:textId="24AF06FC"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Pr>
          <w:p w14:paraId="71EAA01F" w14:textId="69ABC11E"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612E18" w14:paraId="38B82E83"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16914CAC" w14:textId="77777777" w:rsidR="00417B1B" w:rsidRPr="00612E18" w:rsidRDefault="00417B1B" w:rsidP="00AC0BBF">
            <w:pPr>
              <w:pStyle w:val="TableText"/>
              <w:rPr>
                <w:rStyle w:val="Bold"/>
              </w:rPr>
            </w:pPr>
            <w:r w:rsidRPr="00612E18">
              <w:rPr>
                <w:rStyle w:val="Bold"/>
              </w:rPr>
              <w:t>Income from transactions</w:t>
            </w:r>
          </w:p>
        </w:tc>
        <w:tc>
          <w:tcPr>
            <w:tcW w:w="623" w:type="pct"/>
          </w:tcPr>
          <w:p w14:paraId="5F3723AC" w14:textId="7D1C985A"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Pr>
          <w:p w14:paraId="6160585F" w14:textId="4D0DA995"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Pr>
          <w:p w14:paraId="482B1B03" w14:textId="202FA0C2"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DA103D" w14:paraId="21256924"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0CDD2B10" w14:textId="77777777" w:rsidR="00417B1B" w:rsidRPr="00DA103D" w:rsidRDefault="00417B1B" w:rsidP="00AC0BBF">
            <w:pPr>
              <w:pStyle w:val="TableText"/>
            </w:pPr>
            <w:r w:rsidRPr="00DA103D">
              <w:t>Output appropriations</w:t>
            </w:r>
          </w:p>
        </w:tc>
        <w:tc>
          <w:tcPr>
            <w:tcW w:w="623" w:type="pct"/>
          </w:tcPr>
          <w:p w14:paraId="1BC9C5A1" w14:textId="708D13CA" w:rsidR="00417B1B" w:rsidRPr="00FC12E5" w:rsidRDefault="00FC12E5" w:rsidP="00FC12E5">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Note21 \h </w:instrText>
            </w:r>
            <w:r>
              <w:fldChar w:fldCharType="separate"/>
            </w:r>
            <w:r w:rsidR="00D46E6D" w:rsidRPr="003045FF">
              <w:t>2</w:t>
            </w:r>
            <w:r w:rsidR="00D46E6D">
              <w:t xml:space="preserve">.1 </w:t>
            </w:r>
            <w:r>
              <w:fldChar w:fldCharType="end"/>
            </w:r>
          </w:p>
        </w:tc>
        <w:tc>
          <w:tcPr>
            <w:tcW w:w="623" w:type="pct"/>
          </w:tcPr>
          <w:p w14:paraId="26AF6989" w14:textId="44E563B2"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480,167</w:t>
            </w:r>
          </w:p>
        </w:tc>
        <w:tc>
          <w:tcPr>
            <w:tcW w:w="621" w:type="pct"/>
          </w:tcPr>
          <w:p w14:paraId="32708184" w14:textId="6DA2370F"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428,469</w:t>
            </w:r>
          </w:p>
        </w:tc>
      </w:tr>
      <w:tr w:rsidR="00417B1B" w:rsidRPr="00DA103D" w14:paraId="13B7E2FB"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333F48CB" w14:textId="77777777" w:rsidR="00417B1B" w:rsidRPr="00DA103D" w:rsidRDefault="00417B1B" w:rsidP="00AC0BBF">
            <w:pPr>
              <w:pStyle w:val="TableText"/>
            </w:pPr>
            <w:r w:rsidRPr="00DA103D">
              <w:t>Special appropriations</w:t>
            </w:r>
          </w:p>
        </w:tc>
        <w:tc>
          <w:tcPr>
            <w:tcW w:w="623" w:type="pct"/>
          </w:tcPr>
          <w:p w14:paraId="1DD86EDC" w14:textId="68E84B55" w:rsidR="00417B1B" w:rsidRPr="00FC12E5" w:rsidRDefault="004B1F0A" w:rsidP="00FC12E5">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Note21 \h </w:instrText>
            </w:r>
            <w:r>
              <w:fldChar w:fldCharType="separate"/>
            </w:r>
            <w:r w:rsidR="00D46E6D" w:rsidRPr="003045FF">
              <w:t>2</w:t>
            </w:r>
            <w:r w:rsidR="00D46E6D">
              <w:t xml:space="preserve">.1 </w:t>
            </w:r>
            <w:r>
              <w:fldChar w:fldCharType="end"/>
            </w:r>
          </w:p>
        </w:tc>
        <w:tc>
          <w:tcPr>
            <w:tcW w:w="623" w:type="pct"/>
          </w:tcPr>
          <w:p w14:paraId="1321C2F8" w14:textId="3540E675"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167,736</w:t>
            </w:r>
          </w:p>
        </w:tc>
        <w:tc>
          <w:tcPr>
            <w:tcW w:w="621" w:type="pct"/>
          </w:tcPr>
          <w:p w14:paraId="11415DCB" w14:textId="333AC771"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157,954</w:t>
            </w:r>
          </w:p>
        </w:tc>
      </w:tr>
      <w:tr w:rsidR="00417B1B" w:rsidRPr="00DA103D" w14:paraId="30EF8253"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bottom w:val="single" w:sz="4" w:space="0" w:color="auto"/>
            </w:tcBorders>
          </w:tcPr>
          <w:p w14:paraId="108B6D6F" w14:textId="77777777" w:rsidR="00417B1B" w:rsidRPr="00DA103D" w:rsidRDefault="00417B1B" w:rsidP="00AC0BBF">
            <w:pPr>
              <w:pStyle w:val="TableText"/>
            </w:pPr>
            <w:r w:rsidRPr="00DA103D">
              <w:t>Grants</w:t>
            </w:r>
          </w:p>
        </w:tc>
        <w:tc>
          <w:tcPr>
            <w:tcW w:w="623" w:type="pct"/>
            <w:tcBorders>
              <w:bottom w:val="single" w:sz="4" w:space="0" w:color="auto"/>
            </w:tcBorders>
          </w:tcPr>
          <w:p w14:paraId="4FF20248" w14:textId="34D3B04E"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Note24 \h </w:instrText>
            </w:r>
            <w:r>
              <w:fldChar w:fldCharType="separate"/>
            </w:r>
            <w:r w:rsidR="00D46E6D">
              <w:t xml:space="preserve">2.4 </w:t>
            </w:r>
            <w:r>
              <w:fldChar w:fldCharType="end"/>
            </w:r>
          </w:p>
        </w:tc>
        <w:tc>
          <w:tcPr>
            <w:tcW w:w="623" w:type="pct"/>
            <w:tcBorders>
              <w:bottom w:val="single" w:sz="4" w:space="0" w:color="auto"/>
            </w:tcBorders>
          </w:tcPr>
          <w:p w14:paraId="124E5E86" w14:textId="66447B53"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25,617</w:t>
            </w:r>
          </w:p>
        </w:tc>
        <w:tc>
          <w:tcPr>
            <w:tcW w:w="621" w:type="pct"/>
            <w:tcBorders>
              <w:bottom w:val="single" w:sz="4" w:space="0" w:color="auto"/>
            </w:tcBorders>
          </w:tcPr>
          <w:p w14:paraId="638CF067" w14:textId="0C7D5AB9"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28,164</w:t>
            </w:r>
          </w:p>
        </w:tc>
      </w:tr>
      <w:tr w:rsidR="00417B1B" w:rsidRPr="00DA103D" w14:paraId="49DD0283"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6F677AFF" w14:textId="77777777" w:rsidR="00417B1B" w:rsidRPr="00732009" w:rsidRDefault="00417B1B" w:rsidP="00AC0BBF">
            <w:pPr>
              <w:pStyle w:val="TableText"/>
              <w:rPr>
                <w:rStyle w:val="Bold"/>
              </w:rPr>
            </w:pPr>
            <w:r w:rsidRPr="00732009">
              <w:rPr>
                <w:rStyle w:val="Bold"/>
              </w:rPr>
              <w:t>Total income from transactions</w:t>
            </w:r>
          </w:p>
        </w:tc>
        <w:tc>
          <w:tcPr>
            <w:tcW w:w="623" w:type="pct"/>
            <w:tcBorders>
              <w:top w:val="single" w:sz="4" w:space="0" w:color="auto"/>
              <w:bottom w:val="single" w:sz="4" w:space="0" w:color="auto"/>
            </w:tcBorders>
          </w:tcPr>
          <w:p w14:paraId="6FE68876" w14:textId="5E36EDF8"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7A0E1292" w14:textId="5ECBE535" w:rsidR="00417B1B" w:rsidRPr="00732009"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sidRPr="00732009">
              <w:rPr>
                <w:rStyle w:val="Bold"/>
              </w:rPr>
              <w:t>673,520</w:t>
            </w:r>
          </w:p>
        </w:tc>
        <w:tc>
          <w:tcPr>
            <w:tcW w:w="621" w:type="pct"/>
            <w:tcBorders>
              <w:top w:val="single" w:sz="4" w:space="0" w:color="auto"/>
              <w:bottom w:val="single" w:sz="4" w:space="0" w:color="auto"/>
            </w:tcBorders>
          </w:tcPr>
          <w:p w14:paraId="08EB670D" w14:textId="42CD37A4" w:rsidR="00417B1B" w:rsidRPr="00732009"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sidRPr="00732009">
              <w:rPr>
                <w:rStyle w:val="Bold"/>
              </w:rPr>
              <w:t>614,588</w:t>
            </w:r>
          </w:p>
        </w:tc>
      </w:tr>
      <w:tr w:rsidR="00417B1B" w:rsidRPr="00612E18" w14:paraId="279D7C6C"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tcBorders>
          </w:tcPr>
          <w:p w14:paraId="57FF07F4" w14:textId="77777777" w:rsidR="00417B1B" w:rsidRPr="00612E18" w:rsidRDefault="00417B1B" w:rsidP="00612E18">
            <w:pPr>
              <w:pStyle w:val="TableText"/>
              <w:spacing w:before="120"/>
              <w:rPr>
                <w:rStyle w:val="Bold"/>
              </w:rPr>
            </w:pPr>
            <w:r w:rsidRPr="00612E18">
              <w:rPr>
                <w:rStyle w:val="Bold"/>
              </w:rPr>
              <w:t>Expenses from transactions</w:t>
            </w:r>
          </w:p>
        </w:tc>
        <w:tc>
          <w:tcPr>
            <w:tcW w:w="623" w:type="pct"/>
            <w:tcBorders>
              <w:top w:val="single" w:sz="4" w:space="0" w:color="auto"/>
            </w:tcBorders>
          </w:tcPr>
          <w:p w14:paraId="6DE0EEA9" w14:textId="7C542579"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tcBorders>
          </w:tcPr>
          <w:p w14:paraId="6930AD1F" w14:textId="432E7FC1"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Borders>
              <w:top w:val="single" w:sz="4" w:space="0" w:color="auto"/>
            </w:tcBorders>
          </w:tcPr>
          <w:p w14:paraId="0B6E757A" w14:textId="69E7DF0F"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DA103D" w14:paraId="6676FF55"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5FBB106D" w14:textId="77777777" w:rsidR="00417B1B" w:rsidRPr="00DA103D" w:rsidRDefault="00417B1B" w:rsidP="00AC0BBF">
            <w:pPr>
              <w:pStyle w:val="TableText"/>
            </w:pPr>
            <w:r w:rsidRPr="00DA103D">
              <w:t>Employee expenses and Judicial Officer remuneration</w:t>
            </w:r>
          </w:p>
        </w:tc>
        <w:tc>
          <w:tcPr>
            <w:tcW w:w="623" w:type="pct"/>
          </w:tcPr>
          <w:p w14:paraId="26721398" w14:textId="135E826D"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Note311 \h </w:instrText>
            </w:r>
            <w:r>
              <w:fldChar w:fldCharType="separate"/>
            </w:r>
            <w:r w:rsidR="00D46E6D" w:rsidRPr="00995C0F">
              <w:t>3.1.1</w:t>
            </w:r>
            <w:r>
              <w:fldChar w:fldCharType="end"/>
            </w:r>
          </w:p>
        </w:tc>
        <w:tc>
          <w:tcPr>
            <w:tcW w:w="623" w:type="pct"/>
          </w:tcPr>
          <w:p w14:paraId="01667A93" w14:textId="4B10AC67"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374,614</w:t>
            </w:r>
          </w:p>
        </w:tc>
        <w:tc>
          <w:tcPr>
            <w:tcW w:w="621" w:type="pct"/>
          </w:tcPr>
          <w:p w14:paraId="53791066" w14:textId="14F814A6"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341,714</w:t>
            </w:r>
          </w:p>
        </w:tc>
      </w:tr>
      <w:tr w:rsidR="00417B1B" w:rsidRPr="00DA103D" w14:paraId="38F118EF"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7E2E42DB" w14:textId="77777777" w:rsidR="00417B1B" w:rsidRPr="00DA103D" w:rsidRDefault="00417B1B" w:rsidP="00AC0BBF">
            <w:pPr>
              <w:pStyle w:val="TableText"/>
            </w:pPr>
            <w:r w:rsidRPr="00DA103D">
              <w:t>Depreciation and amortisation</w:t>
            </w:r>
          </w:p>
        </w:tc>
        <w:tc>
          <w:tcPr>
            <w:tcW w:w="623" w:type="pct"/>
          </w:tcPr>
          <w:p w14:paraId="4FC7C9BD" w14:textId="0874C459" w:rsidR="00417B1B" w:rsidRPr="00DA103D" w:rsidRDefault="00C9062D" w:rsidP="00AC0BBF">
            <w:pPr>
              <w:pStyle w:val="TableText"/>
              <w:cnfStyle w:val="000000000000" w:firstRow="0" w:lastRow="0" w:firstColumn="0" w:lastColumn="0" w:oddVBand="0" w:evenVBand="0" w:oddHBand="0" w:evenHBand="0" w:firstRowFirstColumn="0" w:firstRowLastColumn="0" w:lastRowFirstColumn="0" w:lastRowLastColumn="0"/>
            </w:pPr>
            <w:hyperlink w:anchor="Note511note" w:history="1">
              <w:r w:rsidR="004B1F0A" w:rsidRPr="004B1F0A">
                <w:t>5.1.1</w:t>
              </w:r>
            </w:hyperlink>
          </w:p>
        </w:tc>
        <w:tc>
          <w:tcPr>
            <w:tcW w:w="623" w:type="pct"/>
          </w:tcPr>
          <w:p w14:paraId="3E932D01" w14:textId="33FF0F59"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72,923</w:t>
            </w:r>
          </w:p>
        </w:tc>
        <w:tc>
          <w:tcPr>
            <w:tcW w:w="621" w:type="pct"/>
          </w:tcPr>
          <w:p w14:paraId="2F3254EF" w14:textId="5EB7E9CB"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62,109</w:t>
            </w:r>
          </w:p>
        </w:tc>
      </w:tr>
      <w:tr w:rsidR="00417B1B" w:rsidRPr="00DA103D" w14:paraId="109D3586"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145666F0" w14:textId="77777777" w:rsidR="00417B1B" w:rsidRPr="00DA103D" w:rsidRDefault="00417B1B" w:rsidP="00AC0BBF">
            <w:pPr>
              <w:pStyle w:val="TableText"/>
            </w:pPr>
            <w:r w:rsidRPr="00DA103D">
              <w:t>Interest expense</w:t>
            </w:r>
          </w:p>
        </w:tc>
        <w:tc>
          <w:tcPr>
            <w:tcW w:w="623" w:type="pct"/>
          </w:tcPr>
          <w:p w14:paraId="51B7BE0F" w14:textId="1918A153" w:rsidR="00417B1B" w:rsidRPr="00C24B57" w:rsidRDefault="00C9062D" w:rsidP="00AC0BBF">
            <w:pPr>
              <w:pStyle w:val="TableText"/>
              <w:cnfStyle w:val="000000000000" w:firstRow="0" w:lastRow="0" w:firstColumn="0" w:lastColumn="0" w:oddVBand="0" w:evenVBand="0" w:oddHBand="0" w:evenHBand="0" w:firstRowFirstColumn="0" w:firstRowLastColumn="0" w:lastRowFirstColumn="0" w:lastRowLastColumn="0"/>
            </w:pPr>
            <w:hyperlink w:anchor="Note712" w:history="1">
              <w:r w:rsidR="004C7EBB">
                <w:t>7.1.2</w:t>
              </w:r>
            </w:hyperlink>
          </w:p>
        </w:tc>
        <w:tc>
          <w:tcPr>
            <w:tcW w:w="623" w:type="pct"/>
          </w:tcPr>
          <w:p w14:paraId="11031A1F" w14:textId="59266BD1"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4,807</w:t>
            </w:r>
          </w:p>
        </w:tc>
        <w:tc>
          <w:tcPr>
            <w:tcW w:w="621" w:type="pct"/>
          </w:tcPr>
          <w:p w14:paraId="3F0DD47B" w14:textId="42831C97"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4,983</w:t>
            </w:r>
          </w:p>
        </w:tc>
      </w:tr>
      <w:tr w:rsidR="00417B1B" w:rsidRPr="00DA103D" w14:paraId="562FAC82"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7A1B0A0D" w14:textId="77777777" w:rsidR="00417B1B" w:rsidRPr="00DA103D" w:rsidRDefault="00417B1B" w:rsidP="00AC0BBF">
            <w:pPr>
              <w:pStyle w:val="TableText"/>
            </w:pPr>
            <w:r w:rsidRPr="00DA103D">
              <w:t>Grants and other transfers</w:t>
            </w:r>
          </w:p>
        </w:tc>
        <w:tc>
          <w:tcPr>
            <w:tcW w:w="623" w:type="pct"/>
          </w:tcPr>
          <w:p w14:paraId="7A5D93A6" w14:textId="197F93A3"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Note32 \h </w:instrText>
            </w:r>
            <w:r w:rsidR="004B1F0A">
              <w:instrText xml:space="preserve"> \* MERGEFORMAT </w:instrText>
            </w:r>
            <w:r>
              <w:fldChar w:fldCharType="separate"/>
            </w:r>
            <w:r w:rsidR="00D46E6D" w:rsidRPr="005D2F2E">
              <w:t xml:space="preserve">3.2 </w:t>
            </w:r>
            <w:r>
              <w:fldChar w:fldCharType="end"/>
            </w:r>
          </w:p>
        </w:tc>
        <w:tc>
          <w:tcPr>
            <w:tcW w:w="623" w:type="pct"/>
          </w:tcPr>
          <w:p w14:paraId="72F63C1D" w14:textId="49EDC6A4"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15,108</w:t>
            </w:r>
          </w:p>
        </w:tc>
        <w:tc>
          <w:tcPr>
            <w:tcW w:w="621" w:type="pct"/>
          </w:tcPr>
          <w:p w14:paraId="6B6D2BA1" w14:textId="22318B13"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13,968</w:t>
            </w:r>
          </w:p>
        </w:tc>
      </w:tr>
      <w:tr w:rsidR="00417B1B" w:rsidRPr="00DA103D" w14:paraId="70920AD6"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7DF9DC27" w14:textId="77777777" w:rsidR="00417B1B" w:rsidRPr="00DA103D" w:rsidRDefault="00417B1B" w:rsidP="00AC0BBF">
            <w:pPr>
              <w:pStyle w:val="TableText"/>
            </w:pPr>
            <w:r w:rsidRPr="00DA103D">
              <w:t>Capital asset charge</w:t>
            </w:r>
          </w:p>
        </w:tc>
        <w:tc>
          <w:tcPr>
            <w:tcW w:w="623" w:type="pct"/>
          </w:tcPr>
          <w:p w14:paraId="757FB7B4" w14:textId="1A70A883"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Note33 \h </w:instrText>
            </w:r>
            <w:r>
              <w:fldChar w:fldCharType="separate"/>
            </w:r>
            <w:r w:rsidR="00D46E6D">
              <w:t xml:space="preserve">3.3 </w:t>
            </w:r>
            <w:r>
              <w:fldChar w:fldCharType="end"/>
            </w:r>
          </w:p>
        </w:tc>
        <w:tc>
          <w:tcPr>
            <w:tcW w:w="623" w:type="pct"/>
          </w:tcPr>
          <w:p w14:paraId="3FB77831" w14:textId="066B72F8"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46,362</w:t>
            </w:r>
          </w:p>
        </w:tc>
        <w:tc>
          <w:tcPr>
            <w:tcW w:w="621" w:type="pct"/>
          </w:tcPr>
          <w:p w14:paraId="7C8AB6C1" w14:textId="0F069D02"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45,499</w:t>
            </w:r>
          </w:p>
        </w:tc>
      </w:tr>
      <w:tr w:rsidR="00417B1B" w:rsidRPr="00DA103D" w14:paraId="738AD147"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bottom w:val="single" w:sz="4" w:space="0" w:color="auto"/>
            </w:tcBorders>
          </w:tcPr>
          <w:p w14:paraId="2DB6B658" w14:textId="77777777" w:rsidR="00417B1B" w:rsidRPr="00DA103D" w:rsidRDefault="00417B1B" w:rsidP="00AC0BBF">
            <w:pPr>
              <w:pStyle w:val="TableText"/>
            </w:pPr>
            <w:r w:rsidRPr="00DA103D">
              <w:t>Supplies and services</w:t>
            </w:r>
          </w:p>
        </w:tc>
        <w:tc>
          <w:tcPr>
            <w:tcW w:w="623" w:type="pct"/>
            <w:tcBorders>
              <w:bottom w:val="single" w:sz="4" w:space="0" w:color="auto"/>
            </w:tcBorders>
          </w:tcPr>
          <w:p w14:paraId="557E1885" w14:textId="51B7B9FB"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Note34 \h </w:instrText>
            </w:r>
            <w:r>
              <w:fldChar w:fldCharType="separate"/>
            </w:r>
            <w:r w:rsidR="00D46E6D">
              <w:t xml:space="preserve">3.4 </w:t>
            </w:r>
            <w:r>
              <w:fldChar w:fldCharType="end"/>
            </w:r>
          </w:p>
        </w:tc>
        <w:tc>
          <w:tcPr>
            <w:tcW w:w="623" w:type="pct"/>
            <w:tcBorders>
              <w:bottom w:val="single" w:sz="4" w:space="0" w:color="auto"/>
            </w:tcBorders>
          </w:tcPr>
          <w:p w14:paraId="617F9C40" w14:textId="4670DC63"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155,189</w:t>
            </w:r>
          </w:p>
        </w:tc>
        <w:tc>
          <w:tcPr>
            <w:tcW w:w="621" w:type="pct"/>
            <w:tcBorders>
              <w:bottom w:val="single" w:sz="4" w:space="0" w:color="auto"/>
            </w:tcBorders>
          </w:tcPr>
          <w:p w14:paraId="779A3FB4" w14:textId="4DCACD2A"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144,086</w:t>
            </w:r>
          </w:p>
        </w:tc>
      </w:tr>
      <w:tr w:rsidR="00417B1B" w:rsidRPr="00612E18" w14:paraId="2534A70E"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2F8B786C" w14:textId="77777777" w:rsidR="00417B1B" w:rsidRPr="00612E18" w:rsidRDefault="00417B1B" w:rsidP="00AC0BBF">
            <w:pPr>
              <w:pStyle w:val="TableText"/>
              <w:rPr>
                <w:rStyle w:val="Bold"/>
              </w:rPr>
            </w:pPr>
            <w:r w:rsidRPr="00612E18">
              <w:rPr>
                <w:rStyle w:val="Bold"/>
              </w:rPr>
              <w:t>Total expenses from transactions</w:t>
            </w:r>
          </w:p>
        </w:tc>
        <w:tc>
          <w:tcPr>
            <w:tcW w:w="623" w:type="pct"/>
            <w:tcBorders>
              <w:top w:val="single" w:sz="4" w:space="0" w:color="auto"/>
              <w:bottom w:val="single" w:sz="4" w:space="0" w:color="auto"/>
            </w:tcBorders>
          </w:tcPr>
          <w:p w14:paraId="149782CE" w14:textId="7F653B61"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1381DBD3" w14:textId="73850D74"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669,003</w:t>
            </w:r>
          </w:p>
        </w:tc>
        <w:tc>
          <w:tcPr>
            <w:tcW w:w="621" w:type="pct"/>
            <w:tcBorders>
              <w:top w:val="single" w:sz="4" w:space="0" w:color="auto"/>
              <w:bottom w:val="single" w:sz="4" w:space="0" w:color="auto"/>
            </w:tcBorders>
          </w:tcPr>
          <w:p w14:paraId="77DAEFF6" w14:textId="046F8CCE"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612,360</w:t>
            </w:r>
          </w:p>
        </w:tc>
      </w:tr>
      <w:tr w:rsidR="00417B1B" w:rsidRPr="00612E18" w14:paraId="07DC46FC"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6FF99322" w14:textId="77777777" w:rsidR="00417B1B" w:rsidRPr="00612E18" w:rsidRDefault="00417B1B" w:rsidP="00AC0BBF">
            <w:pPr>
              <w:pStyle w:val="TableText"/>
              <w:rPr>
                <w:rStyle w:val="Bold"/>
              </w:rPr>
            </w:pPr>
            <w:r w:rsidRPr="00612E18">
              <w:rPr>
                <w:rStyle w:val="Bold"/>
              </w:rPr>
              <w:t>Net result from transactions (net operating balance)</w:t>
            </w:r>
          </w:p>
        </w:tc>
        <w:tc>
          <w:tcPr>
            <w:tcW w:w="623" w:type="pct"/>
            <w:tcBorders>
              <w:top w:val="single" w:sz="4" w:space="0" w:color="auto"/>
              <w:bottom w:val="single" w:sz="4" w:space="0" w:color="auto"/>
            </w:tcBorders>
          </w:tcPr>
          <w:p w14:paraId="548E7164" w14:textId="69A3FEE2"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77A0F4D9" w14:textId="16EF3E7D"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4,517</w:t>
            </w:r>
          </w:p>
        </w:tc>
        <w:tc>
          <w:tcPr>
            <w:tcW w:w="621" w:type="pct"/>
            <w:tcBorders>
              <w:top w:val="single" w:sz="4" w:space="0" w:color="auto"/>
              <w:bottom w:val="single" w:sz="4" w:space="0" w:color="auto"/>
            </w:tcBorders>
          </w:tcPr>
          <w:p w14:paraId="74DE1BC5" w14:textId="0FC6EE0B"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2,228</w:t>
            </w:r>
          </w:p>
        </w:tc>
      </w:tr>
      <w:tr w:rsidR="00417B1B" w:rsidRPr="00612E18" w14:paraId="2C071E43"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tcBorders>
          </w:tcPr>
          <w:p w14:paraId="507EFE44" w14:textId="77777777" w:rsidR="00417B1B" w:rsidRPr="00612E18" w:rsidRDefault="00417B1B" w:rsidP="00612E18">
            <w:pPr>
              <w:pStyle w:val="TableText"/>
              <w:spacing w:before="120"/>
              <w:rPr>
                <w:rStyle w:val="Bold"/>
              </w:rPr>
            </w:pPr>
            <w:r w:rsidRPr="00612E18">
              <w:rPr>
                <w:rStyle w:val="Bold"/>
              </w:rPr>
              <w:t>Other economic flows included in net result</w:t>
            </w:r>
          </w:p>
        </w:tc>
        <w:tc>
          <w:tcPr>
            <w:tcW w:w="623" w:type="pct"/>
            <w:tcBorders>
              <w:top w:val="single" w:sz="4" w:space="0" w:color="auto"/>
            </w:tcBorders>
          </w:tcPr>
          <w:p w14:paraId="32ED5F4E" w14:textId="53760DAD"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tcBorders>
          </w:tcPr>
          <w:p w14:paraId="576DFCB1" w14:textId="72F77D10"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Borders>
              <w:top w:val="single" w:sz="4" w:space="0" w:color="auto"/>
            </w:tcBorders>
          </w:tcPr>
          <w:p w14:paraId="3183E579" w14:textId="1B85B923"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DA103D" w14:paraId="460F8A04"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2820B8DF" w14:textId="77777777" w:rsidR="00417B1B" w:rsidRPr="00DA103D" w:rsidRDefault="00417B1B" w:rsidP="00AC0BBF">
            <w:pPr>
              <w:pStyle w:val="TableText"/>
            </w:pPr>
            <w:r w:rsidRPr="00DA103D">
              <w:t>Net gain/(loss) on non-financial assets</w:t>
            </w:r>
          </w:p>
        </w:tc>
        <w:tc>
          <w:tcPr>
            <w:tcW w:w="623" w:type="pct"/>
          </w:tcPr>
          <w:p w14:paraId="0A611643" w14:textId="6A01DE76" w:rsidR="00417B1B" w:rsidRPr="00DA103D" w:rsidRDefault="00FC12E5" w:rsidP="00AC0BB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Note91 \h </w:instrText>
            </w:r>
            <w:r>
              <w:fldChar w:fldCharType="separate"/>
            </w:r>
            <w:r w:rsidR="00D46E6D">
              <w:t>9.1</w:t>
            </w:r>
            <w:r>
              <w:fldChar w:fldCharType="end"/>
            </w:r>
          </w:p>
        </w:tc>
        <w:tc>
          <w:tcPr>
            <w:tcW w:w="623" w:type="pct"/>
          </w:tcPr>
          <w:p w14:paraId="499FB43F" w14:textId="70640CF1"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346</w:t>
            </w:r>
          </w:p>
        </w:tc>
        <w:tc>
          <w:tcPr>
            <w:tcW w:w="621" w:type="pct"/>
          </w:tcPr>
          <w:p w14:paraId="0ED2BFAA" w14:textId="04DF2A9D"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t>468</w:t>
            </w:r>
          </w:p>
        </w:tc>
      </w:tr>
      <w:tr w:rsidR="00FC12E5" w:rsidRPr="00DA103D" w14:paraId="7350DB50"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5D2E8A34" w14:textId="77777777" w:rsidR="00FC12E5" w:rsidRPr="00DA103D" w:rsidRDefault="00FC12E5" w:rsidP="00FC12E5">
            <w:pPr>
              <w:pStyle w:val="TableText"/>
            </w:pPr>
            <w:r w:rsidRPr="00DA103D">
              <w:t xml:space="preserve">Net gain/(loss) on financial instruments </w:t>
            </w:r>
          </w:p>
        </w:tc>
        <w:tc>
          <w:tcPr>
            <w:tcW w:w="623" w:type="pct"/>
          </w:tcPr>
          <w:p w14:paraId="5D78C30F" w14:textId="04FA8524" w:rsidR="00FC12E5" w:rsidRPr="00DA103D" w:rsidRDefault="00FC12E5" w:rsidP="00FC12E5">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Note91 \h </w:instrText>
            </w:r>
            <w:r>
              <w:fldChar w:fldCharType="separate"/>
            </w:r>
            <w:r w:rsidR="00D46E6D">
              <w:t>9.1</w:t>
            </w:r>
            <w:r>
              <w:fldChar w:fldCharType="end"/>
            </w:r>
          </w:p>
        </w:tc>
        <w:tc>
          <w:tcPr>
            <w:tcW w:w="623" w:type="pct"/>
          </w:tcPr>
          <w:p w14:paraId="7CDFEBF0" w14:textId="7FAC5C3D" w:rsidR="00FC12E5" w:rsidRPr="00DA103D" w:rsidRDefault="002856BA" w:rsidP="00FC12E5">
            <w:pPr>
              <w:pStyle w:val="TableText"/>
              <w:cnfStyle w:val="000000000000" w:firstRow="0" w:lastRow="0" w:firstColumn="0" w:lastColumn="0" w:oddVBand="0" w:evenVBand="0" w:oddHBand="0" w:evenHBand="0" w:firstRowFirstColumn="0" w:firstRowLastColumn="0" w:lastRowFirstColumn="0" w:lastRowLastColumn="0"/>
            </w:pPr>
            <w:r>
              <w:t>190</w:t>
            </w:r>
          </w:p>
        </w:tc>
        <w:tc>
          <w:tcPr>
            <w:tcW w:w="621" w:type="pct"/>
          </w:tcPr>
          <w:p w14:paraId="356B600E" w14:textId="1EE6F1E4" w:rsidR="00FC12E5" w:rsidRPr="00DA103D" w:rsidRDefault="002856BA" w:rsidP="00FC12E5">
            <w:pPr>
              <w:pStyle w:val="TableText"/>
              <w:cnfStyle w:val="000000000000" w:firstRow="0" w:lastRow="0" w:firstColumn="0" w:lastColumn="0" w:oddVBand="0" w:evenVBand="0" w:oddHBand="0" w:evenHBand="0" w:firstRowFirstColumn="0" w:firstRowLastColumn="0" w:lastRowFirstColumn="0" w:lastRowLastColumn="0"/>
            </w:pPr>
            <w:r>
              <w:t>381</w:t>
            </w:r>
          </w:p>
        </w:tc>
      </w:tr>
      <w:tr w:rsidR="00FC12E5" w:rsidRPr="00DA103D" w14:paraId="25C7963C"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bottom w:val="single" w:sz="4" w:space="0" w:color="auto"/>
            </w:tcBorders>
          </w:tcPr>
          <w:p w14:paraId="7FFA9148" w14:textId="77777777" w:rsidR="00FC12E5" w:rsidRPr="00DA103D" w:rsidRDefault="00FC12E5" w:rsidP="00FC12E5">
            <w:pPr>
              <w:pStyle w:val="TableText"/>
            </w:pPr>
            <w:r w:rsidRPr="00DA103D">
              <w:t>Other gains/(losses) from other economic flows</w:t>
            </w:r>
          </w:p>
        </w:tc>
        <w:tc>
          <w:tcPr>
            <w:tcW w:w="623" w:type="pct"/>
            <w:tcBorders>
              <w:bottom w:val="single" w:sz="4" w:space="0" w:color="auto"/>
            </w:tcBorders>
          </w:tcPr>
          <w:p w14:paraId="4AA475DC" w14:textId="043105E2" w:rsidR="00FC12E5" w:rsidRPr="00DA103D" w:rsidRDefault="00FC12E5" w:rsidP="00FC12E5">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Note91 \h </w:instrText>
            </w:r>
            <w:r>
              <w:fldChar w:fldCharType="separate"/>
            </w:r>
            <w:r w:rsidR="00D46E6D">
              <w:t>9.1</w:t>
            </w:r>
            <w:r>
              <w:fldChar w:fldCharType="end"/>
            </w:r>
          </w:p>
        </w:tc>
        <w:tc>
          <w:tcPr>
            <w:tcW w:w="623" w:type="pct"/>
            <w:tcBorders>
              <w:bottom w:val="single" w:sz="4" w:space="0" w:color="auto"/>
            </w:tcBorders>
          </w:tcPr>
          <w:p w14:paraId="224A58C2" w14:textId="0D65F9BC" w:rsidR="00FC12E5" w:rsidRPr="00DA103D" w:rsidRDefault="002856BA" w:rsidP="00FC12E5">
            <w:pPr>
              <w:pStyle w:val="TableText"/>
              <w:cnfStyle w:val="000000000000" w:firstRow="0" w:lastRow="0" w:firstColumn="0" w:lastColumn="0" w:oddVBand="0" w:evenVBand="0" w:oddHBand="0" w:evenHBand="0" w:firstRowFirstColumn="0" w:firstRowLastColumn="0" w:lastRowFirstColumn="0" w:lastRowLastColumn="0"/>
            </w:pPr>
            <w:r>
              <w:t>(1,916)</w:t>
            </w:r>
          </w:p>
        </w:tc>
        <w:tc>
          <w:tcPr>
            <w:tcW w:w="621" w:type="pct"/>
            <w:tcBorders>
              <w:bottom w:val="single" w:sz="4" w:space="0" w:color="auto"/>
            </w:tcBorders>
          </w:tcPr>
          <w:p w14:paraId="193BCA2B" w14:textId="0C6F0838" w:rsidR="00FC12E5" w:rsidRPr="00DA103D" w:rsidRDefault="002856BA" w:rsidP="00FC12E5">
            <w:pPr>
              <w:pStyle w:val="TableText"/>
              <w:cnfStyle w:val="000000000000" w:firstRow="0" w:lastRow="0" w:firstColumn="0" w:lastColumn="0" w:oddVBand="0" w:evenVBand="0" w:oddHBand="0" w:evenHBand="0" w:firstRowFirstColumn="0" w:firstRowLastColumn="0" w:lastRowFirstColumn="0" w:lastRowLastColumn="0"/>
            </w:pPr>
            <w:r>
              <w:t>(7,663)</w:t>
            </w:r>
          </w:p>
        </w:tc>
      </w:tr>
      <w:tr w:rsidR="00417B1B" w:rsidRPr="00612E18" w14:paraId="193F9825"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74DB41A1" w14:textId="77777777" w:rsidR="00417B1B" w:rsidRPr="00612E18" w:rsidRDefault="00417B1B" w:rsidP="00AC0BBF">
            <w:pPr>
              <w:pStyle w:val="TableText"/>
              <w:rPr>
                <w:rStyle w:val="Bold"/>
              </w:rPr>
            </w:pPr>
            <w:r w:rsidRPr="00612E18">
              <w:rPr>
                <w:rStyle w:val="Bold"/>
              </w:rPr>
              <w:t>Total other economic flows included in net result</w:t>
            </w:r>
          </w:p>
        </w:tc>
        <w:tc>
          <w:tcPr>
            <w:tcW w:w="623" w:type="pct"/>
            <w:tcBorders>
              <w:top w:val="single" w:sz="4" w:space="0" w:color="auto"/>
              <w:bottom w:val="single" w:sz="4" w:space="0" w:color="auto"/>
            </w:tcBorders>
          </w:tcPr>
          <w:p w14:paraId="1A71A26B" w14:textId="741C43F6"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1470B020" w14:textId="1B0C617D"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(1,379)</w:t>
            </w:r>
          </w:p>
        </w:tc>
        <w:tc>
          <w:tcPr>
            <w:tcW w:w="621" w:type="pct"/>
            <w:tcBorders>
              <w:top w:val="single" w:sz="4" w:space="0" w:color="auto"/>
              <w:bottom w:val="single" w:sz="4" w:space="0" w:color="auto"/>
            </w:tcBorders>
          </w:tcPr>
          <w:p w14:paraId="42217984" w14:textId="000C7408"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(6,814)</w:t>
            </w:r>
          </w:p>
        </w:tc>
      </w:tr>
      <w:tr w:rsidR="00417B1B" w:rsidRPr="00612E18" w14:paraId="10225742"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37BC7917" w14:textId="77777777" w:rsidR="00417B1B" w:rsidRPr="00612E18" w:rsidRDefault="00417B1B" w:rsidP="00AC0BBF">
            <w:pPr>
              <w:pStyle w:val="TableText"/>
              <w:rPr>
                <w:rStyle w:val="Bold"/>
              </w:rPr>
            </w:pPr>
            <w:r w:rsidRPr="00612E18">
              <w:rPr>
                <w:rStyle w:val="Bold"/>
              </w:rPr>
              <w:t>Net result</w:t>
            </w:r>
          </w:p>
        </w:tc>
        <w:tc>
          <w:tcPr>
            <w:tcW w:w="623" w:type="pct"/>
            <w:tcBorders>
              <w:top w:val="single" w:sz="4" w:space="0" w:color="auto"/>
              <w:bottom w:val="single" w:sz="4" w:space="0" w:color="auto"/>
            </w:tcBorders>
          </w:tcPr>
          <w:p w14:paraId="547E434B" w14:textId="7B6822CF"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0AE86938" w14:textId="6ADF9770"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3,138</w:t>
            </w:r>
          </w:p>
        </w:tc>
        <w:tc>
          <w:tcPr>
            <w:tcW w:w="621" w:type="pct"/>
            <w:tcBorders>
              <w:top w:val="single" w:sz="4" w:space="0" w:color="auto"/>
              <w:bottom w:val="single" w:sz="4" w:space="0" w:color="auto"/>
            </w:tcBorders>
          </w:tcPr>
          <w:p w14:paraId="11193C13" w14:textId="2EAAA71E"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(4,586)</w:t>
            </w:r>
          </w:p>
        </w:tc>
      </w:tr>
      <w:tr w:rsidR="00417B1B" w:rsidRPr="00612E18" w14:paraId="1FCC06F0"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272A3767" w14:textId="77777777" w:rsidR="00417B1B" w:rsidRPr="00612E18" w:rsidRDefault="00417B1B" w:rsidP="00612E18">
            <w:pPr>
              <w:pStyle w:val="TableText"/>
              <w:spacing w:before="120"/>
              <w:rPr>
                <w:rStyle w:val="Bold"/>
              </w:rPr>
            </w:pPr>
            <w:r w:rsidRPr="00612E18">
              <w:rPr>
                <w:rStyle w:val="Bold"/>
              </w:rPr>
              <w:t>Other economic flows - other comprehensive income</w:t>
            </w:r>
          </w:p>
        </w:tc>
        <w:tc>
          <w:tcPr>
            <w:tcW w:w="623" w:type="pct"/>
          </w:tcPr>
          <w:p w14:paraId="199C3AAB" w14:textId="7A8DE648"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Pr>
          <w:p w14:paraId="19837A34" w14:textId="30C84315"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Pr>
          <w:p w14:paraId="63F3ECB0" w14:textId="0DC237E7" w:rsidR="00417B1B" w:rsidRPr="001C2A22" w:rsidRDefault="00612E18" w:rsidP="00612E18">
            <w:pPr>
              <w:pStyle w:val="TableText"/>
              <w:spacing w:before="120"/>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612E18" w14:paraId="49F54F97" w14:textId="77777777" w:rsidTr="00612E18">
        <w:tc>
          <w:tcPr>
            <w:cnfStyle w:val="001000000000" w:firstRow="0" w:lastRow="0" w:firstColumn="1" w:lastColumn="0" w:oddVBand="0" w:evenVBand="0" w:oddHBand="0" w:evenHBand="0" w:firstRowFirstColumn="0" w:firstRowLastColumn="0" w:lastRowFirstColumn="0" w:lastRowLastColumn="0"/>
            <w:tcW w:w="3133" w:type="pct"/>
          </w:tcPr>
          <w:p w14:paraId="7132E759" w14:textId="77777777" w:rsidR="00417B1B" w:rsidRPr="00612E18" w:rsidRDefault="00417B1B" w:rsidP="00AC0BBF">
            <w:pPr>
              <w:pStyle w:val="TableText"/>
              <w:rPr>
                <w:rStyle w:val="Bold"/>
              </w:rPr>
            </w:pPr>
            <w:r w:rsidRPr="00612E18">
              <w:rPr>
                <w:rStyle w:val="Bold"/>
              </w:rPr>
              <w:t>Items that will not be reclassified to net result</w:t>
            </w:r>
          </w:p>
        </w:tc>
        <w:tc>
          <w:tcPr>
            <w:tcW w:w="623" w:type="pct"/>
          </w:tcPr>
          <w:p w14:paraId="48E22A15" w14:textId="6EE74007"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Pr>
          <w:p w14:paraId="27753F12" w14:textId="389045B4"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1" w:type="pct"/>
          </w:tcPr>
          <w:p w14:paraId="58016E67" w14:textId="11CED94B"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r>
      <w:tr w:rsidR="00417B1B" w:rsidRPr="00DA103D" w14:paraId="57CCF6C9"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bottom w:val="single" w:sz="4" w:space="0" w:color="auto"/>
            </w:tcBorders>
          </w:tcPr>
          <w:p w14:paraId="62FB3C74" w14:textId="77777777" w:rsidR="00417B1B" w:rsidRPr="004C7EBB" w:rsidRDefault="00417B1B" w:rsidP="00AC0BBF">
            <w:pPr>
              <w:pStyle w:val="TableText"/>
            </w:pPr>
            <w:r w:rsidRPr="004C7EBB">
              <w:t>Changes in physical asset revaluation surplus</w:t>
            </w:r>
          </w:p>
        </w:tc>
        <w:tc>
          <w:tcPr>
            <w:tcW w:w="623" w:type="pct"/>
            <w:tcBorders>
              <w:bottom w:val="single" w:sz="4" w:space="0" w:color="auto"/>
            </w:tcBorders>
          </w:tcPr>
          <w:p w14:paraId="5B4B1DDB" w14:textId="57480E34" w:rsidR="00417B1B" w:rsidRPr="004C7EBB" w:rsidRDefault="00FC12E5" w:rsidP="00FC12E5">
            <w:pPr>
              <w:pStyle w:val="TableText"/>
              <w:cnfStyle w:val="000000000000" w:firstRow="0" w:lastRow="0" w:firstColumn="0" w:lastColumn="0" w:oddVBand="0" w:evenVBand="0" w:oddHBand="0" w:evenHBand="0" w:firstRowFirstColumn="0" w:firstRowLastColumn="0" w:lastRowFirstColumn="0" w:lastRowLastColumn="0"/>
            </w:pPr>
            <w:r w:rsidRPr="004C7EBB">
              <w:fldChar w:fldCharType="begin"/>
            </w:r>
            <w:r w:rsidRPr="004C7EBB">
              <w:instrText xml:space="preserve"> REF Note513 \h </w:instrText>
            </w:r>
            <w:r w:rsidR="002856BA" w:rsidRPr="004C7EBB">
              <w:instrText xml:space="preserve"> \* MERGEFORMAT </w:instrText>
            </w:r>
            <w:r w:rsidRPr="004C7EBB">
              <w:fldChar w:fldCharType="separate"/>
            </w:r>
            <w:r w:rsidR="00D46E6D" w:rsidRPr="006A0EFA">
              <w:t>5.1.3</w:t>
            </w:r>
            <w:r w:rsidRPr="004C7EBB">
              <w:fldChar w:fldCharType="end"/>
            </w:r>
            <w:r w:rsidR="004C7EBB">
              <w:t>/</w:t>
            </w:r>
            <w:hyperlink w:anchor="Note832" w:history="1">
              <w:r w:rsidR="004C7EBB" w:rsidRPr="004C7EBB">
                <w:t>8.3.2</w:t>
              </w:r>
            </w:hyperlink>
          </w:p>
        </w:tc>
        <w:tc>
          <w:tcPr>
            <w:tcW w:w="623" w:type="pct"/>
            <w:tcBorders>
              <w:bottom w:val="single" w:sz="4" w:space="0" w:color="auto"/>
            </w:tcBorders>
          </w:tcPr>
          <w:p w14:paraId="6BC55417" w14:textId="74D09ACD" w:rsidR="00417B1B" w:rsidRPr="004C7EBB" w:rsidRDefault="002856BA" w:rsidP="00AC0BBF">
            <w:pPr>
              <w:pStyle w:val="TableText"/>
              <w:cnfStyle w:val="000000000000" w:firstRow="0" w:lastRow="0" w:firstColumn="0" w:lastColumn="0" w:oddVBand="0" w:evenVBand="0" w:oddHBand="0" w:evenHBand="0" w:firstRowFirstColumn="0" w:firstRowLastColumn="0" w:lastRowFirstColumn="0" w:lastRowLastColumn="0"/>
            </w:pPr>
            <w:r w:rsidRPr="004C7EBB">
              <w:t>44,337</w:t>
            </w:r>
          </w:p>
        </w:tc>
        <w:tc>
          <w:tcPr>
            <w:tcW w:w="621" w:type="pct"/>
            <w:tcBorders>
              <w:bottom w:val="single" w:sz="4" w:space="0" w:color="auto"/>
            </w:tcBorders>
          </w:tcPr>
          <w:p w14:paraId="0C37E806" w14:textId="6C923FB9" w:rsidR="00417B1B" w:rsidRPr="00DA103D" w:rsidRDefault="002856BA" w:rsidP="00AC0BBF">
            <w:pPr>
              <w:pStyle w:val="TableText"/>
              <w:cnfStyle w:val="000000000000" w:firstRow="0" w:lastRow="0" w:firstColumn="0" w:lastColumn="0" w:oddVBand="0" w:evenVBand="0" w:oddHBand="0" w:evenHBand="0" w:firstRowFirstColumn="0" w:firstRowLastColumn="0" w:lastRowFirstColumn="0" w:lastRowLastColumn="0"/>
            </w:pPr>
            <w:r w:rsidRPr="004C7EBB">
              <w:t>53,844</w:t>
            </w:r>
          </w:p>
        </w:tc>
      </w:tr>
      <w:tr w:rsidR="00417B1B" w:rsidRPr="00612E18" w14:paraId="52DC5B0B"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6D24573B" w14:textId="77777777" w:rsidR="00417B1B" w:rsidRPr="00612E18" w:rsidRDefault="00417B1B" w:rsidP="00AC0BBF">
            <w:pPr>
              <w:pStyle w:val="TableText"/>
              <w:rPr>
                <w:rStyle w:val="Bold"/>
              </w:rPr>
            </w:pPr>
            <w:r w:rsidRPr="00612E18">
              <w:rPr>
                <w:rStyle w:val="Bold"/>
              </w:rPr>
              <w:t>Total other economic flows - other comprehensive income</w:t>
            </w:r>
          </w:p>
        </w:tc>
        <w:tc>
          <w:tcPr>
            <w:tcW w:w="623" w:type="pct"/>
            <w:tcBorders>
              <w:top w:val="single" w:sz="4" w:space="0" w:color="auto"/>
              <w:bottom w:val="single" w:sz="4" w:space="0" w:color="auto"/>
            </w:tcBorders>
          </w:tcPr>
          <w:p w14:paraId="263366F3" w14:textId="4772CFFD"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1D013D24" w14:textId="566D519F"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44,337</w:t>
            </w:r>
          </w:p>
        </w:tc>
        <w:tc>
          <w:tcPr>
            <w:tcW w:w="621" w:type="pct"/>
            <w:tcBorders>
              <w:top w:val="single" w:sz="4" w:space="0" w:color="auto"/>
              <w:bottom w:val="single" w:sz="4" w:space="0" w:color="auto"/>
            </w:tcBorders>
          </w:tcPr>
          <w:p w14:paraId="53933EC8" w14:textId="7D50B8B7"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53,844</w:t>
            </w:r>
          </w:p>
        </w:tc>
      </w:tr>
      <w:tr w:rsidR="00417B1B" w:rsidRPr="00612E18" w14:paraId="673E0978" w14:textId="77777777" w:rsidTr="00612E18">
        <w:tc>
          <w:tcPr>
            <w:cnfStyle w:val="001000000000" w:firstRow="0" w:lastRow="0" w:firstColumn="1" w:lastColumn="0" w:oddVBand="0" w:evenVBand="0" w:oddHBand="0" w:evenHBand="0" w:firstRowFirstColumn="0" w:firstRowLastColumn="0" w:lastRowFirstColumn="0" w:lastRowLastColumn="0"/>
            <w:tcW w:w="3133" w:type="pct"/>
            <w:tcBorders>
              <w:top w:val="single" w:sz="4" w:space="0" w:color="auto"/>
              <w:bottom w:val="single" w:sz="4" w:space="0" w:color="auto"/>
            </w:tcBorders>
          </w:tcPr>
          <w:p w14:paraId="6A9D8D69" w14:textId="77777777" w:rsidR="00417B1B" w:rsidRPr="00612E18" w:rsidRDefault="00417B1B" w:rsidP="00AC0BBF">
            <w:pPr>
              <w:pStyle w:val="TableText"/>
              <w:rPr>
                <w:rStyle w:val="Bold"/>
              </w:rPr>
            </w:pPr>
            <w:r w:rsidRPr="00612E18">
              <w:rPr>
                <w:rStyle w:val="Bold"/>
              </w:rPr>
              <w:t>Comprehensive result</w:t>
            </w:r>
          </w:p>
        </w:tc>
        <w:tc>
          <w:tcPr>
            <w:tcW w:w="623" w:type="pct"/>
            <w:tcBorders>
              <w:top w:val="single" w:sz="4" w:space="0" w:color="auto"/>
              <w:bottom w:val="single" w:sz="4" w:space="0" w:color="auto"/>
            </w:tcBorders>
          </w:tcPr>
          <w:p w14:paraId="3946DBDF" w14:textId="1AA1EA2A" w:rsidR="00417B1B" w:rsidRPr="001C2A22" w:rsidRDefault="00612E18" w:rsidP="00AC0BBF">
            <w:pPr>
              <w:pStyle w:val="TableText"/>
              <w:cnfStyle w:val="000000000000" w:firstRow="0" w:lastRow="0" w:firstColumn="0" w:lastColumn="0" w:oddVBand="0" w:evenVBand="0" w:oddHBand="0" w:evenHBand="0" w:firstRowFirstColumn="0" w:firstRowLastColumn="0" w:lastRowFirstColumn="0" w:lastRowLastColumn="0"/>
            </w:pPr>
            <w:r w:rsidRPr="001C2A22">
              <w:t>N/A</w:t>
            </w:r>
          </w:p>
        </w:tc>
        <w:tc>
          <w:tcPr>
            <w:tcW w:w="623" w:type="pct"/>
            <w:tcBorders>
              <w:top w:val="single" w:sz="4" w:space="0" w:color="auto"/>
              <w:bottom w:val="single" w:sz="4" w:space="0" w:color="auto"/>
            </w:tcBorders>
          </w:tcPr>
          <w:p w14:paraId="6E6DD4F9" w14:textId="36943F12"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47,475</w:t>
            </w:r>
          </w:p>
        </w:tc>
        <w:tc>
          <w:tcPr>
            <w:tcW w:w="621" w:type="pct"/>
            <w:tcBorders>
              <w:top w:val="single" w:sz="4" w:space="0" w:color="auto"/>
              <w:bottom w:val="single" w:sz="4" w:space="0" w:color="auto"/>
            </w:tcBorders>
          </w:tcPr>
          <w:p w14:paraId="069041EE" w14:textId="66132CAB" w:rsidR="00417B1B" w:rsidRPr="00612E18" w:rsidRDefault="002856BA" w:rsidP="00AC0BB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49,258</w:t>
            </w:r>
          </w:p>
        </w:tc>
      </w:tr>
    </w:tbl>
    <w:p w14:paraId="3EBE8525" w14:textId="4552C6AA" w:rsidR="00F520FE" w:rsidRPr="007C5CE3" w:rsidRDefault="00F520FE" w:rsidP="00F110E7">
      <w:pPr>
        <w:pStyle w:val="NotesNumberedList"/>
        <w:numPr>
          <w:ilvl w:val="0"/>
          <w:numId w:val="38"/>
        </w:numPr>
      </w:pPr>
      <w:bookmarkStart w:id="218" w:name="CompOperatingnote"/>
      <w:r w:rsidRPr="007C5CE3">
        <w:t>2019 amounts have been restated as a result of a correction of an error (</w:t>
      </w:r>
      <w:r w:rsidR="00677C4B" w:rsidRPr="007C5CE3">
        <w:t xml:space="preserve">see </w:t>
      </w:r>
      <w:hyperlink w:anchor="Note10text" w:history="1">
        <w:r w:rsidR="00677C4B" w:rsidRPr="00A844BC">
          <w:rPr>
            <w:rStyle w:val="Hyperlink"/>
          </w:rPr>
          <w:t>Note 10</w:t>
        </w:r>
      </w:hyperlink>
      <w:r w:rsidRPr="007C5CE3">
        <w:t>)</w:t>
      </w:r>
    </w:p>
    <w:bookmarkEnd w:id="218"/>
    <w:p w14:paraId="42297D55" w14:textId="2E06ABF1" w:rsidR="00F520FE" w:rsidRDefault="00F520FE" w:rsidP="00F520FE">
      <w:pPr>
        <w:pStyle w:val="BodyText"/>
      </w:pPr>
      <w:r>
        <w:t>The accompanying notes form part of these financial statements.</w:t>
      </w:r>
    </w:p>
    <w:p w14:paraId="222E021A" w14:textId="71FFF2A9" w:rsidR="00417B1B" w:rsidRDefault="008C17D7" w:rsidP="00417B1B">
      <w:pPr>
        <w:pStyle w:val="Heading2"/>
        <w:pageBreakBefore/>
      </w:pPr>
      <w:bookmarkStart w:id="219" w:name="_Balance_Sheet_as"/>
      <w:bookmarkStart w:id="220" w:name="_Ref22643982"/>
      <w:bookmarkStart w:id="221" w:name="_Toc62808127"/>
      <w:bookmarkEnd w:id="219"/>
      <w:r w:rsidRPr="005F2304">
        <w:t>Balance Sheet a</w:t>
      </w:r>
      <w:r w:rsidR="00417B1B" w:rsidRPr="005F2304">
        <w:t xml:space="preserve">s </w:t>
      </w:r>
      <w:proofErr w:type="gramStart"/>
      <w:r w:rsidRPr="005F2304">
        <w:t>a</w:t>
      </w:r>
      <w:r w:rsidR="00417B1B" w:rsidRPr="005F2304">
        <w:t>t</w:t>
      </w:r>
      <w:proofErr w:type="gramEnd"/>
      <w:r w:rsidR="00417B1B" w:rsidRPr="005F2304">
        <w:t xml:space="preserve"> 30 June 20</w:t>
      </w:r>
      <w:r w:rsidR="00F520FE" w:rsidRPr="005F2304">
        <w:t>20</w:t>
      </w:r>
      <w:bookmarkEnd w:id="220"/>
      <w:bookmarkEnd w:id="221"/>
    </w:p>
    <w:tbl>
      <w:tblPr>
        <w:tblStyle w:val="AccessibleTableNumerical"/>
        <w:tblW w:w="5000" w:type="pct"/>
        <w:tblLook w:val="04A0" w:firstRow="1" w:lastRow="0" w:firstColumn="1" w:lastColumn="0" w:noHBand="0" w:noVBand="1"/>
      </w:tblPr>
      <w:tblGrid>
        <w:gridCol w:w="5394"/>
        <w:gridCol w:w="845"/>
        <w:gridCol w:w="1151"/>
        <w:gridCol w:w="1124"/>
        <w:gridCol w:w="1128"/>
      </w:tblGrid>
      <w:tr w:rsidR="005F2304" w:rsidRPr="001807DD" w14:paraId="3C56DE2D" w14:textId="77777777" w:rsidTr="004B1F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7" w:type="pct"/>
          </w:tcPr>
          <w:p w14:paraId="5A1369A0" w14:textId="486259E0" w:rsidR="005F2304" w:rsidRPr="001807DD" w:rsidRDefault="005F2304" w:rsidP="00AC0BBF">
            <w:pPr>
              <w:pStyle w:val="TableText"/>
              <w:spacing w:before="0"/>
            </w:pPr>
            <w:bookmarkStart w:id="222" w:name="ColumnTitle_43"/>
            <w:r>
              <w:t>Item</w:t>
            </w:r>
          </w:p>
        </w:tc>
        <w:tc>
          <w:tcPr>
            <w:tcW w:w="438" w:type="pct"/>
            <w:vAlign w:val="bottom"/>
          </w:tcPr>
          <w:p w14:paraId="35C7F239" w14:textId="77777777" w:rsidR="005F2304" w:rsidRPr="001807DD" w:rsidRDefault="005F2304" w:rsidP="008C17D7">
            <w:pPr>
              <w:pStyle w:val="TableText"/>
              <w:spacing w:before="0"/>
              <w:cnfStyle w:val="100000000000" w:firstRow="1" w:lastRow="0" w:firstColumn="0" w:lastColumn="0" w:oddVBand="0" w:evenVBand="0" w:oddHBand="0" w:evenHBand="0" w:firstRowFirstColumn="0" w:firstRowLastColumn="0" w:lastRowFirstColumn="0" w:lastRowLastColumn="0"/>
            </w:pPr>
            <w:r w:rsidRPr="001807DD">
              <w:t>Note</w:t>
            </w:r>
          </w:p>
        </w:tc>
        <w:tc>
          <w:tcPr>
            <w:tcW w:w="597" w:type="pct"/>
            <w:vAlign w:val="bottom"/>
          </w:tcPr>
          <w:p w14:paraId="1343B5D8" w14:textId="2572D444" w:rsidR="005F2304" w:rsidRPr="001807DD" w:rsidRDefault="005F2304" w:rsidP="005F2304">
            <w:pPr>
              <w:pStyle w:val="TableText"/>
              <w:spacing w:before="0"/>
              <w:cnfStyle w:val="100000000000" w:firstRow="1" w:lastRow="0" w:firstColumn="0" w:lastColumn="0" w:oddVBand="0" w:evenVBand="0" w:oddHBand="0" w:evenHBand="0" w:firstRowFirstColumn="0" w:firstRowLastColumn="0" w:lastRowFirstColumn="0" w:lastRowLastColumn="0"/>
            </w:pPr>
            <w:r>
              <w:t>2020</w:t>
            </w:r>
            <w:r>
              <w:br/>
              <w:t>$’000</w:t>
            </w:r>
          </w:p>
        </w:tc>
        <w:tc>
          <w:tcPr>
            <w:tcW w:w="583" w:type="pct"/>
            <w:vAlign w:val="bottom"/>
          </w:tcPr>
          <w:p w14:paraId="52A4390A" w14:textId="666FD353" w:rsidR="005F2304" w:rsidRPr="008124F4" w:rsidRDefault="005F2304" w:rsidP="005F2304">
            <w:pPr>
              <w:pStyle w:val="TableText"/>
              <w:spacing w:before="0"/>
              <w:cnfStyle w:val="100000000000" w:firstRow="1" w:lastRow="0" w:firstColumn="0" w:lastColumn="0" w:oddVBand="0" w:evenVBand="0" w:oddHBand="0" w:evenHBand="0" w:firstRowFirstColumn="0" w:firstRowLastColumn="0" w:lastRowFirstColumn="0" w:lastRowLastColumn="0"/>
            </w:pPr>
            <w:r w:rsidRPr="008124F4">
              <w:t>Restated</w:t>
            </w:r>
            <w:r w:rsidRPr="008124F4">
              <w:br/>
              <w:t>2019</w:t>
            </w:r>
            <w:r w:rsidRPr="008124F4">
              <w:br/>
              <w:t>$'000</w:t>
            </w:r>
            <w:hyperlink w:anchor="BalanceSheetnote" w:history="1">
              <w:r w:rsidR="008124F4" w:rsidRPr="004B1F0A">
                <w:rPr>
                  <w:vertAlign w:val="superscript"/>
                </w:rPr>
                <w:t>(</w:t>
              </w:r>
              <w:proofErr w:type="spellStart"/>
              <w:r w:rsidR="008124F4" w:rsidRPr="004B1F0A">
                <w:rPr>
                  <w:vertAlign w:val="superscript"/>
                </w:rPr>
                <w:t>i</w:t>
              </w:r>
              <w:proofErr w:type="spellEnd"/>
              <w:r w:rsidR="008124F4" w:rsidRPr="004B1F0A">
                <w:rPr>
                  <w:vertAlign w:val="superscript"/>
                </w:rPr>
                <w:t>)</w:t>
              </w:r>
            </w:hyperlink>
          </w:p>
        </w:tc>
        <w:tc>
          <w:tcPr>
            <w:tcW w:w="585" w:type="pct"/>
            <w:vAlign w:val="bottom"/>
          </w:tcPr>
          <w:p w14:paraId="012D27A7" w14:textId="6B0B06CC" w:rsidR="005F2304" w:rsidRPr="008124F4" w:rsidRDefault="005F2304" w:rsidP="008C17D7">
            <w:pPr>
              <w:pStyle w:val="TableText"/>
              <w:spacing w:before="0"/>
              <w:cnfStyle w:val="100000000000" w:firstRow="1" w:lastRow="0" w:firstColumn="0" w:lastColumn="0" w:oddVBand="0" w:evenVBand="0" w:oddHBand="0" w:evenHBand="0" w:firstRowFirstColumn="0" w:firstRowLastColumn="0" w:lastRowFirstColumn="0" w:lastRowLastColumn="0"/>
            </w:pPr>
            <w:r w:rsidRPr="008124F4">
              <w:t>Restated</w:t>
            </w:r>
            <w:r w:rsidRPr="008124F4">
              <w:br/>
              <w:t>1 July 2018</w:t>
            </w:r>
            <w:r w:rsidRPr="008124F4">
              <w:br/>
              <w:t>$'000</w:t>
            </w:r>
            <w:hyperlink w:anchor="BalanceSheetnote" w:history="1">
              <w:r w:rsidR="008124F4" w:rsidRPr="004B1F0A">
                <w:rPr>
                  <w:vertAlign w:val="superscript"/>
                </w:rPr>
                <w:t>(</w:t>
              </w:r>
              <w:proofErr w:type="spellStart"/>
              <w:r w:rsidR="008124F4" w:rsidRPr="004B1F0A">
                <w:rPr>
                  <w:vertAlign w:val="superscript"/>
                </w:rPr>
                <w:t>i</w:t>
              </w:r>
              <w:proofErr w:type="spellEnd"/>
              <w:r w:rsidR="008124F4" w:rsidRPr="004B1F0A">
                <w:rPr>
                  <w:vertAlign w:val="superscript"/>
                </w:rPr>
                <w:t>)</w:t>
              </w:r>
            </w:hyperlink>
          </w:p>
        </w:tc>
      </w:tr>
      <w:bookmarkEnd w:id="222"/>
      <w:tr w:rsidR="005F2304" w:rsidRPr="001807DD" w14:paraId="47FA2EBE"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6B963A24" w14:textId="77777777" w:rsidR="005F2304" w:rsidRPr="001807DD" w:rsidRDefault="005F2304" w:rsidP="003836AB">
            <w:pPr>
              <w:pStyle w:val="TableText"/>
              <w:spacing w:before="120"/>
            </w:pPr>
            <w:r w:rsidRPr="00AC0BBF">
              <w:rPr>
                <w:rStyle w:val="Bold"/>
              </w:rPr>
              <w:t>Financial assets</w:t>
            </w:r>
          </w:p>
        </w:tc>
        <w:tc>
          <w:tcPr>
            <w:tcW w:w="438" w:type="pct"/>
          </w:tcPr>
          <w:p w14:paraId="7D415B8E" w14:textId="57AFE8F9"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97" w:type="pct"/>
          </w:tcPr>
          <w:p w14:paraId="5B093A91" w14:textId="2B2F26DB" w:rsidR="005F2304"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3" w:type="pct"/>
          </w:tcPr>
          <w:p w14:paraId="4F6246C1" w14:textId="027B9B80"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5" w:type="pct"/>
          </w:tcPr>
          <w:p w14:paraId="084130CF" w14:textId="4250CCF9"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5F2304" w:rsidRPr="001807DD" w14:paraId="30C3D496"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63E01C0B" w14:textId="77777777" w:rsidR="005F2304" w:rsidRPr="001807DD" w:rsidRDefault="005F2304" w:rsidP="00AC0BBF">
            <w:pPr>
              <w:pStyle w:val="TableText"/>
              <w:spacing w:before="0"/>
            </w:pPr>
            <w:r w:rsidRPr="001807DD">
              <w:t>Cash and deposits</w:t>
            </w:r>
          </w:p>
        </w:tc>
        <w:tc>
          <w:tcPr>
            <w:tcW w:w="438" w:type="pct"/>
          </w:tcPr>
          <w:p w14:paraId="27A0B6DA" w14:textId="371EAA3F"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Note811 \h </w:instrText>
            </w:r>
            <w:r>
              <w:fldChar w:fldCharType="separate"/>
            </w:r>
            <w:r w:rsidR="00D46E6D">
              <w:t>8.1.1</w:t>
            </w:r>
            <w:r>
              <w:fldChar w:fldCharType="end"/>
            </w:r>
          </w:p>
        </w:tc>
        <w:tc>
          <w:tcPr>
            <w:tcW w:w="597" w:type="pct"/>
          </w:tcPr>
          <w:p w14:paraId="40A68C77" w14:textId="44989E9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19,888</w:t>
            </w:r>
          </w:p>
        </w:tc>
        <w:tc>
          <w:tcPr>
            <w:tcW w:w="583" w:type="pct"/>
          </w:tcPr>
          <w:p w14:paraId="5B938F67" w14:textId="2844DA86"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17,899</w:t>
            </w:r>
          </w:p>
        </w:tc>
        <w:tc>
          <w:tcPr>
            <w:tcW w:w="585" w:type="pct"/>
          </w:tcPr>
          <w:p w14:paraId="46F143D3" w14:textId="32636775"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13,151</w:t>
            </w:r>
          </w:p>
        </w:tc>
      </w:tr>
      <w:tr w:rsidR="005F2304" w:rsidRPr="001807DD" w14:paraId="0FD15A4B"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bottom w:val="single" w:sz="4" w:space="0" w:color="auto"/>
            </w:tcBorders>
          </w:tcPr>
          <w:p w14:paraId="63BF5DA6" w14:textId="77777777" w:rsidR="005F2304" w:rsidRPr="001807DD" w:rsidRDefault="005F2304" w:rsidP="00AC0BBF">
            <w:pPr>
              <w:pStyle w:val="TableText"/>
              <w:spacing w:before="0"/>
            </w:pPr>
            <w:r w:rsidRPr="001807DD">
              <w:t>Receivables</w:t>
            </w:r>
          </w:p>
        </w:tc>
        <w:tc>
          <w:tcPr>
            <w:tcW w:w="438" w:type="pct"/>
            <w:tcBorders>
              <w:bottom w:val="single" w:sz="4" w:space="0" w:color="auto"/>
            </w:tcBorders>
          </w:tcPr>
          <w:p w14:paraId="3F789D5E" w14:textId="1E7DAA0A"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Note61 \h </w:instrText>
            </w:r>
            <w:r>
              <w:fldChar w:fldCharType="separate"/>
            </w:r>
            <w:r w:rsidR="00D46E6D">
              <w:t xml:space="preserve">6.1 </w:t>
            </w:r>
            <w:r>
              <w:fldChar w:fldCharType="end"/>
            </w:r>
          </w:p>
        </w:tc>
        <w:tc>
          <w:tcPr>
            <w:tcW w:w="597" w:type="pct"/>
            <w:tcBorders>
              <w:bottom w:val="single" w:sz="4" w:space="0" w:color="auto"/>
            </w:tcBorders>
          </w:tcPr>
          <w:p w14:paraId="0564D732" w14:textId="1E88B390"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134,706</w:t>
            </w:r>
          </w:p>
        </w:tc>
        <w:tc>
          <w:tcPr>
            <w:tcW w:w="583" w:type="pct"/>
            <w:tcBorders>
              <w:bottom w:val="single" w:sz="4" w:space="0" w:color="auto"/>
            </w:tcBorders>
          </w:tcPr>
          <w:p w14:paraId="113A06DA" w14:textId="3AC5975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99,925</w:t>
            </w:r>
          </w:p>
        </w:tc>
        <w:tc>
          <w:tcPr>
            <w:tcW w:w="585" w:type="pct"/>
            <w:tcBorders>
              <w:bottom w:val="single" w:sz="4" w:space="0" w:color="auto"/>
            </w:tcBorders>
          </w:tcPr>
          <w:p w14:paraId="7A259BA7" w14:textId="6E31597D"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97,199</w:t>
            </w:r>
          </w:p>
        </w:tc>
      </w:tr>
      <w:tr w:rsidR="005F2304" w:rsidRPr="000C6E63" w14:paraId="532A2674"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tcPr>
          <w:p w14:paraId="6D81B633" w14:textId="77777777" w:rsidR="005F2304" w:rsidRPr="000C6E63" w:rsidRDefault="005F2304" w:rsidP="00AC0BBF">
            <w:pPr>
              <w:pStyle w:val="TableText"/>
              <w:spacing w:before="0"/>
              <w:rPr>
                <w:rStyle w:val="Bold"/>
              </w:rPr>
            </w:pPr>
            <w:r w:rsidRPr="000C6E63">
              <w:rPr>
                <w:rStyle w:val="Bold"/>
              </w:rPr>
              <w:t>Total financial assets</w:t>
            </w:r>
          </w:p>
        </w:tc>
        <w:tc>
          <w:tcPr>
            <w:tcW w:w="438" w:type="pct"/>
            <w:tcBorders>
              <w:top w:val="single" w:sz="4" w:space="0" w:color="auto"/>
              <w:bottom w:val="single" w:sz="4" w:space="0" w:color="auto"/>
            </w:tcBorders>
          </w:tcPr>
          <w:p w14:paraId="2437C342" w14:textId="30D44E04"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0C6E63">
              <w:t>N/A</w:t>
            </w:r>
          </w:p>
        </w:tc>
        <w:tc>
          <w:tcPr>
            <w:tcW w:w="597" w:type="pct"/>
            <w:tcBorders>
              <w:top w:val="single" w:sz="4" w:space="0" w:color="auto"/>
              <w:bottom w:val="single" w:sz="4" w:space="0" w:color="auto"/>
            </w:tcBorders>
          </w:tcPr>
          <w:p w14:paraId="5D9C77BE" w14:textId="06CB3B9D"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154,594</w:t>
            </w:r>
          </w:p>
        </w:tc>
        <w:tc>
          <w:tcPr>
            <w:tcW w:w="583" w:type="pct"/>
            <w:tcBorders>
              <w:top w:val="single" w:sz="4" w:space="0" w:color="auto"/>
              <w:bottom w:val="single" w:sz="4" w:space="0" w:color="auto"/>
            </w:tcBorders>
          </w:tcPr>
          <w:p w14:paraId="0A4A70DB" w14:textId="54B1F2C6"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117,824</w:t>
            </w:r>
          </w:p>
        </w:tc>
        <w:tc>
          <w:tcPr>
            <w:tcW w:w="585" w:type="pct"/>
            <w:tcBorders>
              <w:top w:val="single" w:sz="4" w:space="0" w:color="auto"/>
              <w:bottom w:val="single" w:sz="4" w:space="0" w:color="auto"/>
            </w:tcBorders>
          </w:tcPr>
          <w:p w14:paraId="64D825AC" w14:textId="6BB6ACCC"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110,350</w:t>
            </w:r>
          </w:p>
        </w:tc>
      </w:tr>
      <w:tr w:rsidR="005F2304" w:rsidRPr="001807DD" w14:paraId="342E3A9D"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tcBorders>
          </w:tcPr>
          <w:p w14:paraId="31FCD4E9" w14:textId="77777777" w:rsidR="005F2304" w:rsidRPr="000C6E63" w:rsidRDefault="005F2304" w:rsidP="003836AB">
            <w:pPr>
              <w:pStyle w:val="TableText"/>
              <w:spacing w:before="120"/>
              <w:rPr>
                <w:rStyle w:val="Bold"/>
              </w:rPr>
            </w:pPr>
            <w:r w:rsidRPr="000C6E63">
              <w:rPr>
                <w:rStyle w:val="Bold"/>
              </w:rPr>
              <w:t>Non-financial assets</w:t>
            </w:r>
          </w:p>
        </w:tc>
        <w:tc>
          <w:tcPr>
            <w:tcW w:w="438" w:type="pct"/>
            <w:tcBorders>
              <w:top w:val="single" w:sz="4" w:space="0" w:color="auto"/>
            </w:tcBorders>
          </w:tcPr>
          <w:p w14:paraId="4B80B287" w14:textId="5BC1B5F6"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97" w:type="pct"/>
            <w:tcBorders>
              <w:top w:val="single" w:sz="4" w:space="0" w:color="auto"/>
            </w:tcBorders>
          </w:tcPr>
          <w:p w14:paraId="31B93AC3" w14:textId="5BB2584E" w:rsidR="005F2304"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3" w:type="pct"/>
            <w:tcBorders>
              <w:top w:val="single" w:sz="4" w:space="0" w:color="auto"/>
            </w:tcBorders>
          </w:tcPr>
          <w:p w14:paraId="234DD49D" w14:textId="5D917EC5"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5" w:type="pct"/>
            <w:tcBorders>
              <w:top w:val="single" w:sz="4" w:space="0" w:color="auto"/>
            </w:tcBorders>
          </w:tcPr>
          <w:p w14:paraId="7BE25044" w14:textId="75963FF7"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5F2304" w:rsidRPr="001807DD" w14:paraId="4B2822CB"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6C8B60E4" w14:textId="77777777" w:rsidR="005F2304" w:rsidRPr="001807DD" w:rsidRDefault="005F2304" w:rsidP="00AC0BBF">
            <w:pPr>
              <w:pStyle w:val="TableText"/>
              <w:spacing w:before="0"/>
            </w:pPr>
            <w:r w:rsidRPr="001807DD">
              <w:t>Non-financial physical assets classified as held for sale</w:t>
            </w:r>
          </w:p>
        </w:tc>
        <w:tc>
          <w:tcPr>
            <w:tcW w:w="438" w:type="pct"/>
          </w:tcPr>
          <w:p w14:paraId="3A10EC16" w14:textId="2020EDC1"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Pr>
          <w:p w14:paraId="389874C5" w14:textId="3B36E085"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178</w:t>
            </w:r>
          </w:p>
        </w:tc>
        <w:tc>
          <w:tcPr>
            <w:tcW w:w="583" w:type="pct"/>
          </w:tcPr>
          <w:p w14:paraId="363DD924" w14:textId="0A62A3B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200</w:t>
            </w:r>
          </w:p>
        </w:tc>
        <w:tc>
          <w:tcPr>
            <w:tcW w:w="585" w:type="pct"/>
          </w:tcPr>
          <w:p w14:paraId="7DC0090D" w14:textId="7597698D"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181</w:t>
            </w:r>
          </w:p>
        </w:tc>
      </w:tr>
      <w:tr w:rsidR="005F2304" w:rsidRPr="001807DD" w14:paraId="70BDCB09"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5DCBB550" w14:textId="2F65191A" w:rsidR="005F2304" w:rsidRPr="001807DD" w:rsidRDefault="005F2304" w:rsidP="00AC0BBF">
            <w:pPr>
              <w:pStyle w:val="TableText"/>
              <w:spacing w:before="0"/>
            </w:pPr>
            <w:r w:rsidRPr="001807DD">
              <w:t>Property, plant and equipment</w:t>
            </w:r>
          </w:p>
        </w:tc>
        <w:tc>
          <w:tcPr>
            <w:tcW w:w="438" w:type="pct"/>
          </w:tcPr>
          <w:p w14:paraId="6AF7A9A8" w14:textId="57E9CF72"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Note51 \h </w:instrText>
            </w:r>
            <w:r>
              <w:fldChar w:fldCharType="separate"/>
            </w:r>
            <w:r w:rsidR="00D46E6D" w:rsidRPr="000D2542">
              <w:t>5.1</w:t>
            </w:r>
            <w:r>
              <w:fldChar w:fldCharType="end"/>
            </w:r>
          </w:p>
        </w:tc>
        <w:tc>
          <w:tcPr>
            <w:tcW w:w="597" w:type="pct"/>
          </w:tcPr>
          <w:p w14:paraId="239EDF37" w14:textId="7FBD62F9"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1,134,163</w:t>
            </w:r>
          </w:p>
        </w:tc>
        <w:tc>
          <w:tcPr>
            <w:tcW w:w="583" w:type="pct"/>
          </w:tcPr>
          <w:p w14:paraId="3A348BF1" w14:textId="12FA9B72"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979,698</w:t>
            </w:r>
          </w:p>
        </w:tc>
        <w:tc>
          <w:tcPr>
            <w:tcW w:w="585" w:type="pct"/>
          </w:tcPr>
          <w:p w14:paraId="0CE96469" w14:textId="5E4990EE"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926,408</w:t>
            </w:r>
          </w:p>
        </w:tc>
      </w:tr>
      <w:tr w:rsidR="005F2304" w:rsidRPr="001807DD" w14:paraId="709D0324"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3C230FA2" w14:textId="77777777" w:rsidR="005F2304" w:rsidRPr="001807DD" w:rsidRDefault="005F2304" w:rsidP="00AC0BBF">
            <w:pPr>
              <w:pStyle w:val="TableText"/>
              <w:spacing w:before="0"/>
            </w:pPr>
            <w:r w:rsidRPr="001807DD">
              <w:t>Intangible assets</w:t>
            </w:r>
          </w:p>
        </w:tc>
        <w:tc>
          <w:tcPr>
            <w:tcW w:w="438" w:type="pct"/>
          </w:tcPr>
          <w:p w14:paraId="281B7AF7" w14:textId="59685225" w:rsidR="005F2304" w:rsidRPr="00BB6176" w:rsidRDefault="00C9062D" w:rsidP="00FC12E5">
            <w:pPr>
              <w:pStyle w:val="TableText"/>
              <w:spacing w:before="0"/>
              <w:cnfStyle w:val="000000000000" w:firstRow="0" w:lastRow="0" w:firstColumn="0" w:lastColumn="0" w:oddVBand="0" w:evenVBand="0" w:oddHBand="0" w:evenHBand="0" w:firstRowFirstColumn="0" w:firstRowLastColumn="0" w:lastRowFirstColumn="0" w:lastRowLastColumn="0"/>
            </w:pPr>
            <w:hyperlink w:anchor="_5.2_Intangible_assets" w:history="1">
              <w:r w:rsidR="005F2304" w:rsidRPr="00BB6176">
                <w:t>5.2</w:t>
              </w:r>
            </w:hyperlink>
          </w:p>
        </w:tc>
        <w:tc>
          <w:tcPr>
            <w:tcW w:w="597" w:type="pct"/>
          </w:tcPr>
          <w:p w14:paraId="63E4BE29" w14:textId="17214945" w:rsidR="005F2304" w:rsidRPr="00BB6176"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31,622</w:t>
            </w:r>
          </w:p>
        </w:tc>
        <w:tc>
          <w:tcPr>
            <w:tcW w:w="583" w:type="pct"/>
          </w:tcPr>
          <w:p w14:paraId="414929A7" w14:textId="210C3BAF" w:rsidR="005F2304" w:rsidRPr="00BB6176"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24,393</w:t>
            </w:r>
          </w:p>
        </w:tc>
        <w:tc>
          <w:tcPr>
            <w:tcW w:w="585" w:type="pct"/>
          </w:tcPr>
          <w:p w14:paraId="2ECFAFEE" w14:textId="7FEC58E7"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17,591</w:t>
            </w:r>
          </w:p>
        </w:tc>
      </w:tr>
      <w:tr w:rsidR="005F2304" w:rsidRPr="001807DD" w14:paraId="4F1515A9"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bottom w:val="single" w:sz="4" w:space="0" w:color="auto"/>
            </w:tcBorders>
          </w:tcPr>
          <w:p w14:paraId="528E796F" w14:textId="77777777" w:rsidR="005F2304" w:rsidRPr="001807DD" w:rsidRDefault="005F2304" w:rsidP="00AC0BBF">
            <w:pPr>
              <w:pStyle w:val="TableText"/>
              <w:spacing w:before="0"/>
            </w:pPr>
            <w:r w:rsidRPr="001807DD">
              <w:t>Prepayments</w:t>
            </w:r>
          </w:p>
        </w:tc>
        <w:tc>
          <w:tcPr>
            <w:tcW w:w="438" w:type="pct"/>
            <w:tcBorders>
              <w:bottom w:val="single" w:sz="4" w:space="0" w:color="auto"/>
            </w:tcBorders>
          </w:tcPr>
          <w:p w14:paraId="3ED56CD1" w14:textId="2A4DC4E1"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Borders>
              <w:bottom w:val="single" w:sz="4" w:space="0" w:color="auto"/>
            </w:tcBorders>
          </w:tcPr>
          <w:p w14:paraId="4CDCE250" w14:textId="1C1C03B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7,892</w:t>
            </w:r>
          </w:p>
        </w:tc>
        <w:tc>
          <w:tcPr>
            <w:tcW w:w="583" w:type="pct"/>
            <w:tcBorders>
              <w:bottom w:val="single" w:sz="4" w:space="0" w:color="auto"/>
            </w:tcBorders>
          </w:tcPr>
          <w:p w14:paraId="1CBC716F" w14:textId="64917DE8"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5,887</w:t>
            </w:r>
          </w:p>
        </w:tc>
        <w:tc>
          <w:tcPr>
            <w:tcW w:w="585" w:type="pct"/>
            <w:tcBorders>
              <w:bottom w:val="single" w:sz="4" w:space="0" w:color="auto"/>
            </w:tcBorders>
          </w:tcPr>
          <w:p w14:paraId="04586B32" w14:textId="6ACBACC6"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2,370</w:t>
            </w:r>
          </w:p>
        </w:tc>
      </w:tr>
      <w:tr w:rsidR="005F2304" w:rsidRPr="000C6E63" w14:paraId="72532F6F"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shd w:val="clear" w:color="auto" w:fill="auto"/>
          </w:tcPr>
          <w:p w14:paraId="76ECCC95" w14:textId="77777777" w:rsidR="005F2304" w:rsidRPr="004B16EC" w:rsidRDefault="005F2304" w:rsidP="00AC0BBF">
            <w:pPr>
              <w:pStyle w:val="TableText"/>
              <w:spacing w:before="0"/>
              <w:rPr>
                <w:rStyle w:val="Bold"/>
              </w:rPr>
            </w:pPr>
            <w:r w:rsidRPr="004B16EC">
              <w:rPr>
                <w:rStyle w:val="Bold"/>
              </w:rPr>
              <w:t>Total non-financial assets</w:t>
            </w:r>
          </w:p>
        </w:tc>
        <w:tc>
          <w:tcPr>
            <w:tcW w:w="438" w:type="pct"/>
            <w:tcBorders>
              <w:top w:val="single" w:sz="4" w:space="0" w:color="auto"/>
              <w:bottom w:val="single" w:sz="4" w:space="0" w:color="auto"/>
            </w:tcBorders>
            <w:shd w:val="clear" w:color="auto" w:fill="auto"/>
          </w:tcPr>
          <w:p w14:paraId="75716850" w14:textId="0486B552"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0C6E63">
              <w:t>N/A</w:t>
            </w:r>
          </w:p>
        </w:tc>
        <w:tc>
          <w:tcPr>
            <w:tcW w:w="597" w:type="pct"/>
            <w:tcBorders>
              <w:top w:val="single" w:sz="4" w:space="0" w:color="auto"/>
              <w:bottom w:val="single" w:sz="4" w:space="0" w:color="auto"/>
            </w:tcBorders>
            <w:shd w:val="clear" w:color="auto" w:fill="auto"/>
          </w:tcPr>
          <w:p w14:paraId="507B4AFD" w14:textId="013BD99C"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1,173,855</w:t>
            </w:r>
          </w:p>
        </w:tc>
        <w:tc>
          <w:tcPr>
            <w:tcW w:w="583" w:type="pct"/>
            <w:tcBorders>
              <w:top w:val="single" w:sz="4" w:space="0" w:color="auto"/>
              <w:bottom w:val="single" w:sz="4" w:space="0" w:color="auto"/>
            </w:tcBorders>
            <w:shd w:val="clear" w:color="auto" w:fill="auto"/>
          </w:tcPr>
          <w:p w14:paraId="1ABBAC64" w14:textId="0440A08B"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1,010,178</w:t>
            </w:r>
          </w:p>
        </w:tc>
        <w:tc>
          <w:tcPr>
            <w:tcW w:w="585" w:type="pct"/>
            <w:tcBorders>
              <w:top w:val="single" w:sz="4" w:space="0" w:color="auto"/>
              <w:bottom w:val="single" w:sz="4" w:space="0" w:color="auto"/>
            </w:tcBorders>
            <w:shd w:val="clear" w:color="auto" w:fill="auto"/>
          </w:tcPr>
          <w:p w14:paraId="2CD13E63" w14:textId="1B4DE29C"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946,550</w:t>
            </w:r>
          </w:p>
        </w:tc>
      </w:tr>
      <w:tr w:rsidR="005F2304" w:rsidRPr="000C6E63" w14:paraId="178A8FC4"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shd w:val="clear" w:color="auto" w:fill="auto"/>
          </w:tcPr>
          <w:p w14:paraId="7C4F9C7F" w14:textId="77777777" w:rsidR="005F2304" w:rsidRPr="000C6E63" w:rsidRDefault="005F2304" w:rsidP="00AC0BBF">
            <w:pPr>
              <w:pStyle w:val="TableText"/>
              <w:spacing w:before="0"/>
              <w:rPr>
                <w:rStyle w:val="Bold"/>
              </w:rPr>
            </w:pPr>
            <w:r w:rsidRPr="000C6E63">
              <w:rPr>
                <w:rStyle w:val="Bold"/>
              </w:rPr>
              <w:t>Total assets</w:t>
            </w:r>
          </w:p>
        </w:tc>
        <w:tc>
          <w:tcPr>
            <w:tcW w:w="438" w:type="pct"/>
            <w:tcBorders>
              <w:top w:val="single" w:sz="4" w:space="0" w:color="auto"/>
              <w:bottom w:val="single" w:sz="4" w:space="0" w:color="auto"/>
            </w:tcBorders>
            <w:shd w:val="clear" w:color="auto" w:fill="auto"/>
          </w:tcPr>
          <w:p w14:paraId="1533B8FD" w14:textId="3EE6CC80"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0C6E63">
              <w:t>N/A</w:t>
            </w:r>
          </w:p>
        </w:tc>
        <w:tc>
          <w:tcPr>
            <w:tcW w:w="597" w:type="pct"/>
            <w:tcBorders>
              <w:top w:val="single" w:sz="4" w:space="0" w:color="auto"/>
              <w:bottom w:val="single" w:sz="4" w:space="0" w:color="auto"/>
            </w:tcBorders>
            <w:shd w:val="clear" w:color="auto" w:fill="auto"/>
          </w:tcPr>
          <w:p w14:paraId="65ED6834" w14:textId="2117C494"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1,328,449</w:t>
            </w:r>
          </w:p>
        </w:tc>
        <w:tc>
          <w:tcPr>
            <w:tcW w:w="583" w:type="pct"/>
            <w:tcBorders>
              <w:top w:val="single" w:sz="4" w:space="0" w:color="auto"/>
              <w:bottom w:val="single" w:sz="4" w:space="0" w:color="auto"/>
            </w:tcBorders>
            <w:shd w:val="clear" w:color="auto" w:fill="auto"/>
          </w:tcPr>
          <w:p w14:paraId="7C4C7755" w14:textId="6912E069"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1,128,001</w:t>
            </w:r>
          </w:p>
        </w:tc>
        <w:tc>
          <w:tcPr>
            <w:tcW w:w="585" w:type="pct"/>
            <w:tcBorders>
              <w:top w:val="single" w:sz="4" w:space="0" w:color="auto"/>
              <w:bottom w:val="single" w:sz="4" w:space="0" w:color="auto"/>
            </w:tcBorders>
            <w:shd w:val="clear" w:color="auto" w:fill="auto"/>
          </w:tcPr>
          <w:p w14:paraId="1C8AE547" w14:textId="3FF9276E"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1,056,900</w:t>
            </w:r>
          </w:p>
        </w:tc>
      </w:tr>
      <w:tr w:rsidR="005F2304" w:rsidRPr="001807DD" w14:paraId="0FD572C1"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tcBorders>
          </w:tcPr>
          <w:p w14:paraId="6306766E" w14:textId="77777777" w:rsidR="005F2304" w:rsidRPr="001807DD" w:rsidRDefault="005F2304" w:rsidP="003836AB">
            <w:pPr>
              <w:pStyle w:val="TableText"/>
              <w:spacing w:before="120"/>
            </w:pPr>
            <w:r w:rsidRPr="000C6E63">
              <w:rPr>
                <w:rStyle w:val="Bold"/>
              </w:rPr>
              <w:t>Liabilities</w:t>
            </w:r>
          </w:p>
        </w:tc>
        <w:tc>
          <w:tcPr>
            <w:tcW w:w="438" w:type="pct"/>
            <w:tcBorders>
              <w:top w:val="single" w:sz="4" w:space="0" w:color="auto"/>
            </w:tcBorders>
          </w:tcPr>
          <w:p w14:paraId="09FA3261" w14:textId="37402FCE"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97" w:type="pct"/>
            <w:tcBorders>
              <w:top w:val="single" w:sz="4" w:space="0" w:color="auto"/>
            </w:tcBorders>
          </w:tcPr>
          <w:p w14:paraId="4F36D3AD" w14:textId="6DC72ADA" w:rsidR="005F2304"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3" w:type="pct"/>
            <w:tcBorders>
              <w:top w:val="single" w:sz="4" w:space="0" w:color="auto"/>
            </w:tcBorders>
          </w:tcPr>
          <w:p w14:paraId="5E6B739A" w14:textId="78577BD7"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5" w:type="pct"/>
            <w:tcBorders>
              <w:top w:val="single" w:sz="4" w:space="0" w:color="auto"/>
            </w:tcBorders>
          </w:tcPr>
          <w:p w14:paraId="5B3EB5E8" w14:textId="4A039974"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5F2304" w:rsidRPr="001807DD" w14:paraId="567A4231"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0AA0180E" w14:textId="77777777" w:rsidR="005F2304" w:rsidRPr="001807DD" w:rsidRDefault="005F2304" w:rsidP="00AC0BBF">
            <w:pPr>
              <w:pStyle w:val="TableText"/>
              <w:spacing w:before="0"/>
            </w:pPr>
            <w:r w:rsidRPr="001807DD">
              <w:t>Payables</w:t>
            </w:r>
          </w:p>
        </w:tc>
        <w:tc>
          <w:tcPr>
            <w:tcW w:w="438" w:type="pct"/>
          </w:tcPr>
          <w:p w14:paraId="3AC77E91" w14:textId="07336BA6"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Note62 \h </w:instrText>
            </w:r>
            <w:r>
              <w:fldChar w:fldCharType="separate"/>
            </w:r>
            <w:r w:rsidR="00D46E6D">
              <w:t xml:space="preserve">6.2 </w:t>
            </w:r>
            <w:r>
              <w:fldChar w:fldCharType="end"/>
            </w:r>
          </w:p>
        </w:tc>
        <w:tc>
          <w:tcPr>
            <w:tcW w:w="597" w:type="pct"/>
          </w:tcPr>
          <w:p w14:paraId="1747D4B9" w14:textId="2EAA4F3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61,996</w:t>
            </w:r>
          </w:p>
        </w:tc>
        <w:tc>
          <w:tcPr>
            <w:tcW w:w="583" w:type="pct"/>
          </w:tcPr>
          <w:p w14:paraId="124F6455" w14:textId="7285BA1D"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50,468</w:t>
            </w:r>
          </w:p>
        </w:tc>
        <w:tc>
          <w:tcPr>
            <w:tcW w:w="585" w:type="pct"/>
          </w:tcPr>
          <w:p w14:paraId="0AC8DAB0" w14:textId="0B69D979"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44,229</w:t>
            </w:r>
          </w:p>
        </w:tc>
      </w:tr>
      <w:tr w:rsidR="005F2304" w:rsidRPr="001807DD" w14:paraId="2666D32A"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2B4A2ABE" w14:textId="77777777" w:rsidR="005F2304" w:rsidRPr="001807DD" w:rsidRDefault="005F2304" w:rsidP="00AC0BBF">
            <w:pPr>
              <w:pStyle w:val="TableText"/>
              <w:spacing w:before="0"/>
            </w:pPr>
            <w:r w:rsidRPr="001807DD">
              <w:t>Borrowings</w:t>
            </w:r>
          </w:p>
        </w:tc>
        <w:tc>
          <w:tcPr>
            <w:tcW w:w="438" w:type="pct"/>
          </w:tcPr>
          <w:p w14:paraId="575685CD" w14:textId="5A4899E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Note71 \h </w:instrText>
            </w:r>
            <w:r>
              <w:fldChar w:fldCharType="separate"/>
            </w:r>
            <w:r w:rsidR="00D46E6D">
              <w:t xml:space="preserve">7.1 </w:t>
            </w:r>
            <w:r>
              <w:fldChar w:fldCharType="end"/>
            </w:r>
          </w:p>
        </w:tc>
        <w:tc>
          <w:tcPr>
            <w:tcW w:w="597" w:type="pct"/>
          </w:tcPr>
          <w:p w14:paraId="6A306313" w14:textId="65E86F67"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119,299</w:t>
            </w:r>
          </w:p>
        </w:tc>
        <w:tc>
          <w:tcPr>
            <w:tcW w:w="583" w:type="pct"/>
          </w:tcPr>
          <w:p w14:paraId="2D57EDF4" w14:textId="2F6979E0"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54,917</w:t>
            </w:r>
          </w:p>
        </w:tc>
        <w:tc>
          <w:tcPr>
            <w:tcW w:w="585" w:type="pct"/>
          </w:tcPr>
          <w:p w14:paraId="2150735F" w14:textId="7B9DCCF8"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67,242</w:t>
            </w:r>
          </w:p>
        </w:tc>
      </w:tr>
      <w:tr w:rsidR="005F2304" w:rsidRPr="001807DD" w14:paraId="4BFD6E0C"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51BFA8F4" w14:textId="77777777" w:rsidR="005F2304" w:rsidRPr="001807DD" w:rsidRDefault="005F2304" w:rsidP="00AC0BBF">
            <w:pPr>
              <w:pStyle w:val="TableText"/>
              <w:spacing w:before="0"/>
            </w:pPr>
            <w:r w:rsidRPr="001807DD">
              <w:t>Provisions</w:t>
            </w:r>
          </w:p>
        </w:tc>
        <w:tc>
          <w:tcPr>
            <w:tcW w:w="438" w:type="pct"/>
          </w:tcPr>
          <w:p w14:paraId="40C18968" w14:textId="21874CBC"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NOte312 \h </w:instrText>
            </w:r>
            <w:r>
              <w:fldChar w:fldCharType="separate"/>
            </w:r>
            <w:r w:rsidR="00D46E6D">
              <w:t>3.1.2</w:t>
            </w:r>
            <w:r>
              <w:fldChar w:fldCharType="end"/>
            </w:r>
          </w:p>
        </w:tc>
        <w:tc>
          <w:tcPr>
            <w:tcW w:w="597" w:type="pct"/>
          </w:tcPr>
          <w:p w14:paraId="5C6B7B84" w14:textId="07E21EDD"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105,123</w:t>
            </w:r>
          </w:p>
        </w:tc>
        <w:tc>
          <w:tcPr>
            <w:tcW w:w="583" w:type="pct"/>
          </w:tcPr>
          <w:p w14:paraId="5BC142C8" w14:textId="6C1A397A"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93,903</w:t>
            </w:r>
          </w:p>
        </w:tc>
        <w:tc>
          <w:tcPr>
            <w:tcW w:w="585" w:type="pct"/>
          </w:tcPr>
          <w:p w14:paraId="202BD0FE" w14:textId="04CAA1B1"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79,569</w:t>
            </w:r>
          </w:p>
        </w:tc>
      </w:tr>
      <w:tr w:rsidR="005F2304" w:rsidRPr="001807DD" w14:paraId="311C19CA"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bottom w:val="single" w:sz="4" w:space="0" w:color="auto"/>
            </w:tcBorders>
          </w:tcPr>
          <w:p w14:paraId="5473B107" w14:textId="77777777" w:rsidR="005F2304" w:rsidRPr="001807DD" w:rsidRDefault="005F2304" w:rsidP="00AC0BBF">
            <w:pPr>
              <w:pStyle w:val="TableText"/>
              <w:spacing w:before="0"/>
            </w:pPr>
            <w:r w:rsidRPr="001807DD">
              <w:t>Other Provisions</w:t>
            </w:r>
          </w:p>
        </w:tc>
        <w:tc>
          <w:tcPr>
            <w:tcW w:w="438" w:type="pct"/>
            <w:tcBorders>
              <w:bottom w:val="single" w:sz="4" w:space="0" w:color="auto"/>
            </w:tcBorders>
          </w:tcPr>
          <w:p w14:paraId="755B3E3E" w14:textId="0722D85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Borders>
              <w:bottom w:val="single" w:sz="4" w:space="0" w:color="auto"/>
            </w:tcBorders>
          </w:tcPr>
          <w:p w14:paraId="3BF0653A" w14:textId="54437B6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164</w:t>
            </w:r>
          </w:p>
        </w:tc>
        <w:tc>
          <w:tcPr>
            <w:tcW w:w="583" w:type="pct"/>
            <w:tcBorders>
              <w:bottom w:val="single" w:sz="4" w:space="0" w:color="auto"/>
            </w:tcBorders>
          </w:tcPr>
          <w:p w14:paraId="486FD585" w14:textId="68A7139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342</w:t>
            </w:r>
          </w:p>
        </w:tc>
        <w:tc>
          <w:tcPr>
            <w:tcW w:w="585" w:type="pct"/>
            <w:tcBorders>
              <w:bottom w:val="single" w:sz="4" w:space="0" w:color="auto"/>
            </w:tcBorders>
          </w:tcPr>
          <w:p w14:paraId="055F390B" w14:textId="1D649946"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318</w:t>
            </w:r>
          </w:p>
        </w:tc>
      </w:tr>
      <w:tr w:rsidR="005F2304" w:rsidRPr="005F2304" w14:paraId="3285ADE6"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tcPr>
          <w:p w14:paraId="1E16161A" w14:textId="77777777" w:rsidR="005F2304" w:rsidRPr="004B16EC" w:rsidRDefault="005F2304" w:rsidP="00AC0BBF">
            <w:pPr>
              <w:pStyle w:val="TableText"/>
              <w:spacing w:before="0"/>
              <w:rPr>
                <w:rStyle w:val="Bold"/>
              </w:rPr>
            </w:pPr>
            <w:r w:rsidRPr="004B16EC">
              <w:rPr>
                <w:rStyle w:val="Bold"/>
              </w:rPr>
              <w:t>Total liabilities</w:t>
            </w:r>
          </w:p>
        </w:tc>
        <w:tc>
          <w:tcPr>
            <w:tcW w:w="438" w:type="pct"/>
            <w:tcBorders>
              <w:top w:val="single" w:sz="4" w:space="0" w:color="auto"/>
              <w:bottom w:val="single" w:sz="4" w:space="0" w:color="auto"/>
            </w:tcBorders>
          </w:tcPr>
          <w:p w14:paraId="505AB45E" w14:textId="5ED1B22E"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N/A</w:t>
            </w:r>
          </w:p>
        </w:tc>
        <w:tc>
          <w:tcPr>
            <w:tcW w:w="597" w:type="pct"/>
            <w:tcBorders>
              <w:top w:val="single" w:sz="4" w:space="0" w:color="auto"/>
              <w:bottom w:val="single" w:sz="4" w:space="0" w:color="auto"/>
            </w:tcBorders>
          </w:tcPr>
          <w:p w14:paraId="6FFE0AC9" w14:textId="18A01699"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286,581</w:t>
            </w:r>
          </w:p>
        </w:tc>
        <w:tc>
          <w:tcPr>
            <w:tcW w:w="583" w:type="pct"/>
            <w:tcBorders>
              <w:top w:val="single" w:sz="4" w:space="0" w:color="auto"/>
              <w:bottom w:val="single" w:sz="4" w:space="0" w:color="auto"/>
            </w:tcBorders>
          </w:tcPr>
          <w:p w14:paraId="42C65A95" w14:textId="5B5669E5"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199,630</w:t>
            </w:r>
          </w:p>
        </w:tc>
        <w:tc>
          <w:tcPr>
            <w:tcW w:w="585" w:type="pct"/>
            <w:tcBorders>
              <w:top w:val="single" w:sz="4" w:space="0" w:color="auto"/>
              <w:bottom w:val="single" w:sz="4" w:space="0" w:color="auto"/>
            </w:tcBorders>
          </w:tcPr>
          <w:p w14:paraId="4E8DD733" w14:textId="6B01CEB0"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191,358</w:t>
            </w:r>
          </w:p>
        </w:tc>
      </w:tr>
      <w:tr w:rsidR="005F2304" w:rsidRPr="005F2304" w14:paraId="59095522"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tcPr>
          <w:p w14:paraId="4D6D1962" w14:textId="77777777" w:rsidR="005F2304" w:rsidRPr="004B16EC" w:rsidRDefault="005F2304" w:rsidP="00AC0BBF">
            <w:pPr>
              <w:pStyle w:val="TableText"/>
              <w:spacing w:before="0"/>
              <w:rPr>
                <w:rStyle w:val="Bold"/>
              </w:rPr>
            </w:pPr>
            <w:r w:rsidRPr="004B16EC">
              <w:rPr>
                <w:rStyle w:val="Bold"/>
              </w:rPr>
              <w:t>Net assets</w:t>
            </w:r>
          </w:p>
        </w:tc>
        <w:tc>
          <w:tcPr>
            <w:tcW w:w="438" w:type="pct"/>
            <w:tcBorders>
              <w:top w:val="single" w:sz="4" w:space="0" w:color="auto"/>
              <w:bottom w:val="single" w:sz="4" w:space="0" w:color="auto"/>
            </w:tcBorders>
          </w:tcPr>
          <w:p w14:paraId="6D73B3B8" w14:textId="2DAD7A3C"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N/A</w:t>
            </w:r>
          </w:p>
        </w:tc>
        <w:tc>
          <w:tcPr>
            <w:tcW w:w="597" w:type="pct"/>
            <w:tcBorders>
              <w:top w:val="single" w:sz="4" w:space="0" w:color="auto"/>
              <w:bottom w:val="single" w:sz="4" w:space="0" w:color="auto"/>
            </w:tcBorders>
          </w:tcPr>
          <w:p w14:paraId="35A66396" w14:textId="63BC7217"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1,041,868</w:t>
            </w:r>
          </w:p>
        </w:tc>
        <w:tc>
          <w:tcPr>
            <w:tcW w:w="583" w:type="pct"/>
            <w:tcBorders>
              <w:top w:val="single" w:sz="4" w:space="0" w:color="auto"/>
              <w:bottom w:val="single" w:sz="4" w:space="0" w:color="auto"/>
            </w:tcBorders>
          </w:tcPr>
          <w:p w14:paraId="0AC281FF" w14:textId="2549B867"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928,371</w:t>
            </w:r>
          </w:p>
        </w:tc>
        <w:tc>
          <w:tcPr>
            <w:tcW w:w="585" w:type="pct"/>
            <w:tcBorders>
              <w:top w:val="single" w:sz="4" w:space="0" w:color="auto"/>
              <w:bottom w:val="single" w:sz="4" w:space="0" w:color="auto"/>
            </w:tcBorders>
          </w:tcPr>
          <w:p w14:paraId="6301D9B1" w14:textId="071BBA46" w:rsidR="005F2304" w:rsidRPr="005F2304"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rsidRPr="005F2304">
              <w:t>865,543</w:t>
            </w:r>
          </w:p>
        </w:tc>
      </w:tr>
      <w:tr w:rsidR="005F2304" w:rsidRPr="001807DD" w14:paraId="3927221E"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tcBorders>
          </w:tcPr>
          <w:p w14:paraId="7036FAB6" w14:textId="77777777" w:rsidR="005F2304" w:rsidRPr="001807DD" w:rsidRDefault="005F2304" w:rsidP="003836AB">
            <w:pPr>
              <w:pStyle w:val="TableText"/>
              <w:spacing w:before="120"/>
            </w:pPr>
            <w:r w:rsidRPr="000C6E63">
              <w:rPr>
                <w:rStyle w:val="Bold"/>
              </w:rPr>
              <w:t>Equity</w:t>
            </w:r>
          </w:p>
        </w:tc>
        <w:tc>
          <w:tcPr>
            <w:tcW w:w="438" w:type="pct"/>
            <w:tcBorders>
              <w:top w:val="single" w:sz="4" w:space="0" w:color="auto"/>
            </w:tcBorders>
          </w:tcPr>
          <w:p w14:paraId="083D1387" w14:textId="73371C5F"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97" w:type="pct"/>
            <w:tcBorders>
              <w:top w:val="single" w:sz="4" w:space="0" w:color="auto"/>
            </w:tcBorders>
          </w:tcPr>
          <w:p w14:paraId="1F2B7D71" w14:textId="5F90EAB2" w:rsidR="005F2304"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3" w:type="pct"/>
            <w:tcBorders>
              <w:top w:val="single" w:sz="4" w:space="0" w:color="auto"/>
            </w:tcBorders>
          </w:tcPr>
          <w:p w14:paraId="2A22DBD0" w14:textId="7708943A"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585" w:type="pct"/>
            <w:tcBorders>
              <w:top w:val="single" w:sz="4" w:space="0" w:color="auto"/>
            </w:tcBorders>
          </w:tcPr>
          <w:p w14:paraId="16579621" w14:textId="06CF5E49" w:rsidR="005F2304" w:rsidRPr="001807DD" w:rsidRDefault="005F2304" w:rsidP="003836AB">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5F2304" w:rsidRPr="001807DD" w14:paraId="3F5479DB"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2D54A03B" w14:textId="77777777" w:rsidR="005F2304" w:rsidRPr="001807DD" w:rsidRDefault="005F2304" w:rsidP="00AC0BBF">
            <w:pPr>
              <w:pStyle w:val="TableText"/>
              <w:spacing w:before="0"/>
            </w:pPr>
            <w:r w:rsidRPr="001807DD">
              <w:t>Accumulated surplus/(deficit)</w:t>
            </w:r>
          </w:p>
        </w:tc>
        <w:tc>
          <w:tcPr>
            <w:tcW w:w="438" w:type="pct"/>
          </w:tcPr>
          <w:p w14:paraId="2293CE47" w14:textId="5C60CFC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Pr>
          <w:p w14:paraId="3D39EA11" w14:textId="15EF972A"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(30,117)</w:t>
            </w:r>
          </w:p>
        </w:tc>
        <w:tc>
          <w:tcPr>
            <w:tcW w:w="583" w:type="pct"/>
          </w:tcPr>
          <w:p w14:paraId="1B5D4147" w14:textId="4CBEFDE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(33,255)</w:t>
            </w:r>
          </w:p>
        </w:tc>
        <w:tc>
          <w:tcPr>
            <w:tcW w:w="585" w:type="pct"/>
          </w:tcPr>
          <w:p w14:paraId="639DFF35" w14:textId="61CA7F6C"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(28,669)</w:t>
            </w:r>
          </w:p>
        </w:tc>
      </w:tr>
      <w:tr w:rsidR="005F2304" w:rsidRPr="001807DD" w14:paraId="52668989" w14:textId="77777777" w:rsidTr="004B1F0A">
        <w:tc>
          <w:tcPr>
            <w:cnfStyle w:val="001000000000" w:firstRow="0" w:lastRow="0" w:firstColumn="1" w:lastColumn="0" w:oddVBand="0" w:evenVBand="0" w:oddHBand="0" w:evenHBand="0" w:firstRowFirstColumn="0" w:firstRowLastColumn="0" w:lastRowFirstColumn="0" w:lastRowLastColumn="0"/>
            <w:tcW w:w="2797" w:type="pct"/>
          </w:tcPr>
          <w:p w14:paraId="26D3AC17" w14:textId="77777777" w:rsidR="005F2304" w:rsidRPr="001807DD" w:rsidRDefault="005F2304" w:rsidP="00AC0BBF">
            <w:pPr>
              <w:pStyle w:val="TableText"/>
              <w:spacing w:before="0"/>
            </w:pPr>
            <w:r w:rsidRPr="001807DD">
              <w:t>Contributed capital</w:t>
            </w:r>
          </w:p>
        </w:tc>
        <w:tc>
          <w:tcPr>
            <w:tcW w:w="438" w:type="pct"/>
          </w:tcPr>
          <w:p w14:paraId="217DA68E" w14:textId="090F635B"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Pr>
          <w:p w14:paraId="523C2D27" w14:textId="294CCB0C"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827,120</w:t>
            </w:r>
          </w:p>
        </w:tc>
        <w:tc>
          <w:tcPr>
            <w:tcW w:w="583" w:type="pct"/>
          </w:tcPr>
          <w:p w14:paraId="6C6B51E7" w14:textId="1F828324"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761,099</w:t>
            </w:r>
          </w:p>
        </w:tc>
        <w:tc>
          <w:tcPr>
            <w:tcW w:w="585" w:type="pct"/>
          </w:tcPr>
          <w:p w14:paraId="6C31ED39" w14:textId="34604113"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747,530</w:t>
            </w:r>
          </w:p>
        </w:tc>
      </w:tr>
      <w:tr w:rsidR="005F2304" w:rsidRPr="001807DD" w14:paraId="1223A804"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bottom w:val="single" w:sz="4" w:space="0" w:color="auto"/>
            </w:tcBorders>
          </w:tcPr>
          <w:p w14:paraId="42B720EA" w14:textId="77777777" w:rsidR="005F2304" w:rsidRPr="001807DD" w:rsidRDefault="005F2304" w:rsidP="00AC0BBF">
            <w:pPr>
              <w:pStyle w:val="TableText"/>
              <w:spacing w:before="0"/>
            </w:pPr>
            <w:r w:rsidRPr="001807DD">
              <w:t>Physical asset revaluation surplus</w:t>
            </w:r>
          </w:p>
        </w:tc>
        <w:tc>
          <w:tcPr>
            <w:tcW w:w="438" w:type="pct"/>
            <w:tcBorders>
              <w:bottom w:val="single" w:sz="4" w:space="0" w:color="auto"/>
            </w:tcBorders>
          </w:tcPr>
          <w:p w14:paraId="06768A2D" w14:textId="2E6342AC"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597" w:type="pct"/>
            <w:tcBorders>
              <w:bottom w:val="single" w:sz="4" w:space="0" w:color="auto"/>
            </w:tcBorders>
          </w:tcPr>
          <w:p w14:paraId="5547E3DB" w14:textId="0B0CF16A"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244,864</w:t>
            </w:r>
          </w:p>
        </w:tc>
        <w:tc>
          <w:tcPr>
            <w:tcW w:w="583" w:type="pct"/>
            <w:tcBorders>
              <w:bottom w:val="single" w:sz="4" w:space="0" w:color="auto"/>
            </w:tcBorders>
          </w:tcPr>
          <w:p w14:paraId="0C9F99AC" w14:textId="42900016"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200,527</w:t>
            </w:r>
          </w:p>
        </w:tc>
        <w:tc>
          <w:tcPr>
            <w:tcW w:w="585" w:type="pct"/>
            <w:tcBorders>
              <w:bottom w:val="single" w:sz="4" w:space="0" w:color="auto"/>
            </w:tcBorders>
          </w:tcPr>
          <w:p w14:paraId="61D70D3C" w14:textId="1515D835" w:rsidR="005F2304" w:rsidRPr="001807DD"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pPr>
            <w:r>
              <w:t>146,682</w:t>
            </w:r>
          </w:p>
        </w:tc>
      </w:tr>
      <w:tr w:rsidR="005F2304" w:rsidRPr="000C6E63" w14:paraId="2332849C" w14:textId="77777777" w:rsidTr="004B1F0A">
        <w:tc>
          <w:tcPr>
            <w:cnfStyle w:val="001000000000" w:firstRow="0" w:lastRow="0" w:firstColumn="1" w:lastColumn="0" w:oddVBand="0" w:evenVBand="0" w:oddHBand="0" w:evenHBand="0" w:firstRowFirstColumn="0" w:firstRowLastColumn="0" w:lastRowFirstColumn="0" w:lastRowLastColumn="0"/>
            <w:tcW w:w="2797" w:type="pct"/>
            <w:tcBorders>
              <w:top w:val="single" w:sz="4" w:space="0" w:color="auto"/>
              <w:bottom w:val="single" w:sz="4" w:space="0" w:color="auto"/>
            </w:tcBorders>
            <w:shd w:val="clear" w:color="auto" w:fill="auto"/>
          </w:tcPr>
          <w:p w14:paraId="7CF16689" w14:textId="77777777" w:rsidR="005F2304" w:rsidRPr="000C6E63" w:rsidRDefault="005F2304" w:rsidP="00AC0BBF">
            <w:pPr>
              <w:pStyle w:val="TableText"/>
              <w:spacing w:before="0"/>
              <w:rPr>
                <w:rStyle w:val="Bold"/>
              </w:rPr>
            </w:pPr>
            <w:r w:rsidRPr="000C6E63">
              <w:rPr>
                <w:rStyle w:val="Bold"/>
              </w:rPr>
              <w:t>Net worth</w:t>
            </w:r>
          </w:p>
        </w:tc>
        <w:tc>
          <w:tcPr>
            <w:tcW w:w="438" w:type="pct"/>
            <w:tcBorders>
              <w:top w:val="single" w:sz="4" w:space="0" w:color="auto"/>
              <w:bottom w:val="single" w:sz="4" w:space="0" w:color="auto"/>
            </w:tcBorders>
            <w:shd w:val="clear" w:color="auto" w:fill="auto"/>
          </w:tcPr>
          <w:p w14:paraId="53F781BE" w14:textId="31018532"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0C6E63">
              <w:t>N/A</w:t>
            </w:r>
          </w:p>
        </w:tc>
        <w:tc>
          <w:tcPr>
            <w:tcW w:w="597" w:type="pct"/>
            <w:tcBorders>
              <w:top w:val="single" w:sz="4" w:space="0" w:color="auto"/>
              <w:bottom w:val="single" w:sz="4" w:space="0" w:color="auto"/>
            </w:tcBorders>
            <w:shd w:val="clear" w:color="auto" w:fill="auto"/>
          </w:tcPr>
          <w:p w14:paraId="0F95C01D" w14:textId="6DAA7F47"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1,041,868</w:t>
            </w:r>
          </w:p>
        </w:tc>
        <w:tc>
          <w:tcPr>
            <w:tcW w:w="583" w:type="pct"/>
            <w:tcBorders>
              <w:top w:val="single" w:sz="4" w:space="0" w:color="auto"/>
              <w:bottom w:val="single" w:sz="4" w:space="0" w:color="auto"/>
            </w:tcBorders>
            <w:shd w:val="clear" w:color="auto" w:fill="auto"/>
          </w:tcPr>
          <w:p w14:paraId="5939261F" w14:textId="55E50EB2"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928,371</w:t>
            </w:r>
          </w:p>
        </w:tc>
        <w:tc>
          <w:tcPr>
            <w:tcW w:w="585" w:type="pct"/>
            <w:tcBorders>
              <w:top w:val="single" w:sz="4" w:space="0" w:color="auto"/>
              <w:bottom w:val="single" w:sz="4" w:space="0" w:color="auto"/>
            </w:tcBorders>
            <w:shd w:val="clear" w:color="auto" w:fill="auto"/>
          </w:tcPr>
          <w:p w14:paraId="007853C6" w14:textId="2ED3338E" w:rsidR="005F2304" w:rsidRPr="000C6E63" w:rsidRDefault="005F2304" w:rsidP="003836AB">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865,543</w:t>
            </w:r>
          </w:p>
        </w:tc>
      </w:tr>
    </w:tbl>
    <w:p w14:paraId="38B4D78C" w14:textId="3E14133E" w:rsidR="00F520FE" w:rsidRPr="00A24CE7" w:rsidRDefault="00F520FE" w:rsidP="00F110E7">
      <w:pPr>
        <w:pStyle w:val="NotesNumberedList"/>
        <w:numPr>
          <w:ilvl w:val="0"/>
          <w:numId w:val="39"/>
        </w:numPr>
      </w:pPr>
      <w:bookmarkStart w:id="223" w:name="BalanceSheetnote"/>
      <w:r w:rsidRPr="00A24CE7">
        <w:t>2018 and 2019 amounts have been restated as a result of a correction of an error (see</w:t>
      </w:r>
      <w:r w:rsidR="00677C4B">
        <w:t xml:space="preserve"> </w:t>
      </w:r>
      <w:hyperlink w:anchor="Note10text" w:history="1">
        <w:r w:rsidR="00677C4B" w:rsidRPr="00A844BC">
          <w:rPr>
            <w:rStyle w:val="Hyperlink"/>
          </w:rPr>
          <w:t>Note 10</w:t>
        </w:r>
      </w:hyperlink>
      <w:r w:rsidRPr="00A24CE7">
        <w:t>)</w:t>
      </w:r>
    </w:p>
    <w:bookmarkEnd w:id="223"/>
    <w:p w14:paraId="15F7416F" w14:textId="0CBDD5A0" w:rsidR="00F520FE" w:rsidRPr="00F520FE" w:rsidRDefault="00F520FE" w:rsidP="00F520FE">
      <w:pPr>
        <w:pStyle w:val="BodyText"/>
      </w:pPr>
      <w:r w:rsidRPr="00F520FE">
        <w:t>The accompanying notes form part of these financial statements.</w:t>
      </w:r>
    </w:p>
    <w:p w14:paraId="3EB8FAA8" w14:textId="17C7F296" w:rsidR="00417B1B" w:rsidRDefault="00417B1B" w:rsidP="00AC0BBF">
      <w:pPr>
        <w:pStyle w:val="Heading2"/>
        <w:pageBreakBefore/>
      </w:pPr>
      <w:bookmarkStart w:id="224" w:name="_Cash_Flow_Statement"/>
      <w:bookmarkStart w:id="225" w:name="_Ref22643514"/>
      <w:bookmarkStart w:id="226" w:name="_Ref22643990"/>
      <w:bookmarkStart w:id="227" w:name="_Toc62808128"/>
      <w:bookmarkEnd w:id="224"/>
      <w:r w:rsidRPr="00260A5C">
        <w:t xml:space="preserve">Cash Flow Statement </w:t>
      </w:r>
      <w:r w:rsidR="008C17D7" w:rsidRPr="00260A5C">
        <w:t>f</w:t>
      </w:r>
      <w:r w:rsidRPr="00260A5C">
        <w:t xml:space="preserve">or </w:t>
      </w:r>
      <w:r w:rsidR="00E952AB" w:rsidRPr="00260A5C">
        <w:t>the</w:t>
      </w:r>
      <w:r w:rsidRPr="00260A5C">
        <w:t xml:space="preserve"> Financial Year Ended 30 June 20</w:t>
      </w:r>
      <w:r w:rsidR="00F520FE" w:rsidRPr="00260A5C">
        <w:t>20</w:t>
      </w:r>
      <w:bookmarkEnd w:id="225"/>
      <w:bookmarkEnd w:id="226"/>
      <w:bookmarkEnd w:id="227"/>
    </w:p>
    <w:tbl>
      <w:tblPr>
        <w:tblStyle w:val="AccessibleTableNumerical"/>
        <w:tblW w:w="5000" w:type="pct"/>
        <w:tblLook w:val="04A0" w:firstRow="1" w:lastRow="0" w:firstColumn="1" w:lastColumn="0" w:noHBand="0" w:noVBand="1"/>
      </w:tblPr>
      <w:tblGrid>
        <w:gridCol w:w="5961"/>
        <w:gridCol w:w="987"/>
        <w:gridCol w:w="1348"/>
        <w:gridCol w:w="1346"/>
      </w:tblGrid>
      <w:tr w:rsidR="00AC0BBF" w:rsidRPr="00F051FC" w14:paraId="13BE5F6D" w14:textId="77777777" w:rsidTr="008C17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1" w:type="pct"/>
          </w:tcPr>
          <w:p w14:paraId="5974D2F3" w14:textId="4064E2FC" w:rsidR="00417B1B" w:rsidRPr="00F051FC" w:rsidRDefault="007756CB" w:rsidP="00AC0BBF">
            <w:pPr>
              <w:pStyle w:val="TableText"/>
              <w:spacing w:before="0"/>
            </w:pPr>
            <w:bookmarkStart w:id="228" w:name="ColumnTitle_44"/>
            <w:r>
              <w:t>Item</w:t>
            </w:r>
          </w:p>
        </w:tc>
        <w:tc>
          <w:tcPr>
            <w:tcW w:w="512" w:type="pct"/>
            <w:vAlign w:val="bottom"/>
          </w:tcPr>
          <w:p w14:paraId="71CD9EE6" w14:textId="77777777" w:rsidR="00417B1B" w:rsidRPr="00F051FC" w:rsidRDefault="00417B1B" w:rsidP="008C17D7">
            <w:pPr>
              <w:pStyle w:val="TableText"/>
              <w:spacing w:before="0"/>
              <w:cnfStyle w:val="100000000000" w:firstRow="1" w:lastRow="0" w:firstColumn="0" w:lastColumn="0" w:oddVBand="0" w:evenVBand="0" w:oddHBand="0" w:evenHBand="0" w:firstRowFirstColumn="0" w:firstRowLastColumn="0" w:lastRowFirstColumn="0" w:lastRowLastColumn="0"/>
            </w:pPr>
            <w:r w:rsidRPr="00F051FC">
              <w:t>Note</w:t>
            </w:r>
          </w:p>
        </w:tc>
        <w:tc>
          <w:tcPr>
            <w:tcW w:w="699" w:type="pct"/>
            <w:vAlign w:val="bottom"/>
          </w:tcPr>
          <w:p w14:paraId="7855C999" w14:textId="26F2C907" w:rsidR="00417B1B" w:rsidRPr="00F051FC" w:rsidRDefault="00417B1B" w:rsidP="008C17D7">
            <w:pPr>
              <w:pStyle w:val="TableText"/>
              <w:spacing w:before="0"/>
              <w:cnfStyle w:val="100000000000" w:firstRow="1" w:lastRow="0" w:firstColumn="0" w:lastColumn="0" w:oddVBand="0" w:evenVBand="0" w:oddHBand="0" w:evenHBand="0" w:firstRowFirstColumn="0" w:firstRowLastColumn="0" w:lastRowFirstColumn="0" w:lastRowLastColumn="0"/>
            </w:pPr>
            <w:r w:rsidRPr="00F051FC">
              <w:t>20</w:t>
            </w:r>
            <w:r w:rsidR="00F520FE">
              <w:t>20</w:t>
            </w:r>
            <w:r w:rsidRPr="00F051FC">
              <w:br/>
              <w:t>$'000</w:t>
            </w:r>
          </w:p>
        </w:tc>
        <w:tc>
          <w:tcPr>
            <w:tcW w:w="698" w:type="pct"/>
            <w:vAlign w:val="bottom"/>
          </w:tcPr>
          <w:p w14:paraId="0E23F017" w14:textId="43DBDF20" w:rsidR="00417B1B" w:rsidRPr="00F051FC" w:rsidRDefault="00417B1B" w:rsidP="008C17D7">
            <w:pPr>
              <w:pStyle w:val="TableText"/>
              <w:spacing w:before="0"/>
              <w:cnfStyle w:val="100000000000" w:firstRow="1" w:lastRow="0" w:firstColumn="0" w:lastColumn="0" w:oddVBand="0" w:evenVBand="0" w:oddHBand="0" w:evenHBand="0" w:firstRowFirstColumn="0" w:firstRowLastColumn="0" w:lastRowFirstColumn="0" w:lastRowLastColumn="0"/>
            </w:pPr>
            <w:r w:rsidRPr="00F051FC">
              <w:t>201</w:t>
            </w:r>
            <w:r w:rsidR="00F520FE">
              <w:t>9</w:t>
            </w:r>
            <w:r w:rsidRPr="00F051FC">
              <w:br/>
              <w:t>$'000</w:t>
            </w:r>
          </w:p>
        </w:tc>
      </w:tr>
      <w:bookmarkEnd w:id="228"/>
      <w:tr w:rsidR="00AC0BBF" w:rsidRPr="00F051FC" w14:paraId="0A814B39"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095F8D80" w14:textId="77777777" w:rsidR="00417B1B" w:rsidRPr="00AC0BBF" w:rsidRDefault="00417B1B" w:rsidP="00AC0BBF">
            <w:pPr>
              <w:pStyle w:val="TableText"/>
              <w:spacing w:before="0"/>
              <w:rPr>
                <w:rStyle w:val="Bold"/>
              </w:rPr>
            </w:pPr>
            <w:r w:rsidRPr="00AC0BBF">
              <w:rPr>
                <w:rStyle w:val="Bold"/>
              </w:rPr>
              <w:t>Cash flows from operating activities</w:t>
            </w:r>
          </w:p>
        </w:tc>
        <w:tc>
          <w:tcPr>
            <w:tcW w:w="512" w:type="pct"/>
          </w:tcPr>
          <w:p w14:paraId="31C4241E" w14:textId="357CB358"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4CAA6AB7" w14:textId="0BF8FB4F"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8" w:type="pct"/>
          </w:tcPr>
          <w:p w14:paraId="40CCC3D3" w14:textId="69CDABFC"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r>
      <w:tr w:rsidR="00AC0BBF" w:rsidRPr="00F051FC" w14:paraId="74522EFC"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1D2F8DD2" w14:textId="77777777" w:rsidR="00417B1B" w:rsidRPr="00F051FC" w:rsidRDefault="00417B1B" w:rsidP="00AC0BBF">
            <w:pPr>
              <w:pStyle w:val="TableText"/>
              <w:spacing w:before="0"/>
            </w:pPr>
            <w:r w:rsidRPr="00AC0BBF">
              <w:rPr>
                <w:rStyle w:val="Bold"/>
              </w:rPr>
              <w:t>Receipts</w:t>
            </w:r>
          </w:p>
        </w:tc>
        <w:tc>
          <w:tcPr>
            <w:tcW w:w="512" w:type="pct"/>
          </w:tcPr>
          <w:p w14:paraId="44606909" w14:textId="124BDBC9"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41AA5D81" w14:textId="033B5D74"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8" w:type="pct"/>
          </w:tcPr>
          <w:p w14:paraId="3FD1F288" w14:textId="177CDDCC"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r>
      <w:tr w:rsidR="00AC0BBF" w:rsidRPr="00F051FC" w14:paraId="7482AE2A"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0FE162C0" w14:textId="77777777" w:rsidR="00417B1B" w:rsidRPr="00F051FC" w:rsidRDefault="00417B1B" w:rsidP="00AC0BBF">
            <w:pPr>
              <w:pStyle w:val="TableText"/>
              <w:spacing w:before="0"/>
            </w:pPr>
            <w:r w:rsidRPr="00F051FC">
              <w:t>Receipts from Government</w:t>
            </w:r>
          </w:p>
        </w:tc>
        <w:tc>
          <w:tcPr>
            <w:tcW w:w="512" w:type="pct"/>
          </w:tcPr>
          <w:p w14:paraId="54961420" w14:textId="2C55867F"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1C8EE831" w14:textId="32D333FE"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602,737</w:t>
            </w:r>
          </w:p>
        </w:tc>
        <w:tc>
          <w:tcPr>
            <w:tcW w:w="698" w:type="pct"/>
          </w:tcPr>
          <w:p w14:paraId="316E6E1A" w14:textId="18242064"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590,385</w:t>
            </w:r>
          </w:p>
        </w:tc>
      </w:tr>
      <w:tr w:rsidR="00AC0BBF" w:rsidRPr="00F051FC" w14:paraId="1D76E1AE"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54606F7A" w14:textId="77777777" w:rsidR="00417B1B" w:rsidRPr="00F051FC" w:rsidRDefault="00417B1B" w:rsidP="00AC0BBF">
            <w:pPr>
              <w:pStyle w:val="TableText"/>
              <w:spacing w:before="0"/>
            </w:pPr>
            <w:r w:rsidRPr="00F051FC">
              <w:t>Receipts from other entities</w:t>
            </w:r>
          </w:p>
        </w:tc>
        <w:tc>
          <w:tcPr>
            <w:tcW w:w="512" w:type="pct"/>
          </w:tcPr>
          <w:p w14:paraId="12A17CA8" w14:textId="68158722"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5837EAA2" w14:textId="69FD6778"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30,209</w:t>
            </w:r>
          </w:p>
        </w:tc>
        <w:tc>
          <w:tcPr>
            <w:tcW w:w="698" w:type="pct"/>
          </w:tcPr>
          <w:p w14:paraId="74312C21" w14:textId="1AEB9327"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20,492</w:t>
            </w:r>
          </w:p>
        </w:tc>
      </w:tr>
      <w:tr w:rsidR="00AC0BBF" w:rsidRPr="00F051FC" w14:paraId="7387B9C6"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bottom w:val="single" w:sz="4" w:space="0" w:color="auto"/>
            </w:tcBorders>
          </w:tcPr>
          <w:p w14:paraId="74BC9511" w14:textId="79F9B9F1" w:rsidR="00417B1B" w:rsidRPr="00F051FC" w:rsidRDefault="00417B1B" w:rsidP="00AC0BBF">
            <w:pPr>
              <w:pStyle w:val="TableText"/>
              <w:spacing w:before="0"/>
            </w:pPr>
            <w:r w:rsidRPr="00F051FC">
              <w:t>Goods and services tax recovered from the Australian</w:t>
            </w:r>
            <w:r w:rsidR="00D45E5B">
              <w:t xml:space="preserve"> </w:t>
            </w:r>
            <w:r w:rsidRPr="00F051FC">
              <w:t>Taxation</w:t>
            </w:r>
            <w:r w:rsidR="00D45E5B">
              <w:t xml:space="preserve"> </w:t>
            </w:r>
            <w:r w:rsidRPr="00F051FC">
              <w:t>Office</w:t>
            </w:r>
          </w:p>
        </w:tc>
        <w:tc>
          <w:tcPr>
            <w:tcW w:w="512" w:type="pct"/>
            <w:tcBorders>
              <w:bottom w:val="single" w:sz="4" w:space="0" w:color="auto"/>
            </w:tcBorders>
          </w:tcPr>
          <w:p w14:paraId="01AFAA9C" w14:textId="1CEE0AC1"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Borders>
              <w:bottom w:val="single" w:sz="4" w:space="0" w:color="auto"/>
            </w:tcBorders>
          </w:tcPr>
          <w:p w14:paraId="4B30D8D8" w14:textId="07A59ED9"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27,040</w:t>
            </w:r>
          </w:p>
        </w:tc>
        <w:tc>
          <w:tcPr>
            <w:tcW w:w="698" w:type="pct"/>
            <w:tcBorders>
              <w:bottom w:val="single" w:sz="4" w:space="0" w:color="auto"/>
            </w:tcBorders>
          </w:tcPr>
          <w:p w14:paraId="2BFBBCD3" w14:textId="53A5403E"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19,835</w:t>
            </w:r>
          </w:p>
        </w:tc>
      </w:tr>
      <w:tr w:rsidR="00AC0BBF" w:rsidRPr="00AC0BBF" w14:paraId="242A563D"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bottom w:val="single" w:sz="4" w:space="0" w:color="auto"/>
            </w:tcBorders>
            <w:shd w:val="clear" w:color="auto" w:fill="auto"/>
          </w:tcPr>
          <w:p w14:paraId="38EED9F1" w14:textId="77777777" w:rsidR="00417B1B" w:rsidRPr="00AC0BBF" w:rsidRDefault="00417B1B" w:rsidP="00AC0BBF">
            <w:pPr>
              <w:pStyle w:val="TableText"/>
              <w:spacing w:before="0"/>
              <w:rPr>
                <w:rStyle w:val="Bold"/>
              </w:rPr>
            </w:pPr>
            <w:r w:rsidRPr="00AC0BBF">
              <w:rPr>
                <w:rStyle w:val="Bold"/>
              </w:rPr>
              <w:t>Total receipts</w:t>
            </w:r>
          </w:p>
        </w:tc>
        <w:tc>
          <w:tcPr>
            <w:tcW w:w="512" w:type="pct"/>
            <w:tcBorders>
              <w:top w:val="single" w:sz="4" w:space="0" w:color="auto"/>
              <w:bottom w:val="single" w:sz="4" w:space="0" w:color="auto"/>
            </w:tcBorders>
            <w:shd w:val="clear" w:color="auto" w:fill="auto"/>
          </w:tcPr>
          <w:p w14:paraId="3E2BB384" w14:textId="731F5B10" w:rsidR="00417B1B" w:rsidRPr="00AC0BBF"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AC0BBF">
              <w:t>N/A</w:t>
            </w:r>
          </w:p>
        </w:tc>
        <w:tc>
          <w:tcPr>
            <w:tcW w:w="699" w:type="pct"/>
            <w:tcBorders>
              <w:top w:val="single" w:sz="4" w:space="0" w:color="auto"/>
              <w:bottom w:val="single" w:sz="4" w:space="0" w:color="auto"/>
            </w:tcBorders>
            <w:shd w:val="clear" w:color="auto" w:fill="auto"/>
          </w:tcPr>
          <w:p w14:paraId="2D9294F0" w14:textId="4F8667F8"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659,986</w:t>
            </w:r>
          </w:p>
        </w:tc>
        <w:tc>
          <w:tcPr>
            <w:tcW w:w="698" w:type="pct"/>
            <w:tcBorders>
              <w:top w:val="single" w:sz="4" w:space="0" w:color="auto"/>
              <w:bottom w:val="single" w:sz="4" w:space="0" w:color="auto"/>
            </w:tcBorders>
            <w:shd w:val="clear" w:color="auto" w:fill="auto"/>
          </w:tcPr>
          <w:p w14:paraId="6B6887B0" w14:textId="14B9A1D3"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630,712</w:t>
            </w:r>
          </w:p>
        </w:tc>
      </w:tr>
      <w:tr w:rsidR="00AC0BBF" w:rsidRPr="00F051FC" w14:paraId="02C7F1CA"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62D48FDA" w14:textId="77777777" w:rsidR="00417B1B" w:rsidRPr="00F051FC" w:rsidRDefault="00417B1B" w:rsidP="00AC0BBF">
            <w:pPr>
              <w:pStyle w:val="TableText"/>
              <w:spacing w:before="120"/>
            </w:pPr>
            <w:r w:rsidRPr="00AC0BBF">
              <w:rPr>
                <w:rStyle w:val="Bold"/>
              </w:rPr>
              <w:t>Payments</w:t>
            </w:r>
          </w:p>
        </w:tc>
        <w:tc>
          <w:tcPr>
            <w:tcW w:w="512" w:type="pct"/>
          </w:tcPr>
          <w:p w14:paraId="0F9F8BF8" w14:textId="7F820E64"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76C9608A" w14:textId="3B6F033F"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Pr>
          <w:p w14:paraId="268977DC" w14:textId="2CDC6313"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AC0BBF" w:rsidRPr="00F051FC" w14:paraId="781EBF84"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B939512" w14:textId="1C2C1EB5" w:rsidR="00417B1B" w:rsidRPr="00F051FC" w:rsidRDefault="00417B1B" w:rsidP="00AC0BBF">
            <w:pPr>
              <w:pStyle w:val="TableText"/>
              <w:spacing w:before="0"/>
            </w:pPr>
            <w:r w:rsidRPr="00F051FC">
              <w:t xml:space="preserve">Payments to suppliers, employees and </w:t>
            </w:r>
            <w:r w:rsidR="00BD17AB">
              <w:t>J</w:t>
            </w:r>
            <w:r w:rsidRPr="00F051FC">
              <w:t xml:space="preserve">udicial </w:t>
            </w:r>
            <w:r w:rsidR="00BD17AB">
              <w:t>O</w:t>
            </w:r>
            <w:r w:rsidRPr="00F051FC">
              <w:t>fficers</w:t>
            </w:r>
          </w:p>
        </w:tc>
        <w:tc>
          <w:tcPr>
            <w:tcW w:w="512" w:type="pct"/>
          </w:tcPr>
          <w:p w14:paraId="77CAA057" w14:textId="1DD1ABEB"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3376216B" w14:textId="016B5A58"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(547,266)</w:t>
            </w:r>
          </w:p>
        </w:tc>
        <w:tc>
          <w:tcPr>
            <w:tcW w:w="698" w:type="pct"/>
          </w:tcPr>
          <w:p w14:paraId="55ECCA6E" w14:textId="09E4A4CE"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(498,346)</w:t>
            </w:r>
          </w:p>
        </w:tc>
      </w:tr>
      <w:tr w:rsidR="00AC0BBF" w:rsidRPr="00F051FC" w14:paraId="3F8DE55B"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EA617D3" w14:textId="77777777" w:rsidR="00417B1B" w:rsidRPr="00F051FC" w:rsidRDefault="00417B1B" w:rsidP="00AC0BBF">
            <w:pPr>
              <w:pStyle w:val="TableText"/>
              <w:spacing w:before="0"/>
            </w:pPr>
            <w:r w:rsidRPr="00F051FC">
              <w:t>Payments of grants and other transfers</w:t>
            </w:r>
          </w:p>
        </w:tc>
        <w:tc>
          <w:tcPr>
            <w:tcW w:w="512" w:type="pct"/>
          </w:tcPr>
          <w:p w14:paraId="54ECD0A5" w14:textId="0FBD0BF3"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1C0D1F5D" w14:textId="50868832"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(7,602)</w:t>
            </w:r>
          </w:p>
        </w:tc>
        <w:tc>
          <w:tcPr>
            <w:tcW w:w="698" w:type="pct"/>
          </w:tcPr>
          <w:p w14:paraId="3E78E8F5" w14:textId="3A7FFBE0"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(7,321)</w:t>
            </w:r>
          </w:p>
        </w:tc>
      </w:tr>
      <w:tr w:rsidR="00AC0BBF" w:rsidRPr="00F051FC" w14:paraId="5471FA59"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1A4B28B" w14:textId="77777777" w:rsidR="00417B1B" w:rsidRPr="00F051FC" w:rsidRDefault="00417B1B" w:rsidP="00AC0BBF">
            <w:pPr>
              <w:pStyle w:val="TableText"/>
              <w:spacing w:before="0"/>
            </w:pPr>
            <w:r w:rsidRPr="00F051FC">
              <w:t>Capital assets charge payments</w:t>
            </w:r>
          </w:p>
        </w:tc>
        <w:tc>
          <w:tcPr>
            <w:tcW w:w="512" w:type="pct"/>
          </w:tcPr>
          <w:p w14:paraId="66625A35" w14:textId="628017E2"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662B89AE" w14:textId="25A4FE5C"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(46,362)</w:t>
            </w:r>
          </w:p>
        </w:tc>
        <w:tc>
          <w:tcPr>
            <w:tcW w:w="698" w:type="pct"/>
          </w:tcPr>
          <w:p w14:paraId="2F4DBDAA" w14:textId="09414D92"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(45,499)</w:t>
            </w:r>
          </w:p>
        </w:tc>
      </w:tr>
      <w:tr w:rsidR="00AC0BBF" w:rsidRPr="00F051FC" w14:paraId="4D655375"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bottom w:val="single" w:sz="4" w:space="0" w:color="auto"/>
            </w:tcBorders>
          </w:tcPr>
          <w:p w14:paraId="339E0F22" w14:textId="77777777" w:rsidR="00417B1B" w:rsidRPr="00F051FC" w:rsidRDefault="00417B1B" w:rsidP="00AC0BBF">
            <w:pPr>
              <w:pStyle w:val="TableText"/>
              <w:spacing w:before="0"/>
            </w:pPr>
            <w:r w:rsidRPr="00F051FC">
              <w:t>Interest and other costs of finance paid</w:t>
            </w:r>
          </w:p>
        </w:tc>
        <w:tc>
          <w:tcPr>
            <w:tcW w:w="512" w:type="pct"/>
            <w:tcBorders>
              <w:bottom w:val="single" w:sz="4" w:space="0" w:color="auto"/>
            </w:tcBorders>
          </w:tcPr>
          <w:p w14:paraId="51B76D48" w14:textId="67211230"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Borders>
              <w:bottom w:val="single" w:sz="4" w:space="0" w:color="auto"/>
            </w:tcBorders>
          </w:tcPr>
          <w:p w14:paraId="04E84C82" w14:textId="36BEF9B2"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(4,807)</w:t>
            </w:r>
          </w:p>
        </w:tc>
        <w:tc>
          <w:tcPr>
            <w:tcW w:w="698" w:type="pct"/>
            <w:tcBorders>
              <w:bottom w:val="single" w:sz="4" w:space="0" w:color="auto"/>
            </w:tcBorders>
          </w:tcPr>
          <w:p w14:paraId="5ECBD989" w14:textId="32226B29"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(4,983)</w:t>
            </w:r>
          </w:p>
        </w:tc>
      </w:tr>
      <w:tr w:rsidR="00AC0BBF" w:rsidRPr="00AC0BBF" w14:paraId="73FF9246"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bottom w:val="single" w:sz="4" w:space="0" w:color="auto"/>
            </w:tcBorders>
            <w:shd w:val="clear" w:color="auto" w:fill="auto"/>
          </w:tcPr>
          <w:p w14:paraId="433F7E8E" w14:textId="77777777" w:rsidR="00417B1B" w:rsidRPr="00AC0BBF" w:rsidRDefault="00417B1B" w:rsidP="00AC0BBF">
            <w:pPr>
              <w:pStyle w:val="TableText"/>
              <w:spacing w:before="0"/>
              <w:rPr>
                <w:rStyle w:val="Bold"/>
              </w:rPr>
            </w:pPr>
            <w:r w:rsidRPr="00AC0BBF">
              <w:rPr>
                <w:rStyle w:val="Bold"/>
              </w:rPr>
              <w:t>Total payments</w:t>
            </w:r>
          </w:p>
        </w:tc>
        <w:tc>
          <w:tcPr>
            <w:tcW w:w="512" w:type="pct"/>
            <w:tcBorders>
              <w:top w:val="single" w:sz="4" w:space="0" w:color="auto"/>
              <w:bottom w:val="single" w:sz="4" w:space="0" w:color="auto"/>
            </w:tcBorders>
            <w:shd w:val="clear" w:color="auto" w:fill="auto"/>
          </w:tcPr>
          <w:p w14:paraId="75E6D943" w14:textId="7AC3BA83" w:rsidR="00417B1B" w:rsidRPr="00AC0BBF"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AC0BBF">
              <w:t>N/A</w:t>
            </w:r>
          </w:p>
        </w:tc>
        <w:tc>
          <w:tcPr>
            <w:tcW w:w="699" w:type="pct"/>
            <w:tcBorders>
              <w:top w:val="single" w:sz="4" w:space="0" w:color="auto"/>
              <w:bottom w:val="single" w:sz="4" w:space="0" w:color="auto"/>
            </w:tcBorders>
            <w:shd w:val="clear" w:color="auto" w:fill="auto"/>
          </w:tcPr>
          <w:p w14:paraId="3429CAB7" w14:textId="5317616B"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(606,037)</w:t>
            </w:r>
          </w:p>
        </w:tc>
        <w:tc>
          <w:tcPr>
            <w:tcW w:w="698" w:type="pct"/>
            <w:tcBorders>
              <w:top w:val="single" w:sz="4" w:space="0" w:color="auto"/>
              <w:bottom w:val="single" w:sz="4" w:space="0" w:color="auto"/>
            </w:tcBorders>
            <w:shd w:val="clear" w:color="auto" w:fill="auto"/>
          </w:tcPr>
          <w:p w14:paraId="42528D32" w14:textId="5007EA38"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(556,150)</w:t>
            </w:r>
          </w:p>
        </w:tc>
      </w:tr>
      <w:tr w:rsidR="00AC0BBF" w:rsidRPr="00AC0BBF" w14:paraId="1136B08C"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bottom w:val="single" w:sz="4" w:space="0" w:color="auto"/>
            </w:tcBorders>
            <w:shd w:val="clear" w:color="auto" w:fill="auto"/>
          </w:tcPr>
          <w:p w14:paraId="2E9B82D7" w14:textId="77777777" w:rsidR="00417B1B" w:rsidRPr="00AC0BBF" w:rsidRDefault="00417B1B" w:rsidP="00AC0BBF">
            <w:pPr>
              <w:pStyle w:val="TableText"/>
              <w:spacing w:before="0"/>
              <w:rPr>
                <w:rStyle w:val="Bold"/>
              </w:rPr>
            </w:pPr>
            <w:r w:rsidRPr="00AC0BBF">
              <w:rPr>
                <w:rStyle w:val="Bold"/>
              </w:rPr>
              <w:t>Net cash flows from</w:t>
            </w:r>
            <w:proofErr w:type="gramStart"/>
            <w:r w:rsidRPr="00AC0BBF">
              <w:rPr>
                <w:rStyle w:val="Bold"/>
              </w:rPr>
              <w:t>/(</w:t>
            </w:r>
            <w:proofErr w:type="gramEnd"/>
            <w:r w:rsidRPr="00AC0BBF">
              <w:rPr>
                <w:rStyle w:val="Bold"/>
              </w:rPr>
              <w:t>used in) operating activities</w:t>
            </w:r>
          </w:p>
        </w:tc>
        <w:tc>
          <w:tcPr>
            <w:tcW w:w="512" w:type="pct"/>
            <w:tcBorders>
              <w:top w:val="single" w:sz="4" w:space="0" w:color="auto"/>
              <w:bottom w:val="single" w:sz="4" w:space="0" w:color="auto"/>
            </w:tcBorders>
            <w:shd w:val="clear" w:color="auto" w:fill="auto"/>
          </w:tcPr>
          <w:p w14:paraId="1EF72BE1" w14:textId="630873ED" w:rsidR="00417B1B" w:rsidRPr="00B7100B" w:rsidRDefault="00C9062D"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hyperlink w:anchor="Note721" w:history="1">
              <w:r w:rsidR="00B7100B" w:rsidRPr="00B7100B">
                <w:t>7.2.1</w:t>
              </w:r>
            </w:hyperlink>
          </w:p>
        </w:tc>
        <w:tc>
          <w:tcPr>
            <w:tcW w:w="699" w:type="pct"/>
            <w:tcBorders>
              <w:top w:val="single" w:sz="4" w:space="0" w:color="auto"/>
              <w:bottom w:val="single" w:sz="4" w:space="0" w:color="auto"/>
            </w:tcBorders>
            <w:shd w:val="clear" w:color="auto" w:fill="auto"/>
          </w:tcPr>
          <w:p w14:paraId="0B5B0BF1" w14:textId="43B3F168"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53,948</w:t>
            </w:r>
          </w:p>
        </w:tc>
        <w:tc>
          <w:tcPr>
            <w:tcW w:w="698" w:type="pct"/>
            <w:tcBorders>
              <w:top w:val="single" w:sz="4" w:space="0" w:color="auto"/>
              <w:bottom w:val="single" w:sz="4" w:space="0" w:color="auto"/>
            </w:tcBorders>
            <w:shd w:val="clear" w:color="auto" w:fill="auto"/>
          </w:tcPr>
          <w:p w14:paraId="3EE5CEAE" w14:textId="68D11606"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74,563</w:t>
            </w:r>
          </w:p>
        </w:tc>
      </w:tr>
      <w:tr w:rsidR="00AC0BBF" w:rsidRPr="00F051FC" w14:paraId="4C2BF2DE"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FFADED8" w14:textId="77777777" w:rsidR="00417B1B" w:rsidRPr="00BD17AB" w:rsidRDefault="00417B1B" w:rsidP="00AC0BBF">
            <w:pPr>
              <w:pStyle w:val="TableText"/>
              <w:spacing w:before="120"/>
              <w:rPr>
                <w:rStyle w:val="Bold"/>
              </w:rPr>
            </w:pPr>
            <w:r w:rsidRPr="00BD17AB">
              <w:rPr>
                <w:rStyle w:val="Bold"/>
              </w:rPr>
              <w:t>Cash flows from investing activities</w:t>
            </w:r>
          </w:p>
        </w:tc>
        <w:tc>
          <w:tcPr>
            <w:tcW w:w="512" w:type="pct"/>
          </w:tcPr>
          <w:p w14:paraId="6643E713" w14:textId="3529402E"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56049F3D" w14:textId="0A900419"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Pr>
          <w:p w14:paraId="0A5DD11D" w14:textId="51F9EF53"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AC0BBF" w:rsidRPr="00F051FC" w14:paraId="7F384274"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D11045E" w14:textId="77777777" w:rsidR="00417B1B" w:rsidRPr="00F051FC" w:rsidRDefault="00417B1B" w:rsidP="00AC0BBF">
            <w:pPr>
              <w:pStyle w:val="TableText"/>
              <w:spacing w:before="0"/>
            </w:pPr>
            <w:r w:rsidRPr="00F051FC">
              <w:t>Purchases of non-financial assets</w:t>
            </w:r>
          </w:p>
        </w:tc>
        <w:tc>
          <w:tcPr>
            <w:tcW w:w="512" w:type="pct"/>
          </w:tcPr>
          <w:p w14:paraId="20E15C32" w14:textId="7C5F1E7D"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009AC009" w14:textId="51B03BFA"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(95,205)</w:t>
            </w:r>
          </w:p>
        </w:tc>
        <w:tc>
          <w:tcPr>
            <w:tcW w:w="698" w:type="pct"/>
          </w:tcPr>
          <w:p w14:paraId="4BC5D2E4" w14:textId="4A4A5DED"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(73,964)</w:t>
            </w:r>
          </w:p>
        </w:tc>
      </w:tr>
      <w:tr w:rsidR="00AC0BBF" w:rsidRPr="00F051FC" w14:paraId="3E807B18"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bottom w:val="single" w:sz="4" w:space="0" w:color="auto"/>
            </w:tcBorders>
          </w:tcPr>
          <w:p w14:paraId="2C5A4857" w14:textId="77777777" w:rsidR="00417B1B" w:rsidRPr="00F051FC" w:rsidRDefault="00417B1B" w:rsidP="00AC0BBF">
            <w:pPr>
              <w:pStyle w:val="TableText"/>
              <w:spacing w:before="0"/>
            </w:pPr>
            <w:r w:rsidRPr="00F051FC">
              <w:t xml:space="preserve">Proceeds from sales of non-financial assets </w:t>
            </w:r>
          </w:p>
        </w:tc>
        <w:tc>
          <w:tcPr>
            <w:tcW w:w="512" w:type="pct"/>
            <w:tcBorders>
              <w:bottom w:val="single" w:sz="4" w:space="0" w:color="auto"/>
            </w:tcBorders>
          </w:tcPr>
          <w:p w14:paraId="1E95F02C" w14:textId="68218B5B"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Borders>
              <w:bottom w:val="single" w:sz="4" w:space="0" w:color="auto"/>
            </w:tcBorders>
          </w:tcPr>
          <w:p w14:paraId="792B9528" w14:textId="4AF1AC35"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2,569</w:t>
            </w:r>
          </w:p>
        </w:tc>
        <w:tc>
          <w:tcPr>
            <w:tcW w:w="698" w:type="pct"/>
            <w:tcBorders>
              <w:bottom w:val="single" w:sz="4" w:space="0" w:color="auto"/>
            </w:tcBorders>
          </w:tcPr>
          <w:p w14:paraId="1806232F" w14:textId="68B734D4"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2,904</w:t>
            </w:r>
          </w:p>
        </w:tc>
      </w:tr>
      <w:tr w:rsidR="00AC0BBF" w:rsidRPr="00AC0BBF" w14:paraId="3101AB9E"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bottom w:val="single" w:sz="4" w:space="0" w:color="auto"/>
            </w:tcBorders>
            <w:shd w:val="clear" w:color="auto" w:fill="auto"/>
          </w:tcPr>
          <w:p w14:paraId="61FF2A53" w14:textId="77777777" w:rsidR="00417B1B" w:rsidRPr="00AC0BBF" w:rsidRDefault="00417B1B" w:rsidP="00AC0BBF">
            <w:pPr>
              <w:pStyle w:val="TableText"/>
              <w:spacing w:before="0"/>
              <w:rPr>
                <w:rStyle w:val="Bold"/>
              </w:rPr>
            </w:pPr>
            <w:r w:rsidRPr="00AC0BBF">
              <w:rPr>
                <w:rStyle w:val="Bold"/>
              </w:rPr>
              <w:t>Net cash flows from</w:t>
            </w:r>
            <w:proofErr w:type="gramStart"/>
            <w:r w:rsidRPr="00AC0BBF">
              <w:rPr>
                <w:rStyle w:val="Bold"/>
              </w:rPr>
              <w:t>/(</w:t>
            </w:r>
            <w:proofErr w:type="gramEnd"/>
            <w:r w:rsidRPr="00AC0BBF">
              <w:rPr>
                <w:rStyle w:val="Bold"/>
              </w:rPr>
              <w:t>used in) investing activities</w:t>
            </w:r>
          </w:p>
        </w:tc>
        <w:tc>
          <w:tcPr>
            <w:tcW w:w="512" w:type="pct"/>
            <w:tcBorders>
              <w:top w:val="single" w:sz="4" w:space="0" w:color="auto"/>
              <w:bottom w:val="single" w:sz="4" w:space="0" w:color="auto"/>
            </w:tcBorders>
            <w:shd w:val="clear" w:color="auto" w:fill="auto"/>
          </w:tcPr>
          <w:p w14:paraId="15078D7E" w14:textId="69EC1C44" w:rsidR="00417B1B" w:rsidRPr="00AC0BBF"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AC0BBF">
              <w:t>N/A</w:t>
            </w:r>
          </w:p>
        </w:tc>
        <w:tc>
          <w:tcPr>
            <w:tcW w:w="699" w:type="pct"/>
            <w:tcBorders>
              <w:top w:val="single" w:sz="4" w:space="0" w:color="auto"/>
              <w:bottom w:val="single" w:sz="4" w:space="0" w:color="auto"/>
            </w:tcBorders>
            <w:shd w:val="clear" w:color="auto" w:fill="auto"/>
          </w:tcPr>
          <w:p w14:paraId="5DCBDE5B" w14:textId="1F027AAB"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(92,636)</w:t>
            </w:r>
          </w:p>
        </w:tc>
        <w:tc>
          <w:tcPr>
            <w:tcW w:w="698" w:type="pct"/>
            <w:tcBorders>
              <w:top w:val="single" w:sz="4" w:space="0" w:color="auto"/>
              <w:bottom w:val="single" w:sz="4" w:space="0" w:color="auto"/>
            </w:tcBorders>
            <w:shd w:val="clear" w:color="auto" w:fill="auto"/>
          </w:tcPr>
          <w:p w14:paraId="711E431D" w14:textId="57E6E5FA"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(71,060)</w:t>
            </w:r>
          </w:p>
        </w:tc>
      </w:tr>
      <w:tr w:rsidR="00AC0BBF" w:rsidRPr="00F051FC" w14:paraId="1DF57E64"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4B827948" w14:textId="77777777" w:rsidR="00417B1B" w:rsidRPr="00AC0BBF" w:rsidRDefault="00417B1B" w:rsidP="00AC0BBF">
            <w:pPr>
              <w:pStyle w:val="TableText"/>
              <w:spacing w:before="120"/>
              <w:rPr>
                <w:rStyle w:val="Bold"/>
              </w:rPr>
            </w:pPr>
            <w:r w:rsidRPr="00AC0BBF">
              <w:rPr>
                <w:rStyle w:val="Bold"/>
              </w:rPr>
              <w:t>Cash flows from financing activities</w:t>
            </w:r>
          </w:p>
        </w:tc>
        <w:tc>
          <w:tcPr>
            <w:tcW w:w="512" w:type="pct"/>
          </w:tcPr>
          <w:p w14:paraId="6773A402" w14:textId="02B5F885"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5A67CD4C" w14:textId="1A0BC46F"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Pr>
          <w:p w14:paraId="5B3BBE04" w14:textId="507BA00E"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AC0BBF" w:rsidRPr="00F051FC" w14:paraId="041A82F9" w14:textId="77777777" w:rsidTr="008C17D7">
        <w:tc>
          <w:tcPr>
            <w:cnfStyle w:val="001000000000" w:firstRow="0" w:lastRow="0" w:firstColumn="1" w:lastColumn="0" w:oddVBand="0" w:evenVBand="0" w:oddHBand="0" w:evenHBand="0" w:firstRowFirstColumn="0" w:firstRowLastColumn="0" w:lastRowFirstColumn="0" w:lastRowLastColumn="0"/>
            <w:tcW w:w="3091" w:type="pct"/>
          </w:tcPr>
          <w:p w14:paraId="6DFE7B1F" w14:textId="77777777" w:rsidR="00417B1B" w:rsidRPr="00F051FC" w:rsidRDefault="00417B1B" w:rsidP="00AC0BBF">
            <w:pPr>
              <w:pStyle w:val="TableText"/>
              <w:spacing w:before="0"/>
            </w:pPr>
            <w:r w:rsidRPr="00F051FC">
              <w:t>Owner contributions by State Government</w:t>
            </w:r>
          </w:p>
        </w:tc>
        <w:tc>
          <w:tcPr>
            <w:tcW w:w="512" w:type="pct"/>
          </w:tcPr>
          <w:p w14:paraId="56C64853" w14:textId="31B81FBD"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0FD17FEE" w14:textId="4F315D66"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66,021</w:t>
            </w:r>
          </w:p>
        </w:tc>
        <w:tc>
          <w:tcPr>
            <w:tcW w:w="698" w:type="pct"/>
          </w:tcPr>
          <w:p w14:paraId="732596E3" w14:textId="43F54669"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13,569</w:t>
            </w:r>
          </w:p>
        </w:tc>
      </w:tr>
      <w:tr w:rsidR="00AC0BBF" w:rsidRPr="00F051FC" w14:paraId="05506450"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bottom w:val="single" w:sz="4" w:space="0" w:color="auto"/>
            </w:tcBorders>
          </w:tcPr>
          <w:p w14:paraId="081F2B5B" w14:textId="3063119C" w:rsidR="00417B1B" w:rsidRPr="00F051FC" w:rsidRDefault="00417B1B" w:rsidP="00AC0BBF">
            <w:pPr>
              <w:pStyle w:val="TableText"/>
              <w:spacing w:before="0"/>
            </w:pPr>
            <w:r w:rsidRPr="00F051FC">
              <w:t xml:space="preserve">Repayment of borrowings and </w:t>
            </w:r>
            <w:r w:rsidR="00BD17AB">
              <w:t>principal portion of lease liabilities (2019: finance leases)</w:t>
            </w:r>
          </w:p>
        </w:tc>
        <w:tc>
          <w:tcPr>
            <w:tcW w:w="512" w:type="pct"/>
            <w:tcBorders>
              <w:bottom w:val="single" w:sz="4" w:space="0" w:color="auto"/>
            </w:tcBorders>
          </w:tcPr>
          <w:p w14:paraId="2ECEEB92" w14:textId="7FA669A7"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Borders>
              <w:bottom w:val="single" w:sz="4" w:space="0" w:color="auto"/>
            </w:tcBorders>
          </w:tcPr>
          <w:p w14:paraId="53300BA4" w14:textId="7D81305F"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(25,344)</w:t>
            </w:r>
          </w:p>
        </w:tc>
        <w:tc>
          <w:tcPr>
            <w:tcW w:w="698" w:type="pct"/>
            <w:tcBorders>
              <w:bottom w:val="single" w:sz="4" w:space="0" w:color="auto"/>
            </w:tcBorders>
          </w:tcPr>
          <w:p w14:paraId="753B76FB" w14:textId="5486C40A"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(12,324)</w:t>
            </w:r>
          </w:p>
        </w:tc>
      </w:tr>
      <w:tr w:rsidR="00AC0BBF" w:rsidRPr="00AC0BBF" w14:paraId="2BEA0FA0" w14:textId="77777777" w:rsidTr="008C17D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bottom w:val="single" w:sz="4" w:space="0" w:color="auto"/>
            </w:tcBorders>
            <w:shd w:val="clear" w:color="auto" w:fill="auto"/>
          </w:tcPr>
          <w:p w14:paraId="7824FE8A" w14:textId="77777777" w:rsidR="00417B1B" w:rsidRPr="00AC0BBF" w:rsidRDefault="00417B1B" w:rsidP="00AC0BBF">
            <w:pPr>
              <w:pStyle w:val="TableText"/>
              <w:spacing w:before="0"/>
              <w:rPr>
                <w:rStyle w:val="Bold"/>
              </w:rPr>
            </w:pPr>
            <w:r w:rsidRPr="00AC0BBF">
              <w:rPr>
                <w:rStyle w:val="Bold"/>
              </w:rPr>
              <w:t>Net cash provided by</w:t>
            </w:r>
            <w:proofErr w:type="gramStart"/>
            <w:r w:rsidRPr="00AC0BBF">
              <w:rPr>
                <w:rStyle w:val="Bold"/>
              </w:rPr>
              <w:t>/(</w:t>
            </w:r>
            <w:proofErr w:type="gramEnd"/>
            <w:r w:rsidRPr="00AC0BBF">
              <w:rPr>
                <w:rStyle w:val="Bold"/>
              </w:rPr>
              <w:t>used in) financing activities</w:t>
            </w:r>
          </w:p>
        </w:tc>
        <w:tc>
          <w:tcPr>
            <w:tcW w:w="512" w:type="pct"/>
            <w:tcBorders>
              <w:top w:val="single" w:sz="4" w:space="0" w:color="auto"/>
              <w:bottom w:val="single" w:sz="4" w:space="0" w:color="auto"/>
            </w:tcBorders>
            <w:shd w:val="clear" w:color="auto" w:fill="auto"/>
          </w:tcPr>
          <w:p w14:paraId="3E45FE27" w14:textId="2E301D43" w:rsidR="00417B1B" w:rsidRPr="00AC0BBF"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AC0BBF">
              <w:t>N/A</w:t>
            </w:r>
          </w:p>
        </w:tc>
        <w:tc>
          <w:tcPr>
            <w:tcW w:w="699" w:type="pct"/>
            <w:tcBorders>
              <w:top w:val="single" w:sz="4" w:space="0" w:color="auto"/>
              <w:bottom w:val="single" w:sz="4" w:space="0" w:color="auto"/>
            </w:tcBorders>
            <w:shd w:val="clear" w:color="auto" w:fill="auto"/>
          </w:tcPr>
          <w:p w14:paraId="1E33E820" w14:textId="0E523FED"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40,677</w:t>
            </w:r>
          </w:p>
        </w:tc>
        <w:tc>
          <w:tcPr>
            <w:tcW w:w="698" w:type="pct"/>
            <w:tcBorders>
              <w:top w:val="single" w:sz="4" w:space="0" w:color="auto"/>
              <w:bottom w:val="single" w:sz="4" w:space="0" w:color="auto"/>
            </w:tcBorders>
            <w:shd w:val="clear" w:color="auto" w:fill="auto"/>
          </w:tcPr>
          <w:p w14:paraId="485CD1D1" w14:textId="61626017" w:rsidR="00417B1B" w:rsidRPr="00AC0BBF"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Pr>
                <w:rStyle w:val="Bold"/>
              </w:rPr>
              <w:t>1,245</w:t>
            </w:r>
          </w:p>
        </w:tc>
      </w:tr>
      <w:tr w:rsidR="00AC0BBF" w:rsidRPr="00F051FC" w14:paraId="3711147B" w14:textId="77777777" w:rsidTr="006B5237">
        <w:tc>
          <w:tcPr>
            <w:cnfStyle w:val="001000000000" w:firstRow="0" w:lastRow="0" w:firstColumn="1" w:lastColumn="0" w:oddVBand="0" w:evenVBand="0" w:oddHBand="0" w:evenHBand="0" w:firstRowFirstColumn="0" w:firstRowLastColumn="0" w:lastRowFirstColumn="0" w:lastRowLastColumn="0"/>
            <w:tcW w:w="3091" w:type="pct"/>
            <w:tcBorders>
              <w:top w:val="single" w:sz="4" w:space="0" w:color="auto"/>
            </w:tcBorders>
          </w:tcPr>
          <w:p w14:paraId="0FBF208C" w14:textId="77777777" w:rsidR="00417B1B" w:rsidRPr="00BD17AB" w:rsidRDefault="00417B1B" w:rsidP="00AC0BBF">
            <w:pPr>
              <w:pStyle w:val="TableText"/>
              <w:spacing w:before="120"/>
              <w:rPr>
                <w:rStyle w:val="Bold"/>
              </w:rPr>
            </w:pPr>
            <w:r w:rsidRPr="00BD17AB">
              <w:rPr>
                <w:rStyle w:val="Bold"/>
              </w:rPr>
              <w:t>Net increase (decrease) in cash held</w:t>
            </w:r>
          </w:p>
        </w:tc>
        <w:tc>
          <w:tcPr>
            <w:tcW w:w="512" w:type="pct"/>
            <w:tcBorders>
              <w:top w:val="single" w:sz="4" w:space="0" w:color="auto"/>
              <w:bottom w:val="nil"/>
            </w:tcBorders>
          </w:tcPr>
          <w:p w14:paraId="325048DE" w14:textId="4AD95FB3" w:rsidR="00417B1B" w:rsidRPr="00F051FC" w:rsidRDefault="007756CB" w:rsidP="008C17D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tcBorders>
              <w:top w:val="single" w:sz="4" w:space="0" w:color="auto"/>
            </w:tcBorders>
          </w:tcPr>
          <w:p w14:paraId="4D08345B" w14:textId="70531768" w:rsidR="00417B1B" w:rsidRPr="00F051FC" w:rsidRDefault="00BD17AB" w:rsidP="008C17D7">
            <w:pPr>
              <w:pStyle w:val="TableText"/>
              <w:spacing w:before="120"/>
              <w:cnfStyle w:val="000000000000" w:firstRow="0" w:lastRow="0" w:firstColumn="0" w:lastColumn="0" w:oddVBand="0" w:evenVBand="0" w:oddHBand="0" w:evenHBand="0" w:firstRowFirstColumn="0" w:firstRowLastColumn="0" w:lastRowFirstColumn="0" w:lastRowLastColumn="0"/>
            </w:pPr>
            <w:r>
              <w:t>1,989</w:t>
            </w:r>
          </w:p>
        </w:tc>
        <w:tc>
          <w:tcPr>
            <w:tcW w:w="698" w:type="pct"/>
            <w:tcBorders>
              <w:top w:val="single" w:sz="4" w:space="0" w:color="auto"/>
            </w:tcBorders>
          </w:tcPr>
          <w:p w14:paraId="4ECD5A61" w14:textId="3EC15EC5" w:rsidR="00417B1B" w:rsidRPr="00F051FC" w:rsidRDefault="00BD17AB" w:rsidP="008C17D7">
            <w:pPr>
              <w:pStyle w:val="TableText"/>
              <w:spacing w:before="120"/>
              <w:cnfStyle w:val="000000000000" w:firstRow="0" w:lastRow="0" w:firstColumn="0" w:lastColumn="0" w:oddVBand="0" w:evenVBand="0" w:oddHBand="0" w:evenHBand="0" w:firstRowFirstColumn="0" w:firstRowLastColumn="0" w:lastRowFirstColumn="0" w:lastRowLastColumn="0"/>
            </w:pPr>
            <w:r>
              <w:t>4,747</w:t>
            </w:r>
          </w:p>
        </w:tc>
      </w:tr>
      <w:tr w:rsidR="00AC0BBF" w:rsidRPr="00F051FC" w14:paraId="080D1159" w14:textId="77777777" w:rsidTr="006B5237">
        <w:tc>
          <w:tcPr>
            <w:cnfStyle w:val="001000000000" w:firstRow="0" w:lastRow="0" w:firstColumn="1" w:lastColumn="0" w:oddVBand="0" w:evenVBand="0" w:oddHBand="0" w:evenHBand="0" w:firstRowFirstColumn="0" w:firstRowLastColumn="0" w:lastRowFirstColumn="0" w:lastRowLastColumn="0"/>
            <w:tcW w:w="3091" w:type="pct"/>
          </w:tcPr>
          <w:p w14:paraId="254B72F9" w14:textId="77777777" w:rsidR="00417B1B" w:rsidRPr="00F051FC" w:rsidRDefault="00417B1B" w:rsidP="00AC0BBF">
            <w:pPr>
              <w:pStyle w:val="TableText"/>
              <w:spacing w:before="0"/>
            </w:pPr>
            <w:r w:rsidRPr="00F051FC">
              <w:t>Cash and cash equivalents at the beginning of the financial year</w:t>
            </w:r>
          </w:p>
        </w:tc>
        <w:tc>
          <w:tcPr>
            <w:tcW w:w="512" w:type="pct"/>
            <w:tcBorders>
              <w:top w:val="nil"/>
              <w:bottom w:val="nil"/>
            </w:tcBorders>
          </w:tcPr>
          <w:p w14:paraId="5A868E73" w14:textId="103922FB" w:rsidR="00417B1B" w:rsidRPr="00F051FC" w:rsidRDefault="007756CB" w:rsidP="008C17D7">
            <w:pPr>
              <w:pStyle w:val="TableText"/>
              <w:spacing w:before="0"/>
              <w:cnfStyle w:val="000000000000" w:firstRow="0" w:lastRow="0" w:firstColumn="0" w:lastColumn="0" w:oddVBand="0" w:evenVBand="0" w:oddHBand="0" w:evenHBand="0" w:firstRowFirstColumn="0" w:firstRowLastColumn="0" w:lastRowFirstColumn="0" w:lastRowLastColumn="0"/>
            </w:pPr>
            <w:r>
              <w:t>N/A</w:t>
            </w:r>
          </w:p>
        </w:tc>
        <w:tc>
          <w:tcPr>
            <w:tcW w:w="699" w:type="pct"/>
          </w:tcPr>
          <w:p w14:paraId="7713C35E" w14:textId="6084C06B"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17,899</w:t>
            </w:r>
          </w:p>
        </w:tc>
        <w:tc>
          <w:tcPr>
            <w:tcW w:w="698" w:type="pct"/>
          </w:tcPr>
          <w:p w14:paraId="4C3AD513" w14:textId="386DEA4B" w:rsidR="00417B1B" w:rsidRPr="00F051FC"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pPr>
            <w:r>
              <w:t>13,151</w:t>
            </w:r>
          </w:p>
        </w:tc>
      </w:tr>
      <w:tr w:rsidR="00AC0BBF" w:rsidRPr="00BD17AB" w14:paraId="769BB0BB" w14:textId="77777777" w:rsidTr="006B5237">
        <w:tc>
          <w:tcPr>
            <w:cnfStyle w:val="001000000000" w:firstRow="0" w:lastRow="0" w:firstColumn="1" w:lastColumn="0" w:oddVBand="0" w:evenVBand="0" w:oddHBand="0" w:evenHBand="0" w:firstRowFirstColumn="0" w:firstRowLastColumn="0" w:lastRowFirstColumn="0" w:lastRowLastColumn="0"/>
            <w:tcW w:w="3091" w:type="pct"/>
          </w:tcPr>
          <w:p w14:paraId="785F35D5" w14:textId="77777777" w:rsidR="00417B1B" w:rsidRPr="00BD17AB" w:rsidRDefault="00417B1B" w:rsidP="00AC0BBF">
            <w:pPr>
              <w:pStyle w:val="TableText"/>
              <w:spacing w:before="0"/>
              <w:rPr>
                <w:rStyle w:val="Bold"/>
              </w:rPr>
            </w:pPr>
            <w:r w:rsidRPr="00BD17AB">
              <w:rPr>
                <w:rStyle w:val="Bold"/>
              </w:rPr>
              <w:t>Cash and cash equivalents at the end of the financial year</w:t>
            </w:r>
          </w:p>
        </w:tc>
        <w:tc>
          <w:tcPr>
            <w:tcW w:w="512" w:type="pct"/>
            <w:tcBorders>
              <w:top w:val="nil"/>
              <w:bottom w:val="single" w:sz="4" w:space="0" w:color="auto"/>
            </w:tcBorders>
          </w:tcPr>
          <w:p w14:paraId="77A1168D" w14:textId="4FC45D1B" w:rsidR="00417B1B" w:rsidRPr="00BD17AB" w:rsidRDefault="00FC12E5"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BD17AB">
              <w:rPr>
                <w:rStyle w:val="Bold"/>
              </w:rPr>
              <w:fldChar w:fldCharType="begin"/>
            </w:r>
            <w:r w:rsidRPr="00BD17AB">
              <w:rPr>
                <w:rStyle w:val="Bold"/>
              </w:rPr>
              <w:instrText xml:space="preserve"> REF Note811 \h </w:instrText>
            </w:r>
            <w:r w:rsidR="00BD17AB">
              <w:rPr>
                <w:rStyle w:val="Bold"/>
              </w:rPr>
              <w:instrText xml:space="preserve"> \* MERGEFORMAT </w:instrText>
            </w:r>
            <w:r w:rsidRPr="00BD17AB">
              <w:rPr>
                <w:rStyle w:val="Bold"/>
              </w:rPr>
            </w:r>
            <w:r w:rsidRPr="00BD17AB">
              <w:rPr>
                <w:rStyle w:val="Bold"/>
              </w:rPr>
              <w:fldChar w:fldCharType="separate"/>
            </w:r>
            <w:r w:rsidR="00D46E6D">
              <w:t>8.1.1</w:t>
            </w:r>
            <w:r w:rsidRPr="00BD17AB">
              <w:rPr>
                <w:rStyle w:val="Bold"/>
              </w:rPr>
              <w:fldChar w:fldCharType="end"/>
            </w:r>
          </w:p>
        </w:tc>
        <w:tc>
          <w:tcPr>
            <w:tcW w:w="699" w:type="pct"/>
          </w:tcPr>
          <w:p w14:paraId="79EB07E5" w14:textId="6C89D3AB" w:rsidR="00417B1B" w:rsidRPr="00BD17AB"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BD17AB">
              <w:rPr>
                <w:rStyle w:val="Bold"/>
              </w:rPr>
              <w:t>19,888</w:t>
            </w:r>
          </w:p>
        </w:tc>
        <w:tc>
          <w:tcPr>
            <w:tcW w:w="698" w:type="pct"/>
          </w:tcPr>
          <w:p w14:paraId="489AD2F4" w14:textId="07F6FD8E" w:rsidR="00417B1B" w:rsidRPr="00BD17AB" w:rsidRDefault="00BD17AB" w:rsidP="008C17D7">
            <w:pPr>
              <w:pStyle w:val="TableText"/>
              <w:spacing w:before="0"/>
              <w:cnfStyle w:val="000000000000" w:firstRow="0" w:lastRow="0" w:firstColumn="0" w:lastColumn="0" w:oddVBand="0" w:evenVBand="0" w:oddHBand="0" w:evenHBand="0" w:firstRowFirstColumn="0" w:firstRowLastColumn="0" w:lastRowFirstColumn="0" w:lastRowLastColumn="0"/>
              <w:rPr>
                <w:rStyle w:val="Bold"/>
              </w:rPr>
            </w:pPr>
            <w:r w:rsidRPr="00BD17AB">
              <w:rPr>
                <w:rStyle w:val="Bold"/>
              </w:rPr>
              <w:t>17,899</w:t>
            </w:r>
          </w:p>
        </w:tc>
      </w:tr>
    </w:tbl>
    <w:p w14:paraId="4DD7EAD2" w14:textId="0F44E07D" w:rsidR="00417B1B" w:rsidRPr="00F520FE" w:rsidRDefault="008C17D7" w:rsidP="00F520FE">
      <w:pPr>
        <w:pStyle w:val="BodyText"/>
      </w:pPr>
      <w:r w:rsidRPr="00F520FE">
        <w:t>T</w:t>
      </w:r>
      <w:r w:rsidR="00E952AB" w:rsidRPr="00F520FE">
        <w:t>he</w:t>
      </w:r>
      <w:r w:rsidR="00417B1B" w:rsidRPr="00F520FE">
        <w:t xml:space="preserve"> accompanying notes form part of these financial statements.</w:t>
      </w:r>
    </w:p>
    <w:p w14:paraId="7166E7E0" w14:textId="531CD96D" w:rsidR="00417B1B" w:rsidRDefault="00417B1B" w:rsidP="00D32195">
      <w:pPr>
        <w:pStyle w:val="Heading2"/>
        <w:pageBreakBefore/>
      </w:pPr>
      <w:bookmarkStart w:id="229" w:name="_Statement__of"/>
      <w:bookmarkStart w:id="230" w:name="_Ref22643997"/>
      <w:bookmarkStart w:id="231" w:name="_Toc62808129"/>
      <w:bookmarkEnd w:id="229"/>
      <w:r w:rsidRPr="00B23216">
        <w:t xml:space="preserve">Statement </w:t>
      </w:r>
      <w:r w:rsidR="005938F9">
        <w:t>of</w:t>
      </w:r>
      <w:r w:rsidRPr="00B23216">
        <w:t xml:space="preserve"> Changes </w:t>
      </w:r>
      <w:r w:rsidR="003045FF">
        <w:t>i</w:t>
      </w:r>
      <w:r w:rsidRPr="00B23216">
        <w:t>n Equity</w:t>
      </w:r>
      <w:r w:rsidR="005938F9">
        <w:br/>
      </w:r>
      <w:r w:rsidR="005938F9" w:rsidRPr="00DB3EF9">
        <w:t>f</w:t>
      </w:r>
      <w:r w:rsidRPr="00DB3EF9">
        <w:t xml:space="preserve">or </w:t>
      </w:r>
      <w:r w:rsidR="005938F9" w:rsidRPr="00DB3EF9">
        <w:t>t</w:t>
      </w:r>
      <w:r w:rsidRPr="00DB3EF9">
        <w:t>he Financial Year Ended 30 June 20</w:t>
      </w:r>
      <w:r w:rsidR="00F520FE" w:rsidRPr="00DB3EF9">
        <w:t>20</w:t>
      </w:r>
      <w:bookmarkEnd w:id="230"/>
      <w:bookmarkEnd w:id="231"/>
    </w:p>
    <w:p w14:paraId="4D7CBCBF" w14:textId="1F6AB74E" w:rsidR="005B6DDF" w:rsidRPr="005B6DDF" w:rsidRDefault="005B6DDF" w:rsidP="005B6DDF">
      <w:pPr>
        <w:pStyle w:val="BodyText"/>
      </w:pPr>
      <w:r>
        <w:t>20</w:t>
      </w:r>
      <w:r w:rsidR="006D359E">
        <w:t>20</w:t>
      </w:r>
    </w:p>
    <w:tbl>
      <w:tblPr>
        <w:tblStyle w:val="AccessibleTableNumerical"/>
        <w:tblW w:w="5000" w:type="pct"/>
        <w:tblLook w:val="04E0" w:firstRow="1" w:lastRow="1" w:firstColumn="1" w:lastColumn="0" w:noHBand="0" w:noVBand="1"/>
      </w:tblPr>
      <w:tblGrid>
        <w:gridCol w:w="3242"/>
        <w:gridCol w:w="1022"/>
        <w:gridCol w:w="1442"/>
        <w:gridCol w:w="1377"/>
        <w:gridCol w:w="1280"/>
        <w:gridCol w:w="1279"/>
      </w:tblGrid>
      <w:tr w:rsidR="00417B1B" w:rsidRPr="00B23216" w14:paraId="567BCB06" w14:textId="77777777" w:rsidTr="008C17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1" w:type="pct"/>
          </w:tcPr>
          <w:p w14:paraId="13DA680D" w14:textId="34C0A966" w:rsidR="00417B1B" w:rsidRPr="00B23216" w:rsidRDefault="005B6DDF" w:rsidP="005B6DDF">
            <w:pPr>
              <w:pStyle w:val="TableText"/>
            </w:pPr>
            <w:bookmarkStart w:id="232" w:name="ColumnTitle_45"/>
            <w:r>
              <w:t>Item</w:t>
            </w:r>
          </w:p>
        </w:tc>
        <w:tc>
          <w:tcPr>
            <w:tcW w:w="530" w:type="pct"/>
            <w:vAlign w:val="bottom"/>
          </w:tcPr>
          <w:p w14:paraId="3CD66EF3"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Note</w:t>
            </w:r>
          </w:p>
        </w:tc>
        <w:tc>
          <w:tcPr>
            <w:tcW w:w="748" w:type="pct"/>
            <w:vAlign w:val="bottom"/>
          </w:tcPr>
          <w:p w14:paraId="096B2AE9"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Physical asset revaluation surplus</w:t>
            </w:r>
            <w:r w:rsidRPr="00B23216">
              <w:br/>
              <w:t>$’000</w:t>
            </w:r>
          </w:p>
        </w:tc>
        <w:tc>
          <w:tcPr>
            <w:tcW w:w="714" w:type="pct"/>
            <w:vAlign w:val="bottom"/>
          </w:tcPr>
          <w:p w14:paraId="6F59DCD2"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Accumulated surplus/ (deficit)</w:t>
            </w:r>
            <w:r w:rsidRPr="00B23216">
              <w:br/>
              <w:t>$’000</w:t>
            </w:r>
          </w:p>
        </w:tc>
        <w:tc>
          <w:tcPr>
            <w:tcW w:w="664" w:type="pct"/>
            <w:vAlign w:val="bottom"/>
          </w:tcPr>
          <w:p w14:paraId="65795C9F"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Contributed capital</w:t>
            </w:r>
            <w:r w:rsidRPr="00B23216">
              <w:br/>
              <w:t>$’000</w:t>
            </w:r>
          </w:p>
        </w:tc>
        <w:tc>
          <w:tcPr>
            <w:tcW w:w="664" w:type="pct"/>
            <w:vAlign w:val="bottom"/>
          </w:tcPr>
          <w:p w14:paraId="7BE3352C"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Total</w:t>
            </w:r>
            <w:r w:rsidRPr="00B23216">
              <w:br/>
              <w:t>$’000</w:t>
            </w:r>
          </w:p>
        </w:tc>
      </w:tr>
      <w:bookmarkEnd w:id="232"/>
      <w:tr w:rsidR="00417B1B" w:rsidRPr="005204A4" w14:paraId="7DB8840E"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662890B3" w14:textId="10EBE8BA" w:rsidR="00417B1B" w:rsidRPr="005204A4" w:rsidRDefault="00417B1B" w:rsidP="005B6DDF">
            <w:pPr>
              <w:pStyle w:val="TableText"/>
              <w:rPr>
                <w:rStyle w:val="Bold"/>
              </w:rPr>
            </w:pPr>
            <w:r w:rsidRPr="005204A4">
              <w:rPr>
                <w:rStyle w:val="Bold"/>
              </w:rPr>
              <w:t xml:space="preserve">Balance as </w:t>
            </w:r>
            <w:proofErr w:type="gramStart"/>
            <w:r w:rsidRPr="005204A4">
              <w:rPr>
                <w:rStyle w:val="Bold"/>
              </w:rPr>
              <w:t>at</w:t>
            </w:r>
            <w:proofErr w:type="gramEnd"/>
            <w:r w:rsidRPr="005204A4">
              <w:rPr>
                <w:rStyle w:val="Bold"/>
              </w:rPr>
              <w:t xml:space="preserve"> 1 July 201</w:t>
            </w:r>
            <w:r w:rsidR="006D359E" w:rsidRPr="005204A4">
              <w:rPr>
                <w:rStyle w:val="Bold"/>
              </w:rPr>
              <w:t>9</w:t>
            </w:r>
          </w:p>
        </w:tc>
        <w:tc>
          <w:tcPr>
            <w:tcW w:w="530" w:type="pct"/>
          </w:tcPr>
          <w:p w14:paraId="3D4415F8" w14:textId="0B481019" w:rsidR="00417B1B" w:rsidRPr="005204A4" w:rsidRDefault="00AC0BBF" w:rsidP="005B6DDF">
            <w:pPr>
              <w:pStyle w:val="TableText"/>
              <w:cnfStyle w:val="000000000000" w:firstRow="0" w:lastRow="0" w:firstColumn="0" w:lastColumn="0" w:oddVBand="0" w:evenVBand="0" w:oddHBand="0" w:evenHBand="0" w:firstRowFirstColumn="0" w:firstRowLastColumn="0" w:lastRowFirstColumn="0" w:lastRowLastColumn="0"/>
            </w:pPr>
            <w:r w:rsidRPr="005204A4">
              <w:t>N/A</w:t>
            </w:r>
          </w:p>
        </w:tc>
        <w:tc>
          <w:tcPr>
            <w:tcW w:w="748" w:type="pct"/>
          </w:tcPr>
          <w:p w14:paraId="780B96FE" w14:textId="67B75DB2"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200,527</w:t>
            </w:r>
          </w:p>
        </w:tc>
        <w:tc>
          <w:tcPr>
            <w:tcW w:w="714" w:type="pct"/>
          </w:tcPr>
          <w:p w14:paraId="6FAC8E8C" w14:textId="682301DC"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(33,255)</w:t>
            </w:r>
          </w:p>
        </w:tc>
        <w:tc>
          <w:tcPr>
            <w:tcW w:w="664" w:type="pct"/>
          </w:tcPr>
          <w:p w14:paraId="49E58FDD" w14:textId="16EDC63F"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761,099</w:t>
            </w:r>
          </w:p>
        </w:tc>
        <w:tc>
          <w:tcPr>
            <w:tcW w:w="664" w:type="pct"/>
          </w:tcPr>
          <w:p w14:paraId="06CCE6A2" w14:textId="09041A0B"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928,372</w:t>
            </w:r>
          </w:p>
        </w:tc>
      </w:tr>
      <w:tr w:rsidR="00417B1B" w:rsidRPr="00B23216" w14:paraId="4C0E0A96"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2AAEF790" w14:textId="77777777" w:rsidR="00417B1B" w:rsidRPr="00B23216" w:rsidRDefault="00417B1B" w:rsidP="005B6DDF">
            <w:pPr>
              <w:pStyle w:val="TableText"/>
            </w:pPr>
            <w:r w:rsidRPr="00B23216">
              <w:t>Net result for the year</w:t>
            </w:r>
          </w:p>
        </w:tc>
        <w:tc>
          <w:tcPr>
            <w:tcW w:w="530" w:type="pct"/>
          </w:tcPr>
          <w:p w14:paraId="155C0723" w14:textId="669E5104"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48" w:type="pct"/>
          </w:tcPr>
          <w:p w14:paraId="068A898F" w14:textId="629700A9"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14" w:type="pct"/>
          </w:tcPr>
          <w:p w14:paraId="0BCBDD23" w14:textId="7B287736"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3,138</w:t>
            </w:r>
          </w:p>
        </w:tc>
        <w:tc>
          <w:tcPr>
            <w:tcW w:w="664" w:type="pct"/>
          </w:tcPr>
          <w:p w14:paraId="26EF454F" w14:textId="5601370C"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4442A704" w14:textId="6F716139"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3,138</w:t>
            </w:r>
          </w:p>
        </w:tc>
      </w:tr>
      <w:tr w:rsidR="00417B1B" w:rsidRPr="00B23216" w14:paraId="7DD727C7"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51B8F6EE" w14:textId="38D36665" w:rsidR="00417B1B" w:rsidRPr="00B23216" w:rsidRDefault="00417B1B" w:rsidP="005B6DDF">
            <w:pPr>
              <w:pStyle w:val="TableText"/>
            </w:pPr>
            <w:r w:rsidRPr="00B23216">
              <w:t>Other comprehensive income</w:t>
            </w:r>
          </w:p>
        </w:tc>
        <w:tc>
          <w:tcPr>
            <w:tcW w:w="530" w:type="pct"/>
          </w:tcPr>
          <w:p w14:paraId="3FE5EB84" w14:textId="047F5769" w:rsidR="00417B1B" w:rsidRPr="00B23216" w:rsidRDefault="00FC12E5" w:rsidP="005B6DD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Note513 \h </w:instrText>
            </w:r>
            <w:r>
              <w:fldChar w:fldCharType="separate"/>
            </w:r>
            <w:r w:rsidR="00D46E6D" w:rsidRPr="006A0EFA">
              <w:t>5.1.3</w:t>
            </w:r>
            <w:r>
              <w:fldChar w:fldCharType="end"/>
            </w:r>
          </w:p>
        </w:tc>
        <w:tc>
          <w:tcPr>
            <w:tcW w:w="748" w:type="pct"/>
          </w:tcPr>
          <w:p w14:paraId="728905BC" w14:textId="62B82F5B"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44,337</w:t>
            </w:r>
          </w:p>
        </w:tc>
        <w:tc>
          <w:tcPr>
            <w:tcW w:w="714" w:type="pct"/>
          </w:tcPr>
          <w:p w14:paraId="0DADF4E3" w14:textId="07A9B788"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6598580B" w14:textId="14F28CAA"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207684F3" w14:textId="075955A7"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44,337</w:t>
            </w:r>
          </w:p>
        </w:tc>
      </w:tr>
      <w:tr w:rsidR="00417B1B" w:rsidRPr="00B23216" w14:paraId="088FC8A2"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421E04C3" w14:textId="2200DDBC" w:rsidR="00417B1B" w:rsidRPr="00B23216" w:rsidRDefault="00417B1B" w:rsidP="005B6DDF">
            <w:pPr>
              <w:pStyle w:val="TableText"/>
            </w:pPr>
            <w:r w:rsidRPr="00B23216">
              <w:t>Transactions with the State in its capacity as owners</w:t>
            </w:r>
            <w:r w:rsidR="003045FF" w:rsidRPr="003045FF">
              <w:rPr>
                <w:vertAlign w:val="superscript"/>
              </w:rPr>
              <w:fldChar w:fldCharType="begin"/>
            </w:r>
            <w:r w:rsidR="003045FF" w:rsidRPr="003045FF">
              <w:rPr>
                <w:vertAlign w:val="superscript"/>
              </w:rPr>
              <w:instrText xml:space="preserve"> REF Note1StatementChangeEquity \n \h </w:instrText>
            </w:r>
            <w:r w:rsidR="003045FF">
              <w:rPr>
                <w:vertAlign w:val="superscript"/>
              </w:rPr>
              <w:instrText xml:space="preserve"> \* MERGEFORMAT </w:instrText>
            </w:r>
            <w:r w:rsidR="003045FF" w:rsidRPr="003045FF">
              <w:rPr>
                <w:vertAlign w:val="superscript"/>
              </w:rPr>
            </w:r>
            <w:r w:rsidR="003045FF" w:rsidRPr="003045FF">
              <w:rPr>
                <w:vertAlign w:val="superscript"/>
              </w:rPr>
              <w:fldChar w:fldCharType="separate"/>
            </w:r>
            <w:r w:rsidR="00D46E6D">
              <w:rPr>
                <w:vertAlign w:val="superscript"/>
              </w:rPr>
              <w:t>(1)</w:t>
            </w:r>
            <w:r w:rsidR="003045FF" w:rsidRPr="003045FF">
              <w:rPr>
                <w:vertAlign w:val="superscript"/>
              </w:rPr>
              <w:fldChar w:fldCharType="end"/>
            </w:r>
          </w:p>
        </w:tc>
        <w:tc>
          <w:tcPr>
            <w:tcW w:w="530" w:type="pct"/>
          </w:tcPr>
          <w:p w14:paraId="14A99644" w14:textId="380B0856"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48" w:type="pct"/>
          </w:tcPr>
          <w:p w14:paraId="48F677FC" w14:textId="1A4B9606"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14" w:type="pct"/>
          </w:tcPr>
          <w:p w14:paraId="3265CAC0" w14:textId="60C7224B"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061FF72E" w14:textId="4CD0230E"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66,021</w:t>
            </w:r>
          </w:p>
        </w:tc>
        <w:tc>
          <w:tcPr>
            <w:tcW w:w="664" w:type="pct"/>
          </w:tcPr>
          <w:p w14:paraId="135A4182" w14:textId="7AC628F9"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66,021</w:t>
            </w:r>
          </w:p>
        </w:tc>
      </w:tr>
      <w:tr w:rsidR="00417B1B" w:rsidRPr="008C17D7" w14:paraId="1615BD54" w14:textId="77777777" w:rsidTr="009F74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pct"/>
          </w:tcPr>
          <w:p w14:paraId="0F10AF5E" w14:textId="54F143E6" w:rsidR="00417B1B" w:rsidRPr="008C17D7" w:rsidRDefault="00417B1B" w:rsidP="005B6DDF">
            <w:pPr>
              <w:pStyle w:val="TableText"/>
              <w:rPr>
                <w:rStyle w:val="Bold"/>
              </w:rPr>
            </w:pPr>
            <w:r w:rsidRPr="008C17D7">
              <w:rPr>
                <w:rStyle w:val="Bold"/>
              </w:rPr>
              <w:t xml:space="preserve">Balance </w:t>
            </w:r>
            <w:proofErr w:type="gramStart"/>
            <w:r w:rsidRPr="008C17D7">
              <w:rPr>
                <w:rStyle w:val="Bold"/>
              </w:rPr>
              <w:t>at</w:t>
            </w:r>
            <w:proofErr w:type="gramEnd"/>
            <w:r w:rsidRPr="008C17D7">
              <w:rPr>
                <w:rStyle w:val="Bold"/>
              </w:rPr>
              <w:t xml:space="preserve"> 30 June 20</w:t>
            </w:r>
            <w:r w:rsidR="006D359E">
              <w:rPr>
                <w:rStyle w:val="Bold"/>
              </w:rPr>
              <w:t>20</w:t>
            </w:r>
          </w:p>
        </w:tc>
        <w:tc>
          <w:tcPr>
            <w:tcW w:w="530" w:type="pct"/>
          </w:tcPr>
          <w:p w14:paraId="0E246BB0" w14:textId="527B8757" w:rsidR="00417B1B" w:rsidRPr="008C17D7" w:rsidRDefault="00AC0BBF"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sidRPr="008C17D7">
              <w:t>N/A</w:t>
            </w:r>
          </w:p>
        </w:tc>
        <w:tc>
          <w:tcPr>
            <w:tcW w:w="748" w:type="pct"/>
          </w:tcPr>
          <w:p w14:paraId="2643FDCE" w14:textId="141BB1ED"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244,864</w:t>
            </w:r>
          </w:p>
        </w:tc>
        <w:tc>
          <w:tcPr>
            <w:tcW w:w="714" w:type="pct"/>
          </w:tcPr>
          <w:p w14:paraId="196C8A86" w14:textId="71D6BA23"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(30,117)</w:t>
            </w:r>
          </w:p>
        </w:tc>
        <w:tc>
          <w:tcPr>
            <w:tcW w:w="664" w:type="pct"/>
          </w:tcPr>
          <w:p w14:paraId="740B037A" w14:textId="5E15535E"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827,120</w:t>
            </w:r>
          </w:p>
        </w:tc>
        <w:tc>
          <w:tcPr>
            <w:tcW w:w="664" w:type="pct"/>
          </w:tcPr>
          <w:p w14:paraId="6591667D" w14:textId="4FA7D2D5"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1,041,868</w:t>
            </w:r>
          </w:p>
        </w:tc>
      </w:tr>
    </w:tbl>
    <w:p w14:paraId="643101C0" w14:textId="420DBEDB" w:rsidR="005B6DDF" w:rsidRDefault="005B6DDF">
      <w:r>
        <w:t>201</w:t>
      </w:r>
      <w:r w:rsidR="006D359E">
        <w:t>9</w:t>
      </w:r>
    </w:p>
    <w:tbl>
      <w:tblPr>
        <w:tblStyle w:val="AccessibleTableNumerical"/>
        <w:tblW w:w="5000" w:type="pct"/>
        <w:tblLook w:val="04E0" w:firstRow="1" w:lastRow="1" w:firstColumn="1" w:lastColumn="0" w:noHBand="0" w:noVBand="1"/>
      </w:tblPr>
      <w:tblGrid>
        <w:gridCol w:w="3242"/>
        <w:gridCol w:w="1022"/>
        <w:gridCol w:w="1442"/>
        <w:gridCol w:w="1377"/>
        <w:gridCol w:w="1280"/>
        <w:gridCol w:w="1279"/>
      </w:tblGrid>
      <w:tr w:rsidR="00417B1B" w:rsidRPr="00B23216" w14:paraId="406662E5" w14:textId="77777777" w:rsidTr="008C17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1" w:type="pct"/>
          </w:tcPr>
          <w:p w14:paraId="5B0CF2EA" w14:textId="40D22996" w:rsidR="00417B1B" w:rsidRPr="00B23216" w:rsidRDefault="005B6DDF" w:rsidP="005B6DDF">
            <w:pPr>
              <w:pStyle w:val="TableText"/>
            </w:pPr>
            <w:bookmarkStart w:id="233" w:name="ColumnTitle_46"/>
            <w:r>
              <w:t>Item</w:t>
            </w:r>
          </w:p>
        </w:tc>
        <w:tc>
          <w:tcPr>
            <w:tcW w:w="530" w:type="pct"/>
            <w:vAlign w:val="bottom"/>
          </w:tcPr>
          <w:p w14:paraId="1ACFEC14"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Note</w:t>
            </w:r>
          </w:p>
        </w:tc>
        <w:tc>
          <w:tcPr>
            <w:tcW w:w="748" w:type="pct"/>
            <w:vAlign w:val="bottom"/>
          </w:tcPr>
          <w:p w14:paraId="35A0726A"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Physical asset revaluation surplus</w:t>
            </w:r>
            <w:r w:rsidRPr="00B23216">
              <w:br/>
              <w:t>$’000</w:t>
            </w:r>
          </w:p>
        </w:tc>
        <w:tc>
          <w:tcPr>
            <w:tcW w:w="714" w:type="pct"/>
            <w:vAlign w:val="bottom"/>
          </w:tcPr>
          <w:p w14:paraId="67521A5B"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Accumulated surplus/ (deficit)</w:t>
            </w:r>
            <w:r w:rsidRPr="00B23216">
              <w:br/>
              <w:t>$’000</w:t>
            </w:r>
          </w:p>
        </w:tc>
        <w:tc>
          <w:tcPr>
            <w:tcW w:w="664" w:type="pct"/>
            <w:vAlign w:val="bottom"/>
          </w:tcPr>
          <w:p w14:paraId="53CA0AB2"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Contributed capital</w:t>
            </w:r>
            <w:r w:rsidRPr="00B23216">
              <w:br/>
              <w:t>$’000</w:t>
            </w:r>
          </w:p>
        </w:tc>
        <w:tc>
          <w:tcPr>
            <w:tcW w:w="664" w:type="pct"/>
            <w:vAlign w:val="bottom"/>
          </w:tcPr>
          <w:p w14:paraId="09092F40" w14:textId="77777777" w:rsidR="00417B1B" w:rsidRPr="00B23216" w:rsidRDefault="00417B1B" w:rsidP="008C17D7">
            <w:pPr>
              <w:pStyle w:val="TableText"/>
              <w:cnfStyle w:val="100000000000" w:firstRow="1" w:lastRow="0" w:firstColumn="0" w:lastColumn="0" w:oddVBand="0" w:evenVBand="0" w:oddHBand="0" w:evenHBand="0" w:firstRowFirstColumn="0" w:firstRowLastColumn="0" w:lastRowFirstColumn="0" w:lastRowLastColumn="0"/>
            </w:pPr>
            <w:r w:rsidRPr="00B23216">
              <w:t>Total</w:t>
            </w:r>
            <w:r w:rsidRPr="00B23216">
              <w:br/>
              <w:t>$’000</w:t>
            </w:r>
          </w:p>
        </w:tc>
      </w:tr>
      <w:bookmarkEnd w:id="233"/>
      <w:tr w:rsidR="00417B1B" w:rsidRPr="005204A4" w14:paraId="1B7BDF5C"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32ECD152" w14:textId="5DEFAC5D" w:rsidR="00417B1B" w:rsidRPr="005204A4" w:rsidRDefault="00417B1B" w:rsidP="005B6DDF">
            <w:pPr>
              <w:pStyle w:val="TableText"/>
              <w:rPr>
                <w:rStyle w:val="Bold"/>
              </w:rPr>
            </w:pPr>
            <w:r w:rsidRPr="005204A4">
              <w:rPr>
                <w:rStyle w:val="Bold"/>
              </w:rPr>
              <w:t xml:space="preserve">Balance as </w:t>
            </w:r>
            <w:proofErr w:type="gramStart"/>
            <w:r w:rsidRPr="005204A4">
              <w:rPr>
                <w:rStyle w:val="Bold"/>
              </w:rPr>
              <w:t>at</w:t>
            </w:r>
            <w:proofErr w:type="gramEnd"/>
            <w:r w:rsidRPr="005204A4">
              <w:rPr>
                <w:rStyle w:val="Bold"/>
              </w:rPr>
              <w:t xml:space="preserve"> 1 July 201</w:t>
            </w:r>
            <w:r w:rsidR="006D359E" w:rsidRPr="005204A4">
              <w:rPr>
                <w:rStyle w:val="Bold"/>
              </w:rPr>
              <w:t>8</w:t>
            </w:r>
            <w:hyperlink w:anchor="StatementChangesEquitynote" w:history="1">
              <w:r w:rsidR="0019520B" w:rsidRPr="005204A4">
                <w:rPr>
                  <w:rStyle w:val="Bold"/>
                  <w:vertAlign w:val="superscript"/>
                </w:rPr>
                <w:t>(</w:t>
              </w:r>
              <w:proofErr w:type="spellStart"/>
              <w:r w:rsidR="0019520B" w:rsidRPr="005204A4">
                <w:rPr>
                  <w:rStyle w:val="Bold"/>
                  <w:vertAlign w:val="superscript"/>
                </w:rPr>
                <w:t>i</w:t>
              </w:r>
              <w:proofErr w:type="spellEnd"/>
              <w:r w:rsidR="0019520B" w:rsidRPr="005204A4">
                <w:rPr>
                  <w:rStyle w:val="Bold"/>
                  <w:vertAlign w:val="superscript"/>
                </w:rPr>
                <w:t>)</w:t>
              </w:r>
            </w:hyperlink>
          </w:p>
        </w:tc>
        <w:tc>
          <w:tcPr>
            <w:tcW w:w="530" w:type="pct"/>
          </w:tcPr>
          <w:p w14:paraId="4227005E" w14:textId="6803E441" w:rsidR="00417B1B" w:rsidRPr="005204A4" w:rsidRDefault="00AC0BBF"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t>N/A</w:t>
            </w:r>
          </w:p>
        </w:tc>
        <w:tc>
          <w:tcPr>
            <w:tcW w:w="748" w:type="pct"/>
          </w:tcPr>
          <w:p w14:paraId="6D45FE39" w14:textId="6651BBDF"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250,137</w:t>
            </w:r>
          </w:p>
        </w:tc>
        <w:tc>
          <w:tcPr>
            <w:tcW w:w="714" w:type="pct"/>
          </w:tcPr>
          <w:p w14:paraId="3136B603" w14:textId="58A5C135"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7,717</w:t>
            </w:r>
          </w:p>
        </w:tc>
        <w:tc>
          <w:tcPr>
            <w:tcW w:w="664" w:type="pct"/>
          </w:tcPr>
          <w:p w14:paraId="1AF15ABF" w14:textId="7E9B0F00"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747,530</w:t>
            </w:r>
          </w:p>
        </w:tc>
        <w:tc>
          <w:tcPr>
            <w:tcW w:w="664" w:type="pct"/>
          </w:tcPr>
          <w:p w14:paraId="38331A11" w14:textId="1FAD58B9" w:rsidR="00417B1B" w:rsidRPr="005204A4"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5204A4">
              <w:rPr>
                <w:rStyle w:val="Bold"/>
              </w:rPr>
              <w:t>1,005,384</w:t>
            </w:r>
          </w:p>
        </w:tc>
      </w:tr>
      <w:tr w:rsidR="00417B1B" w:rsidRPr="00B23216" w14:paraId="3B632B91"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7A349673" w14:textId="52173776" w:rsidR="00417B1B" w:rsidRPr="006B5237" w:rsidRDefault="006D359E" w:rsidP="005B6DDF">
            <w:pPr>
              <w:pStyle w:val="TableText"/>
            </w:pPr>
            <w:r w:rsidRPr="006B5237">
              <w:t>Prior period adjustment</w:t>
            </w:r>
          </w:p>
        </w:tc>
        <w:tc>
          <w:tcPr>
            <w:tcW w:w="530" w:type="pct"/>
          </w:tcPr>
          <w:p w14:paraId="4E7CA54D" w14:textId="488DF46B" w:rsidR="00417B1B" w:rsidRPr="006B5237" w:rsidRDefault="00C9062D" w:rsidP="005B6DDF">
            <w:pPr>
              <w:pStyle w:val="TableText"/>
              <w:cnfStyle w:val="000000000000" w:firstRow="0" w:lastRow="0" w:firstColumn="0" w:lastColumn="0" w:oddVBand="0" w:evenVBand="0" w:oddHBand="0" w:evenHBand="0" w:firstRowFirstColumn="0" w:firstRowLastColumn="0" w:lastRowFirstColumn="0" w:lastRowLastColumn="0"/>
            </w:pPr>
            <w:hyperlink w:anchor="Note10" w:history="1">
              <w:r w:rsidR="000E0C91" w:rsidRPr="000E0C91">
                <w:t>10</w:t>
              </w:r>
            </w:hyperlink>
          </w:p>
        </w:tc>
        <w:tc>
          <w:tcPr>
            <w:tcW w:w="748" w:type="pct"/>
          </w:tcPr>
          <w:p w14:paraId="1EDE47A0" w14:textId="5EBEDDAE" w:rsidR="00417B1B" w:rsidRPr="006B5237" w:rsidRDefault="006D359E" w:rsidP="005B6DDF">
            <w:pPr>
              <w:pStyle w:val="TableText"/>
              <w:cnfStyle w:val="000000000000" w:firstRow="0" w:lastRow="0" w:firstColumn="0" w:lastColumn="0" w:oddVBand="0" w:evenVBand="0" w:oddHBand="0" w:evenHBand="0" w:firstRowFirstColumn="0" w:firstRowLastColumn="0" w:lastRowFirstColumn="0" w:lastRowLastColumn="0"/>
            </w:pPr>
            <w:r w:rsidRPr="006B5237">
              <w:t>(103,455)</w:t>
            </w:r>
          </w:p>
        </w:tc>
        <w:tc>
          <w:tcPr>
            <w:tcW w:w="714" w:type="pct"/>
          </w:tcPr>
          <w:p w14:paraId="506E97FF" w14:textId="28F36AE4" w:rsidR="00417B1B" w:rsidRPr="006B5237" w:rsidRDefault="006D359E" w:rsidP="005B6DDF">
            <w:pPr>
              <w:pStyle w:val="TableText"/>
              <w:cnfStyle w:val="000000000000" w:firstRow="0" w:lastRow="0" w:firstColumn="0" w:lastColumn="0" w:oddVBand="0" w:evenVBand="0" w:oddHBand="0" w:evenHBand="0" w:firstRowFirstColumn="0" w:firstRowLastColumn="0" w:lastRowFirstColumn="0" w:lastRowLastColumn="0"/>
            </w:pPr>
            <w:r w:rsidRPr="006B5237">
              <w:t>(36,386)</w:t>
            </w:r>
          </w:p>
        </w:tc>
        <w:tc>
          <w:tcPr>
            <w:tcW w:w="664" w:type="pct"/>
          </w:tcPr>
          <w:p w14:paraId="3DC9E76E" w14:textId="0FF55854" w:rsidR="00417B1B" w:rsidRPr="006B5237" w:rsidRDefault="00AC0BBF" w:rsidP="005B6DDF">
            <w:pPr>
              <w:pStyle w:val="TableText"/>
              <w:cnfStyle w:val="000000000000" w:firstRow="0" w:lastRow="0" w:firstColumn="0" w:lastColumn="0" w:oddVBand="0" w:evenVBand="0" w:oddHBand="0" w:evenHBand="0" w:firstRowFirstColumn="0" w:firstRowLastColumn="0" w:lastRowFirstColumn="0" w:lastRowLastColumn="0"/>
            </w:pPr>
            <w:r w:rsidRPr="006B5237">
              <w:t>N/A</w:t>
            </w:r>
          </w:p>
        </w:tc>
        <w:tc>
          <w:tcPr>
            <w:tcW w:w="664" w:type="pct"/>
          </w:tcPr>
          <w:p w14:paraId="05C03FFB" w14:textId="197C74CC"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rsidRPr="006B5237">
              <w:t>(139,841)</w:t>
            </w:r>
          </w:p>
        </w:tc>
      </w:tr>
      <w:tr w:rsidR="00417B1B" w:rsidRPr="0019520B" w14:paraId="10E79D94"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668B3A08" w14:textId="172FD2D6" w:rsidR="00417B1B" w:rsidRPr="0019520B" w:rsidRDefault="006D359E" w:rsidP="005B6DDF">
            <w:pPr>
              <w:pStyle w:val="TableText"/>
              <w:rPr>
                <w:rStyle w:val="Bold"/>
              </w:rPr>
            </w:pPr>
            <w:r w:rsidRPr="0019520B">
              <w:rPr>
                <w:rStyle w:val="Bold"/>
              </w:rPr>
              <w:t xml:space="preserve">Restated Balance </w:t>
            </w:r>
            <w:r w:rsidR="005204A4">
              <w:rPr>
                <w:rStyle w:val="Bold"/>
              </w:rPr>
              <w:br/>
            </w:r>
            <w:r w:rsidRPr="0019520B">
              <w:rPr>
                <w:rStyle w:val="Bold"/>
              </w:rPr>
              <w:t xml:space="preserve">as </w:t>
            </w:r>
            <w:proofErr w:type="gramStart"/>
            <w:r w:rsidRPr="0019520B">
              <w:rPr>
                <w:rStyle w:val="Bold"/>
              </w:rPr>
              <w:t>at</w:t>
            </w:r>
            <w:proofErr w:type="gramEnd"/>
            <w:r w:rsidRPr="0019520B">
              <w:rPr>
                <w:rStyle w:val="Bold"/>
              </w:rPr>
              <w:t xml:space="preserve"> 1 July 2018</w:t>
            </w:r>
            <w:hyperlink w:anchor="StatementChangesEquitynote" w:history="1">
              <w:r w:rsidR="0019520B" w:rsidRPr="005204A4">
                <w:rPr>
                  <w:rFonts w:ascii="Arial Bold" w:hAnsi="Arial Bold"/>
                  <w:vertAlign w:val="superscript"/>
                </w:rPr>
                <w:t>(</w:t>
              </w:r>
              <w:proofErr w:type="spellStart"/>
              <w:r w:rsidR="0019520B" w:rsidRPr="005204A4">
                <w:rPr>
                  <w:rFonts w:ascii="Arial Bold" w:hAnsi="Arial Bold"/>
                  <w:vertAlign w:val="superscript"/>
                </w:rPr>
                <w:t>i</w:t>
              </w:r>
              <w:proofErr w:type="spellEnd"/>
              <w:r w:rsidR="0019520B" w:rsidRPr="005204A4">
                <w:rPr>
                  <w:rFonts w:ascii="Arial Bold" w:hAnsi="Arial Bold"/>
                  <w:vertAlign w:val="superscript"/>
                </w:rPr>
                <w:t>)</w:t>
              </w:r>
            </w:hyperlink>
          </w:p>
        </w:tc>
        <w:tc>
          <w:tcPr>
            <w:tcW w:w="530" w:type="pct"/>
          </w:tcPr>
          <w:p w14:paraId="063E3561" w14:textId="4F644677" w:rsidR="00417B1B" w:rsidRPr="0019520B"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520B">
              <w:t>N/A</w:t>
            </w:r>
          </w:p>
        </w:tc>
        <w:tc>
          <w:tcPr>
            <w:tcW w:w="748" w:type="pct"/>
          </w:tcPr>
          <w:p w14:paraId="1B927001" w14:textId="2F91205A" w:rsidR="00417B1B" w:rsidRPr="0019520B"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520B">
              <w:rPr>
                <w:rStyle w:val="Bold"/>
              </w:rPr>
              <w:t>146,682</w:t>
            </w:r>
          </w:p>
        </w:tc>
        <w:tc>
          <w:tcPr>
            <w:tcW w:w="714" w:type="pct"/>
          </w:tcPr>
          <w:p w14:paraId="5BDF9ED1" w14:textId="6D579BC0" w:rsidR="00417B1B" w:rsidRPr="0019520B"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520B">
              <w:rPr>
                <w:rStyle w:val="Bold"/>
              </w:rPr>
              <w:t>(28,669)</w:t>
            </w:r>
          </w:p>
        </w:tc>
        <w:tc>
          <w:tcPr>
            <w:tcW w:w="664" w:type="pct"/>
          </w:tcPr>
          <w:p w14:paraId="2CDCAA91" w14:textId="04BA9103" w:rsidR="00417B1B" w:rsidRPr="0019520B"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520B">
              <w:rPr>
                <w:rStyle w:val="Bold"/>
              </w:rPr>
              <w:t>747,530</w:t>
            </w:r>
          </w:p>
        </w:tc>
        <w:tc>
          <w:tcPr>
            <w:tcW w:w="664" w:type="pct"/>
          </w:tcPr>
          <w:p w14:paraId="28885312" w14:textId="154877B6" w:rsidR="00417B1B" w:rsidRPr="0019520B" w:rsidRDefault="006D359E" w:rsidP="005B6DDF">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520B">
              <w:rPr>
                <w:rStyle w:val="Bold"/>
              </w:rPr>
              <w:t>865,543</w:t>
            </w:r>
          </w:p>
        </w:tc>
      </w:tr>
      <w:tr w:rsidR="006D359E" w:rsidRPr="00B23216" w14:paraId="51155CE2"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26B54D8F" w14:textId="75DC4335" w:rsidR="006D359E" w:rsidRDefault="006D359E" w:rsidP="005B6DDF">
            <w:pPr>
              <w:pStyle w:val="TableText"/>
            </w:pPr>
            <w:r>
              <w:t>Net result for the year</w:t>
            </w:r>
          </w:p>
        </w:tc>
        <w:tc>
          <w:tcPr>
            <w:tcW w:w="530" w:type="pct"/>
          </w:tcPr>
          <w:p w14:paraId="146D327B" w14:textId="5109EC8E"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48" w:type="pct"/>
          </w:tcPr>
          <w:p w14:paraId="3C364FC2" w14:textId="38DCA18F"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14" w:type="pct"/>
          </w:tcPr>
          <w:p w14:paraId="0A9E8C5D" w14:textId="29E0D61A"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(4,586)</w:t>
            </w:r>
          </w:p>
        </w:tc>
        <w:tc>
          <w:tcPr>
            <w:tcW w:w="664" w:type="pct"/>
          </w:tcPr>
          <w:p w14:paraId="7F7B78D0" w14:textId="45A686F9" w:rsidR="006D359E"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3ED6CA22" w14:textId="16085EC4" w:rsidR="006D359E"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(4,586)</w:t>
            </w:r>
          </w:p>
        </w:tc>
      </w:tr>
      <w:tr w:rsidR="006D359E" w:rsidRPr="00B23216" w14:paraId="2F98B743"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4DC17CCE" w14:textId="6C3A48F9" w:rsidR="006D359E" w:rsidRPr="00B23216" w:rsidRDefault="006D359E" w:rsidP="005B6DDF">
            <w:pPr>
              <w:pStyle w:val="TableText"/>
            </w:pPr>
            <w:r>
              <w:t>Other comprehensive income</w:t>
            </w:r>
          </w:p>
        </w:tc>
        <w:tc>
          <w:tcPr>
            <w:tcW w:w="530" w:type="pct"/>
          </w:tcPr>
          <w:p w14:paraId="12DDD46A" w14:textId="65CF282F"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Note513 \h </w:instrText>
            </w:r>
            <w:r>
              <w:fldChar w:fldCharType="separate"/>
            </w:r>
            <w:r w:rsidR="00D46E6D" w:rsidRPr="006A0EFA">
              <w:t>5.1.3</w:t>
            </w:r>
            <w:r>
              <w:fldChar w:fldCharType="end"/>
            </w:r>
          </w:p>
        </w:tc>
        <w:tc>
          <w:tcPr>
            <w:tcW w:w="748" w:type="pct"/>
          </w:tcPr>
          <w:p w14:paraId="632A975C" w14:textId="684BB53F"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53,844</w:t>
            </w:r>
          </w:p>
        </w:tc>
        <w:tc>
          <w:tcPr>
            <w:tcW w:w="714" w:type="pct"/>
          </w:tcPr>
          <w:p w14:paraId="73FD8EBE" w14:textId="380022F9" w:rsidR="006D359E"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615A058F" w14:textId="18CC5EE0" w:rsidR="006D359E"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55942693" w14:textId="5C422888" w:rsidR="006D359E"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53,844</w:t>
            </w:r>
          </w:p>
        </w:tc>
      </w:tr>
      <w:tr w:rsidR="00417B1B" w:rsidRPr="00B23216" w14:paraId="23FB42E4" w14:textId="77777777" w:rsidTr="009F7468">
        <w:tc>
          <w:tcPr>
            <w:cnfStyle w:val="001000000000" w:firstRow="0" w:lastRow="0" w:firstColumn="1" w:lastColumn="0" w:oddVBand="0" w:evenVBand="0" w:oddHBand="0" w:evenHBand="0" w:firstRowFirstColumn="0" w:firstRowLastColumn="0" w:lastRowFirstColumn="0" w:lastRowLastColumn="0"/>
            <w:tcW w:w="1681" w:type="pct"/>
          </w:tcPr>
          <w:p w14:paraId="2094E78C" w14:textId="77777777" w:rsidR="00417B1B" w:rsidRPr="00B23216" w:rsidRDefault="00417B1B" w:rsidP="005B6DDF">
            <w:pPr>
              <w:pStyle w:val="TableText"/>
            </w:pPr>
            <w:r w:rsidRPr="00B23216">
              <w:t>Transactions with the State in its capacity as owners</w:t>
            </w:r>
          </w:p>
        </w:tc>
        <w:tc>
          <w:tcPr>
            <w:tcW w:w="530" w:type="pct"/>
          </w:tcPr>
          <w:p w14:paraId="0B83A2DB" w14:textId="4DB89677"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48" w:type="pct"/>
          </w:tcPr>
          <w:p w14:paraId="540B597D" w14:textId="3D7134CA"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714" w:type="pct"/>
          </w:tcPr>
          <w:p w14:paraId="5274F783" w14:textId="3B02EFE4" w:rsidR="00417B1B" w:rsidRPr="00B23216" w:rsidRDefault="00AC0BBF" w:rsidP="005B6DDF">
            <w:pPr>
              <w:pStyle w:val="TableText"/>
              <w:cnfStyle w:val="000000000000" w:firstRow="0" w:lastRow="0" w:firstColumn="0" w:lastColumn="0" w:oddVBand="0" w:evenVBand="0" w:oddHBand="0" w:evenHBand="0" w:firstRowFirstColumn="0" w:firstRowLastColumn="0" w:lastRowFirstColumn="0" w:lastRowLastColumn="0"/>
            </w:pPr>
            <w:r>
              <w:t>N/A</w:t>
            </w:r>
          </w:p>
        </w:tc>
        <w:tc>
          <w:tcPr>
            <w:tcW w:w="664" w:type="pct"/>
          </w:tcPr>
          <w:p w14:paraId="6C483407" w14:textId="18F2DB02"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13,569</w:t>
            </w:r>
          </w:p>
        </w:tc>
        <w:tc>
          <w:tcPr>
            <w:tcW w:w="664" w:type="pct"/>
          </w:tcPr>
          <w:p w14:paraId="2900EFC6" w14:textId="1B266EF5" w:rsidR="00417B1B" w:rsidRPr="00B23216" w:rsidRDefault="006D359E" w:rsidP="005B6DDF">
            <w:pPr>
              <w:pStyle w:val="TableText"/>
              <w:cnfStyle w:val="000000000000" w:firstRow="0" w:lastRow="0" w:firstColumn="0" w:lastColumn="0" w:oddVBand="0" w:evenVBand="0" w:oddHBand="0" w:evenHBand="0" w:firstRowFirstColumn="0" w:firstRowLastColumn="0" w:lastRowFirstColumn="0" w:lastRowLastColumn="0"/>
            </w:pPr>
            <w:r>
              <w:t>13,569</w:t>
            </w:r>
          </w:p>
        </w:tc>
      </w:tr>
      <w:tr w:rsidR="00417B1B" w:rsidRPr="008C17D7" w14:paraId="397F2AAB" w14:textId="77777777" w:rsidTr="009F74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pct"/>
          </w:tcPr>
          <w:p w14:paraId="7941F500" w14:textId="153C7455" w:rsidR="00417B1B" w:rsidRPr="008C17D7" w:rsidRDefault="00417B1B" w:rsidP="005B6DDF">
            <w:pPr>
              <w:pStyle w:val="TableText"/>
              <w:rPr>
                <w:rStyle w:val="Bold"/>
              </w:rPr>
            </w:pPr>
            <w:r w:rsidRPr="008C17D7">
              <w:rPr>
                <w:rStyle w:val="Bold"/>
              </w:rPr>
              <w:t xml:space="preserve">Balance </w:t>
            </w:r>
            <w:proofErr w:type="gramStart"/>
            <w:r w:rsidRPr="008C17D7">
              <w:rPr>
                <w:rStyle w:val="Bold"/>
              </w:rPr>
              <w:t>at</w:t>
            </w:r>
            <w:proofErr w:type="gramEnd"/>
            <w:r w:rsidRPr="008C17D7">
              <w:rPr>
                <w:rStyle w:val="Bold"/>
              </w:rPr>
              <w:t xml:space="preserve"> 30 June 201</w:t>
            </w:r>
            <w:r w:rsidR="006D359E">
              <w:rPr>
                <w:rStyle w:val="Bold"/>
              </w:rPr>
              <w:t>9</w:t>
            </w:r>
          </w:p>
        </w:tc>
        <w:tc>
          <w:tcPr>
            <w:tcW w:w="530" w:type="pct"/>
          </w:tcPr>
          <w:p w14:paraId="7260E879" w14:textId="7AB9D4BE" w:rsidR="00417B1B" w:rsidRPr="008C17D7" w:rsidRDefault="00AC0BBF"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sidRPr="008C17D7">
              <w:t>N/A</w:t>
            </w:r>
          </w:p>
        </w:tc>
        <w:tc>
          <w:tcPr>
            <w:tcW w:w="748" w:type="pct"/>
          </w:tcPr>
          <w:p w14:paraId="0AC36452" w14:textId="1307C0F3"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200,527</w:t>
            </w:r>
          </w:p>
        </w:tc>
        <w:tc>
          <w:tcPr>
            <w:tcW w:w="714" w:type="pct"/>
          </w:tcPr>
          <w:p w14:paraId="04EC42BC" w14:textId="67F7E129"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(33,255)</w:t>
            </w:r>
          </w:p>
        </w:tc>
        <w:tc>
          <w:tcPr>
            <w:tcW w:w="664" w:type="pct"/>
          </w:tcPr>
          <w:p w14:paraId="76C8C876" w14:textId="40CDCCC2"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761,099</w:t>
            </w:r>
          </w:p>
        </w:tc>
        <w:tc>
          <w:tcPr>
            <w:tcW w:w="664" w:type="pct"/>
          </w:tcPr>
          <w:p w14:paraId="0FBF507B" w14:textId="6490A19D" w:rsidR="00417B1B" w:rsidRPr="008C17D7" w:rsidRDefault="006D359E" w:rsidP="005B6DDF">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928,371</w:t>
            </w:r>
          </w:p>
        </w:tc>
      </w:tr>
    </w:tbl>
    <w:p w14:paraId="5E94AD7F" w14:textId="77777777" w:rsidR="00417B1B" w:rsidRPr="00B23216" w:rsidRDefault="00417B1B" w:rsidP="00417B1B">
      <w:pPr>
        <w:pStyle w:val="NotesText"/>
        <w:rPr>
          <w:lang w:val="en-US" w:eastAsia="en-US"/>
        </w:rPr>
      </w:pPr>
      <w:r w:rsidRPr="00B23216">
        <w:rPr>
          <w:lang w:val="en-US" w:eastAsia="en-US"/>
        </w:rPr>
        <w:t>Note:</w:t>
      </w:r>
    </w:p>
    <w:p w14:paraId="1B29F4DC" w14:textId="50D6E57E" w:rsidR="00E952AB" w:rsidRPr="003045FF" w:rsidRDefault="00417B1B" w:rsidP="00F110E7">
      <w:pPr>
        <w:pStyle w:val="NotesNumberedList"/>
        <w:numPr>
          <w:ilvl w:val="0"/>
          <w:numId w:val="18"/>
        </w:numPr>
        <w:rPr>
          <w:rFonts w:eastAsiaTheme="minorHAnsi"/>
          <w:lang w:val="en-US" w:eastAsia="en-US"/>
        </w:rPr>
      </w:pPr>
      <w:bookmarkStart w:id="234" w:name="Note1StatementChangeEquity"/>
      <w:bookmarkStart w:id="235" w:name="StatementChangesEquitynote"/>
      <w:r w:rsidRPr="003045FF">
        <w:rPr>
          <w:rFonts w:eastAsiaTheme="minorHAnsi"/>
          <w:lang w:val="en-US" w:eastAsia="en-US"/>
        </w:rPr>
        <w:t>Transfers with the State in its capacity as owner relates to asset additions funded from output initiatives and special appropriations.</w:t>
      </w:r>
      <w:bookmarkEnd w:id="234"/>
    </w:p>
    <w:bookmarkEnd w:id="235"/>
    <w:p w14:paraId="502D2ECA" w14:textId="6F61BEE7" w:rsidR="00AD2468" w:rsidRPr="00AD2468" w:rsidRDefault="00AD2468" w:rsidP="0019520B">
      <w:pPr>
        <w:pStyle w:val="NotesText"/>
      </w:pPr>
      <w:r w:rsidRPr="00AD2468">
        <w:t>2019 amounts have been restated as a result of a correction of an error (</w:t>
      </w:r>
      <w:r w:rsidR="00677C4B" w:rsidRPr="00A24CE7">
        <w:t>see</w:t>
      </w:r>
      <w:r w:rsidR="00677C4B">
        <w:t xml:space="preserve"> </w:t>
      </w:r>
      <w:hyperlink w:anchor="Note10text" w:history="1">
        <w:r w:rsidR="00677C4B" w:rsidRPr="00A844BC">
          <w:rPr>
            <w:rStyle w:val="Hyperlink"/>
          </w:rPr>
          <w:t>Note 10</w:t>
        </w:r>
      </w:hyperlink>
      <w:r w:rsidRPr="00AD2468">
        <w:t>)</w:t>
      </w:r>
    </w:p>
    <w:p w14:paraId="277A0639" w14:textId="7068DA77" w:rsidR="00AD2468" w:rsidRPr="00AD2468" w:rsidRDefault="00AD2468" w:rsidP="00AD2468">
      <w:pPr>
        <w:pStyle w:val="BodyText"/>
        <w:rPr>
          <w:rFonts w:eastAsiaTheme="minorHAnsi"/>
        </w:rPr>
      </w:pPr>
      <w:r w:rsidRPr="00AD2468">
        <w:t>The accompanying notes form part of these financial statements.</w:t>
      </w:r>
    </w:p>
    <w:p w14:paraId="5926A045" w14:textId="77777777" w:rsidR="00417B1B" w:rsidRPr="00A844BC" w:rsidRDefault="00417B1B" w:rsidP="00A844BC">
      <w:pPr>
        <w:pStyle w:val="Heading2"/>
        <w:pageBreakBefore/>
      </w:pPr>
      <w:bookmarkStart w:id="236" w:name="_Note_1._About"/>
      <w:bookmarkStart w:id="237" w:name="_Ref22644005"/>
      <w:bookmarkStart w:id="238" w:name="_Toc62808130"/>
      <w:bookmarkEnd w:id="236"/>
      <w:r w:rsidRPr="00A844BC">
        <w:rPr>
          <w:rStyle w:val="Heading4Char"/>
          <w:rFonts w:cstheme="majorBidi"/>
          <w:bCs/>
          <w:iCs w:val="0"/>
        </w:rPr>
        <w:t>Note 1</w:t>
      </w:r>
      <w:r w:rsidRPr="00A844BC">
        <w:t>.</w:t>
      </w:r>
      <w:r w:rsidRPr="00A844BC">
        <w:tab/>
        <w:t>About This Report</w:t>
      </w:r>
      <w:bookmarkEnd w:id="237"/>
      <w:bookmarkEnd w:id="238"/>
    </w:p>
    <w:p w14:paraId="52A84AC6" w14:textId="457F3736" w:rsidR="00AD2468" w:rsidRDefault="00AD2468" w:rsidP="00AD2468">
      <w:pPr>
        <w:pStyle w:val="BodyText"/>
      </w:pPr>
      <w:r>
        <w:t xml:space="preserve">Court Services Victoria (CSV) was established on 1 July 2014 under the </w:t>
      </w:r>
      <w:r w:rsidRPr="000E0C91">
        <w:rPr>
          <w:rStyle w:val="Italics"/>
        </w:rPr>
        <w:t>Court Services Victoria Act 2014</w:t>
      </w:r>
      <w:r>
        <w:t xml:space="preserve"> as an independent statutory body to provide administrative services and facilities to support the Victorian courts and tribunals, the Judicial College of Victoria and the Judicial Commission of Victoria. </w:t>
      </w:r>
      <w:r w:rsidR="009B1462">
        <w:t>Court Services Victoria</w:t>
      </w:r>
      <w:r>
        <w:t xml:space="preserve"> supports the performance of the judicial, quasi-judicial and administrative functions of the Supreme Court of Victoria, the County Court of Victoria, the Magistrates’ Court of Victoria, the Children’s Court of Victoria, the Coroners Court of Victoria and the Victorian Civil and Administrative Tribunal (VCAT).</w:t>
      </w:r>
    </w:p>
    <w:p w14:paraId="4E677F7B" w14:textId="14058A48" w:rsidR="00AD2468" w:rsidRDefault="009B1462" w:rsidP="00AD2468">
      <w:pPr>
        <w:pStyle w:val="BodyText"/>
      </w:pPr>
      <w:r>
        <w:t>Court Services Victoria</w:t>
      </w:r>
      <w:r w:rsidR="00AD2468">
        <w:t>’s status as a statutory body allows the courts to operate independently of the direction of the executive branch of government, thus supporting the independence of the judiciary.</w:t>
      </w:r>
    </w:p>
    <w:p w14:paraId="1D5F0013" w14:textId="52D4132A" w:rsidR="00AD2468" w:rsidRDefault="009B1462" w:rsidP="00AD2468">
      <w:pPr>
        <w:pStyle w:val="BodyText"/>
      </w:pPr>
      <w:r>
        <w:t>Court Services Victoria</w:t>
      </w:r>
      <w:r w:rsidR="00AD2468">
        <w:t xml:space="preserve">’s activities include overseeing court facilities and providing the people, information technology and financial management to deliver enhanced administrative services to the Victorian courts, </w:t>
      </w:r>
      <w:r w:rsidR="00A10DBB">
        <w:t>Victorian Civil and Administrative Tribunal</w:t>
      </w:r>
      <w:r w:rsidR="00AD2468">
        <w:t>, Judicial College of Victoria, and the Judicial Commission of Victoria. Some or all of these activities are provided through an administration function known as “Jurisdiction Services”.</w:t>
      </w:r>
    </w:p>
    <w:p w14:paraId="3296B0EC" w14:textId="113ABF2E" w:rsidR="00AD2468" w:rsidRDefault="00AD2468" w:rsidP="00AD2468">
      <w:pPr>
        <w:pStyle w:val="BodyText"/>
      </w:pPr>
      <w:r>
        <w:t xml:space="preserve">The Courts Council is </w:t>
      </w:r>
      <w:r w:rsidR="009B1462">
        <w:t>Court Services Victoria</w:t>
      </w:r>
      <w:r>
        <w:t xml:space="preserve">’s governing body and comprises the head of each court jurisdiction and </w:t>
      </w:r>
      <w:r w:rsidR="00A10DBB">
        <w:t>Victorian Civil and Administrative Tribunal</w:t>
      </w:r>
      <w:r>
        <w:t xml:space="preserve"> and up to two independent members. There are seven committees that inform the work of the Courts Council.</w:t>
      </w:r>
    </w:p>
    <w:p w14:paraId="6BDFFFCD" w14:textId="24B6D2EE" w:rsidR="00AD2468" w:rsidRDefault="009B1462" w:rsidP="00AD2468">
      <w:pPr>
        <w:pStyle w:val="BodyText"/>
      </w:pPr>
      <w:r>
        <w:t>Court Services Victoria</w:t>
      </w:r>
      <w:r w:rsidR="00AD2468">
        <w:t>’s principal address is:</w:t>
      </w:r>
      <w:r w:rsidR="00AD2468">
        <w:br/>
        <w:t>223 William Street</w:t>
      </w:r>
      <w:r w:rsidR="00AD2468">
        <w:br/>
        <w:t>Melbourne, Vic 3000.</w:t>
      </w:r>
    </w:p>
    <w:p w14:paraId="43B59E81" w14:textId="16E2F236" w:rsidR="00AD2468" w:rsidRDefault="00AD2468" w:rsidP="00AD2468">
      <w:pPr>
        <w:pStyle w:val="Heading3"/>
      </w:pPr>
      <w:bookmarkStart w:id="239" w:name="_Toc62808131"/>
      <w:r>
        <w:t>Basis of Preparation</w:t>
      </w:r>
      <w:bookmarkEnd w:id="239"/>
    </w:p>
    <w:p w14:paraId="0DF71474" w14:textId="3A3B96C4" w:rsidR="00AD2468" w:rsidRDefault="00AD2468" w:rsidP="00AD2468">
      <w:pPr>
        <w:pStyle w:val="BodyText"/>
      </w:pPr>
      <w:r>
        <w:t>These financial statements are in Australian dollars and the historical cost convention is used unless a different measurement basis is specifically disclosed in the note associated with the item measured on a different basis.</w:t>
      </w:r>
    </w:p>
    <w:p w14:paraId="34657115" w14:textId="099C5C28" w:rsidR="00AD2468" w:rsidRDefault="00AD2468" w:rsidP="00AD2468">
      <w:pPr>
        <w:pStyle w:val="BodyText"/>
      </w:pPr>
      <w:r>
        <w:t>The accrual basis of accounting has been applied in the preparation of these financial statements whereby assets, liabilities, equity, income and expenses are recognised in the reporting period to which they relate, regardless of when cash is received or paid.</w:t>
      </w:r>
    </w:p>
    <w:p w14:paraId="4065C3AD" w14:textId="28DCBD8B" w:rsidR="00AD2468" w:rsidRDefault="00AD2468" w:rsidP="00AD2468">
      <w:pPr>
        <w:pStyle w:val="BodyText"/>
      </w:pPr>
      <w:r>
        <w:t xml:space="preserve">Consistent with the requirements of Australian Accounting Standard AASB 1004 Contributions, contributions by owners (that is contributed capital and its repayment) are treated as equity transactions and, therefore, do not form part of the income and expenses of </w:t>
      </w:r>
      <w:r w:rsidR="009B1462">
        <w:t>Court Services Victoria</w:t>
      </w:r>
      <w:r>
        <w:t>.</w:t>
      </w:r>
    </w:p>
    <w:p w14:paraId="5B62B282" w14:textId="18B871D8" w:rsidR="00AD2468" w:rsidRDefault="00AD2468" w:rsidP="00AD2468">
      <w:pPr>
        <w:pStyle w:val="BodyText"/>
      </w:pPr>
      <w:r>
        <w:t>Additions to net assets that have been designated as contributions by owners are recognised as contributed capital. Other transfers that are in the nature of contributions to or distributions by owners have also been designated as contributions by owner.</w:t>
      </w:r>
    </w:p>
    <w:p w14:paraId="1AC44BEA" w14:textId="51739A2A" w:rsidR="00AD2468" w:rsidRDefault="00AD2468" w:rsidP="00AD2468">
      <w:pPr>
        <w:pStyle w:val="BodyText"/>
      </w:pPr>
      <w:r>
        <w:t xml:space="preserve">Transfers of net assets arising from administrative restructurings are treated as distributions to or contributions by owners. Transfers of net liabilities arising from administrative restructurings are treated as distributions to owners. </w:t>
      </w:r>
    </w:p>
    <w:p w14:paraId="759F748B" w14:textId="13041091" w:rsidR="00C03BF8" w:rsidRDefault="00C03BF8" w:rsidP="00C03BF8">
      <w:pPr>
        <w:pStyle w:val="BodyText"/>
      </w:pPr>
      <w:r>
        <w:t>Judgments, estimates and assumptions are required to be made about financial information being presented. Significant judgments made in the preparation of these financial statements are disclosed in the notes where amounts affected by those judgments are disclosed. Estimates and associated assumptions are based on professional judgment derived from historical experience and various other factors that are believed to be reasonable under the circumstances. Actual results may differ from these estimates.</w:t>
      </w:r>
    </w:p>
    <w:p w14:paraId="72F148D9" w14:textId="77777777" w:rsidR="00C03BF8" w:rsidRDefault="00C03BF8" w:rsidP="00C03BF8">
      <w:pPr>
        <w:pStyle w:val="BodyText"/>
      </w:pPr>
      <w:r>
        <w:t>Revisions to accounting estimates are recognised in the period in which the estimate is revised and also in future periods that are affected by the revision. Judgments and assumptions made by management in applying Australian Accounting Standards (AAS) that have significant effects on the financial statements and estimates are disclosed in the notes under the heading ‘Change in accounting policies’</w:t>
      </w:r>
    </w:p>
    <w:p w14:paraId="1DBEACCE" w14:textId="597F72E5" w:rsidR="00C03BF8" w:rsidRDefault="00C03BF8" w:rsidP="00C03BF8">
      <w:pPr>
        <w:pStyle w:val="BodyText"/>
      </w:pPr>
      <w:r>
        <w:t xml:space="preserve">These financial statements cover </w:t>
      </w:r>
      <w:r w:rsidR="009B1462">
        <w:t>Court Services Victoria</w:t>
      </w:r>
      <w:r>
        <w:t xml:space="preserve"> as an individual reporting entity and include all the controlled activities of </w:t>
      </w:r>
      <w:r w:rsidR="009B1462">
        <w:t>Court Services Victoria</w:t>
      </w:r>
      <w:r>
        <w:t>.</w:t>
      </w:r>
    </w:p>
    <w:p w14:paraId="4841A733" w14:textId="2635FE91" w:rsidR="00AD2468" w:rsidRDefault="00C03BF8" w:rsidP="00C03BF8">
      <w:pPr>
        <w:pStyle w:val="BodyText"/>
      </w:pPr>
      <w:r>
        <w:t>All amounts in the financial statements have been rounded to the nearest $1,000 unless otherwise stated.</w:t>
      </w:r>
    </w:p>
    <w:p w14:paraId="162A15C0" w14:textId="74B8AC79" w:rsidR="00C03BF8" w:rsidRDefault="00C03BF8" w:rsidP="00C03BF8">
      <w:pPr>
        <w:pStyle w:val="Heading3"/>
      </w:pPr>
      <w:bookmarkStart w:id="240" w:name="_Ref61896770"/>
      <w:bookmarkStart w:id="241" w:name="_Ref61897554"/>
      <w:bookmarkStart w:id="242" w:name="_Toc62808132"/>
      <w:r>
        <w:t>Compliance Information</w:t>
      </w:r>
      <w:bookmarkEnd w:id="240"/>
      <w:bookmarkEnd w:id="241"/>
      <w:bookmarkEnd w:id="242"/>
    </w:p>
    <w:p w14:paraId="0FC4A2C8" w14:textId="1295CF4F" w:rsidR="00C03BF8" w:rsidRDefault="00C03BF8" w:rsidP="00C03BF8">
      <w:pPr>
        <w:pStyle w:val="BodyText"/>
      </w:pPr>
      <w:r>
        <w:t xml:space="preserve">These </w:t>
      </w:r>
      <w:proofErr w:type="gramStart"/>
      <w:r>
        <w:t>general purpose</w:t>
      </w:r>
      <w:proofErr w:type="gramEnd"/>
      <w:r>
        <w:t xml:space="preserve"> financial statements have been prepared in accordance with the </w:t>
      </w:r>
      <w:r w:rsidRPr="000E0C91">
        <w:rPr>
          <w:rStyle w:val="Italics"/>
        </w:rPr>
        <w:t>Financial Management Act 1994</w:t>
      </w:r>
      <w:r>
        <w:t xml:space="preserve"> (FMA) and applicable Australian Accounting Standards (AASs), which include Interpretations issued by the Australian Accounting Standards Board (AASB). In particular, they are presented in a manner consistent with the requirements of AASB 1049 </w:t>
      </w:r>
      <w:r w:rsidRPr="000E0C91">
        <w:rPr>
          <w:rStyle w:val="Italics"/>
        </w:rPr>
        <w:t>Whole of Government and General Government Sector Financial Reporting</w:t>
      </w:r>
      <w:r>
        <w:t>.</w:t>
      </w:r>
    </w:p>
    <w:p w14:paraId="6D56CB95" w14:textId="5F42E6D3" w:rsidR="00C03BF8" w:rsidRDefault="00C03BF8" w:rsidP="00C03BF8">
      <w:pPr>
        <w:pStyle w:val="BodyText"/>
      </w:pPr>
      <w:r>
        <w:t>Where appropriate, those AASs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14:paraId="53C6E8C5" w14:textId="69C6B7CB" w:rsidR="00C03BF8" w:rsidRDefault="009B1462" w:rsidP="00C03BF8">
      <w:pPr>
        <w:pStyle w:val="BodyText"/>
      </w:pPr>
      <w:r>
        <w:t>Court Services Victoria</w:t>
      </w:r>
      <w:r w:rsidR="00C03BF8">
        <w:t xml:space="preserve"> has considered the impact of COVID-19 on its financial statements. There were no material financial impacts in the following assessed areas:</w:t>
      </w:r>
    </w:p>
    <w:p w14:paraId="7CAA4B77" w14:textId="6DAFD696" w:rsidR="00C03BF8" w:rsidRDefault="00C03BF8" w:rsidP="00322440">
      <w:pPr>
        <w:pStyle w:val="ListBullet"/>
      </w:pPr>
      <w:r>
        <w:t>Asset impairment/changes in assumptions for impairment testing (</w:t>
      </w:r>
      <w:hyperlink w:anchor="Note832" w:history="1">
        <w:r w:rsidR="00B85F52" w:rsidRPr="00B85F52">
          <w:t>Note 8.3.2</w:t>
        </w:r>
      </w:hyperlink>
      <w:r w:rsidR="00B85F52">
        <w:t>)</w:t>
      </w:r>
    </w:p>
    <w:p w14:paraId="2C1E1BA1" w14:textId="188D1E2E" w:rsidR="00C03BF8" w:rsidRDefault="00C03BF8" w:rsidP="00C03BF8">
      <w:pPr>
        <w:pStyle w:val="ListBullet"/>
      </w:pPr>
      <w:r>
        <w:t>Changes in Fair value of Assets. (</w:t>
      </w:r>
      <w:hyperlink w:anchor="Note832" w:history="1">
        <w:r w:rsidR="00B85F52" w:rsidRPr="00B85F52">
          <w:t>Note 8.3.2</w:t>
        </w:r>
      </w:hyperlink>
      <w:r w:rsidR="00B85F52">
        <w:t>)</w:t>
      </w:r>
    </w:p>
    <w:p w14:paraId="72C42066" w14:textId="07637D62" w:rsidR="00C03BF8" w:rsidRDefault="00C03BF8" w:rsidP="00322440">
      <w:pPr>
        <w:pStyle w:val="ListBullet"/>
      </w:pPr>
      <w:r>
        <w:t>Increased costs and/or reduced demand requiring provisions for onerous contracts (nil effect)</w:t>
      </w:r>
    </w:p>
    <w:p w14:paraId="6C18BA05" w14:textId="2620FEF4" w:rsidR="00C03BF8" w:rsidRDefault="00C03BF8" w:rsidP="00322440">
      <w:pPr>
        <w:pStyle w:val="ListBullet"/>
      </w:pPr>
      <w:r>
        <w:t>Changes in expected credit losses for loans and other financial assets (</w:t>
      </w:r>
      <w:hyperlink w:anchor="Note813" w:history="1">
        <w:r w:rsidR="00B85F52" w:rsidRPr="00B85F52">
          <w:t>Note 8.1.3</w:t>
        </w:r>
      </w:hyperlink>
      <w:r w:rsidR="00B85F52">
        <w:t>)</w:t>
      </w:r>
    </w:p>
    <w:p w14:paraId="0BA53207" w14:textId="2129217F" w:rsidR="00C03BF8" w:rsidRDefault="00C03BF8" w:rsidP="00C03BF8">
      <w:pPr>
        <w:pStyle w:val="ListBullet"/>
      </w:pPr>
      <w:r>
        <w:t xml:space="preserve">Fee revenue (Note </w:t>
      </w:r>
      <w:hyperlink w:anchor="Note43" w:history="1">
        <w:r w:rsidR="000E0C91" w:rsidRPr="000E0C91">
          <w:t>4.3</w:t>
        </w:r>
      </w:hyperlink>
      <w:r>
        <w:t>)</w:t>
      </w:r>
    </w:p>
    <w:p w14:paraId="2184E9F8" w14:textId="6B6E2B58" w:rsidR="00C03BF8" w:rsidRDefault="00C03BF8" w:rsidP="00C03BF8">
      <w:pPr>
        <w:pStyle w:val="ListBullet"/>
      </w:pPr>
      <w:r>
        <w:t>Leases (</w:t>
      </w:r>
      <w:hyperlink w:anchor="Note832" w:history="1">
        <w:r w:rsidR="00B85F52" w:rsidRPr="00B85F52">
          <w:t>Note 8.3.2</w:t>
        </w:r>
      </w:hyperlink>
      <w:r>
        <w:t>)</w:t>
      </w:r>
    </w:p>
    <w:p w14:paraId="007336AC" w14:textId="61EC1C8C" w:rsidR="00417B1B" w:rsidRDefault="00417B1B" w:rsidP="00A844BC">
      <w:pPr>
        <w:pStyle w:val="Heading2"/>
        <w:pageBreakBefore/>
      </w:pPr>
      <w:bookmarkStart w:id="243" w:name="_Note_2._Funding"/>
      <w:bookmarkStart w:id="244" w:name="_Ref22644011"/>
      <w:bookmarkStart w:id="245" w:name="_Toc62808133"/>
      <w:bookmarkEnd w:id="243"/>
      <w:r>
        <w:t>Note 2.</w:t>
      </w:r>
      <w:r>
        <w:tab/>
        <w:t xml:space="preserve">Funding Delivery </w:t>
      </w:r>
      <w:r w:rsidR="00172429">
        <w:t>of</w:t>
      </w:r>
      <w:r>
        <w:t xml:space="preserve"> Our Services</w:t>
      </w:r>
      <w:bookmarkEnd w:id="244"/>
      <w:bookmarkEnd w:id="245"/>
    </w:p>
    <w:p w14:paraId="5F0513EA" w14:textId="77777777" w:rsidR="00417B1B" w:rsidRDefault="00417B1B" w:rsidP="00417B1B">
      <w:pPr>
        <w:pStyle w:val="Heading3"/>
      </w:pPr>
      <w:bookmarkStart w:id="246" w:name="_Toc62808134"/>
      <w:r>
        <w:t>Introduction</w:t>
      </w:r>
      <w:bookmarkEnd w:id="246"/>
    </w:p>
    <w:p w14:paraId="1C189127" w14:textId="36C04C89" w:rsidR="002C6AAC" w:rsidRDefault="009B1462" w:rsidP="002C6AAC">
      <w:pPr>
        <w:pStyle w:val="BodyText"/>
      </w:pPr>
      <w:r>
        <w:t>Court Services Victoria</w:t>
      </w:r>
      <w:r w:rsidR="002C6AAC">
        <w:t>’s overall objective is the fair, timely and efficient dispensing of justice.</w:t>
      </w:r>
    </w:p>
    <w:p w14:paraId="53DD5B47" w14:textId="148B524B" w:rsidR="002C6AAC" w:rsidRDefault="002C6AAC" w:rsidP="002C6AAC">
      <w:pPr>
        <w:pStyle w:val="BodyText"/>
      </w:pPr>
      <w:r>
        <w:t xml:space="preserve">To enable </w:t>
      </w:r>
      <w:r w:rsidR="009B1462">
        <w:t>Court Services Victoria</w:t>
      </w:r>
      <w:r>
        <w:t xml:space="preserve"> to fulfil its objective and provide outputs as described in </w:t>
      </w:r>
      <w:hyperlink w:anchor="Note4" w:history="1">
        <w:r w:rsidR="009D72B1" w:rsidRPr="009D72B1">
          <w:t>Note 4</w:t>
        </w:r>
      </w:hyperlink>
      <w:r>
        <w:t>, it receives income which is predominantly accrual based Parliamentary appropriations.</w:t>
      </w:r>
    </w:p>
    <w:p w14:paraId="4C08B3E1" w14:textId="1A628B60" w:rsidR="00417B1B" w:rsidRPr="00460432" w:rsidRDefault="002C6AAC" w:rsidP="00460432">
      <w:pPr>
        <w:pStyle w:val="BodyText"/>
        <w:rPr>
          <w:rStyle w:val="Bold"/>
        </w:rPr>
      </w:pPr>
      <w:r>
        <w:rPr>
          <w:rStyle w:val="Bold"/>
        </w:rPr>
        <w:t>S</w:t>
      </w:r>
      <w:r w:rsidR="00417B1B" w:rsidRPr="00460432">
        <w:rPr>
          <w:rStyle w:val="Bold"/>
        </w:rPr>
        <w:t>tructure</w:t>
      </w:r>
    </w:p>
    <w:p w14:paraId="04E99DD4" w14:textId="1890D3F9" w:rsidR="00417B1B" w:rsidRPr="003045FF" w:rsidRDefault="003045FF" w:rsidP="007158F7">
      <w:pPr>
        <w:pStyle w:val="NoSpacing"/>
      </w:pPr>
      <w:r>
        <w:fldChar w:fldCharType="begin"/>
      </w:r>
      <w:r>
        <w:instrText xml:space="preserve"> REF Note21 \h </w:instrText>
      </w:r>
      <w:r>
        <w:fldChar w:fldCharType="separate"/>
      </w:r>
      <w:r w:rsidR="00D46E6D" w:rsidRPr="003045FF">
        <w:t>2</w:t>
      </w:r>
      <w:r w:rsidR="00D46E6D">
        <w:t xml:space="preserve">.1 </w:t>
      </w:r>
      <w:r>
        <w:fldChar w:fldCharType="end"/>
      </w:r>
      <w:r w:rsidR="00417B1B" w:rsidRPr="003045FF">
        <w:tab/>
        <w:t>Summary of income that funds the delivery of our services</w:t>
      </w:r>
    </w:p>
    <w:p w14:paraId="11586E63" w14:textId="7C5A1F3E" w:rsidR="00417B1B" w:rsidRPr="003045FF" w:rsidRDefault="00C9062D" w:rsidP="007158F7">
      <w:pPr>
        <w:pStyle w:val="NoSpacing"/>
      </w:pPr>
      <w:hyperlink w:anchor="Note22" w:history="1">
        <w:r w:rsidR="008F158C" w:rsidRPr="008F158C">
          <w:t>2.2</w:t>
        </w:r>
      </w:hyperlink>
      <w:r w:rsidR="00417B1B" w:rsidRPr="003045FF">
        <w:tab/>
        <w:t>Appropriations</w:t>
      </w:r>
    </w:p>
    <w:p w14:paraId="088F916D" w14:textId="570E1E82" w:rsidR="00417B1B" w:rsidRPr="003045FF" w:rsidRDefault="003045FF" w:rsidP="007158F7">
      <w:pPr>
        <w:pStyle w:val="NoSpacing"/>
      </w:pPr>
      <w:r>
        <w:fldChar w:fldCharType="begin"/>
      </w:r>
      <w:r>
        <w:instrText xml:space="preserve"> REF Note23 \h </w:instrText>
      </w:r>
      <w:r>
        <w:fldChar w:fldCharType="separate"/>
      </w:r>
      <w:r w:rsidR="00D46E6D" w:rsidRPr="00E935F4">
        <w:t>2.3</w:t>
      </w:r>
      <w:r>
        <w:fldChar w:fldCharType="end"/>
      </w:r>
      <w:r w:rsidR="00417B1B" w:rsidRPr="003045FF">
        <w:tab/>
        <w:t>Summary of compliance with annual Parliamentary and special appropriations</w:t>
      </w:r>
    </w:p>
    <w:p w14:paraId="06CAC4B0" w14:textId="4150C679" w:rsidR="00417B1B" w:rsidRPr="003045FF" w:rsidRDefault="003045FF" w:rsidP="007158F7">
      <w:pPr>
        <w:pStyle w:val="NoSpacing"/>
      </w:pPr>
      <w:r>
        <w:fldChar w:fldCharType="begin"/>
      </w:r>
      <w:r>
        <w:instrText xml:space="preserve"> REF Note24 \h </w:instrText>
      </w:r>
      <w:r>
        <w:fldChar w:fldCharType="separate"/>
      </w:r>
      <w:r w:rsidR="00D46E6D">
        <w:t xml:space="preserve">2.4 </w:t>
      </w:r>
      <w:r>
        <w:fldChar w:fldCharType="end"/>
      </w:r>
      <w:r w:rsidR="00417B1B" w:rsidRPr="003045FF">
        <w:tab/>
        <w:t>Income from transactions</w:t>
      </w:r>
    </w:p>
    <w:p w14:paraId="2BE84F5B" w14:textId="2950BBF6" w:rsidR="00417B1B" w:rsidRPr="003045FF" w:rsidRDefault="00C9062D" w:rsidP="007158F7">
      <w:pPr>
        <w:pStyle w:val="NoSpacing"/>
      </w:pPr>
      <w:hyperlink w:anchor="Note25" w:history="1">
        <w:r w:rsidR="008F158C" w:rsidRPr="008F158C">
          <w:t>2.5</w:t>
        </w:r>
      </w:hyperlink>
      <w:r w:rsidR="00417B1B" w:rsidRPr="003045FF">
        <w:tab/>
        <w:t>Annotated income agreements</w:t>
      </w:r>
    </w:p>
    <w:p w14:paraId="0A39317A" w14:textId="7AB84954" w:rsidR="00417B1B" w:rsidRDefault="00417B1B" w:rsidP="00417B1B">
      <w:pPr>
        <w:pStyle w:val="Heading3"/>
      </w:pPr>
      <w:bookmarkStart w:id="247" w:name="_Ref22644201"/>
      <w:bookmarkStart w:id="248" w:name="_Ref22644209"/>
      <w:bookmarkStart w:id="249" w:name="_Ref22644215"/>
      <w:bookmarkStart w:id="250" w:name="_Ref22645418"/>
      <w:bookmarkStart w:id="251" w:name="_Ref22645434"/>
      <w:bookmarkStart w:id="252" w:name="_Toc62808135"/>
      <w:r w:rsidRPr="003045FF">
        <w:t xml:space="preserve">Note </w:t>
      </w:r>
      <w:bookmarkStart w:id="253" w:name="Note21"/>
      <w:r w:rsidRPr="003045FF">
        <w:t>2</w:t>
      </w:r>
      <w:r>
        <w:t xml:space="preserve">.1 </w:t>
      </w:r>
      <w:bookmarkEnd w:id="253"/>
      <w:r>
        <w:t xml:space="preserve">Summary </w:t>
      </w:r>
      <w:r w:rsidR="00172429">
        <w:t>of</w:t>
      </w:r>
      <w:r w:rsidR="005F65A1">
        <w:t xml:space="preserve"> Income t</w:t>
      </w:r>
      <w:r>
        <w:t xml:space="preserve">hat Funds </w:t>
      </w:r>
      <w:r w:rsidR="00E952AB">
        <w:t>the</w:t>
      </w:r>
      <w:r>
        <w:t xml:space="preserve"> Delivery </w:t>
      </w:r>
      <w:r w:rsidR="00172429">
        <w:t>of</w:t>
      </w:r>
      <w:r>
        <w:t xml:space="preserve"> </w:t>
      </w:r>
      <w:r w:rsidR="005F65A1">
        <w:t>o</w:t>
      </w:r>
      <w:r>
        <w:t>ur Services</w:t>
      </w:r>
      <w:bookmarkEnd w:id="247"/>
      <w:bookmarkEnd w:id="248"/>
      <w:bookmarkEnd w:id="249"/>
      <w:bookmarkEnd w:id="250"/>
      <w:bookmarkEnd w:id="251"/>
      <w:bookmarkEnd w:id="252"/>
    </w:p>
    <w:tbl>
      <w:tblPr>
        <w:tblStyle w:val="AccessibleTableNumerical"/>
        <w:tblW w:w="5000" w:type="pct"/>
        <w:tblLook w:val="04A0" w:firstRow="1" w:lastRow="0" w:firstColumn="1" w:lastColumn="0" w:noHBand="0" w:noVBand="1"/>
      </w:tblPr>
      <w:tblGrid>
        <w:gridCol w:w="3362"/>
        <w:gridCol w:w="2093"/>
        <w:gridCol w:w="2095"/>
        <w:gridCol w:w="2092"/>
      </w:tblGrid>
      <w:tr w:rsidR="00417B1B" w:rsidRPr="000C649F" w14:paraId="3831B1F8" w14:textId="77777777" w:rsidTr="005F65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3" w:type="pct"/>
          </w:tcPr>
          <w:p w14:paraId="4F2BB983" w14:textId="5678C8CD" w:rsidR="00417B1B" w:rsidRPr="00E952AB" w:rsidRDefault="00AC0BBF" w:rsidP="00E952AB">
            <w:pPr>
              <w:pStyle w:val="TableText"/>
            </w:pPr>
            <w:bookmarkStart w:id="254" w:name="ColumnTitle_47"/>
            <w:r w:rsidRPr="00E952AB">
              <w:t>Item</w:t>
            </w:r>
          </w:p>
        </w:tc>
        <w:tc>
          <w:tcPr>
            <w:tcW w:w="1085" w:type="pct"/>
            <w:vAlign w:val="bottom"/>
          </w:tcPr>
          <w:p w14:paraId="5B78A62A" w14:textId="77777777" w:rsidR="00417B1B" w:rsidRPr="00E952AB" w:rsidRDefault="00417B1B" w:rsidP="005F65A1">
            <w:pPr>
              <w:pStyle w:val="TableText"/>
              <w:cnfStyle w:val="100000000000" w:firstRow="1" w:lastRow="0" w:firstColumn="0" w:lastColumn="0" w:oddVBand="0" w:evenVBand="0" w:oddHBand="0" w:evenHBand="0" w:firstRowFirstColumn="0" w:firstRowLastColumn="0" w:lastRowFirstColumn="0" w:lastRowLastColumn="0"/>
            </w:pPr>
            <w:r w:rsidRPr="00E952AB">
              <w:t>Notes</w:t>
            </w:r>
          </w:p>
        </w:tc>
        <w:tc>
          <w:tcPr>
            <w:tcW w:w="1086" w:type="pct"/>
            <w:vAlign w:val="bottom"/>
          </w:tcPr>
          <w:p w14:paraId="3E8B6F5A" w14:textId="575C67CB" w:rsidR="00417B1B" w:rsidRPr="00E952AB" w:rsidRDefault="00417B1B" w:rsidP="005F65A1">
            <w:pPr>
              <w:pStyle w:val="TableText"/>
              <w:cnfStyle w:val="100000000000" w:firstRow="1" w:lastRow="0" w:firstColumn="0" w:lastColumn="0" w:oddVBand="0" w:evenVBand="0" w:oddHBand="0" w:evenHBand="0" w:firstRowFirstColumn="0" w:firstRowLastColumn="0" w:lastRowFirstColumn="0" w:lastRowLastColumn="0"/>
            </w:pPr>
            <w:r w:rsidRPr="00E952AB">
              <w:t>20</w:t>
            </w:r>
            <w:r w:rsidR="002C6AAC">
              <w:t>20</w:t>
            </w:r>
            <w:r w:rsidRPr="00E952AB">
              <w:br/>
              <w:t>$’000</w:t>
            </w:r>
          </w:p>
        </w:tc>
        <w:tc>
          <w:tcPr>
            <w:tcW w:w="1085" w:type="pct"/>
            <w:vAlign w:val="bottom"/>
          </w:tcPr>
          <w:p w14:paraId="063B9E39" w14:textId="12EFCB48" w:rsidR="00417B1B" w:rsidRPr="00E952AB" w:rsidRDefault="00417B1B" w:rsidP="005F65A1">
            <w:pPr>
              <w:pStyle w:val="TableText"/>
              <w:cnfStyle w:val="100000000000" w:firstRow="1" w:lastRow="0" w:firstColumn="0" w:lastColumn="0" w:oddVBand="0" w:evenVBand="0" w:oddHBand="0" w:evenHBand="0" w:firstRowFirstColumn="0" w:firstRowLastColumn="0" w:lastRowFirstColumn="0" w:lastRowLastColumn="0"/>
            </w:pPr>
            <w:r w:rsidRPr="00E952AB">
              <w:t>201</w:t>
            </w:r>
            <w:r w:rsidR="002C6AAC">
              <w:t>9</w:t>
            </w:r>
            <w:r w:rsidRPr="00E952AB">
              <w:br/>
              <w:t>$’000</w:t>
            </w:r>
          </w:p>
        </w:tc>
      </w:tr>
      <w:bookmarkEnd w:id="254"/>
      <w:tr w:rsidR="00417B1B" w:rsidRPr="000C649F" w14:paraId="68558F4D" w14:textId="77777777" w:rsidTr="00AC0BBF">
        <w:tc>
          <w:tcPr>
            <w:cnfStyle w:val="001000000000" w:firstRow="0" w:lastRow="0" w:firstColumn="1" w:lastColumn="0" w:oddVBand="0" w:evenVBand="0" w:oddHBand="0" w:evenHBand="0" w:firstRowFirstColumn="0" w:firstRowLastColumn="0" w:lastRowFirstColumn="0" w:lastRowLastColumn="0"/>
            <w:tcW w:w="1743" w:type="pct"/>
          </w:tcPr>
          <w:p w14:paraId="658558F3" w14:textId="77777777" w:rsidR="00417B1B" w:rsidRPr="00E952AB" w:rsidRDefault="00417B1B" w:rsidP="00E952AB">
            <w:pPr>
              <w:pStyle w:val="TableText"/>
            </w:pPr>
            <w:r w:rsidRPr="00E952AB">
              <w:t>Output appropriations</w:t>
            </w:r>
          </w:p>
        </w:tc>
        <w:tc>
          <w:tcPr>
            <w:tcW w:w="1085" w:type="pct"/>
          </w:tcPr>
          <w:p w14:paraId="47B244A8" w14:textId="732F687D" w:rsidR="00417B1B" w:rsidRPr="00E952AB" w:rsidRDefault="00976366" w:rsidP="00E952AB">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Note22 \h </w:instrText>
            </w:r>
            <w:r>
              <w:fldChar w:fldCharType="separate"/>
            </w:r>
            <w:r w:rsidR="00D46E6D">
              <w:t xml:space="preserve">Note 2.2 </w:t>
            </w:r>
            <w:r>
              <w:fldChar w:fldCharType="end"/>
            </w:r>
          </w:p>
        </w:tc>
        <w:tc>
          <w:tcPr>
            <w:tcW w:w="1086" w:type="pct"/>
          </w:tcPr>
          <w:p w14:paraId="1D00CDD4" w14:textId="5CB9899F"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480,167</w:t>
            </w:r>
          </w:p>
        </w:tc>
        <w:tc>
          <w:tcPr>
            <w:tcW w:w="1085" w:type="pct"/>
          </w:tcPr>
          <w:p w14:paraId="42E50DF7" w14:textId="74D5F8CC"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428,469</w:t>
            </w:r>
          </w:p>
        </w:tc>
      </w:tr>
      <w:tr w:rsidR="00417B1B" w:rsidRPr="000C649F" w14:paraId="49A83865" w14:textId="77777777" w:rsidTr="00AC0BBF">
        <w:tc>
          <w:tcPr>
            <w:cnfStyle w:val="001000000000" w:firstRow="0" w:lastRow="0" w:firstColumn="1" w:lastColumn="0" w:oddVBand="0" w:evenVBand="0" w:oddHBand="0" w:evenHBand="0" w:firstRowFirstColumn="0" w:firstRowLastColumn="0" w:lastRowFirstColumn="0" w:lastRowLastColumn="0"/>
            <w:tcW w:w="1743" w:type="pct"/>
          </w:tcPr>
          <w:p w14:paraId="35675D42" w14:textId="77777777" w:rsidR="00417B1B" w:rsidRPr="00E952AB" w:rsidRDefault="00417B1B" w:rsidP="00E952AB">
            <w:pPr>
              <w:pStyle w:val="TableText"/>
            </w:pPr>
            <w:r w:rsidRPr="00E952AB">
              <w:t>Special appropriations</w:t>
            </w:r>
          </w:p>
        </w:tc>
        <w:tc>
          <w:tcPr>
            <w:tcW w:w="1085" w:type="pct"/>
          </w:tcPr>
          <w:p w14:paraId="5971701C" w14:textId="036E5C98"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Note22 \h </w:instrText>
            </w:r>
            <w:r>
              <w:fldChar w:fldCharType="separate"/>
            </w:r>
            <w:r w:rsidR="00D46E6D">
              <w:t xml:space="preserve">Note 2.2 </w:t>
            </w:r>
            <w:r>
              <w:fldChar w:fldCharType="end"/>
            </w:r>
          </w:p>
        </w:tc>
        <w:tc>
          <w:tcPr>
            <w:tcW w:w="1086" w:type="pct"/>
          </w:tcPr>
          <w:p w14:paraId="6FE6D8C8" w14:textId="39C8D1A8"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167,736</w:t>
            </w:r>
          </w:p>
        </w:tc>
        <w:tc>
          <w:tcPr>
            <w:tcW w:w="1085" w:type="pct"/>
          </w:tcPr>
          <w:p w14:paraId="06175F1B" w14:textId="236E37E6"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157,954</w:t>
            </w:r>
          </w:p>
        </w:tc>
      </w:tr>
      <w:tr w:rsidR="00417B1B" w:rsidRPr="000C649F" w14:paraId="60B26EEF" w14:textId="77777777" w:rsidTr="00D46E6D">
        <w:tc>
          <w:tcPr>
            <w:cnfStyle w:val="001000000000" w:firstRow="0" w:lastRow="0" w:firstColumn="1" w:lastColumn="0" w:oddVBand="0" w:evenVBand="0" w:oddHBand="0" w:evenHBand="0" w:firstRowFirstColumn="0" w:firstRowLastColumn="0" w:lastRowFirstColumn="0" w:lastRowLastColumn="0"/>
            <w:tcW w:w="1743" w:type="pct"/>
            <w:tcBorders>
              <w:bottom w:val="single" w:sz="4" w:space="0" w:color="auto"/>
            </w:tcBorders>
          </w:tcPr>
          <w:p w14:paraId="55884D43" w14:textId="77777777" w:rsidR="00417B1B" w:rsidRPr="00E952AB" w:rsidRDefault="00417B1B" w:rsidP="00E952AB">
            <w:pPr>
              <w:pStyle w:val="TableText"/>
            </w:pPr>
            <w:r w:rsidRPr="00E952AB">
              <w:t>Grants</w:t>
            </w:r>
          </w:p>
        </w:tc>
        <w:tc>
          <w:tcPr>
            <w:tcW w:w="1085" w:type="pct"/>
            <w:tcBorders>
              <w:bottom w:val="single" w:sz="4" w:space="0" w:color="auto"/>
            </w:tcBorders>
          </w:tcPr>
          <w:p w14:paraId="6908E39F" w14:textId="131FFA6D" w:rsidR="00417B1B" w:rsidRPr="00E952AB" w:rsidRDefault="00976366" w:rsidP="00E952AB">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Note241 \h </w:instrText>
            </w:r>
            <w:r>
              <w:fldChar w:fldCharType="separate"/>
            </w:r>
            <w:r w:rsidR="00D46E6D" w:rsidRPr="005F2ACB">
              <w:t>2.4.1</w:t>
            </w:r>
            <w:r>
              <w:fldChar w:fldCharType="end"/>
            </w:r>
          </w:p>
        </w:tc>
        <w:tc>
          <w:tcPr>
            <w:tcW w:w="1086" w:type="pct"/>
            <w:tcBorders>
              <w:bottom w:val="single" w:sz="4" w:space="0" w:color="auto"/>
            </w:tcBorders>
          </w:tcPr>
          <w:p w14:paraId="15113444" w14:textId="7B48ECF2"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25,617</w:t>
            </w:r>
          </w:p>
        </w:tc>
        <w:tc>
          <w:tcPr>
            <w:tcW w:w="1085" w:type="pct"/>
            <w:tcBorders>
              <w:bottom w:val="single" w:sz="4" w:space="0" w:color="auto"/>
            </w:tcBorders>
          </w:tcPr>
          <w:p w14:paraId="500EBE96" w14:textId="5F5E6D21" w:rsidR="00417B1B" w:rsidRPr="00E952AB" w:rsidRDefault="002C6AAC" w:rsidP="00E952AB">
            <w:pPr>
              <w:pStyle w:val="TableText"/>
              <w:cnfStyle w:val="000000000000" w:firstRow="0" w:lastRow="0" w:firstColumn="0" w:lastColumn="0" w:oddVBand="0" w:evenVBand="0" w:oddHBand="0" w:evenHBand="0" w:firstRowFirstColumn="0" w:firstRowLastColumn="0" w:lastRowFirstColumn="0" w:lastRowLastColumn="0"/>
            </w:pPr>
            <w:r>
              <w:t>28,164</w:t>
            </w:r>
          </w:p>
        </w:tc>
      </w:tr>
      <w:tr w:rsidR="00417B1B" w:rsidRPr="005F65A1" w14:paraId="1D72C0D7" w14:textId="77777777" w:rsidTr="00D46E6D">
        <w:tc>
          <w:tcPr>
            <w:cnfStyle w:val="001000000000" w:firstRow="0" w:lastRow="0" w:firstColumn="1" w:lastColumn="0" w:oddVBand="0" w:evenVBand="0" w:oddHBand="0" w:evenHBand="0" w:firstRowFirstColumn="0" w:firstRowLastColumn="0" w:lastRowFirstColumn="0" w:lastRowLastColumn="0"/>
            <w:tcW w:w="1743" w:type="pct"/>
            <w:tcBorders>
              <w:top w:val="single" w:sz="4" w:space="0" w:color="auto"/>
              <w:bottom w:val="single" w:sz="4" w:space="0" w:color="auto"/>
            </w:tcBorders>
          </w:tcPr>
          <w:p w14:paraId="3856BCFD" w14:textId="77777777" w:rsidR="00417B1B" w:rsidRPr="005F65A1" w:rsidRDefault="00417B1B" w:rsidP="00E952AB">
            <w:pPr>
              <w:pStyle w:val="TableText"/>
              <w:rPr>
                <w:rStyle w:val="Bold"/>
              </w:rPr>
            </w:pPr>
            <w:r w:rsidRPr="005F65A1">
              <w:rPr>
                <w:rStyle w:val="Bold"/>
              </w:rPr>
              <w:t>Total income from transactions</w:t>
            </w:r>
          </w:p>
        </w:tc>
        <w:tc>
          <w:tcPr>
            <w:tcW w:w="1085" w:type="pct"/>
            <w:tcBorders>
              <w:top w:val="single" w:sz="4" w:space="0" w:color="auto"/>
              <w:bottom w:val="single" w:sz="4" w:space="0" w:color="auto"/>
            </w:tcBorders>
          </w:tcPr>
          <w:p w14:paraId="729CFA8B" w14:textId="58D2FF79" w:rsidR="00417B1B" w:rsidRPr="005F65A1" w:rsidRDefault="00AC0BBF" w:rsidP="00E952AB">
            <w:pPr>
              <w:pStyle w:val="TableText"/>
              <w:cnfStyle w:val="000000000000" w:firstRow="0" w:lastRow="0" w:firstColumn="0" w:lastColumn="0" w:oddVBand="0" w:evenVBand="0" w:oddHBand="0" w:evenHBand="0" w:firstRowFirstColumn="0" w:firstRowLastColumn="0" w:lastRowFirstColumn="0" w:lastRowLastColumn="0"/>
              <w:rPr>
                <w:rStyle w:val="Bold"/>
              </w:rPr>
            </w:pPr>
            <w:r w:rsidRPr="005F65A1">
              <w:t>N/A</w:t>
            </w:r>
          </w:p>
        </w:tc>
        <w:tc>
          <w:tcPr>
            <w:tcW w:w="1086" w:type="pct"/>
            <w:tcBorders>
              <w:top w:val="single" w:sz="4" w:space="0" w:color="auto"/>
              <w:bottom w:val="single" w:sz="4" w:space="0" w:color="auto"/>
            </w:tcBorders>
          </w:tcPr>
          <w:p w14:paraId="0B448F06" w14:textId="551ECDBD" w:rsidR="00417B1B" w:rsidRPr="005F65A1" w:rsidRDefault="002C6AAC" w:rsidP="00E952A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673,520</w:t>
            </w:r>
          </w:p>
        </w:tc>
        <w:tc>
          <w:tcPr>
            <w:tcW w:w="1085" w:type="pct"/>
            <w:tcBorders>
              <w:top w:val="single" w:sz="4" w:space="0" w:color="auto"/>
              <w:bottom w:val="single" w:sz="4" w:space="0" w:color="auto"/>
            </w:tcBorders>
          </w:tcPr>
          <w:p w14:paraId="602F9BA4" w14:textId="030BA78C" w:rsidR="00417B1B" w:rsidRPr="005F65A1" w:rsidRDefault="002C6AAC" w:rsidP="00E952A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614,588</w:t>
            </w:r>
          </w:p>
        </w:tc>
      </w:tr>
    </w:tbl>
    <w:p w14:paraId="565CB50E" w14:textId="517799E0" w:rsidR="002E6DBB" w:rsidRDefault="002E6DBB" w:rsidP="002E6DBB">
      <w:pPr>
        <w:pStyle w:val="BodyText"/>
      </w:pPr>
      <w:r>
        <w:t>Revenue</w:t>
      </w:r>
      <w:r w:rsidR="000E21EC">
        <w:t xml:space="preserve"> </w:t>
      </w:r>
      <w:r>
        <w:t>and</w:t>
      </w:r>
      <w:r w:rsidR="000E21EC">
        <w:t xml:space="preserve"> </w:t>
      </w:r>
      <w:r>
        <w:t>income</w:t>
      </w:r>
      <w:r w:rsidR="000E21EC">
        <w:t xml:space="preserve"> </w:t>
      </w:r>
      <w:r>
        <w:t>that</w:t>
      </w:r>
      <w:r w:rsidR="000E21EC">
        <w:t xml:space="preserve"> </w:t>
      </w:r>
      <w:r>
        <w:t>fund</w:t>
      </w:r>
      <w:r w:rsidR="000E21EC">
        <w:t xml:space="preserve"> </w:t>
      </w:r>
      <w:r>
        <w:t>delivery</w:t>
      </w:r>
      <w:r w:rsidR="000E21EC">
        <w:t xml:space="preserve"> </w:t>
      </w:r>
      <w:r>
        <w:t>of</w:t>
      </w:r>
      <w:r w:rsidR="000E21EC">
        <w:t xml:space="preserve"> </w:t>
      </w:r>
      <w:r w:rsidR="009B1462">
        <w:t>Court Services Victoria</w:t>
      </w:r>
      <w:r>
        <w:t>’s</w:t>
      </w:r>
      <w:r w:rsidR="000E21EC">
        <w:t xml:space="preserve"> </w:t>
      </w:r>
      <w:r>
        <w:t>services</w:t>
      </w:r>
      <w:r w:rsidR="000E21EC">
        <w:t xml:space="preserve"> </w:t>
      </w:r>
      <w:r>
        <w:t>are</w:t>
      </w:r>
      <w:r w:rsidR="000E21EC">
        <w:t xml:space="preserve"> </w:t>
      </w:r>
      <w:r>
        <w:t>accounted</w:t>
      </w:r>
      <w:r w:rsidR="000E21EC">
        <w:t xml:space="preserve"> </w:t>
      </w:r>
      <w:r>
        <w:t>for</w:t>
      </w:r>
      <w:r w:rsidR="000E21EC">
        <w:t xml:space="preserve"> </w:t>
      </w:r>
      <w:r>
        <w:t>consistently</w:t>
      </w:r>
      <w:r w:rsidR="000E21EC">
        <w:t xml:space="preserve"> </w:t>
      </w:r>
      <w:r>
        <w:t>with</w:t>
      </w:r>
      <w:r w:rsidR="000E21EC">
        <w:t xml:space="preserve"> </w:t>
      </w:r>
      <w:r>
        <w:t>all</w:t>
      </w:r>
      <w:r w:rsidR="000E21EC">
        <w:t xml:space="preserve"> </w:t>
      </w:r>
      <w:r>
        <w:t>the</w:t>
      </w:r>
      <w:r w:rsidR="000E21EC">
        <w:t xml:space="preserve"> </w:t>
      </w:r>
      <w:r>
        <w:t>requirements</w:t>
      </w:r>
      <w:r w:rsidR="000E21EC">
        <w:t xml:space="preserve"> </w:t>
      </w:r>
      <w:r>
        <w:t>of</w:t>
      </w:r>
      <w:r w:rsidR="000E21EC">
        <w:t xml:space="preserve"> </w:t>
      </w:r>
      <w:r>
        <w:t>the</w:t>
      </w:r>
      <w:r w:rsidR="000E21EC">
        <w:t xml:space="preserve"> </w:t>
      </w:r>
      <w:r>
        <w:t>relevant</w:t>
      </w:r>
      <w:r w:rsidR="000E21EC">
        <w:t xml:space="preserve"> </w:t>
      </w:r>
      <w:r>
        <w:t>accounting</w:t>
      </w:r>
      <w:r w:rsidR="000E21EC">
        <w:t xml:space="preserve"> </w:t>
      </w:r>
      <w:r>
        <w:t>standards</w:t>
      </w:r>
      <w:r w:rsidR="000E21EC">
        <w:t xml:space="preserve"> </w:t>
      </w:r>
      <w:r>
        <w:t>disclosed</w:t>
      </w:r>
      <w:r w:rsidR="000E21EC">
        <w:t xml:space="preserve"> </w:t>
      </w:r>
      <w:r>
        <w:t>in</w:t>
      </w:r>
      <w:r w:rsidR="000E21EC">
        <w:t xml:space="preserve"> </w:t>
      </w:r>
      <w:r>
        <w:t>the</w:t>
      </w:r>
      <w:r w:rsidR="000E21EC">
        <w:t xml:space="preserve"> </w:t>
      </w:r>
      <w:r>
        <w:t>following</w:t>
      </w:r>
      <w:r w:rsidR="000E21EC">
        <w:t xml:space="preserve"> </w:t>
      </w:r>
      <w:r>
        <w:t>notes.</w:t>
      </w:r>
      <w:r w:rsidR="000E21EC">
        <w:t xml:space="preserve"> </w:t>
      </w:r>
      <w:r>
        <w:t>All</w:t>
      </w:r>
      <w:r w:rsidR="000E21EC">
        <w:t xml:space="preserve"> </w:t>
      </w:r>
      <w:r>
        <w:t>amounts</w:t>
      </w:r>
      <w:r w:rsidR="000E21EC">
        <w:t xml:space="preserve"> </w:t>
      </w:r>
      <w:r>
        <w:t>of</w:t>
      </w:r>
      <w:r w:rsidR="000E21EC">
        <w:t xml:space="preserve"> </w:t>
      </w:r>
      <w:r>
        <w:t>income</w:t>
      </w:r>
      <w:r w:rsidR="000E21EC">
        <w:t xml:space="preserve"> </w:t>
      </w:r>
      <w:r>
        <w:t>over</w:t>
      </w:r>
      <w:r w:rsidR="000E21EC">
        <w:t xml:space="preserve"> </w:t>
      </w:r>
      <w:r>
        <w:t>which</w:t>
      </w:r>
      <w:r w:rsidR="000E21EC">
        <w:t xml:space="preserve"> </w:t>
      </w:r>
      <w:r w:rsidR="009B1462">
        <w:t>Court Services Victoria</w:t>
      </w:r>
      <w:r w:rsidR="000E21EC">
        <w:t xml:space="preserve"> </w:t>
      </w:r>
      <w:r>
        <w:t>does</w:t>
      </w:r>
      <w:r w:rsidR="000E21EC">
        <w:t xml:space="preserve"> </w:t>
      </w:r>
      <w:r>
        <w:t>not</w:t>
      </w:r>
      <w:r w:rsidR="000E21EC">
        <w:t xml:space="preserve"> </w:t>
      </w:r>
      <w:r>
        <w:t>have</w:t>
      </w:r>
      <w:r w:rsidR="000E21EC">
        <w:t xml:space="preserve"> </w:t>
      </w:r>
      <w:r>
        <w:t>control</w:t>
      </w:r>
      <w:r w:rsidR="000E21EC">
        <w:t xml:space="preserve"> </w:t>
      </w:r>
      <w:r>
        <w:t>are</w:t>
      </w:r>
      <w:r w:rsidR="000E21EC">
        <w:t xml:space="preserve"> </w:t>
      </w:r>
      <w:r>
        <w:t>disclosed</w:t>
      </w:r>
      <w:r w:rsidR="000E21EC">
        <w:t xml:space="preserve"> </w:t>
      </w:r>
      <w:r>
        <w:t>as</w:t>
      </w:r>
      <w:r w:rsidR="000E21EC">
        <w:t xml:space="preserve"> </w:t>
      </w:r>
      <w:r>
        <w:t>administered</w:t>
      </w:r>
      <w:r w:rsidR="000E21EC">
        <w:t xml:space="preserve"> </w:t>
      </w:r>
      <w:r>
        <w:t>income</w:t>
      </w:r>
      <w:r w:rsidR="000E21EC">
        <w:t xml:space="preserve"> </w:t>
      </w:r>
      <w:r>
        <w:t>(see</w:t>
      </w:r>
      <w:r w:rsidR="000E21EC">
        <w:t xml:space="preserve"> </w:t>
      </w:r>
      <w:hyperlink w:anchor="Note43" w:history="1">
        <w:r w:rsidR="009D72B1" w:rsidRPr="009D72B1">
          <w:t>note 4.3</w:t>
        </w:r>
      </w:hyperlink>
      <w:r>
        <w:t>).</w:t>
      </w:r>
    </w:p>
    <w:p w14:paraId="3D9AB7AC" w14:textId="1732EBCA" w:rsidR="002E6DBB" w:rsidRDefault="000E21EC" w:rsidP="00097825">
      <w:pPr>
        <w:pStyle w:val="Heading4"/>
      </w:pPr>
      <w:bookmarkStart w:id="255" w:name="Note22"/>
      <w:bookmarkStart w:id="256" w:name="_Ref61900027"/>
      <w:r>
        <w:t xml:space="preserve">Note 2.2 </w:t>
      </w:r>
      <w:bookmarkEnd w:id="255"/>
      <w:r>
        <w:t>Appropriations</w:t>
      </w:r>
      <w:bookmarkEnd w:id="256"/>
    </w:p>
    <w:p w14:paraId="212FA6B3" w14:textId="4D3672DE" w:rsidR="002E6DBB" w:rsidRDefault="002E6DBB" w:rsidP="002E6DBB">
      <w:pPr>
        <w:pStyle w:val="BodyText"/>
      </w:pPr>
      <w:r>
        <w:t>Once</w:t>
      </w:r>
      <w:r w:rsidR="000E21EC">
        <w:t xml:space="preserve"> </w:t>
      </w:r>
      <w:r>
        <w:t>annual</w:t>
      </w:r>
      <w:r w:rsidR="000E21EC">
        <w:t xml:space="preserve"> </w:t>
      </w:r>
      <w:r>
        <w:t>Parliamentary</w:t>
      </w:r>
      <w:r w:rsidR="000E21EC">
        <w:t xml:space="preserve"> </w:t>
      </w:r>
      <w:r>
        <w:t>appropriations</w:t>
      </w:r>
      <w:r w:rsidR="000E21EC">
        <w:t xml:space="preserve"> </w:t>
      </w:r>
      <w:r>
        <w:t>are</w:t>
      </w:r>
      <w:r w:rsidR="000E21EC">
        <w:t xml:space="preserve"> </w:t>
      </w:r>
      <w:r>
        <w:t>applied</w:t>
      </w:r>
      <w:r w:rsidR="000E21EC">
        <w:t xml:space="preserve"> </w:t>
      </w:r>
      <w:r>
        <w:t>by</w:t>
      </w:r>
      <w:r w:rsidR="000E21EC">
        <w:t xml:space="preserve"> </w:t>
      </w:r>
      <w:r>
        <w:t>the</w:t>
      </w:r>
      <w:r w:rsidR="000E21EC">
        <w:t xml:space="preserve"> </w:t>
      </w:r>
      <w:r>
        <w:t>Treasurer,</w:t>
      </w:r>
      <w:r w:rsidR="000E21EC">
        <w:t xml:space="preserve"> </w:t>
      </w:r>
      <w:r>
        <w:t>they</w:t>
      </w:r>
      <w:r w:rsidR="000E21EC">
        <w:t xml:space="preserve"> </w:t>
      </w:r>
      <w:r>
        <w:t>become</w:t>
      </w:r>
      <w:r w:rsidR="000E21EC">
        <w:t xml:space="preserve"> </w:t>
      </w:r>
      <w:r>
        <w:t>controlled</w:t>
      </w:r>
      <w:r w:rsidR="000E21EC">
        <w:t xml:space="preserve"> </w:t>
      </w:r>
      <w:r>
        <w:t>by</w:t>
      </w:r>
      <w:r w:rsidR="000E21EC">
        <w:t xml:space="preserve"> </w:t>
      </w:r>
      <w:r w:rsidR="009B1462">
        <w:t>Court Services Victoria</w:t>
      </w:r>
      <w:r w:rsidR="000E21EC">
        <w:t xml:space="preserve"> </w:t>
      </w:r>
      <w:r>
        <w:t>and</w:t>
      </w:r>
      <w:r w:rsidR="000E21EC">
        <w:t xml:space="preserve"> </w:t>
      </w:r>
      <w:r>
        <w:t>are</w:t>
      </w:r>
      <w:r w:rsidR="000E21EC">
        <w:t xml:space="preserve"> </w:t>
      </w:r>
      <w:r>
        <w:t>recognised</w:t>
      </w:r>
      <w:r w:rsidR="000E21EC">
        <w:t xml:space="preserve"> </w:t>
      </w:r>
      <w:r>
        <w:t>as</w:t>
      </w:r>
      <w:r w:rsidR="000E21EC">
        <w:t xml:space="preserve"> </w:t>
      </w:r>
      <w:r>
        <w:t>income</w:t>
      </w:r>
      <w:r w:rsidR="000E21EC">
        <w:t xml:space="preserve"> </w:t>
      </w:r>
      <w:r>
        <w:t>when</w:t>
      </w:r>
      <w:r w:rsidR="000E21EC">
        <w:t xml:space="preserve"> </w:t>
      </w:r>
      <w:r>
        <w:t>applied</w:t>
      </w:r>
      <w:r w:rsidR="000E21EC">
        <w:t xml:space="preserve"> </w:t>
      </w:r>
      <w:r>
        <w:t>to</w:t>
      </w:r>
      <w:r w:rsidR="000E21EC">
        <w:t xml:space="preserve"> </w:t>
      </w:r>
      <w:r>
        <w:t>the</w:t>
      </w:r>
      <w:r w:rsidR="000E21EC">
        <w:t xml:space="preserve"> </w:t>
      </w:r>
      <w:r>
        <w:t>purposes</w:t>
      </w:r>
      <w:r w:rsidR="000E21EC">
        <w:t xml:space="preserve"> </w:t>
      </w:r>
      <w:r>
        <w:t>defined</w:t>
      </w:r>
      <w:r w:rsidR="000E21EC">
        <w:t xml:space="preserve"> </w:t>
      </w:r>
      <w:r>
        <w:t>under</w:t>
      </w:r>
      <w:r w:rsidR="000E21EC">
        <w:t xml:space="preserve"> </w:t>
      </w:r>
      <w:r>
        <w:t>the</w:t>
      </w:r>
      <w:r w:rsidR="000E21EC">
        <w:t xml:space="preserve"> </w:t>
      </w:r>
      <w:r>
        <w:t>relevant</w:t>
      </w:r>
      <w:r w:rsidR="000E21EC">
        <w:t xml:space="preserve"> </w:t>
      </w:r>
      <w:r>
        <w:t>Appropriations</w:t>
      </w:r>
      <w:r w:rsidR="000E21EC">
        <w:t xml:space="preserve"> </w:t>
      </w:r>
      <w:r>
        <w:t>Act.</w:t>
      </w:r>
      <w:r w:rsidR="000E21EC">
        <w:t xml:space="preserve"> </w:t>
      </w:r>
      <w:r>
        <w:t>After</w:t>
      </w:r>
      <w:r w:rsidR="000E21EC">
        <w:t xml:space="preserve"> </w:t>
      </w:r>
      <w:r>
        <w:t>considering</w:t>
      </w:r>
      <w:r w:rsidR="000E21EC">
        <w:t xml:space="preserve"> </w:t>
      </w:r>
      <w:r>
        <w:t>the</w:t>
      </w:r>
      <w:r w:rsidR="000E21EC">
        <w:t xml:space="preserve"> </w:t>
      </w:r>
      <w:r>
        <w:t>requirements</w:t>
      </w:r>
      <w:r w:rsidR="000E21EC">
        <w:t xml:space="preserve"> </w:t>
      </w:r>
      <w:r>
        <w:t>of</w:t>
      </w:r>
      <w:r w:rsidR="000E21EC">
        <w:t xml:space="preserve"> </w:t>
      </w:r>
      <w:r>
        <w:t>the</w:t>
      </w:r>
      <w:r w:rsidR="000E21EC">
        <w:t xml:space="preserve"> </w:t>
      </w:r>
      <w:r>
        <w:t>new</w:t>
      </w:r>
      <w:r w:rsidR="000E21EC">
        <w:t xml:space="preserve"> </w:t>
      </w:r>
      <w:r>
        <w:t>accounting</w:t>
      </w:r>
      <w:r w:rsidR="000E21EC">
        <w:t xml:space="preserve"> </w:t>
      </w:r>
      <w:r>
        <w:t>standards</w:t>
      </w:r>
      <w:r w:rsidR="000E21EC">
        <w:t xml:space="preserve"> </w:t>
      </w:r>
      <w:r>
        <w:t>and</w:t>
      </w:r>
      <w:r w:rsidR="000E21EC">
        <w:t xml:space="preserve"> </w:t>
      </w:r>
      <w:r>
        <w:t>the</w:t>
      </w:r>
      <w:r w:rsidR="000E21EC">
        <w:t xml:space="preserve"> </w:t>
      </w:r>
      <w:r>
        <w:t>relevant</w:t>
      </w:r>
      <w:r w:rsidR="000E21EC">
        <w:t xml:space="preserve"> </w:t>
      </w:r>
      <w:r>
        <w:t>FRDs,</w:t>
      </w:r>
      <w:r w:rsidR="000E21EC">
        <w:t xml:space="preserve"> </w:t>
      </w:r>
      <w:r w:rsidR="009B1462">
        <w:t>Court Services Victoria</w:t>
      </w:r>
      <w:r w:rsidR="000E21EC">
        <w:t xml:space="preserve"> </w:t>
      </w:r>
      <w:r>
        <w:t>has</w:t>
      </w:r>
      <w:r w:rsidR="000E21EC">
        <w:t xml:space="preserve"> </w:t>
      </w:r>
      <w:r>
        <w:t>concluded</w:t>
      </w:r>
      <w:r w:rsidR="000E21EC">
        <w:t xml:space="preserve"> </w:t>
      </w:r>
      <w:r>
        <w:t>that</w:t>
      </w:r>
      <w:r w:rsidR="000E21EC">
        <w:t xml:space="preserve"> </w:t>
      </w:r>
      <w:r>
        <w:t>parliamentary</w:t>
      </w:r>
      <w:r w:rsidR="000E21EC">
        <w:t xml:space="preserve"> </w:t>
      </w:r>
      <w:r>
        <w:t>appropriations</w:t>
      </w:r>
      <w:r w:rsidR="000E21EC">
        <w:t xml:space="preserve"> </w:t>
      </w:r>
      <w:r>
        <w:t>fall</w:t>
      </w:r>
      <w:r w:rsidR="000E21EC">
        <w:t xml:space="preserve"> </w:t>
      </w:r>
      <w:r>
        <w:t>within</w:t>
      </w:r>
      <w:r w:rsidR="000E21EC">
        <w:t xml:space="preserve"> </w:t>
      </w:r>
      <w:r>
        <w:t>the</w:t>
      </w:r>
      <w:r w:rsidR="000E21EC">
        <w:t xml:space="preserve"> </w:t>
      </w:r>
      <w:r>
        <w:t>scope</w:t>
      </w:r>
      <w:r w:rsidR="000E21EC">
        <w:t xml:space="preserve"> </w:t>
      </w:r>
      <w:r>
        <w:t>of</w:t>
      </w:r>
      <w:r w:rsidR="000E21EC">
        <w:t xml:space="preserve"> </w:t>
      </w:r>
      <w:r>
        <w:t>AASB</w:t>
      </w:r>
      <w:r w:rsidR="000E21EC">
        <w:t xml:space="preserve"> </w:t>
      </w:r>
      <w:r>
        <w:t>1058</w:t>
      </w:r>
      <w:r w:rsidR="000E21EC">
        <w:t xml:space="preserve"> </w:t>
      </w:r>
      <w:r>
        <w:t>(see</w:t>
      </w:r>
      <w:r w:rsidR="000E21EC">
        <w:t xml:space="preserve"> </w:t>
      </w:r>
      <w:hyperlink w:anchor="Note993" w:history="1">
        <w:r w:rsidR="009D72B1" w:rsidRPr="009D72B1">
          <w:t>Note 9.9.3</w:t>
        </w:r>
      </w:hyperlink>
      <w:r>
        <w:t>).</w:t>
      </w:r>
    </w:p>
    <w:p w14:paraId="12598B5D" w14:textId="295A013B" w:rsidR="002E6DBB" w:rsidRDefault="000E21EC" w:rsidP="00097825">
      <w:pPr>
        <w:pStyle w:val="Heading4"/>
      </w:pPr>
      <w:r>
        <w:t>Output Appropriations</w:t>
      </w:r>
    </w:p>
    <w:p w14:paraId="05606A02" w14:textId="3412AB83" w:rsidR="002E6DBB" w:rsidRDefault="002E6DBB" w:rsidP="002E6DBB">
      <w:pPr>
        <w:pStyle w:val="BodyText"/>
      </w:pPr>
      <w:r>
        <w:t>Income</w:t>
      </w:r>
      <w:r w:rsidR="000E21EC">
        <w:t xml:space="preserve"> </w:t>
      </w:r>
      <w:r>
        <w:t>received</w:t>
      </w:r>
      <w:r w:rsidR="000E21EC">
        <w:t xml:space="preserve"> </w:t>
      </w:r>
      <w:r>
        <w:t>to</w:t>
      </w:r>
      <w:r w:rsidR="000E21EC">
        <w:t xml:space="preserve"> </w:t>
      </w:r>
      <w:r>
        <w:t>deliver</w:t>
      </w:r>
      <w:r w:rsidR="000E21EC">
        <w:t xml:space="preserve"> </w:t>
      </w:r>
      <w:r>
        <w:t>the</w:t>
      </w:r>
      <w:r w:rsidR="000E21EC">
        <w:t xml:space="preserve"> </w:t>
      </w:r>
      <w:r>
        <w:t>outputs</w:t>
      </w:r>
      <w:r w:rsidR="000E21EC">
        <w:t xml:space="preserve"> </w:t>
      </w:r>
      <w:r w:rsidR="009B1462">
        <w:t>Court Services Victoria</w:t>
      </w:r>
      <w:r w:rsidR="000E21EC">
        <w:t xml:space="preserve"> </w:t>
      </w:r>
      <w:r>
        <w:t>provides</w:t>
      </w:r>
      <w:r w:rsidR="000E21EC">
        <w:t xml:space="preserve"> </w:t>
      </w:r>
      <w:r>
        <w:t>to</w:t>
      </w:r>
      <w:r w:rsidR="000E21EC">
        <w:t xml:space="preserve"> </w:t>
      </w:r>
      <w:r>
        <w:t>the</w:t>
      </w:r>
      <w:r w:rsidR="000E21EC">
        <w:t xml:space="preserve"> </w:t>
      </w:r>
      <w:r>
        <w:t>Government</w:t>
      </w:r>
      <w:r w:rsidR="000E21EC">
        <w:t xml:space="preserve"> </w:t>
      </w:r>
      <w:r>
        <w:t>is</w:t>
      </w:r>
      <w:r w:rsidR="000E21EC">
        <w:t xml:space="preserve"> </w:t>
      </w:r>
      <w:r>
        <w:t>recognised</w:t>
      </w:r>
      <w:r w:rsidR="000E21EC">
        <w:t xml:space="preserve"> </w:t>
      </w:r>
      <w:r>
        <w:t>when</w:t>
      </w:r>
      <w:r w:rsidR="000E21EC">
        <w:t xml:space="preserve"> </w:t>
      </w:r>
      <w:r>
        <w:t>those</w:t>
      </w:r>
      <w:r w:rsidR="000E21EC">
        <w:t xml:space="preserve"> </w:t>
      </w:r>
      <w:r>
        <w:t>outputs</w:t>
      </w:r>
      <w:r w:rsidR="000E21EC">
        <w:t xml:space="preserve"> </w:t>
      </w:r>
      <w:r>
        <w:t>have</w:t>
      </w:r>
      <w:r w:rsidR="000E21EC">
        <w:t xml:space="preserve"> </w:t>
      </w:r>
      <w:r>
        <w:t>been</w:t>
      </w:r>
      <w:r w:rsidR="000E21EC">
        <w:t xml:space="preserve"> </w:t>
      </w:r>
      <w:r>
        <w:t>delivered</w:t>
      </w:r>
      <w:r w:rsidR="000E21EC">
        <w:t xml:space="preserve"> </w:t>
      </w:r>
      <w:r>
        <w:t>and</w:t>
      </w:r>
      <w:r w:rsidR="000E21EC">
        <w:t xml:space="preserve"> </w:t>
      </w:r>
      <w:r>
        <w:t>the</w:t>
      </w:r>
      <w:r w:rsidR="000E21EC">
        <w:t xml:space="preserve"> </w:t>
      </w:r>
      <w:r>
        <w:t>relevant</w:t>
      </w:r>
      <w:r w:rsidR="000E21EC">
        <w:t xml:space="preserve"> </w:t>
      </w:r>
      <w:r>
        <w:t>minister</w:t>
      </w:r>
      <w:r w:rsidR="000E21EC">
        <w:t xml:space="preserve"> </w:t>
      </w:r>
      <w:r>
        <w:t>has</w:t>
      </w:r>
      <w:r w:rsidR="000E21EC">
        <w:t xml:space="preserve"> </w:t>
      </w:r>
      <w:r>
        <w:t>certified</w:t>
      </w:r>
      <w:r w:rsidR="000E21EC">
        <w:t xml:space="preserve"> </w:t>
      </w:r>
      <w:r>
        <w:t>delivery</w:t>
      </w:r>
      <w:r w:rsidR="000E21EC">
        <w:t xml:space="preserve"> </w:t>
      </w:r>
      <w:r>
        <w:t>of</w:t>
      </w:r>
      <w:r w:rsidR="000E21EC">
        <w:t xml:space="preserve"> </w:t>
      </w:r>
      <w:r>
        <w:t>those</w:t>
      </w:r>
      <w:r w:rsidR="000E21EC">
        <w:t xml:space="preserve"> </w:t>
      </w:r>
      <w:r>
        <w:t>outputs</w:t>
      </w:r>
      <w:r w:rsidR="000E21EC">
        <w:t xml:space="preserve"> </w:t>
      </w:r>
      <w:r>
        <w:t>in</w:t>
      </w:r>
      <w:r w:rsidR="000E21EC">
        <w:t xml:space="preserve"> </w:t>
      </w:r>
      <w:r>
        <w:t>accordance</w:t>
      </w:r>
      <w:r w:rsidR="000E21EC">
        <w:t xml:space="preserve"> </w:t>
      </w:r>
      <w:r>
        <w:t>with</w:t>
      </w:r>
      <w:r w:rsidR="000E21EC">
        <w:t xml:space="preserve"> </w:t>
      </w:r>
      <w:r>
        <w:t>specified</w:t>
      </w:r>
      <w:r w:rsidR="000E21EC">
        <w:t xml:space="preserve"> </w:t>
      </w:r>
      <w:r>
        <w:t>performance</w:t>
      </w:r>
      <w:r w:rsidR="000E21EC">
        <w:t xml:space="preserve"> </w:t>
      </w:r>
      <w:r>
        <w:t>criteria.</w:t>
      </w:r>
    </w:p>
    <w:p w14:paraId="5ECF8353" w14:textId="01168154" w:rsidR="002E6DBB" w:rsidRDefault="000E21EC" w:rsidP="000E21EC">
      <w:pPr>
        <w:pStyle w:val="Heading3"/>
      </w:pPr>
      <w:bookmarkStart w:id="257" w:name="_Toc62808136"/>
      <w:r>
        <w:t>Special Appropriations</w:t>
      </w:r>
      <w:bookmarkEnd w:id="257"/>
    </w:p>
    <w:p w14:paraId="55C981CA" w14:textId="6505595D" w:rsidR="00417B1B" w:rsidRDefault="002E6DBB" w:rsidP="00417B1B">
      <w:pPr>
        <w:pStyle w:val="BodyText"/>
      </w:pPr>
      <w:r>
        <w:t>Income</w:t>
      </w:r>
      <w:r w:rsidR="000E21EC">
        <w:t xml:space="preserve"> </w:t>
      </w:r>
      <w:r>
        <w:t>from</w:t>
      </w:r>
      <w:r w:rsidR="000E21EC">
        <w:t xml:space="preserve"> </w:t>
      </w:r>
      <w:r>
        <w:t>special</w:t>
      </w:r>
      <w:r w:rsidR="000E21EC">
        <w:t xml:space="preserve"> </w:t>
      </w:r>
      <w:r>
        <w:t>appropriations</w:t>
      </w:r>
      <w:r w:rsidR="000E21EC">
        <w:t xml:space="preserve"> </w:t>
      </w:r>
      <w:r>
        <w:t>is</w:t>
      </w:r>
      <w:r w:rsidR="000E21EC">
        <w:t xml:space="preserve"> </w:t>
      </w:r>
      <w:r>
        <w:t>recognised</w:t>
      </w:r>
      <w:r w:rsidR="000E21EC">
        <w:t xml:space="preserve"> </w:t>
      </w:r>
      <w:r>
        <w:t>on</w:t>
      </w:r>
      <w:r w:rsidR="000E21EC">
        <w:t xml:space="preserve"> </w:t>
      </w:r>
      <w:r>
        <w:t>a</w:t>
      </w:r>
      <w:r w:rsidR="000E21EC">
        <w:t xml:space="preserve"> </w:t>
      </w:r>
      <w:r>
        <w:t>cash</w:t>
      </w:r>
      <w:r w:rsidR="000E21EC">
        <w:t xml:space="preserve"> </w:t>
      </w:r>
      <w:r>
        <w:t>basis,</w:t>
      </w:r>
      <w:r w:rsidR="000E21EC">
        <w:t xml:space="preserve"> </w:t>
      </w:r>
      <w:r>
        <w:t>with</w:t>
      </w:r>
      <w:r w:rsidR="000E21EC">
        <w:t xml:space="preserve"> </w:t>
      </w:r>
      <w:r>
        <w:t>the</w:t>
      </w:r>
      <w:r w:rsidR="000E21EC">
        <w:t xml:space="preserve"> </w:t>
      </w:r>
      <w:r>
        <w:t>exception</w:t>
      </w:r>
      <w:r w:rsidR="000E21EC">
        <w:t xml:space="preserve"> </w:t>
      </w:r>
      <w:r>
        <w:t>of</w:t>
      </w:r>
      <w:r w:rsidR="000E21EC">
        <w:t xml:space="preserve"> </w:t>
      </w:r>
      <w:r>
        <w:t>long</w:t>
      </w:r>
      <w:r w:rsidR="000E21EC">
        <w:t xml:space="preserve"> </w:t>
      </w:r>
      <w:r>
        <w:t>service</w:t>
      </w:r>
      <w:r w:rsidR="000E21EC">
        <w:t xml:space="preserve"> </w:t>
      </w:r>
      <w:r>
        <w:t>leave</w:t>
      </w:r>
      <w:r w:rsidR="000E21EC">
        <w:t xml:space="preserve"> </w:t>
      </w:r>
      <w:r>
        <w:t>and</w:t>
      </w:r>
      <w:r w:rsidR="000E21EC">
        <w:t xml:space="preserve"> </w:t>
      </w:r>
      <w:r>
        <w:t>annual</w:t>
      </w:r>
      <w:r w:rsidR="000E21EC">
        <w:t xml:space="preserve"> </w:t>
      </w:r>
      <w:r>
        <w:t>leave</w:t>
      </w:r>
      <w:r w:rsidR="000E21EC">
        <w:t xml:space="preserve"> </w:t>
      </w:r>
      <w:r>
        <w:t>which</w:t>
      </w:r>
      <w:r w:rsidR="000E21EC">
        <w:t xml:space="preserve"> </w:t>
      </w:r>
      <w:r>
        <w:t>includes</w:t>
      </w:r>
      <w:r w:rsidR="000E21EC">
        <w:t xml:space="preserve"> </w:t>
      </w:r>
      <w:r>
        <w:t>income</w:t>
      </w:r>
      <w:r w:rsidR="000E21EC">
        <w:t xml:space="preserve"> </w:t>
      </w:r>
      <w:r>
        <w:t>for</w:t>
      </w:r>
      <w:r w:rsidR="000E21EC">
        <w:t xml:space="preserve"> </w:t>
      </w:r>
      <w:r>
        <w:t>unpaid</w:t>
      </w:r>
      <w:r w:rsidR="000E21EC">
        <w:t xml:space="preserve"> </w:t>
      </w:r>
      <w:r>
        <w:t>leave</w:t>
      </w:r>
      <w:r w:rsidR="000E21EC">
        <w:t xml:space="preserve"> </w:t>
      </w:r>
      <w:r>
        <w:t>on</w:t>
      </w:r>
      <w:r w:rsidR="000E21EC">
        <w:t xml:space="preserve"> </w:t>
      </w:r>
      <w:r>
        <w:t>an</w:t>
      </w:r>
      <w:r w:rsidR="000E21EC">
        <w:t xml:space="preserve"> </w:t>
      </w:r>
      <w:r>
        <w:t>accrual</w:t>
      </w:r>
      <w:r w:rsidR="000E21EC">
        <w:t xml:space="preserve"> </w:t>
      </w:r>
      <w:r>
        <w:t>basis.</w:t>
      </w:r>
    </w:p>
    <w:p w14:paraId="714F79A9" w14:textId="77777777" w:rsidR="00E952AB" w:rsidRDefault="00E952AB" w:rsidP="00417B1B">
      <w:pPr>
        <w:pStyle w:val="Heading3"/>
        <w:sectPr w:rsidR="00E952AB" w:rsidSect="00AC0BBF">
          <w:headerReference w:type="even" r:id="rId38"/>
          <w:headerReference w:type="default" r:id="rId39"/>
          <w:footerReference w:type="even" r:id="rId40"/>
          <w:footerReference w:type="default" r:id="rId41"/>
          <w:headerReference w:type="first" r:id="rId42"/>
          <w:footerReference w:type="first" r:id="rId43"/>
          <w:pgSz w:w="11910" w:h="16840" w:code="9"/>
          <w:pgMar w:top="1134" w:right="1134" w:bottom="1134" w:left="1134" w:header="567" w:footer="567" w:gutter="0"/>
          <w:cols w:space="720"/>
        </w:sectPr>
      </w:pPr>
    </w:p>
    <w:p w14:paraId="37F9AC76" w14:textId="0325B3DB" w:rsidR="00E952AB" w:rsidRDefault="00417B1B" w:rsidP="00417B1B">
      <w:pPr>
        <w:pStyle w:val="Heading3"/>
      </w:pPr>
      <w:bookmarkStart w:id="258" w:name="_Ref22643389"/>
      <w:bookmarkStart w:id="259" w:name="_Toc62808137"/>
      <w:r w:rsidRPr="00E935F4">
        <w:t xml:space="preserve">Note </w:t>
      </w:r>
      <w:bookmarkStart w:id="260" w:name="Note23"/>
      <w:r w:rsidRPr="00E935F4">
        <w:t>2.3</w:t>
      </w:r>
      <w:bookmarkEnd w:id="260"/>
      <w:r w:rsidRPr="00E935F4">
        <w:t xml:space="preserve"> Summary </w:t>
      </w:r>
      <w:r w:rsidR="00172429" w:rsidRPr="00E935F4">
        <w:t>of</w:t>
      </w:r>
      <w:r w:rsidR="005F65A1" w:rsidRPr="00E935F4">
        <w:t xml:space="preserve"> Compliance wi</w:t>
      </w:r>
      <w:r w:rsidRPr="00E935F4">
        <w:t xml:space="preserve">th Annual Parliamentary </w:t>
      </w:r>
      <w:r w:rsidR="00D45E5B" w:rsidRPr="00E935F4">
        <w:t xml:space="preserve">and </w:t>
      </w:r>
      <w:r w:rsidRPr="00E935F4">
        <w:t>Special Appropriations</w:t>
      </w:r>
      <w:bookmarkEnd w:id="258"/>
      <w:bookmarkEnd w:id="259"/>
    </w:p>
    <w:p w14:paraId="6639541E" w14:textId="084CBD0D" w:rsidR="00FA6E57" w:rsidRDefault="00FA6E57" w:rsidP="00FA6E57">
      <w:pPr>
        <w:pStyle w:val="BodyText"/>
      </w:pPr>
      <w:r>
        <w:t xml:space="preserve">The following table discloses the details of the various annual Parliamentary appropriations received by </w:t>
      </w:r>
      <w:r w:rsidR="009B1462">
        <w:t>Court Services Victoria</w:t>
      </w:r>
      <w:r>
        <w:t xml:space="preserve"> for the year.</w:t>
      </w:r>
    </w:p>
    <w:p w14:paraId="6376AD6D" w14:textId="679705F8" w:rsidR="00FA6E57" w:rsidRDefault="00FA6E57" w:rsidP="00FA6E57">
      <w:pPr>
        <w:pStyle w:val="BodyText"/>
      </w:pPr>
      <w:r>
        <w:t xml:space="preserve">In accordance with accrual output-based management procedures, ‘provision of outputs’ and ‘additions to net assets’ are disclosed as ‘controlled’ activities of </w:t>
      </w:r>
      <w:r w:rsidR="009B1462">
        <w:t>Court Services Victoria</w:t>
      </w:r>
      <w:r>
        <w:t xml:space="preserve">. Administered transactions are those that are undertaken on behalf of the State over which </w:t>
      </w:r>
      <w:r w:rsidR="009B1462">
        <w:t>Court Services Victoria</w:t>
      </w:r>
      <w:r>
        <w:t xml:space="preserve"> has no control or discretion</w:t>
      </w:r>
      <w:r w:rsidR="008B26A5">
        <w:t>.</w:t>
      </w:r>
    </w:p>
    <w:p w14:paraId="6585337C" w14:textId="70F7A9E5" w:rsidR="000A6DCB" w:rsidRDefault="000A6DCB">
      <w:r>
        <w:t>20</w:t>
      </w:r>
      <w:r w:rsidR="0019520B">
        <w:t>20</w:t>
      </w:r>
    </w:p>
    <w:tbl>
      <w:tblPr>
        <w:tblStyle w:val="AccessibleTableNumerical"/>
        <w:tblW w:w="5000" w:type="pct"/>
        <w:tblLook w:val="04A0" w:firstRow="1" w:lastRow="0" w:firstColumn="1" w:lastColumn="0" w:noHBand="0" w:noVBand="1"/>
      </w:tblPr>
      <w:tblGrid>
        <w:gridCol w:w="2155"/>
        <w:gridCol w:w="2240"/>
        <w:gridCol w:w="1844"/>
        <w:gridCol w:w="1559"/>
        <w:gridCol w:w="1417"/>
        <w:gridCol w:w="1559"/>
        <w:gridCol w:w="1702"/>
        <w:gridCol w:w="1697"/>
        <w:gridCol w:w="1844"/>
        <w:gridCol w:w="2128"/>
        <w:gridCol w:w="1844"/>
        <w:gridCol w:w="1551"/>
      </w:tblGrid>
      <w:tr w:rsidR="00976366" w:rsidRPr="003045FF" w14:paraId="3F2E0B8E" w14:textId="77777777" w:rsidTr="009763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 w:type="pct"/>
          </w:tcPr>
          <w:p w14:paraId="60CB3650" w14:textId="1BC6EDE1" w:rsidR="00417B1B" w:rsidRPr="003045FF" w:rsidRDefault="000A6DCB" w:rsidP="000A6DCB">
            <w:pPr>
              <w:pStyle w:val="TableText"/>
            </w:pPr>
            <w:bookmarkStart w:id="261" w:name="ColumnTitle_48"/>
            <w:r w:rsidRPr="003045FF">
              <w:t>Item</w:t>
            </w:r>
          </w:p>
        </w:tc>
        <w:tc>
          <w:tcPr>
            <w:tcW w:w="520" w:type="pct"/>
            <w:vAlign w:val="bottom"/>
          </w:tcPr>
          <w:p w14:paraId="6EEF763F" w14:textId="414B0859" w:rsidR="00417B1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Appropriation Act </w:t>
            </w:r>
            <w:r w:rsidR="000A6DCB" w:rsidRPr="003045FF">
              <w:br/>
            </w:r>
            <w:r w:rsidRPr="003045FF">
              <w:t xml:space="preserve">Annual </w:t>
            </w:r>
            <w:r w:rsidR="00417B1B" w:rsidRPr="003045FF">
              <w:t xml:space="preserve">appropriation </w:t>
            </w:r>
            <w:r w:rsidR="000A6DCB" w:rsidRPr="003045FF">
              <w:br/>
            </w:r>
            <w:r w:rsidR="00417B1B" w:rsidRPr="003045FF">
              <w:t>$’000</w:t>
            </w:r>
          </w:p>
        </w:tc>
        <w:tc>
          <w:tcPr>
            <w:tcW w:w="428" w:type="pct"/>
            <w:vAlign w:val="bottom"/>
          </w:tcPr>
          <w:p w14:paraId="73985142" w14:textId="616506E6" w:rsidR="00417B1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Appropriation Act</w:t>
            </w:r>
            <w:r w:rsidRPr="003045FF">
              <w:br/>
              <w:t>Advance from Treasurer</w:t>
            </w:r>
            <w:r w:rsidRPr="003045FF">
              <w:br/>
            </w:r>
            <w:r w:rsidR="00417B1B" w:rsidRPr="003045FF">
              <w:t>$’000</w:t>
            </w:r>
          </w:p>
        </w:tc>
        <w:tc>
          <w:tcPr>
            <w:tcW w:w="362" w:type="pct"/>
            <w:vAlign w:val="bottom"/>
          </w:tcPr>
          <w:p w14:paraId="35725347" w14:textId="42684AEC" w:rsidR="00417B1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Financial Management Act 1994 </w:t>
            </w:r>
            <w:r w:rsidR="00417B1B" w:rsidRPr="003045FF">
              <w:t>Section 28 $’000</w:t>
            </w:r>
          </w:p>
        </w:tc>
        <w:tc>
          <w:tcPr>
            <w:tcW w:w="329" w:type="pct"/>
            <w:vAlign w:val="bottom"/>
          </w:tcPr>
          <w:p w14:paraId="7DF19FD5" w14:textId="00C46F48" w:rsidR="00417B1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Financial Management Act 1994 </w:t>
            </w:r>
            <w:r w:rsidR="00417B1B" w:rsidRPr="003045FF">
              <w:t>Section 29 $’000</w:t>
            </w:r>
          </w:p>
        </w:tc>
        <w:tc>
          <w:tcPr>
            <w:tcW w:w="362" w:type="pct"/>
            <w:vAlign w:val="bottom"/>
          </w:tcPr>
          <w:p w14:paraId="398DB4CD" w14:textId="0AEDC1A6" w:rsidR="00417B1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Financial Management Act 1994 </w:t>
            </w:r>
            <w:r w:rsidR="00417B1B" w:rsidRPr="003045FF">
              <w:t>Section 31A $’000</w:t>
            </w:r>
          </w:p>
        </w:tc>
        <w:tc>
          <w:tcPr>
            <w:tcW w:w="395" w:type="pct"/>
            <w:vAlign w:val="bottom"/>
          </w:tcPr>
          <w:p w14:paraId="0C5DF138" w14:textId="5F90F903" w:rsidR="00417B1B" w:rsidRPr="003045FF" w:rsidRDefault="00976366" w:rsidP="005F65A1">
            <w:pPr>
              <w:pStyle w:val="TableText"/>
              <w:cnfStyle w:val="100000000000" w:firstRow="1" w:lastRow="0" w:firstColumn="0" w:lastColumn="0" w:oddVBand="0" w:evenVBand="0" w:oddHBand="0" w:evenHBand="0" w:firstRowFirstColumn="0" w:firstRowLastColumn="0" w:lastRowFirstColumn="0" w:lastRowLastColumn="0"/>
            </w:pPr>
            <w:r>
              <w:t>Financial Management</w:t>
            </w:r>
            <w:r>
              <w:br/>
              <w:t>Act 1994</w:t>
            </w:r>
            <w:r>
              <w:br/>
              <w:t>Section 32</w:t>
            </w:r>
            <w:r>
              <w:br/>
            </w:r>
            <w:r w:rsidR="00417B1B" w:rsidRPr="003045FF">
              <w:t>$’000</w:t>
            </w:r>
          </w:p>
        </w:tc>
        <w:tc>
          <w:tcPr>
            <w:tcW w:w="394" w:type="pct"/>
            <w:vAlign w:val="bottom"/>
          </w:tcPr>
          <w:p w14:paraId="0AFBB588" w14:textId="364A985F" w:rsidR="00417B1B" w:rsidRPr="003045FF" w:rsidRDefault="000A6DCB" w:rsidP="00976366">
            <w:pPr>
              <w:pStyle w:val="TableText"/>
              <w:cnfStyle w:val="100000000000" w:firstRow="1" w:lastRow="0" w:firstColumn="0" w:lastColumn="0" w:oddVBand="0" w:evenVBand="0" w:oddHBand="0" w:evenHBand="0" w:firstRowFirstColumn="0" w:firstRowLastColumn="0" w:lastRowFirstColumn="0" w:lastRowLastColumn="0"/>
            </w:pPr>
            <w:r w:rsidRPr="0019520B">
              <w:t>Financial Management</w:t>
            </w:r>
            <w:r w:rsidR="00976366" w:rsidRPr="0019520B">
              <w:br/>
              <w:t>Act 1994</w:t>
            </w:r>
            <w:r w:rsidR="00976366" w:rsidRPr="0019520B">
              <w:br/>
            </w:r>
            <w:r w:rsidR="00417B1B" w:rsidRPr="0019520B">
              <w:t>Section 34</w:t>
            </w:r>
            <w:hyperlink w:anchor="Note23note1" w:history="1">
              <w:r w:rsidR="00E935F4" w:rsidRPr="00E935F4">
                <w:rPr>
                  <w:vertAlign w:val="superscript"/>
                </w:rPr>
                <w:t>(1)</w:t>
              </w:r>
            </w:hyperlink>
            <w:r w:rsidR="00417B1B" w:rsidRPr="0019520B">
              <w:t xml:space="preserve"> $’000</w:t>
            </w:r>
          </w:p>
        </w:tc>
        <w:tc>
          <w:tcPr>
            <w:tcW w:w="428" w:type="pct"/>
            <w:vAlign w:val="bottom"/>
          </w:tcPr>
          <w:p w14:paraId="756FE11E" w14:textId="5D7F4D93" w:rsidR="00417B1B" w:rsidRPr="003045FF" w:rsidRDefault="00976366" w:rsidP="005F65A1">
            <w:pPr>
              <w:pStyle w:val="TableText"/>
              <w:cnfStyle w:val="100000000000" w:firstRow="1" w:lastRow="0" w:firstColumn="0" w:lastColumn="0" w:oddVBand="0" w:evenVBand="0" w:oddHBand="0" w:evenHBand="0" w:firstRowFirstColumn="0" w:firstRowLastColumn="0" w:lastRowFirstColumn="0" w:lastRowLastColumn="0"/>
            </w:pPr>
            <w:r>
              <w:t>Financial Management</w:t>
            </w:r>
            <w:r>
              <w:br/>
              <w:t>Act 1994</w:t>
            </w:r>
            <w:r>
              <w:br/>
              <w:t>Section 35</w:t>
            </w:r>
            <w:r>
              <w:br/>
            </w:r>
            <w:r w:rsidR="00417B1B" w:rsidRPr="003045FF">
              <w:t>$’000</w:t>
            </w:r>
          </w:p>
        </w:tc>
        <w:tc>
          <w:tcPr>
            <w:tcW w:w="494" w:type="pct"/>
            <w:vAlign w:val="bottom"/>
          </w:tcPr>
          <w:p w14:paraId="601C3D5F" w14:textId="31A4D91D" w:rsidR="00417B1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Financial </w:t>
            </w:r>
            <w:r w:rsidR="000A6DCB" w:rsidRPr="003045FF">
              <w:t xml:space="preserve">Management </w:t>
            </w:r>
            <w:r w:rsidR="000A6DCB" w:rsidRPr="003045FF">
              <w:br/>
            </w:r>
            <w:r w:rsidRPr="003045FF">
              <w:t>Act 1994</w:t>
            </w:r>
            <w:r w:rsidRPr="003045FF">
              <w:br/>
            </w:r>
            <w:r w:rsidR="00417B1B" w:rsidRPr="003045FF">
              <w:t xml:space="preserve">Total Parliamentary </w:t>
            </w:r>
            <w:r w:rsidR="000A6DCB" w:rsidRPr="003045FF">
              <w:br/>
            </w:r>
            <w:r w:rsidRPr="003045FF">
              <w:t>authority</w:t>
            </w:r>
            <w:r w:rsidRPr="003045FF">
              <w:br/>
            </w:r>
            <w:r w:rsidR="00417B1B" w:rsidRPr="003045FF">
              <w:t>$’000</w:t>
            </w:r>
          </w:p>
        </w:tc>
        <w:tc>
          <w:tcPr>
            <w:tcW w:w="428" w:type="pct"/>
            <w:vAlign w:val="bottom"/>
          </w:tcPr>
          <w:p w14:paraId="366B60EB" w14:textId="3143AD4C" w:rsidR="00417B1B" w:rsidRPr="005F2F4D"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5F2F4D">
              <w:t xml:space="preserve">Financial </w:t>
            </w:r>
            <w:r w:rsidR="000A6DCB" w:rsidRPr="005F2F4D">
              <w:t xml:space="preserve">Management </w:t>
            </w:r>
            <w:r w:rsidR="000A6DCB" w:rsidRPr="005F2F4D">
              <w:br/>
              <w:t xml:space="preserve">Act 1994 </w:t>
            </w:r>
            <w:r w:rsidR="000A6DCB" w:rsidRPr="005F2F4D">
              <w:br/>
            </w:r>
            <w:r w:rsidRPr="005F2F4D">
              <w:t>Appropriations applied</w:t>
            </w:r>
            <w:hyperlink w:anchor="Note23note3" w:history="1">
              <w:r w:rsidR="005F2F4D" w:rsidRPr="005F2F4D">
                <w:rPr>
                  <w:vertAlign w:val="superscript"/>
                </w:rPr>
                <w:t>(3)</w:t>
              </w:r>
            </w:hyperlink>
            <w:r w:rsidR="005F2F4D">
              <w:rPr>
                <w:vertAlign w:val="superscript"/>
              </w:rPr>
              <w:br/>
            </w:r>
            <w:r w:rsidR="00417B1B" w:rsidRPr="005F2F4D">
              <w:t>$’000</w:t>
            </w:r>
          </w:p>
        </w:tc>
        <w:tc>
          <w:tcPr>
            <w:tcW w:w="360" w:type="pct"/>
            <w:vAlign w:val="bottom"/>
          </w:tcPr>
          <w:p w14:paraId="5071F76E" w14:textId="118D8BFC" w:rsidR="00417B1B" w:rsidRPr="005F2F4D" w:rsidRDefault="005F65A1" w:rsidP="003045FF">
            <w:pPr>
              <w:pStyle w:val="TableText"/>
              <w:cnfStyle w:val="100000000000" w:firstRow="1" w:lastRow="0" w:firstColumn="0" w:lastColumn="0" w:oddVBand="0" w:evenVBand="0" w:oddHBand="0" w:evenHBand="0" w:firstRowFirstColumn="0" w:firstRowLastColumn="0" w:lastRowFirstColumn="0" w:lastRowLastColumn="0"/>
            </w:pPr>
            <w:r w:rsidRPr="005F2F4D">
              <w:t>Financial Management Act 1994</w:t>
            </w:r>
            <w:r w:rsidRPr="005F2F4D">
              <w:br/>
            </w:r>
            <w:r w:rsidR="00417B1B" w:rsidRPr="005F2F4D">
              <w:t>Variance</w:t>
            </w:r>
            <w:hyperlink w:anchor="Note23note2" w:history="1">
              <w:r w:rsidR="005F2F4D" w:rsidRPr="005F2F4D">
                <w:rPr>
                  <w:vertAlign w:val="superscript"/>
                </w:rPr>
                <w:t>(2)</w:t>
              </w:r>
            </w:hyperlink>
            <w:r w:rsidRPr="005F2F4D">
              <w:br/>
            </w:r>
            <w:r w:rsidR="00417B1B" w:rsidRPr="005F2F4D">
              <w:t>$’000</w:t>
            </w:r>
          </w:p>
        </w:tc>
      </w:tr>
      <w:bookmarkEnd w:id="261"/>
      <w:tr w:rsidR="00976366" w:rsidRPr="003045FF" w14:paraId="68A16F5A" w14:textId="77777777" w:rsidTr="00976366">
        <w:tc>
          <w:tcPr>
            <w:cnfStyle w:val="001000000000" w:firstRow="0" w:lastRow="0" w:firstColumn="1" w:lastColumn="0" w:oddVBand="0" w:evenVBand="0" w:oddHBand="0" w:evenHBand="0" w:firstRowFirstColumn="0" w:firstRowLastColumn="0" w:lastRowFirstColumn="0" w:lastRowLastColumn="0"/>
            <w:tcW w:w="500" w:type="pct"/>
          </w:tcPr>
          <w:p w14:paraId="647E2332" w14:textId="5442E5C2" w:rsidR="00417B1B" w:rsidRPr="003045FF" w:rsidRDefault="00417B1B" w:rsidP="000A6DCB">
            <w:pPr>
              <w:pStyle w:val="TableText"/>
              <w:rPr>
                <w:rStyle w:val="Bold"/>
              </w:rPr>
            </w:pPr>
            <w:r w:rsidRPr="003045FF">
              <w:rPr>
                <w:rStyle w:val="Bold"/>
              </w:rPr>
              <w:t>Controlled</w:t>
            </w:r>
          </w:p>
        </w:tc>
        <w:tc>
          <w:tcPr>
            <w:tcW w:w="520" w:type="pct"/>
          </w:tcPr>
          <w:p w14:paraId="5619227C" w14:textId="3D82994A"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428" w:type="pct"/>
          </w:tcPr>
          <w:p w14:paraId="1D4CC96A" w14:textId="563F8E6A"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62" w:type="pct"/>
          </w:tcPr>
          <w:p w14:paraId="25D79D3C" w14:textId="5F474CE0"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29" w:type="pct"/>
          </w:tcPr>
          <w:p w14:paraId="5BB7C356" w14:textId="4D5D1B72"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62" w:type="pct"/>
          </w:tcPr>
          <w:p w14:paraId="33CDB174" w14:textId="07F2B7BD"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95" w:type="pct"/>
          </w:tcPr>
          <w:p w14:paraId="751D889A" w14:textId="057F808A"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94" w:type="pct"/>
          </w:tcPr>
          <w:p w14:paraId="090E7781" w14:textId="0772EE6D"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428" w:type="pct"/>
          </w:tcPr>
          <w:p w14:paraId="0B0B5793" w14:textId="5F31793A"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494" w:type="pct"/>
          </w:tcPr>
          <w:p w14:paraId="4D2B4F5C" w14:textId="080497AA"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428" w:type="pct"/>
          </w:tcPr>
          <w:p w14:paraId="119055AA" w14:textId="333B1652"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c>
          <w:tcPr>
            <w:tcW w:w="360" w:type="pct"/>
          </w:tcPr>
          <w:p w14:paraId="69331B0B" w14:textId="7CD41F27" w:rsidR="00417B1B" w:rsidRPr="003045FF"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3045FF">
              <w:t>N/A</w:t>
            </w:r>
          </w:p>
        </w:tc>
      </w:tr>
      <w:tr w:rsidR="00976366" w:rsidRPr="003045FF" w14:paraId="158E09FF" w14:textId="77777777" w:rsidTr="00976366">
        <w:tc>
          <w:tcPr>
            <w:cnfStyle w:val="001000000000" w:firstRow="0" w:lastRow="0" w:firstColumn="1" w:lastColumn="0" w:oddVBand="0" w:evenVBand="0" w:oddHBand="0" w:evenHBand="0" w:firstRowFirstColumn="0" w:firstRowLastColumn="0" w:lastRowFirstColumn="0" w:lastRowLastColumn="0"/>
            <w:tcW w:w="500" w:type="pct"/>
          </w:tcPr>
          <w:p w14:paraId="1439C14A" w14:textId="77777777" w:rsidR="00417B1B" w:rsidRPr="003045FF" w:rsidRDefault="00417B1B" w:rsidP="000A6DCB">
            <w:pPr>
              <w:pStyle w:val="TableText"/>
            </w:pPr>
            <w:r w:rsidRPr="003045FF">
              <w:t>Provision of outputs</w:t>
            </w:r>
          </w:p>
        </w:tc>
        <w:tc>
          <w:tcPr>
            <w:tcW w:w="520" w:type="pct"/>
          </w:tcPr>
          <w:p w14:paraId="06B8F573" w14:textId="437A6B26"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405,029</w:t>
            </w:r>
          </w:p>
        </w:tc>
        <w:tc>
          <w:tcPr>
            <w:tcW w:w="428" w:type="pct"/>
          </w:tcPr>
          <w:p w14:paraId="00ACEDC9" w14:textId="4987BDE1"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10,559</w:t>
            </w:r>
          </w:p>
        </w:tc>
        <w:tc>
          <w:tcPr>
            <w:tcW w:w="362" w:type="pct"/>
          </w:tcPr>
          <w:p w14:paraId="052AE38F"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3045FF">
              <w:t>0</w:t>
            </w:r>
          </w:p>
        </w:tc>
        <w:tc>
          <w:tcPr>
            <w:tcW w:w="329" w:type="pct"/>
          </w:tcPr>
          <w:p w14:paraId="59688684" w14:textId="0364BD08"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71,566</w:t>
            </w:r>
          </w:p>
        </w:tc>
        <w:tc>
          <w:tcPr>
            <w:tcW w:w="362" w:type="pct"/>
          </w:tcPr>
          <w:p w14:paraId="19FD69AE" w14:textId="5F83B8BD"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1,986</w:t>
            </w:r>
          </w:p>
        </w:tc>
        <w:tc>
          <w:tcPr>
            <w:tcW w:w="395" w:type="pct"/>
          </w:tcPr>
          <w:p w14:paraId="29CBE5C5" w14:textId="4B17EDEB"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5,549</w:t>
            </w:r>
          </w:p>
        </w:tc>
        <w:tc>
          <w:tcPr>
            <w:tcW w:w="394" w:type="pct"/>
          </w:tcPr>
          <w:p w14:paraId="0E3A7AD4" w14:textId="7B65BF19"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(10,408)</w:t>
            </w:r>
          </w:p>
        </w:tc>
        <w:tc>
          <w:tcPr>
            <w:tcW w:w="428" w:type="pct"/>
          </w:tcPr>
          <w:p w14:paraId="7486DCB2"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3045FF">
              <w:t>0</w:t>
            </w:r>
          </w:p>
        </w:tc>
        <w:tc>
          <w:tcPr>
            <w:tcW w:w="494" w:type="pct"/>
          </w:tcPr>
          <w:p w14:paraId="74CD9604" w14:textId="5D04ABE7"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484,281</w:t>
            </w:r>
          </w:p>
        </w:tc>
        <w:tc>
          <w:tcPr>
            <w:tcW w:w="428" w:type="pct"/>
          </w:tcPr>
          <w:p w14:paraId="0E011350" w14:textId="6320F5A1"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480,167</w:t>
            </w:r>
          </w:p>
        </w:tc>
        <w:tc>
          <w:tcPr>
            <w:tcW w:w="360" w:type="pct"/>
          </w:tcPr>
          <w:p w14:paraId="5A4EA147" w14:textId="40F3421D"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4,114</w:t>
            </w:r>
          </w:p>
        </w:tc>
      </w:tr>
      <w:tr w:rsidR="00976366" w:rsidRPr="003045FF" w14:paraId="413B7933" w14:textId="77777777" w:rsidTr="00D46E6D">
        <w:tc>
          <w:tcPr>
            <w:cnfStyle w:val="001000000000" w:firstRow="0" w:lastRow="0" w:firstColumn="1" w:lastColumn="0" w:oddVBand="0" w:evenVBand="0" w:oddHBand="0" w:evenHBand="0" w:firstRowFirstColumn="0" w:firstRowLastColumn="0" w:lastRowFirstColumn="0" w:lastRowLastColumn="0"/>
            <w:tcW w:w="500" w:type="pct"/>
            <w:tcBorders>
              <w:bottom w:val="single" w:sz="4" w:space="0" w:color="auto"/>
            </w:tcBorders>
          </w:tcPr>
          <w:p w14:paraId="05223004" w14:textId="77777777" w:rsidR="00417B1B" w:rsidRPr="003045FF" w:rsidRDefault="00417B1B" w:rsidP="000A6DCB">
            <w:pPr>
              <w:pStyle w:val="TableText"/>
            </w:pPr>
            <w:r w:rsidRPr="003045FF">
              <w:t>Additions to net assets</w:t>
            </w:r>
          </w:p>
        </w:tc>
        <w:tc>
          <w:tcPr>
            <w:tcW w:w="520" w:type="pct"/>
            <w:tcBorders>
              <w:bottom w:val="single" w:sz="4" w:space="0" w:color="auto"/>
            </w:tcBorders>
          </w:tcPr>
          <w:p w14:paraId="0B98BBA9" w14:textId="7748BC90"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79,266</w:t>
            </w:r>
          </w:p>
        </w:tc>
        <w:tc>
          <w:tcPr>
            <w:tcW w:w="428" w:type="pct"/>
            <w:tcBorders>
              <w:bottom w:val="single" w:sz="4" w:space="0" w:color="auto"/>
            </w:tcBorders>
          </w:tcPr>
          <w:p w14:paraId="7D63EA54" w14:textId="2016F0FE"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385</w:t>
            </w:r>
          </w:p>
        </w:tc>
        <w:tc>
          <w:tcPr>
            <w:tcW w:w="362" w:type="pct"/>
            <w:tcBorders>
              <w:bottom w:val="single" w:sz="4" w:space="0" w:color="auto"/>
            </w:tcBorders>
          </w:tcPr>
          <w:p w14:paraId="7D219199"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3045FF">
              <w:t>0</w:t>
            </w:r>
          </w:p>
        </w:tc>
        <w:tc>
          <w:tcPr>
            <w:tcW w:w="329" w:type="pct"/>
            <w:tcBorders>
              <w:bottom w:val="single" w:sz="4" w:space="0" w:color="auto"/>
            </w:tcBorders>
          </w:tcPr>
          <w:p w14:paraId="0BDB88CE"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3045FF">
              <w:t>0</w:t>
            </w:r>
          </w:p>
        </w:tc>
        <w:tc>
          <w:tcPr>
            <w:tcW w:w="362" w:type="pct"/>
            <w:tcBorders>
              <w:bottom w:val="single" w:sz="4" w:space="0" w:color="auto"/>
            </w:tcBorders>
          </w:tcPr>
          <w:p w14:paraId="001C01CF" w14:textId="75A775AB"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(1,986)</w:t>
            </w:r>
          </w:p>
        </w:tc>
        <w:tc>
          <w:tcPr>
            <w:tcW w:w="395" w:type="pct"/>
            <w:tcBorders>
              <w:bottom w:val="single" w:sz="4" w:space="0" w:color="auto"/>
            </w:tcBorders>
          </w:tcPr>
          <w:p w14:paraId="4D7E13CD" w14:textId="699A8640"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24,034</w:t>
            </w:r>
          </w:p>
        </w:tc>
        <w:tc>
          <w:tcPr>
            <w:tcW w:w="394" w:type="pct"/>
            <w:tcBorders>
              <w:bottom w:val="single" w:sz="4" w:space="0" w:color="auto"/>
            </w:tcBorders>
          </w:tcPr>
          <w:p w14:paraId="78CA82C0" w14:textId="590A6B60"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(30,204)</w:t>
            </w:r>
          </w:p>
        </w:tc>
        <w:tc>
          <w:tcPr>
            <w:tcW w:w="428" w:type="pct"/>
            <w:tcBorders>
              <w:bottom w:val="single" w:sz="4" w:space="0" w:color="auto"/>
            </w:tcBorders>
          </w:tcPr>
          <w:p w14:paraId="0C0701D4"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3045FF">
              <w:t>0</w:t>
            </w:r>
          </w:p>
        </w:tc>
        <w:tc>
          <w:tcPr>
            <w:tcW w:w="494" w:type="pct"/>
            <w:tcBorders>
              <w:bottom w:val="single" w:sz="4" w:space="0" w:color="auto"/>
            </w:tcBorders>
          </w:tcPr>
          <w:p w14:paraId="03DDE215" w14:textId="1ED219EE"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71,495</w:t>
            </w:r>
          </w:p>
        </w:tc>
        <w:tc>
          <w:tcPr>
            <w:tcW w:w="428" w:type="pct"/>
            <w:tcBorders>
              <w:bottom w:val="single" w:sz="4" w:space="0" w:color="auto"/>
            </w:tcBorders>
          </w:tcPr>
          <w:p w14:paraId="7236FEB7" w14:textId="2CF22807"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64,155</w:t>
            </w:r>
          </w:p>
        </w:tc>
        <w:tc>
          <w:tcPr>
            <w:tcW w:w="360" w:type="pct"/>
            <w:tcBorders>
              <w:bottom w:val="single" w:sz="4" w:space="0" w:color="auto"/>
            </w:tcBorders>
          </w:tcPr>
          <w:p w14:paraId="42D6B06F" w14:textId="3FB24428"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pPr>
            <w:r>
              <w:t>7,340</w:t>
            </w:r>
          </w:p>
        </w:tc>
      </w:tr>
      <w:tr w:rsidR="00976366" w:rsidRPr="003045FF" w14:paraId="5C01A8C3" w14:textId="77777777" w:rsidTr="00D46E6D">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auto"/>
              <w:bottom w:val="single" w:sz="4" w:space="0" w:color="auto"/>
            </w:tcBorders>
          </w:tcPr>
          <w:p w14:paraId="21A5826E" w14:textId="6ED47512" w:rsidR="00417B1B" w:rsidRPr="003045FF" w:rsidRDefault="000A6DCB" w:rsidP="000A6DCB">
            <w:pPr>
              <w:pStyle w:val="TableText"/>
              <w:rPr>
                <w:rStyle w:val="Bold"/>
              </w:rPr>
            </w:pPr>
            <w:r w:rsidRPr="003045FF">
              <w:rPr>
                <w:rStyle w:val="Bold"/>
              </w:rPr>
              <w:t>Total</w:t>
            </w:r>
          </w:p>
        </w:tc>
        <w:tc>
          <w:tcPr>
            <w:tcW w:w="520" w:type="pct"/>
            <w:tcBorders>
              <w:top w:val="single" w:sz="4" w:space="0" w:color="auto"/>
              <w:bottom w:val="single" w:sz="4" w:space="0" w:color="auto"/>
            </w:tcBorders>
          </w:tcPr>
          <w:p w14:paraId="658974D3" w14:textId="314DAF20"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484,295</w:t>
            </w:r>
          </w:p>
        </w:tc>
        <w:tc>
          <w:tcPr>
            <w:tcW w:w="428" w:type="pct"/>
            <w:tcBorders>
              <w:top w:val="single" w:sz="4" w:space="0" w:color="auto"/>
              <w:bottom w:val="single" w:sz="4" w:space="0" w:color="auto"/>
            </w:tcBorders>
          </w:tcPr>
          <w:p w14:paraId="6553ABB3" w14:textId="43477D28"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10,945</w:t>
            </w:r>
          </w:p>
        </w:tc>
        <w:tc>
          <w:tcPr>
            <w:tcW w:w="362" w:type="pct"/>
            <w:tcBorders>
              <w:top w:val="single" w:sz="4" w:space="0" w:color="auto"/>
              <w:bottom w:val="single" w:sz="4" w:space="0" w:color="auto"/>
            </w:tcBorders>
          </w:tcPr>
          <w:p w14:paraId="55EEE531"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3045FF">
              <w:rPr>
                <w:rStyle w:val="Bold"/>
              </w:rPr>
              <w:t>0</w:t>
            </w:r>
          </w:p>
        </w:tc>
        <w:tc>
          <w:tcPr>
            <w:tcW w:w="329" w:type="pct"/>
            <w:tcBorders>
              <w:top w:val="single" w:sz="4" w:space="0" w:color="auto"/>
              <w:bottom w:val="single" w:sz="4" w:space="0" w:color="auto"/>
            </w:tcBorders>
          </w:tcPr>
          <w:p w14:paraId="48DB699C" w14:textId="43EEEB20"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71,566</w:t>
            </w:r>
          </w:p>
        </w:tc>
        <w:tc>
          <w:tcPr>
            <w:tcW w:w="362" w:type="pct"/>
            <w:tcBorders>
              <w:top w:val="single" w:sz="4" w:space="0" w:color="auto"/>
              <w:bottom w:val="single" w:sz="4" w:space="0" w:color="auto"/>
            </w:tcBorders>
          </w:tcPr>
          <w:p w14:paraId="246F533A"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3045FF">
              <w:rPr>
                <w:rStyle w:val="Bold"/>
              </w:rPr>
              <w:t>0</w:t>
            </w:r>
          </w:p>
        </w:tc>
        <w:tc>
          <w:tcPr>
            <w:tcW w:w="395" w:type="pct"/>
            <w:tcBorders>
              <w:top w:val="single" w:sz="4" w:space="0" w:color="auto"/>
              <w:bottom w:val="single" w:sz="4" w:space="0" w:color="auto"/>
            </w:tcBorders>
          </w:tcPr>
          <w:p w14:paraId="5DD88B78" w14:textId="595E4C5A"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29,583</w:t>
            </w:r>
          </w:p>
        </w:tc>
        <w:tc>
          <w:tcPr>
            <w:tcW w:w="394" w:type="pct"/>
            <w:tcBorders>
              <w:top w:val="single" w:sz="4" w:space="0" w:color="auto"/>
              <w:bottom w:val="single" w:sz="4" w:space="0" w:color="auto"/>
            </w:tcBorders>
          </w:tcPr>
          <w:p w14:paraId="576B6BA9" w14:textId="233DA4A7"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(40,612)</w:t>
            </w:r>
          </w:p>
        </w:tc>
        <w:tc>
          <w:tcPr>
            <w:tcW w:w="428" w:type="pct"/>
            <w:tcBorders>
              <w:top w:val="single" w:sz="4" w:space="0" w:color="auto"/>
              <w:bottom w:val="single" w:sz="4" w:space="0" w:color="auto"/>
            </w:tcBorders>
          </w:tcPr>
          <w:p w14:paraId="4F0E0FE8" w14:textId="77777777" w:rsidR="00417B1B" w:rsidRPr="003045FF" w:rsidRDefault="00417B1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3045FF">
              <w:rPr>
                <w:rStyle w:val="Bold"/>
              </w:rPr>
              <w:t>0</w:t>
            </w:r>
          </w:p>
        </w:tc>
        <w:tc>
          <w:tcPr>
            <w:tcW w:w="494" w:type="pct"/>
            <w:tcBorders>
              <w:top w:val="single" w:sz="4" w:space="0" w:color="auto"/>
              <w:bottom w:val="single" w:sz="4" w:space="0" w:color="auto"/>
            </w:tcBorders>
          </w:tcPr>
          <w:p w14:paraId="69850521" w14:textId="461E1AAC"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555,776</w:t>
            </w:r>
          </w:p>
        </w:tc>
        <w:tc>
          <w:tcPr>
            <w:tcW w:w="428" w:type="pct"/>
            <w:tcBorders>
              <w:top w:val="single" w:sz="4" w:space="0" w:color="auto"/>
              <w:bottom w:val="single" w:sz="4" w:space="0" w:color="auto"/>
            </w:tcBorders>
          </w:tcPr>
          <w:p w14:paraId="2F22B8A1" w14:textId="59548465"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544,322</w:t>
            </w:r>
          </w:p>
        </w:tc>
        <w:tc>
          <w:tcPr>
            <w:tcW w:w="360" w:type="pct"/>
            <w:tcBorders>
              <w:top w:val="single" w:sz="4" w:space="0" w:color="auto"/>
              <w:bottom w:val="single" w:sz="4" w:space="0" w:color="auto"/>
            </w:tcBorders>
          </w:tcPr>
          <w:p w14:paraId="6211B2B5" w14:textId="4A394B8D" w:rsidR="00417B1B" w:rsidRPr="003045FF" w:rsidRDefault="0019520B"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11,454</w:t>
            </w:r>
          </w:p>
        </w:tc>
      </w:tr>
    </w:tbl>
    <w:p w14:paraId="625A59D2" w14:textId="5C2899DB" w:rsidR="000A6DCB" w:rsidRPr="003045FF" w:rsidRDefault="000A6DCB">
      <w:r w:rsidRPr="003045FF">
        <w:t>201</w:t>
      </w:r>
      <w:r w:rsidR="0019520B">
        <w:t>9</w:t>
      </w:r>
    </w:p>
    <w:tbl>
      <w:tblPr>
        <w:tblStyle w:val="AccessibleTableNumerical"/>
        <w:tblW w:w="5000" w:type="pct"/>
        <w:tblLook w:val="04A0" w:firstRow="1" w:lastRow="0" w:firstColumn="1" w:lastColumn="0" w:noHBand="0" w:noVBand="1"/>
      </w:tblPr>
      <w:tblGrid>
        <w:gridCol w:w="2129"/>
        <w:gridCol w:w="2266"/>
        <w:gridCol w:w="1844"/>
        <w:gridCol w:w="1559"/>
        <w:gridCol w:w="1417"/>
        <w:gridCol w:w="1559"/>
        <w:gridCol w:w="1702"/>
        <w:gridCol w:w="1697"/>
        <w:gridCol w:w="1844"/>
        <w:gridCol w:w="2128"/>
        <w:gridCol w:w="1844"/>
        <w:gridCol w:w="1551"/>
      </w:tblGrid>
      <w:tr w:rsidR="00976366" w:rsidRPr="000A6DCB" w14:paraId="425AFE96" w14:textId="77777777" w:rsidTr="009763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 w:type="pct"/>
          </w:tcPr>
          <w:p w14:paraId="3163DE4C" w14:textId="77777777" w:rsidR="000A6DCB" w:rsidRPr="003045FF" w:rsidRDefault="000A6DCB" w:rsidP="000A6DCB">
            <w:pPr>
              <w:pStyle w:val="TableText"/>
            </w:pPr>
            <w:bookmarkStart w:id="262" w:name="ColumnTitle_49"/>
            <w:r w:rsidRPr="003045FF">
              <w:t>Item</w:t>
            </w:r>
          </w:p>
        </w:tc>
        <w:tc>
          <w:tcPr>
            <w:tcW w:w="526" w:type="pct"/>
            <w:vAlign w:val="bottom"/>
          </w:tcPr>
          <w:p w14:paraId="5F53C7E0" w14:textId="2706F2E9" w:rsidR="000A6DC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Appropriation Act</w:t>
            </w:r>
            <w:r w:rsidRPr="003045FF">
              <w:br/>
            </w:r>
            <w:r w:rsidR="000A6DCB" w:rsidRPr="003045FF">
              <w:t xml:space="preserve">Annual appropriation </w:t>
            </w:r>
            <w:r w:rsidR="000A6DCB" w:rsidRPr="003045FF">
              <w:br/>
              <w:t>$’000</w:t>
            </w:r>
          </w:p>
        </w:tc>
        <w:tc>
          <w:tcPr>
            <w:tcW w:w="428" w:type="pct"/>
            <w:vAlign w:val="bottom"/>
          </w:tcPr>
          <w:p w14:paraId="2C27B40B" w14:textId="0D7EFC4C" w:rsidR="000A6DC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Appropriation Act</w:t>
            </w:r>
            <w:r w:rsidRPr="003045FF">
              <w:br/>
            </w:r>
            <w:r w:rsidR="000A6DCB" w:rsidRPr="003045FF">
              <w:t>Advance</w:t>
            </w:r>
            <w:r w:rsidRPr="003045FF">
              <w:t xml:space="preserve"> from Treasurer</w:t>
            </w:r>
            <w:r w:rsidRPr="003045FF">
              <w:br/>
            </w:r>
            <w:r w:rsidR="000A6DCB" w:rsidRPr="003045FF">
              <w:t>$’000</w:t>
            </w:r>
          </w:p>
        </w:tc>
        <w:tc>
          <w:tcPr>
            <w:tcW w:w="362" w:type="pct"/>
            <w:vAlign w:val="bottom"/>
          </w:tcPr>
          <w:p w14:paraId="0A32D168" w14:textId="77777777" w:rsidR="000A6DC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Financial Management Act 1994 Section 28 $’000</w:t>
            </w:r>
          </w:p>
        </w:tc>
        <w:tc>
          <w:tcPr>
            <w:tcW w:w="329" w:type="pct"/>
            <w:vAlign w:val="bottom"/>
          </w:tcPr>
          <w:p w14:paraId="5A983A3A" w14:textId="77777777" w:rsidR="000A6DC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Financial Management Act 1994 Section 29 $’000</w:t>
            </w:r>
          </w:p>
        </w:tc>
        <w:tc>
          <w:tcPr>
            <w:tcW w:w="362" w:type="pct"/>
            <w:vAlign w:val="bottom"/>
          </w:tcPr>
          <w:p w14:paraId="1CFEACCC" w14:textId="77777777" w:rsidR="000A6DC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Financial Management Act 1994 Section 31A $’000</w:t>
            </w:r>
          </w:p>
        </w:tc>
        <w:tc>
          <w:tcPr>
            <w:tcW w:w="395" w:type="pct"/>
            <w:vAlign w:val="bottom"/>
          </w:tcPr>
          <w:p w14:paraId="7137CCE6" w14:textId="4EFC34FB" w:rsidR="000A6DC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Financial Management</w:t>
            </w:r>
            <w:r w:rsidR="0019520B">
              <w:br/>
            </w:r>
            <w:r w:rsidRPr="003045FF">
              <w:t>Act 1994</w:t>
            </w:r>
            <w:r w:rsidR="0019520B">
              <w:br/>
            </w:r>
            <w:r w:rsidRPr="003045FF">
              <w:t>Section 32</w:t>
            </w:r>
            <w:r w:rsidR="0019520B">
              <w:br/>
            </w:r>
            <w:r w:rsidRPr="003045FF">
              <w:t>$’000</w:t>
            </w:r>
          </w:p>
        </w:tc>
        <w:tc>
          <w:tcPr>
            <w:tcW w:w="394" w:type="pct"/>
            <w:vAlign w:val="bottom"/>
          </w:tcPr>
          <w:p w14:paraId="04BC75A4" w14:textId="3CEFEFAC" w:rsidR="000A6DCB" w:rsidRPr="003045FF" w:rsidRDefault="000A6DCB" w:rsidP="003045FF">
            <w:pPr>
              <w:pStyle w:val="TableText"/>
              <w:cnfStyle w:val="100000000000" w:firstRow="1" w:lastRow="0" w:firstColumn="0" w:lastColumn="0" w:oddVBand="0" w:evenVBand="0" w:oddHBand="0" w:evenHBand="0" w:firstRowFirstColumn="0" w:firstRowLastColumn="0" w:lastRowFirstColumn="0" w:lastRowLastColumn="0"/>
            </w:pPr>
            <w:r w:rsidRPr="0019520B">
              <w:t>Financial Management</w:t>
            </w:r>
            <w:r w:rsidR="0019520B" w:rsidRPr="0019520B">
              <w:br/>
            </w:r>
            <w:r w:rsidRPr="0019520B">
              <w:t>Act 1994</w:t>
            </w:r>
            <w:r w:rsidR="0019520B" w:rsidRPr="0019520B">
              <w:br/>
            </w:r>
            <w:r w:rsidRPr="0019520B">
              <w:t>Section 34</w:t>
            </w:r>
            <w:hyperlink w:anchor="Note23note1" w:history="1">
              <w:r w:rsidR="00E935F4" w:rsidRPr="00E935F4">
                <w:rPr>
                  <w:vertAlign w:val="superscript"/>
                </w:rPr>
                <w:t>(1)</w:t>
              </w:r>
            </w:hyperlink>
            <w:r w:rsidR="0019520B" w:rsidRPr="0019520B">
              <w:br/>
            </w:r>
            <w:r w:rsidRPr="0019520B">
              <w:t>$’000</w:t>
            </w:r>
          </w:p>
        </w:tc>
        <w:tc>
          <w:tcPr>
            <w:tcW w:w="428" w:type="pct"/>
            <w:vAlign w:val="bottom"/>
          </w:tcPr>
          <w:p w14:paraId="4CF9BF36" w14:textId="43D92BBD" w:rsidR="000A6DCB" w:rsidRPr="003045FF" w:rsidRDefault="000A6DCB" w:rsidP="005F65A1">
            <w:pPr>
              <w:pStyle w:val="TableText"/>
              <w:cnfStyle w:val="100000000000" w:firstRow="1" w:lastRow="0" w:firstColumn="0" w:lastColumn="0" w:oddVBand="0" w:evenVBand="0" w:oddHBand="0" w:evenHBand="0" w:firstRowFirstColumn="0" w:firstRowLastColumn="0" w:lastRowFirstColumn="0" w:lastRowLastColumn="0"/>
            </w:pPr>
            <w:r w:rsidRPr="003045FF">
              <w:t>Financial Management</w:t>
            </w:r>
            <w:r w:rsidR="0019520B">
              <w:br/>
            </w:r>
            <w:r w:rsidRPr="003045FF">
              <w:t>Act 1994</w:t>
            </w:r>
            <w:r w:rsidR="0019520B">
              <w:br/>
            </w:r>
            <w:r w:rsidRPr="003045FF">
              <w:t>Section 35</w:t>
            </w:r>
            <w:r w:rsidR="0019520B">
              <w:br/>
            </w:r>
            <w:r w:rsidRPr="003045FF">
              <w:t>$’000</w:t>
            </w:r>
          </w:p>
        </w:tc>
        <w:tc>
          <w:tcPr>
            <w:tcW w:w="494" w:type="pct"/>
            <w:vAlign w:val="bottom"/>
          </w:tcPr>
          <w:p w14:paraId="24296205" w14:textId="686C0B01" w:rsidR="000A6DCB" w:rsidRPr="003045FF" w:rsidRDefault="005F65A1" w:rsidP="005F65A1">
            <w:pPr>
              <w:pStyle w:val="TableText"/>
              <w:cnfStyle w:val="100000000000" w:firstRow="1" w:lastRow="0" w:firstColumn="0" w:lastColumn="0" w:oddVBand="0" w:evenVBand="0" w:oddHBand="0" w:evenHBand="0" w:firstRowFirstColumn="0" w:firstRowLastColumn="0" w:lastRowFirstColumn="0" w:lastRowLastColumn="0"/>
            </w:pPr>
            <w:r w:rsidRPr="003045FF">
              <w:t xml:space="preserve">Financial </w:t>
            </w:r>
            <w:r w:rsidR="000A6DCB" w:rsidRPr="003045FF">
              <w:t xml:space="preserve">Management </w:t>
            </w:r>
            <w:r w:rsidR="000A6DCB" w:rsidRPr="003045FF">
              <w:br/>
            </w:r>
            <w:r w:rsidRPr="003045FF">
              <w:t>Act 1994</w:t>
            </w:r>
            <w:r w:rsidRPr="003045FF">
              <w:br/>
            </w:r>
            <w:r w:rsidR="000A6DCB" w:rsidRPr="003045FF">
              <w:t xml:space="preserve">Total Parliamentary </w:t>
            </w:r>
            <w:r w:rsidR="000A6DCB" w:rsidRPr="003045FF">
              <w:br/>
            </w:r>
            <w:r w:rsidRPr="003045FF">
              <w:t>authority</w:t>
            </w:r>
            <w:r w:rsidRPr="003045FF">
              <w:br/>
            </w:r>
            <w:r w:rsidR="000A6DCB" w:rsidRPr="003045FF">
              <w:t>$’000</w:t>
            </w:r>
          </w:p>
        </w:tc>
        <w:tc>
          <w:tcPr>
            <w:tcW w:w="428" w:type="pct"/>
            <w:vAlign w:val="bottom"/>
          </w:tcPr>
          <w:p w14:paraId="62A226C4" w14:textId="50383C39" w:rsidR="000A6DCB" w:rsidRPr="005F2F4D" w:rsidRDefault="005F65A1" w:rsidP="009324A2">
            <w:pPr>
              <w:pStyle w:val="TableText"/>
              <w:cnfStyle w:val="100000000000" w:firstRow="1" w:lastRow="0" w:firstColumn="0" w:lastColumn="0" w:oddVBand="0" w:evenVBand="0" w:oddHBand="0" w:evenHBand="0" w:firstRowFirstColumn="0" w:firstRowLastColumn="0" w:lastRowFirstColumn="0" w:lastRowLastColumn="0"/>
            </w:pPr>
            <w:r w:rsidRPr="005F2F4D">
              <w:t xml:space="preserve">Financial </w:t>
            </w:r>
            <w:r w:rsidR="000A6DCB" w:rsidRPr="005F2F4D">
              <w:t xml:space="preserve">Management </w:t>
            </w:r>
            <w:r w:rsidR="000A6DCB" w:rsidRPr="005F2F4D">
              <w:br/>
              <w:t>Ac</w:t>
            </w:r>
            <w:r w:rsidRPr="005F2F4D">
              <w:t xml:space="preserve">t 1994 </w:t>
            </w:r>
            <w:r w:rsidRPr="005F2F4D">
              <w:br/>
            </w:r>
            <w:r w:rsidR="009324A2" w:rsidRPr="005F2F4D">
              <w:t xml:space="preserve">Appropriations </w:t>
            </w:r>
            <w:r w:rsidRPr="005F2F4D">
              <w:t>applied</w:t>
            </w:r>
            <w:hyperlink w:anchor="Note23note3" w:history="1">
              <w:r w:rsidR="005F2F4D" w:rsidRPr="005F2F4D">
                <w:rPr>
                  <w:vertAlign w:val="superscript"/>
                </w:rPr>
                <w:t>(3)</w:t>
              </w:r>
            </w:hyperlink>
            <w:r w:rsidRPr="005F2F4D">
              <w:br/>
            </w:r>
            <w:r w:rsidR="000A6DCB" w:rsidRPr="005F2F4D">
              <w:t>$’000</w:t>
            </w:r>
          </w:p>
        </w:tc>
        <w:tc>
          <w:tcPr>
            <w:tcW w:w="360" w:type="pct"/>
            <w:vAlign w:val="bottom"/>
          </w:tcPr>
          <w:p w14:paraId="01B61BF4" w14:textId="54F8051D" w:rsidR="000A6DCB" w:rsidRPr="005F2F4D" w:rsidRDefault="000A6DCB" w:rsidP="003045FF">
            <w:pPr>
              <w:pStyle w:val="TableText"/>
              <w:cnfStyle w:val="100000000000" w:firstRow="1" w:lastRow="0" w:firstColumn="0" w:lastColumn="0" w:oddVBand="0" w:evenVBand="0" w:oddHBand="0" w:evenHBand="0" w:firstRowFirstColumn="0" w:firstRowLastColumn="0" w:lastRowFirstColumn="0" w:lastRowLastColumn="0"/>
            </w:pPr>
            <w:r w:rsidRPr="005F2F4D">
              <w:t>F</w:t>
            </w:r>
            <w:r w:rsidR="009324A2" w:rsidRPr="005F2F4D">
              <w:t>inancial Management</w:t>
            </w:r>
            <w:r w:rsidR="009324A2" w:rsidRPr="005F2F4D">
              <w:br/>
            </w:r>
            <w:r w:rsidR="003045FF" w:rsidRPr="005F2F4D">
              <w:t>Act 1994</w:t>
            </w:r>
            <w:r w:rsidR="003045FF" w:rsidRPr="005F2F4D">
              <w:br/>
            </w:r>
            <w:r w:rsidRPr="005F2F4D">
              <w:t>Variance</w:t>
            </w:r>
            <w:hyperlink w:anchor="Note23note2" w:history="1">
              <w:r w:rsidR="005F2F4D" w:rsidRPr="005F2F4D">
                <w:rPr>
                  <w:vertAlign w:val="superscript"/>
                </w:rPr>
                <w:t>(2)</w:t>
              </w:r>
            </w:hyperlink>
            <w:r w:rsidR="003045FF" w:rsidRPr="005F2F4D">
              <w:br/>
            </w:r>
            <w:r w:rsidRPr="005F2F4D">
              <w:t>$’000</w:t>
            </w:r>
          </w:p>
        </w:tc>
      </w:tr>
      <w:bookmarkEnd w:id="262"/>
      <w:tr w:rsidR="00976366" w:rsidRPr="000A6DCB" w14:paraId="7D2B8E74" w14:textId="77777777" w:rsidTr="00976366">
        <w:tc>
          <w:tcPr>
            <w:cnfStyle w:val="001000000000" w:firstRow="0" w:lastRow="0" w:firstColumn="1" w:lastColumn="0" w:oddVBand="0" w:evenVBand="0" w:oddHBand="0" w:evenHBand="0" w:firstRowFirstColumn="0" w:firstRowLastColumn="0" w:lastRowFirstColumn="0" w:lastRowLastColumn="0"/>
            <w:tcW w:w="494" w:type="pct"/>
          </w:tcPr>
          <w:p w14:paraId="506D7041" w14:textId="77777777" w:rsidR="00417B1B" w:rsidRPr="005F65A1" w:rsidRDefault="00417B1B" w:rsidP="000A6DCB">
            <w:pPr>
              <w:pStyle w:val="TableText"/>
              <w:rPr>
                <w:rStyle w:val="Bold"/>
              </w:rPr>
            </w:pPr>
            <w:r w:rsidRPr="005F65A1">
              <w:rPr>
                <w:rStyle w:val="Bold"/>
              </w:rPr>
              <w:t>Controlled</w:t>
            </w:r>
          </w:p>
        </w:tc>
        <w:tc>
          <w:tcPr>
            <w:tcW w:w="526" w:type="pct"/>
          </w:tcPr>
          <w:p w14:paraId="11783E17" w14:textId="577734FF"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428" w:type="pct"/>
          </w:tcPr>
          <w:p w14:paraId="4CF2AEFA" w14:textId="133910CD"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62" w:type="pct"/>
          </w:tcPr>
          <w:p w14:paraId="152F969F" w14:textId="0F464D1C"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29" w:type="pct"/>
          </w:tcPr>
          <w:p w14:paraId="5DB21785" w14:textId="1708ED56"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62" w:type="pct"/>
          </w:tcPr>
          <w:p w14:paraId="143D2748" w14:textId="4C85BEA1"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95" w:type="pct"/>
          </w:tcPr>
          <w:p w14:paraId="0918A018" w14:textId="41EEFDC8"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94" w:type="pct"/>
          </w:tcPr>
          <w:p w14:paraId="10C26F45" w14:textId="088AAC97"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428" w:type="pct"/>
          </w:tcPr>
          <w:p w14:paraId="0E336689" w14:textId="4B0BC28B"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494" w:type="pct"/>
          </w:tcPr>
          <w:p w14:paraId="64F15FA6" w14:textId="1D333659"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428" w:type="pct"/>
          </w:tcPr>
          <w:p w14:paraId="1AEF40E5" w14:textId="50B8C4BB"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c>
          <w:tcPr>
            <w:tcW w:w="360" w:type="pct"/>
          </w:tcPr>
          <w:p w14:paraId="67993FA5" w14:textId="5B600FF3" w:rsidR="00417B1B" w:rsidRPr="000A6DCB" w:rsidRDefault="00AC0BBF" w:rsidP="000A6DCB">
            <w:pPr>
              <w:pStyle w:val="TableText"/>
              <w:cnfStyle w:val="000000000000" w:firstRow="0" w:lastRow="0" w:firstColumn="0" w:lastColumn="0" w:oddVBand="0" w:evenVBand="0" w:oddHBand="0" w:evenHBand="0" w:firstRowFirstColumn="0" w:firstRowLastColumn="0" w:lastRowFirstColumn="0" w:lastRowLastColumn="0"/>
            </w:pPr>
            <w:r w:rsidRPr="000A6DCB">
              <w:t>N/A</w:t>
            </w:r>
          </w:p>
        </w:tc>
      </w:tr>
      <w:tr w:rsidR="00976366" w:rsidRPr="000A6DCB" w14:paraId="0BB0E321" w14:textId="77777777" w:rsidTr="00976366">
        <w:tc>
          <w:tcPr>
            <w:cnfStyle w:val="001000000000" w:firstRow="0" w:lastRow="0" w:firstColumn="1" w:lastColumn="0" w:oddVBand="0" w:evenVBand="0" w:oddHBand="0" w:evenHBand="0" w:firstRowFirstColumn="0" w:firstRowLastColumn="0" w:lastRowFirstColumn="0" w:lastRowLastColumn="0"/>
            <w:tcW w:w="494" w:type="pct"/>
          </w:tcPr>
          <w:p w14:paraId="0B04FF77" w14:textId="77777777" w:rsidR="00417B1B" w:rsidRPr="000A6DCB" w:rsidRDefault="00417B1B" w:rsidP="000A6DCB">
            <w:pPr>
              <w:pStyle w:val="TableText"/>
            </w:pPr>
            <w:r w:rsidRPr="000A6DCB">
              <w:t>Provision of outputs</w:t>
            </w:r>
          </w:p>
        </w:tc>
        <w:tc>
          <w:tcPr>
            <w:tcW w:w="526" w:type="pct"/>
          </w:tcPr>
          <w:p w14:paraId="59C92D81" w14:textId="41E0F6A2"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353,378</w:t>
            </w:r>
          </w:p>
        </w:tc>
        <w:tc>
          <w:tcPr>
            <w:tcW w:w="428" w:type="pct"/>
          </w:tcPr>
          <w:p w14:paraId="15E38D53" w14:textId="2D6D6B47"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6,178</w:t>
            </w:r>
          </w:p>
        </w:tc>
        <w:tc>
          <w:tcPr>
            <w:tcW w:w="362" w:type="pct"/>
          </w:tcPr>
          <w:p w14:paraId="55B16C5D" w14:textId="77777777" w:rsidR="00417B1B" w:rsidRPr="000A6DCB"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0A6DCB">
              <w:t>0</w:t>
            </w:r>
          </w:p>
        </w:tc>
        <w:tc>
          <w:tcPr>
            <w:tcW w:w="329" w:type="pct"/>
          </w:tcPr>
          <w:p w14:paraId="12970301" w14:textId="6035C84A"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75,982</w:t>
            </w:r>
          </w:p>
        </w:tc>
        <w:tc>
          <w:tcPr>
            <w:tcW w:w="362" w:type="pct"/>
          </w:tcPr>
          <w:p w14:paraId="465B0153" w14:textId="2F196E4D"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(2,803)</w:t>
            </w:r>
          </w:p>
        </w:tc>
        <w:tc>
          <w:tcPr>
            <w:tcW w:w="395" w:type="pct"/>
          </w:tcPr>
          <w:p w14:paraId="2C4E9D54" w14:textId="7E40D905"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11,177</w:t>
            </w:r>
          </w:p>
        </w:tc>
        <w:tc>
          <w:tcPr>
            <w:tcW w:w="394" w:type="pct"/>
          </w:tcPr>
          <w:p w14:paraId="5EF660A0" w14:textId="5FAF0075"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0</w:t>
            </w:r>
          </w:p>
        </w:tc>
        <w:tc>
          <w:tcPr>
            <w:tcW w:w="428" w:type="pct"/>
          </w:tcPr>
          <w:p w14:paraId="2CE5D469" w14:textId="4AC8FF22"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0</w:t>
            </w:r>
          </w:p>
        </w:tc>
        <w:tc>
          <w:tcPr>
            <w:tcW w:w="494" w:type="pct"/>
          </w:tcPr>
          <w:p w14:paraId="08128468" w14:textId="1DB908D0"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443,913</w:t>
            </w:r>
          </w:p>
        </w:tc>
        <w:tc>
          <w:tcPr>
            <w:tcW w:w="428" w:type="pct"/>
          </w:tcPr>
          <w:p w14:paraId="496E4F77" w14:textId="35FDEF77"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428,469</w:t>
            </w:r>
          </w:p>
        </w:tc>
        <w:tc>
          <w:tcPr>
            <w:tcW w:w="360" w:type="pct"/>
          </w:tcPr>
          <w:p w14:paraId="27EB5F39" w14:textId="0D00964B"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15,443</w:t>
            </w:r>
          </w:p>
        </w:tc>
      </w:tr>
      <w:tr w:rsidR="00976366" w:rsidRPr="000A6DCB" w14:paraId="76562749" w14:textId="77777777" w:rsidTr="00D46E6D">
        <w:tc>
          <w:tcPr>
            <w:cnfStyle w:val="001000000000" w:firstRow="0" w:lastRow="0" w:firstColumn="1" w:lastColumn="0" w:oddVBand="0" w:evenVBand="0" w:oddHBand="0" w:evenHBand="0" w:firstRowFirstColumn="0" w:firstRowLastColumn="0" w:lastRowFirstColumn="0" w:lastRowLastColumn="0"/>
            <w:tcW w:w="494" w:type="pct"/>
            <w:tcBorders>
              <w:bottom w:val="single" w:sz="4" w:space="0" w:color="auto"/>
            </w:tcBorders>
          </w:tcPr>
          <w:p w14:paraId="1C061F2A" w14:textId="77777777" w:rsidR="00417B1B" w:rsidRPr="000A6DCB" w:rsidRDefault="00417B1B" w:rsidP="000A6DCB">
            <w:pPr>
              <w:pStyle w:val="TableText"/>
            </w:pPr>
            <w:r w:rsidRPr="000A6DCB">
              <w:t>Additions to net assets</w:t>
            </w:r>
          </w:p>
        </w:tc>
        <w:tc>
          <w:tcPr>
            <w:tcW w:w="526" w:type="pct"/>
            <w:tcBorders>
              <w:bottom w:val="single" w:sz="4" w:space="0" w:color="auto"/>
            </w:tcBorders>
          </w:tcPr>
          <w:p w14:paraId="31E64E3F" w14:textId="09B71BF6"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80,432</w:t>
            </w:r>
          </w:p>
        </w:tc>
        <w:tc>
          <w:tcPr>
            <w:tcW w:w="428" w:type="pct"/>
            <w:tcBorders>
              <w:bottom w:val="single" w:sz="4" w:space="0" w:color="auto"/>
            </w:tcBorders>
          </w:tcPr>
          <w:p w14:paraId="6B54A55E" w14:textId="4E987F39"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431</w:t>
            </w:r>
          </w:p>
        </w:tc>
        <w:tc>
          <w:tcPr>
            <w:tcW w:w="362" w:type="pct"/>
            <w:tcBorders>
              <w:bottom w:val="single" w:sz="4" w:space="0" w:color="auto"/>
            </w:tcBorders>
          </w:tcPr>
          <w:p w14:paraId="2959093A" w14:textId="77777777" w:rsidR="00417B1B" w:rsidRPr="000A6DCB"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0A6DCB">
              <w:t>0</w:t>
            </w:r>
          </w:p>
        </w:tc>
        <w:tc>
          <w:tcPr>
            <w:tcW w:w="329" w:type="pct"/>
            <w:tcBorders>
              <w:bottom w:val="single" w:sz="4" w:space="0" w:color="auto"/>
            </w:tcBorders>
          </w:tcPr>
          <w:p w14:paraId="57C3B622" w14:textId="77777777" w:rsidR="00417B1B" w:rsidRPr="000A6DCB" w:rsidRDefault="00417B1B" w:rsidP="000A6DCB">
            <w:pPr>
              <w:pStyle w:val="TableText"/>
              <w:cnfStyle w:val="000000000000" w:firstRow="0" w:lastRow="0" w:firstColumn="0" w:lastColumn="0" w:oddVBand="0" w:evenVBand="0" w:oddHBand="0" w:evenHBand="0" w:firstRowFirstColumn="0" w:firstRowLastColumn="0" w:lastRowFirstColumn="0" w:lastRowLastColumn="0"/>
            </w:pPr>
            <w:r w:rsidRPr="000A6DCB">
              <w:t>0</w:t>
            </w:r>
          </w:p>
        </w:tc>
        <w:tc>
          <w:tcPr>
            <w:tcW w:w="362" w:type="pct"/>
            <w:tcBorders>
              <w:bottom w:val="single" w:sz="4" w:space="0" w:color="auto"/>
            </w:tcBorders>
          </w:tcPr>
          <w:p w14:paraId="0A2F1BCF" w14:textId="5422E9D6"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2,803</w:t>
            </w:r>
          </w:p>
        </w:tc>
        <w:tc>
          <w:tcPr>
            <w:tcW w:w="395" w:type="pct"/>
            <w:tcBorders>
              <w:bottom w:val="single" w:sz="4" w:space="0" w:color="auto"/>
            </w:tcBorders>
          </w:tcPr>
          <w:p w14:paraId="4C4A856D" w14:textId="5737E8DD"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2,451</w:t>
            </w:r>
          </w:p>
        </w:tc>
        <w:tc>
          <w:tcPr>
            <w:tcW w:w="394" w:type="pct"/>
            <w:tcBorders>
              <w:bottom w:val="single" w:sz="4" w:space="0" w:color="auto"/>
            </w:tcBorders>
          </w:tcPr>
          <w:p w14:paraId="61ED8D66" w14:textId="25D80B5D"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(50,128)</w:t>
            </w:r>
          </w:p>
        </w:tc>
        <w:tc>
          <w:tcPr>
            <w:tcW w:w="428" w:type="pct"/>
            <w:tcBorders>
              <w:bottom w:val="single" w:sz="4" w:space="0" w:color="auto"/>
            </w:tcBorders>
          </w:tcPr>
          <w:p w14:paraId="715663FC" w14:textId="596CD42F"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0</w:t>
            </w:r>
          </w:p>
        </w:tc>
        <w:tc>
          <w:tcPr>
            <w:tcW w:w="494" w:type="pct"/>
            <w:tcBorders>
              <w:bottom w:val="single" w:sz="4" w:space="0" w:color="auto"/>
            </w:tcBorders>
          </w:tcPr>
          <w:p w14:paraId="1A46A3E6" w14:textId="38A5FFD0"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35,989</w:t>
            </w:r>
          </w:p>
        </w:tc>
        <w:tc>
          <w:tcPr>
            <w:tcW w:w="428" w:type="pct"/>
            <w:tcBorders>
              <w:bottom w:val="single" w:sz="4" w:space="0" w:color="auto"/>
            </w:tcBorders>
          </w:tcPr>
          <w:p w14:paraId="230A7105" w14:textId="046BBCBE"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11,521</w:t>
            </w:r>
          </w:p>
        </w:tc>
        <w:tc>
          <w:tcPr>
            <w:tcW w:w="360" w:type="pct"/>
            <w:tcBorders>
              <w:bottom w:val="single" w:sz="4" w:space="0" w:color="auto"/>
            </w:tcBorders>
          </w:tcPr>
          <w:p w14:paraId="629E84B6" w14:textId="6E376171" w:rsidR="00417B1B" w:rsidRPr="000A6DCB" w:rsidRDefault="008B26A5" w:rsidP="000A6DCB">
            <w:pPr>
              <w:pStyle w:val="TableText"/>
              <w:cnfStyle w:val="000000000000" w:firstRow="0" w:lastRow="0" w:firstColumn="0" w:lastColumn="0" w:oddVBand="0" w:evenVBand="0" w:oddHBand="0" w:evenHBand="0" w:firstRowFirstColumn="0" w:firstRowLastColumn="0" w:lastRowFirstColumn="0" w:lastRowLastColumn="0"/>
            </w:pPr>
            <w:r>
              <w:t>24,468</w:t>
            </w:r>
          </w:p>
        </w:tc>
      </w:tr>
      <w:tr w:rsidR="00976366" w:rsidRPr="005F65A1" w14:paraId="170E7316" w14:textId="77777777" w:rsidTr="00D46E6D">
        <w:tc>
          <w:tcPr>
            <w:cnfStyle w:val="001000000000" w:firstRow="0" w:lastRow="0" w:firstColumn="1" w:lastColumn="0" w:oddVBand="0" w:evenVBand="0" w:oddHBand="0" w:evenHBand="0" w:firstRowFirstColumn="0" w:firstRowLastColumn="0" w:lastRowFirstColumn="0" w:lastRowLastColumn="0"/>
            <w:tcW w:w="494" w:type="pct"/>
            <w:tcBorders>
              <w:top w:val="single" w:sz="4" w:space="0" w:color="auto"/>
              <w:bottom w:val="single" w:sz="4" w:space="0" w:color="auto"/>
            </w:tcBorders>
          </w:tcPr>
          <w:p w14:paraId="622E0E4F" w14:textId="625A9378" w:rsidR="00417B1B" w:rsidRPr="005F65A1" w:rsidRDefault="000A6DCB" w:rsidP="000A6DCB">
            <w:pPr>
              <w:pStyle w:val="TableText"/>
              <w:rPr>
                <w:rStyle w:val="Bold"/>
              </w:rPr>
            </w:pPr>
            <w:r w:rsidRPr="005F65A1">
              <w:rPr>
                <w:rStyle w:val="Bold"/>
              </w:rPr>
              <w:t>Total</w:t>
            </w:r>
          </w:p>
        </w:tc>
        <w:tc>
          <w:tcPr>
            <w:tcW w:w="526" w:type="pct"/>
            <w:tcBorders>
              <w:top w:val="single" w:sz="4" w:space="0" w:color="auto"/>
              <w:bottom w:val="single" w:sz="4" w:space="0" w:color="auto"/>
            </w:tcBorders>
          </w:tcPr>
          <w:p w14:paraId="1BE7D108" w14:textId="1FDC9AA5"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433,811</w:t>
            </w:r>
          </w:p>
        </w:tc>
        <w:tc>
          <w:tcPr>
            <w:tcW w:w="428" w:type="pct"/>
            <w:tcBorders>
              <w:top w:val="single" w:sz="4" w:space="0" w:color="auto"/>
              <w:bottom w:val="single" w:sz="4" w:space="0" w:color="auto"/>
            </w:tcBorders>
          </w:tcPr>
          <w:p w14:paraId="274ADBB3" w14:textId="759AA1A5"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6,609</w:t>
            </w:r>
          </w:p>
        </w:tc>
        <w:tc>
          <w:tcPr>
            <w:tcW w:w="362" w:type="pct"/>
            <w:tcBorders>
              <w:top w:val="single" w:sz="4" w:space="0" w:color="auto"/>
              <w:bottom w:val="single" w:sz="4" w:space="0" w:color="auto"/>
            </w:tcBorders>
          </w:tcPr>
          <w:p w14:paraId="7DDB39EA" w14:textId="2CA5FAD9"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w:t>
            </w:r>
          </w:p>
        </w:tc>
        <w:tc>
          <w:tcPr>
            <w:tcW w:w="329" w:type="pct"/>
            <w:tcBorders>
              <w:top w:val="single" w:sz="4" w:space="0" w:color="auto"/>
              <w:bottom w:val="single" w:sz="4" w:space="0" w:color="auto"/>
            </w:tcBorders>
          </w:tcPr>
          <w:p w14:paraId="5E49C8AE" w14:textId="3F399D2B"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75,982</w:t>
            </w:r>
          </w:p>
        </w:tc>
        <w:tc>
          <w:tcPr>
            <w:tcW w:w="362" w:type="pct"/>
            <w:tcBorders>
              <w:top w:val="single" w:sz="4" w:space="0" w:color="auto"/>
              <w:bottom w:val="single" w:sz="4" w:space="0" w:color="auto"/>
            </w:tcBorders>
          </w:tcPr>
          <w:p w14:paraId="4FA4B305" w14:textId="1E316700"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w:t>
            </w:r>
          </w:p>
        </w:tc>
        <w:tc>
          <w:tcPr>
            <w:tcW w:w="395" w:type="pct"/>
            <w:tcBorders>
              <w:top w:val="single" w:sz="4" w:space="0" w:color="auto"/>
              <w:bottom w:val="single" w:sz="4" w:space="0" w:color="auto"/>
            </w:tcBorders>
          </w:tcPr>
          <w:p w14:paraId="7C74B1A9" w14:textId="0753647B"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13,628</w:t>
            </w:r>
          </w:p>
        </w:tc>
        <w:tc>
          <w:tcPr>
            <w:tcW w:w="394" w:type="pct"/>
            <w:tcBorders>
              <w:top w:val="single" w:sz="4" w:space="0" w:color="auto"/>
              <w:bottom w:val="single" w:sz="4" w:space="0" w:color="auto"/>
            </w:tcBorders>
          </w:tcPr>
          <w:p w14:paraId="23D0A159" w14:textId="54318100"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(50,128)</w:t>
            </w:r>
          </w:p>
        </w:tc>
        <w:tc>
          <w:tcPr>
            <w:tcW w:w="428" w:type="pct"/>
            <w:tcBorders>
              <w:top w:val="single" w:sz="4" w:space="0" w:color="auto"/>
              <w:bottom w:val="single" w:sz="4" w:space="0" w:color="auto"/>
            </w:tcBorders>
          </w:tcPr>
          <w:p w14:paraId="15CA9E0A" w14:textId="3CD5CB87"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w:t>
            </w:r>
          </w:p>
        </w:tc>
        <w:tc>
          <w:tcPr>
            <w:tcW w:w="494" w:type="pct"/>
            <w:tcBorders>
              <w:top w:val="single" w:sz="4" w:space="0" w:color="auto"/>
              <w:bottom w:val="single" w:sz="4" w:space="0" w:color="auto"/>
            </w:tcBorders>
          </w:tcPr>
          <w:p w14:paraId="191D9CC8" w14:textId="14350C95"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479,902</w:t>
            </w:r>
          </w:p>
        </w:tc>
        <w:tc>
          <w:tcPr>
            <w:tcW w:w="428" w:type="pct"/>
            <w:tcBorders>
              <w:top w:val="single" w:sz="4" w:space="0" w:color="auto"/>
              <w:bottom w:val="single" w:sz="4" w:space="0" w:color="auto"/>
            </w:tcBorders>
          </w:tcPr>
          <w:p w14:paraId="20147282" w14:textId="72204895"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439,990</w:t>
            </w:r>
          </w:p>
        </w:tc>
        <w:tc>
          <w:tcPr>
            <w:tcW w:w="360" w:type="pct"/>
            <w:tcBorders>
              <w:top w:val="single" w:sz="4" w:space="0" w:color="auto"/>
              <w:bottom w:val="single" w:sz="4" w:space="0" w:color="auto"/>
            </w:tcBorders>
          </w:tcPr>
          <w:p w14:paraId="4B79B480" w14:textId="05B30E06" w:rsidR="00417B1B" w:rsidRPr="005F65A1" w:rsidRDefault="008B26A5"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39,911</w:t>
            </w:r>
          </w:p>
        </w:tc>
      </w:tr>
    </w:tbl>
    <w:p w14:paraId="62CE1257" w14:textId="77777777" w:rsidR="00417B1B" w:rsidRPr="000C649F" w:rsidRDefault="00417B1B" w:rsidP="00417B1B">
      <w:pPr>
        <w:pStyle w:val="NotesText"/>
      </w:pPr>
      <w:r w:rsidRPr="000C649F">
        <w:t>Note:</w:t>
      </w:r>
    </w:p>
    <w:p w14:paraId="34ECAD7F" w14:textId="7D642931" w:rsidR="0019520B" w:rsidRDefault="0019520B" w:rsidP="00F110E7">
      <w:pPr>
        <w:pStyle w:val="NotesNumberedList"/>
        <w:numPr>
          <w:ilvl w:val="0"/>
          <w:numId w:val="19"/>
        </w:numPr>
      </w:pPr>
      <w:bookmarkStart w:id="263" w:name="Note23note1"/>
      <w:bookmarkStart w:id="264" w:name="Note23tablenote1"/>
      <w:bookmarkEnd w:id="263"/>
      <w:r>
        <w:t xml:space="preserve">Section 34 Financial Management Act 1994 (FMA): s34 provides the legal authority to reduce the appropriation in the current financial year to meet future payments. </w:t>
      </w:r>
      <w:r w:rsidR="009B1462">
        <w:t>Court Services Victoria</w:t>
      </w:r>
      <w:r>
        <w:t xml:space="preserve"> utilised s34 where detailed implementation planning for recent government initiatives resulted in outputs being rescheduled into the forward estimate years.</w:t>
      </w:r>
    </w:p>
    <w:p w14:paraId="76C8B475" w14:textId="1BE728DE" w:rsidR="0019520B" w:rsidRDefault="0019520B" w:rsidP="00F110E7">
      <w:pPr>
        <w:pStyle w:val="NotesNumberedList"/>
        <w:numPr>
          <w:ilvl w:val="0"/>
          <w:numId w:val="19"/>
        </w:numPr>
      </w:pPr>
      <w:bookmarkStart w:id="265" w:name="Note23note2"/>
      <w:r>
        <w:t>The variance is primarily related to rescheduling committed projects for delivery in future years.</w:t>
      </w:r>
    </w:p>
    <w:p w14:paraId="7D932277" w14:textId="7552D010" w:rsidR="00E952AB" w:rsidRDefault="0019520B" w:rsidP="00F110E7">
      <w:pPr>
        <w:pStyle w:val="NotesNumberedList"/>
        <w:numPr>
          <w:ilvl w:val="0"/>
          <w:numId w:val="19"/>
        </w:numPr>
      </w:pPr>
      <w:bookmarkStart w:id="266" w:name="Note23note3"/>
      <w:bookmarkEnd w:id="265"/>
      <w:bookmarkEnd w:id="266"/>
      <w:r>
        <w:t>Owners contributions by State Government is appropriations applied for additions to net assets from annual parliamentary appropriations and special appropriations.</w:t>
      </w:r>
      <w:bookmarkEnd w:id="264"/>
    </w:p>
    <w:p w14:paraId="137B0B1D" w14:textId="77777777" w:rsidR="00E952AB" w:rsidRDefault="00E952AB" w:rsidP="00417B1B">
      <w:pPr>
        <w:pStyle w:val="BodyText"/>
        <w:sectPr w:rsidR="00E952AB" w:rsidSect="000A6DCB">
          <w:pgSz w:w="23808" w:h="16840" w:orient="landscape" w:code="8"/>
          <w:pgMar w:top="1134" w:right="1134" w:bottom="1134" w:left="1134" w:header="567" w:footer="567" w:gutter="0"/>
          <w:cols w:space="720"/>
          <w:docGrid w:linePitch="299"/>
        </w:sectPr>
      </w:pPr>
    </w:p>
    <w:p w14:paraId="06C0DAA6" w14:textId="73D19C74" w:rsidR="00417B1B" w:rsidRPr="00995C0F" w:rsidRDefault="00E952AB" w:rsidP="00417B1B">
      <w:pPr>
        <w:pStyle w:val="BodyText"/>
      </w:pPr>
      <w:r>
        <w:t>The</w:t>
      </w:r>
      <w:r w:rsidR="00417B1B" w:rsidRPr="00995C0F">
        <w:t xml:space="preserve"> following table discloses the details of the compliance with special appropriations received by </w:t>
      </w:r>
      <w:r w:rsidR="009B1462">
        <w:t>Court Services Victoria</w:t>
      </w:r>
      <w:r w:rsidR="00030D71">
        <w:t xml:space="preserve"> </w:t>
      </w:r>
      <w:r w:rsidR="00417B1B" w:rsidRPr="00995C0F">
        <w:t>for the year.</w:t>
      </w:r>
    </w:p>
    <w:p w14:paraId="2F90B4B3" w14:textId="7C6A01CC" w:rsidR="00417B1B" w:rsidRDefault="00417B1B" w:rsidP="00417B1B">
      <w:pPr>
        <w:pStyle w:val="Heading4"/>
      </w:pPr>
      <w:r w:rsidRPr="00995C0F">
        <w:t xml:space="preserve">Summary </w:t>
      </w:r>
      <w:r w:rsidR="00172429">
        <w:t>of</w:t>
      </w:r>
      <w:r w:rsidR="009324A2">
        <w:t xml:space="preserve"> Compliance w</w:t>
      </w:r>
      <w:r w:rsidRPr="00995C0F">
        <w:t>ith Special Appropriations</w:t>
      </w:r>
    </w:p>
    <w:p w14:paraId="0086F3DD" w14:textId="39A11BEC" w:rsidR="000A6DCB" w:rsidRPr="000A6DCB" w:rsidRDefault="000A6DCB" w:rsidP="000A6DCB">
      <w:pPr>
        <w:pStyle w:val="BodyText"/>
      </w:pPr>
      <w:r w:rsidRPr="000A6DCB">
        <w:t>Purpose: Operating Costs</w:t>
      </w:r>
    </w:p>
    <w:tbl>
      <w:tblPr>
        <w:tblStyle w:val="AccessibleTableNumerical"/>
        <w:tblW w:w="5000" w:type="pct"/>
        <w:tblLook w:val="04A0" w:firstRow="1" w:lastRow="0" w:firstColumn="1" w:lastColumn="0" w:noHBand="0" w:noVBand="1"/>
      </w:tblPr>
      <w:tblGrid>
        <w:gridCol w:w="475"/>
        <w:gridCol w:w="2841"/>
        <w:gridCol w:w="4298"/>
        <w:gridCol w:w="1014"/>
        <w:gridCol w:w="1014"/>
      </w:tblGrid>
      <w:tr w:rsidR="00417B1B" w:rsidRPr="00995C0F" w14:paraId="7415B58F" w14:textId="77777777" w:rsidTr="000A6D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 w:type="pct"/>
          </w:tcPr>
          <w:p w14:paraId="5D70F8D0" w14:textId="511B31F7" w:rsidR="00417B1B" w:rsidRPr="00995C0F" w:rsidRDefault="00AC0BBF" w:rsidP="000A6DCB">
            <w:pPr>
              <w:pStyle w:val="TableText"/>
            </w:pPr>
            <w:bookmarkStart w:id="267" w:name="ColumnTitle_50"/>
            <w:r>
              <w:t>Item</w:t>
            </w:r>
          </w:p>
        </w:tc>
        <w:tc>
          <w:tcPr>
            <w:tcW w:w="1473" w:type="pct"/>
            <w:vAlign w:val="bottom"/>
          </w:tcPr>
          <w:p w14:paraId="52062FD5" w14:textId="77777777" w:rsidR="00417B1B" w:rsidRPr="00995C0F" w:rsidRDefault="00417B1B" w:rsidP="000A6DCB">
            <w:pPr>
              <w:pStyle w:val="TableText"/>
              <w:jc w:val="left"/>
              <w:cnfStyle w:val="100000000000" w:firstRow="1" w:lastRow="0" w:firstColumn="0" w:lastColumn="0" w:oddVBand="0" w:evenVBand="0" w:oddHBand="0" w:evenHBand="0" w:firstRowFirstColumn="0" w:firstRowLastColumn="0" w:lastRowFirstColumn="0" w:lastRowLastColumn="0"/>
            </w:pPr>
            <w:r w:rsidRPr="00995C0F">
              <w:t>Authority</w:t>
            </w:r>
          </w:p>
        </w:tc>
        <w:tc>
          <w:tcPr>
            <w:tcW w:w="2229" w:type="pct"/>
            <w:vAlign w:val="bottom"/>
          </w:tcPr>
          <w:p w14:paraId="5265EA46" w14:textId="1B2ABA47" w:rsidR="00417B1B" w:rsidRPr="00995C0F" w:rsidRDefault="00417B1B" w:rsidP="000A6DCB">
            <w:pPr>
              <w:pStyle w:val="TableText"/>
              <w:jc w:val="left"/>
              <w:cnfStyle w:val="100000000000" w:firstRow="1" w:lastRow="0" w:firstColumn="0" w:lastColumn="0" w:oddVBand="0" w:evenVBand="0" w:oddHBand="0" w:evenHBand="0" w:firstRowFirstColumn="0" w:firstRowLastColumn="0" w:lastRowFirstColumn="0" w:lastRowLastColumn="0"/>
            </w:pPr>
            <w:r w:rsidRPr="00995C0F">
              <w:t>Purpose</w:t>
            </w:r>
          </w:p>
        </w:tc>
        <w:tc>
          <w:tcPr>
            <w:tcW w:w="526" w:type="pct"/>
            <w:vAlign w:val="bottom"/>
          </w:tcPr>
          <w:p w14:paraId="2AD96EDA" w14:textId="563D5BCA" w:rsidR="00417B1B" w:rsidRPr="00995C0F" w:rsidRDefault="00030D71" w:rsidP="000A6DCB">
            <w:pPr>
              <w:pStyle w:val="TableText"/>
              <w:cnfStyle w:val="100000000000" w:firstRow="1" w:lastRow="0" w:firstColumn="0" w:lastColumn="0" w:oddVBand="0" w:evenVBand="0" w:oddHBand="0" w:evenHBand="0" w:firstRowFirstColumn="0" w:firstRowLastColumn="0" w:lastRowFirstColumn="0" w:lastRowLastColumn="0"/>
            </w:pPr>
            <w:r>
              <w:t>2020</w:t>
            </w:r>
            <w:r w:rsidR="00417B1B" w:rsidRPr="00995C0F">
              <w:t xml:space="preserve"> $'000</w:t>
            </w:r>
          </w:p>
        </w:tc>
        <w:tc>
          <w:tcPr>
            <w:tcW w:w="526" w:type="pct"/>
            <w:vAlign w:val="bottom"/>
          </w:tcPr>
          <w:p w14:paraId="727E587D" w14:textId="65D09148" w:rsidR="00417B1B" w:rsidRPr="00995C0F" w:rsidRDefault="00030D71" w:rsidP="000A6DCB">
            <w:pPr>
              <w:pStyle w:val="TableText"/>
              <w:cnfStyle w:val="100000000000" w:firstRow="1" w:lastRow="0" w:firstColumn="0" w:lastColumn="0" w:oddVBand="0" w:evenVBand="0" w:oddHBand="0" w:evenHBand="0" w:firstRowFirstColumn="0" w:firstRowLastColumn="0" w:lastRowFirstColumn="0" w:lastRowLastColumn="0"/>
            </w:pPr>
            <w:r>
              <w:t>2019</w:t>
            </w:r>
            <w:r w:rsidR="00417B1B" w:rsidRPr="00995C0F">
              <w:t xml:space="preserve"> $'000</w:t>
            </w:r>
          </w:p>
        </w:tc>
      </w:tr>
      <w:bookmarkEnd w:id="267"/>
      <w:tr w:rsidR="00417B1B" w:rsidRPr="00995C0F" w14:paraId="62E11112"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7FE31C6A" w14:textId="77777777" w:rsidR="00417B1B" w:rsidRPr="00995C0F" w:rsidRDefault="00417B1B" w:rsidP="000A6DCB">
            <w:pPr>
              <w:pStyle w:val="TableText"/>
            </w:pPr>
            <w:r w:rsidRPr="00995C0F">
              <w:t>1</w:t>
            </w:r>
          </w:p>
        </w:tc>
        <w:tc>
          <w:tcPr>
            <w:tcW w:w="1473" w:type="pct"/>
          </w:tcPr>
          <w:p w14:paraId="46C61D3F" w14:textId="7C9E7D2C"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BC1972">
              <w:rPr>
                <w:rStyle w:val="Italics"/>
                <w:i w:val="0"/>
                <w:iCs/>
              </w:rPr>
              <w:t>Constitution Act 1975</w:t>
            </w:r>
            <w:r w:rsidR="00BC1972">
              <w:br/>
            </w:r>
            <w:r w:rsidRPr="00995C0F">
              <w:t>(No. 8750/1975), s.82 (7)</w:t>
            </w:r>
          </w:p>
        </w:tc>
        <w:tc>
          <w:tcPr>
            <w:tcW w:w="2229" w:type="pct"/>
          </w:tcPr>
          <w:p w14:paraId="395CD4C7"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Judges of the Supreme Court of Victoria and the Chief Justice</w:t>
            </w:r>
          </w:p>
        </w:tc>
        <w:tc>
          <w:tcPr>
            <w:tcW w:w="526" w:type="pct"/>
          </w:tcPr>
          <w:p w14:paraId="395B966F" w14:textId="1A0D15CB"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27,577</w:t>
            </w:r>
          </w:p>
        </w:tc>
        <w:tc>
          <w:tcPr>
            <w:tcW w:w="526" w:type="pct"/>
          </w:tcPr>
          <w:p w14:paraId="09A6E663" w14:textId="11F97231"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26,608</w:t>
            </w:r>
          </w:p>
        </w:tc>
      </w:tr>
      <w:tr w:rsidR="00417B1B" w:rsidRPr="00995C0F" w14:paraId="12AB553B"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6F58C6B6" w14:textId="77777777" w:rsidR="00417B1B" w:rsidRPr="00995C0F" w:rsidRDefault="00417B1B" w:rsidP="000A6DCB">
            <w:pPr>
              <w:pStyle w:val="TableText"/>
            </w:pPr>
            <w:r w:rsidRPr="00995C0F">
              <w:t>2</w:t>
            </w:r>
          </w:p>
        </w:tc>
        <w:tc>
          <w:tcPr>
            <w:tcW w:w="1473" w:type="pct"/>
          </w:tcPr>
          <w:p w14:paraId="3BCC38E4" w14:textId="74D4FEB4"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Constitution Act 1975</w:t>
            </w:r>
            <w:r w:rsidR="00BC1972">
              <w:t>0</w:t>
            </w:r>
            <w:r w:rsidR="00BC1972">
              <w:br/>
            </w:r>
            <w:r w:rsidRPr="00995C0F">
              <w:t xml:space="preserve"> (No. 8750/1975), s.82 (7)</w:t>
            </w:r>
          </w:p>
        </w:tc>
        <w:tc>
          <w:tcPr>
            <w:tcW w:w="2229" w:type="pct"/>
          </w:tcPr>
          <w:p w14:paraId="24AF5793"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the President and Judges of the Court of Appeal Division of the Supreme Court of Victoria</w:t>
            </w:r>
          </w:p>
        </w:tc>
        <w:tc>
          <w:tcPr>
            <w:tcW w:w="526" w:type="pct"/>
          </w:tcPr>
          <w:p w14:paraId="75BF6696" w14:textId="6CF3851A"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8,554</w:t>
            </w:r>
          </w:p>
        </w:tc>
        <w:tc>
          <w:tcPr>
            <w:tcW w:w="526" w:type="pct"/>
          </w:tcPr>
          <w:p w14:paraId="4ACF6D92" w14:textId="1B9318CA"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7,971</w:t>
            </w:r>
          </w:p>
        </w:tc>
      </w:tr>
      <w:tr w:rsidR="00417B1B" w:rsidRPr="00995C0F" w14:paraId="3A126BDF"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51F16E15" w14:textId="77777777" w:rsidR="00417B1B" w:rsidRPr="00995C0F" w:rsidRDefault="00417B1B" w:rsidP="000A6DCB">
            <w:pPr>
              <w:pStyle w:val="TableText"/>
            </w:pPr>
            <w:r w:rsidRPr="00995C0F">
              <w:t>3</w:t>
            </w:r>
          </w:p>
        </w:tc>
        <w:tc>
          <w:tcPr>
            <w:tcW w:w="1473" w:type="pct"/>
          </w:tcPr>
          <w:p w14:paraId="3618F791" w14:textId="61A03BB9"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County Court Act 1958</w:t>
            </w:r>
            <w:r w:rsidR="00BC1972">
              <w:br/>
            </w:r>
            <w:r w:rsidRPr="00995C0F">
              <w:t>(No. 6230/1958) s.10 (7)</w:t>
            </w:r>
          </w:p>
        </w:tc>
        <w:tc>
          <w:tcPr>
            <w:tcW w:w="2229" w:type="pct"/>
          </w:tcPr>
          <w:p w14:paraId="76DE4AA4" w14:textId="7E94F50F"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Judges of the County Court</w:t>
            </w:r>
            <w:r w:rsidR="00D45E5B">
              <w:t xml:space="preserve"> </w:t>
            </w:r>
            <w:r w:rsidRPr="00995C0F">
              <w:t>of Victoria</w:t>
            </w:r>
          </w:p>
        </w:tc>
        <w:tc>
          <w:tcPr>
            <w:tcW w:w="526" w:type="pct"/>
          </w:tcPr>
          <w:p w14:paraId="48E27508" w14:textId="3329510F"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37,233</w:t>
            </w:r>
          </w:p>
        </w:tc>
        <w:tc>
          <w:tcPr>
            <w:tcW w:w="526" w:type="pct"/>
          </w:tcPr>
          <w:p w14:paraId="32B08CB3" w14:textId="66CD0711"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37,169</w:t>
            </w:r>
          </w:p>
        </w:tc>
      </w:tr>
      <w:tr w:rsidR="00417B1B" w:rsidRPr="00995C0F" w14:paraId="6066EA8E"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6FC1105E" w14:textId="77777777" w:rsidR="00417B1B" w:rsidRPr="00995C0F" w:rsidRDefault="00417B1B" w:rsidP="000A6DCB">
            <w:pPr>
              <w:pStyle w:val="TableText"/>
            </w:pPr>
            <w:r w:rsidRPr="00995C0F">
              <w:t>4</w:t>
            </w:r>
          </w:p>
        </w:tc>
        <w:tc>
          <w:tcPr>
            <w:tcW w:w="1473" w:type="pct"/>
          </w:tcPr>
          <w:p w14:paraId="5C9DD57E"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Victims of Crime Assistance Act 1996 (No. 81/1996), s.69</w:t>
            </w:r>
          </w:p>
        </w:tc>
        <w:tc>
          <w:tcPr>
            <w:tcW w:w="2229" w:type="pct"/>
          </w:tcPr>
          <w:p w14:paraId="2E14199E"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Operating costs of the Victims of Crime Assistance Tribunal</w:t>
            </w:r>
          </w:p>
        </w:tc>
        <w:tc>
          <w:tcPr>
            <w:tcW w:w="526" w:type="pct"/>
          </w:tcPr>
          <w:p w14:paraId="542789E1" w14:textId="5929AD77"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3,554</w:t>
            </w:r>
          </w:p>
        </w:tc>
        <w:tc>
          <w:tcPr>
            <w:tcW w:w="526" w:type="pct"/>
          </w:tcPr>
          <w:p w14:paraId="0BE16185" w14:textId="6F62770C"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3,384</w:t>
            </w:r>
          </w:p>
        </w:tc>
      </w:tr>
      <w:tr w:rsidR="00417B1B" w:rsidRPr="00995C0F" w14:paraId="2A149252"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67412F1D" w14:textId="77777777" w:rsidR="00417B1B" w:rsidRPr="00995C0F" w:rsidRDefault="00417B1B" w:rsidP="000A6DCB">
            <w:pPr>
              <w:pStyle w:val="TableText"/>
            </w:pPr>
            <w:r w:rsidRPr="00995C0F">
              <w:t>5</w:t>
            </w:r>
          </w:p>
        </w:tc>
        <w:tc>
          <w:tcPr>
            <w:tcW w:w="1473" w:type="pct"/>
          </w:tcPr>
          <w:p w14:paraId="4AB94A18"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Magistrates’ Court Act 1989 (No. 51/1989), sch.1 Pt 1 cl.10</w:t>
            </w:r>
          </w:p>
        </w:tc>
        <w:tc>
          <w:tcPr>
            <w:tcW w:w="2229" w:type="pct"/>
          </w:tcPr>
          <w:p w14:paraId="415C5D66"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Magistrates of the Magistrates’ Court of Victoria</w:t>
            </w:r>
          </w:p>
        </w:tc>
        <w:tc>
          <w:tcPr>
            <w:tcW w:w="526" w:type="pct"/>
          </w:tcPr>
          <w:p w14:paraId="0F77F45D" w14:textId="16D864B1"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69,315</w:t>
            </w:r>
          </w:p>
        </w:tc>
        <w:tc>
          <w:tcPr>
            <w:tcW w:w="526" w:type="pct"/>
          </w:tcPr>
          <w:p w14:paraId="07E65341" w14:textId="405FB65E"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63,332</w:t>
            </w:r>
          </w:p>
        </w:tc>
      </w:tr>
      <w:tr w:rsidR="00417B1B" w:rsidRPr="00995C0F" w14:paraId="561DC6AC"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723E25FC" w14:textId="77777777" w:rsidR="00417B1B" w:rsidRPr="00995C0F" w:rsidRDefault="00417B1B" w:rsidP="000A6DCB">
            <w:pPr>
              <w:pStyle w:val="TableText"/>
            </w:pPr>
            <w:r w:rsidRPr="00995C0F">
              <w:t>6</w:t>
            </w:r>
          </w:p>
        </w:tc>
        <w:tc>
          <w:tcPr>
            <w:tcW w:w="1473" w:type="pct"/>
          </w:tcPr>
          <w:p w14:paraId="5544185A"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Victorian Civil and Administrative Tribunal Act 53 of 1998 section 17AA</w:t>
            </w:r>
          </w:p>
        </w:tc>
        <w:tc>
          <w:tcPr>
            <w:tcW w:w="2229" w:type="pct"/>
          </w:tcPr>
          <w:p w14:paraId="30670C70" w14:textId="32E408F8"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Members of the Victorian</w:t>
            </w:r>
            <w:r w:rsidR="00D45E5B">
              <w:t xml:space="preserve"> </w:t>
            </w:r>
            <w:r w:rsidRPr="00995C0F">
              <w:t>Civil and Administrative Tribunal</w:t>
            </w:r>
          </w:p>
        </w:tc>
        <w:tc>
          <w:tcPr>
            <w:tcW w:w="526" w:type="pct"/>
          </w:tcPr>
          <w:p w14:paraId="7C54F30F" w14:textId="529DD30D"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21,476</w:t>
            </w:r>
          </w:p>
        </w:tc>
        <w:tc>
          <w:tcPr>
            <w:tcW w:w="526" w:type="pct"/>
          </w:tcPr>
          <w:p w14:paraId="61FD8680" w14:textId="52EA3D33"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19,444</w:t>
            </w:r>
          </w:p>
        </w:tc>
      </w:tr>
      <w:tr w:rsidR="00417B1B" w:rsidRPr="00995C0F" w14:paraId="17BF286B"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4F5B9D15" w14:textId="77777777" w:rsidR="00417B1B" w:rsidRPr="00995C0F" w:rsidRDefault="00417B1B" w:rsidP="000A6DCB">
            <w:pPr>
              <w:pStyle w:val="TableText"/>
            </w:pPr>
            <w:r w:rsidRPr="00995C0F">
              <w:t>7</w:t>
            </w:r>
          </w:p>
        </w:tc>
        <w:tc>
          <w:tcPr>
            <w:tcW w:w="1473" w:type="pct"/>
          </w:tcPr>
          <w:p w14:paraId="08A61E5A"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Juries Act 2000 (No. 53/2000), s.59</w:t>
            </w:r>
          </w:p>
        </w:tc>
        <w:tc>
          <w:tcPr>
            <w:tcW w:w="2229" w:type="pct"/>
          </w:tcPr>
          <w:p w14:paraId="67E70F80"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 xml:space="preserve">Compensation to jurors from the </w:t>
            </w:r>
            <w:proofErr w:type="spellStart"/>
            <w:r w:rsidRPr="00995C0F">
              <w:t>WorkCover</w:t>
            </w:r>
            <w:proofErr w:type="spellEnd"/>
            <w:r w:rsidRPr="00995C0F">
              <w:t xml:space="preserve"> Authority Fund under</w:t>
            </w:r>
            <w:r w:rsidRPr="00BC1972">
              <w:t xml:space="preserve"> the</w:t>
            </w:r>
            <w:r w:rsidRPr="00BC1972">
              <w:rPr>
                <w:i/>
                <w:iCs/>
              </w:rPr>
              <w:t xml:space="preserve"> </w:t>
            </w:r>
            <w:r w:rsidRPr="00BC1972">
              <w:rPr>
                <w:rStyle w:val="Italics"/>
                <w:i w:val="0"/>
                <w:iCs/>
              </w:rPr>
              <w:t>Accident Compensation Act 1985</w:t>
            </w:r>
          </w:p>
        </w:tc>
        <w:tc>
          <w:tcPr>
            <w:tcW w:w="526" w:type="pct"/>
          </w:tcPr>
          <w:p w14:paraId="264A932B" w14:textId="6CCE37AC"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16</w:t>
            </w:r>
          </w:p>
        </w:tc>
        <w:tc>
          <w:tcPr>
            <w:tcW w:w="526" w:type="pct"/>
          </w:tcPr>
          <w:p w14:paraId="15FCA128" w14:textId="6F842A57"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2</w:t>
            </w:r>
          </w:p>
        </w:tc>
      </w:tr>
      <w:tr w:rsidR="00417B1B" w:rsidRPr="00995C0F" w14:paraId="089831DA"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bottom w:val="single" w:sz="4" w:space="0" w:color="auto"/>
            </w:tcBorders>
          </w:tcPr>
          <w:p w14:paraId="1B7E3CC8" w14:textId="77777777" w:rsidR="00417B1B" w:rsidRPr="00995C0F" w:rsidRDefault="00417B1B" w:rsidP="000A6DCB">
            <w:pPr>
              <w:pStyle w:val="TableText"/>
            </w:pPr>
            <w:r w:rsidRPr="00995C0F">
              <w:t>8</w:t>
            </w:r>
          </w:p>
        </w:tc>
        <w:tc>
          <w:tcPr>
            <w:tcW w:w="1473" w:type="pct"/>
            <w:tcBorders>
              <w:bottom w:val="single" w:sz="4" w:space="0" w:color="auto"/>
            </w:tcBorders>
          </w:tcPr>
          <w:p w14:paraId="54EE8911"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Constitution Act No. 8750 - Section 87</w:t>
            </w:r>
            <w:proofErr w:type="gramStart"/>
            <w:r w:rsidRPr="00995C0F">
              <w:t>AAT(</w:t>
            </w:r>
            <w:proofErr w:type="gramEnd"/>
            <w:r w:rsidRPr="00995C0F">
              <w:t>5)</w:t>
            </w:r>
          </w:p>
        </w:tc>
        <w:tc>
          <w:tcPr>
            <w:tcW w:w="2229" w:type="pct"/>
            <w:tcBorders>
              <w:bottom w:val="single" w:sz="4" w:space="0" w:color="auto"/>
            </w:tcBorders>
          </w:tcPr>
          <w:p w14:paraId="5E0D24CB" w14:textId="3C593674"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Judicial Commission Investigation Panel</w:t>
            </w:r>
          </w:p>
        </w:tc>
        <w:tc>
          <w:tcPr>
            <w:tcW w:w="526" w:type="pct"/>
            <w:tcBorders>
              <w:bottom w:val="single" w:sz="4" w:space="0" w:color="auto"/>
            </w:tcBorders>
          </w:tcPr>
          <w:p w14:paraId="394974DC" w14:textId="2759F8A3"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10</w:t>
            </w:r>
          </w:p>
        </w:tc>
        <w:tc>
          <w:tcPr>
            <w:tcW w:w="526" w:type="pct"/>
            <w:tcBorders>
              <w:bottom w:val="single" w:sz="4" w:space="0" w:color="auto"/>
            </w:tcBorders>
          </w:tcPr>
          <w:p w14:paraId="5214F217" w14:textId="6DA7A324"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46</w:t>
            </w:r>
          </w:p>
        </w:tc>
      </w:tr>
      <w:tr w:rsidR="00417B1B" w:rsidRPr="00995C0F" w14:paraId="4BFF6A2B"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bottom w:val="single" w:sz="4" w:space="0" w:color="auto"/>
            </w:tcBorders>
          </w:tcPr>
          <w:p w14:paraId="51BD3556" w14:textId="31018EC8" w:rsidR="00417B1B" w:rsidRPr="00995C0F" w:rsidRDefault="00AC0BBF" w:rsidP="000A6DCB">
            <w:pPr>
              <w:pStyle w:val="TableText"/>
            </w:pPr>
            <w:r>
              <w:t>N/A</w:t>
            </w:r>
          </w:p>
        </w:tc>
        <w:tc>
          <w:tcPr>
            <w:tcW w:w="1473" w:type="pct"/>
            <w:tcBorders>
              <w:top w:val="single" w:sz="4" w:space="0" w:color="auto"/>
              <w:bottom w:val="single" w:sz="4" w:space="0" w:color="auto"/>
            </w:tcBorders>
          </w:tcPr>
          <w:p w14:paraId="62B40679" w14:textId="020CBABC" w:rsidR="00417B1B" w:rsidRPr="00880403" w:rsidRDefault="000A6DCB" w:rsidP="000A6DCB">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880403">
              <w:rPr>
                <w:rStyle w:val="Bold"/>
              </w:rPr>
              <w:t>Total</w:t>
            </w:r>
          </w:p>
        </w:tc>
        <w:tc>
          <w:tcPr>
            <w:tcW w:w="2229" w:type="pct"/>
            <w:tcBorders>
              <w:top w:val="single" w:sz="4" w:space="0" w:color="auto"/>
              <w:bottom w:val="single" w:sz="4" w:space="0" w:color="auto"/>
            </w:tcBorders>
          </w:tcPr>
          <w:p w14:paraId="2F692ED1" w14:textId="63C0E626" w:rsidR="00417B1B" w:rsidRPr="00995C0F" w:rsidRDefault="00AC0BBF" w:rsidP="000A6DCB">
            <w:pPr>
              <w:pStyle w:val="TableText"/>
              <w:jc w:val="left"/>
              <w:cnfStyle w:val="000000000000" w:firstRow="0" w:lastRow="0" w:firstColumn="0" w:lastColumn="0" w:oddVBand="0" w:evenVBand="0" w:oddHBand="0" w:evenHBand="0" w:firstRowFirstColumn="0" w:firstRowLastColumn="0" w:lastRowFirstColumn="0" w:lastRowLastColumn="0"/>
            </w:pPr>
            <w:r>
              <w:t>N/A</w:t>
            </w:r>
          </w:p>
        </w:tc>
        <w:tc>
          <w:tcPr>
            <w:tcW w:w="526" w:type="pct"/>
            <w:tcBorders>
              <w:top w:val="single" w:sz="4" w:space="0" w:color="auto"/>
              <w:bottom w:val="single" w:sz="4" w:space="0" w:color="auto"/>
            </w:tcBorders>
          </w:tcPr>
          <w:p w14:paraId="7135E01D" w14:textId="5633B383" w:rsidR="00417B1B" w:rsidRPr="00880403"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880403">
              <w:rPr>
                <w:rStyle w:val="Bold"/>
              </w:rPr>
              <w:t>167,736</w:t>
            </w:r>
          </w:p>
        </w:tc>
        <w:tc>
          <w:tcPr>
            <w:tcW w:w="526" w:type="pct"/>
            <w:tcBorders>
              <w:top w:val="single" w:sz="4" w:space="0" w:color="auto"/>
              <w:bottom w:val="single" w:sz="4" w:space="0" w:color="auto"/>
            </w:tcBorders>
          </w:tcPr>
          <w:p w14:paraId="3AE3B0B9" w14:textId="1E6978A2" w:rsidR="00417B1B" w:rsidRPr="00880403"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880403">
              <w:rPr>
                <w:rStyle w:val="Bold"/>
              </w:rPr>
              <w:t>157,954</w:t>
            </w:r>
          </w:p>
        </w:tc>
      </w:tr>
    </w:tbl>
    <w:p w14:paraId="67E8F436" w14:textId="14D06E78" w:rsidR="000A6DCB" w:rsidRPr="000A6DCB" w:rsidRDefault="000A6DCB" w:rsidP="009C456B">
      <w:pPr>
        <w:pageBreakBefore/>
      </w:pPr>
      <w:r w:rsidRPr="000A6DCB">
        <w:t>Purpose: Capital Component</w:t>
      </w:r>
    </w:p>
    <w:tbl>
      <w:tblPr>
        <w:tblStyle w:val="AccessibleTableNumerical"/>
        <w:tblW w:w="5000" w:type="pct"/>
        <w:tblLook w:val="04A0" w:firstRow="1" w:lastRow="0" w:firstColumn="1" w:lastColumn="0" w:noHBand="0" w:noVBand="1"/>
      </w:tblPr>
      <w:tblGrid>
        <w:gridCol w:w="475"/>
        <w:gridCol w:w="2841"/>
        <w:gridCol w:w="4298"/>
        <w:gridCol w:w="1014"/>
        <w:gridCol w:w="1014"/>
      </w:tblGrid>
      <w:tr w:rsidR="00417B1B" w:rsidRPr="00995C0F" w14:paraId="38936123" w14:textId="77777777" w:rsidTr="001A0F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 w:type="pct"/>
          </w:tcPr>
          <w:p w14:paraId="2098DFF8" w14:textId="7F17CD87" w:rsidR="00417B1B" w:rsidRPr="00995C0F" w:rsidRDefault="000A6DCB" w:rsidP="000A6DCB">
            <w:pPr>
              <w:pStyle w:val="TableText"/>
            </w:pPr>
            <w:bookmarkStart w:id="268" w:name="ColumnTitle_51"/>
            <w:r>
              <w:t>Item</w:t>
            </w:r>
          </w:p>
        </w:tc>
        <w:tc>
          <w:tcPr>
            <w:tcW w:w="1473" w:type="pct"/>
            <w:vAlign w:val="bottom"/>
          </w:tcPr>
          <w:p w14:paraId="23D4F999" w14:textId="77777777" w:rsidR="00417B1B" w:rsidRPr="00995C0F" w:rsidRDefault="00417B1B" w:rsidP="000A6DCB">
            <w:pPr>
              <w:pStyle w:val="TableText"/>
              <w:jc w:val="left"/>
              <w:cnfStyle w:val="100000000000" w:firstRow="1" w:lastRow="0" w:firstColumn="0" w:lastColumn="0" w:oddVBand="0" w:evenVBand="0" w:oddHBand="0" w:evenHBand="0" w:firstRowFirstColumn="0" w:firstRowLastColumn="0" w:lastRowFirstColumn="0" w:lastRowLastColumn="0"/>
            </w:pPr>
            <w:r w:rsidRPr="00995C0F">
              <w:t>Authority</w:t>
            </w:r>
          </w:p>
        </w:tc>
        <w:tc>
          <w:tcPr>
            <w:tcW w:w="2229" w:type="pct"/>
            <w:vAlign w:val="bottom"/>
          </w:tcPr>
          <w:p w14:paraId="3C782784" w14:textId="3A2B2E56" w:rsidR="00417B1B" w:rsidRPr="00995C0F" w:rsidRDefault="00417B1B" w:rsidP="000A6DCB">
            <w:pPr>
              <w:pStyle w:val="TableText"/>
              <w:jc w:val="left"/>
              <w:cnfStyle w:val="100000000000" w:firstRow="1" w:lastRow="0" w:firstColumn="0" w:lastColumn="0" w:oddVBand="0" w:evenVBand="0" w:oddHBand="0" w:evenHBand="0" w:firstRowFirstColumn="0" w:firstRowLastColumn="0" w:lastRowFirstColumn="0" w:lastRowLastColumn="0"/>
            </w:pPr>
            <w:r w:rsidRPr="00995C0F">
              <w:t>Purpose</w:t>
            </w:r>
          </w:p>
        </w:tc>
        <w:tc>
          <w:tcPr>
            <w:tcW w:w="526" w:type="pct"/>
            <w:vAlign w:val="bottom"/>
          </w:tcPr>
          <w:p w14:paraId="6890D0FC" w14:textId="012C0AEE" w:rsidR="00417B1B" w:rsidRPr="00995C0F" w:rsidRDefault="00030D71" w:rsidP="001A0FF4">
            <w:pPr>
              <w:pStyle w:val="TableText"/>
              <w:cnfStyle w:val="100000000000" w:firstRow="1" w:lastRow="0" w:firstColumn="0" w:lastColumn="0" w:oddVBand="0" w:evenVBand="0" w:oddHBand="0" w:evenHBand="0" w:firstRowFirstColumn="0" w:firstRowLastColumn="0" w:lastRowFirstColumn="0" w:lastRowLastColumn="0"/>
            </w:pPr>
            <w:r>
              <w:t>2020</w:t>
            </w:r>
            <w:r w:rsidR="00417B1B" w:rsidRPr="00995C0F">
              <w:br/>
              <w:t>$'000</w:t>
            </w:r>
          </w:p>
        </w:tc>
        <w:tc>
          <w:tcPr>
            <w:tcW w:w="526" w:type="pct"/>
            <w:vAlign w:val="bottom"/>
          </w:tcPr>
          <w:p w14:paraId="16AE522E" w14:textId="1065E934" w:rsidR="00417B1B" w:rsidRPr="00995C0F" w:rsidRDefault="00030D71" w:rsidP="001A0FF4">
            <w:pPr>
              <w:pStyle w:val="TableText"/>
              <w:cnfStyle w:val="100000000000" w:firstRow="1" w:lastRow="0" w:firstColumn="0" w:lastColumn="0" w:oddVBand="0" w:evenVBand="0" w:oddHBand="0" w:evenHBand="0" w:firstRowFirstColumn="0" w:firstRowLastColumn="0" w:lastRowFirstColumn="0" w:lastRowLastColumn="0"/>
            </w:pPr>
            <w:r>
              <w:t>2019</w:t>
            </w:r>
            <w:r w:rsidR="00417B1B" w:rsidRPr="00995C0F">
              <w:br/>
              <w:t>$'000</w:t>
            </w:r>
          </w:p>
        </w:tc>
      </w:tr>
      <w:bookmarkEnd w:id="268"/>
      <w:tr w:rsidR="00417B1B" w:rsidRPr="00995C0F" w14:paraId="79CC1CC4"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09025EEC" w14:textId="77777777" w:rsidR="00417B1B" w:rsidRPr="00995C0F" w:rsidRDefault="00417B1B" w:rsidP="000A6DCB">
            <w:pPr>
              <w:pStyle w:val="TableText"/>
            </w:pPr>
            <w:r w:rsidRPr="00995C0F">
              <w:t>9</w:t>
            </w:r>
          </w:p>
        </w:tc>
        <w:tc>
          <w:tcPr>
            <w:tcW w:w="1473" w:type="pct"/>
          </w:tcPr>
          <w:p w14:paraId="3B004A18"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Constitution Act 1975 (No. 8750/1975), s.82 (7)</w:t>
            </w:r>
          </w:p>
        </w:tc>
        <w:tc>
          <w:tcPr>
            <w:tcW w:w="2229" w:type="pct"/>
          </w:tcPr>
          <w:p w14:paraId="152743B4"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Judges of the Supreme Court of Victoria.</w:t>
            </w:r>
          </w:p>
        </w:tc>
        <w:tc>
          <w:tcPr>
            <w:tcW w:w="526" w:type="pct"/>
          </w:tcPr>
          <w:p w14:paraId="1E5D00B9" w14:textId="47E2A0A4"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341</w:t>
            </w:r>
          </w:p>
        </w:tc>
        <w:tc>
          <w:tcPr>
            <w:tcW w:w="526" w:type="pct"/>
          </w:tcPr>
          <w:p w14:paraId="70F172C0" w14:textId="7B80E3A5"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335</w:t>
            </w:r>
          </w:p>
        </w:tc>
      </w:tr>
      <w:tr w:rsidR="00417B1B" w:rsidRPr="00995C0F" w14:paraId="6851BD96"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2678967F" w14:textId="77777777" w:rsidR="00417B1B" w:rsidRPr="00995C0F" w:rsidRDefault="00417B1B" w:rsidP="000A6DCB">
            <w:pPr>
              <w:pStyle w:val="TableText"/>
            </w:pPr>
            <w:r w:rsidRPr="00995C0F">
              <w:t>10</w:t>
            </w:r>
          </w:p>
        </w:tc>
        <w:tc>
          <w:tcPr>
            <w:tcW w:w="1473" w:type="pct"/>
          </w:tcPr>
          <w:p w14:paraId="7B325362" w14:textId="76B88560"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Constitution Act 1975 (No. 8750/1975), s.82 (7)</w:t>
            </w:r>
          </w:p>
        </w:tc>
        <w:tc>
          <w:tcPr>
            <w:tcW w:w="2229" w:type="pct"/>
          </w:tcPr>
          <w:p w14:paraId="54B5E138" w14:textId="298514A0"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Judges of the Court of</w:t>
            </w:r>
            <w:r w:rsidR="00D45E5B">
              <w:t xml:space="preserve"> </w:t>
            </w:r>
            <w:r w:rsidRPr="00995C0F">
              <w:t>Appeals Supreme Court of Victoria</w:t>
            </w:r>
          </w:p>
        </w:tc>
        <w:tc>
          <w:tcPr>
            <w:tcW w:w="526" w:type="pct"/>
          </w:tcPr>
          <w:p w14:paraId="608DFCAE" w14:textId="68470F85"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111</w:t>
            </w:r>
          </w:p>
        </w:tc>
        <w:tc>
          <w:tcPr>
            <w:tcW w:w="526" w:type="pct"/>
          </w:tcPr>
          <w:p w14:paraId="42238929" w14:textId="39250F33"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104</w:t>
            </w:r>
          </w:p>
        </w:tc>
      </w:tr>
      <w:tr w:rsidR="00417B1B" w:rsidRPr="00995C0F" w14:paraId="3B6B2CB9"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22E31F93" w14:textId="77777777" w:rsidR="00417B1B" w:rsidRPr="00995C0F" w:rsidRDefault="00417B1B" w:rsidP="000A6DCB">
            <w:pPr>
              <w:pStyle w:val="TableText"/>
            </w:pPr>
            <w:r w:rsidRPr="00995C0F">
              <w:t>11</w:t>
            </w:r>
          </w:p>
        </w:tc>
        <w:tc>
          <w:tcPr>
            <w:tcW w:w="1473" w:type="pct"/>
          </w:tcPr>
          <w:p w14:paraId="7E3F1C72"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County Court Act 1958 (No. 6230/1958) s.10 (7)</w:t>
            </w:r>
          </w:p>
        </w:tc>
        <w:tc>
          <w:tcPr>
            <w:tcW w:w="2229" w:type="pct"/>
          </w:tcPr>
          <w:p w14:paraId="56333DA5" w14:textId="321CE7D0"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Judges of the County Court</w:t>
            </w:r>
            <w:r w:rsidR="00D45E5B">
              <w:t xml:space="preserve"> </w:t>
            </w:r>
            <w:r w:rsidRPr="00995C0F">
              <w:t>of Victoria</w:t>
            </w:r>
          </w:p>
        </w:tc>
        <w:tc>
          <w:tcPr>
            <w:tcW w:w="526" w:type="pct"/>
          </w:tcPr>
          <w:p w14:paraId="06D0C314" w14:textId="7019F434"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531</w:t>
            </w:r>
          </w:p>
        </w:tc>
        <w:tc>
          <w:tcPr>
            <w:tcW w:w="526" w:type="pct"/>
          </w:tcPr>
          <w:p w14:paraId="11D88B78" w14:textId="22E4638B"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569</w:t>
            </w:r>
          </w:p>
        </w:tc>
      </w:tr>
      <w:tr w:rsidR="00417B1B" w:rsidRPr="00995C0F" w14:paraId="2E9DA539" w14:textId="77777777" w:rsidTr="00AC0BBF">
        <w:tc>
          <w:tcPr>
            <w:cnfStyle w:val="001000000000" w:firstRow="0" w:lastRow="0" w:firstColumn="1" w:lastColumn="0" w:oddVBand="0" w:evenVBand="0" w:oddHBand="0" w:evenHBand="0" w:firstRowFirstColumn="0" w:firstRowLastColumn="0" w:lastRowFirstColumn="0" w:lastRowLastColumn="0"/>
            <w:tcW w:w="246" w:type="pct"/>
          </w:tcPr>
          <w:p w14:paraId="199F7C8B" w14:textId="77777777" w:rsidR="00417B1B" w:rsidRPr="00995C0F" w:rsidRDefault="00417B1B" w:rsidP="000A6DCB">
            <w:pPr>
              <w:pStyle w:val="TableText"/>
            </w:pPr>
            <w:r w:rsidRPr="00995C0F">
              <w:t>12</w:t>
            </w:r>
          </w:p>
        </w:tc>
        <w:tc>
          <w:tcPr>
            <w:tcW w:w="1473" w:type="pct"/>
          </w:tcPr>
          <w:p w14:paraId="167990FA"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Magistrates’ Court Act 1989 (No. 51/1989), sch.1 Pt 1 cl.10</w:t>
            </w:r>
          </w:p>
        </w:tc>
        <w:tc>
          <w:tcPr>
            <w:tcW w:w="2229" w:type="pct"/>
          </w:tcPr>
          <w:p w14:paraId="50BB8E4D"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Magistrates of the Magistrates’ Court of Victoria</w:t>
            </w:r>
          </w:p>
        </w:tc>
        <w:tc>
          <w:tcPr>
            <w:tcW w:w="526" w:type="pct"/>
          </w:tcPr>
          <w:p w14:paraId="464F04C0" w14:textId="68E123C0"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716</w:t>
            </w:r>
          </w:p>
        </w:tc>
        <w:tc>
          <w:tcPr>
            <w:tcW w:w="526" w:type="pct"/>
          </w:tcPr>
          <w:p w14:paraId="60761F5A" w14:textId="23BE5BC2"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855</w:t>
            </w:r>
          </w:p>
        </w:tc>
      </w:tr>
      <w:tr w:rsidR="00417B1B" w:rsidRPr="00995C0F" w14:paraId="3A14BF00"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bottom w:val="single" w:sz="4" w:space="0" w:color="auto"/>
            </w:tcBorders>
          </w:tcPr>
          <w:p w14:paraId="70D85A44" w14:textId="77777777" w:rsidR="00417B1B" w:rsidRPr="00995C0F" w:rsidRDefault="00417B1B" w:rsidP="000A6DCB">
            <w:pPr>
              <w:pStyle w:val="TableText"/>
            </w:pPr>
            <w:r w:rsidRPr="00995C0F">
              <w:t>13</w:t>
            </w:r>
          </w:p>
        </w:tc>
        <w:tc>
          <w:tcPr>
            <w:tcW w:w="1473" w:type="pct"/>
            <w:tcBorders>
              <w:bottom w:val="single" w:sz="4" w:space="0" w:color="auto"/>
            </w:tcBorders>
          </w:tcPr>
          <w:p w14:paraId="370BC562"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Victorian Civil and Administrative Tribunal Act 53 of 1998 section 17AA</w:t>
            </w:r>
          </w:p>
        </w:tc>
        <w:tc>
          <w:tcPr>
            <w:tcW w:w="2229" w:type="pct"/>
            <w:tcBorders>
              <w:bottom w:val="single" w:sz="4" w:space="0" w:color="auto"/>
            </w:tcBorders>
          </w:tcPr>
          <w:p w14:paraId="59A022FB" w14:textId="58D2F7DE"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Remuneration of Members of the Victorian</w:t>
            </w:r>
            <w:r w:rsidR="00D45E5B">
              <w:t xml:space="preserve"> </w:t>
            </w:r>
            <w:r w:rsidRPr="00995C0F">
              <w:t>Civil and Administrative Tribunal</w:t>
            </w:r>
          </w:p>
        </w:tc>
        <w:tc>
          <w:tcPr>
            <w:tcW w:w="526" w:type="pct"/>
            <w:tcBorders>
              <w:bottom w:val="single" w:sz="4" w:space="0" w:color="auto"/>
            </w:tcBorders>
          </w:tcPr>
          <w:p w14:paraId="6F6AE3FA" w14:textId="016A5FDB"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167</w:t>
            </w:r>
          </w:p>
        </w:tc>
        <w:tc>
          <w:tcPr>
            <w:tcW w:w="526" w:type="pct"/>
            <w:tcBorders>
              <w:bottom w:val="single" w:sz="4" w:space="0" w:color="auto"/>
            </w:tcBorders>
          </w:tcPr>
          <w:p w14:paraId="72B8E421" w14:textId="1DF6ABE2"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184</w:t>
            </w:r>
          </w:p>
        </w:tc>
      </w:tr>
      <w:tr w:rsidR="00417B1B" w:rsidRPr="00995C0F" w14:paraId="5CF5671C"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bottom w:val="nil"/>
            </w:tcBorders>
          </w:tcPr>
          <w:p w14:paraId="48F023F6" w14:textId="408750C5" w:rsidR="00417B1B" w:rsidRPr="00995C0F" w:rsidRDefault="00AC0BBF" w:rsidP="000A6DCB">
            <w:pPr>
              <w:pStyle w:val="TableText"/>
            </w:pPr>
            <w:r>
              <w:t>N/A</w:t>
            </w:r>
          </w:p>
        </w:tc>
        <w:tc>
          <w:tcPr>
            <w:tcW w:w="1473" w:type="pct"/>
            <w:tcBorders>
              <w:top w:val="single" w:sz="4" w:space="0" w:color="auto"/>
              <w:bottom w:val="nil"/>
            </w:tcBorders>
          </w:tcPr>
          <w:p w14:paraId="3FA080B7" w14:textId="2F064D3D" w:rsidR="00417B1B" w:rsidRPr="00194371" w:rsidRDefault="000A6DCB" w:rsidP="000A6DCB">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194371">
              <w:rPr>
                <w:rStyle w:val="Bold"/>
              </w:rPr>
              <w:t>Total</w:t>
            </w:r>
          </w:p>
        </w:tc>
        <w:tc>
          <w:tcPr>
            <w:tcW w:w="2229" w:type="pct"/>
            <w:tcBorders>
              <w:top w:val="single" w:sz="4" w:space="0" w:color="auto"/>
              <w:bottom w:val="nil"/>
            </w:tcBorders>
          </w:tcPr>
          <w:p w14:paraId="0B76B8FC" w14:textId="0275EB24" w:rsidR="00417B1B" w:rsidRPr="00995C0F" w:rsidRDefault="00AC0BBF" w:rsidP="000A6DCB">
            <w:pPr>
              <w:pStyle w:val="TableText"/>
              <w:jc w:val="left"/>
              <w:cnfStyle w:val="000000000000" w:firstRow="0" w:lastRow="0" w:firstColumn="0" w:lastColumn="0" w:oddVBand="0" w:evenVBand="0" w:oddHBand="0" w:evenHBand="0" w:firstRowFirstColumn="0" w:firstRowLastColumn="0" w:lastRowFirstColumn="0" w:lastRowLastColumn="0"/>
            </w:pPr>
            <w:r>
              <w:t>N/A</w:t>
            </w:r>
          </w:p>
        </w:tc>
        <w:tc>
          <w:tcPr>
            <w:tcW w:w="526" w:type="pct"/>
            <w:tcBorders>
              <w:top w:val="single" w:sz="4" w:space="0" w:color="auto"/>
              <w:bottom w:val="nil"/>
            </w:tcBorders>
          </w:tcPr>
          <w:p w14:paraId="64A3607B" w14:textId="159D5288" w:rsidR="00417B1B" w:rsidRPr="00194371"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4371">
              <w:rPr>
                <w:rStyle w:val="Bold"/>
              </w:rPr>
              <w:t>1,866</w:t>
            </w:r>
          </w:p>
        </w:tc>
        <w:tc>
          <w:tcPr>
            <w:tcW w:w="526" w:type="pct"/>
            <w:tcBorders>
              <w:top w:val="single" w:sz="4" w:space="0" w:color="auto"/>
              <w:bottom w:val="nil"/>
            </w:tcBorders>
          </w:tcPr>
          <w:p w14:paraId="6AB92CB7" w14:textId="3E7E12A6" w:rsidR="00417B1B" w:rsidRPr="00194371"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sidRPr="00194371">
              <w:rPr>
                <w:rStyle w:val="Bold"/>
              </w:rPr>
              <w:t>2,048</w:t>
            </w:r>
          </w:p>
        </w:tc>
      </w:tr>
      <w:tr w:rsidR="00417B1B" w:rsidRPr="00995C0F" w14:paraId="515617FB"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top w:val="nil"/>
              <w:bottom w:val="single" w:sz="4" w:space="0" w:color="auto"/>
            </w:tcBorders>
          </w:tcPr>
          <w:p w14:paraId="4D8175F6" w14:textId="00CA71A4" w:rsidR="00417B1B" w:rsidRPr="00995C0F" w:rsidRDefault="00AC0BBF" w:rsidP="000A6DCB">
            <w:pPr>
              <w:pStyle w:val="TableText"/>
            </w:pPr>
            <w:r>
              <w:t>N/A</w:t>
            </w:r>
          </w:p>
        </w:tc>
        <w:tc>
          <w:tcPr>
            <w:tcW w:w="1473" w:type="pct"/>
            <w:tcBorders>
              <w:top w:val="nil"/>
              <w:bottom w:val="single" w:sz="4" w:space="0" w:color="auto"/>
            </w:tcBorders>
          </w:tcPr>
          <w:p w14:paraId="7A974192" w14:textId="7777777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Administered Special Appropriations Applied: Victims of Crime Assistance Act 1996 (No 81/1996), s.69</w:t>
            </w:r>
          </w:p>
        </w:tc>
        <w:tc>
          <w:tcPr>
            <w:tcW w:w="2229" w:type="pct"/>
            <w:tcBorders>
              <w:top w:val="nil"/>
              <w:bottom w:val="single" w:sz="4" w:space="0" w:color="auto"/>
            </w:tcBorders>
          </w:tcPr>
          <w:p w14:paraId="17BB6AC3" w14:textId="5E47DE57" w:rsidR="00417B1B" w:rsidRPr="00995C0F" w:rsidRDefault="00417B1B" w:rsidP="000A6DCB">
            <w:pPr>
              <w:pStyle w:val="TableText"/>
              <w:jc w:val="left"/>
              <w:cnfStyle w:val="000000000000" w:firstRow="0" w:lastRow="0" w:firstColumn="0" w:lastColumn="0" w:oddVBand="0" w:evenVBand="0" w:oddHBand="0" w:evenHBand="0" w:firstRowFirstColumn="0" w:firstRowLastColumn="0" w:lastRowFirstColumn="0" w:lastRowLastColumn="0"/>
            </w:pPr>
            <w:r w:rsidRPr="00995C0F">
              <w:t xml:space="preserve">Costs incurred by the Victims of Crime Assistance Tribunal and payments </w:t>
            </w:r>
            <w:r w:rsidR="00030D71">
              <w:t>t</w:t>
            </w:r>
            <w:r w:rsidRPr="00995C0F">
              <w:t>o victims</w:t>
            </w:r>
            <w:r w:rsidR="00D45E5B">
              <w:t xml:space="preserve"> </w:t>
            </w:r>
            <w:r w:rsidRPr="00995C0F">
              <w:t>of crime</w:t>
            </w:r>
          </w:p>
        </w:tc>
        <w:tc>
          <w:tcPr>
            <w:tcW w:w="526" w:type="pct"/>
            <w:tcBorders>
              <w:top w:val="nil"/>
              <w:bottom w:val="single" w:sz="4" w:space="0" w:color="auto"/>
            </w:tcBorders>
          </w:tcPr>
          <w:p w14:paraId="0BFB83E6" w14:textId="3CE938D5"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45,146</w:t>
            </w:r>
          </w:p>
        </w:tc>
        <w:tc>
          <w:tcPr>
            <w:tcW w:w="526" w:type="pct"/>
            <w:tcBorders>
              <w:top w:val="nil"/>
              <w:bottom w:val="single" w:sz="4" w:space="0" w:color="auto"/>
            </w:tcBorders>
          </w:tcPr>
          <w:p w14:paraId="4AFFC5DA" w14:textId="44E4FE7E" w:rsidR="00417B1B" w:rsidRPr="00995C0F" w:rsidRDefault="00030D71" w:rsidP="000A6DCB">
            <w:pPr>
              <w:pStyle w:val="TableText"/>
              <w:cnfStyle w:val="000000000000" w:firstRow="0" w:lastRow="0" w:firstColumn="0" w:lastColumn="0" w:oddVBand="0" w:evenVBand="0" w:oddHBand="0" w:evenHBand="0" w:firstRowFirstColumn="0" w:firstRowLastColumn="0" w:lastRowFirstColumn="0" w:lastRowLastColumn="0"/>
            </w:pPr>
            <w:r>
              <w:t>46,008</w:t>
            </w:r>
          </w:p>
        </w:tc>
      </w:tr>
      <w:tr w:rsidR="00417B1B" w:rsidRPr="00995C0F" w14:paraId="3137536B" w14:textId="77777777" w:rsidTr="00D46E6D">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bottom w:val="single" w:sz="4" w:space="0" w:color="auto"/>
            </w:tcBorders>
          </w:tcPr>
          <w:p w14:paraId="6EE2E594" w14:textId="71763E79" w:rsidR="00417B1B" w:rsidRPr="00995C0F" w:rsidRDefault="00AC0BBF" w:rsidP="000A6DCB">
            <w:pPr>
              <w:pStyle w:val="TableText"/>
            </w:pPr>
            <w:r>
              <w:t>N/A</w:t>
            </w:r>
          </w:p>
        </w:tc>
        <w:tc>
          <w:tcPr>
            <w:tcW w:w="1473" w:type="pct"/>
            <w:tcBorders>
              <w:top w:val="single" w:sz="4" w:space="0" w:color="auto"/>
              <w:bottom w:val="single" w:sz="4" w:space="0" w:color="auto"/>
            </w:tcBorders>
          </w:tcPr>
          <w:p w14:paraId="118E401A" w14:textId="11C28EED" w:rsidR="00417B1B" w:rsidRPr="003A02D7" w:rsidRDefault="00E36764" w:rsidP="000A6DCB">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3A02D7">
              <w:rPr>
                <w:rStyle w:val="Bold"/>
              </w:rPr>
              <w:t>Total</w:t>
            </w:r>
          </w:p>
        </w:tc>
        <w:tc>
          <w:tcPr>
            <w:tcW w:w="2229" w:type="pct"/>
            <w:tcBorders>
              <w:top w:val="single" w:sz="4" w:space="0" w:color="auto"/>
              <w:bottom w:val="single" w:sz="4" w:space="0" w:color="auto"/>
            </w:tcBorders>
          </w:tcPr>
          <w:p w14:paraId="193DD720" w14:textId="3878002F" w:rsidR="00417B1B" w:rsidRPr="00995C0F" w:rsidRDefault="00AC0BBF" w:rsidP="000A6DCB">
            <w:pPr>
              <w:pStyle w:val="TableText"/>
              <w:jc w:val="left"/>
              <w:cnfStyle w:val="000000000000" w:firstRow="0" w:lastRow="0" w:firstColumn="0" w:lastColumn="0" w:oddVBand="0" w:evenVBand="0" w:oddHBand="0" w:evenHBand="0" w:firstRowFirstColumn="0" w:firstRowLastColumn="0" w:lastRowFirstColumn="0" w:lastRowLastColumn="0"/>
            </w:pPr>
            <w:r>
              <w:t>N/A</w:t>
            </w:r>
          </w:p>
        </w:tc>
        <w:tc>
          <w:tcPr>
            <w:tcW w:w="526" w:type="pct"/>
            <w:tcBorders>
              <w:top w:val="single" w:sz="4" w:space="0" w:color="auto"/>
              <w:bottom w:val="single" w:sz="4" w:space="0" w:color="auto"/>
            </w:tcBorders>
          </w:tcPr>
          <w:p w14:paraId="7472AA82" w14:textId="711EF902" w:rsidR="00417B1B" w:rsidRPr="003A02D7"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45,146</w:t>
            </w:r>
          </w:p>
        </w:tc>
        <w:tc>
          <w:tcPr>
            <w:tcW w:w="526" w:type="pct"/>
            <w:tcBorders>
              <w:top w:val="single" w:sz="4" w:space="0" w:color="auto"/>
              <w:bottom w:val="single" w:sz="4" w:space="0" w:color="auto"/>
            </w:tcBorders>
          </w:tcPr>
          <w:p w14:paraId="6E042CCB" w14:textId="3E25681D" w:rsidR="00417B1B" w:rsidRPr="003A02D7" w:rsidRDefault="00030D71" w:rsidP="000A6DC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46,008</w:t>
            </w:r>
          </w:p>
        </w:tc>
      </w:tr>
    </w:tbl>
    <w:p w14:paraId="28061B7F" w14:textId="2B7DB6F3" w:rsidR="00417B1B" w:rsidRDefault="003A02D7" w:rsidP="00417B1B">
      <w:pPr>
        <w:pStyle w:val="Heading3"/>
      </w:pPr>
      <w:bookmarkStart w:id="269" w:name="_Toc62808138"/>
      <w:r>
        <w:t xml:space="preserve">Note </w:t>
      </w:r>
      <w:bookmarkStart w:id="270" w:name="Note24"/>
      <w:r>
        <w:t xml:space="preserve">2.4 </w:t>
      </w:r>
      <w:bookmarkEnd w:id="270"/>
      <w:r>
        <w:t>Income f</w:t>
      </w:r>
      <w:r w:rsidR="00417B1B" w:rsidRPr="00995C0F">
        <w:t>rom Transactions</w:t>
      </w:r>
      <w:bookmarkEnd w:id="269"/>
    </w:p>
    <w:p w14:paraId="0D59ADAF" w14:textId="6C6AEB38" w:rsidR="00417B1B" w:rsidRDefault="00417B1B" w:rsidP="00417B1B">
      <w:pPr>
        <w:pStyle w:val="Heading4"/>
      </w:pPr>
      <w:bookmarkStart w:id="271" w:name="Note241"/>
      <w:r w:rsidRPr="005F2ACB">
        <w:t>2.4.1</w:t>
      </w:r>
      <w:bookmarkEnd w:id="271"/>
      <w:r w:rsidR="00092296">
        <w:tab/>
      </w:r>
      <w:r w:rsidRPr="005F2ACB">
        <w:t>Grants</w:t>
      </w:r>
    </w:p>
    <w:tbl>
      <w:tblPr>
        <w:tblStyle w:val="AccessibleTableNumerical"/>
        <w:tblW w:w="5000" w:type="pct"/>
        <w:tblLook w:val="04A0" w:firstRow="1" w:lastRow="0" w:firstColumn="1" w:lastColumn="0" w:noHBand="0" w:noVBand="1"/>
      </w:tblPr>
      <w:tblGrid>
        <w:gridCol w:w="4946"/>
        <w:gridCol w:w="2349"/>
        <w:gridCol w:w="2347"/>
      </w:tblGrid>
      <w:tr w:rsidR="00417B1B" w:rsidRPr="00995C0F" w14:paraId="055D5C92" w14:textId="77777777" w:rsidTr="00B17A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5" w:type="pct"/>
          </w:tcPr>
          <w:p w14:paraId="4468BE2F" w14:textId="1DB93EC6" w:rsidR="00417B1B" w:rsidRPr="00995C0F" w:rsidRDefault="00AC0BBF" w:rsidP="00AC0BBF">
            <w:pPr>
              <w:pStyle w:val="TableText"/>
            </w:pPr>
            <w:bookmarkStart w:id="272" w:name="ColumnTitle_52"/>
            <w:r>
              <w:t>Item</w:t>
            </w:r>
          </w:p>
        </w:tc>
        <w:tc>
          <w:tcPr>
            <w:tcW w:w="1218" w:type="pct"/>
            <w:vAlign w:val="bottom"/>
          </w:tcPr>
          <w:p w14:paraId="0154DFFA" w14:textId="16518203"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w:t>
            </w:r>
            <w:r w:rsidR="00030D71">
              <w:t>020</w:t>
            </w:r>
            <w:r w:rsidRPr="00F3420C">
              <w:br/>
              <w:t>$'000</w:t>
            </w:r>
          </w:p>
        </w:tc>
        <w:tc>
          <w:tcPr>
            <w:tcW w:w="1217" w:type="pct"/>
            <w:vAlign w:val="bottom"/>
          </w:tcPr>
          <w:p w14:paraId="30213790" w14:textId="124D1A72"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201</w:t>
            </w:r>
            <w:r w:rsidR="00030D71">
              <w:t>9</w:t>
            </w:r>
            <w:r w:rsidRPr="00F3420C">
              <w:br/>
              <w:t>$'000</w:t>
            </w:r>
          </w:p>
        </w:tc>
      </w:tr>
      <w:bookmarkEnd w:id="272"/>
      <w:tr w:rsidR="00417B1B" w:rsidRPr="00995C0F" w14:paraId="57FC099B" w14:textId="77777777" w:rsidTr="00B17ADB">
        <w:tc>
          <w:tcPr>
            <w:cnfStyle w:val="001000000000" w:firstRow="0" w:lastRow="0" w:firstColumn="1" w:lastColumn="0" w:oddVBand="0" w:evenVBand="0" w:oddHBand="0" w:evenHBand="0" w:firstRowFirstColumn="0" w:firstRowLastColumn="0" w:lastRowFirstColumn="0" w:lastRowLastColumn="0"/>
            <w:tcW w:w="2565" w:type="pct"/>
          </w:tcPr>
          <w:p w14:paraId="69B4F011" w14:textId="77777777" w:rsidR="00417B1B" w:rsidRPr="00995C0F" w:rsidRDefault="00417B1B" w:rsidP="00AC0BBF">
            <w:pPr>
              <w:pStyle w:val="TableText"/>
            </w:pPr>
            <w:r w:rsidRPr="00995C0F">
              <w:t>General government</w:t>
            </w:r>
          </w:p>
        </w:tc>
        <w:tc>
          <w:tcPr>
            <w:tcW w:w="1218" w:type="pct"/>
          </w:tcPr>
          <w:p w14:paraId="5D6AA603" w14:textId="5F2CA3A4" w:rsidR="00417B1B" w:rsidRPr="00F3420C" w:rsidRDefault="00030D71" w:rsidP="00F3420C">
            <w:pPr>
              <w:pStyle w:val="TableText"/>
              <w:cnfStyle w:val="000000000000" w:firstRow="0" w:lastRow="0" w:firstColumn="0" w:lastColumn="0" w:oddVBand="0" w:evenVBand="0" w:oddHBand="0" w:evenHBand="0" w:firstRowFirstColumn="0" w:firstRowLastColumn="0" w:lastRowFirstColumn="0" w:lastRowLastColumn="0"/>
            </w:pPr>
            <w:r>
              <w:t>25,238</w:t>
            </w:r>
          </w:p>
        </w:tc>
        <w:tc>
          <w:tcPr>
            <w:tcW w:w="1217" w:type="pct"/>
          </w:tcPr>
          <w:p w14:paraId="5F6F9D8D" w14:textId="5707EEF5" w:rsidR="00417B1B" w:rsidRPr="00F3420C" w:rsidRDefault="00030D71" w:rsidP="00F3420C">
            <w:pPr>
              <w:pStyle w:val="TableText"/>
              <w:cnfStyle w:val="000000000000" w:firstRow="0" w:lastRow="0" w:firstColumn="0" w:lastColumn="0" w:oddVBand="0" w:evenVBand="0" w:oddHBand="0" w:evenHBand="0" w:firstRowFirstColumn="0" w:firstRowLastColumn="0" w:lastRowFirstColumn="0" w:lastRowLastColumn="0"/>
            </w:pPr>
            <w:r>
              <w:t>27,693</w:t>
            </w:r>
          </w:p>
        </w:tc>
      </w:tr>
      <w:tr w:rsidR="00417B1B" w:rsidRPr="00995C0F" w14:paraId="4F3730F0" w14:textId="77777777" w:rsidTr="00D46E6D">
        <w:tc>
          <w:tcPr>
            <w:cnfStyle w:val="001000000000" w:firstRow="0" w:lastRow="0" w:firstColumn="1" w:lastColumn="0" w:oddVBand="0" w:evenVBand="0" w:oddHBand="0" w:evenHBand="0" w:firstRowFirstColumn="0" w:firstRowLastColumn="0" w:lastRowFirstColumn="0" w:lastRowLastColumn="0"/>
            <w:tcW w:w="2565" w:type="pct"/>
            <w:tcBorders>
              <w:bottom w:val="single" w:sz="4" w:space="0" w:color="auto"/>
            </w:tcBorders>
          </w:tcPr>
          <w:p w14:paraId="7B0961E9" w14:textId="77777777" w:rsidR="00417B1B" w:rsidRPr="00995C0F" w:rsidRDefault="00417B1B" w:rsidP="00AC0BBF">
            <w:pPr>
              <w:pStyle w:val="TableText"/>
            </w:pPr>
            <w:r w:rsidRPr="00995C0F">
              <w:t>Other specific purpose</w:t>
            </w:r>
          </w:p>
        </w:tc>
        <w:tc>
          <w:tcPr>
            <w:tcW w:w="1218" w:type="pct"/>
            <w:tcBorders>
              <w:bottom w:val="single" w:sz="4" w:space="0" w:color="auto"/>
            </w:tcBorders>
          </w:tcPr>
          <w:p w14:paraId="31FE2959" w14:textId="5C084181" w:rsidR="00417B1B" w:rsidRPr="00F3420C" w:rsidRDefault="00030D71" w:rsidP="00F3420C">
            <w:pPr>
              <w:pStyle w:val="TableText"/>
              <w:cnfStyle w:val="000000000000" w:firstRow="0" w:lastRow="0" w:firstColumn="0" w:lastColumn="0" w:oddVBand="0" w:evenVBand="0" w:oddHBand="0" w:evenHBand="0" w:firstRowFirstColumn="0" w:firstRowLastColumn="0" w:lastRowFirstColumn="0" w:lastRowLastColumn="0"/>
            </w:pPr>
            <w:r>
              <w:t>379</w:t>
            </w:r>
          </w:p>
        </w:tc>
        <w:tc>
          <w:tcPr>
            <w:tcW w:w="1217" w:type="pct"/>
            <w:tcBorders>
              <w:bottom w:val="single" w:sz="4" w:space="0" w:color="auto"/>
            </w:tcBorders>
          </w:tcPr>
          <w:p w14:paraId="7E84FEFD" w14:textId="2A474798" w:rsidR="00417B1B" w:rsidRPr="00F3420C" w:rsidRDefault="00030D71" w:rsidP="00F3420C">
            <w:pPr>
              <w:pStyle w:val="TableText"/>
              <w:cnfStyle w:val="000000000000" w:firstRow="0" w:lastRow="0" w:firstColumn="0" w:lastColumn="0" w:oddVBand="0" w:evenVBand="0" w:oddHBand="0" w:evenHBand="0" w:firstRowFirstColumn="0" w:firstRowLastColumn="0" w:lastRowFirstColumn="0" w:lastRowLastColumn="0"/>
            </w:pPr>
            <w:r>
              <w:t>471</w:t>
            </w:r>
          </w:p>
        </w:tc>
      </w:tr>
      <w:tr w:rsidR="00417B1B" w:rsidRPr="003A02D7" w14:paraId="1A6022EA" w14:textId="77777777" w:rsidTr="00D46E6D">
        <w:tc>
          <w:tcPr>
            <w:cnfStyle w:val="001000000000" w:firstRow="0" w:lastRow="0" w:firstColumn="1" w:lastColumn="0" w:oddVBand="0" w:evenVBand="0" w:oddHBand="0" w:evenHBand="0" w:firstRowFirstColumn="0" w:firstRowLastColumn="0" w:lastRowFirstColumn="0" w:lastRowLastColumn="0"/>
            <w:tcW w:w="2565" w:type="pct"/>
            <w:tcBorders>
              <w:top w:val="single" w:sz="4" w:space="0" w:color="auto"/>
              <w:bottom w:val="single" w:sz="4" w:space="0" w:color="auto"/>
            </w:tcBorders>
          </w:tcPr>
          <w:p w14:paraId="135D38F0" w14:textId="77777777" w:rsidR="00417B1B" w:rsidRPr="003A02D7" w:rsidRDefault="00417B1B" w:rsidP="00AC0BBF">
            <w:pPr>
              <w:pStyle w:val="TableText"/>
              <w:rPr>
                <w:rStyle w:val="Bold"/>
              </w:rPr>
            </w:pPr>
            <w:r w:rsidRPr="003A02D7">
              <w:rPr>
                <w:rStyle w:val="Bold"/>
              </w:rPr>
              <w:t>Total grants</w:t>
            </w:r>
          </w:p>
        </w:tc>
        <w:tc>
          <w:tcPr>
            <w:tcW w:w="1218" w:type="pct"/>
            <w:tcBorders>
              <w:top w:val="single" w:sz="4" w:space="0" w:color="auto"/>
              <w:bottom w:val="single" w:sz="4" w:space="0" w:color="auto"/>
            </w:tcBorders>
          </w:tcPr>
          <w:p w14:paraId="7A5E092E" w14:textId="64F08929" w:rsidR="00417B1B" w:rsidRPr="003A02D7" w:rsidRDefault="00030D71" w:rsidP="00F3420C">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25,617</w:t>
            </w:r>
          </w:p>
        </w:tc>
        <w:tc>
          <w:tcPr>
            <w:tcW w:w="1217" w:type="pct"/>
            <w:tcBorders>
              <w:top w:val="single" w:sz="4" w:space="0" w:color="auto"/>
              <w:bottom w:val="single" w:sz="4" w:space="0" w:color="auto"/>
            </w:tcBorders>
          </w:tcPr>
          <w:p w14:paraId="04931A2F" w14:textId="2FED8392" w:rsidR="00417B1B" w:rsidRPr="003A02D7" w:rsidRDefault="00030D71" w:rsidP="00F3420C">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28,164</w:t>
            </w:r>
          </w:p>
        </w:tc>
      </w:tr>
    </w:tbl>
    <w:p w14:paraId="65214FDC" w14:textId="076CE5F7" w:rsidR="00B17ADB" w:rsidRDefault="009B1462" w:rsidP="00B17ADB">
      <w:pPr>
        <w:pStyle w:val="BodyText"/>
      </w:pPr>
      <w:r>
        <w:t>Court Services Victoria</w:t>
      </w:r>
      <w:r w:rsidR="00B17ADB">
        <w:t xml:space="preserve"> has determined that all Grant Revenue is recognised as income in accordance with AASB 1058 as all Grants received are not enforceable and does not have sufficiently specific performance obligations to be accounted for as contracts with customers in accordance with AASB 15.</w:t>
      </w:r>
    </w:p>
    <w:p w14:paraId="3489EDB1" w14:textId="77777777" w:rsidR="00B17ADB" w:rsidRDefault="00B17ADB" w:rsidP="00A95832">
      <w:pPr>
        <w:pStyle w:val="Heading5"/>
      </w:pPr>
      <w:r>
        <w:t>Previous accounting policy for 30 June 2019</w:t>
      </w:r>
    </w:p>
    <w:p w14:paraId="38095C30" w14:textId="39671D8F" w:rsidR="00B17ADB" w:rsidRDefault="00B17ADB" w:rsidP="00B17ADB">
      <w:pPr>
        <w:pStyle w:val="BodyText"/>
      </w:pPr>
      <w:r>
        <w:t xml:space="preserve">Grant income arises from transactions in which a party provides goods or assets (or extinguishes a liability) to </w:t>
      </w:r>
      <w:r w:rsidR="009B1462">
        <w:t>Court Services Victoria</w:t>
      </w:r>
      <w:r>
        <w:t xml:space="preserve"> without receiving approximately equal value in return. While grants may result in the provision of some goods or services to the transferring party, they do not provide a claim to receive benefits directly of approximately equal value (and are termed ‘non-reciprocal’ transfers). Receipt and sacrifice of approximately equal value may occur, but only by coincidence. For non-reciprocal grants, </w:t>
      </w:r>
      <w:r w:rsidR="009B1462">
        <w:t>Court Services Victoria</w:t>
      </w:r>
      <w:r>
        <w:t xml:space="preserve"> recognises revenue when the grant is receivable or received.</w:t>
      </w:r>
    </w:p>
    <w:p w14:paraId="4159BA11" w14:textId="2347653C" w:rsidR="00B17ADB" w:rsidRDefault="00B17ADB" w:rsidP="00B17ADB">
      <w:pPr>
        <w:pStyle w:val="BodyText"/>
      </w:pPr>
      <w:r>
        <w:t xml:space="preserve">Grants can be received as </w:t>
      </w:r>
      <w:proofErr w:type="gramStart"/>
      <w:r>
        <w:t>general purpose</w:t>
      </w:r>
      <w:proofErr w:type="gramEnd"/>
      <w:r>
        <w:t xml:space="preserve"> grants, that refers to grants which are not subject to conditions regarding their use. Alternatively, they may be received as specific purpose grants, which are paid for a particular purpose and/or have conditions attached regarding their use.</w:t>
      </w:r>
    </w:p>
    <w:p w14:paraId="2052969C" w14:textId="611A977A" w:rsidR="00322440" w:rsidRDefault="00B17ADB" w:rsidP="00B17ADB">
      <w:pPr>
        <w:pStyle w:val="BodyText"/>
      </w:pPr>
      <w:r>
        <w:t>Some grants are reciprocal in nature (</w:t>
      </w:r>
      <w:proofErr w:type="gramStart"/>
      <w:r>
        <w:t>i.e.</w:t>
      </w:r>
      <w:proofErr w:type="gramEnd"/>
      <w:r>
        <w:t xml:space="preserve"> equal value is given back by the recipient of the grant to the provider). </w:t>
      </w:r>
      <w:r w:rsidR="009B1462">
        <w:t>Court Services Victoria</w:t>
      </w:r>
      <w:r>
        <w:t xml:space="preserve"> recognises the income when it has satisfied its performance obligations under the terms of the grant.</w:t>
      </w:r>
    </w:p>
    <w:p w14:paraId="6B2085CA" w14:textId="337EBD46" w:rsidR="00B17ADB" w:rsidRDefault="00A95832" w:rsidP="00A95832">
      <w:pPr>
        <w:pStyle w:val="Heading3"/>
      </w:pPr>
      <w:bookmarkStart w:id="273" w:name="Note25"/>
      <w:bookmarkStart w:id="274" w:name="_Toc62808139"/>
      <w:r>
        <w:t>Note 2.5</w:t>
      </w:r>
      <w:r w:rsidR="00092296">
        <w:t xml:space="preserve"> </w:t>
      </w:r>
      <w:bookmarkEnd w:id="273"/>
      <w:r>
        <w:t>Annotated Income Agreements</w:t>
      </w:r>
      <w:bookmarkEnd w:id="274"/>
    </w:p>
    <w:p w14:paraId="4009409F" w14:textId="470366E5" w:rsidR="00B17ADB" w:rsidRDefault="009B1462" w:rsidP="00B17ADB">
      <w:pPr>
        <w:pStyle w:val="BodyText"/>
      </w:pPr>
      <w:r>
        <w:t>Court Services Victoria</w:t>
      </w:r>
      <w:r w:rsidR="00B17ADB">
        <w:t xml:space="preserve"> is permitted under section 29 of the FMA to have certain income annotated to the annual appropriation. The income which forms part of section 29 agreement is recognised by </w:t>
      </w:r>
      <w:r>
        <w:t>Court Services Victoria</w:t>
      </w:r>
      <w:r w:rsidR="00B17ADB">
        <w:t xml:space="preserve"> as an administered item and the receipts paid into the consolidated fund. At the point of income recognition, section 29 provides for an equivalent amount to be added to the annual appropriation.</w:t>
      </w:r>
    </w:p>
    <w:p w14:paraId="4FA86ED5" w14:textId="4DB7BEFA" w:rsidR="00B17ADB" w:rsidRDefault="00B17ADB" w:rsidP="00B17ADB">
      <w:pPr>
        <w:pStyle w:val="BodyText"/>
      </w:pPr>
      <w:r>
        <w:t xml:space="preserve">The Treasurer has approved the Court Fees, Victorian </w:t>
      </w:r>
      <w:proofErr w:type="spellStart"/>
      <w:r>
        <w:t>WorkCover</w:t>
      </w:r>
      <w:proofErr w:type="spellEnd"/>
      <w:r>
        <w:t xml:space="preserve"> Authority, and Retail Sale of Courts Data annotated income agreement of $73.0 million (2019: $76.0 million).</w:t>
      </w:r>
    </w:p>
    <w:p w14:paraId="693D15F3" w14:textId="74AC0BE6" w:rsidR="00B17ADB" w:rsidRDefault="00B17ADB" w:rsidP="00B17ADB">
      <w:pPr>
        <w:pStyle w:val="BodyText"/>
      </w:pPr>
      <w:r>
        <w:t xml:space="preserve">The annotated income forms part of the annual appropriation received from the Victorian Government as disclosed in </w:t>
      </w:r>
      <w:hyperlink w:anchor="Note23" w:history="1">
        <w:r w:rsidR="009D72B1" w:rsidRPr="009D72B1">
          <w:t>Note 2.3</w:t>
        </w:r>
      </w:hyperlink>
      <w:r>
        <w:t>.</w:t>
      </w:r>
    </w:p>
    <w:p w14:paraId="762164FC" w14:textId="6B27ABA2" w:rsidR="00417B1B" w:rsidRDefault="00417B1B" w:rsidP="00C565BD">
      <w:pPr>
        <w:pStyle w:val="Heading2"/>
      </w:pPr>
      <w:bookmarkStart w:id="275" w:name="_Note_3._The"/>
      <w:bookmarkStart w:id="276" w:name="_Ref22644020"/>
      <w:bookmarkStart w:id="277" w:name="_Toc62808140"/>
      <w:bookmarkEnd w:id="275"/>
      <w:r>
        <w:t xml:space="preserve">Note </w:t>
      </w:r>
      <w:bookmarkStart w:id="278" w:name="Note3"/>
      <w:r>
        <w:t>3</w:t>
      </w:r>
      <w:bookmarkEnd w:id="278"/>
      <w:r>
        <w:t>.</w:t>
      </w:r>
      <w:r>
        <w:tab/>
      </w:r>
      <w:r w:rsidR="003A02D7">
        <w:t>T</w:t>
      </w:r>
      <w:r w:rsidR="00E952AB">
        <w:t>he</w:t>
      </w:r>
      <w:r>
        <w:t xml:space="preserve"> Cost </w:t>
      </w:r>
      <w:r w:rsidR="00172429">
        <w:t>of</w:t>
      </w:r>
      <w:r>
        <w:t xml:space="preserve"> Delivering Services</w:t>
      </w:r>
      <w:bookmarkEnd w:id="276"/>
      <w:bookmarkEnd w:id="277"/>
    </w:p>
    <w:p w14:paraId="7A2C0E74" w14:textId="77777777" w:rsidR="00417B1B" w:rsidRDefault="00417B1B" w:rsidP="00417B1B">
      <w:pPr>
        <w:pStyle w:val="Heading3"/>
      </w:pPr>
      <w:bookmarkStart w:id="279" w:name="_Toc62808141"/>
      <w:r>
        <w:t>Introduction</w:t>
      </w:r>
      <w:bookmarkEnd w:id="279"/>
    </w:p>
    <w:p w14:paraId="444A7ECE" w14:textId="5971DABE" w:rsidR="00A95832" w:rsidRDefault="00A95832" w:rsidP="00A95832">
      <w:pPr>
        <w:pStyle w:val="BodyText"/>
      </w:pPr>
      <w:r>
        <w:t xml:space="preserve">This section provides an account of the expenses incurred by </w:t>
      </w:r>
      <w:r w:rsidR="009B1462">
        <w:t>Court Services Victoria</w:t>
      </w:r>
      <w:r>
        <w:t xml:space="preserve"> in delivering the services and outputs it received income for, as outlined in </w:t>
      </w:r>
      <w:hyperlink w:anchor="Section2" w:history="1">
        <w:r w:rsidR="00546B78" w:rsidRPr="00546B78">
          <w:t>section 2</w:t>
        </w:r>
      </w:hyperlink>
      <w:r>
        <w:t>.</w:t>
      </w:r>
    </w:p>
    <w:p w14:paraId="142A22F9" w14:textId="77777777" w:rsidR="00417B1B" w:rsidRPr="00460432" w:rsidRDefault="00417B1B" w:rsidP="00460432">
      <w:pPr>
        <w:pStyle w:val="BodyText"/>
        <w:rPr>
          <w:rStyle w:val="Bold"/>
        </w:rPr>
      </w:pPr>
      <w:r w:rsidRPr="00460432">
        <w:rPr>
          <w:rStyle w:val="Bold"/>
        </w:rPr>
        <w:t>Structure</w:t>
      </w:r>
    </w:p>
    <w:p w14:paraId="2F8C5ACA" w14:textId="2A1BE315" w:rsidR="00417B1B" w:rsidRDefault="003045FF" w:rsidP="00F3420C">
      <w:pPr>
        <w:pStyle w:val="NoSpacing"/>
      </w:pPr>
      <w:r>
        <w:fldChar w:fldCharType="begin"/>
      </w:r>
      <w:r>
        <w:instrText xml:space="preserve"> REF Note31 \h </w:instrText>
      </w:r>
      <w:r>
        <w:fldChar w:fldCharType="separate"/>
      </w:r>
      <w:r w:rsidR="00D46E6D">
        <w:t xml:space="preserve">3.1 </w:t>
      </w:r>
      <w:r>
        <w:fldChar w:fldCharType="end"/>
      </w:r>
      <w:r w:rsidR="00417B1B" w:rsidRPr="003045FF">
        <w:tab/>
        <w:t>Expenses incurred in delivery of services</w:t>
      </w:r>
    </w:p>
    <w:p w14:paraId="3683B0EE" w14:textId="441E07E3" w:rsidR="00417B1B" w:rsidRDefault="003045FF" w:rsidP="00F3420C">
      <w:pPr>
        <w:pStyle w:val="NoSpacing"/>
      </w:pPr>
      <w:r>
        <w:fldChar w:fldCharType="begin"/>
      </w:r>
      <w:r>
        <w:instrText xml:space="preserve"> REF Note32 \h </w:instrText>
      </w:r>
      <w:r>
        <w:fldChar w:fldCharType="separate"/>
      </w:r>
      <w:r w:rsidR="00D46E6D" w:rsidRPr="005D2F2E">
        <w:t xml:space="preserve">3.2 </w:t>
      </w:r>
      <w:r>
        <w:fldChar w:fldCharType="end"/>
      </w:r>
      <w:r w:rsidR="00417B1B">
        <w:tab/>
        <w:t>Grant and other transfers</w:t>
      </w:r>
    </w:p>
    <w:p w14:paraId="7527611E" w14:textId="2BA52A5D" w:rsidR="00417B1B" w:rsidRDefault="00C9062D" w:rsidP="00F3420C">
      <w:pPr>
        <w:pStyle w:val="NoSpacing"/>
      </w:pPr>
      <w:hyperlink w:anchor="Note33" w:history="1">
        <w:r w:rsidR="00857B1E" w:rsidRPr="00857B1E">
          <w:t>3.3</w:t>
        </w:r>
      </w:hyperlink>
      <w:r w:rsidR="00417B1B">
        <w:tab/>
        <w:t>Capital asset charge</w:t>
      </w:r>
    </w:p>
    <w:p w14:paraId="02C5A0C2" w14:textId="06EE6ACB" w:rsidR="00417B1B" w:rsidRDefault="003045FF" w:rsidP="00F3420C">
      <w:pPr>
        <w:pStyle w:val="NoSpacing"/>
      </w:pPr>
      <w:r>
        <w:fldChar w:fldCharType="begin"/>
      </w:r>
      <w:r>
        <w:instrText xml:space="preserve"> REF Note34 \h </w:instrText>
      </w:r>
      <w:r>
        <w:fldChar w:fldCharType="separate"/>
      </w:r>
      <w:r w:rsidR="00D46E6D">
        <w:t xml:space="preserve">3.4 </w:t>
      </w:r>
      <w:r>
        <w:fldChar w:fldCharType="end"/>
      </w:r>
      <w:r w:rsidR="00417B1B">
        <w:tab/>
        <w:t>Supplies and services</w:t>
      </w:r>
    </w:p>
    <w:p w14:paraId="72B4D278" w14:textId="77777777" w:rsidR="00417B1B" w:rsidRDefault="00417B1B" w:rsidP="00417B1B">
      <w:pPr>
        <w:pStyle w:val="Heading3"/>
      </w:pPr>
      <w:bookmarkStart w:id="280" w:name="_Toc62808142"/>
      <w:r>
        <w:t xml:space="preserve">Note </w:t>
      </w:r>
      <w:bookmarkStart w:id="281" w:name="Note31"/>
      <w:r>
        <w:t xml:space="preserve">3.1 </w:t>
      </w:r>
      <w:bookmarkEnd w:id="281"/>
      <w:r>
        <w:t>Expenses incurred in delivery of services</w:t>
      </w:r>
      <w:bookmarkEnd w:id="280"/>
    </w:p>
    <w:tbl>
      <w:tblPr>
        <w:tblStyle w:val="AccessibleTableNumerical"/>
        <w:tblW w:w="5000" w:type="pct"/>
        <w:tblLook w:val="04E0" w:firstRow="1" w:lastRow="1" w:firstColumn="1" w:lastColumn="0" w:noHBand="0" w:noVBand="1"/>
      </w:tblPr>
      <w:tblGrid>
        <w:gridCol w:w="4993"/>
        <w:gridCol w:w="1550"/>
        <w:gridCol w:w="1550"/>
        <w:gridCol w:w="1549"/>
      </w:tblGrid>
      <w:tr w:rsidR="00417B1B" w:rsidRPr="00995C0F" w14:paraId="178092AD" w14:textId="77777777" w:rsidTr="00304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9" w:type="pct"/>
          </w:tcPr>
          <w:p w14:paraId="1DFB34F1" w14:textId="63288466" w:rsidR="00417B1B" w:rsidRPr="00995C0F" w:rsidRDefault="00AC0BBF" w:rsidP="00AC0BBF">
            <w:pPr>
              <w:pStyle w:val="TableText"/>
            </w:pPr>
            <w:bookmarkStart w:id="282" w:name="ColumnTitle_53"/>
            <w:r>
              <w:t>Item</w:t>
            </w:r>
          </w:p>
        </w:tc>
        <w:tc>
          <w:tcPr>
            <w:tcW w:w="804" w:type="pct"/>
            <w:vAlign w:val="bottom"/>
          </w:tcPr>
          <w:p w14:paraId="492AC8F5" w14:textId="77777777" w:rsidR="00417B1B" w:rsidRPr="00F3420C" w:rsidRDefault="00417B1B" w:rsidP="003045FF">
            <w:pPr>
              <w:pStyle w:val="TableText"/>
              <w:cnfStyle w:val="100000000000" w:firstRow="1" w:lastRow="0" w:firstColumn="0" w:lastColumn="0" w:oddVBand="0" w:evenVBand="0" w:oddHBand="0" w:evenHBand="0" w:firstRowFirstColumn="0" w:firstRowLastColumn="0" w:lastRowFirstColumn="0" w:lastRowLastColumn="0"/>
            </w:pPr>
            <w:r w:rsidRPr="00F3420C">
              <w:t>Notes</w:t>
            </w:r>
          </w:p>
        </w:tc>
        <w:tc>
          <w:tcPr>
            <w:tcW w:w="804" w:type="pct"/>
            <w:vAlign w:val="bottom"/>
          </w:tcPr>
          <w:p w14:paraId="096C3CD1" w14:textId="1EE84718"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20</w:t>
            </w:r>
            <w:r w:rsidR="00A95832">
              <w:t>20</w:t>
            </w:r>
            <w:r w:rsidRPr="00F3420C">
              <w:br/>
              <w:t>$'000</w:t>
            </w:r>
          </w:p>
        </w:tc>
        <w:tc>
          <w:tcPr>
            <w:tcW w:w="804" w:type="pct"/>
            <w:vAlign w:val="bottom"/>
          </w:tcPr>
          <w:p w14:paraId="1865E14A" w14:textId="1540A8C5"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201</w:t>
            </w:r>
            <w:r w:rsidR="00A95832">
              <w:t>9</w:t>
            </w:r>
            <w:r w:rsidRPr="00F3420C">
              <w:br/>
              <w:t>$'000</w:t>
            </w:r>
          </w:p>
        </w:tc>
      </w:tr>
      <w:bookmarkEnd w:id="282"/>
      <w:tr w:rsidR="00417B1B" w:rsidRPr="00995C0F" w14:paraId="139A630C" w14:textId="77777777" w:rsidTr="003045FF">
        <w:tc>
          <w:tcPr>
            <w:cnfStyle w:val="001000000000" w:firstRow="0" w:lastRow="0" w:firstColumn="1" w:lastColumn="0" w:oddVBand="0" w:evenVBand="0" w:oddHBand="0" w:evenHBand="0" w:firstRowFirstColumn="0" w:firstRowLastColumn="0" w:lastRowFirstColumn="0" w:lastRowLastColumn="0"/>
            <w:tcW w:w="2589" w:type="pct"/>
          </w:tcPr>
          <w:p w14:paraId="3A87B291" w14:textId="76AB9DB4" w:rsidR="00417B1B" w:rsidRPr="00995C0F" w:rsidRDefault="00417B1B" w:rsidP="00AC0BBF">
            <w:pPr>
              <w:pStyle w:val="TableText"/>
            </w:pPr>
            <w:r w:rsidRPr="00995C0F">
              <w:t>Employee benefit and Judicial Officer remuneration</w:t>
            </w:r>
            <w:r w:rsidR="00D45E5B">
              <w:t xml:space="preserve"> </w:t>
            </w:r>
            <w:r w:rsidRPr="00995C0F">
              <w:t>expenses</w:t>
            </w:r>
          </w:p>
        </w:tc>
        <w:tc>
          <w:tcPr>
            <w:tcW w:w="804" w:type="pct"/>
          </w:tcPr>
          <w:p w14:paraId="02DA359A" w14:textId="2ADF005A" w:rsidR="00417B1B" w:rsidRPr="00F3420C" w:rsidRDefault="003045FF" w:rsidP="003045F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Note311 \h </w:instrText>
            </w:r>
            <w:r>
              <w:fldChar w:fldCharType="separate"/>
            </w:r>
            <w:r w:rsidR="00D46E6D" w:rsidRPr="00995C0F">
              <w:t>3.1.1</w:t>
            </w:r>
            <w:r>
              <w:fldChar w:fldCharType="end"/>
            </w:r>
          </w:p>
        </w:tc>
        <w:tc>
          <w:tcPr>
            <w:tcW w:w="804" w:type="pct"/>
          </w:tcPr>
          <w:p w14:paraId="08470F05" w14:textId="262E9E27"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374,614</w:t>
            </w:r>
          </w:p>
        </w:tc>
        <w:tc>
          <w:tcPr>
            <w:tcW w:w="804" w:type="pct"/>
          </w:tcPr>
          <w:p w14:paraId="2917DD88" w14:textId="773AA3A0"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341,714</w:t>
            </w:r>
          </w:p>
        </w:tc>
      </w:tr>
      <w:tr w:rsidR="00417B1B" w:rsidRPr="00995C0F" w14:paraId="4D28C28C" w14:textId="77777777" w:rsidTr="003045FF">
        <w:tc>
          <w:tcPr>
            <w:cnfStyle w:val="001000000000" w:firstRow="0" w:lastRow="0" w:firstColumn="1" w:lastColumn="0" w:oddVBand="0" w:evenVBand="0" w:oddHBand="0" w:evenHBand="0" w:firstRowFirstColumn="0" w:firstRowLastColumn="0" w:lastRowFirstColumn="0" w:lastRowLastColumn="0"/>
            <w:tcW w:w="2589" w:type="pct"/>
          </w:tcPr>
          <w:p w14:paraId="24D673E1" w14:textId="09CD7D5D" w:rsidR="00417B1B" w:rsidRPr="00995C0F" w:rsidRDefault="00417B1B" w:rsidP="00AC0BBF">
            <w:pPr>
              <w:pStyle w:val="TableText"/>
            </w:pPr>
            <w:r w:rsidRPr="00995C0F">
              <w:t xml:space="preserve">Grants and other transfers - </w:t>
            </w:r>
            <w:r w:rsidR="00C24B57" w:rsidRPr="00995C0F">
              <w:t>Judicial</w:t>
            </w:r>
            <w:r w:rsidRPr="00995C0F">
              <w:t xml:space="preserve"> College </w:t>
            </w:r>
            <w:r w:rsidR="00A95832">
              <w:t>and</w:t>
            </w:r>
            <w:r w:rsidR="00D45E5B">
              <w:t xml:space="preserve"> </w:t>
            </w:r>
            <w:r w:rsidRPr="00995C0F">
              <w:t>Judicial Commission</w:t>
            </w:r>
          </w:p>
        </w:tc>
        <w:tc>
          <w:tcPr>
            <w:tcW w:w="804" w:type="pct"/>
          </w:tcPr>
          <w:p w14:paraId="52283686" w14:textId="2F7F31C5" w:rsidR="00417B1B" w:rsidRPr="00F3420C" w:rsidRDefault="003045FF" w:rsidP="003045F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Note32 \h </w:instrText>
            </w:r>
            <w:r>
              <w:fldChar w:fldCharType="separate"/>
            </w:r>
            <w:r w:rsidR="00D46E6D" w:rsidRPr="005D2F2E">
              <w:t xml:space="preserve">3.2 </w:t>
            </w:r>
            <w:r>
              <w:fldChar w:fldCharType="end"/>
            </w:r>
          </w:p>
        </w:tc>
        <w:tc>
          <w:tcPr>
            <w:tcW w:w="804" w:type="pct"/>
          </w:tcPr>
          <w:p w14:paraId="6BC08237" w14:textId="078B063C"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7,855</w:t>
            </w:r>
          </w:p>
        </w:tc>
        <w:tc>
          <w:tcPr>
            <w:tcW w:w="804" w:type="pct"/>
          </w:tcPr>
          <w:p w14:paraId="53505DBB" w14:textId="6097D2A7"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6,967</w:t>
            </w:r>
          </w:p>
        </w:tc>
      </w:tr>
      <w:tr w:rsidR="00417B1B" w:rsidRPr="00995C0F" w14:paraId="6DEF8433" w14:textId="77777777" w:rsidTr="003045FF">
        <w:tc>
          <w:tcPr>
            <w:cnfStyle w:val="001000000000" w:firstRow="0" w:lastRow="0" w:firstColumn="1" w:lastColumn="0" w:oddVBand="0" w:evenVBand="0" w:oddHBand="0" w:evenHBand="0" w:firstRowFirstColumn="0" w:firstRowLastColumn="0" w:lastRowFirstColumn="0" w:lastRowLastColumn="0"/>
            <w:tcW w:w="2589" w:type="pct"/>
          </w:tcPr>
          <w:p w14:paraId="2FBC591D" w14:textId="77777777" w:rsidR="00417B1B" w:rsidRPr="00995C0F" w:rsidRDefault="00417B1B" w:rsidP="00AC0BBF">
            <w:pPr>
              <w:pStyle w:val="TableText"/>
            </w:pPr>
            <w:r w:rsidRPr="00995C0F">
              <w:t>Other grants and other transfers</w:t>
            </w:r>
          </w:p>
        </w:tc>
        <w:tc>
          <w:tcPr>
            <w:tcW w:w="804" w:type="pct"/>
          </w:tcPr>
          <w:p w14:paraId="67B388B9" w14:textId="5B76FEDE" w:rsidR="00417B1B" w:rsidRPr="00F3420C" w:rsidRDefault="003045FF" w:rsidP="00460432">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Note32 \h </w:instrText>
            </w:r>
            <w:r>
              <w:fldChar w:fldCharType="separate"/>
            </w:r>
            <w:r w:rsidR="00D46E6D" w:rsidRPr="005D2F2E">
              <w:t xml:space="preserve">3.2 </w:t>
            </w:r>
            <w:r>
              <w:fldChar w:fldCharType="end"/>
            </w:r>
          </w:p>
        </w:tc>
        <w:tc>
          <w:tcPr>
            <w:tcW w:w="804" w:type="pct"/>
          </w:tcPr>
          <w:p w14:paraId="6D90FD37" w14:textId="4DEF696B"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7,253</w:t>
            </w:r>
          </w:p>
        </w:tc>
        <w:tc>
          <w:tcPr>
            <w:tcW w:w="804" w:type="pct"/>
          </w:tcPr>
          <w:p w14:paraId="6E4F2947" w14:textId="0A3C49E3"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7,002</w:t>
            </w:r>
          </w:p>
        </w:tc>
      </w:tr>
      <w:tr w:rsidR="00417B1B" w:rsidRPr="00995C0F" w14:paraId="59677AA3" w14:textId="77777777" w:rsidTr="003045FF">
        <w:tc>
          <w:tcPr>
            <w:cnfStyle w:val="001000000000" w:firstRow="0" w:lastRow="0" w:firstColumn="1" w:lastColumn="0" w:oddVBand="0" w:evenVBand="0" w:oddHBand="0" w:evenHBand="0" w:firstRowFirstColumn="0" w:firstRowLastColumn="0" w:lastRowFirstColumn="0" w:lastRowLastColumn="0"/>
            <w:tcW w:w="2589" w:type="pct"/>
          </w:tcPr>
          <w:p w14:paraId="18AF78AA" w14:textId="77777777" w:rsidR="00417B1B" w:rsidRPr="00995C0F" w:rsidRDefault="00417B1B" w:rsidP="00AC0BBF">
            <w:pPr>
              <w:pStyle w:val="TableText"/>
            </w:pPr>
            <w:r w:rsidRPr="00995C0F">
              <w:t>Capital asset charge</w:t>
            </w:r>
          </w:p>
        </w:tc>
        <w:tc>
          <w:tcPr>
            <w:tcW w:w="804" w:type="pct"/>
          </w:tcPr>
          <w:p w14:paraId="1EB4C709" w14:textId="00F1FE49" w:rsidR="00417B1B" w:rsidRPr="00F3420C" w:rsidRDefault="003045FF" w:rsidP="003045F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Note33 \h </w:instrText>
            </w:r>
            <w:r>
              <w:fldChar w:fldCharType="separate"/>
            </w:r>
            <w:r w:rsidR="00D46E6D">
              <w:t xml:space="preserve">3.3 </w:t>
            </w:r>
            <w:r>
              <w:fldChar w:fldCharType="end"/>
            </w:r>
          </w:p>
        </w:tc>
        <w:tc>
          <w:tcPr>
            <w:tcW w:w="804" w:type="pct"/>
          </w:tcPr>
          <w:p w14:paraId="18445D5E" w14:textId="48F063EB"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46,362</w:t>
            </w:r>
          </w:p>
        </w:tc>
        <w:tc>
          <w:tcPr>
            <w:tcW w:w="804" w:type="pct"/>
          </w:tcPr>
          <w:p w14:paraId="11BEA25D" w14:textId="30AAE411"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45,499</w:t>
            </w:r>
          </w:p>
        </w:tc>
      </w:tr>
      <w:tr w:rsidR="00417B1B" w:rsidRPr="00995C0F" w14:paraId="3F43CE17" w14:textId="77777777" w:rsidTr="003045FF">
        <w:tc>
          <w:tcPr>
            <w:cnfStyle w:val="001000000000" w:firstRow="0" w:lastRow="0" w:firstColumn="1" w:lastColumn="0" w:oddVBand="0" w:evenVBand="0" w:oddHBand="0" w:evenHBand="0" w:firstRowFirstColumn="0" w:firstRowLastColumn="0" w:lastRowFirstColumn="0" w:lastRowLastColumn="0"/>
            <w:tcW w:w="2589" w:type="pct"/>
          </w:tcPr>
          <w:p w14:paraId="71D8A989" w14:textId="77777777" w:rsidR="00417B1B" w:rsidRPr="00995C0F" w:rsidRDefault="00417B1B" w:rsidP="00AC0BBF">
            <w:pPr>
              <w:pStyle w:val="TableText"/>
            </w:pPr>
            <w:r w:rsidRPr="00995C0F">
              <w:t>Supplies and services</w:t>
            </w:r>
          </w:p>
        </w:tc>
        <w:tc>
          <w:tcPr>
            <w:tcW w:w="804" w:type="pct"/>
            <w:vAlign w:val="bottom"/>
          </w:tcPr>
          <w:p w14:paraId="1FECE34F" w14:textId="61946DE7" w:rsidR="00417B1B" w:rsidRPr="00F3420C" w:rsidRDefault="003045FF" w:rsidP="003045FF">
            <w:pPr>
              <w:pStyle w:val="TableText"/>
              <w:cnfStyle w:val="000000000000" w:firstRow="0" w:lastRow="0" w:firstColumn="0" w:lastColumn="0" w:oddVBand="0" w:evenVBand="0" w:oddHBand="0" w:evenHBand="0" w:firstRowFirstColumn="0" w:firstRowLastColumn="0" w:lastRowFirstColumn="0" w:lastRowLastColumn="0"/>
            </w:pPr>
            <w:r>
              <w:fldChar w:fldCharType="begin"/>
            </w:r>
            <w:r>
              <w:instrText xml:space="preserve"> REF Note34 \h  \* MERGEFORMAT </w:instrText>
            </w:r>
            <w:r>
              <w:fldChar w:fldCharType="separate"/>
            </w:r>
            <w:r w:rsidR="00D46E6D">
              <w:t xml:space="preserve">3.4 </w:t>
            </w:r>
            <w:r>
              <w:fldChar w:fldCharType="end"/>
            </w:r>
          </w:p>
        </w:tc>
        <w:tc>
          <w:tcPr>
            <w:tcW w:w="804" w:type="pct"/>
          </w:tcPr>
          <w:p w14:paraId="5DD90EF6" w14:textId="7BFB5A3D"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155,189</w:t>
            </w:r>
          </w:p>
        </w:tc>
        <w:tc>
          <w:tcPr>
            <w:tcW w:w="804" w:type="pct"/>
          </w:tcPr>
          <w:p w14:paraId="6B1FD539" w14:textId="7B3196A0"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144,086</w:t>
            </w:r>
          </w:p>
        </w:tc>
      </w:tr>
      <w:tr w:rsidR="00417B1B" w:rsidRPr="00995C0F" w14:paraId="497F4A51" w14:textId="77777777" w:rsidTr="003045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27460EDD" w14:textId="77777777" w:rsidR="00417B1B" w:rsidRPr="00BA21F6" w:rsidRDefault="00417B1B" w:rsidP="00AC0BBF">
            <w:pPr>
              <w:pStyle w:val="TableText"/>
              <w:rPr>
                <w:rStyle w:val="Bold"/>
              </w:rPr>
            </w:pPr>
            <w:r w:rsidRPr="00BA21F6">
              <w:rPr>
                <w:rStyle w:val="Bold"/>
              </w:rPr>
              <w:t>Total expenses incurred in delivery of services</w:t>
            </w:r>
          </w:p>
        </w:tc>
        <w:tc>
          <w:tcPr>
            <w:tcW w:w="804" w:type="pct"/>
          </w:tcPr>
          <w:p w14:paraId="45B50B34" w14:textId="1EB2F9E1" w:rsidR="00417B1B" w:rsidRPr="00F3420C" w:rsidRDefault="00AC0BBF" w:rsidP="003045FF">
            <w:pPr>
              <w:pStyle w:val="TableText"/>
              <w:cnfStyle w:val="010000000000" w:firstRow="0" w:lastRow="1" w:firstColumn="0" w:lastColumn="0" w:oddVBand="0" w:evenVBand="0" w:oddHBand="0" w:evenHBand="0" w:firstRowFirstColumn="0" w:firstRowLastColumn="0" w:lastRowFirstColumn="0" w:lastRowLastColumn="0"/>
            </w:pPr>
            <w:r w:rsidRPr="00F3420C">
              <w:t>N/A</w:t>
            </w:r>
          </w:p>
        </w:tc>
        <w:tc>
          <w:tcPr>
            <w:tcW w:w="804" w:type="pct"/>
          </w:tcPr>
          <w:p w14:paraId="4D7B9857" w14:textId="13560112" w:rsidR="00417B1B" w:rsidRPr="00BA21F6" w:rsidRDefault="00A95832" w:rsidP="00F3420C">
            <w:pPr>
              <w:pStyle w:val="TableText"/>
              <w:cnfStyle w:val="010000000000" w:firstRow="0" w:lastRow="1" w:firstColumn="0" w:lastColumn="0" w:oddVBand="0" w:evenVBand="0" w:oddHBand="0" w:evenHBand="0" w:firstRowFirstColumn="0" w:firstRowLastColumn="0" w:lastRowFirstColumn="0" w:lastRowLastColumn="0"/>
              <w:rPr>
                <w:rStyle w:val="Bold"/>
              </w:rPr>
            </w:pPr>
            <w:r w:rsidRPr="00BA21F6">
              <w:rPr>
                <w:rStyle w:val="Bold"/>
              </w:rPr>
              <w:t>591,273</w:t>
            </w:r>
          </w:p>
        </w:tc>
        <w:tc>
          <w:tcPr>
            <w:tcW w:w="804" w:type="pct"/>
          </w:tcPr>
          <w:p w14:paraId="19902244" w14:textId="1A83BE48" w:rsidR="00417B1B" w:rsidRPr="00BA21F6" w:rsidRDefault="00A95832" w:rsidP="00F3420C">
            <w:pPr>
              <w:pStyle w:val="TableText"/>
              <w:cnfStyle w:val="010000000000" w:firstRow="0" w:lastRow="1" w:firstColumn="0" w:lastColumn="0" w:oddVBand="0" w:evenVBand="0" w:oddHBand="0" w:evenHBand="0" w:firstRowFirstColumn="0" w:firstRowLastColumn="0" w:lastRowFirstColumn="0" w:lastRowLastColumn="0"/>
              <w:rPr>
                <w:rStyle w:val="Bold"/>
              </w:rPr>
            </w:pPr>
            <w:r w:rsidRPr="00BA21F6">
              <w:rPr>
                <w:rStyle w:val="Bold"/>
              </w:rPr>
              <w:t>545,268</w:t>
            </w:r>
          </w:p>
        </w:tc>
      </w:tr>
    </w:tbl>
    <w:p w14:paraId="0E855748" w14:textId="6C7BA941" w:rsidR="00417B1B" w:rsidRDefault="00417B1B" w:rsidP="009C456B">
      <w:pPr>
        <w:pStyle w:val="Heading4"/>
        <w:pageBreakBefore/>
      </w:pPr>
      <w:bookmarkStart w:id="283" w:name="Note311"/>
      <w:bookmarkStart w:id="284" w:name="_Ref22643578"/>
      <w:r w:rsidRPr="00995C0F">
        <w:t>3.1.1</w:t>
      </w:r>
      <w:bookmarkEnd w:id="283"/>
      <w:r w:rsidR="00092296">
        <w:tab/>
      </w:r>
      <w:r w:rsidRPr="00995C0F">
        <w:t xml:space="preserve">Employee Benefit </w:t>
      </w:r>
      <w:r w:rsidR="00D45E5B">
        <w:t xml:space="preserve">and </w:t>
      </w:r>
      <w:r w:rsidRPr="00995C0F">
        <w:t>Judicial</w:t>
      </w:r>
      <w:r w:rsidR="003A02D7">
        <w:t xml:space="preserve"> Officer Remuneration Expenses i</w:t>
      </w:r>
      <w:r w:rsidRPr="00995C0F">
        <w:t xml:space="preserve">n </w:t>
      </w:r>
      <w:r w:rsidR="00E952AB">
        <w:t>the</w:t>
      </w:r>
      <w:r w:rsidRPr="00995C0F">
        <w:t xml:space="preserve"> Co</w:t>
      </w:r>
      <w:r w:rsidR="003A02D7">
        <w:t>mprehensive Operating Statement</w:t>
      </w:r>
      <w:bookmarkEnd w:id="284"/>
    </w:p>
    <w:tbl>
      <w:tblPr>
        <w:tblStyle w:val="AccessibleTableNumerical"/>
        <w:tblW w:w="5000" w:type="pct"/>
        <w:tblLook w:val="04E0" w:firstRow="1" w:lastRow="1" w:firstColumn="1" w:lastColumn="0" w:noHBand="0" w:noVBand="1"/>
      </w:tblPr>
      <w:tblGrid>
        <w:gridCol w:w="4980"/>
        <w:gridCol w:w="1554"/>
        <w:gridCol w:w="1554"/>
        <w:gridCol w:w="1554"/>
      </w:tblGrid>
      <w:tr w:rsidR="00417B1B" w:rsidRPr="00995C0F" w14:paraId="1A7BE6BA" w14:textId="77777777" w:rsidTr="00A95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2" w:type="pct"/>
          </w:tcPr>
          <w:p w14:paraId="2C722359" w14:textId="06F4F154" w:rsidR="00417B1B" w:rsidRPr="00995C0F" w:rsidRDefault="00AC0BBF" w:rsidP="00AC0BBF">
            <w:pPr>
              <w:pStyle w:val="TableText"/>
            </w:pPr>
            <w:bookmarkStart w:id="285" w:name="ColumnTitle_54"/>
            <w:r>
              <w:t>Item</w:t>
            </w:r>
          </w:p>
        </w:tc>
        <w:tc>
          <w:tcPr>
            <w:tcW w:w="806" w:type="pct"/>
            <w:vAlign w:val="bottom"/>
          </w:tcPr>
          <w:p w14:paraId="31C2DE08" w14:textId="77777777" w:rsidR="00417B1B" w:rsidRPr="00F3420C" w:rsidRDefault="00417B1B" w:rsidP="003045FF">
            <w:pPr>
              <w:pStyle w:val="TableText"/>
              <w:cnfStyle w:val="100000000000" w:firstRow="1" w:lastRow="0" w:firstColumn="0" w:lastColumn="0" w:oddVBand="0" w:evenVBand="0" w:oddHBand="0" w:evenHBand="0" w:firstRowFirstColumn="0" w:firstRowLastColumn="0" w:lastRowFirstColumn="0" w:lastRowLastColumn="0"/>
            </w:pPr>
            <w:r w:rsidRPr="00F3420C">
              <w:t>Notes</w:t>
            </w:r>
          </w:p>
        </w:tc>
        <w:tc>
          <w:tcPr>
            <w:tcW w:w="806" w:type="pct"/>
            <w:vAlign w:val="bottom"/>
          </w:tcPr>
          <w:p w14:paraId="1BCCA470" w14:textId="0DBEE9F4"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20</w:t>
            </w:r>
            <w:r w:rsidR="00A95832">
              <w:t>20</w:t>
            </w:r>
            <w:r w:rsidRPr="00F3420C">
              <w:br/>
              <w:t>$'000</w:t>
            </w:r>
          </w:p>
        </w:tc>
        <w:tc>
          <w:tcPr>
            <w:tcW w:w="806" w:type="pct"/>
            <w:vAlign w:val="bottom"/>
          </w:tcPr>
          <w:p w14:paraId="14CD13C3" w14:textId="45AC2110" w:rsidR="00417B1B" w:rsidRPr="00F3420C" w:rsidRDefault="00417B1B" w:rsidP="003A02D7">
            <w:pPr>
              <w:pStyle w:val="TableText"/>
              <w:cnfStyle w:val="100000000000" w:firstRow="1" w:lastRow="0" w:firstColumn="0" w:lastColumn="0" w:oddVBand="0" w:evenVBand="0" w:oddHBand="0" w:evenHBand="0" w:firstRowFirstColumn="0" w:firstRowLastColumn="0" w:lastRowFirstColumn="0" w:lastRowLastColumn="0"/>
            </w:pPr>
            <w:r w:rsidRPr="00F3420C">
              <w:t>201</w:t>
            </w:r>
            <w:r w:rsidR="00A95832">
              <w:t>9</w:t>
            </w:r>
            <w:r w:rsidRPr="00F3420C">
              <w:br/>
              <w:t>$'000</w:t>
            </w:r>
          </w:p>
        </w:tc>
      </w:tr>
      <w:bookmarkEnd w:id="285"/>
      <w:tr w:rsidR="00417B1B" w:rsidRPr="00995C0F" w14:paraId="42B1C3C3"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1E4F1A9B" w14:textId="77777777" w:rsidR="00417B1B" w:rsidRPr="00995C0F" w:rsidRDefault="00417B1B" w:rsidP="00AC0BBF">
            <w:pPr>
              <w:pStyle w:val="TableText"/>
            </w:pPr>
            <w:r w:rsidRPr="00995C0F">
              <w:t xml:space="preserve">Defined contribution superannuation expense </w:t>
            </w:r>
          </w:p>
        </w:tc>
        <w:tc>
          <w:tcPr>
            <w:tcW w:w="806" w:type="pct"/>
          </w:tcPr>
          <w:p w14:paraId="5BBC6627" w14:textId="07DC4F4C" w:rsidR="00417B1B" w:rsidRPr="00F3420C" w:rsidRDefault="00C9062D" w:rsidP="003045FF">
            <w:pPr>
              <w:pStyle w:val="TableText"/>
              <w:cnfStyle w:val="000000000000" w:firstRow="0" w:lastRow="0" w:firstColumn="0" w:lastColumn="0" w:oddVBand="0" w:evenVBand="0" w:oddHBand="0" w:evenHBand="0" w:firstRowFirstColumn="0" w:firstRowLastColumn="0" w:lastRowFirstColumn="0" w:lastRowLastColumn="0"/>
            </w:pPr>
            <w:hyperlink w:anchor="Note313" w:history="1">
              <w:r w:rsidR="002C1D92" w:rsidRPr="002C1D92">
                <w:t>3.1.3</w:t>
              </w:r>
            </w:hyperlink>
          </w:p>
        </w:tc>
        <w:tc>
          <w:tcPr>
            <w:tcW w:w="806" w:type="pct"/>
          </w:tcPr>
          <w:p w14:paraId="65A7C8B2" w14:textId="7DB11E10"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22,865</w:t>
            </w:r>
          </w:p>
        </w:tc>
        <w:tc>
          <w:tcPr>
            <w:tcW w:w="806" w:type="pct"/>
          </w:tcPr>
          <w:p w14:paraId="70CB4F65" w14:textId="2EA2856B"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20,535</w:t>
            </w:r>
          </w:p>
        </w:tc>
      </w:tr>
      <w:tr w:rsidR="00417B1B" w:rsidRPr="00995C0F" w14:paraId="51AEBE05"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38AFE33C" w14:textId="77777777" w:rsidR="00417B1B" w:rsidRPr="00995C0F" w:rsidRDefault="00417B1B" w:rsidP="00AC0BBF">
            <w:pPr>
              <w:pStyle w:val="TableText"/>
            </w:pPr>
            <w:r w:rsidRPr="00995C0F">
              <w:t xml:space="preserve">Defined benefit superannuation expense </w:t>
            </w:r>
          </w:p>
        </w:tc>
        <w:tc>
          <w:tcPr>
            <w:tcW w:w="806" w:type="pct"/>
          </w:tcPr>
          <w:p w14:paraId="4EAD5501" w14:textId="410DB564" w:rsidR="00417B1B" w:rsidRPr="00F3420C" w:rsidRDefault="00C9062D" w:rsidP="003045FF">
            <w:pPr>
              <w:pStyle w:val="TableText"/>
              <w:cnfStyle w:val="000000000000" w:firstRow="0" w:lastRow="0" w:firstColumn="0" w:lastColumn="0" w:oddVBand="0" w:evenVBand="0" w:oddHBand="0" w:evenHBand="0" w:firstRowFirstColumn="0" w:firstRowLastColumn="0" w:lastRowFirstColumn="0" w:lastRowLastColumn="0"/>
            </w:pPr>
            <w:hyperlink w:anchor="Note313" w:history="1">
              <w:r w:rsidR="002C1D92" w:rsidRPr="002C1D92">
                <w:t>3.1.3</w:t>
              </w:r>
            </w:hyperlink>
          </w:p>
        </w:tc>
        <w:tc>
          <w:tcPr>
            <w:tcW w:w="806" w:type="pct"/>
          </w:tcPr>
          <w:p w14:paraId="6AA2E9E4" w14:textId="2E66DA70"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1,636</w:t>
            </w:r>
          </w:p>
        </w:tc>
        <w:tc>
          <w:tcPr>
            <w:tcW w:w="806" w:type="pct"/>
          </w:tcPr>
          <w:p w14:paraId="06F3CA91" w14:textId="6AD288DE"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1,751</w:t>
            </w:r>
          </w:p>
        </w:tc>
      </w:tr>
      <w:tr w:rsidR="00417B1B" w:rsidRPr="00995C0F" w14:paraId="4DE60DC0"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37BC9923" w14:textId="77777777" w:rsidR="00417B1B" w:rsidRPr="00995C0F" w:rsidRDefault="00417B1B" w:rsidP="00AC0BBF">
            <w:pPr>
              <w:pStyle w:val="TableText"/>
            </w:pPr>
            <w:r w:rsidRPr="00995C0F">
              <w:t>Termination benefits</w:t>
            </w:r>
          </w:p>
        </w:tc>
        <w:tc>
          <w:tcPr>
            <w:tcW w:w="806" w:type="pct"/>
          </w:tcPr>
          <w:p w14:paraId="594BACF4" w14:textId="6568D650" w:rsidR="00417B1B" w:rsidRPr="00F3420C" w:rsidRDefault="00AC0BBF" w:rsidP="003045FF">
            <w:pPr>
              <w:pStyle w:val="TableText"/>
              <w:cnfStyle w:val="000000000000" w:firstRow="0" w:lastRow="0" w:firstColumn="0" w:lastColumn="0" w:oddVBand="0" w:evenVBand="0" w:oddHBand="0" w:evenHBand="0" w:firstRowFirstColumn="0" w:firstRowLastColumn="0" w:lastRowFirstColumn="0" w:lastRowLastColumn="0"/>
            </w:pPr>
            <w:r w:rsidRPr="00F3420C">
              <w:t>N/A</w:t>
            </w:r>
          </w:p>
        </w:tc>
        <w:tc>
          <w:tcPr>
            <w:tcW w:w="806" w:type="pct"/>
          </w:tcPr>
          <w:p w14:paraId="4736F34B" w14:textId="6449AEDA"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433</w:t>
            </w:r>
          </w:p>
        </w:tc>
        <w:tc>
          <w:tcPr>
            <w:tcW w:w="806" w:type="pct"/>
          </w:tcPr>
          <w:p w14:paraId="2220583E" w14:textId="52747A00"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440</w:t>
            </w:r>
          </w:p>
        </w:tc>
      </w:tr>
      <w:tr w:rsidR="00417B1B" w:rsidRPr="00995C0F" w14:paraId="36898C59"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0DAA66AE" w14:textId="77777777" w:rsidR="00417B1B" w:rsidRPr="00995C0F" w:rsidRDefault="00417B1B" w:rsidP="00AC0BBF">
            <w:pPr>
              <w:pStyle w:val="TableText"/>
            </w:pPr>
            <w:r w:rsidRPr="00995C0F">
              <w:t>Salaries and wages</w:t>
            </w:r>
          </w:p>
        </w:tc>
        <w:tc>
          <w:tcPr>
            <w:tcW w:w="806" w:type="pct"/>
          </w:tcPr>
          <w:p w14:paraId="5D31D236" w14:textId="01F2ADB5" w:rsidR="00417B1B" w:rsidRPr="00F3420C" w:rsidRDefault="00AC0BBF" w:rsidP="003045FF">
            <w:pPr>
              <w:pStyle w:val="TableText"/>
              <w:cnfStyle w:val="000000000000" w:firstRow="0" w:lastRow="0" w:firstColumn="0" w:lastColumn="0" w:oddVBand="0" w:evenVBand="0" w:oddHBand="0" w:evenHBand="0" w:firstRowFirstColumn="0" w:firstRowLastColumn="0" w:lastRowFirstColumn="0" w:lastRowLastColumn="0"/>
            </w:pPr>
            <w:r w:rsidRPr="00F3420C">
              <w:t>N/A</w:t>
            </w:r>
          </w:p>
        </w:tc>
        <w:tc>
          <w:tcPr>
            <w:tcW w:w="806" w:type="pct"/>
          </w:tcPr>
          <w:p w14:paraId="5B5A59E0" w14:textId="21628364"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294,198</w:t>
            </w:r>
          </w:p>
        </w:tc>
        <w:tc>
          <w:tcPr>
            <w:tcW w:w="806" w:type="pct"/>
          </w:tcPr>
          <w:p w14:paraId="3436D4AC" w14:textId="6BBF204F"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265,086</w:t>
            </w:r>
          </w:p>
        </w:tc>
      </w:tr>
      <w:tr w:rsidR="00417B1B" w:rsidRPr="00995C0F" w14:paraId="330C67C9"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55D9FF35" w14:textId="77777777" w:rsidR="00417B1B" w:rsidRPr="00995C0F" w:rsidRDefault="00417B1B" w:rsidP="00AC0BBF">
            <w:pPr>
              <w:pStyle w:val="TableText"/>
            </w:pPr>
            <w:r w:rsidRPr="00995C0F">
              <w:t>Leave expenses (annual leave and long service leave)</w:t>
            </w:r>
          </w:p>
        </w:tc>
        <w:tc>
          <w:tcPr>
            <w:tcW w:w="806" w:type="pct"/>
          </w:tcPr>
          <w:p w14:paraId="27207C08" w14:textId="55FEA8C8" w:rsidR="00417B1B" w:rsidRPr="00F3420C" w:rsidRDefault="00AC0BBF" w:rsidP="003045FF">
            <w:pPr>
              <w:pStyle w:val="TableText"/>
              <w:cnfStyle w:val="000000000000" w:firstRow="0" w:lastRow="0" w:firstColumn="0" w:lastColumn="0" w:oddVBand="0" w:evenVBand="0" w:oddHBand="0" w:evenHBand="0" w:firstRowFirstColumn="0" w:firstRowLastColumn="0" w:lastRowFirstColumn="0" w:lastRowLastColumn="0"/>
            </w:pPr>
            <w:r w:rsidRPr="00F3420C">
              <w:t>N/A</w:t>
            </w:r>
          </w:p>
        </w:tc>
        <w:tc>
          <w:tcPr>
            <w:tcW w:w="806" w:type="pct"/>
          </w:tcPr>
          <w:p w14:paraId="24430857" w14:textId="7C6073DD"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32,192</w:t>
            </w:r>
          </w:p>
        </w:tc>
        <w:tc>
          <w:tcPr>
            <w:tcW w:w="806" w:type="pct"/>
          </w:tcPr>
          <w:p w14:paraId="3AA3A562" w14:textId="69D8749F"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31,731</w:t>
            </w:r>
          </w:p>
        </w:tc>
      </w:tr>
      <w:tr w:rsidR="00417B1B" w:rsidRPr="00995C0F" w14:paraId="482E17C9" w14:textId="77777777" w:rsidTr="00A95832">
        <w:tc>
          <w:tcPr>
            <w:cnfStyle w:val="001000000000" w:firstRow="0" w:lastRow="0" w:firstColumn="1" w:lastColumn="0" w:oddVBand="0" w:evenVBand="0" w:oddHBand="0" w:evenHBand="0" w:firstRowFirstColumn="0" w:firstRowLastColumn="0" w:lastRowFirstColumn="0" w:lastRowLastColumn="0"/>
            <w:tcW w:w="2582" w:type="pct"/>
          </w:tcPr>
          <w:p w14:paraId="7DF652EC" w14:textId="74055510" w:rsidR="00417B1B" w:rsidRPr="00995C0F" w:rsidRDefault="00417B1B" w:rsidP="00AC0BBF">
            <w:pPr>
              <w:pStyle w:val="TableText"/>
            </w:pPr>
            <w:r w:rsidRPr="00995C0F">
              <w:t xml:space="preserve">Other on-costs (fringe benefits tax, payroll tax, training and </w:t>
            </w:r>
            <w:proofErr w:type="spellStart"/>
            <w:r w:rsidR="00A95832">
              <w:t>W</w:t>
            </w:r>
            <w:r w:rsidRPr="00995C0F">
              <w:t>ork</w:t>
            </w:r>
            <w:r w:rsidR="00A95832">
              <w:t>C</w:t>
            </w:r>
            <w:r w:rsidRPr="00995C0F">
              <w:t>over</w:t>
            </w:r>
            <w:proofErr w:type="spellEnd"/>
            <w:r w:rsidRPr="00995C0F">
              <w:t xml:space="preserve"> levy)</w:t>
            </w:r>
          </w:p>
        </w:tc>
        <w:tc>
          <w:tcPr>
            <w:tcW w:w="806" w:type="pct"/>
          </w:tcPr>
          <w:p w14:paraId="6DD81DD2" w14:textId="259DEB0F" w:rsidR="00417B1B" w:rsidRPr="00F3420C" w:rsidRDefault="00AC0BBF" w:rsidP="003045FF">
            <w:pPr>
              <w:pStyle w:val="TableText"/>
              <w:cnfStyle w:val="000000000000" w:firstRow="0" w:lastRow="0" w:firstColumn="0" w:lastColumn="0" w:oddVBand="0" w:evenVBand="0" w:oddHBand="0" w:evenHBand="0" w:firstRowFirstColumn="0" w:firstRowLastColumn="0" w:lastRowFirstColumn="0" w:lastRowLastColumn="0"/>
            </w:pPr>
            <w:r w:rsidRPr="00F3420C">
              <w:t>N/A</w:t>
            </w:r>
          </w:p>
        </w:tc>
        <w:tc>
          <w:tcPr>
            <w:tcW w:w="806" w:type="pct"/>
          </w:tcPr>
          <w:p w14:paraId="16FCE552" w14:textId="3AA4CF04"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23,290</w:t>
            </w:r>
          </w:p>
        </w:tc>
        <w:tc>
          <w:tcPr>
            <w:tcW w:w="806" w:type="pct"/>
          </w:tcPr>
          <w:p w14:paraId="7EF64125" w14:textId="438193E6" w:rsidR="00417B1B" w:rsidRPr="00F3420C" w:rsidRDefault="00A95832" w:rsidP="00F3420C">
            <w:pPr>
              <w:pStyle w:val="TableText"/>
              <w:cnfStyle w:val="000000000000" w:firstRow="0" w:lastRow="0" w:firstColumn="0" w:lastColumn="0" w:oddVBand="0" w:evenVBand="0" w:oddHBand="0" w:evenHBand="0" w:firstRowFirstColumn="0" w:firstRowLastColumn="0" w:lastRowFirstColumn="0" w:lastRowLastColumn="0"/>
            </w:pPr>
            <w:r>
              <w:t>22,171</w:t>
            </w:r>
          </w:p>
        </w:tc>
      </w:tr>
      <w:tr w:rsidR="00417B1B" w:rsidRPr="003A02D7" w14:paraId="0677A28D" w14:textId="77777777" w:rsidTr="00A958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pct"/>
          </w:tcPr>
          <w:p w14:paraId="2B5350DD" w14:textId="5F2B8951" w:rsidR="00417B1B" w:rsidRPr="003A02D7" w:rsidRDefault="00417B1B" w:rsidP="00AC0BBF">
            <w:pPr>
              <w:pStyle w:val="TableText"/>
              <w:rPr>
                <w:rStyle w:val="Bold"/>
              </w:rPr>
            </w:pPr>
            <w:r w:rsidRPr="003A02D7">
              <w:rPr>
                <w:rStyle w:val="Bold"/>
              </w:rPr>
              <w:t>Total employee expenses and Judicial Officer</w:t>
            </w:r>
            <w:r w:rsidR="00D45E5B" w:rsidRPr="003A02D7">
              <w:rPr>
                <w:rStyle w:val="Bold"/>
              </w:rPr>
              <w:t xml:space="preserve"> </w:t>
            </w:r>
            <w:r w:rsidRPr="003A02D7">
              <w:rPr>
                <w:rStyle w:val="Bold"/>
              </w:rPr>
              <w:t>remuneration</w:t>
            </w:r>
          </w:p>
        </w:tc>
        <w:tc>
          <w:tcPr>
            <w:tcW w:w="806" w:type="pct"/>
          </w:tcPr>
          <w:p w14:paraId="3651F5C5" w14:textId="364F663B" w:rsidR="00417B1B" w:rsidRPr="003A02D7" w:rsidRDefault="00AC0BBF" w:rsidP="003045FF">
            <w:pPr>
              <w:pStyle w:val="TableText"/>
              <w:cnfStyle w:val="010000000000" w:firstRow="0" w:lastRow="1" w:firstColumn="0" w:lastColumn="0" w:oddVBand="0" w:evenVBand="0" w:oddHBand="0" w:evenHBand="0" w:firstRowFirstColumn="0" w:firstRowLastColumn="0" w:lastRowFirstColumn="0" w:lastRowLastColumn="0"/>
              <w:rPr>
                <w:rStyle w:val="Bold"/>
              </w:rPr>
            </w:pPr>
            <w:r w:rsidRPr="003A02D7">
              <w:t>N/A</w:t>
            </w:r>
          </w:p>
        </w:tc>
        <w:tc>
          <w:tcPr>
            <w:tcW w:w="806" w:type="pct"/>
          </w:tcPr>
          <w:p w14:paraId="014E44FC" w14:textId="6C72C6D7" w:rsidR="00417B1B" w:rsidRPr="003A02D7" w:rsidRDefault="00A95832" w:rsidP="00F3420C">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374,614</w:t>
            </w:r>
          </w:p>
        </w:tc>
        <w:tc>
          <w:tcPr>
            <w:tcW w:w="806" w:type="pct"/>
          </w:tcPr>
          <w:p w14:paraId="32B936CA" w14:textId="1429F060" w:rsidR="00417B1B" w:rsidRPr="003A02D7" w:rsidRDefault="00A95832" w:rsidP="00F3420C">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341,714</w:t>
            </w:r>
          </w:p>
        </w:tc>
      </w:tr>
    </w:tbl>
    <w:p w14:paraId="49CC19A6" w14:textId="5DC42885" w:rsidR="00A95832" w:rsidRDefault="00A95832" w:rsidP="00A95832">
      <w:pPr>
        <w:pStyle w:val="BodyText"/>
      </w:pPr>
      <w:r>
        <w:t xml:space="preserve">Employee expenses and Judicial Officer remuneration encompasses all costs related to employment, including wages and salaries, fringe benefits tax, leave entitlements, termination payments and </w:t>
      </w:r>
      <w:proofErr w:type="spellStart"/>
      <w:r>
        <w:t>WorkCover</w:t>
      </w:r>
      <w:proofErr w:type="spellEnd"/>
      <w:r>
        <w:t xml:space="preserve"> premiums.</w:t>
      </w:r>
    </w:p>
    <w:p w14:paraId="42FA01E3" w14:textId="0970C6EF" w:rsidR="00A95832" w:rsidRDefault="00A95832" w:rsidP="00A95832">
      <w:pPr>
        <w:pStyle w:val="BodyText"/>
      </w:pPr>
      <w:r>
        <w:t xml:space="preserve">The amount recognised in the comprehensive operating statement in relation to superannuation is employer contributions for members of both defined benefit and defined contribution superannuation plans that are paid or payable during the reporting period. </w:t>
      </w:r>
      <w:r w:rsidR="009B1462">
        <w:t>Court Services Victoria</w:t>
      </w:r>
      <w:r>
        <w:t xml:space="preserve">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1442AFAF" w14:textId="17B02720" w:rsidR="00A95832" w:rsidRDefault="00A95832" w:rsidP="00A95832">
      <w:pPr>
        <w:pStyle w:val="BodyText"/>
      </w:pPr>
      <w:r>
        <w:t xml:space="preserve">Termination benefits are payable when employment is terminated before normal retirement date, or when an employee or Judicial Officer accepts an offer of benefits in exchange for the termination of employment. Termination benefits are recognised when </w:t>
      </w:r>
      <w:r w:rsidR="009B1462">
        <w:t>Court Services Victoria</w:t>
      </w:r>
      <w:r>
        <w:t xml:space="preserve"> is demonstrably committed to terminating the employment of current employees according to formal plans without possibility of </w:t>
      </w:r>
      <w:proofErr w:type="gramStart"/>
      <w:r>
        <w:t>withdrawal, or</w:t>
      </w:r>
      <w:proofErr w:type="gramEnd"/>
      <w:r>
        <w:t xml:space="preserve"> providing termination benefits as a result of an offer made to encourage voluntary redundancy. Termination benefits of judicial officers are recognised when the employment of a Judicial Officer is terminated. Benefits due more than 12 months after the end of the reporting period are discounted to present value.</w:t>
      </w:r>
    </w:p>
    <w:p w14:paraId="53FBE210" w14:textId="5F00E436" w:rsidR="00417B1B" w:rsidRDefault="00417B1B" w:rsidP="009C456B">
      <w:pPr>
        <w:pStyle w:val="Heading4"/>
      </w:pPr>
      <w:bookmarkStart w:id="286" w:name="NOte312"/>
      <w:r>
        <w:t>3.1.2</w:t>
      </w:r>
      <w:bookmarkEnd w:id="286"/>
      <w:r w:rsidR="00092296">
        <w:tab/>
      </w:r>
      <w:r>
        <w:t xml:space="preserve">Employee Benefits </w:t>
      </w:r>
      <w:r w:rsidR="00D45E5B">
        <w:t xml:space="preserve">and </w:t>
      </w:r>
      <w:r>
        <w:t xml:space="preserve">Judicial Officer Remuneration </w:t>
      </w:r>
      <w:r w:rsidR="003045FF">
        <w:t>i</w:t>
      </w:r>
      <w:r>
        <w:t xml:space="preserve">n </w:t>
      </w:r>
      <w:r w:rsidR="00E952AB">
        <w:t>the</w:t>
      </w:r>
      <w:r>
        <w:t xml:space="preserve"> Balance Sheet</w:t>
      </w:r>
    </w:p>
    <w:p w14:paraId="423CCFEE" w14:textId="775BF4C2" w:rsidR="00A95832" w:rsidRDefault="00A95832" w:rsidP="00A95832">
      <w:pPr>
        <w:pStyle w:val="BodyText"/>
      </w:pPr>
      <w:r>
        <w:t>Provision is made for benefits accruing to employees and Judicial Officers in respect of wages and salaries, annual leave and long service leave for services rendered to the reporting date and recorded as an expense during the period the services are delivered.</w:t>
      </w:r>
    </w:p>
    <w:p w14:paraId="349338AE" w14:textId="0EF230BF" w:rsidR="005C03E1" w:rsidRDefault="005C03E1" w:rsidP="009C456B">
      <w:pPr>
        <w:pStyle w:val="BodyText"/>
        <w:pageBreakBefore/>
      </w:pPr>
      <w:r w:rsidRPr="005D2F2E">
        <w:t>Current provisions</w:t>
      </w:r>
    </w:p>
    <w:tbl>
      <w:tblPr>
        <w:tblStyle w:val="AccessibleTableNumerical"/>
        <w:tblW w:w="5000" w:type="pct"/>
        <w:tblLook w:val="04E0" w:firstRow="1" w:lastRow="1" w:firstColumn="1" w:lastColumn="0" w:noHBand="0" w:noVBand="1"/>
      </w:tblPr>
      <w:tblGrid>
        <w:gridCol w:w="6538"/>
        <w:gridCol w:w="1552"/>
        <w:gridCol w:w="1552"/>
      </w:tblGrid>
      <w:tr w:rsidR="00417B1B" w:rsidRPr="00F3420C" w14:paraId="08B4E033" w14:textId="77777777" w:rsidTr="003A02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0" w:type="pct"/>
          </w:tcPr>
          <w:p w14:paraId="3BBB9E65" w14:textId="3A53506A" w:rsidR="00417B1B" w:rsidRPr="00F3420C" w:rsidRDefault="00AC0BBF" w:rsidP="00C24B57">
            <w:pPr>
              <w:pStyle w:val="TableText"/>
              <w:spacing w:line="220" w:lineRule="atLeast"/>
            </w:pPr>
            <w:bookmarkStart w:id="287" w:name="ColumnTitle_55"/>
            <w:r w:rsidRPr="00F3420C">
              <w:t>Item</w:t>
            </w:r>
          </w:p>
        </w:tc>
        <w:tc>
          <w:tcPr>
            <w:tcW w:w="805" w:type="pct"/>
            <w:vAlign w:val="bottom"/>
          </w:tcPr>
          <w:p w14:paraId="27B8624F" w14:textId="2C1CD8CB" w:rsidR="00417B1B" w:rsidRPr="00F3420C" w:rsidRDefault="00417B1B" w:rsidP="00C24B57">
            <w:pPr>
              <w:pStyle w:val="TableText"/>
              <w:spacing w:line="220" w:lineRule="atLeast"/>
              <w:cnfStyle w:val="100000000000" w:firstRow="1" w:lastRow="0" w:firstColumn="0" w:lastColumn="0" w:oddVBand="0" w:evenVBand="0" w:oddHBand="0" w:evenHBand="0" w:firstRowFirstColumn="0" w:firstRowLastColumn="0" w:lastRowFirstColumn="0" w:lastRowLastColumn="0"/>
            </w:pPr>
            <w:r w:rsidRPr="00F3420C">
              <w:t>20</w:t>
            </w:r>
            <w:r w:rsidR="00A95832">
              <w:t>20</w:t>
            </w:r>
            <w:r w:rsidRPr="00F3420C">
              <w:br/>
              <w:t>$'000</w:t>
            </w:r>
          </w:p>
        </w:tc>
        <w:tc>
          <w:tcPr>
            <w:tcW w:w="805" w:type="pct"/>
            <w:vAlign w:val="bottom"/>
          </w:tcPr>
          <w:p w14:paraId="67A038EE" w14:textId="775A4D29" w:rsidR="00417B1B" w:rsidRPr="00F3420C" w:rsidRDefault="00417B1B" w:rsidP="00C24B57">
            <w:pPr>
              <w:pStyle w:val="TableText"/>
              <w:spacing w:line="220" w:lineRule="atLeast"/>
              <w:cnfStyle w:val="100000000000" w:firstRow="1" w:lastRow="0" w:firstColumn="0" w:lastColumn="0" w:oddVBand="0" w:evenVBand="0" w:oddHBand="0" w:evenHBand="0" w:firstRowFirstColumn="0" w:firstRowLastColumn="0" w:lastRowFirstColumn="0" w:lastRowLastColumn="0"/>
            </w:pPr>
            <w:r w:rsidRPr="00F3420C">
              <w:t>201</w:t>
            </w:r>
            <w:r w:rsidR="00A95832">
              <w:t>9</w:t>
            </w:r>
            <w:r w:rsidRPr="00F3420C">
              <w:br/>
              <w:t>$'000</w:t>
            </w:r>
          </w:p>
        </w:tc>
      </w:tr>
      <w:bookmarkEnd w:id="287"/>
      <w:tr w:rsidR="00417B1B" w:rsidRPr="005D2F2E" w14:paraId="5E4DF656"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3CB00B6D" w14:textId="77777777" w:rsidR="00417B1B" w:rsidRPr="003A02D7" w:rsidRDefault="00417B1B" w:rsidP="00C24B57">
            <w:pPr>
              <w:pStyle w:val="TableText"/>
              <w:spacing w:line="220" w:lineRule="atLeast"/>
              <w:rPr>
                <w:rStyle w:val="Bold"/>
              </w:rPr>
            </w:pPr>
            <w:r w:rsidRPr="003A02D7">
              <w:rPr>
                <w:rStyle w:val="Bold"/>
              </w:rPr>
              <w:t>Annual leave</w:t>
            </w:r>
          </w:p>
        </w:tc>
        <w:tc>
          <w:tcPr>
            <w:tcW w:w="805" w:type="pct"/>
          </w:tcPr>
          <w:p w14:paraId="48B323CC" w14:textId="2340C1FE"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c>
          <w:tcPr>
            <w:tcW w:w="805" w:type="pct"/>
          </w:tcPr>
          <w:p w14:paraId="1B7122BA" w14:textId="065EEACB"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r>
      <w:tr w:rsidR="00417B1B" w:rsidRPr="005D2F2E" w14:paraId="75BDDB31"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6FF026FE" w14:textId="3DBC5E42" w:rsidR="00417B1B" w:rsidRPr="005D2F2E" w:rsidRDefault="00417B1B" w:rsidP="00C24B57">
            <w:pPr>
              <w:pStyle w:val="TableText"/>
              <w:spacing w:line="220" w:lineRule="atLeast"/>
            </w:pPr>
            <w:r w:rsidRPr="005D2F2E">
              <w:t>Unconditional and expected to settle within 12 months</w:t>
            </w:r>
          </w:p>
        </w:tc>
        <w:tc>
          <w:tcPr>
            <w:tcW w:w="805" w:type="pct"/>
          </w:tcPr>
          <w:p w14:paraId="6B14D1BC" w14:textId="1F52E14E"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15,189</w:t>
            </w:r>
          </w:p>
        </w:tc>
        <w:tc>
          <w:tcPr>
            <w:tcW w:w="805" w:type="pct"/>
          </w:tcPr>
          <w:p w14:paraId="18BF160E" w14:textId="63074CC5"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12,415</w:t>
            </w:r>
          </w:p>
        </w:tc>
      </w:tr>
      <w:tr w:rsidR="00417B1B" w:rsidRPr="005D2F2E" w14:paraId="76416253"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0F8EEB47" w14:textId="7E78E1F0" w:rsidR="00417B1B" w:rsidRPr="005D2F2E" w:rsidRDefault="00417B1B" w:rsidP="00C24B57">
            <w:pPr>
              <w:pStyle w:val="TableText"/>
              <w:spacing w:line="220" w:lineRule="atLeast"/>
            </w:pPr>
            <w:r w:rsidRPr="005D2F2E">
              <w:t>Unconditional and expected to settle after 12 months</w:t>
            </w:r>
          </w:p>
        </w:tc>
        <w:tc>
          <w:tcPr>
            <w:tcW w:w="805" w:type="pct"/>
          </w:tcPr>
          <w:p w14:paraId="78E4BBA9" w14:textId="7410ADF3"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3,940</w:t>
            </w:r>
          </w:p>
        </w:tc>
        <w:tc>
          <w:tcPr>
            <w:tcW w:w="805" w:type="pct"/>
          </w:tcPr>
          <w:p w14:paraId="7A003D6C" w14:textId="70C77699"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2,234</w:t>
            </w:r>
          </w:p>
        </w:tc>
      </w:tr>
      <w:tr w:rsidR="00417B1B" w:rsidRPr="005D2F2E" w14:paraId="18C45917"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4566015D" w14:textId="77777777" w:rsidR="00417B1B" w:rsidRPr="003A02D7" w:rsidRDefault="00417B1B" w:rsidP="00C24B57">
            <w:pPr>
              <w:pStyle w:val="TableText"/>
              <w:spacing w:line="220" w:lineRule="atLeast"/>
              <w:rPr>
                <w:rStyle w:val="Bold"/>
              </w:rPr>
            </w:pPr>
            <w:r w:rsidRPr="003A02D7">
              <w:rPr>
                <w:rStyle w:val="Bold"/>
              </w:rPr>
              <w:t>Long service leave</w:t>
            </w:r>
          </w:p>
        </w:tc>
        <w:tc>
          <w:tcPr>
            <w:tcW w:w="805" w:type="pct"/>
          </w:tcPr>
          <w:p w14:paraId="754F2652" w14:textId="02622619"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c>
          <w:tcPr>
            <w:tcW w:w="805" w:type="pct"/>
          </w:tcPr>
          <w:p w14:paraId="787E1A50" w14:textId="0A5C30FA"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r>
      <w:tr w:rsidR="00417B1B" w:rsidRPr="005D2F2E" w14:paraId="254ACC32"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3F9A7BBB" w14:textId="7E80BDD4" w:rsidR="00417B1B" w:rsidRPr="005D2F2E" w:rsidRDefault="00417B1B" w:rsidP="00C24B57">
            <w:pPr>
              <w:pStyle w:val="TableText"/>
              <w:spacing w:line="220" w:lineRule="atLeast"/>
            </w:pPr>
            <w:r w:rsidRPr="005D2F2E">
              <w:t>Unconditional and expected to settle within 12 months</w:t>
            </w:r>
          </w:p>
        </w:tc>
        <w:tc>
          <w:tcPr>
            <w:tcW w:w="805" w:type="pct"/>
          </w:tcPr>
          <w:p w14:paraId="24898D80" w14:textId="7FE8B4AE"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5,147</w:t>
            </w:r>
          </w:p>
        </w:tc>
        <w:tc>
          <w:tcPr>
            <w:tcW w:w="805" w:type="pct"/>
          </w:tcPr>
          <w:p w14:paraId="4C0635CD" w14:textId="1C878C13"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4,811</w:t>
            </w:r>
          </w:p>
        </w:tc>
      </w:tr>
      <w:tr w:rsidR="00417B1B" w:rsidRPr="005D2F2E" w14:paraId="49C016F5"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41886205" w14:textId="2BFF61C8" w:rsidR="00417B1B" w:rsidRPr="005D2F2E" w:rsidRDefault="00417B1B" w:rsidP="00C24B57">
            <w:pPr>
              <w:pStyle w:val="TableText"/>
              <w:spacing w:line="220" w:lineRule="atLeast"/>
            </w:pPr>
            <w:r w:rsidRPr="005D2F2E">
              <w:t>Unconditional and expected to settle after 12 months</w:t>
            </w:r>
          </w:p>
        </w:tc>
        <w:tc>
          <w:tcPr>
            <w:tcW w:w="805" w:type="pct"/>
          </w:tcPr>
          <w:p w14:paraId="28253B13" w14:textId="14DD481F"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55,969</w:t>
            </w:r>
          </w:p>
        </w:tc>
        <w:tc>
          <w:tcPr>
            <w:tcW w:w="805" w:type="pct"/>
          </w:tcPr>
          <w:p w14:paraId="375818E7" w14:textId="65B0AD3E"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52,479</w:t>
            </w:r>
          </w:p>
        </w:tc>
      </w:tr>
      <w:tr w:rsidR="00417B1B" w:rsidRPr="005D2F2E" w14:paraId="20BBE305"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693D81F4" w14:textId="77777777" w:rsidR="00417B1B" w:rsidRPr="003A02D7" w:rsidRDefault="00417B1B" w:rsidP="00C24B57">
            <w:pPr>
              <w:pStyle w:val="TableText"/>
              <w:spacing w:line="220" w:lineRule="atLeast"/>
              <w:rPr>
                <w:rStyle w:val="Bold"/>
              </w:rPr>
            </w:pPr>
            <w:r w:rsidRPr="003A02D7">
              <w:rPr>
                <w:rStyle w:val="Bold"/>
              </w:rPr>
              <w:t>Provisions for on-costs</w:t>
            </w:r>
          </w:p>
        </w:tc>
        <w:tc>
          <w:tcPr>
            <w:tcW w:w="805" w:type="pct"/>
          </w:tcPr>
          <w:p w14:paraId="77AF5C62" w14:textId="0DCF9A87"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c>
          <w:tcPr>
            <w:tcW w:w="805" w:type="pct"/>
          </w:tcPr>
          <w:p w14:paraId="1D780747" w14:textId="7067DDE2" w:rsidR="00417B1B" w:rsidRPr="005D2F2E" w:rsidRDefault="00AC0BBF"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N/A</w:t>
            </w:r>
          </w:p>
        </w:tc>
      </w:tr>
      <w:tr w:rsidR="00417B1B" w:rsidRPr="005D2F2E" w14:paraId="172A35B9"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63010171" w14:textId="7F57018E" w:rsidR="00417B1B" w:rsidRPr="005D2F2E" w:rsidRDefault="00417B1B" w:rsidP="00C24B57">
            <w:pPr>
              <w:pStyle w:val="TableText"/>
              <w:spacing w:line="220" w:lineRule="atLeast"/>
            </w:pPr>
            <w:r w:rsidRPr="005D2F2E">
              <w:t>Unconditional and expected to settle within 12 months</w:t>
            </w:r>
          </w:p>
        </w:tc>
        <w:tc>
          <w:tcPr>
            <w:tcW w:w="805" w:type="pct"/>
          </w:tcPr>
          <w:p w14:paraId="38A148F5" w14:textId="751F387F"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4,744</w:t>
            </w:r>
          </w:p>
        </w:tc>
        <w:tc>
          <w:tcPr>
            <w:tcW w:w="805" w:type="pct"/>
          </w:tcPr>
          <w:p w14:paraId="1E78B0FA" w14:textId="32A13BCD"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4,030</w:t>
            </w:r>
          </w:p>
        </w:tc>
      </w:tr>
      <w:tr w:rsidR="00417B1B" w:rsidRPr="005D2F2E" w14:paraId="03BC43CD" w14:textId="77777777" w:rsidTr="005C03E1">
        <w:tc>
          <w:tcPr>
            <w:cnfStyle w:val="001000000000" w:firstRow="0" w:lastRow="0" w:firstColumn="1" w:lastColumn="0" w:oddVBand="0" w:evenVBand="0" w:oddHBand="0" w:evenHBand="0" w:firstRowFirstColumn="0" w:firstRowLastColumn="0" w:lastRowFirstColumn="0" w:lastRowLastColumn="0"/>
            <w:tcW w:w="3390" w:type="pct"/>
          </w:tcPr>
          <w:p w14:paraId="495BB7F3" w14:textId="47E3A4DD" w:rsidR="00417B1B" w:rsidRPr="005D2F2E" w:rsidRDefault="00417B1B" w:rsidP="00C24B57">
            <w:pPr>
              <w:pStyle w:val="TableText"/>
              <w:spacing w:line="220" w:lineRule="atLeast"/>
            </w:pPr>
            <w:r w:rsidRPr="005D2F2E">
              <w:t>Unconditional and expected to settle after 12 months</w:t>
            </w:r>
          </w:p>
        </w:tc>
        <w:tc>
          <w:tcPr>
            <w:tcW w:w="805" w:type="pct"/>
          </w:tcPr>
          <w:p w14:paraId="5EACB287" w14:textId="4682B80B"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7,677</w:t>
            </w:r>
          </w:p>
        </w:tc>
        <w:tc>
          <w:tcPr>
            <w:tcW w:w="805" w:type="pct"/>
          </w:tcPr>
          <w:p w14:paraId="2249C94D" w14:textId="316F4B8E"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6,964</w:t>
            </w:r>
          </w:p>
        </w:tc>
      </w:tr>
      <w:tr w:rsidR="00417B1B" w:rsidRPr="003A02D7" w14:paraId="32F1F83A" w14:textId="77777777" w:rsidTr="005C03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pct"/>
          </w:tcPr>
          <w:p w14:paraId="6881C51F" w14:textId="3F686DB3" w:rsidR="00417B1B" w:rsidRPr="003A02D7" w:rsidRDefault="00417B1B" w:rsidP="00C24B57">
            <w:pPr>
              <w:pStyle w:val="TableText"/>
              <w:spacing w:line="220" w:lineRule="atLeast"/>
              <w:rPr>
                <w:rStyle w:val="Bold"/>
              </w:rPr>
            </w:pPr>
            <w:r w:rsidRPr="003A02D7">
              <w:rPr>
                <w:rStyle w:val="Bold"/>
              </w:rPr>
              <w:t>Total current provisions for employee benefits and</w:t>
            </w:r>
            <w:r w:rsidR="00D45E5B" w:rsidRPr="003A02D7">
              <w:rPr>
                <w:rStyle w:val="Bold"/>
              </w:rPr>
              <w:t xml:space="preserve"> </w:t>
            </w:r>
            <w:r w:rsidRPr="003A02D7">
              <w:rPr>
                <w:rStyle w:val="Bold"/>
              </w:rPr>
              <w:t>Judicial Officer</w:t>
            </w:r>
            <w:r w:rsidR="00D45E5B" w:rsidRPr="003A02D7">
              <w:rPr>
                <w:rStyle w:val="Bold"/>
              </w:rPr>
              <w:t xml:space="preserve"> </w:t>
            </w:r>
            <w:r w:rsidRPr="003A02D7">
              <w:rPr>
                <w:rStyle w:val="Bold"/>
              </w:rPr>
              <w:t>remuneration</w:t>
            </w:r>
          </w:p>
        </w:tc>
        <w:tc>
          <w:tcPr>
            <w:tcW w:w="805" w:type="pct"/>
          </w:tcPr>
          <w:p w14:paraId="55741233" w14:textId="330383DA" w:rsidR="00417B1B" w:rsidRPr="003A02D7" w:rsidRDefault="00A95832" w:rsidP="00C24B57">
            <w:pPr>
              <w:pStyle w:val="TableText"/>
              <w:spacing w:line="220" w:lineRule="atLeast"/>
              <w:cnfStyle w:val="010000000000" w:firstRow="0" w:lastRow="1" w:firstColumn="0" w:lastColumn="0" w:oddVBand="0" w:evenVBand="0" w:oddHBand="0" w:evenHBand="0" w:firstRowFirstColumn="0" w:firstRowLastColumn="0" w:lastRowFirstColumn="0" w:lastRowLastColumn="0"/>
              <w:rPr>
                <w:rStyle w:val="Bold"/>
              </w:rPr>
            </w:pPr>
            <w:r>
              <w:rPr>
                <w:rStyle w:val="Bold"/>
              </w:rPr>
              <w:t>92,666</w:t>
            </w:r>
          </w:p>
        </w:tc>
        <w:tc>
          <w:tcPr>
            <w:tcW w:w="805" w:type="pct"/>
          </w:tcPr>
          <w:p w14:paraId="60EB037F" w14:textId="6007D761" w:rsidR="00417B1B" w:rsidRPr="003A02D7" w:rsidRDefault="00A95832" w:rsidP="00C24B57">
            <w:pPr>
              <w:pStyle w:val="TableText"/>
              <w:spacing w:line="220" w:lineRule="atLeast"/>
              <w:cnfStyle w:val="010000000000" w:firstRow="0" w:lastRow="1" w:firstColumn="0" w:lastColumn="0" w:oddVBand="0" w:evenVBand="0" w:oddHBand="0" w:evenHBand="0" w:firstRowFirstColumn="0" w:firstRowLastColumn="0" w:lastRowFirstColumn="0" w:lastRowLastColumn="0"/>
              <w:rPr>
                <w:rStyle w:val="Bold"/>
              </w:rPr>
            </w:pPr>
            <w:r>
              <w:rPr>
                <w:rStyle w:val="Bold"/>
              </w:rPr>
              <w:t>82,934</w:t>
            </w:r>
          </w:p>
        </w:tc>
      </w:tr>
    </w:tbl>
    <w:p w14:paraId="7C44D870" w14:textId="4EA25F33" w:rsidR="005C03E1" w:rsidRDefault="005C03E1" w:rsidP="005C03E1">
      <w:pPr>
        <w:pStyle w:val="BodyText"/>
      </w:pPr>
      <w:r w:rsidRPr="005D2F2E">
        <w:t>Non-current provisions</w:t>
      </w:r>
    </w:p>
    <w:tbl>
      <w:tblPr>
        <w:tblStyle w:val="AccessibleTableNumerical"/>
        <w:tblW w:w="5000" w:type="pct"/>
        <w:tblLook w:val="04E0" w:firstRow="1" w:lastRow="1" w:firstColumn="1" w:lastColumn="0" w:noHBand="0" w:noVBand="1"/>
      </w:tblPr>
      <w:tblGrid>
        <w:gridCol w:w="6538"/>
        <w:gridCol w:w="1552"/>
        <w:gridCol w:w="1552"/>
      </w:tblGrid>
      <w:tr w:rsidR="003A02D7" w:rsidRPr="005D2F2E" w14:paraId="279A7B24" w14:textId="77777777" w:rsidTr="001954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0" w:type="pct"/>
          </w:tcPr>
          <w:p w14:paraId="2FA1C033" w14:textId="6C72D3C4" w:rsidR="003A02D7" w:rsidRPr="005D2F2E" w:rsidRDefault="003A02D7" w:rsidP="00C24B57">
            <w:pPr>
              <w:pStyle w:val="TableText"/>
              <w:spacing w:line="220" w:lineRule="atLeast"/>
            </w:pPr>
            <w:bookmarkStart w:id="288" w:name="ColumnTitle_56"/>
            <w:r>
              <w:t>Item</w:t>
            </w:r>
          </w:p>
        </w:tc>
        <w:tc>
          <w:tcPr>
            <w:tcW w:w="805" w:type="pct"/>
            <w:vAlign w:val="bottom"/>
          </w:tcPr>
          <w:p w14:paraId="6B5738AB" w14:textId="3E9080FF" w:rsidR="003A02D7" w:rsidRPr="005D2F2E" w:rsidRDefault="003A02D7" w:rsidP="00195417">
            <w:pPr>
              <w:pStyle w:val="TableText"/>
              <w:spacing w:line="220" w:lineRule="atLeast"/>
              <w:cnfStyle w:val="100000000000" w:firstRow="1" w:lastRow="0" w:firstColumn="0" w:lastColumn="0" w:oddVBand="0" w:evenVBand="0" w:oddHBand="0" w:evenHBand="0" w:firstRowFirstColumn="0" w:firstRowLastColumn="0" w:lastRowFirstColumn="0" w:lastRowLastColumn="0"/>
            </w:pPr>
            <w:r>
              <w:t>20</w:t>
            </w:r>
            <w:r w:rsidR="00A95832">
              <w:t>20</w:t>
            </w:r>
            <w:r>
              <w:br/>
              <w:t>$’000</w:t>
            </w:r>
          </w:p>
        </w:tc>
        <w:tc>
          <w:tcPr>
            <w:tcW w:w="805" w:type="pct"/>
            <w:vAlign w:val="bottom"/>
          </w:tcPr>
          <w:p w14:paraId="0C25F7A7" w14:textId="5E14B498" w:rsidR="003A02D7" w:rsidRPr="005D2F2E" w:rsidRDefault="003A02D7" w:rsidP="00195417">
            <w:pPr>
              <w:pStyle w:val="TableText"/>
              <w:spacing w:line="220" w:lineRule="atLeast"/>
              <w:cnfStyle w:val="100000000000" w:firstRow="1" w:lastRow="0" w:firstColumn="0" w:lastColumn="0" w:oddVBand="0" w:evenVBand="0" w:oddHBand="0" w:evenHBand="0" w:firstRowFirstColumn="0" w:firstRowLastColumn="0" w:lastRowFirstColumn="0" w:lastRowLastColumn="0"/>
            </w:pPr>
            <w:r>
              <w:t>201</w:t>
            </w:r>
            <w:r w:rsidR="00A95832">
              <w:t>9</w:t>
            </w:r>
            <w:r>
              <w:br/>
              <w:t>$’000</w:t>
            </w:r>
          </w:p>
        </w:tc>
      </w:tr>
      <w:bookmarkEnd w:id="288"/>
      <w:tr w:rsidR="00417B1B" w:rsidRPr="005D2F2E" w14:paraId="03944FAE" w14:textId="77777777" w:rsidTr="003A02D7">
        <w:tc>
          <w:tcPr>
            <w:cnfStyle w:val="001000000000" w:firstRow="0" w:lastRow="0" w:firstColumn="1" w:lastColumn="0" w:oddVBand="0" w:evenVBand="0" w:oddHBand="0" w:evenHBand="0" w:firstRowFirstColumn="0" w:firstRowLastColumn="0" w:lastRowFirstColumn="0" w:lastRowLastColumn="0"/>
            <w:tcW w:w="3390" w:type="pct"/>
          </w:tcPr>
          <w:p w14:paraId="1A246F63" w14:textId="190E7D9F" w:rsidR="00417B1B" w:rsidRPr="005D2F2E" w:rsidRDefault="00417B1B" w:rsidP="00C24B57">
            <w:pPr>
              <w:pStyle w:val="TableText"/>
              <w:spacing w:line="220" w:lineRule="atLeast"/>
            </w:pPr>
            <w:r w:rsidRPr="005D2F2E">
              <w:t>Employee benefits and Judicial Officer remuneration</w:t>
            </w:r>
          </w:p>
        </w:tc>
        <w:tc>
          <w:tcPr>
            <w:tcW w:w="805" w:type="pct"/>
          </w:tcPr>
          <w:p w14:paraId="02D1F71E" w14:textId="2998D860"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11,142</w:t>
            </w:r>
          </w:p>
        </w:tc>
        <w:tc>
          <w:tcPr>
            <w:tcW w:w="805" w:type="pct"/>
          </w:tcPr>
          <w:p w14:paraId="4C01FEAF" w14:textId="6262E490"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9,786</w:t>
            </w:r>
          </w:p>
        </w:tc>
      </w:tr>
      <w:tr w:rsidR="00417B1B" w:rsidRPr="005D2F2E" w14:paraId="25878456" w14:textId="77777777" w:rsidTr="003A02D7">
        <w:tc>
          <w:tcPr>
            <w:cnfStyle w:val="001000000000" w:firstRow="0" w:lastRow="0" w:firstColumn="1" w:lastColumn="0" w:oddVBand="0" w:evenVBand="0" w:oddHBand="0" w:evenHBand="0" w:firstRowFirstColumn="0" w:firstRowLastColumn="0" w:lastRowFirstColumn="0" w:lastRowLastColumn="0"/>
            <w:tcW w:w="3390" w:type="pct"/>
          </w:tcPr>
          <w:p w14:paraId="6BC170FE" w14:textId="77777777" w:rsidR="00417B1B" w:rsidRPr="005D2F2E" w:rsidRDefault="00417B1B" w:rsidP="00C24B57">
            <w:pPr>
              <w:pStyle w:val="TableText"/>
              <w:spacing w:line="220" w:lineRule="atLeast"/>
            </w:pPr>
            <w:r w:rsidRPr="005D2F2E">
              <w:t>On-costs</w:t>
            </w:r>
          </w:p>
        </w:tc>
        <w:tc>
          <w:tcPr>
            <w:tcW w:w="805" w:type="pct"/>
          </w:tcPr>
          <w:p w14:paraId="7718B59C" w14:textId="7B788F9F"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1,315</w:t>
            </w:r>
          </w:p>
        </w:tc>
        <w:tc>
          <w:tcPr>
            <w:tcW w:w="805" w:type="pct"/>
          </w:tcPr>
          <w:p w14:paraId="09FC0CE6" w14:textId="4C82CE58" w:rsidR="00417B1B" w:rsidRPr="005D2F2E"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pPr>
            <w:r>
              <w:t>1,183</w:t>
            </w:r>
          </w:p>
        </w:tc>
      </w:tr>
      <w:tr w:rsidR="00417B1B" w:rsidRPr="003A02D7" w14:paraId="01AF7AF3" w14:textId="77777777" w:rsidTr="003A02D7">
        <w:tc>
          <w:tcPr>
            <w:cnfStyle w:val="001000000000" w:firstRow="0" w:lastRow="0" w:firstColumn="1" w:lastColumn="0" w:oddVBand="0" w:evenVBand="0" w:oddHBand="0" w:evenHBand="0" w:firstRowFirstColumn="0" w:firstRowLastColumn="0" w:lastRowFirstColumn="0" w:lastRowLastColumn="0"/>
            <w:tcW w:w="3390" w:type="pct"/>
          </w:tcPr>
          <w:p w14:paraId="5AEC943C" w14:textId="130CB7E8" w:rsidR="00417B1B" w:rsidRPr="003A02D7" w:rsidRDefault="00417B1B" w:rsidP="00C24B57">
            <w:pPr>
              <w:pStyle w:val="TableText"/>
              <w:spacing w:line="220" w:lineRule="atLeast"/>
              <w:rPr>
                <w:rStyle w:val="Bold"/>
              </w:rPr>
            </w:pPr>
            <w:r w:rsidRPr="003A02D7">
              <w:rPr>
                <w:rStyle w:val="Bold"/>
              </w:rPr>
              <w:t>Total non-current provisions for employee benefits and</w:t>
            </w:r>
            <w:r w:rsidR="00D45E5B" w:rsidRPr="003A02D7">
              <w:rPr>
                <w:rStyle w:val="Bold"/>
              </w:rPr>
              <w:t xml:space="preserve"> </w:t>
            </w:r>
            <w:r w:rsidRPr="003A02D7">
              <w:rPr>
                <w:rStyle w:val="Bold"/>
              </w:rPr>
              <w:t>Judicial</w:t>
            </w:r>
            <w:r w:rsidR="00D45E5B" w:rsidRPr="003A02D7">
              <w:rPr>
                <w:rStyle w:val="Bold"/>
              </w:rPr>
              <w:t xml:space="preserve"> </w:t>
            </w:r>
            <w:r w:rsidRPr="003A02D7">
              <w:rPr>
                <w:rStyle w:val="Bold"/>
              </w:rPr>
              <w:t>Officer remuneration</w:t>
            </w:r>
          </w:p>
        </w:tc>
        <w:tc>
          <w:tcPr>
            <w:tcW w:w="805" w:type="pct"/>
          </w:tcPr>
          <w:p w14:paraId="40FF9617" w14:textId="75257D51" w:rsidR="00417B1B" w:rsidRPr="003A02D7"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rPr>
                <w:rStyle w:val="Bold"/>
              </w:rPr>
            </w:pPr>
            <w:r>
              <w:rPr>
                <w:rStyle w:val="Bold"/>
              </w:rPr>
              <w:t>12,456</w:t>
            </w:r>
          </w:p>
        </w:tc>
        <w:tc>
          <w:tcPr>
            <w:tcW w:w="805" w:type="pct"/>
          </w:tcPr>
          <w:p w14:paraId="282DD775" w14:textId="2932AD7B" w:rsidR="00417B1B" w:rsidRPr="003A02D7" w:rsidRDefault="00A95832" w:rsidP="00C24B57">
            <w:pPr>
              <w:pStyle w:val="TableText"/>
              <w:spacing w:line="220" w:lineRule="atLeast"/>
              <w:cnfStyle w:val="000000000000" w:firstRow="0" w:lastRow="0" w:firstColumn="0" w:lastColumn="0" w:oddVBand="0" w:evenVBand="0" w:oddHBand="0" w:evenHBand="0" w:firstRowFirstColumn="0" w:firstRowLastColumn="0" w:lastRowFirstColumn="0" w:lastRowLastColumn="0"/>
              <w:rPr>
                <w:rStyle w:val="Bold"/>
              </w:rPr>
            </w:pPr>
            <w:r>
              <w:rPr>
                <w:rStyle w:val="Bold"/>
              </w:rPr>
              <w:t>10,968</w:t>
            </w:r>
          </w:p>
        </w:tc>
      </w:tr>
      <w:tr w:rsidR="00417B1B" w:rsidRPr="003A02D7" w14:paraId="625F9807" w14:textId="77777777" w:rsidTr="003A02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pct"/>
          </w:tcPr>
          <w:p w14:paraId="440C6EC7" w14:textId="16582A25" w:rsidR="00417B1B" w:rsidRPr="003A02D7" w:rsidRDefault="00417B1B" w:rsidP="00C24B57">
            <w:pPr>
              <w:pStyle w:val="TableText"/>
              <w:spacing w:line="220" w:lineRule="atLeast"/>
              <w:rPr>
                <w:rStyle w:val="Bold"/>
              </w:rPr>
            </w:pPr>
            <w:r w:rsidRPr="003A02D7">
              <w:rPr>
                <w:rStyle w:val="Bold"/>
              </w:rPr>
              <w:t>Total provisions for employee benefits and</w:t>
            </w:r>
            <w:r w:rsidR="00D45E5B" w:rsidRPr="003A02D7">
              <w:rPr>
                <w:rStyle w:val="Bold"/>
              </w:rPr>
              <w:t xml:space="preserve"> </w:t>
            </w:r>
            <w:r w:rsidRPr="003A02D7">
              <w:rPr>
                <w:rStyle w:val="Bold"/>
              </w:rPr>
              <w:t>Judicial</w:t>
            </w:r>
            <w:r w:rsidR="00D45E5B" w:rsidRPr="003A02D7">
              <w:rPr>
                <w:rStyle w:val="Bold"/>
              </w:rPr>
              <w:t xml:space="preserve"> </w:t>
            </w:r>
            <w:r w:rsidRPr="003A02D7">
              <w:rPr>
                <w:rStyle w:val="Bold"/>
              </w:rPr>
              <w:t>Officer</w:t>
            </w:r>
            <w:r w:rsidR="00D45E5B" w:rsidRPr="003A02D7">
              <w:rPr>
                <w:rStyle w:val="Bold"/>
              </w:rPr>
              <w:t xml:space="preserve"> </w:t>
            </w:r>
            <w:r w:rsidRPr="003A02D7">
              <w:rPr>
                <w:rStyle w:val="Bold"/>
              </w:rPr>
              <w:t>remuneration</w:t>
            </w:r>
          </w:p>
        </w:tc>
        <w:tc>
          <w:tcPr>
            <w:tcW w:w="805" w:type="pct"/>
          </w:tcPr>
          <w:p w14:paraId="2C02B278" w14:textId="565493C7" w:rsidR="00417B1B" w:rsidRPr="003A02D7" w:rsidRDefault="00A95832" w:rsidP="00C24B57">
            <w:pPr>
              <w:pStyle w:val="TableText"/>
              <w:spacing w:line="220" w:lineRule="atLeast"/>
              <w:cnfStyle w:val="010000000000" w:firstRow="0" w:lastRow="1" w:firstColumn="0" w:lastColumn="0" w:oddVBand="0" w:evenVBand="0" w:oddHBand="0" w:evenHBand="0" w:firstRowFirstColumn="0" w:firstRowLastColumn="0" w:lastRowFirstColumn="0" w:lastRowLastColumn="0"/>
              <w:rPr>
                <w:rStyle w:val="Bold"/>
              </w:rPr>
            </w:pPr>
            <w:r>
              <w:rPr>
                <w:rStyle w:val="Bold"/>
              </w:rPr>
              <w:t>105,123</w:t>
            </w:r>
          </w:p>
        </w:tc>
        <w:tc>
          <w:tcPr>
            <w:tcW w:w="805" w:type="pct"/>
          </w:tcPr>
          <w:p w14:paraId="7E857ED4" w14:textId="10B453B3" w:rsidR="00417B1B" w:rsidRPr="003A02D7" w:rsidRDefault="00A95832" w:rsidP="00C24B57">
            <w:pPr>
              <w:pStyle w:val="TableText"/>
              <w:spacing w:line="220" w:lineRule="atLeast"/>
              <w:cnfStyle w:val="010000000000" w:firstRow="0" w:lastRow="1" w:firstColumn="0" w:lastColumn="0" w:oddVBand="0" w:evenVBand="0" w:oddHBand="0" w:evenHBand="0" w:firstRowFirstColumn="0" w:firstRowLastColumn="0" w:lastRowFirstColumn="0" w:lastRowLastColumn="0"/>
              <w:rPr>
                <w:rStyle w:val="Bold"/>
              </w:rPr>
            </w:pPr>
            <w:r>
              <w:rPr>
                <w:rStyle w:val="Bold"/>
              </w:rPr>
              <w:t>93,903</w:t>
            </w:r>
          </w:p>
        </w:tc>
      </w:tr>
    </w:tbl>
    <w:p w14:paraId="3C77AEE3" w14:textId="702BC7F7" w:rsidR="00417B1B" w:rsidRDefault="00417B1B" w:rsidP="00417B1B">
      <w:pPr>
        <w:pStyle w:val="Heading4"/>
      </w:pPr>
      <w:r w:rsidRPr="005D2F2E">
        <w:t xml:space="preserve">Reconciliation </w:t>
      </w:r>
      <w:r w:rsidR="00172429">
        <w:t>of</w:t>
      </w:r>
      <w:r w:rsidR="003A02D7">
        <w:t xml:space="preserve"> Movement i</w:t>
      </w:r>
      <w:r w:rsidRPr="005D2F2E">
        <w:t>n On-Cost Provision</w:t>
      </w:r>
    </w:p>
    <w:tbl>
      <w:tblPr>
        <w:tblStyle w:val="AccessibleTableNumerical"/>
        <w:tblW w:w="5000" w:type="pct"/>
        <w:tblLook w:val="04A0" w:firstRow="1" w:lastRow="0" w:firstColumn="1" w:lastColumn="0" w:noHBand="0" w:noVBand="1"/>
      </w:tblPr>
      <w:tblGrid>
        <w:gridCol w:w="6538"/>
        <w:gridCol w:w="1552"/>
        <w:gridCol w:w="1552"/>
      </w:tblGrid>
      <w:tr w:rsidR="00417B1B" w:rsidRPr="005D2F2E" w14:paraId="240600F1" w14:textId="77777777" w:rsidTr="001954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9" w:type="pct"/>
          </w:tcPr>
          <w:p w14:paraId="567D1A26" w14:textId="7312F681" w:rsidR="00417B1B" w:rsidRPr="005D2F2E" w:rsidRDefault="00AC0BBF" w:rsidP="00AC0BBF">
            <w:pPr>
              <w:pStyle w:val="TableText"/>
            </w:pPr>
            <w:bookmarkStart w:id="289" w:name="ColumnTitle_57"/>
            <w:r>
              <w:t>Item</w:t>
            </w:r>
          </w:p>
        </w:tc>
        <w:tc>
          <w:tcPr>
            <w:tcW w:w="805" w:type="pct"/>
            <w:vAlign w:val="bottom"/>
          </w:tcPr>
          <w:p w14:paraId="1860FBEC" w14:textId="36B6F74E" w:rsidR="00417B1B" w:rsidRPr="005D2F2E" w:rsidRDefault="00417B1B" w:rsidP="00195417">
            <w:pPr>
              <w:pStyle w:val="TableText"/>
              <w:cnfStyle w:val="100000000000" w:firstRow="1" w:lastRow="0" w:firstColumn="0" w:lastColumn="0" w:oddVBand="0" w:evenVBand="0" w:oddHBand="0" w:evenHBand="0" w:firstRowFirstColumn="0" w:firstRowLastColumn="0" w:lastRowFirstColumn="0" w:lastRowLastColumn="0"/>
            </w:pPr>
            <w:r w:rsidRPr="005D2F2E">
              <w:t>20</w:t>
            </w:r>
            <w:r w:rsidR="00A95832">
              <w:t>20</w:t>
            </w:r>
            <w:r w:rsidRPr="005D2F2E">
              <w:br/>
              <w:t>$'000</w:t>
            </w:r>
          </w:p>
        </w:tc>
        <w:tc>
          <w:tcPr>
            <w:tcW w:w="805" w:type="pct"/>
            <w:vAlign w:val="bottom"/>
          </w:tcPr>
          <w:p w14:paraId="5BAD5796" w14:textId="6B03BAF0" w:rsidR="00417B1B" w:rsidRPr="005D2F2E" w:rsidRDefault="00417B1B" w:rsidP="00195417">
            <w:pPr>
              <w:pStyle w:val="TableText"/>
              <w:cnfStyle w:val="100000000000" w:firstRow="1" w:lastRow="0" w:firstColumn="0" w:lastColumn="0" w:oddVBand="0" w:evenVBand="0" w:oddHBand="0" w:evenHBand="0" w:firstRowFirstColumn="0" w:firstRowLastColumn="0" w:lastRowFirstColumn="0" w:lastRowLastColumn="0"/>
            </w:pPr>
            <w:r w:rsidRPr="005D2F2E">
              <w:t>201</w:t>
            </w:r>
            <w:r w:rsidR="00A95832">
              <w:t>9</w:t>
            </w:r>
            <w:r w:rsidRPr="005D2F2E">
              <w:br/>
              <w:t>$'000</w:t>
            </w:r>
          </w:p>
        </w:tc>
      </w:tr>
      <w:bookmarkEnd w:id="289"/>
      <w:tr w:rsidR="00417B1B" w:rsidRPr="003A02D7" w14:paraId="0F3D99E2"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top w:val="single" w:sz="4" w:space="0" w:color="auto"/>
              <w:bottom w:val="single" w:sz="4" w:space="0" w:color="auto"/>
            </w:tcBorders>
          </w:tcPr>
          <w:p w14:paraId="155EE329" w14:textId="77777777" w:rsidR="00417B1B" w:rsidRPr="003A02D7" w:rsidRDefault="00417B1B" w:rsidP="00AC0BBF">
            <w:pPr>
              <w:pStyle w:val="TableText"/>
              <w:rPr>
                <w:rStyle w:val="Bold"/>
              </w:rPr>
            </w:pPr>
            <w:r w:rsidRPr="003A02D7">
              <w:rPr>
                <w:rStyle w:val="Bold"/>
              </w:rPr>
              <w:t>Opening balance</w:t>
            </w:r>
          </w:p>
        </w:tc>
        <w:tc>
          <w:tcPr>
            <w:tcW w:w="805" w:type="pct"/>
            <w:tcBorders>
              <w:top w:val="single" w:sz="4" w:space="0" w:color="auto"/>
              <w:bottom w:val="single" w:sz="4" w:space="0" w:color="auto"/>
            </w:tcBorders>
          </w:tcPr>
          <w:p w14:paraId="743D6BEA" w14:textId="59C16E4C" w:rsidR="00417B1B" w:rsidRPr="003A02D7"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12,177</w:t>
            </w:r>
          </w:p>
        </w:tc>
        <w:tc>
          <w:tcPr>
            <w:tcW w:w="805" w:type="pct"/>
            <w:tcBorders>
              <w:top w:val="single" w:sz="4" w:space="0" w:color="auto"/>
              <w:bottom w:val="single" w:sz="4" w:space="0" w:color="auto"/>
            </w:tcBorders>
          </w:tcPr>
          <w:p w14:paraId="7361EFE8" w14:textId="0005239E" w:rsidR="00417B1B" w:rsidRPr="003A02D7"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10,493</w:t>
            </w:r>
          </w:p>
        </w:tc>
      </w:tr>
      <w:tr w:rsidR="00417B1B" w:rsidRPr="005D2F2E" w14:paraId="7E771AF1"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top w:val="single" w:sz="4" w:space="0" w:color="auto"/>
            </w:tcBorders>
          </w:tcPr>
          <w:p w14:paraId="49453DA8" w14:textId="77777777" w:rsidR="00417B1B" w:rsidRPr="005D2F2E" w:rsidRDefault="00417B1B" w:rsidP="00AC0BBF">
            <w:pPr>
              <w:pStyle w:val="TableText"/>
            </w:pPr>
            <w:r w:rsidRPr="005D2F2E">
              <w:t>Additional provisions recognised</w:t>
            </w:r>
          </w:p>
        </w:tc>
        <w:tc>
          <w:tcPr>
            <w:tcW w:w="805" w:type="pct"/>
            <w:tcBorders>
              <w:top w:val="single" w:sz="4" w:space="0" w:color="auto"/>
            </w:tcBorders>
          </w:tcPr>
          <w:p w14:paraId="005B259C" w14:textId="0ED7E29A"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4,935</w:t>
            </w:r>
          </w:p>
        </w:tc>
        <w:tc>
          <w:tcPr>
            <w:tcW w:w="805" w:type="pct"/>
            <w:tcBorders>
              <w:top w:val="single" w:sz="4" w:space="0" w:color="auto"/>
            </w:tcBorders>
          </w:tcPr>
          <w:p w14:paraId="43BE8167" w14:textId="1E14F913"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5,484</w:t>
            </w:r>
          </w:p>
        </w:tc>
      </w:tr>
      <w:tr w:rsidR="00417B1B" w:rsidRPr="005D2F2E" w14:paraId="67E2A0AF"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bottom w:val="single" w:sz="4" w:space="0" w:color="auto"/>
            </w:tcBorders>
          </w:tcPr>
          <w:p w14:paraId="3A518590" w14:textId="2766D70C" w:rsidR="00417B1B" w:rsidRPr="005D2F2E" w:rsidRDefault="00417B1B" w:rsidP="00AC0BBF">
            <w:pPr>
              <w:pStyle w:val="TableText"/>
            </w:pPr>
            <w:r w:rsidRPr="005D2F2E">
              <w:t>Reductions arising from payments/other sacrifices of</w:t>
            </w:r>
            <w:r w:rsidR="00D45E5B">
              <w:t xml:space="preserve"> </w:t>
            </w:r>
            <w:r w:rsidRPr="005D2F2E">
              <w:t>future</w:t>
            </w:r>
            <w:r w:rsidR="00D45E5B">
              <w:t xml:space="preserve"> </w:t>
            </w:r>
            <w:r w:rsidRPr="005D2F2E">
              <w:t>economic</w:t>
            </w:r>
            <w:r w:rsidR="00D45E5B">
              <w:t xml:space="preserve"> </w:t>
            </w:r>
            <w:r w:rsidRPr="005D2F2E">
              <w:t>benefits</w:t>
            </w:r>
          </w:p>
        </w:tc>
        <w:tc>
          <w:tcPr>
            <w:tcW w:w="805" w:type="pct"/>
            <w:tcBorders>
              <w:bottom w:val="single" w:sz="4" w:space="0" w:color="auto"/>
            </w:tcBorders>
          </w:tcPr>
          <w:p w14:paraId="647DC272" w14:textId="3DA279D9"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(3,376)</w:t>
            </w:r>
          </w:p>
        </w:tc>
        <w:tc>
          <w:tcPr>
            <w:tcW w:w="805" w:type="pct"/>
            <w:tcBorders>
              <w:bottom w:val="single" w:sz="4" w:space="0" w:color="auto"/>
            </w:tcBorders>
          </w:tcPr>
          <w:p w14:paraId="47998726" w14:textId="44E3AEED"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(3,800)</w:t>
            </w:r>
          </w:p>
        </w:tc>
      </w:tr>
      <w:tr w:rsidR="00417B1B" w:rsidRPr="005C03E1" w14:paraId="324149B9"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top w:val="single" w:sz="4" w:space="0" w:color="auto"/>
              <w:bottom w:val="single" w:sz="4" w:space="0" w:color="auto"/>
            </w:tcBorders>
            <w:shd w:val="clear" w:color="auto" w:fill="auto"/>
          </w:tcPr>
          <w:p w14:paraId="7C3B3848" w14:textId="77777777" w:rsidR="00417B1B" w:rsidRPr="005C03E1" w:rsidRDefault="00417B1B" w:rsidP="00AC0BBF">
            <w:pPr>
              <w:pStyle w:val="TableText"/>
              <w:rPr>
                <w:rStyle w:val="Bold"/>
              </w:rPr>
            </w:pPr>
            <w:r w:rsidRPr="005C03E1">
              <w:rPr>
                <w:rStyle w:val="Bold"/>
              </w:rPr>
              <w:t>Closing balance</w:t>
            </w:r>
          </w:p>
        </w:tc>
        <w:tc>
          <w:tcPr>
            <w:tcW w:w="805" w:type="pct"/>
            <w:tcBorders>
              <w:top w:val="single" w:sz="4" w:space="0" w:color="auto"/>
              <w:bottom w:val="single" w:sz="4" w:space="0" w:color="auto"/>
            </w:tcBorders>
            <w:shd w:val="clear" w:color="auto" w:fill="auto"/>
          </w:tcPr>
          <w:p w14:paraId="06EB12C7" w14:textId="4198247B" w:rsidR="00417B1B" w:rsidRPr="005C03E1"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13,736</w:t>
            </w:r>
          </w:p>
        </w:tc>
        <w:tc>
          <w:tcPr>
            <w:tcW w:w="805" w:type="pct"/>
            <w:tcBorders>
              <w:top w:val="single" w:sz="4" w:space="0" w:color="auto"/>
              <w:bottom w:val="single" w:sz="4" w:space="0" w:color="auto"/>
            </w:tcBorders>
            <w:shd w:val="clear" w:color="auto" w:fill="auto"/>
          </w:tcPr>
          <w:p w14:paraId="033C1013" w14:textId="2D49C7F0" w:rsidR="00417B1B" w:rsidRPr="005C03E1"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12,177</w:t>
            </w:r>
          </w:p>
        </w:tc>
      </w:tr>
      <w:tr w:rsidR="00417B1B" w:rsidRPr="005D2F2E" w14:paraId="147B4272"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top w:val="single" w:sz="4" w:space="0" w:color="auto"/>
            </w:tcBorders>
          </w:tcPr>
          <w:p w14:paraId="0DB6071E" w14:textId="36A15BDB" w:rsidR="00417B1B" w:rsidRPr="005D2F2E" w:rsidRDefault="00AC0BBF" w:rsidP="00AC0BBF">
            <w:pPr>
              <w:pStyle w:val="TableText"/>
            </w:pPr>
            <w:r>
              <w:t>N/A</w:t>
            </w:r>
          </w:p>
        </w:tc>
        <w:tc>
          <w:tcPr>
            <w:tcW w:w="805" w:type="pct"/>
            <w:tcBorders>
              <w:top w:val="single" w:sz="4" w:space="0" w:color="auto"/>
            </w:tcBorders>
          </w:tcPr>
          <w:p w14:paraId="1B3BCA44" w14:textId="674DC2DD" w:rsidR="00417B1B" w:rsidRPr="005D2F2E" w:rsidRDefault="00AC0BBF" w:rsidP="005C03E1">
            <w:pPr>
              <w:pStyle w:val="TableText"/>
              <w:cnfStyle w:val="000000000000" w:firstRow="0" w:lastRow="0" w:firstColumn="0" w:lastColumn="0" w:oddVBand="0" w:evenVBand="0" w:oddHBand="0" w:evenHBand="0" w:firstRowFirstColumn="0" w:firstRowLastColumn="0" w:lastRowFirstColumn="0" w:lastRowLastColumn="0"/>
            </w:pPr>
            <w:r>
              <w:t>N/A</w:t>
            </w:r>
          </w:p>
        </w:tc>
        <w:tc>
          <w:tcPr>
            <w:tcW w:w="805" w:type="pct"/>
            <w:tcBorders>
              <w:top w:val="single" w:sz="4" w:space="0" w:color="auto"/>
            </w:tcBorders>
          </w:tcPr>
          <w:p w14:paraId="5FCB474D" w14:textId="2D397E1D" w:rsidR="00417B1B" w:rsidRPr="005D2F2E" w:rsidRDefault="00AC0BBF" w:rsidP="005C03E1">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5D2F2E" w14:paraId="7357A12F" w14:textId="77777777" w:rsidTr="00AC0BBF">
        <w:tc>
          <w:tcPr>
            <w:cnfStyle w:val="001000000000" w:firstRow="0" w:lastRow="0" w:firstColumn="1" w:lastColumn="0" w:oddVBand="0" w:evenVBand="0" w:oddHBand="0" w:evenHBand="0" w:firstRowFirstColumn="0" w:firstRowLastColumn="0" w:lastRowFirstColumn="0" w:lastRowLastColumn="0"/>
            <w:tcW w:w="3389" w:type="pct"/>
          </w:tcPr>
          <w:p w14:paraId="57B0D15A" w14:textId="77777777" w:rsidR="00417B1B" w:rsidRPr="005D2F2E" w:rsidRDefault="00417B1B" w:rsidP="00AC0BBF">
            <w:pPr>
              <w:pStyle w:val="TableText"/>
            </w:pPr>
            <w:r w:rsidRPr="005D2F2E">
              <w:t>Current</w:t>
            </w:r>
          </w:p>
        </w:tc>
        <w:tc>
          <w:tcPr>
            <w:tcW w:w="805" w:type="pct"/>
          </w:tcPr>
          <w:p w14:paraId="355C3D8B" w14:textId="639C58D4"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12,421</w:t>
            </w:r>
          </w:p>
        </w:tc>
        <w:tc>
          <w:tcPr>
            <w:tcW w:w="805" w:type="pct"/>
          </w:tcPr>
          <w:p w14:paraId="2EB1BACA" w14:textId="315BFEDB"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10,994</w:t>
            </w:r>
          </w:p>
        </w:tc>
      </w:tr>
      <w:tr w:rsidR="00417B1B" w:rsidRPr="005D2F2E" w14:paraId="2465E445"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bottom w:val="single" w:sz="4" w:space="0" w:color="auto"/>
            </w:tcBorders>
          </w:tcPr>
          <w:p w14:paraId="03CF850F" w14:textId="77777777" w:rsidR="00417B1B" w:rsidRPr="005D2F2E" w:rsidRDefault="00417B1B" w:rsidP="00AC0BBF">
            <w:pPr>
              <w:pStyle w:val="TableText"/>
            </w:pPr>
            <w:r w:rsidRPr="005D2F2E">
              <w:t>Non-current</w:t>
            </w:r>
          </w:p>
        </w:tc>
        <w:tc>
          <w:tcPr>
            <w:tcW w:w="805" w:type="pct"/>
            <w:tcBorders>
              <w:bottom w:val="single" w:sz="4" w:space="0" w:color="auto"/>
            </w:tcBorders>
          </w:tcPr>
          <w:p w14:paraId="4B304307" w14:textId="35DF8921"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1,315</w:t>
            </w:r>
          </w:p>
        </w:tc>
        <w:tc>
          <w:tcPr>
            <w:tcW w:w="805" w:type="pct"/>
            <w:tcBorders>
              <w:bottom w:val="single" w:sz="4" w:space="0" w:color="auto"/>
            </w:tcBorders>
          </w:tcPr>
          <w:p w14:paraId="15882E53" w14:textId="29BFBBF2" w:rsidR="00417B1B" w:rsidRPr="005D2F2E" w:rsidRDefault="00A95832" w:rsidP="005C03E1">
            <w:pPr>
              <w:pStyle w:val="TableText"/>
              <w:cnfStyle w:val="000000000000" w:firstRow="0" w:lastRow="0" w:firstColumn="0" w:lastColumn="0" w:oddVBand="0" w:evenVBand="0" w:oddHBand="0" w:evenHBand="0" w:firstRowFirstColumn="0" w:firstRowLastColumn="0" w:lastRowFirstColumn="0" w:lastRowLastColumn="0"/>
            </w:pPr>
            <w:r>
              <w:t>1,183</w:t>
            </w:r>
          </w:p>
        </w:tc>
      </w:tr>
      <w:tr w:rsidR="00417B1B" w:rsidRPr="005C03E1" w14:paraId="1BE51869" w14:textId="77777777" w:rsidTr="005C03E1">
        <w:tc>
          <w:tcPr>
            <w:cnfStyle w:val="001000000000" w:firstRow="0" w:lastRow="0" w:firstColumn="1" w:lastColumn="0" w:oddVBand="0" w:evenVBand="0" w:oddHBand="0" w:evenHBand="0" w:firstRowFirstColumn="0" w:firstRowLastColumn="0" w:lastRowFirstColumn="0" w:lastRowLastColumn="0"/>
            <w:tcW w:w="3389" w:type="pct"/>
            <w:tcBorders>
              <w:top w:val="single" w:sz="4" w:space="0" w:color="auto"/>
              <w:bottom w:val="single" w:sz="4" w:space="0" w:color="auto"/>
            </w:tcBorders>
            <w:shd w:val="clear" w:color="auto" w:fill="auto"/>
          </w:tcPr>
          <w:p w14:paraId="73F2F4CB" w14:textId="77777777" w:rsidR="00417B1B" w:rsidRPr="005C03E1" w:rsidRDefault="00417B1B" w:rsidP="00AC0BBF">
            <w:pPr>
              <w:pStyle w:val="TableText"/>
              <w:rPr>
                <w:rStyle w:val="Bold"/>
              </w:rPr>
            </w:pPr>
            <w:r w:rsidRPr="005C03E1">
              <w:rPr>
                <w:rStyle w:val="Bold"/>
              </w:rPr>
              <w:t>Total</w:t>
            </w:r>
          </w:p>
        </w:tc>
        <w:tc>
          <w:tcPr>
            <w:tcW w:w="805" w:type="pct"/>
            <w:tcBorders>
              <w:top w:val="single" w:sz="4" w:space="0" w:color="auto"/>
              <w:bottom w:val="single" w:sz="4" w:space="0" w:color="auto"/>
            </w:tcBorders>
            <w:shd w:val="clear" w:color="auto" w:fill="auto"/>
          </w:tcPr>
          <w:p w14:paraId="4AA605C2" w14:textId="71BECC33" w:rsidR="00417B1B" w:rsidRPr="005C03E1"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13,736</w:t>
            </w:r>
          </w:p>
        </w:tc>
        <w:tc>
          <w:tcPr>
            <w:tcW w:w="805" w:type="pct"/>
            <w:tcBorders>
              <w:top w:val="single" w:sz="4" w:space="0" w:color="auto"/>
              <w:bottom w:val="single" w:sz="4" w:space="0" w:color="auto"/>
            </w:tcBorders>
            <w:shd w:val="clear" w:color="auto" w:fill="auto"/>
          </w:tcPr>
          <w:p w14:paraId="5E37C09C" w14:textId="17EB7321" w:rsidR="00417B1B" w:rsidRPr="005C03E1" w:rsidRDefault="00A95832" w:rsidP="005C03E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12,177</w:t>
            </w:r>
          </w:p>
        </w:tc>
      </w:tr>
    </w:tbl>
    <w:p w14:paraId="1A74A303" w14:textId="29160846" w:rsidR="001F2493" w:rsidRDefault="00417B1B" w:rsidP="009C456B">
      <w:pPr>
        <w:pStyle w:val="Heading5"/>
        <w:pageBreakBefore/>
      </w:pPr>
      <w:r w:rsidRPr="00097825">
        <w:t xml:space="preserve">Wages </w:t>
      </w:r>
      <w:r w:rsidR="00D45E5B" w:rsidRPr="00097825">
        <w:t xml:space="preserve">and </w:t>
      </w:r>
      <w:r w:rsidRPr="00097825">
        <w:t xml:space="preserve">Salaries, Annual Leave </w:t>
      </w:r>
      <w:r w:rsidR="00D45E5B" w:rsidRPr="00097825">
        <w:t xml:space="preserve">and </w:t>
      </w:r>
      <w:r w:rsidRPr="00097825">
        <w:t>Sick Leave</w:t>
      </w:r>
    </w:p>
    <w:p w14:paraId="72729280" w14:textId="4C088EF5" w:rsidR="00A95832" w:rsidRDefault="001F2493" w:rsidP="00A95832">
      <w:pPr>
        <w:pStyle w:val="BodyText"/>
      </w:pPr>
      <w:r>
        <w:t>Li</w:t>
      </w:r>
      <w:r w:rsidR="00A95832">
        <w:t xml:space="preserve">abilities for wages and salaries (including non-monetary benefits, annual leave and on-costs) are recognised as part of the employee benefit and Judicial Officer remuneration provision as current liabilities, because </w:t>
      </w:r>
      <w:r w:rsidR="009B1462">
        <w:t>Court Services Victoria</w:t>
      </w:r>
      <w:r w:rsidR="00A95832">
        <w:t xml:space="preserve"> does not have an unconditional right to defer settlements of these liabilities.</w:t>
      </w:r>
    </w:p>
    <w:p w14:paraId="04DB1263" w14:textId="4CEE0036" w:rsidR="00A95832" w:rsidRDefault="00A95832" w:rsidP="00A95832">
      <w:pPr>
        <w:pStyle w:val="BodyText"/>
      </w:pPr>
      <w:r>
        <w:t xml:space="preserve">The liability for salaries and wages are recognised in the balance sheet at remuneration rates that are current at the reporting date. As </w:t>
      </w:r>
      <w:r w:rsidR="009B1462">
        <w:t>Court Services Victoria</w:t>
      </w:r>
      <w:r>
        <w:t xml:space="preserve"> expects the liabilities to be wholly settled within 12 months of reporting date, they are measured at undiscounted amounts.</w:t>
      </w:r>
    </w:p>
    <w:p w14:paraId="7DD70AF3" w14:textId="28B47A51" w:rsidR="00A95832" w:rsidRDefault="00A95832" w:rsidP="00A95832">
      <w:pPr>
        <w:pStyle w:val="BodyText"/>
      </w:pPr>
      <w:r>
        <w:t xml:space="preserve">The annual leave liability is classified as a current liability and measured at the undiscounted amount expected to be paid, as </w:t>
      </w:r>
      <w:r w:rsidR="009B1462">
        <w:t>Court Services Victoria</w:t>
      </w:r>
      <w:r>
        <w:t xml:space="preserve"> does not have an unconditional right to defer settlement of the liability for at least 12 months after the end of the reporting period.</w:t>
      </w:r>
    </w:p>
    <w:p w14:paraId="286983A5" w14:textId="156483A3" w:rsidR="00A95832" w:rsidRDefault="00A95832" w:rsidP="00A95832">
      <w:pPr>
        <w:pStyle w:val="BodyText"/>
      </w:pPr>
      <w:r>
        <w:t>No provision has been made for sick leave as all sick leave is non-vesting and it is not considered probable that the average sick leave taken in the future will be greater than the benefits accrued in the future. As sick leave is non-vesting, an expense is recognised in the Comprehensive Operating Statement as it is taken.</w:t>
      </w:r>
    </w:p>
    <w:p w14:paraId="4C0CF220" w14:textId="380F62A1" w:rsidR="00A95832" w:rsidRDefault="00A95832" w:rsidP="00A95832">
      <w:pPr>
        <w:pStyle w:val="BodyText"/>
      </w:pPr>
      <w:r>
        <w:t>Employment on-costs such as payroll tax, workers compensation and superannuation are not employee benefits and Judicial Officer remuneration. They are disclosed separately as a component of the provision for employee benefits and Judicial Officer remuneration when the employment to which they relate has occurred.</w:t>
      </w:r>
    </w:p>
    <w:p w14:paraId="5AF0AE50" w14:textId="77777777" w:rsidR="001F2493" w:rsidRDefault="00A95832" w:rsidP="001F2493">
      <w:pPr>
        <w:pStyle w:val="Heading5"/>
      </w:pPr>
      <w:r>
        <w:t>Unconditional long service leave</w:t>
      </w:r>
    </w:p>
    <w:p w14:paraId="3A55CF8C" w14:textId="61D7FCE0" w:rsidR="00A95832" w:rsidRDefault="001F2493" w:rsidP="00A95832">
      <w:pPr>
        <w:pStyle w:val="BodyText"/>
      </w:pPr>
      <w:r>
        <w:t>Unconditional long service leave</w:t>
      </w:r>
      <w:r w:rsidR="00A95832">
        <w:t xml:space="preserve"> is disclosed as a current liability even where </w:t>
      </w:r>
      <w:r w:rsidR="009B1462">
        <w:t>Court Services Victoria</w:t>
      </w:r>
      <w:r w:rsidR="00A95832">
        <w:t xml:space="preserve"> does not expect to settle the liability within 12 months, as it will not have the unconditional right to defer the settlement of the entitlement should an employee and Judicial Officer take leave within 12 months.</w:t>
      </w:r>
    </w:p>
    <w:p w14:paraId="1389964C" w14:textId="26E25CB5" w:rsidR="00A95832" w:rsidRDefault="00A95832" w:rsidP="00A95832">
      <w:pPr>
        <w:pStyle w:val="BodyText"/>
      </w:pPr>
      <w:r>
        <w:t>The components of the current long service leave liability are measured at:</w:t>
      </w:r>
    </w:p>
    <w:p w14:paraId="5DAE3FC1" w14:textId="2BB6BC2B" w:rsidR="00A95832" w:rsidRDefault="00A95832" w:rsidP="00A86CBC">
      <w:pPr>
        <w:pStyle w:val="ListBullet"/>
      </w:pPr>
      <w:r>
        <w:t xml:space="preserve">undiscounted value – if </w:t>
      </w:r>
      <w:r w:rsidR="009B1462">
        <w:t>Court Services Victoria</w:t>
      </w:r>
      <w:r>
        <w:t xml:space="preserve"> expects to wholly settle within 12 months; or</w:t>
      </w:r>
    </w:p>
    <w:p w14:paraId="61BD357D" w14:textId="4D491E62" w:rsidR="00A95832" w:rsidRDefault="00A95832" w:rsidP="00A86CBC">
      <w:pPr>
        <w:pStyle w:val="ListBullet"/>
      </w:pPr>
      <w:r>
        <w:t xml:space="preserve">present value – if </w:t>
      </w:r>
      <w:r w:rsidR="009B1462">
        <w:t>Court Services Victoria</w:t>
      </w:r>
      <w:r>
        <w:t xml:space="preserve"> does not expect to wholly settle within 12 months.</w:t>
      </w:r>
    </w:p>
    <w:p w14:paraId="391D0A2A" w14:textId="1B32F45C" w:rsidR="001F2493" w:rsidRDefault="001F2493" w:rsidP="001F2493">
      <w:pPr>
        <w:pStyle w:val="Heading5"/>
      </w:pPr>
      <w:r>
        <w:t>Conditional long service leave</w:t>
      </w:r>
    </w:p>
    <w:p w14:paraId="082DCD80" w14:textId="2128E670" w:rsidR="00A95832" w:rsidRDefault="001F2493" w:rsidP="00A95832">
      <w:pPr>
        <w:pStyle w:val="BodyText"/>
      </w:pPr>
      <w:r>
        <w:t>Conditional long service leave</w:t>
      </w:r>
      <w:r w:rsidR="00A95832">
        <w:t xml:space="preserve"> is disclosed as a non-current liability. There is an unconditional right to defer the settlement of the entitlement until the employee has completed the requisite years of service. This non-current long service leave liability is measured at present value.</w:t>
      </w:r>
    </w:p>
    <w:p w14:paraId="2F4A572D" w14:textId="778D2893" w:rsidR="00A95832" w:rsidRDefault="00A95832" w:rsidP="00A95832">
      <w:pPr>
        <w:pStyle w:val="BodyText"/>
      </w:pPr>
      <w:r>
        <w:t>Any gain or loss following revaluation of the present value of non-current long service leave liability is recognised as a transaction, except to the extent that a gain or loss arises due to changes in bond interest rates for which it is then recognised as an ‘other economic flow’ in the net result.</w:t>
      </w:r>
    </w:p>
    <w:p w14:paraId="51FF1DD5" w14:textId="6A923F25" w:rsidR="00A95832" w:rsidRDefault="001F2493" w:rsidP="001F2493">
      <w:pPr>
        <w:pStyle w:val="Heading4"/>
      </w:pPr>
      <w:bookmarkStart w:id="290" w:name="Note313"/>
      <w:r>
        <w:t>3.1.3</w:t>
      </w:r>
      <w:bookmarkEnd w:id="290"/>
      <w:r w:rsidR="00092296">
        <w:tab/>
      </w:r>
      <w:r>
        <w:t>Superannuation Contributions</w:t>
      </w:r>
    </w:p>
    <w:p w14:paraId="0F83FD77" w14:textId="0AA6154F" w:rsidR="00A95832" w:rsidRDefault="00A95832" w:rsidP="00A95832">
      <w:pPr>
        <w:pStyle w:val="BodyText"/>
      </w:pPr>
      <w:r>
        <w:t xml:space="preserve">Employees and judicial officers of </w:t>
      </w:r>
      <w:r w:rsidR="009B1462">
        <w:t>Court Services Victoria</w:t>
      </w:r>
      <w:r>
        <w:t xml:space="preserve"> are entitled to receive superannuation benefits and </w:t>
      </w:r>
      <w:r w:rsidR="009B1462">
        <w:t>Court Services Victoria</w:t>
      </w:r>
      <w:r>
        <w:t xml:space="preserve"> contributes to both defined benefit and defined contribution plans. The defined benefit plans provide benefits based on years of service and final average salary. Judicial Officer pension schemes are non-contributory.</w:t>
      </w:r>
    </w:p>
    <w:p w14:paraId="6C16B94B" w14:textId="6013C9D5" w:rsidR="00A95832" w:rsidRDefault="00A95832" w:rsidP="00A95832">
      <w:pPr>
        <w:pStyle w:val="BodyText"/>
      </w:pPr>
      <w:r>
        <w:t xml:space="preserve">As noted previously, the defined benefit liability is recognised by </w:t>
      </w:r>
      <w:r w:rsidR="009B1462">
        <w:t>Department of Treasury and Finance</w:t>
      </w:r>
      <w:r>
        <w:t xml:space="preserve"> as an administered liability. However, superannuation contributions paid or payable for the reporting period are included as part of employee benefits and Judicial Officers in the comprehensive operating statement of </w:t>
      </w:r>
      <w:r w:rsidR="009B1462">
        <w:t>Court Services Victoria</w:t>
      </w:r>
      <w:r>
        <w:t>.</w:t>
      </w:r>
    </w:p>
    <w:tbl>
      <w:tblPr>
        <w:tblStyle w:val="AccessibleTableNumerical"/>
        <w:tblW w:w="5000" w:type="pct"/>
        <w:tblLook w:val="04E0" w:firstRow="1" w:lastRow="1" w:firstColumn="1" w:lastColumn="0" w:noHBand="0" w:noVBand="1"/>
      </w:tblPr>
      <w:tblGrid>
        <w:gridCol w:w="3003"/>
        <w:gridCol w:w="1701"/>
        <w:gridCol w:w="1718"/>
        <w:gridCol w:w="1610"/>
        <w:gridCol w:w="1610"/>
      </w:tblGrid>
      <w:tr w:rsidR="00417B1B" w:rsidRPr="005C03E1" w14:paraId="0BD7A328" w14:textId="77777777" w:rsidTr="003A02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7" w:type="pct"/>
          </w:tcPr>
          <w:p w14:paraId="5F752850" w14:textId="1A6A0E51" w:rsidR="00417B1B" w:rsidRPr="005C03E1" w:rsidRDefault="005C03E1" w:rsidP="005C03E1">
            <w:pPr>
              <w:pStyle w:val="TableText"/>
            </w:pPr>
            <w:bookmarkStart w:id="291" w:name="ColumnTitle_58"/>
            <w:r>
              <w:t>Item</w:t>
            </w:r>
          </w:p>
        </w:tc>
        <w:tc>
          <w:tcPr>
            <w:tcW w:w="882" w:type="pct"/>
            <w:vAlign w:val="bottom"/>
          </w:tcPr>
          <w:p w14:paraId="2C986845" w14:textId="07486094" w:rsidR="00417B1B" w:rsidRPr="005C03E1" w:rsidRDefault="003A02D7" w:rsidP="003A02D7">
            <w:pPr>
              <w:pStyle w:val="TableText"/>
              <w:cnfStyle w:val="100000000000" w:firstRow="1" w:lastRow="0" w:firstColumn="0" w:lastColumn="0" w:oddVBand="0" w:evenVBand="0" w:oddHBand="0" w:evenHBand="0" w:firstRowFirstColumn="0" w:firstRowLastColumn="0" w:lastRowFirstColumn="0" w:lastRowLastColumn="0"/>
            </w:pPr>
            <w:r>
              <w:t xml:space="preserve">Paid </w:t>
            </w:r>
            <w:r w:rsidR="005C03E1">
              <w:t>contribution</w:t>
            </w:r>
            <w:r>
              <w:br/>
            </w:r>
            <w:r w:rsidR="005C03E1">
              <w:t>for the year</w:t>
            </w:r>
            <w:r>
              <w:br/>
            </w:r>
            <w:r w:rsidR="00417B1B" w:rsidRPr="005C03E1">
              <w:t>20</w:t>
            </w:r>
            <w:r w:rsidR="00EC7451">
              <w:t>20</w:t>
            </w:r>
            <w:r w:rsidR="00417B1B" w:rsidRPr="005C03E1">
              <w:br/>
              <w:t>$'000</w:t>
            </w:r>
          </w:p>
        </w:tc>
        <w:tc>
          <w:tcPr>
            <w:tcW w:w="891" w:type="pct"/>
            <w:vAlign w:val="bottom"/>
          </w:tcPr>
          <w:p w14:paraId="6DE4E56C" w14:textId="6BB2CF7E" w:rsidR="00417B1B" w:rsidRPr="005C03E1" w:rsidRDefault="003A02D7" w:rsidP="003A02D7">
            <w:pPr>
              <w:pStyle w:val="TableText"/>
              <w:cnfStyle w:val="100000000000" w:firstRow="1" w:lastRow="0" w:firstColumn="0" w:lastColumn="0" w:oddVBand="0" w:evenVBand="0" w:oddHBand="0" w:evenHBand="0" w:firstRowFirstColumn="0" w:firstRowLastColumn="0" w:lastRowFirstColumn="0" w:lastRowLastColumn="0"/>
            </w:pPr>
            <w:r>
              <w:t xml:space="preserve">Paid </w:t>
            </w:r>
            <w:r w:rsidR="005C03E1">
              <w:t>contribution</w:t>
            </w:r>
            <w:r>
              <w:t xml:space="preserve"> </w:t>
            </w:r>
            <w:r>
              <w:br/>
            </w:r>
            <w:r w:rsidR="005C03E1">
              <w:t>for the year</w:t>
            </w:r>
            <w:r>
              <w:br/>
            </w:r>
            <w:r w:rsidR="00417B1B" w:rsidRPr="005C03E1">
              <w:t>201</w:t>
            </w:r>
            <w:r w:rsidR="00EC7451">
              <w:t>9</w:t>
            </w:r>
            <w:r w:rsidR="00417B1B" w:rsidRPr="005C03E1">
              <w:br/>
              <w:t>$'000</w:t>
            </w:r>
          </w:p>
        </w:tc>
        <w:tc>
          <w:tcPr>
            <w:tcW w:w="835" w:type="pct"/>
            <w:vAlign w:val="bottom"/>
          </w:tcPr>
          <w:p w14:paraId="2062DBEB" w14:textId="221F1888" w:rsidR="005C03E1" w:rsidRDefault="005C03E1" w:rsidP="003A02D7">
            <w:pPr>
              <w:pStyle w:val="TableText"/>
              <w:cnfStyle w:val="100000000000" w:firstRow="1" w:lastRow="0" w:firstColumn="0" w:lastColumn="0" w:oddVBand="0" w:evenVBand="0" w:oddHBand="0" w:evenHBand="0" w:firstRowFirstColumn="0" w:firstRowLastColumn="0" w:lastRowFirstColumn="0" w:lastRowLastColumn="0"/>
            </w:pPr>
            <w:r>
              <w:t>Contribution outstanding</w:t>
            </w:r>
            <w:r w:rsidR="003A02D7">
              <w:br/>
            </w:r>
            <w:r>
              <w:t>at year end</w:t>
            </w:r>
          </w:p>
          <w:p w14:paraId="01424F95" w14:textId="39E73C14" w:rsidR="00417B1B" w:rsidRPr="005C03E1" w:rsidRDefault="00EC7451" w:rsidP="003A02D7">
            <w:pPr>
              <w:pStyle w:val="TableText"/>
              <w:cnfStyle w:val="100000000000" w:firstRow="1" w:lastRow="0" w:firstColumn="0" w:lastColumn="0" w:oddVBand="0" w:evenVBand="0" w:oddHBand="0" w:evenHBand="0" w:firstRowFirstColumn="0" w:firstRowLastColumn="0" w:lastRowFirstColumn="0" w:lastRowLastColumn="0"/>
            </w:pPr>
            <w:r>
              <w:t>2020</w:t>
            </w:r>
            <w:r w:rsidR="00417B1B" w:rsidRPr="005C03E1">
              <w:br/>
              <w:t>$'000</w:t>
            </w:r>
          </w:p>
        </w:tc>
        <w:tc>
          <w:tcPr>
            <w:tcW w:w="835" w:type="pct"/>
            <w:vAlign w:val="bottom"/>
          </w:tcPr>
          <w:p w14:paraId="75A152EF" w14:textId="5822B3E3" w:rsidR="005C03E1" w:rsidRDefault="005C03E1" w:rsidP="003A02D7">
            <w:pPr>
              <w:pStyle w:val="TableText"/>
              <w:cnfStyle w:val="100000000000" w:firstRow="1" w:lastRow="0" w:firstColumn="0" w:lastColumn="0" w:oddVBand="0" w:evenVBand="0" w:oddHBand="0" w:evenHBand="0" w:firstRowFirstColumn="0" w:firstRowLastColumn="0" w:lastRowFirstColumn="0" w:lastRowLastColumn="0"/>
            </w:pPr>
            <w:r>
              <w:t>Contribution outstanding</w:t>
            </w:r>
            <w:r w:rsidR="00191A1A">
              <w:br/>
            </w:r>
            <w:r>
              <w:t>at year end</w:t>
            </w:r>
          </w:p>
          <w:p w14:paraId="67F3B79B" w14:textId="45D02C6D" w:rsidR="00417B1B" w:rsidRPr="005C03E1" w:rsidRDefault="00EC7451" w:rsidP="003A02D7">
            <w:pPr>
              <w:pStyle w:val="TableText"/>
              <w:cnfStyle w:val="100000000000" w:firstRow="1" w:lastRow="0" w:firstColumn="0" w:lastColumn="0" w:oddVBand="0" w:evenVBand="0" w:oddHBand="0" w:evenHBand="0" w:firstRowFirstColumn="0" w:firstRowLastColumn="0" w:lastRowFirstColumn="0" w:lastRowLastColumn="0"/>
            </w:pPr>
            <w:r>
              <w:t>2019</w:t>
            </w:r>
            <w:r w:rsidR="00417B1B" w:rsidRPr="005C03E1">
              <w:br/>
              <w:t>$'000</w:t>
            </w:r>
          </w:p>
        </w:tc>
      </w:tr>
      <w:bookmarkEnd w:id="291"/>
      <w:tr w:rsidR="00417B1B" w:rsidRPr="005C03E1" w14:paraId="42AF4908" w14:textId="77777777" w:rsidTr="003A02D7">
        <w:tc>
          <w:tcPr>
            <w:cnfStyle w:val="001000000000" w:firstRow="0" w:lastRow="0" w:firstColumn="1" w:lastColumn="0" w:oddVBand="0" w:evenVBand="0" w:oddHBand="0" w:evenHBand="0" w:firstRowFirstColumn="0" w:firstRowLastColumn="0" w:lastRowFirstColumn="0" w:lastRowLastColumn="0"/>
            <w:tcW w:w="1557" w:type="pct"/>
          </w:tcPr>
          <w:p w14:paraId="6A9AFF69" w14:textId="77777777" w:rsidR="00417B1B" w:rsidRPr="00191A1A" w:rsidRDefault="00417B1B" w:rsidP="005C03E1">
            <w:pPr>
              <w:pStyle w:val="TableText"/>
              <w:rPr>
                <w:rStyle w:val="Bold"/>
              </w:rPr>
            </w:pPr>
            <w:r w:rsidRPr="00191A1A">
              <w:rPr>
                <w:rStyle w:val="Bold"/>
              </w:rPr>
              <w:t>Defined benefit plans:</w:t>
            </w:r>
          </w:p>
        </w:tc>
        <w:tc>
          <w:tcPr>
            <w:tcW w:w="882" w:type="pct"/>
          </w:tcPr>
          <w:p w14:paraId="57453CBB" w14:textId="5D03EDA9" w:rsidR="00417B1B" w:rsidRPr="005C03E1" w:rsidRDefault="00AC0BBF" w:rsidP="005C03E1">
            <w:pPr>
              <w:pStyle w:val="TableText"/>
              <w:cnfStyle w:val="000000000000" w:firstRow="0" w:lastRow="0" w:firstColumn="0" w:lastColumn="0" w:oddVBand="0" w:evenVBand="0" w:oddHBand="0" w:evenHBand="0" w:firstRowFirstColumn="0" w:firstRowLastColumn="0" w:lastRowFirstColumn="0" w:lastRowLastColumn="0"/>
            </w:pPr>
            <w:r w:rsidRPr="005C03E1">
              <w:t>N/A</w:t>
            </w:r>
          </w:p>
        </w:tc>
        <w:tc>
          <w:tcPr>
            <w:tcW w:w="891" w:type="pct"/>
          </w:tcPr>
          <w:p w14:paraId="1637A6C1" w14:textId="7AC14615" w:rsidR="00417B1B" w:rsidRPr="005C03E1" w:rsidRDefault="00AC0BBF" w:rsidP="005C03E1">
            <w:pPr>
              <w:pStyle w:val="TableText"/>
              <w:cnfStyle w:val="000000000000" w:firstRow="0" w:lastRow="0" w:firstColumn="0" w:lastColumn="0" w:oddVBand="0" w:evenVBand="0" w:oddHBand="0" w:evenHBand="0" w:firstRowFirstColumn="0" w:firstRowLastColumn="0" w:lastRowFirstColumn="0" w:lastRowLastColumn="0"/>
            </w:pPr>
            <w:r w:rsidRPr="005C03E1">
              <w:t>N/A</w:t>
            </w:r>
          </w:p>
        </w:tc>
        <w:tc>
          <w:tcPr>
            <w:tcW w:w="835" w:type="pct"/>
          </w:tcPr>
          <w:p w14:paraId="70050544" w14:textId="63AA7DBA" w:rsidR="00417B1B" w:rsidRPr="005C03E1" w:rsidRDefault="00AC0BBF" w:rsidP="005C03E1">
            <w:pPr>
              <w:pStyle w:val="TableText"/>
              <w:cnfStyle w:val="000000000000" w:firstRow="0" w:lastRow="0" w:firstColumn="0" w:lastColumn="0" w:oddVBand="0" w:evenVBand="0" w:oddHBand="0" w:evenHBand="0" w:firstRowFirstColumn="0" w:firstRowLastColumn="0" w:lastRowFirstColumn="0" w:lastRowLastColumn="0"/>
            </w:pPr>
            <w:r w:rsidRPr="005C03E1">
              <w:t>N/A</w:t>
            </w:r>
          </w:p>
        </w:tc>
        <w:tc>
          <w:tcPr>
            <w:tcW w:w="835" w:type="pct"/>
          </w:tcPr>
          <w:p w14:paraId="0BA7E2AA" w14:textId="1EA62A34" w:rsidR="00417B1B" w:rsidRPr="005C03E1" w:rsidRDefault="00AC0BBF" w:rsidP="005C03E1">
            <w:pPr>
              <w:pStyle w:val="TableText"/>
              <w:cnfStyle w:val="000000000000" w:firstRow="0" w:lastRow="0" w:firstColumn="0" w:lastColumn="0" w:oddVBand="0" w:evenVBand="0" w:oddHBand="0" w:evenHBand="0" w:firstRowFirstColumn="0" w:firstRowLastColumn="0" w:lastRowFirstColumn="0" w:lastRowLastColumn="0"/>
            </w:pPr>
            <w:r w:rsidRPr="005C03E1">
              <w:t>N/A</w:t>
            </w:r>
          </w:p>
        </w:tc>
      </w:tr>
      <w:tr w:rsidR="00417B1B" w:rsidRPr="005C03E1" w14:paraId="74EFC0CF" w14:textId="77777777" w:rsidTr="003A02D7">
        <w:tc>
          <w:tcPr>
            <w:cnfStyle w:val="001000000000" w:firstRow="0" w:lastRow="0" w:firstColumn="1" w:lastColumn="0" w:oddVBand="0" w:evenVBand="0" w:oddHBand="0" w:evenHBand="0" w:firstRowFirstColumn="0" w:firstRowLastColumn="0" w:lastRowFirstColumn="0" w:lastRowLastColumn="0"/>
            <w:tcW w:w="1557" w:type="pct"/>
          </w:tcPr>
          <w:p w14:paraId="5991975D" w14:textId="77777777" w:rsidR="00417B1B" w:rsidRPr="005C03E1" w:rsidRDefault="00417B1B" w:rsidP="005C03E1">
            <w:pPr>
              <w:pStyle w:val="TableText"/>
            </w:pPr>
            <w:r w:rsidRPr="005C03E1">
              <w:t>Emergency Services and State Super - revised and new</w:t>
            </w:r>
          </w:p>
        </w:tc>
        <w:tc>
          <w:tcPr>
            <w:tcW w:w="882" w:type="pct"/>
          </w:tcPr>
          <w:p w14:paraId="4168B45C" w14:textId="64F74B6E"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1,592</w:t>
            </w:r>
          </w:p>
        </w:tc>
        <w:tc>
          <w:tcPr>
            <w:tcW w:w="891" w:type="pct"/>
          </w:tcPr>
          <w:p w14:paraId="68DC04A3" w14:textId="2FD7ED27"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1,715</w:t>
            </w:r>
          </w:p>
        </w:tc>
        <w:tc>
          <w:tcPr>
            <w:tcW w:w="835" w:type="pct"/>
          </w:tcPr>
          <w:p w14:paraId="5BAACB89" w14:textId="53C825AF"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44</w:t>
            </w:r>
          </w:p>
        </w:tc>
        <w:tc>
          <w:tcPr>
            <w:tcW w:w="835" w:type="pct"/>
          </w:tcPr>
          <w:p w14:paraId="424F3D4E" w14:textId="08FA1C9C"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36</w:t>
            </w:r>
          </w:p>
        </w:tc>
      </w:tr>
      <w:tr w:rsidR="00417B1B" w:rsidRPr="005C03E1" w14:paraId="4BF1B3C0" w14:textId="77777777" w:rsidTr="003A02D7">
        <w:tc>
          <w:tcPr>
            <w:cnfStyle w:val="001000000000" w:firstRow="0" w:lastRow="0" w:firstColumn="1" w:lastColumn="0" w:oddVBand="0" w:evenVBand="0" w:oddHBand="0" w:evenHBand="0" w:firstRowFirstColumn="0" w:firstRowLastColumn="0" w:lastRowFirstColumn="0" w:lastRowLastColumn="0"/>
            <w:tcW w:w="1557" w:type="pct"/>
          </w:tcPr>
          <w:p w14:paraId="2CC4BF7C" w14:textId="77777777" w:rsidR="00417B1B" w:rsidRPr="00191A1A" w:rsidRDefault="00417B1B" w:rsidP="005C03E1">
            <w:pPr>
              <w:pStyle w:val="TableText"/>
              <w:spacing w:before="120"/>
              <w:rPr>
                <w:rStyle w:val="Bold"/>
              </w:rPr>
            </w:pPr>
            <w:r w:rsidRPr="00191A1A">
              <w:rPr>
                <w:rStyle w:val="Bold"/>
              </w:rPr>
              <w:t>Defined contribution plans:</w:t>
            </w:r>
          </w:p>
        </w:tc>
        <w:tc>
          <w:tcPr>
            <w:tcW w:w="882" w:type="pct"/>
          </w:tcPr>
          <w:p w14:paraId="12F2BC4F" w14:textId="67ADDA5D" w:rsidR="00417B1B" w:rsidRPr="005C03E1" w:rsidRDefault="00AC0BBF" w:rsidP="005C03E1">
            <w:pPr>
              <w:pStyle w:val="TableText"/>
              <w:spacing w:before="120"/>
              <w:cnfStyle w:val="000000000000" w:firstRow="0" w:lastRow="0" w:firstColumn="0" w:lastColumn="0" w:oddVBand="0" w:evenVBand="0" w:oddHBand="0" w:evenHBand="0" w:firstRowFirstColumn="0" w:firstRowLastColumn="0" w:lastRowFirstColumn="0" w:lastRowLastColumn="0"/>
            </w:pPr>
            <w:r w:rsidRPr="005C03E1">
              <w:t>N/A</w:t>
            </w:r>
          </w:p>
        </w:tc>
        <w:tc>
          <w:tcPr>
            <w:tcW w:w="891" w:type="pct"/>
          </w:tcPr>
          <w:p w14:paraId="052EE863" w14:textId="139F1AF2" w:rsidR="00417B1B" w:rsidRPr="005C03E1" w:rsidRDefault="00AC0BBF" w:rsidP="005C03E1">
            <w:pPr>
              <w:pStyle w:val="TableText"/>
              <w:spacing w:before="120"/>
              <w:cnfStyle w:val="000000000000" w:firstRow="0" w:lastRow="0" w:firstColumn="0" w:lastColumn="0" w:oddVBand="0" w:evenVBand="0" w:oddHBand="0" w:evenHBand="0" w:firstRowFirstColumn="0" w:firstRowLastColumn="0" w:lastRowFirstColumn="0" w:lastRowLastColumn="0"/>
            </w:pPr>
            <w:r w:rsidRPr="005C03E1">
              <w:t>N/A</w:t>
            </w:r>
          </w:p>
        </w:tc>
        <w:tc>
          <w:tcPr>
            <w:tcW w:w="835" w:type="pct"/>
          </w:tcPr>
          <w:p w14:paraId="7395CE97" w14:textId="59D984BD" w:rsidR="00417B1B" w:rsidRPr="005C03E1" w:rsidRDefault="00AC0BBF" w:rsidP="005C03E1">
            <w:pPr>
              <w:pStyle w:val="TableText"/>
              <w:spacing w:before="120"/>
              <w:cnfStyle w:val="000000000000" w:firstRow="0" w:lastRow="0" w:firstColumn="0" w:lastColumn="0" w:oddVBand="0" w:evenVBand="0" w:oddHBand="0" w:evenHBand="0" w:firstRowFirstColumn="0" w:firstRowLastColumn="0" w:lastRowFirstColumn="0" w:lastRowLastColumn="0"/>
            </w:pPr>
            <w:r w:rsidRPr="005C03E1">
              <w:t>N/A</w:t>
            </w:r>
          </w:p>
        </w:tc>
        <w:tc>
          <w:tcPr>
            <w:tcW w:w="835" w:type="pct"/>
          </w:tcPr>
          <w:p w14:paraId="552372A3" w14:textId="08C623CD" w:rsidR="00417B1B" w:rsidRPr="005C03E1" w:rsidRDefault="00AC0BBF" w:rsidP="005C03E1">
            <w:pPr>
              <w:pStyle w:val="TableText"/>
              <w:spacing w:before="120"/>
              <w:cnfStyle w:val="000000000000" w:firstRow="0" w:lastRow="0" w:firstColumn="0" w:lastColumn="0" w:oddVBand="0" w:evenVBand="0" w:oddHBand="0" w:evenHBand="0" w:firstRowFirstColumn="0" w:firstRowLastColumn="0" w:lastRowFirstColumn="0" w:lastRowLastColumn="0"/>
            </w:pPr>
            <w:r w:rsidRPr="005C03E1">
              <w:t>N/A</w:t>
            </w:r>
          </w:p>
        </w:tc>
      </w:tr>
      <w:tr w:rsidR="00417B1B" w:rsidRPr="005C03E1" w14:paraId="6979B82C" w14:textId="77777777" w:rsidTr="003A02D7">
        <w:tc>
          <w:tcPr>
            <w:cnfStyle w:val="001000000000" w:firstRow="0" w:lastRow="0" w:firstColumn="1" w:lastColumn="0" w:oddVBand="0" w:evenVBand="0" w:oddHBand="0" w:evenHBand="0" w:firstRowFirstColumn="0" w:firstRowLastColumn="0" w:lastRowFirstColumn="0" w:lastRowLastColumn="0"/>
            <w:tcW w:w="1557" w:type="pct"/>
          </w:tcPr>
          <w:p w14:paraId="1289B31B" w14:textId="77777777" w:rsidR="00417B1B" w:rsidRPr="005C03E1" w:rsidRDefault="00417B1B" w:rsidP="005C03E1">
            <w:pPr>
              <w:pStyle w:val="TableText"/>
            </w:pPr>
            <w:proofErr w:type="spellStart"/>
            <w:r w:rsidRPr="005C03E1">
              <w:t>VicSuper</w:t>
            </w:r>
            <w:proofErr w:type="spellEnd"/>
          </w:p>
        </w:tc>
        <w:tc>
          <w:tcPr>
            <w:tcW w:w="882" w:type="pct"/>
          </w:tcPr>
          <w:p w14:paraId="47A8CAEE" w14:textId="032E22DA"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13,297</w:t>
            </w:r>
          </w:p>
        </w:tc>
        <w:tc>
          <w:tcPr>
            <w:tcW w:w="891" w:type="pct"/>
          </w:tcPr>
          <w:p w14:paraId="317DE82D" w14:textId="5D34E78A"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12,670</w:t>
            </w:r>
          </w:p>
        </w:tc>
        <w:tc>
          <w:tcPr>
            <w:tcW w:w="835" w:type="pct"/>
          </w:tcPr>
          <w:p w14:paraId="4640C669" w14:textId="3010B32A"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381</w:t>
            </w:r>
          </w:p>
        </w:tc>
        <w:tc>
          <w:tcPr>
            <w:tcW w:w="835" w:type="pct"/>
          </w:tcPr>
          <w:p w14:paraId="3E088F99" w14:textId="0CB24A3B"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292</w:t>
            </w:r>
          </w:p>
        </w:tc>
      </w:tr>
      <w:tr w:rsidR="00417B1B" w:rsidRPr="005C03E1" w14:paraId="6127C85C" w14:textId="77777777" w:rsidTr="003A02D7">
        <w:tc>
          <w:tcPr>
            <w:cnfStyle w:val="001000000000" w:firstRow="0" w:lastRow="0" w:firstColumn="1" w:lastColumn="0" w:oddVBand="0" w:evenVBand="0" w:oddHBand="0" w:evenHBand="0" w:firstRowFirstColumn="0" w:firstRowLastColumn="0" w:lastRowFirstColumn="0" w:lastRowLastColumn="0"/>
            <w:tcW w:w="1557" w:type="pct"/>
          </w:tcPr>
          <w:p w14:paraId="7D9B56C8" w14:textId="77777777" w:rsidR="00417B1B" w:rsidRPr="005C03E1" w:rsidRDefault="00417B1B" w:rsidP="005C03E1">
            <w:pPr>
              <w:pStyle w:val="TableText"/>
            </w:pPr>
            <w:r w:rsidRPr="005C03E1">
              <w:t>Various other</w:t>
            </w:r>
          </w:p>
        </w:tc>
        <w:tc>
          <w:tcPr>
            <w:tcW w:w="882" w:type="pct"/>
          </w:tcPr>
          <w:p w14:paraId="4B5D3EF3" w14:textId="657E84FC"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8,921</w:t>
            </w:r>
          </w:p>
        </w:tc>
        <w:tc>
          <w:tcPr>
            <w:tcW w:w="891" w:type="pct"/>
          </w:tcPr>
          <w:p w14:paraId="5344D9B3" w14:textId="20B90F60"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7,395</w:t>
            </w:r>
          </w:p>
        </w:tc>
        <w:tc>
          <w:tcPr>
            <w:tcW w:w="835" w:type="pct"/>
          </w:tcPr>
          <w:p w14:paraId="136097AC" w14:textId="4BB8FAC4"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267</w:t>
            </w:r>
          </w:p>
        </w:tc>
        <w:tc>
          <w:tcPr>
            <w:tcW w:w="835" w:type="pct"/>
          </w:tcPr>
          <w:p w14:paraId="7BA76DAF" w14:textId="58C2C2AF" w:rsidR="00417B1B" w:rsidRPr="005C03E1" w:rsidRDefault="00EC7451" w:rsidP="005C03E1">
            <w:pPr>
              <w:pStyle w:val="TableText"/>
              <w:cnfStyle w:val="000000000000" w:firstRow="0" w:lastRow="0" w:firstColumn="0" w:lastColumn="0" w:oddVBand="0" w:evenVBand="0" w:oddHBand="0" w:evenHBand="0" w:firstRowFirstColumn="0" w:firstRowLastColumn="0" w:lastRowFirstColumn="0" w:lastRowLastColumn="0"/>
            </w:pPr>
            <w:r>
              <w:t>179</w:t>
            </w:r>
          </w:p>
        </w:tc>
      </w:tr>
      <w:tr w:rsidR="00417B1B" w:rsidRPr="00191A1A" w14:paraId="4516F836" w14:textId="77777777" w:rsidTr="003A02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pct"/>
          </w:tcPr>
          <w:p w14:paraId="4E3E5FF1" w14:textId="77777777" w:rsidR="00417B1B" w:rsidRPr="00191A1A" w:rsidRDefault="00417B1B" w:rsidP="005C03E1">
            <w:pPr>
              <w:pStyle w:val="TableText"/>
              <w:rPr>
                <w:rStyle w:val="Bold"/>
              </w:rPr>
            </w:pPr>
            <w:r w:rsidRPr="00191A1A">
              <w:rPr>
                <w:rStyle w:val="Bold"/>
              </w:rPr>
              <w:t>Total</w:t>
            </w:r>
          </w:p>
        </w:tc>
        <w:tc>
          <w:tcPr>
            <w:tcW w:w="882" w:type="pct"/>
          </w:tcPr>
          <w:p w14:paraId="49F37751" w14:textId="27A661D6" w:rsidR="00417B1B" w:rsidRPr="00191A1A" w:rsidRDefault="00EC7451" w:rsidP="005C03E1">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23,809</w:t>
            </w:r>
          </w:p>
        </w:tc>
        <w:tc>
          <w:tcPr>
            <w:tcW w:w="891" w:type="pct"/>
          </w:tcPr>
          <w:p w14:paraId="1C35454E" w14:textId="6CA6ED63" w:rsidR="00417B1B" w:rsidRPr="00191A1A" w:rsidRDefault="00EC7451" w:rsidP="005C03E1">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21,779</w:t>
            </w:r>
          </w:p>
        </w:tc>
        <w:tc>
          <w:tcPr>
            <w:tcW w:w="835" w:type="pct"/>
          </w:tcPr>
          <w:p w14:paraId="42B083DF" w14:textId="65D2D281" w:rsidR="00417B1B" w:rsidRPr="00191A1A" w:rsidRDefault="00EC7451" w:rsidP="005C03E1">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692</w:t>
            </w:r>
          </w:p>
        </w:tc>
        <w:tc>
          <w:tcPr>
            <w:tcW w:w="835" w:type="pct"/>
          </w:tcPr>
          <w:p w14:paraId="08BFE73E" w14:textId="0E6C7585" w:rsidR="00417B1B" w:rsidRPr="00191A1A" w:rsidRDefault="00EC7451" w:rsidP="005C03E1">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507</w:t>
            </w:r>
          </w:p>
        </w:tc>
      </w:tr>
    </w:tbl>
    <w:p w14:paraId="6A8142D5" w14:textId="77777777" w:rsidR="00E952AB" w:rsidRDefault="00417B1B" w:rsidP="00417B1B">
      <w:pPr>
        <w:pStyle w:val="NotesText"/>
      </w:pPr>
      <w:r>
        <w:t>Note:</w:t>
      </w:r>
    </w:p>
    <w:p w14:paraId="3E2B61C3" w14:textId="7BEDD611" w:rsidR="00417B1B" w:rsidRDefault="00E952AB" w:rsidP="00F110E7">
      <w:pPr>
        <w:pStyle w:val="NotesNumberedList"/>
        <w:numPr>
          <w:ilvl w:val="0"/>
          <w:numId w:val="50"/>
        </w:numPr>
      </w:pPr>
      <w:r w:rsidRPr="00F110E7">
        <w:t>The</w:t>
      </w:r>
      <w:r w:rsidR="00417B1B" w:rsidRPr="00F110E7">
        <w:t xml:space="preserve"> basis for determining the level of contributions is determined by the various actuaries of the defined benefit superannuation plans.</w:t>
      </w:r>
    </w:p>
    <w:p w14:paraId="21524F9B" w14:textId="420EAF48" w:rsidR="00417B1B" w:rsidRDefault="00417B1B" w:rsidP="00417B1B">
      <w:pPr>
        <w:pStyle w:val="Heading3"/>
      </w:pPr>
      <w:bookmarkStart w:id="292" w:name="Note32"/>
      <w:bookmarkStart w:id="293" w:name="_Toc62808143"/>
      <w:r w:rsidRPr="005D2F2E">
        <w:t xml:space="preserve">3.2 </w:t>
      </w:r>
      <w:bookmarkEnd w:id="292"/>
      <w:r w:rsidRPr="005D2F2E">
        <w:t xml:space="preserve">Grants </w:t>
      </w:r>
      <w:r w:rsidR="00D45E5B">
        <w:t xml:space="preserve">and </w:t>
      </w:r>
      <w:r w:rsidRPr="005D2F2E">
        <w:t>Other Transfers</w:t>
      </w:r>
      <w:bookmarkEnd w:id="293"/>
    </w:p>
    <w:p w14:paraId="1E5DADAE" w14:textId="656DC6D5" w:rsidR="00EC7451" w:rsidRDefault="00EC7451" w:rsidP="00895F89">
      <w:pPr>
        <w:pStyle w:val="BodyText"/>
        <w:keepNext/>
      </w:pPr>
      <w:r>
        <w:t xml:space="preserve">Grant expenses represent contributions of </w:t>
      </w:r>
      <w:r w:rsidR="009B1462">
        <w:t>Court Services Victoria</w:t>
      </w:r>
      <w:r>
        <w:t xml:space="preserve"> resources to another party for specific or general purposes where there is no expectation that the amount will be repaid in equal value (either by money, goods or services).</w:t>
      </w:r>
    </w:p>
    <w:p w14:paraId="7CD0EA4C" w14:textId="54E60802" w:rsidR="00EC7451" w:rsidRDefault="00EC7451" w:rsidP="00EC7451">
      <w:pPr>
        <w:pStyle w:val="BodyText"/>
      </w:pPr>
      <w:r>
        <w:t xml:space="preserve">Grants can either be operating or capital in nature. Grants can be paid as </w:t>
      </w:r>
      <w:proofErr w:type="gramStart"/>
      <w:r>
        <w:t>general purpose</w:t>
      </w:r>
      <w:proofErr w:type="gramEnd"/>
      <w:r>
        <w:t xml:space="preserve"> grants, which refer to grants that are not subject to conditions regarding their use. Alternatively, they may be paid as specific purpose grants, which are paid for a particular purpose and/or have conditions attached regarding their use.</w:t>
      </w:r>
    </w:p>
    <w:p w14:paraId="2C97E728" w14:textId="60D0ACA2" w:rsidR="00EC7451" w:rsidRDefault="00EC7451" w:rsidP="00EC7451">
      <w:pPr>
        <w:pStyle w:val="BodyText"/>
      </w:pPr>
      <w:r>
        <w:t>Grant expenses are recognised in the reporting period in which they are paid or payable. Grants can take the form of money, assets, goods, services or forgiveness of liabilities.</w:t>
      </w:r>
    </w:p>
    <w:p w14:paraId="2DE26497" w14:textId="19567820" w:rsidR="00EC7451" w:rsidRDefault="00EC7451" w:rsidP="00EC7451">
      <w:pPr>
        <w:pStyle w:val="BodyText"/>
      </w:pPr>
      <w:r>
        <w:t>Grants and other transfers include payments to the Judicial College Victoria $4.8m (2019: $4.7m), and Judicial Commission Victoria $3.1m (</w:t>
      </w:r>
      <w:proofErr w:type="gramStart"/>
      <w:r>
        <w:t>2019:$</w:t>
      </w:r>
      <w:proofErr w:type="gramEnd"/>
      <w:r>
        <w:t>2.3m).</w:t>
      </w:r>
    </w:p>
    <w:p w14:paraId="6139C613" w14:textId="505708DD" w:rsidR="00EC7451" w:rsidRDefault="00EC7451" w:rsidP="00EC7451">
      <w:pPr>
        <w:pStyle w:val="Heading3"/>
      </w:pPr>
      <w:bookmarkStart w:id="294" w:name="Note33"/>
      <w:bookmarkStart w:id="295" w:name="_Toc62808144"/>
      <w:r>
        <w:t xml:space="preserve">3.3 </w:t>
      </w:r>
      <w:bookmarkEnd w:id="294"/>
      <w:r>
        <w:t>Capital Asset Charge</w:t>
      </w:r>
      <w:bookmarkEnd w:id="295"/>
    </w:p>
    <w:p w14:paraId="64767C3D" w14:textId="65F5DC58" w:rsidR="00EC7451" w:rsidRDefault="00EC7451" w:rsidP="00EC7451">
      <w:pPr>
        <w:pStyle w:val="BodyText"/>
      </w:pPr>
      <w:r>
        <w:t xml:space="preserve">A capital asset charge is a charge levied on the written down value of controlled non-current physical assets in </w:t>
      </w:r>
      <w:r w:rsidR="009B1462">
        <w:t>Court Services Victoria</w:t>
      </w:r>
      <w:r>
        <w:t xml:space="preserve">’s balance sheet. It aims to attribute to </w:t>
      </w:r>
      <w:r w:rsidR="009B1462">
        <w:t>Court Services Victoria</w:t>
      </w:r>
      <w:r>
        <w:t xml:space="preserve">’s outputs, a cost of capital used in service delivery. Imposing this charge provides incentives for </w:t>
      </w:r>
      <w:r w:rsidR="009B1462">
        <w:t>Court Services Victoria</w:t>
      </w:r>
      <w:r>
        <w:t xml:space="preserve"> to identify and dispose of underutilised or surplus non-current physical assets.</w:t>
      </w:r>
    </w:p>
    <w:p w14:paraId="6637BBC1" w14:textId="20D0A2AA" w:rsidR="00417B1B" w:rsidRDefault="00417B1B" w:rsidP="009C456B">
      <w:pPr>
        <w:pStyle w:val="Heading3"/>
        <w:pageBreakBefore/>
      </w:pPr>
      <w:bookmarkStart w:id="296" w:name="Note34"/>
      <w:bookmarkStart w:id="297" w:name="_Toc62808145"/>
      <w:r>
        <w:t xml:space="preserve">3.4 </w:t>
      </w:r>
      <w:bookmarkEnd w:id="296"/>
      <w:r>
        <w:t xml:space="preserve">Supplies </w:t>
      </w:r>
      <w:r w:rsidR="00D45E5B">
        <w:t xml:space="preserve">and </w:t>
      </w:r>
      <w:r>
        <w:t>Services</w:t>
      </w:r>
      <w:bookmarkEnd w:id="297"/>
    </w:p>
    <w:tbl>
      <w:tblPr>
        <w:tblStyle w:val="AccessibleTableNumerical"/>
        <w:tblW w:w="5000" w:type="pct"/>
        <w:tblLook w:val="04A0" w:firstRow="1" w:lastRow="0" w:firstColumn="1" w:lastColumn="0" w:noHBand="0" w:noVBand="1"/>
      </w:tblPr>
      <w:tblGrid>
        <w:gridCol w:w="5716"/>
        <w:gridCol w:w="1963"/>
        <w:gridCol w:w="1963"/>
      </w:tblGrid>
      <w:tr w:rsidR="00417B1B" w:rsidRPr="00D45E5B" w14:paraId="256DE730" w14:textId="77777777" w:rsidTr="0019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4" w:type="pct"/>
          </w:tcPr>
          <w:p w14:paraId="032ACB0F" w14:textId="05398B64" w:rsidR="00417B1B" w:rsidRPr="00D45E5B" w:rsidRDefault="00AC0BBF" w:rsidP="00D45E5B">
            <w:pPr>
              <w:pStyle w:val="TableText"/>
            </w:pPr>
            <w:bookmarkStart w:id="298" w:name="ColumnTitle_59"/>
            <w:r w:rsidRPr="00D45E5B">
              <w:t>Item</w:t>
            </w:r>
          </w:p>
        </w:tc>
        <w:tc>
          <w:tcPr>
            <w:tcW w:w="1018" w:type="pct"/>
            <w:vAlign w:val="bottom"/>
          </w:tcPr>
          <w:p w14:paraId="1BBCC02A" w14:textId="3FE439B9" w:rsidR="00417B1B" w:rsidRPr="00D45E5B" w:rsidRDefault="00417B1B" w:rsidP="00191A1A">
            <w:pPr>
              <w:pStyle w:val="TableText"/>
              <w:cnfStyle w:val="100000000000" w:firstRow="1" w:lastRow="0" w:firstColumn="0" w:lastColumn="0" w:oddVBand="0" w:evenVBand="0" w:oddHBand="0" w:evenHBand="0" w:firstRowFirstColumn="0" w:firstRowLastColumn="0" w:lastRowFirstColumn="0" w:lastRowLastColumn="0"/>
            </w:pPr>
            <w:r w:rsidRPr="00D45E5B">
              <w:t>20</w:t>
            </w:r>
            <w:r w:rsidR="00EC7451">
              <w:t>20</w:t>
            </w:r>
            <w:r w:rsidRPr="00D45E5B">
              <w:br/>
              <w:t>$'000</w:t>
            </w:r>
          </w:p>
        </w:tc>
        <w:tc>
          <w:tcPr>
            <w:tcW w:w="1018" w:type="pct"/>
            <w:vAlign w:val="bottom"/>
          </w:tcPr>
          <w:p w14:paraId="3324CA33" w14:textId="2B1DC5FA" w:rsidR="00417B1B" w:rsidRPr="00D45E5B" w:rsidRDefault="00417B1B" w:rsidP="00191A1A">
            <w:pPr>
              <w:pStyle w:val="TableText"/>
              <w:cnfStyle w:val="100000000000" w:firstRow="1" w:lastRow="0" w:firstColumn="0" w:lastColumn="0" w:oddVBand="0" w:evenVBand="0" w:oddHBand="0" w:evenHBand="0" w:firstRowFirstColumn="0" w:firstRowLastColumn="0" w:lastRowFirstColumn="0" w:lastRowLastColumn="0"/>
            </w:pPr>
            <w:r w:rsidRPr="00D45E5B">
              <w:t>201</w:t>
            </w:r>
            <w:r w:rsidR="00EC7451">
              <w:t>9</w:t>
            </w:r>
            <w:r w:rsidRPr="00D45E5B">
              <w:br/>
              <w:t>$'000</w:t>
            </w:r>
          </w:p>
        </w:tc>
      </w:tr>
      <w:bookmarkEnd w:id="298"/>
      <w:tr w:rsidR="00417B1B" w:rsidRPr="00D45E5B" w14:paraId="4A3ADC05"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044ADC0E" w14:textId="77777777" w:rsidR="00417B1B" w:rsidRPr="00D45E5B" w:rsidRDefault="00417B1B" w:rsidP="00D45E5B">
            <w:pPr>
              <w:pStyle w:val="TableText"/>
            </w:pPr>
            <w:r w:rsidRPr="00D45E5B">
              <w:t>Accommodation and property services</w:t>
            </w:r>
          </w:p>
        </w:tc>
        <w:tc>
          <w:tcPr>
            <w:tcW w:w="1018" w:type="pct"/>
          </w:tcPr>
          <w:p w14:paraId="46E8C0BB" w14:textId="37737BE9"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30,940</w:t>
            </w:r>
          </w:p>
        </w:tc>
        <w:tc>
          <w:tcPr>
            <w:tcW w:w="1018" w:type="pct"/>
          </w:tcPr>
          <w:p w14:paraId="6A368FE3" w14:textId="7A73D8FC"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26,939</w:t>
            </w:r>
          </w:p>
        </w:tc>
      </w:tr>
      <w:tr w:rsidR="00417B1B" w:rsidRPr="00D45E5B" w14:paraId="3927DF25"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4F177C83" w14:textId="7F5A0D2D" w:rsidR="00417B1B" w:rsidRPr="00D45E5B" w:rsidRDefault="00EC7451" w:rsidP="00D45E5B">
            <w:pPr>
              <w:pStyle w:val="TableText"/>
            </w:pPr>
            <w:r>
              <w:t>Lease rental expenses – low value/short-term leases</w:t>
            </w:r>
          </w:p>
        </w:tc>
        <w:tc>
          <w:tcPr>
            <w:tcW w:w="1018" w:type="pct"/>
          </w:tcPr>
          <w:p w14:paraId="53109F7B" w14:textId="5BC270C4"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825</w:t>
            </w:r>
          </w:p>
        </w:tc>
        <w:tc>
          <w:tcPr>
            <w:tcW w:w="1018" w:type="pct"/>
          </w:tcPr>
          <w:p w14:paraId="3FC30F1F" w14:textId="14FA8E3F"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12,340</w:t>
            </w:r>
          </w:p>
        </w:tc>
      </w:tr>
      <w:tr w:rsidR="00EC7451" w:rsidRPr="00D45E5B" w14:paraId="4ADB3291"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7BEC2B23" w14:textId="31524591" w:rsidR="00EC7451" w:rsidRPr="00D45E5B" w:rsidRDefault="00EC7451" w:rsidP="00D45E5B">
            <w:pPr>
              <w:pStyle w:val="TableText"/>
            </w:pPr>
            <w:r>
              <w:t>Outsourced contracts</w:t>
            </w:r>
          </w:p>
        </w:tc>
        <w:tc>
          <w:tcPr>
            <w:tcW w:w="1018" w:type="pct"/>
          </w:tcPr>
          <w:p w14:paraId="2E3FDD05" w14:textId="67D9FE43" w:rsidR="00EC7451"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24,438</w:t>
            </w:r>
          </w:p>
        </w:tc>
        <w:tc>
          <w:tcPr>
            <w:tcW w:w="1018" w:type="pct"/>
          </w:tcPr>
          <w:p w14:paraId="630ED3AB" w14:textId="33BC31D5" w:rsidR="00EC7451"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22,301</w:t>
            </w:r>
          </w:p>
        </w:tc>
      </w:tr>
      <w:tr w:rsidR="00417B1B" w:rsidRPr="00D45E5B" w14:paraId="0FA49392"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49A861D6" w14:textId="77777777" w:rsidR="00417B1B" w:rsidRPr="00D45E5B" w:rsidRDefault="00417B1B" w:rsidP="00D45E5B">
            <w:pPr>
              <w:pStyle w:val="TableText"/>
            </w:pPr>
            <w:r w:rsidRPr="00D45E5B">
              <w:t>Contractors, professional services and consultants</w:t>
            </w:r>
          </w:p>
        </w:tc>
        <w:tc>
          <w:tcPr>
            <w:tcW w:w="1018" w:type="pct"/>
          </w:tcPr>
          <w:p w14:paraId="5BBE2EF3" w14:textId="529C635C"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37,764</w:t>
            </w:r>
          </w:p>
        </w:tc>
        <w:tc>
          <w:tcPr>
            <w:tcW w:w="1018" w:type="pct"/>
          </w:tcPr>
          <w:p w14:paraId="2A1C02CF" w14:textId="4D6DB7F4"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28,150</w:t>
            </w:r>
          </w:p>
        </w:tc>
      </w:tr>
      <w:tr w:rsidR="00417B1B" w:rsidRPr="00D45E5B" w14:paraId="51AADBED"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37BE0FBF" w14:textId="77777777" w:rsidR="00417B1B" w:rsidRPr="00D45E5B" w:rsidRDefault="00417B1B" w:rsidP="00D45E5B">
            <w:pPr>
              <w:pStyle w:val="TableText"/>
            </w:pPr>
            <w:r w:rsidRPr="00D45E5B">
              <w:t>Printing, stationery and other office expenses</w:t>
            </w:r>
          </w:p>
        </w:tc>
        <w:tc>
          <w:tcPr>
            <w:tcW w:w="1018" w:type="pct"/>
          </w:tcPr>
          <w:p w14:paraId="116EE5B6" w14:textId="19006FB0"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12,040</w:t>
            </w:r>
          </w:p>
        </w:tc>
        <w:tc>
          <w:tcPr>
            <w:tcW w:w="1018" w:type="pct"/>
          </w:tcPr>
          <w:p w14:paraId="666F29FE" w14:textId="4BEE10E9"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12,882</w:t>
            </w:r>
          </w:p>
        </w:tc>
      </w:tr>
      <w:tr w:rsidR="00417B1B" w:rsidRPr="00D45E5B" w14:paraId="1DABEC79"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22C3E718" w14:textId="77777777" w:rsidR="00417B1B" w:rsidRPr="00D45E5B" w:rsidRDefault="00417B1B" w:rsidP="00D45E5B">
            <w:pPr>
              <w:pStyle w:val="TableText"/>
            </w:pPr>
            <w:r w:rsidRPr="00D45E5B">
              <w:t>Technology services</w:t>
            </w:r>
          </w:p>
        </w:tc>
        <w:tc>
          <w:tcPr>
            <w:tcW w:w="1018" w:type="pct"/>
          </w:tcPr>
          <w:p w14:paraId="50854EF2" w14:textId="11C6CD9C"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23,295</w:t>
            </w:r>
          </w:p>
        </w:tc>
        <w:tc>
          <w:tcPr>
            <w:tcW w:w="1018" w:type="pct"/>
          </w:tcPr>
          <w:p w14:paraId="253281D7" w14:textId="4BDD1379"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16,971</w:t>
            </w:r>
          </w:p>
        </w:tc>
      </w:tr>
      <w:tr w:rsidR="00417B1B" w:rsidRPr="00D45E5B" w14:paraId="3359FD18"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679BAFDA" w14:textId="77777777" w:rsidR="00417B1B" w:rsidRPr="00D45E5B" w:rsidRDefault="00417B1B" w:rsidP="00D45E5B">
            <w:pPr>
              <w:pStyle w:val="TableText"/>
            </w:pPr>
            <w:r w:rsidRPr="00D45E5B">
              <w:t>Juror payments</w:t>
            </w:r>
          </w:p>
        </w:tc>
        <w:tc>
          <w:tcPr>
            <w:tcW w:w="1018" w:type="pct"/>
          </w:tcPr>
          <w:p w14:paraId="5AB62C7D" w14:textId="44D80790"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2,790</w:t>
            </w:r>
          </w:p>
        </w:tc>
        <w:tc>
          <w:tcPr>
            <w:tcW w:w="1018" w:type="pct"/>
          </w:tcPr>
          <w:p w14:paraId="19D59FA3" w14:textId="29AD4B20"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3,610</w:t>
            </w:r>
          </w:p>
        </w:tc>
      </w:tr>
      <w:tr w:rsidR="00417B1B" w:rsidRPr="00D45E5B" w14:paraId="64F09B4A"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1E4F4322" w14:textId="77777777" w:rsidR="00417B1B" w:rsidRPr="00D45E5B" w:rsidRDefault="00417B1B" w:rsidP="00D45E5B">
            <w:pPr>
              <w:pStyle w:val="TableText"/>
            </w:pPr>
            <w:r w:rsidRPr="00D45E5B">
              <w:t>Repairs and maintenance</w:t>
            </w:r>
          </w:p>
        </w:tc>
        <w:tc>
          <w:tcPr>
            <w:tcW w:w="1018" w:type="pct"/>
          </w:tcPr>
          <w:p w14:paraId="61CF38C8" w14:textId="307C48DC"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7,980</w:t>
            </w:r>
          </w:p>
        </w:tc>
        <w:tc>
          <w:tcPr>
            <w:tcW w:w="1018" w:type="pct"/>
          </w:tcPr>
          <w:p w14:paraId="65C22ACB" w14:textId="6A3BCE76"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4,977</w:t>
            </w:r>
          </w:p>
        </w:tc>
      </w:tr>
      <w:tr w:rsidR="00417B1B" w:rsidRPr="00D45E5B" w14:paraId="6C3D9C34"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7D825526" w14:textId="77777777" w:rsidR="00417B1B" w:rsidRPr="00D45E5B" w:rsidRDefault="00417B1B" w:rsidP="00D45E5B">
            <w:pPr>
              <w:pStyle w:val="TableText"/>
            </w:pPr>
            <w:r w:rsidRPr="00D45E5B">
              <w:t xml:space="preserve">Deceased removals and transfer costs (Coroners Court) </w:t>
            </w:r>
          </w:p>
        </w:tc>
        <w:tc>
          <w:tcPr>
            <w:tcW w:w="1018" w:type="pct"/>
          </w:tcPr>
          <w:p w14:paraId="0C0988E5" w14:textId="6D5BB0FB"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5,015</w:t>
            </w:r>
          </w:p>
        </w:tc>
        <w:tc>
          <w:tcPr>
            <w:tcW w:w="1018" w:type="pct"/>
          </w:tcPr>
          <w:p w14:paraId="64D576DB" w14:textId="47BE81BB"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4,260</w:t>
            </w:r>
          </w:p>
        </w:tc>
      </w:tr>
      <w:tr w:rsidR="00417B1B" w:rsidRPr="00D45E5B" w14:paraId="1E93187B"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129E5F45" w14:textId="77777777" w:rsidR="00417B1B" w:rsidRPr="00D45E5B" w:rsidRDefault="00417B1B" w:rsidP="00D45E5B">
            <w:pPr>
              <w:pStyle w:val="TableText"/>
            </w:pPr>
            <w:r w:rsidRPr="00D45E5B">
              <w:t>Interpreter and translation services</w:t>
            </w:r>
          </w:p>
        </w:tc>
        <w:tc>
          <w:tcPr>
            <w:tcW w:w="1018" w:type="pct"/>
          </w:tcPr>
          <w:p w14:paraId="60B98E97" w14:textId="1A3A83CA"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3,366</w:t>
            </w:r>
          </w:p>
        </w:tc>
        <w:tc>
          <w:tcPr>
            <w:tcW w:w="1018" w:type="pct"/>
          </w:tcPr>
          <w:p w14:paraId="49A01D5B" w14:textId="3F80991C"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3,448</w:t>
            </w:r>
          </w:p>
        </w:tc>
      </w:tr>
      <w:tr w:rsidR="00EC7451" w:rsidRPr="00D45E5B" w14:paraId="18838665" w14:textId="77777777" w:rsidTr="00AC0BBF">
        <w:tc>
          <w:tcPr>
            <w:cnfStyle w:val="001000000000" w:firstRow="0" w:lastRow="0" w:firstColumn="1" w:lastColumn="0" w:oddVBand="0" w:evenVBand="0" w:oddHBand="0" w:evenHBand="0" w:firstRowFirstColumn="0" w:firstRowLastColumn="0" w:lastRowFirstColumn="0" w:lastRowLastColumn="0"/>
            <w:tcW w:w="2964" w:type="pct"/>
          </w:tcPr>
          <w:p w14:paraId="2C280409" w14:textId="37413143" w:rsidR="00EC7451" w:rsidRPr="00D45E5B" w:rsidRDefault="00EC7451" w:rsidP="00D45E5B">
            <w:pPr>
              <w:pStyle w:val="TableText"/>
            </w:pPr>
            <w:r>
              <w:t>Ex-gratia expenses</w:t>
            </w:r>
          </w:p>
        </w:tc>
        <w:tc>
          <w:tcPr>
            <w:tcW w:w="1018" w:type="pct"/>
          </w:tcPr>
          <w:p w14:paraId="162F89F7" w14:textId="5B0B9767" w:rsidR="00EC7451"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6</w:t>
            </w:r>
          </w:p>
        </w:tc>
        <w:tc>
          <w:tcPr>
            <w:tcW w:w="1018" w:type="pct"/>
          </w:tcPr>
          <w:p w14:paraId="38CC8127" w14:textId="66BC2FDE" w:rsidR="00EC7451"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0</w:t>
            </w:r>
          </w:p>
        </w:tc>
      </w:tr>
      <w:tr w:rsidR="00417B1B" w:rsidRPr="00D45E5B" w14:paraId="694C4CFB" w14:textId="77777777" w:rsidTr="00D46E6D">
        <w:tc>
          <w:tcPr>
            <w:cnfStyle w:val="001000000000" w:firstRow="0" w:lastRow="0" w:firstColumn="1" w:lastColumn="0" w:oddVBand="0" w:evenVBand="0" w:oddHBand="0" w:evenHBand="0" w:firstRowFirstColumn="0" w:firstRowLastColumn="0" w:lastRowFirstColumn="0" w:lastRowLastColumn="0"/>
            <w:tcW w:w="2964" w:type="pct"/>
            <w:tcBorders>
              <w:bottom w:val="single" w:sz="4" w:space="0" w:color="auto"/>
            </w:tcBorders>
          </w:tcPr>
          <w:p w14:paraId="0C1EFA28" w14:textId="77777777" w:rsidR="00417B1B" w:rsidRPr="00D45E5B" w:rsidRDefault="00417B1B" w:rsidP="00D45E5B">
            <w:pPr>
              <w:pStyle w:val="TableText"/>
            </w:pPr>
            <w:r w:rsidRPr="00D45E5B">
              <w:t>Other</w:t>
            </w:r>
          </w:p>
        </w:tc>
        <w:tc>
          <w:tcPr>
            <w:tcW w:w="1018" w:type="pct"/>
            <w:tcBorders>
              <w:bottom w:val="single" w:sz="4" w:space="0" w:color="auto"/>
            </w:tcBorders>
          </w:tcPr>
          <w:p w14:paraId="1B6F9159" w14:textId="08F502EF"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6,730</w:t>
            </w:r>
          </w:p>
        </w:tc>
        <w:tc>
          <w:tcPr>
            <w:tcW w:w="1018" w:type="pct"/>
            <w:tcBorders>
              <w:bottom w:val="single" w:sz="4" w:space="0" w:color="auto"/>
            </w:tcBorders>
          </w:tcPr>
          <w:p w14:paraId="2227BB61" w14:textId="02316BBD" w:rsidR="00417B1B" w:rsidRPr="00D45E5B" w:rsidRDefault="00EC7451" w:rsidP="00D45E5B">
            <w:pPr>
              <w:pStyle w:val="TableText"/>
              <w:cnfStyle w:val="000000000000" w:firstRow="0" w:lastRow="0" w:firstColumn="0" w:lastColumn="0" w:oddVBand="0" w:evenVBand="0" w:oddHBand="0" w:evenHBand="0" w:firstRowFirstColumn="0" w:firstRowLastColumn="0" w:lastRowFirstColumn="0" w:lastRowLastColumn="0"/>
            </w:pPr>
            <w:r>
              <w:t>8,209</w:t>
            </w:r>
          </w:p>
        </w:tc>
      </w:tr>
      <w:tr w:rsidR="00417B1B" w:rsidRPr="00C421D3" w14:paraId="367027EF" w14:textId="77777777" w:rsidTr="00D46E6D">
        <w:tc>
          <w:tcPr>
            <w:cnfStyle w:val="001000000000" w:firstRow="0" w:lastRow="0" w:firstColumn="1" w:lastColumn="0" w:oddVBand="0" w:evenVBand="0" w:oddHBand="0" w:evenHBand="0" w:firstRowFirstColumn="0" w:firstRowLastColumn="0" w:lastRowFirstColumn="0" w:lastRowLastColumn="0"/>
            <w:tcW w:w="2964" w:type="pct"/>
            <w:tcBorders>
              <w:top w:val="single" w:sz="4" w:space="0" w:color="auto"/>
              <w:bottom w:val="single" w:sz="4" w:space="0" w:color="auto"/>
            </w:tcBorders>
          </w:tcPr>
          <w:p w14:paraId="2F3223BC" w14:textId="77777777" w:rsidR="00417B1B" w:rsidRPr="00C421D3" w:rsidRDefault="00417B1B" w:rsidP="00D45E5B">
            <w:pPr>
              <w:pStyle w:val="TableText"/>
              <w:rPr>
                <w:rStyle w:val="Bold"/>
              </w:rPr>
            </w:pPr>
            <w:r w:rsidRPr="00C421D3">
              <w:rPr>
                <w:rStyle w:val="Bold"/>
              </w:rPr>
              <w:t>Total supplies and services</w:t>
            </w:r>
          </w:p>
        </w:tc>
        <w:tc>
          <w:tcPr>
            <w:tcW w:w="1018" w:type="pct"/>
            <w:tcBorders>
              <w:top w:val="single" w:sz="4" w:space="0" w:color="auto"/>
              <w:bottom w:val="single" w:sz="4" w:space="0" w:color="auto"/>
            </w:tcBorders>
          </w:tcPr>
          <w:p w14:paraId="3191A203" w14:textId="63F49BC7" w:rsidR="00417B1B" w:rsidRPr="00C421D3" w:rsidRDefault="00EC7451" w:rsidP="00D45E5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155,189</w:t>
            </w:r>
          </w:p>
        </w:tc>
        <w:tc>
          <w:tcPr>
            <w:tcW w:w="1018" w:type="pct"/>
            <w:tcBorders>
              <w:top w:val="single" w:sz="4" w:space="0" w:color="auto"/>
              <w:bottom w:val="single" w:sz="4" w:space="0" w:color="auto"/>
            </w:tcBorders>
          </w:tcPr>
          <w:p w14:paraId="3B012834" w14:textId="6CDF562D" w:rsidR="00417B1B" w:rsidRPr="00C421D3" w:rsidRDefault="00EC7451" w:rsidP="00D45E5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144,086</w:t>
            </w:r>
          </w:p>
        </w:tc>
      </w:tr>
    </w:tbl>
    <w:p w14:paraId="459411D8" w14:textId="5C0B2515" w:rsidR="00EC7451" w:rsidRDefault="00EC7451" w:rsidP="00EC7451">
      <w:pPr>
        <w:pStyle w:val="BodyText"/>
      </w:pPr>
      <w:r>
        <w:t>Supplies and services expenses generally represent day-to-day running costs incurred in normal operations.</w:t>
      </w:r>
    </w:p>
    <w:p w14:paraId="6640CBA4" w14:textId="329A7B09" w:rsidR="00EC7451" w:rsidRDefault="00EC7451" w:rsidP="00EC7451">
      <w:pPr>
        <w:pStyle w:val="BodyText"/>
      </w:pPr>
      <w:r>
        <w:t>Supplies and services are recognised as an expense in the reporting period in which they are incurred.</w:t>
      </w:r>
    </w:p>
    <w:p w14:paraId="253EF779" w14:textId="146FC5AE" w:rsidR="00EC7451" w:rsidRDefault="00EC7451" w:rsidP="004A43E6">
      <w:pPr>
        <w:pStyle w:val="Heading4"/>
      </w:pPr>
      <w:r>
        <w:t>Lease Rental Expenses</w:t>
      </w:r>
    </w:p>
    <w:p w14:paraId="1E64D9E9" w14:textId="7486994C" w:rsidR="00EC7451" w:rsidRDefault="00EC7451" w:rsidP="00A86CBC">
      <w:pPr>
        <w:pStyle w:val="ListBullet"/>
      </w:pPr>
      <w:r>
        <w:t xml:space="preserve">Until June </w:t>
      </w:r>
      <w:proofErr w:type="gramStart"/>
      <w:r>
        <w:t>30</w:t>
      </w:r>
      <w:proofErr w:type="gramEnd"/>
      <w:r>
        <w:t xml:space="preserve"> 2019 are recognised on a straight-line basis over the lease term, except where another systematic basis is more representative of the time pattern of the benefits derived from the use of the leased asset.</w:t>
      </w:r>
    </w:p>
    <w:p w14:paraId="48C19511" w14:textId="043BF2F1" w:rsidR="00EC7451" w:rsidRDefault="004A43E6" w:rsidP="00A86CBC">
      <w:pPr>
        <w:pStyle w:val="ListBullet"/>
      </w:pPr>
      <w:r>
        <w:t>F</w:t>
      </w:r>
      <w:r w:rsidR="00EC7451">
        <w:t>rom 1 July 2019 are recognised on a straight-line basis only when:</w:t>
      </w:r>
    </w:p>
    <w:p w14:paraId="6F07B347" w14:textId="2BA5271E" w:rsidR="00EC7451" w:rsidRDefault="00EC7451" w:rsidP="00A86CBC">
      <w:pPr>
        <w:pStyle w:val="ListBullet2"/>
      </w:pPr>
      <w:r>
        <w:t>they are Short-term leases (lease term is less than 12 months); and</w:t>
      </w:r>
    </w:p>
    <w:p w14:paraId="08480D8B" w14:textId="70EE1690" w:rsidR="00EC7451" w:rsidRDefault="00EC7451" w:rsidP="00A86CBC">
      <w:pPr>
        <w:pStyle w:val="ListBullet2"/>
      </w:pPr>
      <w:r>
        <w:t>they are Low-value leases (leases where the underlying asset’s fair value, when new,</w:t>
      </w:r>
      <w:r w:rsidR="004A43E6">
        <w:t xml:space="preserve"> </w:t>
      </w:r>
      <w:r>
        <w:t>regardless of the age of the asset being leased is no more than $10,000).</w:t>
      </w:r>
    </w:p>
    <w:p w14:paraId="488BB1E3" w14:textId="2AA3C0B4" w:rsidR="00EC7451" w:rsidRDefault="00EC7451" w:rsidP="00EC7451">
      <w:pPr>
        <w:pStyle w:val="BodyText"/>
      </w:pPr>
      <w:r>
        <w:t>Variable lease payments that are not included in the measurement of the lease liability (</w:t>
      </w:r>
      <w:proofErr w:type="gramStart"/>
      <w:r>
        <w:t>i.e.</w:t>
      </w:r>
      <w:proofErr w:type="gramEnd"/>
      <w:r>
        <w:t xml:space="preserve"> variable lease payments that do not depend on an index, or a rate and which are not, in substance fixed) such as those based on performance or usage of the underlying asset, are recognised in the Comprehensive Operating Statement (except for payments which has been included in the carrying amount of another asset) in the period in which the event or condition that triggers those payments occur.</w:t>
      </w:r>
    </w:p>
    <w:p w14:paraId="4D5791EC" w14:textId="77777777" w:rsidR="00EC7451" w:rsidRPr="00F110E7" w:rsidRDefault="00EC7451" w:rsidP="00F110E7">
      <w:pPr>
        <w:pStyle w:val="NotesText"/>
      </w:pPr>
      <w:r w:rsidRPr="00F110E7">
        <w:t>Notes:</w:t>
      </w:r>
    </w:p>
    <w:p w14:paraId="3385FA27" w14:textId="0A49AB63" w:rsidR="00EC7451" w:rsidRPr="00F110E7" w:rsidRDefault="009B1462" w:rsidP="00F110E7">
      <w:pPr>
        <w:pStyle w:val="NotesNumberedList"/>
        <w:numPr>
          <w:ilvl w:val="0"/>
          <w:numId w:val="51"/>
        </w:numPr>
      </w:pPr>
      <w:r>
        <w:t>Court Services Victoria</w:t>
      </w:r>
      <w:r w:rsidR="00EC7451" w:rsidRPr="00F110E7">
        <w:t xml:space="preserve"> had short-term leases at Mildura and Heidelberg ($0.1 Million)</w:t>
      </w:r>
    </w:p>
    <w:p w14:paraId="0738F49D" w14:textId="16BE8666" w:rsidR="00EC7451" w:rsidRDefault="009B1462" w:rsidP="00F110E7">
      <w:pPr>
        <w:pStyle w:val="NotesNumberedList"/>
      </w:pPr>
      <w:r>
        <w:t>Court Services Victoria</w:t>
      </w:r>
      <w:r w:rsidR="00EC7451" w:rsidRPr="00F110E7">
        <w:t xml:space="preserve"> has low-value leases on numerous Multi-Function Devices ($0.70 Million)</w:t>
      </w:r>
    </w:p>
    <w:p w14:paraId="089238C1" w14:textId="3FD0FD1B" w:rsidR="00417B1B" w:rsidRDefault="00417B1B" w:rsidP="001B4ACB">
      <w:pPr>
        <w:pStyle w:val="Heading2"/>
      </w:pPr>
      <w:bookmarkStart w:id="299" w:name="_Note_4._Disaggregated"/>
      <w:bookmarkStart w:id="300" w:name="_Ref22644035"/>
      <w:bookmarkStart w:id="301" w:name="_Toc62808146"/>
      <w:bookmarkEnd w:id="299"/>
      <w:r>
        <w:t xml:space="preserve">Note </w:t>
      </w:r>
      <w:bookmarkStart w:id="302" w:name="Note4"/>
      <w:r>
        <w:t>4</w:t>
      </w:r>
      <w:bookmarkEnd w:id="302"/>
      <w:r>
        <w:t>.</w:t>
      </w:r>
      <w:r>
        <w:tab/>
        <w:t>Disag</w:t>
      </w:r>
      <w:r w:rsidR="00FC12E5">
        <w:t>gregated Financial Information b</w:t>
      </w:r>
      <w:r>
        <w:t>y Output</w:t>
      </w:r>
      <w:bookmarkEnd w:id="300"/>
      <w:bookmarkEnd w:id="301"/>
    </w:p>
    <w:p w14:paraId="6C97F81C" w14:textId="77777777" w:rsidR="00417B1B" w:rsidRDefault="00417B1B" w:rsidP="00417B1B">
      <w:pPr>
        <w:pStyle w:val="Heading3"/>
      </w:pPr>
      <w:bookmarkStart w:id="303" w:name="_Toc62808147"/>
      <w:r>
        <w:t>Introduction</w:t>
      </w:r>
      <w:bookmarkEnd w:id="303"/>
    </w:p>
    <w:p w14:paraId="20983408" w14:textId="14E995F0" w:rsidR="004A43E6" w:rsidRDefault="009B1462" w:rsidP="004A43E6">
      <w:pPr>
        <w:pStyle w:val="BodyText"/>
      </w:pPr>
      <w:r>
        <w:t>Court Services Victoria</w:t>
      </w:r>
      <w:r w:rsidR="004A43E6">
        <w:t xml:space="preserve"> is predominantly funded by accrual based Parliamentary appropriations for the provision of outputs. This section provides a description of </w:t>
      </w:r>
      <w:r>
        <w:t>Court Services Victoria</w:t>
      </w:r>
      <w:r w:rsidR="004A43E6">
        <w:t xml:space="preserve"> outputs delivered during the period ending 30 June 2020 along with the objectives of those outputs.</w:t>
      </w:r>
    </w:p>
    <w:p w14:paraId="0A10D493" w14:textId="064216AF" w:rsidR="004A43E6" w:rsidRPr="004A43E6" w:rsidRDefault="004A43E6" w:rsidP="004A43E6">
      <w:pPr>
        <w:pStyle w:val="BodyText"/>
        <w:rPr>
          <w:rStyle w:val="Bold"/>
        </w:rPr>
      </w:pPr>
      <w:r w:rsidRPr="00F110E7">
        <w:rPr>
          <w:rStyle w:val="Bold"/>
        </w:rPr>
        <w:t>Structure</w:t>
      </w:r>
    </w:p>
    <w:p w14:paraId="6B211AD6" w14:textId="3ED3064B" w:rsidR="00417B1B" w:rsidRPr="003045FF" w:rsidRDefault="003045FF" w:rsidP="00C421D3">
      <w:pPr>
        <w:pStyle w:val="NoSpacing"/>
      </w:pPr>
      <w:r>
        <w:fldChar w:fldCharType="begin"/>
      </w:r>
      <w:r>
        <w:instrText xml:space="preserve"> REF Note41 \h </w:instrText>
      </w:r>
      <w:r>
        <w:fldChar w:fldCharType="separate"/>
      </w:r>
      <w:r w:rsidR="00D46E6D" w:rsidRPr="003045FF">
        <w:t xml:space="preserve">4.1 </w:t>
      </w:r>
      <w:r>
        <w:fldChar w:fldCharType="end"/>
      </w:r>
      <w:r w:rsidR="00417B1B" w:rsidRPr="003045FF">
        <w:tab/>
      </w:r>
      <w:r w:rsidR="009B1462">
        <w:t>Court Services Victoria</w:t>
      </w:r>
      <w:r w:rsidR="004A43E6">
        <w:t xml:space="preserve"> </w:t>
      </w:r>
      <w:r w:rsidR="00417B1B" w:rsidRPr="003045FF">
        <w:t>outputs</w:t>
      </w:r>
      <w:r w:rsidR="004A43E6">
        <w:t xml:space="preserve"> </w:t>
      </w:r>
      <w:r w:rsidR="00417B1B" w:rsidRPr="003045FF">
        <w:t>–</w:t>
      </w:r>
      <w:r w:rsidR="004A43E6">
        <w:t xml:space="preserve"> d</w:t>
      </w:r>
      <w:r w:rsidR="00417B1B" w:rsidRPr="003045FF">
        <w:t>escriptions</w:t>
      </w:r>
      <w:r w:rsidR="004A43E6">
        <w:t xml:space="preserve"> </w:t>
      </w:r>
      <w:r w:rsidR="00417B1B" w:rsidRPr="003045FF">
        <w:t>and objectives</w:t>
      </w:r>
    </w:p>
    <w:p w14:paraId="700F7F72" w14:textId="37620874" w:rsidR="00417B1B" w:rsidRPr="003045FF" w:rsidRDefault="003045FF" w:rsidP="00C421D3">
      <w:pPr>
        <w:pStyle w:val="NoSpacing"/>
      </w:pPr>
      <w:r>
        <w:fldChar w:fldCharType="begin"/>
      </w:r>
      <w:r>
        <w:instrText xml:space="preserve"> REF Note42 \h </w:instrText>
      </w:r>
      <w:r>
        <w:fldChar w:fldCharType="separate"/>
      </w:r>
      <w:r w:rsidR="00D46E6D">
        <w:t xml:space="preserve">4.2 </w:t>
      </w:r>
      <w:r>
        <w:fldChar w:fldCharType="end"/>
      </w:r>
      <w:r w:rsidR="00417B1B" w:rsidRPr="003045FF">
        <w:tab/>
        <w:t>Controlled items</w:t>
      </w:r>
    </w:p>
    <w:p w14:paraId="1D99346C" w14:textId="05ADFA88" w:rsidR="00417B1B" w:rsidRPr="003045FF" w:rsidRDefault="003045FF" w:rsidP="00C421D3">
      <w:pPr>
        <w:pStyle w:val="NoSpacing"/>
      </w:pPr>
      <w:r>
        <w:fldChar w:fldCharType="begin"/>
      </w:r>
      <w:r>
        <w:instrText xml:space="preserve"> REF Note43 \h </w:instrText>
      </w:r>
      <w:r>
        <w:fldChar w:fldCharType="separate"/>
      </w:r>
      <w:r w:rsidR="00D46E6D" w:rsidRPr="00ED517B">
        <w:t xml:space="preserve">4.3 </w:t>
      </w:r>
      <w:r>
        <w:fldChar w:fldCharType="end"/>
      </w:r>
      <w:r w:rsidR="00417B1B" w:rsidRPr="003045FF">
        <w:tab/>
        <w:t>Administered items</w:t>
      </w:r>
    </w:p>
    <w:p w14:paraId="197CDE64" w14:textId="1CC30C69" w:rsidR="00417B1B" w:rsidRDefault="00417B1B" w:rsidP="00417B1B">
      <w:pPr>
        <w:pStyle w:val="Heading3"/>
      </w:pPr>
      <w:bookmarkStart w:id="304" w:name="Note41"/>
      <w:bookmarkStart w:id="305" w:name="_Toc62808148"/>
      <w:r w:rsidRPr="003045FF">
        <w:t xml:space="preserve">4.1 </w:t>
      </w:r>
      <w:bookmarkEnd w:id="304"/>
      <w:r w:rsidR="009B1462">
        <w:t>Court Services Victoria</w:t>
      </w:r>
      <w:r w:rsidR="004A43E6">
        <w:t xml:space="preserve"> </w:t>
      </w:r>
      <w:r w:rsidRPr="003045FF">
        <w:t>Outputs</w:t>
      </w:r>
      <w:r w:rsidR="004A43E6">
        <w:t xml:space="preserve"> </w:t>
      </w:r>
      <w:r w:rsidRPr="003045FF">
        <w:t>–</w:t>
      </w:r>
      <w:r w:rsidR="004A43E6">
        <w:t xml:space="preserve"> </w:t>
      </w:r>
      <w:r w:rsidRPr="003045FF">
        <w:t>Descriptions</w:t>
      </w:r>
      <w:r>
        <w:t xml:space="preserve"> </w:t>
      </w:r>
      <w:r w:rsidR="00D45E5B">
        <w:t xml:space="preserve">and </w:t>
      </w:r>
      <w:r>
        <w:t>Objectives</w:t>
      </w:r>
      <w:bookmarkEnd w:id="305"/>
    </w:p>
    <w:p w14:paraId="7D062FBD" w14:textId="39F2B665" w:rsidR="004A43E6" w:rsidRDefault="009B1462" w:rsidP="004A43E6">
      <w:pPr>
        <w:pStyle w:val="BodyText"/>
      </w:pPr>
      <w:r>
        <w:t>Court Services Victoria</w:t>
      </w:r>
      <w:r w:rsidR="004A43E6">
        <w:t xml:space="preserve"> provides administrative services and facilities to support the Victorian Courts and Statutory Tribunals in the dispensation of criminal and civil matters.</w:t>
      </w:r>
    </w:p>
    <w:p w14:paraId="282874D2" w14:textId="142D0CE5" w:rsidR="004A43E6" w:rsidRDefault="009B1462" w:rsidP="004A43E6">
      <w:pPr>
        <w:pStyle w:val="BodyText"/>
      </w:pPr>
      <w:r>
        <w:t>Court Services Victoria</w:t>
      </w:r>
      <w:r w:rsidR="004A43E6">
        <w:t xml:space="preserve"> outputs reflect services and facilities provided to: Supreme Court of Victoria, County Court of Victoria, Magistrates’ Court of Victoria, Children’s Court of Victoria, Coroners Court of Victoria, Victorian Civil and Administrative Tribunal, and Jurisdiction Services. The corporate support to the Courts and the Tribunal is reflected in the Courts’ and Tribunal’s total output costs.</w:t>
      </w:r>
    </w:p>
    <w:p w14:paraId="33166E90" w14:textId="5878D1AA" w:rsidR="004A43E6" w:rsidRDefault="004A43E6" w:rsidP="004A43E6">
      <w:pPr>
        <w:pStyle w:val="Heading4"/>
      </w:pPr>
      <w:r>
        <w:t>Objectives</w:t>
      </w:r>
    </w:p>
    <w:p w14:paraId="3CA180D4" w14:textId="072C4256" w:rsidR="00417B1B" w:rsidRDefault="009B1462" w:rsidP="00417B1B">
      <w:pPr>
        <w:pStyle w:val="BodyText"/>
      </w:pPr>
      <w:r>
        <w:t>Court Services Victoria</w:t>
      </w:r>
      <w:r w:rsidR="004A43E6">
        <w:t>’s overall objective is the fair, timely and efficient dispensing of justice.</w:t>
      </w:r>
    </w:p>
    <w:p w14:paraId="1AD8180A" w14:textId="77777777" w:rsidR="00417B1B" w:rsidRDefault="00417B1B" w:rsidP="00417B1B">
      <w:pPr>
        <w:pStyle w:val="BodyText"/>
        <w:sectPr w:rsidR="00417B1B" w:rsidSect="00E952AB">
          <w:pgSz w:w="11910" w:h="16840" w:code="9"/>
          <w:pgMar w:top="1134" w:right="1134" w:bottom="1134" w:left="1134" w:header="567" w:footer="567" w:gutter="0"/>
          <w:cols w:space="720"/>
          <w:docGrid w:linePitch="299"/>
        </w:sectPr>
      </w:pPr>
    </w:p>
    <w:p w14:paraId="6F1EF4FF" w14:textId="67C43523" w:rsidR="00417B1B" w:rsidRDefault="00060EBF" w:rsidP="00417B1B">
      <w:pPr>
        <w:pStyle w:val="Heading3"/>
      </w:pPr>
      <w:bookmarkStart w:id="306" w:name="Note42"/>
      <w:bookmarkStart w:id="307" w:name="_Toc62808149"/>
      <w:r>
        <w:t xml:space="preserve">4.2 </w:t>
      </w:r>
      <w:bookmarkEnd w:id="306"/>
      <w:r>
        <w:t>Controlled</w:t>
      </w:r>
      <w:r w:rsidR="00417B1B">
        <w:t xml:space="preserve"> Items</w:t>
      </w:r>
      <w:bookmarkEnd w:id="307"/>
    </w:p>
    <w:p w14:paraId="11A9D1C7" w14:textId="5F8DB186" w:rsidR="00417B1B" w:rsidRDefault="00417B1B" w:rsidP="00417B1B">
      <w:pPr>
        <w:pStyle w:val="Heading4"/>
      </w:pPr>
      <w:r w:rsidRPr="00D02EC5">
        <w:t xml:space="preserve">Schedule A </w:t>
      </w:r>
      <w:r w:rsidR="00060EBF" w:rsidRPr="00D02EC5">
        <w:t>- Controlled</w:t>
      </w:r>
      <w:r w:rsidRPr="00D02EC5">
        <w:t xml:space="preserve"> Income </w:t>
      </w:r>
      <w:r w:rsidR="00D45E5B" w:rsidRPr="00D02EC5">
        <w:t xml:space="preserve">and </w:t>
      </w:r>
      <w:r w:rsidR="00191A1A" w:rsidRPr="00D02EC5">
        <w:t>Expenses b</w:t>
      </w:r>
      <w:r w:rsidRPr="00D02EC5">
        <w:t xml:space="preserve">y Jurisdiction </w:t>
      </w:r>
      <w:r w:rsidR="00191A1A" w:rsidRPr="00D02EC5">
        <w:t>f</w:t>
      </w:r>
      <w:r w:rsidRPr="00D02EC5">
        <w:t xml:space="preserve">or </w:t>
      </w:r>
      <w:r w:rsidR="00E952AB" w:rsidRPr="00D02EC5">
        <w:t>the</w:t>
      </w:r>
      <w:r w:rsidRPr="00D02EC5">
        <w:t xml:space="preserve"> Year Ended 30 June 20</w:t>
      </w:r>
      <w:r w:rsidR="001C32E5" w:rsidRPr="00D02EC5">
        <w:t>20</w:t>
      </w:r>
    </w:p>
    <w:tbl>
      <w:tblPr>
        <w:tblStyle w:val="AccessibleTableNumerical"/>
        <w:tblW w:w="5000" w:type="pct"/>
        <w:tblLook w:val="04A0" w:firstRow="1" w:lastRow="0" w:firstColumn="1" w:lastColumn="0" w:noHBand="0" w:noVBand="1"/>
      </w:tblPr>
      <w:tblGrid>
        <w:gridCol w:w="2673"/>
        <w:gridCol w:w="1113"/>
        <w:gridCol w:w="1113"/>
        <w:gridCol w:w="1229"/>
        <w:gridCol w:w="1229"/>
        <w:gridCol w:w="1229"/>
        <w:gridCol w:w="1228"/>
        <w:gridCol w:w="1082"/>
        <w:gridCol w:w="1082"/>
        <w:gridCol w:w="1082"/>
        <w:gridCol w:w="1082"/>
        <w:gridCol w:w="1306"/>
        <w:gridCol w:w="1306"/>
        <w:gridCol w:w="1228"/>
        <w:gridCol w:w="1116"/>
        <w:gridCol w:w="1228"/>
        <w:gridCol w:w="1220"/>
      </w:tblGrid>
      <w:tr w:rsidR="00A030BE" w:rsidRPr="00A030BE" w14:paraId="55B8A1F1" w14:textId="77777777" w:rsidTr="00A030BE">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620" w:type="pct"/>
          </w:tcPr>
          <w:p w14:paraId="7EE75C33" w14:textId="549AA636" w:rsidR="00735149" w:rsidRPr="00A030BE" w:rsidRDefault="00735149" w:rsidP="009C456B">
            <w:pPr>
              <w:pStyle w:val="TableText"/>
              <w:spacing w:before="40" w:after="40" w:line="233" w:lineRule="auto"/>
              <w:rPr>
                <w:sz w:val="18"/>
                <w:szCs w:val="18"/>
              </w:rPr>
            </w:pPr>
            <w:bookmarkStart w:id="308" w:name="ColumnTitle_65117"/>
            <w:r w:rsidRPr="00A030BE">
              <w:rPr>
                <w:sz w:val="18"/>
                <w:szCs w:val="18"/>
              </w:rPr>
              <w:t>Item</w:t>
            </w:r>
          </w:p>
        </w:tc>
        <w:tc>
          <w:tcPr>
            <w:tcW w:w="258" w:type="pct"/>
            <w:vAlign w:val="bottom"/>
          </w:tcPr>
          <w:p w14:paraId="0CC9044C" w14:textId="57628F07"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Supreme Court of Victoria 2020</w:t>
            </w:r>
            <w:r w:rsidRPr="00A030BE">
              <w:rPr>
                <w:sz w:val="18"/>
                <w:szCs w:val="18"/>
              </w:rPr>
              <w:br/>
              <w:t>$’000</w:t>
            </w:r>
          </w:p>
        </w:tc>
        <w:tc>
          <w:tcPr>
            <w:tcW w:w="258" w:type="pct"/>
            <w:vAlign w:val="bottom"/>
          </w:tcPr>
          <w:p w14:paraId="16B67D27" w14:textId="116C48D4"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Supreme Court of Victoria 2019</w:t>
            </w:r>
            <w:r w:rsidRPr="00A030BE">
              <w:rPr>
                <w:sz w:val="18"/>
                <w:szCs w:val="18"/>
              </w:rPr>
              <w:br/>
              <w:t>$’000</w:t>
            </w:r>
          </w:p>
        </w:tc>
        <w:tc>
          <w:tcPr>
            <w:tcW w:w="285" w:type="pct"/>
            <w:vAlign w:val="bottom"/>
          </w:tcPr>
          <w:p w14:paraId="71EBF4B7" w14:textId="0D3383A4"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County Court of Victoria 2020</w:t>
            </w:r>
            <w:r w:rsidRPr="00A030BE">
              <w:rPr>
                <w:sz w:val="18"/>
                <w:szCs w:val="18"/>
              </w:rPr>
              <w:br/>
              <w:t>$’000</w:t>
            </w:r>
          </w:p>
        </w:tc>
        <w:tc>
          <w:tcPr>
            <w:tcW w:w="285" w:type="pct"/>
            <w:vAlign w:val="bottom"/>
          </w:tcPr>
          <w:p w14:paraId="04180F7D" w14:textId="4C6FD89A"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County Court of Victoria 2019</w:t>
            </w:r>
            <w:r w:rsidRPr="00A030BE">
              <w:rPr>
                <w:sz w:val="18"/>
                <w:szCs w:val="18"/>
              </w:rPr>
              <w:br/>
              <w:t>$’000</w:t>
            </w:r>
          </w:p>
        </w:tc>
        <w:tc>
          <w:tcPr>
            <w:tcW w:w="285" w:type="pct"/>
            <w:vAlign w:val="bottom"/>
          </w:tcPr>
          <w:p w14:paraId="7460C4F2" w14:textId="2095C691"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Magistrates’ Court of Victoria</w:t>
            </w:r>
            <w:r w:rsidRPr="00A030BE">
              <w:rPr>
                <w:sz w:val="18"/>
                <w:szCs w:val="18"/>
              </w:rPr>
              <w:br/>
              <w:t>2020</w:t>
            </w:r>
          </w:p>
          <w:p w14:paraId="2A16DD64" w14:textId="41FE893C"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$’000</w:t>
            </w:r>
          </w:p>
        </w:tc>
        <w:tc>
          <w:tcPr>
            <w:tcW w:w="285" w:type="pct"/>
            <w:vAlign w:val="bottom"/>
          </w:tcPr>
          <w:p w14:paraId="4A381AE5" w14:textId="4EDEFFD8"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Magistrates’ Court of Victoria</w:t>
            </w:r>
            <w:r w:rsidRPr="00A030BE">
              <w:rPr>
                <w:sz w:val="18"/>
                <w:szCs w:val="18"/>
              </w:rPr>
              <w:br/>
              <w:t>2019</w:t>
            </w:r>
            <w:r w:rsidRPr="00A030BE">
              <w:rPr>
                <w:sz w:val="18"/>
                <w:szCs w:val="18"/>
              </w:rPr>
              <w:br/>
              <w:t>$’000</w:t>
            </w:r>
          </w:p>
        </w:tc>
        <w:tc>
          <w:tcPr>
            <w:tcW w:w="251" w:type="pct"/>
            <w:vAlign w:val="bottom"/>
          </w:tcPr>
          <w:p w14:paraId="154F30DF" w14:textId="2D47D1F5"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Children’s Court of Victoria 2020</w:t>
            </w:r>
            <w:r w:rsidRPr="00A030BE">
              <w:rPr>
                <w:sz w:val="18"/>
                <w:szCs w:val="18"/>
              </w:rPr>
              <w:br/>
              <w:t>$’000</w:t>
            </w:r>
          </w:p>
        </w:tc>
        <w:tc>
          <w:tcPr>
            <w:tcW w:w="251" w:type="pct"/>
            <w:vAlign w:val="bottom"/>
          </w:tcPr>
          <w:p w14:paraId="1A1293E3" w14:textId="4F9227A1"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Children’s Court of Victoria 2019</w:t>
            </w:r>
            <w:r w:rsidRPr="00A030BE">
              <w:rPr>
                <w:sz w:val="18"/>
                <w:szCs w:val="18"/>
              </w:rPr>
              <w:br/>
              <w:t>$’000</w:t>
            </w:r>
          </w:p>
        </w:tc>
        <w:tc>
          <w:tcPr>
            <w:tcW w:w="251" w:type="pct"/>
            <w:vAlign w:val="bottom"/>
          </w:tcPr>
          <w:p w14:paraId="483853F0" w14:textId="77777777"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Coroners Court of Victoria 2020</w:t>
            </w:r>
          </w:p>
          <w:p w14:paraId="55C019C5" w14:textId="3EBB4B50"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$’000</w:t>
            </w:r>
          </w:p>
        </w:tc>
        <w:tc>
          <w:tcPr>
            <w:tcW w:w="251" w:type="pct"/>
            <w:vAlign w:val="bottom"/>
          </w:tcPr>
          <w:p w14:paraId="45A97E25" w14:textId="6EA0E218"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Coroners Court of Victoria 2019</w:t>
            </w:r>
            <w:r w:rsidRPr="00A030BE">
              <w:rPr>
                <w:sz w:val="18"/>
                <w:szCs w:val="18"/>
              </w:rPr>
              <w:br/>
              <w:t>$’000</w:t>
            </w:r>
          </w:p>
        </w:tc>
        <w:tc>
          <w:tcPr>
            <w:tcW w:w="303" w:type="pct"/>
            <w:vAlign w:val="bottom"/>
          </w:tcPr>
          <w:p w14:paraId="12593AA5" w14:textId="65A0AC32"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Victorian Civil &amp; Administrative Tribunal</w:t>
            </w:r>
            <w:r w:rsidRPr="00A030BE">
              <w:rPr>
                <w:sz w:val="18"/>
                <w:szCs w:val="18"/>
              </w:rPr>
              <w:br/>
              <w:t>2020</w:t>
            </w:r>
            <w:r w:rsidRPr="00A030BE">
              <w:rPr>
                <w:sz w:val="18"/>
                <w:szCs w:val="18"/>
              </w:rPr>
              <w:br/>
              <w:t>$’000</w:t>
            </w:r>
          </w:p>
        </w:tc>
        <w:tc>
          <w:tcPr>
            <w:tcW w:w="303" w:type="pct"/>
            <w:vAlign w:val="bottom"/>
          </w:tcPr>
          <w:p w14:paraId="042B8052" w14:textId="207F579E"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Victorian Civil &amp; Administrative Tribunal</w:t>
            </w:r>
            <w:r w:rsidRPr="00A030BE">
              <w:rPr>
                <w:sz w:val="18"/>
                <w:szCs w:val="18"/>
              </w:rPr>
              <w:br/>
              <w:t>2019</w:t>
            </w:r>
            <w:r w:rsidRPr="00A030BE">
              <w:rPr>
                <w:sz w:val="18"/>
                <w:szCs w:val="18"/>
              </w:rPr>
              <w:br/>
              <w:t>$’000</w:t>
            </w:r>
          </w:p>
        </w:tc>
        <w:tc>
          <w:tcPr>
            <w:tcW w:w="285" w:type="pct"/>
            <w:vAlign w:val="bottom"/>
          </w:tcPr>
          <w:p w14:paraId="13E67BFE" w14:textId="3CC96C7E"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Jurisdiction Services 2020</w:t>
            </w:r>
            <w:r w:rsidRPr="00A030BE">
              <w:rPr>
                <w:sz w:val="18"/>
                <w:szCs w:val="18"/>
              </w:rPr>
              <w:br/>
              <w:t>$’000</w:t>
            </w:r>
          </w:p>
        </w:tc>
        <w:tc>
          <w:tcPr>
            <w:tcW w:w="259" w:type="pct"/>
            <w:vAlign w:val="bottom"/>
          </w:tcPr>
          <w:p w14:paraId="0C2F8D94" w14:textId="24CB0C66"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Jurisdiction Services 2019</w:t>
            </w:r>
            <w:r w:rsidRPr="00A030BE">
              <w:rPr>
                <w:sz w:val="18"/>
                <w:szCs w:val="18"/>
              </w:rPr>
              <w:br/>
              <w:t>$’000</w:t>
            </w:r>
          </w:p>
        </w:tc>
        <w:tc>
          <w:tcPr>
            <w:tcW w:w="285" w:type="pct"/>
            <w:vAlign w:val="bottom"/>
          </w:tcPr>
          <w:p w14:paraId="17571320" w14:textId="5A2302C0"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Total</w:t>
            </w:r>
            <w:r w:rsidRPr="00A030BE">
              <w:rPr>
                <w:sz w:val="18"/>
                <w:szCs w:val="18"/>
              </w:rPr>
              <w:br/>
              <w:t>2020</w:t>
            </w:r>
            <w:r w:rsidRPr="00A030BE">
              <w:rPr>
                <w:sz w:val="18"/>
                <w:szCs w:val="18"/>
              </w:rPr>
              <w:br/>
              <w:t>$’000</w:t>
            </w:r>
          </w:p>
        </w:tc>
        <w:tc>
          <w:tcPr>
            <w:tcW w:w="283" w:type="pct"/>
            <w:vAlign w:val="bottom"/>
          </w:tcPr>
          <w:p w14:paraId="02857A7C" w14:textId="3F030911" w:rsidR="00735149" w:rsidRPr="00A030BE" w:rsidRDefault="00735149" w:rsidP="009C456B">
            <w:pPr>
              <w:pStyle w:val="TableText"/>
              <w:spacing w:before="40" w:after="40" w:line="233" w:lineRule="auto"/>
              <w:cnfStyle w:val="100000000000" w:firstRow="1" w:lastRow="0" w:firstColumn="0" w:lastColumn="0" w:oddVBand="0" w:evenVBand="0" w:oddHBand="0" w:evenHBand="0" w:firstRowFirstColumn="0" w:firstRowLastColumn="0" w:lastRowFirstColumn="0" w:lastRowLastColumn="0"/>
              <w:rPr>
                <w:sz w:val="18"/>
                <w:szCs w:val="18"/>
              </w:rPr>
            </w:pPr>
            <w:r w:rsidRPr="00A030BE">
              <w:rPr>
                <w:sz w:val="18"/>
                <w:szCs w:val="18"/>
              </w:rPr>
              <w:t>Total</w:t>
            </w:r>
            <w:r w:rsidRPr="00A030BE">
              <w:rPr>
                <w:sz w:val="18"/>
                <w:szCs w:val="18"/>
              </w:rPr>
              <w:br/>
              <w:t>2019</w:t>
            </w:r>
            <w:r w:rsidRPr="00A030BE">
              <w:rPr>
                <w:sz w:val="18"/>
                <w:szCs w:val="18"/>
              </w:rPr>
              <w:br/>
              <w:t>$’000</w:t>
            </w:r>
          </w:p>
        </w:tc>
      </w:tr>
      <w:bookmarkEnd w:id="308"/>
      <w:tr w:rsidR="00A030BE" w:rsidRPr="00A030BE" w14:paraId="3F7B77C0"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490C95FD" w14:textId="77777777" w:rsidR="00A030BE" w:rsidRPr="00A030BE" w:rsidRDefault="00A030BE" w:rsidP="009C456B">
            <w:pPr>
              <w:pStyle w:val="TableText"/>
              <w:spacing w:before="40" w:after="40" w:line="233" w:lineRule="auto"/>
              <w:rPr>
                <w:rStyle w:val="Bold"/>
                <w:szCs w:val="20"/>
              </w:rPr>
            </w:pPr>
            <w:r w:rsidRPr="00A030BE">
              <w:rPr>
                <w:rStyle w:val="Bold"/>
                <w:szCs w:val="20"/>
              </w:rPr>
              <w:t>Income from transactions</w:t>
            </w:r>
          </w:p>
        </w:tc>
        <w:tc>
          <w:tcPr>
            <w:tcW w:w="258" w:type="pct"/>
          </w:tcPr>
          <w:p w14:paraId="02E2E8A6" w14:textId="2293F422"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8" w:type="pct"/>
          </w:tcPr>
          <w:p w14:paraId="5603E4B2" w14:textId="5701BC26"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6E6969F0" w14:textId="789BD47F"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5D1214E5" w14:textId="0D33F783"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19B88703" w14:textId="1DAB1B4F"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57202E31" w14:textId="48435A73"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1" w:type="pct"/>
          </w:tcPr>
          <w:p w14:paraId="7081E7A4" w14:textId="5AF1C2D2"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1" w:type="pct"/>
          </w:tcPr>
          <w:p w14:paraId="42A0624F" w14:textId="07CBD25A"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1" w:type="pct"/>
          </w:tcPr>
          <w:p w14:paraId="1DE8418D" w14:textId="315174ED"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1" w:type="pct"/>
          </w:tcPr>
          <w:p w14:paraId="72277152" w14:textId="1CFF84B6"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303" w:type="pct"/>
          </w:tcPr>
          <w:p w14:paraId="6E335258" w14:textId="11930114"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303" w:type="pct"/>
          </w:tcPr>
          <w:p w14:paraId="41EAE80A" w14:textId="4F9D1044"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6BD49B07" w14:textId="5785DCCA"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59" w:type="pct"/>
          </w:tcPr>
          <w:p w14:paraId="564C3BC0" w14:textId="4574144A"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5" w:type="pct"/>
          </w:tcPr>
          <w:p w14:paraId="459D1748" w14:textId="113B2BBC"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c>
          <w:tcPr>
            <w:tcW w:w="283" w:type="pct"/>
          </w:tcPr>
          <w:p w14:paraId="3692F987" w14:textId="26097E66" w:rsidR="00A030BE" w:rsidRPr="00A030BE" w:rsidRDefault="00A030BE"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N/A</w:t>
            </w:r>
          </w:p>
        </w:tc>
      </w:tr>
      <w:tr w:rsidR="00A030BE" w:rsidRPr="00A030BE" w14:paraId="7DD17397"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7EADD411" w14:textId="1C759BFC" w:rsidR="00735149" w:rsidRPr="00A030BE" w:rsidRDefault="00735149" w:rsidP="009C456B">
            <w:pPr>
              <w:pStyle w:val="TableText"/>
              <w:spacing w:before="40" w:after="40" w:line="233" w:lineRule="auto"/>
              <w:rPr>
                <w:sz w:val="18"/>
                <w:szCs w:val="18"/>
              </w:rPr>
            </w:pPr>
            <w:r w:rsidRPr="00A030BE">
              <w:rPr>
                <w:sz w:val="18"/>
                <w:szCs w:val="18"/>
              </w:rPr>
              <w:t>Output appropriations</w:t>
            </w:r>
            <w:hyperlink w:anchor="Note42note2" w:history="1">
              <w:r w:rsidR="000D2542" w:rsidRPr="000D2542">
                <w:rPr>
                  <w:sz w:val="18"/>
                  <w:szCs w:val="18"/>
                  <w:vertAlign w:val="superscript"/>
                </w:rPr>
                <w:t>(1)</w:t>
              </w:r>
            </w:hyperlink>
          </w:p>
        </w:tc>
        <w:tc>
          <w:tcPr>
            <w:tcW w:w="258" w:type="pct"/>
          </w:tcPr>
          <w:p w14:paraId="6DAD8FC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60,132</w:t>
            </w:r>
          </w:p>
        </w:tc>
        <w:tc>
          <w:tcPr>
            <w:tcW w:w="258" w:type="pct"/>
          </w:tcPr>
          <w:p w14:paraId="3671AC0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58,635</w:t>
            </w:r>
          </w:p>
        </w:tc>
        <w:tc>
          <w:tcPr>
            <w:tcW w:w="285" w:type="pct"/>
          </w:tcPr>
          <w:p w14:paraId="41E116D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76,784</w:t>
            </w:r>
          </w:p>
        </w:tc>
        <w:tc>
          <w:tcPr>
            <w:tcW w:w="285" w:type="pct"/>
          </w:tcPr>
          <w:p w14:paraId="73369DA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68,356</w:t>
            </w:r>
          </w:p>
        </w:tc>
        <w:tc>
          <w:tcPr>
            <w:tcW w:w="285" w:type="pct"/>
          </w:tcPr>
          <w:p w14:paraId="114A340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176,115 </w:t>
            </w:r>
          </w:p>
        </w:tc>
        <w:tc>
          <w:tcPr>
            <w:tcW w:w="285" w:type="pct"/>
          </w:tcPr>
          <w:p w14:paraId="66BAEB3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153,726 </w:t>
            </w:r>
          </w:p>
        </w:tc>
        <w:tc>
          <w:tcPr>
            <w:tcW w:w="251" w:type="pct"/>
          </w:tcPr>
          <w:p w14:paraId="7B7EF9E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26,666</w:t>
            </w:r>
          </w:p>
        </w:tc>
        <w:tc>
          <w:tcPr>
            <w:tcW w:w="251" w:type="pct"/>
          </w:tcPr>
          <w:p w14:paraId="5146F85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24,474</w:t>
            </w:r>
          </w:p>
        </w:tc>
        <w:tc>
          <w:tcPr>
            <w:tcW w:w="251" w:type="pct"/>
          </w:tcPr>
          <w:p w14:paraId="2AB1727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17,697 </w:t>
            </w:r>
          </w:p>
        </w:tc>
        <w:tc>
          <w:tcPr>
            <w:tcW w:w="251" w:type="pct"/>
          </w:tcPr>
          <w:p w14:paraId="7481827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16,003 </w:t>
            </w:r>
          </w:p>
        </w:tc>
        <w:tc>
          <w:tcPr>
            <w:tcW w:w="303" w:type="pct"/>
          </w:tcPr>
          <w:p w14:paraId="277803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21,469 </w:t>
            </w:r>
          </w:p>
        </w:tc>
        <w:tc>
          <w:tcPr>
            <w:tcW w:w="303" w:type="pct"/>
          </w:tcPr>
          <w:p w14:paraId="4221823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18,224 </w:t>
            </w:r>
          </w:p>
        </w:tc>
        <w:tc>
          <w:tcPr>
            <w:tcW w:w="285" w:type="pct"/>
          </w:tcPr>
          <w:p w14:paraId="1A8E761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101,303</w:t>
            </w:r>
          </w:p>
        </w:tc>
        <w:tc>
          <w:tcPr>
            <w:tcW w:w="259" w:type="pct"/>
          </w:tcPr>
          <w:p w14:paraId="66561E7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89,053</w:t>
            </w:r>
          </w:p>
        </w:tc>
        <w:tc>
          <w:tcPr>
            <w:tcW w:w="285" w:type="pct"/>
          </w:tcPr>
          <w:p w14:paraId="10DB6C3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480,167</w:t>
            </w:r>
          </w:p>
        </w:tc>
        <w:tc>
          <w:tcPr>
            <w:tcW w:w="283" w:type="pct"/>
          </w:tcPr>
          <w:p w14:paraId="4CD40BB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428,469</w:t>
            </w:r>
          </w:p>
        </w:tc>
      </w:tr>
      <w:tr w:rsidR="00A030BE" w:rsidRPr="00A030BE" w14:paraId="6B21D0BD"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674C7671" w14:textId="36BDBC76" w:rsidR="00735149" w:rsidRPr="00A030BE" w:rsidRDefault="00735149" w:rsidP="009C456B">
            <w:pPr>
              <w:pStyle w:val="TableText"/>
              <w:spacing w:before="40" w:after="40" w:line="233" w:lineRule="auto"/>
              <w:rPr>
                <w:sz w:val="18"/>
                <w:szCs w:val="18"/>
              </w:rPr>
            </w:pPr>
            <w:r w:rsidRPr="00A030BE">
              <w:rPr>
                <w:sz w:val="18"/>
                <w:szCs w:val="18"/>
              </w:rPr>
              <w:t>Special appropriations</w:t>
            </w:r>
            <w:hyperlink w:anchor="Note42note2" w:history="1">
              <w:r w:rsidR="000D2542" w:rsidRPr="000D2542">
                <w:rPr>
                  <w:sz w:val="18"/>
                  <w:szCs w:val="18"/>
                  <w:vertAlign w:val="superscript"/>
                </w:rPr>
                <w:t>(1)</w:t>
              </w:r>
            </w:hyperlink>
          </w:p>
        </w:tc>
        <w:tc>
          <w:tcPr>
            <w:tcW w:w="258" w:type="pct"/>
          </w:tcPr>
          <w:p w14:paraId="7B68C05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36,143</w:t>
            </w:r>
          </w:p>
        </w:tc>
        <w:tc>
          <w:tcPr>
            <w:tcW w:w="258" w:type="pct"/>
          </w:tcPr>
          <w:p w14:paraId="7CA89E8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34,580</w:t>
            </w:r>
          </w:p>
        </w:tc>
        <w:tc>
          <w:tcPr>
            <w:tcW w:w="285" w:type="pct"/>
          </w:tcPr>
          <w:p w14:paraId="6BD68CD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37,228</w:t>
            </w:r>
          </w:p>
        </w:tc>
        <w:tc>
          <w:tcPr>
            <w:tcW w:w="285" w:type="pct"/>
          </w:tcPr>
          <w:p w14:paraId="20E6E2D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37,169</w:t>
            </w:r>
          </w:p>
        </w:tc>
        <w:tc>
          <w:tcPr>
            <w:tcW w:w="285" w:type="pct"/>
          </w:tcPr>
          <w:p w14:paraId="5498080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61,075 </w:t>
            </w:r>
          </w:p>
        </w:tc>
        <w:tc>
          <w:tcPr>
            <w:tcW w:w="285" w:type="pct"/>
          </w:tcPr>
          <w:p w14:paraId="6778AC7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55,904 </w:t>
            </w:r>
          </w:p>
        </w:tc>
        <w:tc>
          <w:tcPr>
            <w:tcW w:w="251" w:type="pct"/>
          </w:tcPr>
          <w:p w14:paraId="0691915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6,184</w:t>
            </w:r>
          </w:p>
        </w:tc>
        <w:tc>
          <w:tcPr>
            <w:tcW w:w="251" w:type="pct"/>
          </w:tcPr>
          <w:p w14:paraId="1981E7A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6,506</w:t>
            </w:r>
          </w:p>
        </w:tc>
        <w:tc>
          <w:tcPr>
            <w:tcW w:w="251" w:type="pct"/>
          </w:tcPr>
          <w:p w14:paraId="27A1208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5,621 </w:t>
            </w:r>
          </w:p>
        </w:tc>
        <w:tc>
          <w:tcPr>
            <w:tcW w:w="251" w:type="pct"/>
          </w:tcPr>
          <w:p w14:paraId="6B6A991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4,303 </w:t>
            </w:r>
          </w:p>
        </w:tc>
        <w:tc>
          <w:tcPr>
            <w:tcW w:w="303" w:type="pct"/>
          </w:tcPr>
          <w:p w14:paraId="7380C9D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21,476 </w:t>
            </w:r>
          </w:p>
        </w:tc>
        <w:tc>
          <w:tcPr>
            <w:tcW w:w="303" w:type="pct"/>
          </w:tcPr>
          <w:p w14:paraId="2ECC5B4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19,447 </w:t>
            </w:r>
          </w:p>
        </w:tc>
        <w:tc>
          <w:tcPr>
            <w:tcW w:w="285" w:type="pct"/>
          </w:tcPr>
          <w:p w14:paraId="70D69DB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10 </w:t>
            </w:r>
          </w:p>
        </w:tc>
        <w:tc>
          <w:tcPr>
            <w:tcW w:w="259" w:type="pct"/>
          </w:tcPr>
          <w:p w14:paraId="746D570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46 </w:t>
            </w:r>
          </w:p>
        </w:tc>
        <w:tc>
          <w:tcPr>
            <w:tcW w:w="285" w:type="pct"/>
          </w:tcPr>
          <w:p w14:paraId="21B0E14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167,736</w:t>
            </w:r>
          </w:p>
        </w:tc>
        <w:tc>
          <w:tcPr>
            <w:tcW w:w="283" w:type="pct"/>
          </w:tcPr>
          <w:p w14:paraId="19BFB8D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157,954</w:t>
            </w:r>
          </w:p>
        </w:tc>
      </w:tr>
      <w:tr w:rsidR="00A030BE" w:rsidRPr="00A030BE" w14:paraId="44DF04E0"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0B51BFF3" w14:textId="77777777" w:rsidR="00735149" w:rsidRPr="00A030BE" w:rsidRDefault="00735149" w:rsidP="009C456B">
            <w:pPr>
              <w:pStyle w:val="TableText"/>
              <w:spacing w:before="40" w:after="40" w:line="233" w:lineRule="auto"/>
              <w:rPr>
                <w:sz w:val="18"/>
                <w:szCs w:val="18"/>
              </w:rPr>
            </w:pPr>
            <w:r w:rsidRPr="00A030BE">
              <w:rPr>
                <w:sz w:val="18"/>
                <w:szCs w:val="18"/>
              </w:rPr>
              <w:t>Grants</w:t>
            </w:r>
          </w:p>
        </w:tc>
        <w:tc>
          <w:tcPr>
            <w:tcW w:w="258" w:type="pct"/>
          </w:tcPr>
          <w:p w14:paraId="5A3D864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8" w:type="pct"/>
          </w:tcPr>
          <w:p w14:paraId="0555F43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4D86BD5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4519B66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0676549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4,374 </w:t>
            </w:r>
          </w:p>
        </w:tc>
        <w:tc>
          <w:tcPr>
            <w:tcW w:w="285" w:type="pct"/>
          </w:tcPr>
          <w:p w14:paraId="04973AC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8,164 </w:t>
            </w:r>
          </w:p>
        </w:tc>
        <w:tc>
          <w:tcPr>
            <w:tcW w:w="251" w:type="pct"/>
          </w:tcPr>
          <w:p w14:paraId="37BF488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73</w:t>
            </w:r>
          </w:p>
        </w:tc>
        <w:tc>
          <w:tcPr>
            <w:tcW w:w="251" w:type="pct"/>
          </w:tcPr>
          <w:p w14:paraId="404F02D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1" w:type="pct"/>
          </w:tcPr>
          <w:p w14:paraId="322CE61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379 </w:t>
            </w:r>
          </w:p>
        </w:tc>
        <w:tc>
          <w:tcPr>
            <w:tcW w:w="251" w:type="pct"/>
          </w:tcPr>
          <w:p w14:paraId="7F84077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221 </w:t>
            </w:r>
          </w:p>
        </w:tc>
        <w:tc>
          <w:tcPr>
            <w:tcW w:w="303" w:type="pct"/>
          </w:tcPr>
          <w:p w14:paraId="071EB3B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20,749 </w:t>
            </w:r>
          </w:p>
        </w:tc>
        <w:tc>
          <w:tcPr>
            <w:tcW w:w="303" w:type="pct"/>
          </w:tcPr>
          <w:p w14:paraId="3FE19E3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19,480 </w:t>
            </w:r>
          </w:p>
        </w:tc>
        <w:tc>
          <w:tcPr>
            <w:tcW w:w="285" w:type="pct"/>
          </w:tcPr>
          <w:p w14:paraId="4D8088C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42</w:t>
            </w:r>
          </w:p>
        </w:tc>
        <w:tc>
          <w:tcPr>
            <w:tcW w:w="259" w:type="pct"/>
          </w:tcPr>
          <w:p w14:paraId="570C862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299</w:t>
            </w:r>
          </w:p>
        </w:tc>
        <w:tc>
          <w:tcPr>
            <w:tcW w:w="285" w:type="pct"/>
          </w:tcPr>
          <w:p w14:paraId="1684293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25,617</w:t>
            </w:r>
          </w:p>
        </w:tc>
        <w:tc>
          <w:tcPr>
            <w:tcW w:w="283" w:type="pct"/>
          </w:tcPr>
          <w:p w14:paraId="672D032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28,164</w:t>
            </w:r>
          </w:p>
        </w:tc>
      </w:tr>
      <w:tr w:rsidR="00A030BE" w:rsidRPr="00A030BE" w14:paraId="5DF5E780"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3ACADC11" w14:textId="77777777" w:rsidR="00735149" w:rsidRPr="00A030BE" w:rsidRDefault="00735149" w:rsidP="009C456B">
            <w:pPr>
              <w:pStyle w:val="TableText"/>
              <w:spacing w:before="40" w:after="40" w:line="233" w:lineRule="auto"/>
              <w:rPr>
                <w:sz w:val="18"/>
                <w:szCs w:val="18"/>
              </w:rPr>
            </w:pPr>
            <w:r w:rsidRPr="00A030BE">
              <w:rPr>
                <w:sz w:val="18"/>
                <w:szCs w:val="18"/>
              </w:rPr>
              <w:t>Other income</w:t>
            </w:r>
          </w:p>
        </w:tc>
        <w:tc>
          <w:tcPr>
            <w:tcW w:w="258" w:type="pct"/>
            <w:tcBorders>
              <w:bottom w:val="single" w:sz="4" w:space="0" w:color="auto"/>
            </w:tcBorders>
          </w:tcPr>
          <w:p w14:paraId="1369581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8" w:type="pct"/>
            <w:tcBorders>
              <w:bottom w:val="single" w:sz="4" w:space="0" w:color="auto"/>
            </w:tcBorders>
          </w:tcPr>
          <w:p w14:paraId="4B650AA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Borders>
              <w:bottom w:val="single" w:sz="4" w:space="0" w:color="auto"/>
            </w:tcBorders>
          </w:tcPr>
          <w:p w14:paraId="7E56672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Borders>
              <w:bottom w:val="single" w:sz="4" w:space="0" w:color="auto"/>
            </w:tcBorders>
          </w:tcPr>
          <w:p w14:paraId="53C0561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Borders>
              <w:bottom w:val="single" w:sz="4" w:space="0" w:color="auto"/>
            </w:tcBorders>
          </w:tcPr>
          <w:p w14:paraId="14B404E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85" w:type="pct"/>
            <w:tcBorders>
              <w:bottom w:val="single" w:sz="4" w:space="0" w:color="auto"/>
            </w:tcBorders>
          </w:tcPr>
          <w:p w14:paraId="592DDE0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Borders>
              <w:bottom w:val="single" w:sz="4" w:space="0" w:color="auto"/>
            </w:tcBorders>
          </w:tcPr>
          <w:p w14:paraId="5B252AB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1" w:type="pct"/>
            <w:tcBorders>
              <w:bottom w:val="single" w:sz="4" w:space="0" w:color="auto"/>
            </w:tcBorders>
          </w:tcPr>
          <w:p w14:paraId="3BE445E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1" w:type="pct"/>
            <w:tcBorders>
              <w:bottom w:val="single" w:sz="4" w:space="0" w:color="auto"/>
            </w:tcBorders>
          </w:tcPr>
          <w:p w14:paraId="3F5BB60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Borders>
              <w:bottom w:val="single" w:sz="4" w:space="0" w:color="auto"/>
            </w:tcBorders>
          </w:tcPr>
          <w:p w14:paraId="3C63A42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303" w:type="pct"/>
            <w:tcBorders>
              <w:bottom w:val="single" w:sz="4" w:space="0" w:color="auto"/>
            </w:tcBorders>
          </w:tcPr>
          <w:p w14:paraId="559C618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303" w:type="pct"/>
            <w:tcBorders>
              <w:bottom w:val="single" w:sz="4" w:space="0" w:color="auto"/>
            </w:tcBorders>
          </w:tcPr>
          <w:p w14:paraId="6B5736B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85" w:type="pct"/>
            <w:tcBorders>
              <w:bottom w:val="single" w:sz="4" w:space="0" w:color="auto"/>
            </w:tcBorders>
          </w:tcPr>
          <w:p w14:paraId="0BDAD1D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9" w:type="pct"/>
            <w:tcBorders>
              <w:bottom w:val="single" w:sz="4" w:space="0" w:color="auto"/>
            </w:tcBorders>
          </w:tcPr>
          <w:p w14:paraId="64AFEF6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Borders>
              <w:bottom w:val="single" w:sz="4" w:space="0" w:color="auto"/>
            </w:tcBorders>
          </w:tcPr>
          <w:p w14:paraId="4C80304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3" w:type="pct"/>
            <w:tcBorders>
              <w:bottom w:val="single" w:sz="4" w:space="0" w:color="auto"/>
            </w:tcBorders>
          </w:tcPr>
          <w:p w14:paraId="6CC85F1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r>
      <w:tr w:rsidR="00A030BE" w:rsidRPr="00A030BE" w14:paraId="3456FAFA"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3DBEFF07" w14:textId="77777777" w:rsidR="00735149" w:rsidRPr="00A030BE" w:rsidRDefault="00735149" w:rsidP="009C456B">
            <w:pPr>
              <w:pStyle w:val="TableText"/>
              <w:spacing w:before="40" w:after="40" w:line="233" w:lineRule="auto"/>
              <w:rPr>
                <w:rStyle w:val="Bold"/>
                <w:sz w:val="18"/>
                <w:szCs w:val="18"/>
              </w:rPr>
            </w:pPr>
            <w:r w:rsidRPr="00A030BE">
              <w:rPr>
                <w:rStyle w:val="Bold"/>
                <w:sz w:val="18"/>
                <w:szCs w:val="18"/>
              </w:rPr>
              <w:t>Total income from transactions</w:t>
            </w:r>
          </w:p>
        </w:tc>
        <w:tc>
          <w:tcPr>
            <w:tcW w:w="258" w:type="pct"/>
            <w:tcBorders>
              <w:top w:val="single" w:sz="4" w:space="0" w:color="auto"/>
              <w:bottom w:val="single" w:sz="4" w:space="0" w:color="auto"/>
            </w:tcBorders>
          </w:tcPr>
          <w:p w14:paraId="634A8E1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96,275</w:t>
            </w:r>
          </w:p>
        </w:tc>
        <w:tc>
          <w:tcPr>
            <w:tcW w:w="258" w:type="pct"/>
            <w:tcBorders>
              <w:top w:val="single" w:sz="4" w:space="0" w:color="auto"/>
              <w:bottom w:val="single" w:sz="4" w:space="0" w:color="auto"/>
            </w:tcBorders>
          </w:tcPr>
          <w:p w14:paraId="3E3A5E2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93,215</w:t>
            </w:r>
          </w:p>
        </w:tc>
        <w:tc>
          <w:tcPr>
            <w:tcW w:w="285" w:type="pct"/>
            <w:tcBorders>
              <w:top w:val="single" w:sz="4" w:space="0" w:color="auto"/>
              <w:bottom w:val="single" w:sz="4" w:space="0" w:color="auto"/>
            </w:tcBorders>
          </w:tcPr>
          <w:p w14:paraId="6039D3E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114,013</w:t>
            </w:r>
          </w:p>
        </w:tc>
        <w:tc>
          <w:tcPr>
            <w:tcW w:w="285" w:type="pct"/>
            <w:tcBorders>
              <w:top w:val="single" w:sz="4" w:space="0" w:color="auto"/>
              <w:bottom w:val="single" w:sz="4" w:space="0" w:color="auto"/>
            </w:tcBorders>
          </w:tcPr>
          <w:p w14:paraId="2584374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105,525</w:t>
            </w:r>
          </w:p>
        </w:tc>
        <w:tc>
          <w:tcPr>
            <w:tcW w:w="285" w:type="pct"/>
            <w:tcBorders>
              <w:top w:val="single" w:sz="4" w:space="0" w:color="auto"/>
              <w:bottom w:val="single" w:sz="4" w:space="0" w:color="auto"/>
            </w:tcBorders>
          </w:tcPr>
          <w:p w14:paraId="5C49E5F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241,564 </w:t>
            </w:r>
          </w:p>
        </w:tc>
        <w:tc>
          <w:tcPr>
            <w:tcW w:w="285" w:type="pct"/>
            <w:tcBorders>
              <w:top w:val="single" w:sz="4" w:space="0" w:color="auto"/>
              <w:bottom w:val="single" w:sz="4" w:space="0" w:color="auto"/>
            </w:tcBorders>
          </w:tcPr>
          <w:p w14:paraId="1A0793D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217,793 </w:t>
            </w:r>
          </w:p>
        </w:tc>
        <w:tc>
          <w:tcPr>
            <w:tcW w:w="251" w:type="pct"/>
            <w:tcBorders>
              <w:top w:val="single" w:sz="4" w:space="0" w:color="auto"/>
              <w:bottom w:val="single" w:sz="4" w:space="0" w:color="auto"/>
            </w:tcBorders>
          </w:tcPr>
          <w:p w14:paraId="5B4E3E9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32,923</w:t>
            </w:r>
          </w:p>
        </w:tc>
        <w:tc>
          <w:tcPr>
            <w:tcW w:w="251" w:type="pct"/>
            <w:tcBorders>
              <w:top w:val="single" w:sz="4" w:space="0" w:color="auto"/>
              <w:bottom w:val="single" w:sz="4" w:space="0" w:color="auto"/>
            </w:tcBorders>
          </w:tcPr>
          <w:p w14:paraId="63C4685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30,980</w:t>
            </w:r>
          </w:p>
        </w:tc>
        <w:tc>
          <w:tcPr>
            <w:tcW w:w="251" w:type="pct"/>
            <w:tcBorders>
              <w:top w:val="single" w:sz="4" w:space="0" w:color="auto"/>
              <w:bottom w:val="single" w:sz="4" w:space="0" w:color="auto"/>
            </w:tcBorders>
          </w:tcPr>
          <w:p w14:paraId="00E2EB7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23,697 </w:t>
            </w:r>
          </w:p>
        </w:tc>
        <w:tc>
          <w:tcPr>
            <w:tcW w:w="251" w:type="pct"/>
            <w:tcBorders>
              <w:top w:val="single" w:sz="4" w:space="0" w:color="auto"/>
              <w:bottom w:val="single" w:sz="4" w:space="0" w:color="auto"/>
            </w:tcBorders>
          </w:tcPr>
          <w:p w14:paraId="1C70916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20,527 </w:t>
            </w:r>
          </w:p>
        </w:tc>
        <w:tc>
          <w:tcPr>
            <w:tcW w:w="303" w:type="pct"/>
            <w:tcBorders>
              <w:top w:val="single" w:sz="4" w:space="0" w:color="auto"/>
              <w:bottom w:val="single" w:sz="4" w:space="0" w:color="auto"/>
            </w:tcBorders>
          </w:tcPr>
          <w:p w14:paraId="2587978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63,693 </w:t>
            </w:r>
          </w:p>
        </w:tc>
        <w:tc>
          <w:tcPr>
            <w:tcW w:w="303" w:type="pct"/>
            <w:tcBorders>
              <w:top w:val="single" w:sz="4" w:space="0" w:color="auto"/>
              <w:bottom w:val="single" w:sz="4" w:space="0" w:color="auto"/>
            </w:tcBorders>
          </w:tcPr>
          <w:p w14:paraId="5DCC08D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57,150 </w:t>
            </w:r>
          </w:p>
        </w:tc>
        <w:tc>
          <w:tcPr>
            <w:tcW w:w="285" w:type="pct"/>
            <w:tcBorders>
              <w:top w:val="single" w:sz="4" w:space="0" w:color="auto"/>
              <w:bottom w:val="single" w:sz="4" w:space="0" w:color="auto"/>
            </w:tcBorders>
          </w:tcPr>
          <w:p w14:paraId="777C018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101,355</w:t>
            </w:r>
          </w:p>
        </w:tc>
        <w:tc>
          <w:tcPr>
            <w:tcW w:w="259" w:type="pct"/>
            <w:tcBorders>
              <w:top w:val="single" w:sz="4" w:space="0" w:color="auto"/>
              <w:bottom w:val="single" w:sz="4" w:space="0" w:color="auto"/>
            </w:tcBorders>
          </w:tcPr>
          <w:p w14:paraId="6B544D7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89,397</w:t>
            </w:r>
          </w:p>
        </w:tc>
        <w:tc>
          <w:tcPr>
            <w:tcW w:w="285" w:type="pct"/>
            <w:tcBorders>
              <w:top w:val="single" w:sz="4" w:space="0" w:color="auto"/>
              <w:bottom w:val="single" w:sz="4" w:space="0" w:color="auto"/>
            </w:tcBorders>
          </w:tcPr>
          <w:p w14:paraId="1C2DE1D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673,520</w:t>
            </w:r>
          </w:p>
        </w:tc>
        <w:tc>
          <w:tcPr>
            <w:tcW w:w="283" w:type="pct"/>
            <w:tcBorders>
              <w:top w:val="single" w:sz="4" w:space="0" w:color="auto"/>
              <w:bottom w:val="single" w:sz="4" w:space="0" w:color="auto"/>
            </w:tcBorders>
          </w:tcPr>
          <w:p w14:paraId="273EEEA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614,588</w:t>
            </w:r>
          </w:p>
        </w:tc>
      </w:tr>
      <w:tr w:rsidR="00C900BD" w:rsidRPr="00A030BE" w14:paraId="7D8C78DA" w14:textId="77777777" w:rsidTr="00A030BE">
        <w:trPr>
          <w:trHeight w:val="567"/>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07E70F08" w14:textId="77777777" w:rsidR="00C900BD" w:rsidRPr="00A030BE" w:rsidRDefault="00C900BD" w:rsidP="009C456B">
            <w:pPr>
              <w:pStyle w:val="TableText"/>
              <w:spacing w:before="120" w:after="40" w:line="233" w:lineRule="auto"/>
              <w:rPr>
                <w:rStyle w:val="Bold"/>
                <w:szCs w:val="20"/>
              </w:rPr>
            </w:pPr>
            <w:r w:rsidRPr="00A030BE">
              <w:rPr>
                <w:rStyle w:val="Bold"/>
                <w:szCs w:val="20"/>
              </w:rPr>
              <w:t>Expenses from transactions</w:t>
            </w:r>
          </w:p>
        </w:tc>
        <w:tc>
          <w:tcPr>
            <w:tcW w:w="258" w:type="pct"/>
            <w:tcBorders>
              <w:top w:val="single" w:sz="4" w:space="0" w:color="auto"/>
            </w:tcBorders>
          </w:tcPr>
          <w:p w14:paraId="463860F3" w14:textId="3FA794F6"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8" w:type="pct"/>
            <w:tcBorders>
              <w:top w:val="single" w:sz="4" w:space="0" w:color="auto"/>
            </w:tcBorders>
          </w:tcPr>
          <w:p w14:paraId="7BEC2935" w14:textId="1B0A83D3"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2DF5DBC7" w14:textId="7D70030D"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4BFD2F25" w14:textId="4D31FBE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4B066DB7" w14:textId="119A12F5"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50ABE610" w14:textId="5ED5F766"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1" w:type="pct"/>
            <w:tcBorders>
              <w:top w:val="single" w:sz="4" w:space="0" w:color="auto"/>
            </w:tcBorders>
          </w:tcPr>
          <w:p w14:paraId="0D95A86B" w14:textId="5180FF50"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1" w:type="pct"/>
            <w:tcBorders>
              <w:top w:val="single" w:sz="4" w:space="0" w:color="auto"/>
            </w:tcBorders>
          </w:tcPr>
          <w:p w14:paraId="416ADA87" w14:textId="5CCF722F"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1" w:type="pct"/>
            <w:tcBorders>
              <w:top w:val="single" w:sz="4" w:space="0" w:color="auto"/>
            </w:tcBorders>
          </w:tcPr>
          <w:p w14:paraId="3B4E35B9" w14:textId="1D5C51E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1" w:type="pct"/>
            <w:tcBorders>
              <w:top w:val="single" w:sz="4" w:space="0" w:color="auto"/>
            </w:tcBorders>
          </w:tcPr>
          <w:p w14:paraId="426FDB64" w14:textId="79BF3381"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303" w:type="pct"/>
            <w:tcBorders>
              <w:top w:val="single" w:sz="4" w:space="0" w:color="auto"/>
            </w:tcBorders>
          </w:tcPr>
          <w:p w14:paraId="5840555B" w14:textId="3727D03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303" w:type="pct"/>
            <w:tcBorders>
              <w:top w:val="single" w:sz="4" w:space="0" w:color="auto"/>
            </w:tcBorders>
          </w:tcPr>
          <w:p w14:paraId="37176F95" w14:textId="0D6C1E5C"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192073B5" w14:textId="07D5685F"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59" w:type="pct"/>
            <w:tcBorders>
              <w:top w:val="single" w:sz="4" w:space="0" w:color="auto"/>
            </w:tcBorders>
          </w:tcPr>
          <w:p w14:paraId="0D03B2A9" w14:textId="2111B9C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5" w:type="pct"/>
            <w:tcBorders>
              <w:top w:val="single" w:sz="4" w:space="0" w:color="auto"/>
            </w:tcBorders>
          </w:tcPr>
          <w:p w14:paraId="61E9B0F2" w14:textId="4011337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c>
          <w:tcPr>
            <w:tcW w:w="283" w:type="pct"/>
            <w:tcBorders>
              <w:top w:val="single" w:sz="4" w:space="0" w:color="auto"/>
            </w:tcBorders>
          </w:tcPr>
          <w:p w14:paraId="5D360C8E" w14:textId="6EF0B8E4"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E1546C">
              <w:rPr>
                <w:sz w:val="18"/>
                <w:szCs w:val="18"/>
              </w:rPr>
              <w:t>N/A</w:t>
            </w:r>
          </w:p>
        </w:tc>
      </w:tr>
      <w:tr w:rsidR="00A030BE" w:rsidRPr="00A030BE" w14:paraId="7B47AF0B"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11053829" w14:textId="77777777" w:rsidR="00735149" w:rsidRPr="00A030BE" w:rsidRDefault="00735149" w:rsidP="009C456B">
            <w:pPr>
              <w:pStyle w:val="TableText"/>
              <w:spacing w:before="40" w:after="40" w:line="233" w:lineRule="auto"/>
              <w:rPr>
                <w:sz w:val="18"/>
                <w:szCs w:val="18"/>
              </w:rPr>
            </w:pPr>
            <w:r w:rsidRPr="00A030BE">
              <w:rPr>
                <w:sz w:val="18"/>
                <w:szCs w:val="18"/>
              </w:rPr>
              <w:t>Employee expenses and Judicial Officer remuneration</w:t>
            </w:r>
          </w:p>
        </w:tc>
        <w:tc>
          <w:tcPr>
            <w:tcW w:w="258" w:type="pct"/>
          </w:tcPr>
          <w:p w14:paraId="1048453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62,564</w:t>
            </w:r>
          </w:p>
        </w:tc>
        <w:tc>
          <w:tcPr>
            <w:tcW w:w="258" w:type="pct"/>
          </w:tcPr>
          <w:p w14:paraId="3F939A3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58,051</w:t>
            </w:r>
          </w:p>
        </w:tc>
        <w:tc>
          <w:tcPr>
            <w:tcW w:w="285" w:type="pct"/>
          </w:tcPr>
          <w:p w14:paraId="1C90A81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60,664</w:t>
            </w:r>
          </w:p>
        </w:tc>
        <w:tc>
          <w:tcPr>
            <w:tcW w:w="285" w:type="pct"/>
          </w:tcPr>
          <w:p w14:paraId="748C7DD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56,049</w:t>
            </w:r>
          </w:p>
        </w:tc>
        <w:tc>
          <w:tcPr>
            <w:tcW w:w="285" w:type="pct"/>
          </w:tcPr>
          <w:p w14:paraId="4CC3E5D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137,271 </w:t>
            </w:r>
          </w:p>
        </w:tc>
        <w:tc>
          <w:tcPr>
            <w:tcW w:w="285" w:type="pct"/>
          </w:tcPr>
          <w:p w14:paraId="1255290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123,102 </w:t>
            </w:r>
          </w:p>
        </w:tc>
        <w:tc>
          <w:tcPr>
            <w:tcW w:w="251" w:type="pct"/>
          </w:tcPr>
          <w:p w14:paraId="4E95A8B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21,044</w:t>
            </w:r>
          </w:p>
        </w:tc>
        <w:tc>
          <w:tcPr>
            <w:tcW w:w="251" w:type="pct"/>
          </w:tcPr>
          <w:p w14:paraId="5E76342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19,010</w:t>
            </w:r>
          </w:p>
        </w:tc>
        <w:tc>
          <w:tcPr>
            <w:tcW w:w="251" w:type="pct"/>
          </w:tcPr>
          <w:p w14:paraId="77BC3E9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13,851 </w:t>
            </w:r>
          </w:p>
        </w:tc>
        <w:tc>
          <w:tcPr>
            <w:tcW w:w="251" w:type="pct"/>
          </w:tcPr>
          <w:p w14:paraId="0BBA396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11,738 </w:t>
            </w:r>
          </w:p>
        </w:tc>
        <w:tc>
          <w:tcPr>
            <w:tcW w:w="303" w:type="pct"/>
          </w:tcPr>
          <w:p w14:paraId="02397C7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50,722 </w:t>
            </w:r>
          </w:p>
        </w:tc>
        <w:tc>
          <w:tcPr>
            <w:tcW w:w="303" w:type="pct"/>
          </w:tcPr>
          <w:p w14:paraId="7267A1D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46,843 </w:t>
            </w:r>
          </w:p>
        </w:tc>
        <w:tc>
          <w:tcPr>
            <w:tcW w:w="285" w:type="pct"/>
          </w:tcPr>
          <w:p w14:paraId="0CB9789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28,498</w:t>
            </w:r>
          </w:p>
        </w:tc>
        <w:tc>
          <w:tcPr>
            <w:tcW w:w="259" w:type="pct"/>
          </w:tcPr>
          <w:p w14:paraId="42536F5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26,920</w:t>
            </w:r>
          </w:p>
        </w:tc>
        <w:tc>
          <w:tcPr>
            <w:tcW w:w="285" w:type="pct"/>
          </w:tcPr>
          <w:p w14:paraId="15E3A24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374,614</w:t>
            </w:r>
          </w:p>
        </w:tc>
        <w:tc>
          <w:tcPr>
            <w:tcW w:w="283" w:type="pct"/>
          </w:tcPr>
          <w:p w14:paraId="58D4EAF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341,714</w:t>
            </w:r>
          </w:p>
        </w:tc>
      </w:tr>
      <w:tr w:rsidR="00A030BE" w:rsidRPr="00A030BE" w14:paraId="243DAB2E"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08132F9C" w14:textId="77777777" w:rsidR="00735149" w:rsidRPr="00A030BE" w:rsidRDefault="00735149" w:rsidP="009C456B">
            <w:pPr>
              <w:pStyle w:val="TableText"/>
              <w:spacing w:before="40" w:after="40" w:line="233" w:lineRule="auto"/>
              <w:rPr>
                <w:sz w:val="18"/>
                <w:szCs w:val="18"/>
              </w:rPr>
            </w:pPr>
            <w:r w:rsidRPr="00A030BE">
              <w:rPr>
                <w:sz w:val="18"/>
                <w:szCs w:val="18"/>
              </w:rPr>
              <w:t>Depreciation and amortisation</w:t>
            </w:r>
          </w:p>
        </w:tc>
        <w:tc>
          <w:tcPr>
            <w:tcW w:w="258" w:type="pct"/>
          </w:tcPr>
          <w:p w14:paraId="63163BD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11,102</w:t>
            </w:r>
          </w:p>
        </w:tc>
        <w:tc>
          <w:tcPr>
            <w:tcW w:w="258" w:type="pct"/>
          </w:tcPr>
          <w:p w14:paraId="67020AC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6,570</w:t>
            </w:r>
          </w:p>
        </w:tc>
        <w:tc>
          <w:tcPr>
            <w:tcW w:w="285" w:type="pct"/>
          </w:tcPr>
          <w:p w14:paraId="5464818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17,428</w:t>
            </w:r>
          </w:p>
        </w:tc>
        <w:tc>
          <w:tcPr>
            <w:tcW w:w="285" w:type="pct"/>
          </w:tcPr>
          <w:p w14:paraId="2ECA274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18,461</w:t>
            </w:r>
          </w:p>
        </w:tc>
        <w:tc>
          <w:tcPr>
            <w:tcW w:w="285" w:type="pct"/>
          </w:tcPr>
          <w:p w14:paraId="1C52C09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26,925 </w:t>
            </w:r>
          </w:p>
        </w:tc>
        <w:tc>
          <w:tcPr>
            <w:tcW w:w="285" w:type="pct"/>
          </w:tcPr>
          <w:p w14:paraId="2DB23D5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22,539 </w:t>
            </w:r>
          </w:p>
        </w:tc>
        <w:tc>
          <w:tcPr>
            <w:tcW w:w="251" w:type="pct"/>
          </w:tcPr>
          <w:p w14:paraId="66BC8C4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2,735</w:t>
            </w:r>
          </w:p>
        </w:tc>
        <w:tc>
          <w:tcPr>
            <w:tcW w:w="251" w:type="pct"/>
          </w:tcPr>
          <w:p w14:paraId="6A5F338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1,811</w:t>
            </w:r>
          </w:p>
        </w:tc>
        <w:tc>
          <w:tcPr>
            <w:tcW w:w="251" w:type="pct"/>
          </w:tcPr>
          <w:p w14:paraId="6148757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109 </w:t>
            </w:r>
          </w:p>
        </w:tc>
        <w:tc>
          <w:tcPr>
            <w:tcW w:w="251" w:type="pct"/>
          </w:tcPr>
          <w:p w14:paraId="33CE611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45 </w:t>
            </w:r>
          </w:p>
        </w:tc>
        <w:tc>
          <w:tcPr>
            <w:tcW w:w="303" w:type="pct"/>
          </w:tcPr>
          <w:p w14:paraId="0F70996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5,663 </w:t>
            </w:r>
          </w:p>
        </w:tc>
        <w:tc>
          <w:tcPr>
            <w:tcW w:w="303" w:type="pct"/>
          </w:tcPr>
          <w:p w14:paraId="6DBA1EF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715 </w:t>
            </w:r>
          </w:p>
        </w:tc>
        <w:tc>
          <w:tcPr>
            <w:tcW w:w="285" w:type="pct"/>
          </w:tcPr>
          <w:p w14:paraId="1843EBE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8,962</w:t>
            </w:r>
          </w:p>
        </w:tc>
        <w:tc>
          <w:tcPr>
            <w:tcW w:w="259" w:type="pct"/>
          </w:tcPr>
          <w:p w14:paraId="00BE2A6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11,968</w:t>
            </w:r>
          </w:p>
        </w:tc>
        <w:tc>
          <w:tcPr>
            <w:tcW w:w="285" w:type="pct"/>
          </w:tcPr>
          <w:p w14:paraId="1A6C91D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72,923</w:t>
            </w:r>
          </w:p>
        </w:tc>
        <w:tc>
          <w:tcPr>
            <w:tcW w:w="283" w:type="pct"/>
          </w:tcPr>
          <w:p w14:paraId="5223032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62,109</w:t>
            </w:r>
          </w:p>
        </w:tc>
      </w:tr>
      <w:tr w:rsidR="00A030BE" w:rsidRPr="00A030BE" w14:paraId="1201A46F"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6CDCCCFD" w14:textId="77777777" w:rsidR="00735149" w:rsidRPr="00A030BE" w:rsidRDefault="00735149" w:rsidP="009C456B">
            <w:pPr>
              <w:pStyle w:val="TableText"/>
              <w:spacing w:before="40" w:after="40" w:line="233" w:lineRule="auto"/>
              <w:rPr>
                <w:sz w:val="18"/>
                <w:szCs w:val="18"/>
              </w:rPr>
            </w:pPr>
            <w:r w:rsidRPr="00A030BE">
              <w:rPr>
                <w:sz w:val="18"/>
                <w:szCs w:val="18"/>
              </w:rPr>
              <w:t>Interest expense</w:t>
            </w:r>
          </w:p>
        </w:tc>
        <w:tc>
          <w:tcPr>
            <w:tcW w:w="258" w:type="pct"/>
          </w:tcPr>
          <w:p w14:paraId="6DB0F87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130</w:t>
            </w:r>
          </w:p>
        </w:tc>
        <w:tc>
          <w:tcPr>
            <w:tcW w:w="258" w:type="pct"/>
          </w:tcPr>
          <w:p w14:paraId="39392FD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61</w:t>
            </w:r>
          </w:p>
        </w:tc>
        <w:tc>
          <w:tcPr>
            <w:tcW w:w="285" w:type="pct"/>
          </w:tcPr>
          <w:p w14:paraId="61EC5A7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3,608</w:t>
            </w:r>
          </w:p>
        </w:tc>
        <w:tc>
          <w:tcPr>
            <w:tcW w:w="285" w:type="pct"/>
          </w:tcPr>
          <w:p w14:paraId="4358470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4,832</w:t>
            </w:r>
          </w:p>
        </w:tc>
        <w:tc>
          <w:tcPr>
            <w:tcW w:w="285" w:type="pct"/>
          </w:tcPr>
          <w:p w14:paraId="2CA9945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808 </w:t>
            </w:r>
          </w:p>
        </w:tc>
        <w:tc>
          <w:tcPr>
            <w:tcW w:w="285" w:type="pct"/>
          </w:tcPr>
          <w:p w14:paraId="00AB807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117 </w:t>
            </w:r>
          </w:p>
        </w:tc>
        <w:tc>
          <w:tcPr>
            <w:tcW w:w="251" w:type="pct"/>
          </w:tcPr>
          <w:p w14:paraId="142EB3D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38</w:t>
            </w:r>
          </w:p>
        </w:tc>
        <w:tc>
          <w:tcPr>
            <w:tcW w:w="251" w:type="pct"/>
          </w:tcPr>
          <w:p w14:paraId="5EB62DF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w:t>
            </w:r>
          </w:p>
        </w:tc>
        <w:tc>
          <w:tcPr>
            <w:tcW w:w="251" w:type="pct"/>
          </w:tcPr>
          <w:p w14:paraId="0E0F89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6 </w:t>
            </w:r>
          </w:p>
        </w:tc>
        <w:tc>
          <w:tcPr>
            <w:tcW w:w="251" w:type="pct"/>
          </w:tcPr>
          <w:p w14:paraId="0511082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 </w:t>
            </w:r>
          </w:p>
        </w:tc>
        <w:tc>
          <w:tcPr>
            <w:tcW w:w="303" w:type="pct"/>
          </w:tcPr>
          <w:p w14:paraId="7972D14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192 </w:t>
            </w:r>
          </w:p>
        </w:tc>
        <w:tc>
          <w:tcPr>
            <w:tcW w:w="303" w:type="pct"/>
          </w:tcPr>
          <w:p w14:paraId="44D470F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40 </w:t>
            </w:r>
          </w:p>
        </w:tc>
        <w:tc>
          <w:tcPr>
            <w:tcW w:w="285" w:type="pct"/>
          </w:tcPr>
          <w:p w14:paraId="24FE35C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26</w:t>
            </w:r>
          </w:p>
        </w:tc>
        <w:tc>
          <w:tcPr>
            <w:tcW w:w="259" w:type="pct"/>
          </w:tcPr>
          <w:p w14:paraId="4761034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(88)</w:t>
            </w:r>
          </w:p>
        </w:tc>
        <w:tc>
          <w:tcPr>
            <w:tcW w:w="285" w:type="pct"/>
          </w:tcPr>
          <w:p w14:paraId="6FC7B6A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4,807</w:t>
            </w:r>
          </w:p>
        </w:tc>
        <w:tc>
          <w:tcPr>
            <w:tcW w:w="283" w:type="pct"/>
          </w:tcPr>
          <w:p w14:paraId="5BB6E1C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4,983</w:t>
            </w:r>
          </w:p>
        </w:tc>
      </w:tr>
      <w:tr w:rsidR="00A030BE" w:rsidRPr="00A030BE" w14:paraId="3669664A"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640DEED1" w14:textId="77777777" w:rsidR="00735149" w:rsidRPr="00A030BE" w:rsidRDefault="00735149" w:rsidP="009C456B">
            <w:pPr>
              <w:pStyle w:val="TableText"/>
              <w:spacing w:before="40" w:after="40" w:line="233" w:lineRule="auto"/>
              <w:rPr>
                <w:sz w:val="18"/>
                <w:szCs w:val="18"/>
              </w:rPr>
            </w:pPr>
            <w:r w:rsidRPr="00A030BE">
              <w:rPr>
                <w:sz w:val="18"/>
                <w:szCs w:val="18"/>
              </w:rPr>
              <w:t>Grants and other transfers</w:t>
            </w:r>
          </w:p>
        </w:tc>
        <w:tc>
          <w:tcPr>
            <w:tcW w:w="258" w:type="pct"/>
          </w:tcPr>
          <w:p w14:paraId="058FC67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350</w:t>
            </w:r>
          </w:p>
        </w:tc>
        <w:tc>
          <w:tcPr>
            <w:tcW w:w="258" w:type="pct"/>
          </w:tcPr>
          <w:p w14:paraId="77BE2E8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350</w:t>
            </w:r>
          </w:p>
        </w:tc>
        <w:tc>
          <w:tcPr>
            <w:tcW w:w="285" w:type="pct"/>
          </w:tcPr>
          <w:p w14:paraId="560AF23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142</w:t>
            </w:r>
          </w:p>
        </w:tc>
        <w:tc>
          <w:tcPr>
            <w:tcW w:w="285" w:type="pct"/>
          </w:tcPr>
          <w:p w14:paraId="7CFA07D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w:t>
            </w:r>
          </w:p>
        </w:tc>
        <w:tc>
          <w:tcPr>
            <w:tcW w:w="285" w:type="pct"/>
          </w:tcPr>
          <w:p w14:paraId="1F0C566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5,576 </w:t>
            </w:r>
          </w:p>
        </w:tc>
        <w:tc>
          <w:tcPr>
            <w:tcW w:w="285" w:type="pct"/>
          </w:tcPr>
          <w:p w14:paraId="375B21A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5,368 </w:t>
            </w:r>
          </w:p>
        </w:tc>
        <w:tc>
          <w:tcPr>
            <w:tcW w:w="251" w:type="pct"/>
          </w:tcPr>
          <w:p w14:paraId="76D295F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268</w:t>
            </w:r>
          </w:p>
        </w:tc>
        <w:tc>
          <w:tcPr>
            <w:tcW w:w="251" w:type="pct"/>
          </w:tcPr>
          <w:p w14:paraId="07CF9CF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316</w:t>
            </w:r>
          </w:p>
        </w:tc>
        <w:tc>
          <w:tcPr>
            <w:tcW w:w="251" w:type="pct"/>
          </w:tcPr>
          <w:p w14:paraId="42C4813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Pr>
          <w:p w14:paraId="079E3FF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303" w:type="pct"/>
          </w:tcPr>
          <w:p w14:paraId="5D090C3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303" w:type="pct"/>
          </w:tcPr>
          <w:p w14:paraId="3F27B01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85" w:type="pct"/>
          </w:tcPr>
          <w:p w14:paraId="709B4F1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8,772</w:t>
            </w:r>
          </w:p>
        </w:tc>
        <w:tc>
          <w:tcPr>
            <w:tcW w:w="259" w:type="pct"/>
          </w:tcPr>
          <w:p w14:paraId="11357B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7,933</w:t>
            </w:r>
          </w:p>
        </w:tc>
        <w:tc>
          <w:tcPr>
            <w:tcW w:w="285" w:type="pct"/>
          </w:tcPr>
          <w:p w14:paraId="4BC5F6B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15,108</w:t>
            </w:r>
          </w:p>
        </w:tc>
        <w:tc>
          <w:tcPr>
            <w:tcW w:w="283" w:type="pct"/>
          </w:tcPr>
          <w:p w14:paraId="04972B6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13,968</w:t>
            </w:r>
          </w:p>
        </w:tc>
      </w:tr>
      <w:tr w:rsidR="00A030BE" w:rsidRPr="00A030BE" w14:paraId="78AB195B"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0485E420" w14:textId="4727553C" w:rsidR="00735149" w:rsidRPr="00A030BE" w:rsidRDefault="00735149" w:rsidP="009C456B">
            <w:pPr>
              <w:pStyle w:val="TableText"/>
              <w:spacing w:before="40" w:after="40" w:line="233" w:lineRule="auto"/>
              <w:rPr>
                <w:sz w:val="18"/>
                <w:szCs w:val="18"/>
              </w:rPr>
            </w:pPr>
            <w:r w:rsidRPr="00A030BE">
              <w:rPr>
                <w:sz w:val="18"/>
                <w:szCs w:val="18"/>
              </w:rPr>
              <w:t>Capital asset charge</w:t>
            </w:r>
            <w:hyperlink w:anchor="Note42note2" w:history="1">
              <w:r w:rsidR="000D2542" w:rsidRPr="000D2542">
                <w:rPr>
                  <w:sz w:val="18"/>
                  <w:szCs w:val="18"/>
                  <w:vertAlign w:val="superscript"/>
                </w:rPr>
                <w:t>(1)</w:t>
              </w:r>
            </w:hyperlink>
          </w:p>
        </w:tc>
        <w:tc>
          <w:tcPr>
            <w:tcW w:w="258" w:type="pct"/>
          </w:tcPr>
          <w:p w14:paraId="1F8D5EC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10,291</w:t>
            </w:r>
          </w:p>
        </w:tc>
        <w:tc>
          <w:tcPr>
            <w:tcW w:w="258" w:type="pct"/>
          </w:tcPr>
          <w:p w14:paraId="0D7A49F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10,789</w:t>
            </w:r>
          </w:p>
        </w:tc>
        <w:tc>
          <w:tcPr>
            <w:tcW w:w="285" w:type="pct"/>
          </w:tcPr>
          <w:p w14:paraId="2773853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6,895</w:t>
            </w:r>
          </w:p>
        </w:tc>
        <w:tc>
          <w:tcPr>
            <w:tcW w:w="285" w:type="pct"/>
          </w:tcPr>
          <w:p w14:paraId="15CB0AB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7,849</w:t>
            </w:r>
          </w:p>
        </w:tc>
        <w:tc>
          <w:tcPr>
            <w:tcW w:w="285" w:type="pct"/>
          </w:tcPr>
          <w:p w14:paraId="2967DA7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15,808 </w:t>
            </w:r>
          </w:p>
        </w:tc>
        <w:tc>
          <w:tcPr>
            <w:tcW w:w="285" w:type="pct"/>
          </w:tcPr>
          <w:p w14:paraId="1035C17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14,353 </w:t>
            </w:r>
          </w:p>
        </w:tc>
        <w:tc>
          <w:tcPr>
            <w:tcW w:w="251" w:type="pct"/>
          </w:tcPr>
          <w:p w14:paraId="01BA648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2,334</w:t>
            </w:r>
          </w:p>
        </w:tc>
        <w:tc>
          <w:tcPr>
            <w:tcW w:w="251" w:type="pct"/>
          </w:tcPr>
          <w:p w14:paraId="66B0003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2,340</w:t>
            </w:r>
          </w:p>
        </w:tc>
        <w:tc>
          <w:tcPr>
            <w:tcW w:w="251" w:type="pct"/>
          </w:tcPr>
          <w:p w14:paraId="0905F28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143 </w:t>
            </w:r>
          </w:p>
        </w:tc>
        <w:tc>
          <w:tcPr>
            <w:tcW w:w="251" w:type="pct"/>
          </w:tcPr>
          <w:p w14:paraId="4436627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79 </w:t>
            </w:r>
          </w:p>
        </w:tc>
        <w:tc>
          <w:tcPr>
            <w:tcW w:w="303" w:type="pct"/>
          </w:tcPr>
          <w:p w14:paraId="756C29E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1,210 </w:t>
            </w:r>
          </w:p>
        </w:tc>
        <w:tc>
          <w:tcPr>
            <w:tcW w:w="303" w:type="pct"/>
          </w:tcPr>
          <w:p w14:paraId="51903F0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450 </w:t>
            </w:r>
          </w:p>
        </w:tc>
        <w:tc>
          <w:tcPr>
            <w:tcW w:w="285" w:type="pct"/>
          </w:tcPr>
          <w:p w14:paraId="25CE23A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9,681</w:t>
            </w:r>
          </w:p>
        </w:tc>
        <w:tc>
          <w:tcPr>
            <w:tcW w:w="259" w:type="pct"/>
          </w:tcPr>
          <w:p w14:paraId="703A245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9,639</w:t>
            </w:r>
          </w:p>
        </w:tc>
        <w:tc>
          <w:tcPr>
            <w:tcW w:w="285" w:type="pct"/>
          </w:tcPr>
          <w:p w14:paraId="01910EA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46,362</w:t>
            </w:r>
          </w:p>
        </w:tc>
        <w:tc>
          <w:tcPr>
            <w:tcW w:w="283" w:type="pct"/>
          </w:tcPr>
          <w:p w14:paraId="34ECBA1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45,499</w:t>
            </w:r>
          </w:p>
        </w:tc>
      </w:tr>
      <w:tr w:rsidR="00A030BE" w:rsidRPr="00A030BE" w14:paraId="0EC9FE4E"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56F8B513" w14:textId="77777777" w:rsidR="00735149" w:rsidRPr="00A030BE" w:rsidRDefault="00735149" w:rsidP="009C456B">
            <w:pPr>
              <w:pStyle w:val="TableText"/>
              <w:spacing w:before="40" w:after="40" w:line="233" w:lineRule="auto"/>
              <w:rPr>
                <w:sz w:val="18"/>
                <w:szCs w:val="18"/>
              </w:rPr>
            </w:pPr>
            <w:r w:rsidRPr="00A030BE">
              <w:rPr>
                <w:sz w:val="18"/>
                <w:szCs w:val="18"/>
              </w:rPr>
              <w:t>Supplies and services</w:t>
            </w:r>
          </w:p>
        </w:tc>
        <w:tc>
          <w:tcPr>
            <w:tcW w:w="258" w:type="pct"/>
            <w:tcBorders>
              <w:bottom w:val="single" w:sz="4" w:space="0" w:color="auto"/>
            </w:tcBorders>
          </w:tcPr>
          <w:p w14:paraId="1E47899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14,315</w:t>
            </w:r>
          </w:p>
        </w:tc>
        <w:tc>
          <w:tcPr>
            <w:tcW w:w="258" w:type="pct"/>
            <w:tcBorders>
              <w:bottom w:val="single" w:sz="4" w:space="0" w:color="auto"/>
            </w:tcBorders>
          </w:tcPr>
          <w:p w14:paraId="39776BE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16,576</w:t>
            </w:r>
          </w:p>
        </w:tc>
        <w:tc>
          <w:tcPr>
            <w:tcW w:w="285" w:type="pct"/>
            <w:tcBorders>
              <w:bottom w:val="single" w:sz="4" w:space="0" w:color="auto"/>
            </w:tcBorders>
          </w:tcPr>
          <w:p w14:paraId="35747B2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25,843</w:t>
            </w:r>
          </w:p>
        </w:tc>
        <w:tc>
          <w:tcPr>
            <w:tcW w:w="285" w:type="pct"/>
            <w:tcBorders>
              <w:bottom w:val="single" w:sz="4" w:space="0" w:color="auto"/>
            </w:tcBorders>
          </w:tcPr>
          <w:p w14:paraId="50A4698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25,773</w:t>
            </w:r>
          </w:p>
        </w:tc>
        <w:tc>
          <w:tcPr>
            <w:tcW w:w="285" w:type="pct"/>
            <w:tcBorders>
              <w:bottom w:val="single" w:sz="4" w:space="0" w:color="auto"/>
            </w:tcBorders>
          </w:tcPr>
          <w:p w14:paraId="4E70E69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49,938 </w:t>
            </w:r>
          </w:p>
        </w:tc>
        <w:tc>
          <w:tcPr>
            <w:tcW w:w="285" w:type="pct"/>
            <w:tcBorders>
              <w:bottom w:val="single" w:sz="4" w:space="0" w:color="auto"/>
            </w:tcBorders>
          </w:tcPr>
          <w:p w14:paraId="5C49F49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41,240 </w:t>
            </w:r>
          </w:p>
        </w:tc>
        <w:tc>
          <w:tcPr>
            <w:tcW w:w="251" w:type="pct"/>
            <w:tcBorders>
              <w:bottom w:val="single" w:sz="4" w:space="0" w:color="auto"/>
            </w:tcBorders>
          </w:tcPr>
          <w:p w14:paraId="4D658B8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6,812</w:t>
            </w:r>
          </w:p>
        </w:tc>
        <w:tc>
          <w:tcPr>
            <w:tcW w:w="251" w:type="pct"/>
            <w:tcBorders>
              <w:bottom w:val="single" w:sz="4" w:space="0" w:color="auto"/>
            </w:tcBorders>
          </w:tcPr>
          <w:p w14:paraId="4BA6FBE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6,574</w:t>
            </w:r>
          </w:p>
        </w:tc>
        <w:tc>
          <w:tcPr>
            <w:tcW w:w="251" w:type="pct"/>
            <w:tcBorders>
              <w:bottom w:val="single" w:sz="4" w:space="0" w:color="auto"/>
            </w:tcBorders>
          </w:tcPr>
          <w:p w14:paraId="6019E34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9,358 </w:t>
            </w:r>
          </w:p>
        </w:tc>
        <w:tc>
          <w:tcPr>
            <w:tcW w:w="251" w:type="pct"/>
            <w:tcBorders>
              <w:bottom w:val="single" w:sz="4" w:space="0" w:color="auto"/>
            </w:tcBorders>
          </w:tcPr>
          <w:p w14:paraId="5C30A38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8,585 </w:t>
            </w:r>
          </w:p>
        </w:tc>
        <w:tc>
          <w:tcPr>
            <w:tcW w:w="303" w:type="pct"/>
            <w:tcBorders>
              <w:bottom w:val="single" w:sz="4" w:space="0" w:color="auto"/>
            </w:tcBorders>
          </w:tcPr>
          <w:p w14:paraId="50FF887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7,830 </w:t>
            </w:r>
          </w:p>
        </w:tc>
        <w:tc>
          <w:tcPr>
            <w:tcW w:w="303" w:type="pct"/>
            <w:tcBorders>
              <w:bottom w:val="single" w:sz="4" w:space="0" w:color="auto"/>
            </w:tcBorders>
          </w:tcPr>
          <w:p w14:paraId="7622AC5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8,393 </w:t>
            </w:r>
          </w:p>
        </w:tc>
        <w:tc>
          <w:tcPr>
            <w:tcW w:w="285" w:type="pct"/>
            <w:tcBorders>
              <w:bottom w:val="single" w:sz="4" w:space="0" w:color="auto"/>
            </w:tcBorders>
          </w:tcPr>
          <w:p w14:paraId="2B3B975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41,094</w:t>
            </w:r>
          </w:p>
        </w:tc>
        <w:tc>
          <w:tcPr>
            <w:tcW w:w="259" w:type="pct"/>
            <w:tcBorders>
              <w:bottom w:val="single" w:sz="4" w:space="0" w:color="auto"/>
            </w:tcBorders>
          </w:tcPr>
          <w:p w14:paraId="282AEFD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36,947</w:t>
            </w:r>
          </w:p>
        </w:tc>
        <w:tc>
          <w:tcPr>
            <w:tcW w:w="285" w:type="pct"/>
            <w:tcBorders>
              <w:bottom w:val="single" w:sz="4" w:space="0" w:color="auto"/>
            </w:tcBorders>
          </w:tcPr>
          <w:p w14:paraId="12405DF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155,189</w:t>
            </w:r>
          </w:p>
        </w:tc>
        <w:tc>
          <w:tcPr>
            <w:tcW w:w="283" w:type="pct"/>
            <w:tcBorders>
              <w:bottom w:val="single" w:sz="4" w:space="0" w:color="auto"/>
            </w:tcBorders>
          </w:tcPr>
          <w:p w14:paraId="4A6138B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144,086</w:t>
            </w:r>
          </w:p>
        </w:tc>
      </w:tr>
      <w:tr w:rsidR="00A030BE" w:rsidRPr="00A030BE" w14:paraId="6131BBF2"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762DBBCB" w14:textId="77777777" w:rsidR="00735149" w:rsidRPr="00A030BE" w:rsidRDefault="00735149" w:rsidP="009C456B">
            <w:pPr>
              <w:pStyle w:val="TableText"/>
              <w:spacing w:before="40" w:after="40" w:line="233" w:lineRule="auto"/>
              <w:rPr>
                <w:rStyle w:val="Bold"/>
                <w:sz w:val="18"/>
                <w:szCs w:val="18"/>
              </w:rPr>
            </w:pPr>
            <w:r w:rsidRPr="00A030BE">
              <w:rPr>
                <w:rStyle w:val="Bold"/>
                <w:sz w:val="18"/>
                <w:szCs w:val="18"/>
              </w:rPr>
              <w:t>Total expenses from transactions</w:t>
            </w:r>
          </w:p>
        </w:tc>
        <w:tc>
          <w:tcPr>
            <w:tcW w:w="258" w:type="pct"/>
            <w:tcBorders>
              <w:top w:val="single" w:sz="4" w:space="0" w:color="auto"/>
              <w:bottom w:val="single" w:sz="4" w:space="0" w:color="auto"/>
            </w:tcBorders>
          </w:tcPr>
          <w:p w14:paraId="538A433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98,751</w:t>
            </w:r>
          </w:p>
        </w:tc>
        <w:tc>
          <w:tcPr>
            <w:tcW w:w="258" w:type="pct"/>
            <w:tcBorders>
              <w:top w:val="single" w:sz="4" w:space="0" w:color="auto"/>
              <w:bottom w:val="single" w:sz="4" w:space="0" w:color="auto"/>
            </w:tcBorders>
          </w:tcPr>
          <w:p w14:paraId="7A40B71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92,397</w:t>
            </w:r>
          </w:p>
        </w:tc>
        <w:tc>
          <w:tcPr>
            <w:tcW w:w="285" w:type="pct"/>
            <w:tcBorders>
              <w:top w:val="single" w:sz="4" w:space="0" w:color="auto"/>
              <w:bottom w:val="single" w:sz="4" w:space="0" w:color="auto"/>
            </w:tcBorders>
          </w:tcPr>
          <w:p w14:paraId="1FBCFD1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114,579</w:t>
            </w:r>
          </w:p>
        </w:tc>
        <w:tc>
          <w:tcPr>
            <w:tcW w:w="285" w:type="pct"/>
            <w:tcBorders>
              <w:top w:val="single" w:sz="4" w:space="0" w:color="auto"/>
              <w:bottom w:val="single" w:sz="4" w:space="0" w:color="auto"/>
            </w:tcBorders>
          </w:tcPr>
          <w:p w14:paraId="30455E0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112,965</w:t>
            </w:r>
          </w:p>
        </w:tc>
        <w:tc>
          <w:tcPr>
            <w:tcW w:w="285" w:type="pct"/>
            <w:tcBorders>
              <w:top w:val="single" w:sz="4" w:space="0" w:color="auto"/>
              <w:bottom w:val="single" w:sz="4" w:space="0" w:color="auto"/>
            </w:tcBorders>
          </w:tcPr>
          <w:p w14:paraId="7034044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236,325 </w:t>
            </w:r>
          </w:p>
        </w:tc>
        <w:tc>
          <w:tcPr>
            <w:tcW w:w="285" w:type="pct"/>
            <w:tcBorders>
              <w:top w:val="single" w:sz="4" w:space="0" w:color="auto"/>
              <w:bottom w:val="single" w:sz="4" w:space="0" w:color="auto"/>
            </w:tcBorders>
          </w:tcPr>
          <w:p w14:paraId="1694452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206,718 </w:t>
            </w:r>
          </w:p>
        </w:tc>
        <w:tc>
          <w:tcPr>
            <w:tcW w:w="251" w:type="pct"/>
            <w:tcBorders>
              <w:top w:val="single" w:sz="4" w:space="0" w:color="auto"/>
              <w:bottom w:val="single" w:sz="4" w:space="0" w:color="auto"/>
            </w:tcBorders>
          </w:tcPr>
          <w:p w14:paraId="5BDF8EA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33,230</w:t>
            </w:r>
          </w:p>
        </w:tc>
        <w:tc>
          <w:tcPr>
            <w:tcW w:w="251" w:type="pct"/>
            <w:tcBorders>
              <w:top w:val="single" w:sz="4" w:space="0" w:color="auto"/>
              <w:bottom w:val="single" w:sz="4" w:space="0" w:color="auto"/>
            </w:tcBorders>
          </w:tcPr>
          <w:p w14:paraId="2A6FBAE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30,066</w:t>
            </w:r>
          </w:p>
        </w:tc>
        <w:tc>
          <w:tcPr>
            <w:tcW w:w="251" w:type="pct"/>
            <w:tcBorders>
              <w:top w:val="single" w:sz="4" w:space="0" w:color="auto"/>
              <w:bottom w:val="single" w:sz="4" w:space="0" w:color="auto"/>
            </w:tcBorders>
          </w:tcPr>
          <w:p w14:paraId="1B616EB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23,468 </w:t>
            </w:r>
          </w:p>
        </w:tc>
        <w:tc>
          <w:tcPr>
            <w:tcW w:w="251" w:type="pct"/>
            <w:tcBorders>
              <w:top w:val="single" w:sz="4" w:space="0" w:color="auto"/>
              <w:bottom w:val="single" w:sz="4" w:space="0" w:color="auto"/>
            </w:tcBorders>
          </w:tcPr>
          <w:p w14:paraId="03E1D4B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20,453 </w:t>
            </w:r>
          </w:p>
        </w:tc>
        <w:tc>
          <w:tcPr>
            <w:tcW w:w="303" w:type="pct"/>
            <w:tcBorders>
              <w:top w:val="single" w:sz="4" w:space="0" w:color="auto"/>
              <w:bottom w:val="single" w:sz="4" w:space="0" w:color="auto"/>
            </w:tcBorders>
          </w:tcPr>
          <w:p w14:paraId="09AAA06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65,617 </w:t>
            </w:r>
          </w:p>
        </w:tc>
        <w:tc>
          <w:tcPr>
            <w:tcW w:w="303" w:type="pct"/>
            <w:tcBorders>
              <w:top w:val="single" w:sz="4" w:space="0" w:color="auto"/>
              <w:bottom w:val="single" w:sz="4" w:space="0" w:color="auto"/>
            </w:tcBorders>
          </w:tcPr>
          <w:p w14:paraId="71D8C8D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56,441 </w:t>
            </w:r>
          </w:p>
        </w:tc>
        <w:tc>
          <w:tcPr>
            <w:tcW w:w="285" w:type="pct"/>
            <w:tcBorders>
              <w:top w:val="single" w:sz="4" w:space="0" w:color="auto"/>
              <w:bottom w:val="single" w:sz="4" w:space="0" w:color="auto"/>
            </w:tcBorders>
          </w:tcPr>
          <w:p w14:paraId="249EB5A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97,033</w:t>
            </w:r>
          </w:p>
        </w:tc>
        <w:tc>
          <w:tcPr>
            <w:tcW w:w="259" w:type="pct"/>
            <w:tcBorders>
              <w:top w:val="single" w:sz="4" w:space="0" w:color="auto"/>
              <w:bottom w:val="single" w:sz="4" w:space="0" w:color="auto"/>
            </w:tcBorders>
          </w:tcPr>
          <w:p w14:paraId="77AAB85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93,320</w:t>
            </w:r>
          </w:p>
        </w:tc>
        <w:tc>
          <w:tcPr>
            <w:tcW w:w="285" w:type="pct"/>
            <w:tcBorders>
              <w:top w:val="single" w:sz="4" w:space="0" w:color="auto"/>
              <w:bottom w:val="single" w:sz="4" w:space="0" w:color="auto"/>
            </w:tcBorders>
          </w:tcPr>
          <w:p w14:paraId="6B6E5C5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669,003</w:t>
            </w:r>
          </w:p>
        </w:tc>
        <w:tc>
          <w:tcPr>
            <w:tcW w:w="283" w:type="pct"/>
            <w:tcBorders>
              <w:top w:val="single" w:sz="4" w:space="0" w:color="auto"/>
              <w:bottom w:val="single" w:sz="4" w:space="0" w:color="auto"/>
            </w:tcBorders>
          </w:tcPr>
          <w:p w14:paraId="03DA1A5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612,360</w:t>
            </w:r>
          </w:p>
        </w:tc>
      </w:tr>
      <w:tr w:rsidR="00A030BE" w:rsidRPr="00A030BE" w14:paraId="3E859A7D"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4C04172B" w14:textId="77777777" w:rsidR="00735149" w:rsidRPr="00A030BE" w:rsidRDefault="00735149" w:rsidP="009C456B">
            <w:pPr>
              <w:pStyle w:val="TableText"/>
              <w:spacing w:before="40" w:after="40" w:line="233" w:lineRule="auto"/>
              <w:rPr>
                <w:rStyle w:val="Bold"/>
                <w:sz w:val="18"/>
                <w:szCs w:val="18"/>
              </w:rPr>
            </w:pPr>
            <w:r w:rsidRPr="00A030BE">
              <w:rPr>
                <w:rStyle w:val="Bold"/>
                <w:sz w:val="18"/>
                <w:szCs w:val="18"/>
              </w:rPr>
              <w:t>Net result from transactions (net operating balance)</w:t>
            </w:r>
          </w:p>
        </w:tc>
        <w:tc>
          <w:tcPr>
            <w:tcW w:w="258" w:type="pct"/>
            <w:tcBorders>
              <w:top w:val="single" w:sz="4" w:space="0" w:color="auto"/>
              <w:bottom w:val="single" w:sz="4" w:space="0" w:color="auto"/>
            </w:tcBorders>
          </w:tcPr>
          <w:p w14:paraId="53F9A7C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(2,476)</w:t>
            </w:r>
          </w:p>
        </w:tc>
        <w:tc>
          <w:tcPr>
            <w:tcW w:w="258" w:type="pct"/>
            <w:tcBorders>
              <w:top w:val="single" w:sz="4" w:space="0" w:color="auto"/>
              <w:bottom w:val="single" w:sz="4" w:space="0" w:color="auto"/>
            </w:tcBorders>
          </w:tcPr>
          <w:p w14:paraId="2BA78C3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818 </w:t>
            </w:r>
          </w:p>
        </w:tc>
        <w:tc>
          <w:tcPr>
            <w:tcW w:w="285" w:type="pct"/>
            <w:tcBorders>
              <w:top w:val="single" w:sz="4" w:space="0" w:color="auto"/>
              <w:bottom w:val="single" w:sz="4" w:space="0" w:color="auto"/>
            </w:tcBorders>
          </w:tcPr>
          <w:p w14:paraId="55BACF8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(566)</w:t>
            </w:r>
          </w:p>
        </w:tc>
        <w:tc>
          <w:tcPr>
            <w:tcW w:w="285" w:type="pct"/>
            <w:tcBorders>
              <w:top w:val="single" w:sz="4" w:space="0" w:color="auto"/>
              <w:bottom w:val="single" w:sz="4" w:space="0" w:color="auto"/>
            </w:tcBorders>
          </w:tcPr>
          <w:p w14:paraId="7AB94F8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(7,440)</w:t>
            </w:r>
          </w:p>
        </w:tc>
        <w:tc>
          <w:tcPr>
            <w:tcW w:w="285" w:type="pct"/>
            <w:tcBorders>
              <w:top w:val="single" w:sz="4" w:space="0" w:color="auto"/>
              <w:bottom w:val="single" w:sz="4" w:space="0" w:color="auto"/>
            </w:tcBorders>
          </w:tcPr>
          <w:p w14:paraId="322DD3A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5,239 </w:t>
            </w:r>
          </w:p>
        </w:tc>
        <w:tc>
          <w:tcPr>
            <w:tcW w:w="285" w:type="pct"/>
            <w:tcBorders>
              <w:top w:val="single" w:sz="4" w:space="0" w:color="auto"/>
              <w:bottom w:val="single" w:sz="4" w:space="0" w:color="auto"/>
            </w:tcBorders>
          </w:tcPr>
          <w:p w14:paraId="231E6CA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11,076 </w:t>
            </w:r>
          </w:p>
        </w:tc>
        <w:tc>
          <w:tcPr>
            <w:tcW w:w="251" w:type="pct"/>
            <w:tcBorders>
              <w:top w:val="single" w:sz="4" w:space="0" w:color="auto"/>
              <w:bottom w:val="single" w:sz="4" w:space="0" w:color="auto"/>
            </w:tcBorders>
          </w:tcPr>
          <w:p w14:paraId="1E29D19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(307)</w:t>
            </w:r>
          </w:p>
        </w:tc>
        <w:tc>
          <w:tcPr>
            <w:tcW w:w="251" w:type="pct"/>
            <w:tcBorders>
              <w:top w:val="single" w:sz="4" w:space="0" w:color="auto"/>
              <w:bottom w:val="single" w:sz="4" w:space="0" w:color="auto"/>
            </w:tcBorders>
          </w:tcPr>
          <w:p w14:paraId="455A7D3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914 </w:t>
            </w:r>
          </w:p>
        </w:tc>
        <w:tc>
          <w:tcPr>
            <w:tcW w:w="251" w:type="pct"/>
            <w:tcBorders>
              <w:top w:val="single" w:sz="4" w:space="0" w:color="auto"/>
              <w:bottom w:val="single" w:sz="4" w:space="0" w:color="auto"/>
            </w:tcBorders>
          </w:tcPr>
          <w:p w14:paraId="3B81E43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229 </w:t>
            </w:r>
          </w:p>
        </w:tc>
        <w:tc>
          <w:tcPr>
            <w:tcW w:w="251" w:type="pct"/>
            <w:tcBorders>
              <w:top w:val="single" w:sz="4" w:space="0" w:color="auto"/>
              <w:bottom w:val="single" w:sz="4" w:space="0" w:color="auto"/>
            </w:tcBorders>
          </w:tcPr>
          <w:p w14:paraId="011D184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74 </w:t>
            </w:r>
          </w:p>
        </w:tc>
        <w:tc>
          <w:tcPr>
            <w:tcW w:w="303" w:type="pct"/>
            <w:tcBorders>
              <w:top w:val="single" w:sz="4" w:space="0" w:color="auto"/>
              <w:bottom w:val="single" w:sz="4" w:space="0" w:color="auto"/>
            </w:tcBorders>
          </w:tcPr>
          <w:p w14:paraId="54383C4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(1,924)</w:t>
            </w:r>
          </w:p>
        </w:tc>
        <w:tc>
          <w:tcPr>
            <w:tcW w:w="303" w:type="pct"/>
            <w:tcBorders>
              <w:top w:val="single" w:sz="4" w:space="0" w:color="auto"/>
              <w:bottom w:val="single" w:sz="4" w:space="0" w:color="auto"/>
            </w:tcBorders>
          </w:tcPr>
          <w:p w14:paraId="0C6D07E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708 </w:t>
            </w:r>
          </w:p>
        </w:tc>
        <w:tc>
          <w:tcPr>
            <w:tcW w:w="285" w:type="pct"/>
            <w:tcBorders>
              <w:top w:val="single" w:sz="4" w:space="0" w:color="auto"/>
              <w:bottom w:val="single" w:sz="4" w:space="0" w:color="auto"/>
            </w:tcBorders>
          </w:tcPr>
          <w:p w14:paraId="4DD5BA6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4,322 </w:t>
            </w:r>
          </w:p>
        </w:tc>
        <w:tc>
          <w:tcPr>
            <w:tcW w:w="259" w:type="pct"/>
            <w:tcBorders>
              <w:top w:val="single" w:sz="4" w:space="0" w:color="auto"/>
              <w:bottom w:val="single" w:sz="4" w:space="0" w:color="auto"/>
            </w:tcBorders>
          </w:tcPr>
          <w:p w14:paraId="1B5D012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(3,923)</w:t>
            </w:r>
          </w:p>
        </w:tc>
        <w:tc>
          <w:tcPr>
            <w:tcW w:w="285" w:type="pct"/>
            <w:tcBorders>
              <w:top w:val="single" w:sz="4" w:space="0" w:color="auto"/>
              <w:bottom w:val="single" w:sz="4" w:space="0" w:color="auto"/>
            </w:tcBorders>
          </w:tcPr>
          <w:p w14:paraId="5A02C33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4,517 </w:t>
            </w:r>
          </w:p>
        </w:tc>
        <w:tc>
          <w:tcPr>
            <w:tcW w:w="283" w:type="pct"/>
            <w:tcBorders>
              <w:top w:val="single" w:sz="4" w:space="0" w:color="auto"/>
              <w:bottom w:val="single" w:sz="4" w:space="0" w:color="auto"/>
            </w:tcBorders>
          </w:tcPr>
          <w:p w14:paraId="3707BA5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2,228 </w:t>
            </w:r>
          </w:p>
        </w:tc>
      </w:tr>
      <w:tr w:rsidR="00C900BD" w:rsidRPr="00A030BE" w14:paraId="0EA115AD"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26848E4B" w14:textId="77777777" w:rsidR="00C900BD" w:rsidRPr="00A030BE" w:rsidRDefault="00C900BD" w:rsidP="009C456B">
            <w:pPr>
              <w:pStyle w:val="TableText"/>
              <w:spacing w:before="120" w:after="40" w:line="233" w:lineRule="auto"/>
              <w:rPr>
                <w:rStyle w:val="Bold"/>
              </w:rPr>
            </w:pPr>
            <w:r w:rsidRPr="00A030BE">
              <w:rPr>
                <w:rStyle w:val="Bold"/>
              </w:rPr>
              <w:t>Other economic flows included in net result</w:t>
            </w:r>
          </w:p>
        </w:tc>
        <w:tc>
          <w:tcPr>
            <w:tcW w:w="258" w:type="pct"/>
            <w:tcBorders>
              <w:top w:val="single" w:sz="4" w:space="0" w:color="auto"/>
            </w:tcBorders>
          </w:tcPr>
          <w:p w14:paraId="4653A7C4" w14:textId="6AC5A5B3"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8" w:type="pct"/>
            <w:tcBorders>
              <w:top w:val="single" w:sz="4" w:space="0" w:color="auto"/>
            </w:tcBorders>
          </w:tcPr>
          <w:p w14:paraId="1257DFD9" w14:textId="3B72B94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503352E9" w14:textId="3B3B3010"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5C008EA2" w14:textId="68AFAA08"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1C6CBC76" w14:textId="361AD50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1286CC05" w14:textId="3E6BBC32"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1" w:type="pct"/>
            <w:tcBorders>
              <w:top w:val="single" w:sz="4" w:space="0" w:color="auto"/>
            </w:tcBorders>
          </w:tcPr>
          <w:p w14:paraId="30DE34AC" w14:textId="461FA2A8"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1" w:type="pct"/>
            <w:tcBorders>
              <w:top w:val="single" w:sz="4" w:space="0" w:color="auto"/>
            </w:tcBorders>
          </w:tcPr>
          <w:p w14:paraId="5797739D" w14:textId="46AFCE5D"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1" w:type="pct"/>
            <w:tcBorders>
              <w:top w:val="single" w:sz="4" w:space="0" w:color="auto"/>
            </w:tcBorders>
          </w:tcPr>
          <w:p w14:paraId="683B32A9" w14:textId="618C9CA0"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1" w:type="pct"/>
            <w:tcBorders>
              <w:top w:val="single" w:sz="4" w:space="0" w:color="auto"/>
            </w:tcBorders>
          </w:tcPr>
          <w:p w14:paraId="42137B6D" w14:textId="6A6193F8"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303" w:type="pct"/>
            <w:tcBorders>
              <w:top w:val="single" w:sz="4" w:space="0" w:color="auto"/>
            </w:tcBorders>
          </w:tcPr>
          <w:p w14:paraId="0072CC02" w14:textId="3C7675DF"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303" w:type="pct"/>
            <w:tcBorders>
              <w:top w:val="single" w:sz="4" w:space="0" w:color="auto"/>
            </w:tcBorders>
          </w:tcPr>
          <w:p w14:paraId="4F09202C" w14:textId="2794D19E"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2C2421B6" w14:textId="133A5991"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59" w:type="pct"/>
            <w:tcBorders>
              <w:top w:val="single" w:sz="4" w:space="0" w:color="auto"/>
            </w:tcBorders>
          </w:tcPr>
          <w:p w14:paraId="012E0D60" w14:textId="408AC7DF"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5" w:type="pct"/>
            <w:tcBorders>
              <w:top w:val="single" w:sz="4" w:space="0" w:color="auto"/>
            </w:tcBorders>
          </w:tcPr>
          <w:p w14:paraId="5EC3CF93" w14:textId="272298B2"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c>
          <w:tcPr>
            <w:tcW w:w="283" w:type="pct"/>
            <w:tcBorders>
              <w:top w:val="single" w:sz="4" w:space="0" w:color="auto"/>
            </w:tcBorders>
          </w:tcPr>
          <w:p w14:paraId="18FF20FC" w14:textId="7548A09B"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900941">
              <w:rPr>
                <w:sz w:val="18"/>
                <w:szCs w:val="18"/>
              </w:rPr>
              <w:t>N/A</w:t>
            </w:r>
          </w:p>
        </w:tc>
      </w:tr>
      <w:tr w:rsidR="00A030BE" w:rsidRPr="00A030BE" w14:paraId="6C43FDDE"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54C9552E" w14:textId="77777777" w:rsidR="00735149" w:rsidRPr="00A030BE" w:rsidRDefault="00735149" w:rsidP="009C456B">
            <w:pPr>
              <w:pStyle w:val="TableText"/>
              <w:spacing w:before="40" w:after="40" w:line="233" w:lineRule="auto"/>
              <w:rPr>
                <w:sz w:val="18"/>
                <w:szCs w:val="18"/>
              </w:rPr>
            </w:pPr>
            <w:r w:rsidRPr="00A030BE">
              <w:rPr>
                <w:sz w:val="18"/>
                <w:szCs w:val="18"/>
              </w:rPr>
              <w:t>Net gain/(loss) on non-financial assets</w:t>
            </w:r>
          </w:p>
        </w:tc>
        <w:tc>
          <w:tcPr>
            <w:tcW w:w="258" w:type="pct"/>
          </w:tcPr>
          <w:p w14:paraId="4AD59C8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115</w:t>
            </w:r>
          </w:p>
        </w:tc>
        <w:tc>
          <w:tcPr>
            <w:tcW w:w="258" w:type="pct"/>
          </w:tcPr>
          <w:p w14:paraId="7FE3BB1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99</w:t>
            </w:r>
          </w:p>
        </w:tc>
        <w:tc>
          <w:tcPr>
            <w:tcW w:w="285" w:type="pct"/>
          </w:tcPr>
          <w:p w14:paraId="5E8C5FF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70</w:t>
            </w:r>
          </w:p>
        </w:tc>
        <w:tc>
          <w:tcPr>
            <w:tcW w:w="285" w:type="pct"/>
          </w:tcPr>
          <w:p w14:paraId="4A49F95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119 </w:t>
            </w:r>
          </w:p>
        </w:tc>
        <w:tc>
          <w:tcPr>
            <w:tcW w:w="285" w:type="pct"/>
          </w:tcPr>
          <w:p w14:paraId="12EE84E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108</w:t>
            </w:r>
          </w:p>
        </w:tc>
        <w:tc>
          <w:tcPr>
            <w:tcW w:w="285" w:type="pct"/>
          </w:tcPr>
          <w:p w14:paraId="636E2C2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193</w:t>
            </w:r>
          </w:p>
        </w:tc>
        <w:tc>
          <w:tcPr>
            <w:tcW w:w="251" w:type="pct"/>
          </w:tcPr>
          <w:p w14:paraId="1160996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3 </w:t>
            </w:r>
          </w:p>
        </w:tc>
        <w:tc>
          <w:tcPr>
            <w:tcW w:w="251" w:type="pct"/>
          </w:tcPr>
          <w:p w14:paraId="41EA6F1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26 </w:t>
            </w:r>
          </w:p>
        </w:tc>
        <w:tc>
          <w:tcPr>
            <w:tcW w:w="251" w:type="pct"/>
          </w:tcPr>
          <w:p w14:paraId="59B4C1A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9 </w:t>
            </w:r>
          </w:p>
        </w:tc>
        <w:tc>
          <w:tcPr>
            <w:tcW w:w="251" w:type="pct"/>
          </w:tcPr>
          <w:p w14:paraId="0676575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w:t>
            </w:r>
          </w:p>
        </w:tc>
        <w:tc>
          <w:tcPr>
            <w:tcW w:w="303" w:type="pct"/>
          </w:tcPr>
          <w:p w14:paraId="0501BAD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 </w:t>
            </w:r>
          </w:p>
        </w:tc>
        <w:tc>
          <w:tcPr>
            <w:tcW w:w="303" w:type="pct"/>
          </w:tcPr>
          <w:p w14:paraId="2E6984D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12 </w:t>
            </w:r>
          </w:p>
        </w:tc>
        <w:tc>
          <w:tcPr>
            <w:tcW w:w="285" w:type="pct"/>
          </w:tcPr>
          <w:p w14:paraId="211A624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22</w:t>
            </w:r>
          </w:p>
        </w:tc>
        <w:tc>
          <w:tcPr>
            <w:tcW w:w="259" w:type="pct"/>
          </w:tcPr>
          <w:p w14:paraId="0C38474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21</w:t>
            </w:r>
          </w:p>
        </w:tc>
        <w:tc>
          <w:tcPr>
            <w:tcW w:w="285" w:type="pct"/>
          </w:tcPr>
          <w:p w14:paraId="66127B2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346</w:t>
            </w:r>
          </w:p>
        </w:tc>
        <w:tc>
          <w:tcPr>
            <w:tcW w:w="283" w:type="pct"/>
          </w:tcPr>
          <w:p w14:paraId="6E0C632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468</w:t>
            </w:r>
          </w:p>
        </w:tc>
      </w:tr>
      <w:tr w:rsidR="00A030BE" w:rsidRPr="00A030BE" w14:paraId="51C4F195"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076F2ADB" w14:textId="14693D0B" w:rsidR="00735149" w:rsidRPr="00A030BE" w:rsidRDefault="00735149" w:rsidP="009C456B">
            <w:pPr>
              <w:pStyle w:val="TableText"/>
              <w:spacing w:before="40" w:after="40" w:line="233" w:lineRule="auto"/>
              <w:rPr>
                <w:sz w:val="18"/>
                <w:szCs w:val="18"/>
              </w:rPr>
            </w:pPr>
            <w:r w:rsidRPr="00A030BE">
              <w:rPr>
                <w:sz w:val="18"/>
                <w:szCs w:val="18"/>
              </w:rPr>
              <w:t>Net gain/(loss) on financial instruments</w:t>
            </w:r>
          </w:p>
        </w:tc>
        <w:tc>
          <w:tcPr>
            <w:tcW w:w="258" w:type="pct"/>
          </w:tcPr>
          <w:p w14:paraId="4ECBDB1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8" w:type="pct"/>
          </w:tcPr>
          <w:p w14:paraId="7DA1D34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443352A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85" w:type="pct"/>
          </w:tcPr>
          <w:p w14:paraId="7FF61D3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85" w:type="pct"/>
          </w:tcPr>
          <w:p w14:paraId="1FCAC2C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40A0492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1" w:type="pct"/>
          </w:tcPr>
          <w:p w14:paraId="439D26E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Pr>
          <w:p w14:paraId="7EEA5DC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Pr>
          <w:p w14:paraId="001DABA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51" w:type="pct"/>
          </w:tcPr>
          <w:p w14:paraId="0D4E532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303" w:type="pct"/>
          </w:tcPr>
          <w:p w14:paraId="10D9995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303" w:type="pct"/>
          </w:tcPr>
          <w:p w14:paraId="06DCD5CD"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Pr>
          <w:p w14:paraId="6102C1F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190 </w:t>
            </w:r>
          </w:p>
        </w:tc>
        <w:tc>
          <w:tcPr>
            <w:tcW w:w="259" w:type="pct"/>
          </w:tcPr>
          <w:p w14:paraId="41D83AE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381 </w:t>
            </w:r>
          </w:p>
        </w:tc>
        <w:tc>
          <w:tcPr>
            <w:tcW w:w="285" w:type="pct"/>
          </w:tcPr>
          <w:p w14:paraId="1F5845A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190 </w:t>
            </w:r>
          </w:p>
        </w:tc>
        <w:tc>
          <w:tcPr>
            <w:tcW w:w="283" w:type="pct"/>
          </w:tcPr>
          <w:p w14:paraId="1874BEB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381 </w:t>
            </w:r>
          </w:p>
        </w:tc>
      </w:tr>
      <w:tr w:rsidR="00A030BE" w:rsidRPr="00A030BE" w14:paraId="3C85DD4D"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0B74B414" w14:textId="77777777" w:rsidR="00735149" w:rsidRPr="00A030BE" w:rsidRDefault="00735149" w:rsidP="009C456B">
            <w:pPr>
              <w:pStyle w:val="TableText"/>
              <w:spacing w:before="40" w:after="40" w:line="233" w:lineRule="auto"/>
              <w:rPr>
                <w:sz w:val="18"/>
                <w:szCs w:val="18"/>
              </w:rPr>
            </w:pPr>
            <w:r w:rsidRPr="00A030BE">
              <w:rPr>
                <w:sz w:val="18"/>
                <w:szCs w:val="18"/>
              </w:rPr>
              <w:t>Other gains/(losses) from other economic flows</w:t>
            </w:r>
          </w:p>
        </w:tc>
        <w:tc>
          <w:tcPr>
            <w:tcW w:w="258" w:type="pct"/>
            <w:tcBorders>
              <w:bottom w:val="single" w:sz="4" w:space="0" w:color="auto"/>
            </w:tcBorders>
          </w:tcPr>
          <w:p w14:paraId="172D19A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(447)</w:t>
            </w:r>
          </w:p>
        </w:tc>
        <w:tc>
          <w:tcPr>
            <w:tcW w:w="258" w:type="pct"/>
            <w:tcBorders>
              <w:bottom w:val="single" w:sz="4" w:space="0" w:color="auto"/>
            </w:tcBorders>
          </w:tcPr>
          <w:p w14:paraId="383E63A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(1,850)</w:t>
            </w:r>
          </w:p>
        </w:tc>
        <w:tc>
          <w:tcPr>
            <w:tcW w:w="285" w:type="pct"/>
            <w:tcBorders>
              <w:bottom w:val="single" w:sz="4" w:space="0" w:color="auto"/>
            </w:tcBorders>
          </w:tcPr>
          <w:p w14:paraId="4C81CFC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(384)</w:t>
            </w:r>
          </w:p>
        </w:tc>
        <w:tc>
          <w:tcPr>
            <w:tcW w:w="285" w:type="pct"/>
            <w:tcBorders>
              <w:bottom w:val="single" w:sz="4" w:space="0" w:color="auto"/>
            </w:tcBorders>
          </w:tcPr>
          <w:p w14:paraId="2B0D553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(1,576)</w:t>
            </w:r>
          </w:p>
        </w:tc>
        <w:tc>
          <w:tcPr>
            <w:tcW w:w="285" w:type="pct"/>
            <w:tcBorders>
              <w:bottom w:val="single" w:sz="4" w:space="0" w:color="auto"/>
            </w:tcBorders>
          </w:tcPr>
          <w:p w14:paraId="398B213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(666)</w:t>
            </w:r>
          </w:p>
        </w:tc>
        <w:tc>
          <w:tcPr>
            <w:tcW w:w="285" w:type="pct"/>
            <w:tcBorders>
              <w:bottom w:val="single" w:sz="4" w:space="0" w:color="auto"/>
            </w:tcBorders>
          </w:tcPr>
          <w:p w14:paraId="2985BC4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(2,622)</w:t>
            </w:r>
          </w:p>
        </w:tc>
        <w:tc>
          <w:tcPr>
            <w:tcW w:w="251" w:type="pct"/>
            <w:tcBorders>
              <w:bottom w:val="single" w:sz="4" w:space="0" w:color="auto"/>
            </w:tcBorders>
          </w:tcPr>
          <w:p w14:paraId="670B04F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(94)</w:t>
            </w:r>
          </w:p>
        </w:tc>
        <w:tc>
          <w:tcPr>
            <w:tcW w:w="251" w:type="pct"/>
            <w:tcBorders>
              <w:bottom w:val="single" w:sz="4" w:space="0" w:color="auto"/>
            </w:tcBorders>
          </w:tcPr>
          <w:p w14:paraId="2CCB640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(376)</w:t>
            </w:r>
          </w:p>
        </w:tc>
        <w:tc>
          <w:tcPr>
            <w:tcW w:w="251" w:type="pct"/>
            <w:tcBorders>
              <w:bottom w:val="single" w:sz="4" w:space="0" w:color="auto"/>
            </w:tcBorders>
          </w:tcPr>
          <w:p w14:paraId="11C965F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(42)</w:t>
            </w:r>
          </w:p>
        </w:tc>
        <w:tc>
          <w:tcPr>
            <w:tcW w:w="251" w:type="pct"/>
            <w:tcBorders>
              <w:bottom w:val="single" w:sz="4" w:space="0" w:color="auto"/>
            </w:tcBorders>
          </w:tcPr>
          <w:p w14:paraId="765A880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(151)</w:t>
            </w:r>
          </w:p>
        </w:tc>
        <w:tc>
          <w:tcPr>
            <w:tcW w:w="303" w:type="pct"/>
            <w:tcBorders>
              <w:bottom w:val="single" w:sz="4" w:space="0" w:color="auto"/>
            </w:tcBorders>
          </w:tcPr>
          <w:p w14:paraId="0A207A3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(152)</w:t>
            </w:r>
          </w:p>
        </w:tc>
        <w:tc>
          <w:tcPr>
            <w:tcW w:w="303" w:type="pct"/>
            <w:tcBorders>
              <w:bottom w:val="single" w:sz="4" w:space="0" w:color="auto"/>
            </w:tcBorders>
          </w:tcPr>
          <w:p w14:paraId="1AFC459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(590)</w:t>
            </w:r>
          </w:p>
        </w:tc>
        <w:tc>
          <w:tcPr>
            <w:tcW w:w="285" w:type="pct"/>
            <w:tcBorders>
              <w:bottom w:val="single" w:sz="4" w:space="0" w:color="auto"/>
            </w:tcBorders>
          </w:tcPr>
          <w:p w14:paraId="5B06E75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(130)</w:t>
            </w:r>
          </w:p>
        </w:tc>
        <w:tc>
          <w:tcPr>
            <w:tcW w:w="259" w:type="pct"/>
            <w:tcBorders>
              <w:bottom w:val="single" w:sz="4" w:space="0" w:color="auto"/>
            </w:tcBorders>
          </w:tcPr>
          <w:p w14:paraId="32E57F2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(498)</w:t>
            </w:r>
          </w:p>
        </w:tc>
        <w:tc>
          <w:tcPr>
            <w:tcW w:w="285" w:type="pct"/>
            <w:tcBorders>
              <w:bottom w:val="single" w:sz="4" w:space="0" w:color="auto"/>
            </w:tcBorders>
          </w:tcPr>
          <w:p w14:paraId="294C85E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(1,916)</w:t>
            </w:r>
          </w:p>
        </w:tc>
        <w:tc>
          <w:tcPr>
            <w:tcW w:w="283" w:type="pct"/>
            <w:tcBorders>
              <w:bottom w:val="single" w:sz="4" w:space="0" w:color="auto"/>
            </w:tcBorders>
          </w:tcPr>
          <w:p w14:paraId="77BA2E0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(7,663)</w:t>
            </w:r>
          </w:p>
        </w:tc>
      </w:tr>
      <w:tr w:rsidR="00A030BE" w:rsidRPr="00A030BE" w14:paraId="428AA38A" w14:textId="77777777" w:rsidTr="008C5126">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7687A384" w14:textId="77777777" w:rsidR="00735149" w:rsidRPr="00A030BE" w:rsidRDefault="00735149" w:rsidP="009C456B">
            <w:pPr>
              <w:pStyle w:val="TableText"/>
              <w:spacing w:before="40" w:after="40" w:line="233" w:lineRule="auto"/>
              <w:rPr>
                <w:rStyle w:val="Bold"/>
                <w:sz w:val="18"/>
                <w:szCs w:val="18"/>
              </w:rPr>
            </w:pPr>
            <w:r w:rsidRPr="00A030BE">
              <w:rPr>
                <w:rStyle w:val="Bold"/>
                <w:sz w:val="18"/>
                <w:szCs w:val="18"/>
              </w:rPr>
              <w:t>Total other economic flows included in net result</w:t>
            </w:r>
          </w:p>
        </w:tc>
        <w:tc>
          <w:tcPr>
            <w:tcW w:w="258" w:type="pct"/>
            <w:tcBorders>
              <w:top w:val="single" w:sz="4" w:space="0" w:color="auto"/>
              <w:bottom w:val="single" w:sz="4" w:space="0" w:color="auto"/>
            </w:tcBorders>
          </w:tcPr>
          <w:p w14:paraId="4C99094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(332)</w:t>
            </w:r>
          </w:p>
        </w:tc>
        <w:tc>
          <w:tcPr>
            <w:tcW w:w="258" w:type="pct"/>
            <w:tcBorders>
              <w:top w:val="single" w:sz="4" w:space="0" w:color="auto"/>
              <w:bottom w:val="single" w:sz="4" w:space="0" w:color="auto"/>
            </w:tcBorders>
          </w:tcPr>
          <w:p w14:paraId="260581E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(1,751)</w:t>
            </w:r>
          </w:p>
        </w:tc>
        <w:tc>
          <w:tcPr>
            <w:tcW w:w="285" w:type="pct"/>
            <w:tcBorders>
              <w:top w:val="single" w:sz="4" w:space="0" w:color="auto"/>
              <w:bottom w:val="single" w:sz="4" w:space="0" w:color="auto"/>
            </w:tcBorders>
          </w:tcPr>
          <w:p w14:paraId="3C55024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(314)</w:t>
            </w:r>
          </w:p>
        </w:tc>
        <w:tc>
          <w:tcPr>
            <w:tcW w:w="285" w:type="pct"/>
            <w:tcBorders>
              <w:top w:val="single" w:sz="4" w:space="0" w:color="auto"/>
              <w:bottom w:val="single" w:sz="4" w:space="0" w:color="auto"/>
            </w:tcBorders>
          </w:tcPr>
          <w:p w14:paraId="2444968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(1,457)</w:t>
            </w:r>
          </w:p>
        </w:tc>
        <w:tc>
          <w:tcPr>
            <w:tcW w:w="285" w:type="pct"/>
            <w:tcBorders>
              <w:top w:val="single" w:sz="4" w:space="0" w:color="auto"/>
              <w:bottom w:val="single" w:sz="4" w:space="0" w:color="auto"/>
            </w:tcBorders>
          </w:tcPr>
          <w:p w14:paraId="764FE99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(558)</w:t>
            </w:r>
          </w:p>
        </w:tc>
        <w:tc>
          <w:tcPr>
            <w:tcW w:w="285" w:type="pct"/>
            <w:tcBorders>
              <w:top w:val="single" w:sz="4" w:space="0" w:color="auto"/>
              <w:bottom w:val="single" w:sz="4" w:space="0" w:color="auto"/>
            </w:tcBorders>
          </w:tcPr>
          <w:p w14:paraId="72C0842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(2,429)</w:t>
            </w:r>
          </w:p>
        </w:tc>
        <w:tc>
          <w:tcPr>
            <w:tcW w:w="251" w:type="pct"/>
            <w:tcBorders>
              <w:top w:val="single" w:sz="4" w:space="0" w:color="auto"/>
              <w:bottom w:val="single" w:sz="4" w:space="0" w:color="auto"/>
            </w:tcBorders>
          </w:tcPr>
          <w:p w14:paraId="60AB048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(92)</w:t>
            </w:r>
          </w:p>
        </w:tc>
        <w:tc>
          <w:tcPr>
            <w:tcW w:w="251" w:type="pct"/>
            <w:tcBorders>
              <w:top w:val="single" w:sz="4" w:space="0" w:color="auto"/>
              <w:bottom w:val="single" w:sz="4" w:space="0" w:color="auto"/>
            </w:tcBorders>
          </w:tcPr>
          <w:p w14:paraId="1BDACEE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(350)</w:t>
            </w:r>
          </w:p>
        </w:tc>
        <w:tc>
          <w:tcPr>
            <w:tcW w:w="251" w:type="pct"/>
            <w:tcBorders>
              <w:top w:val="single" w:sz="4" w:space="0" w:color="auto"/>
              <w:bottom w:val="single" w:sz="4" w:space="0" w:color="auto"/>
            </w:tcBorders>
          </w:tcPr>
          <w:p w14:paraId="3440051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(33)</w:t>
            </w:r>
          </w:p>
        </w:tc>
        <w:tc>
          <w:tcPr>
            <w:tcW w:w="251" w:type="pct"/>
            <w:tcBorders>
              <w:top w:val="single" w:sz="4" w:space="0" w:color="auto"/>
              <w:bottom w:val="single" w:sz="4" w:space="0" w:color="auto"/>
            </w:tcBorders>
          </w:tcPr>
          <w:p w14:paraId="170F9A9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(153)</w:t>
            </w:r>
          </w:p>
        </w:tc>
        <w:tc>
          <w:tcPr>
            <w:tcW w:w="303" w:type="pct"/>
            <w:tcBorders>
              <w:top w:val="single" w:sz="4" w:space="0" w:color="auto"/>
              <w:bottom w:val="single" w:sz="4" w:space="0" w:color="auto"/>
            </w:tcBorders>
          </w:tcPr>
          <w:p w14:paraId="4CAA9A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(133)</w:t>
            </w:r>
          </w:p>
        </w:tc>
        <w:tc>
          <w:tcPr>
            <w:tcW w:w="303" w:type="pct"/>
            <w:tcBorders>
              <w:top w:val="single" w:sz="4" w:space="0" w:color="auto"/>
              <w:bottom w:val="single" w:sz="4" w:space="0" w:color="auto"/>
            </w:tcBorders>
          </w:tcPr>
          <w:p w14:paraId="47EC6BB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(578)</w:t>
            </w:r>
          </w:p>
        </w:tc>
        <w:tc>
          <w:tcPr>
            <w:tcW w:w="285" w:type="pct"/>
            <w:tcBorders>
              <w:top w:val="single" w:sz="4" w:space="0" w:color="auto"/>
              <w:bottom w:val="single" w:sz="4" w:space="0" w:color="auto"/>
            </w:tcBorders>
          </w:tcPr>
          <w:p w14:paraId="53ECCC2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83 </w:t>
            </w:r>
          </w:p>
        </w:tc>
        <w:tc>
          <w:tcPr>
            <w:tcW w:w="259" w:type="pct"/>
            <w:tcBorders>
              <w:top w:val="single" w:sz="4" w:space="0" w:color="auto"/>
              <w:bottom w:val="single" w:sz="4" w:space="0" w:color="auto"/>
            </w:tcBorders>
          </w:tcPr>
          <w:p w14:paraId="3E60E65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(95)</w:t>
            </w:r>
          </w:p>
        </w:tc>
        <w:tc>
          <w:tcPr>
            <w:tcW w:w="285" w:type="pct"/>
            <w:tcBorders>
              <w:top w:val="single" w:sz="4" w:space="0" w:color="auto"/>
              <w:bottom w:val="single" w:sz="4" w:space="0" w:color="auto"/>
            </w:tcBorders>
          </w:tcPr>
          <w:p w14:paraId="26722A5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(1,379)</w:t>
            </w:r>
          </w:p>
        </w:tc>
        <w:tc>
          <w:tcPr>
            <w:tcW w:w="283" w:type="pct"/>
            <w:tcBorders>
              <w:top w:val="single" w:sz="4" w:space="0" w:color="auto"/>
              <w:bottom w:val="single" w:sz="4" w:space="0" w:color="auto"/>
            </w:tcBorders>
          </w:tcPr>
          <w:p w14:paraId="04D034E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(6,814)</w:t>
            </w:r>
          </w:p>
        </w:tc>
      </w:tr>
      <w:tr w:rsidR="00A030BE" w:rsidRPr="00A030BE" w14:paraId="47C4163D" w14:textId="77777777" w:rsidTr="008C5126">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5BB0B741" w14:textId="77777777" w:rsidR="00735149" w:rsidRPr="00A030BE" w:rsidRDefault="00735149" w:rsidP="009C456B">
            <w:pPr>
              <w:pStyle w:val="TableText"/>
              <w:spacing w:before="40" w:after="40" w:line="233" w:lineRule="auto"/>
              <w:rPr>
                <w:rStyle w:val="Bold"/>
                <w:sz w:val="18"/>
                <w:szCs w:val="18"/>
              </w:rPr>
            </w:pPr>
            <w:r w:rsidRPr="00A030BE">
              <w:rPr>
                <w:rStyle w:val="Bold"/>
                <w:sz w:val="18"/>
                <w:szCs w:val="18"/>
              </w:rPr>
              <w:t>Net result from continuing operations</w:t>
            </w:r>
          </w:p>
        </w:tc>
        <w:tc>
          <w:tcPr>
            <w:tcW w:w="258" w:type="pct"/>
            <w:tcBorders>
              <w:top w:val="single" w:sz="4" w:space="0" w:color="auto"/>
              <w:bottom w:val="single" w:sz="4" w:space="0" w:color="auto"/>
            </w:tcBorders>
          </w:tcPr>
          <w:p w14:paraId="2573157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(2,808)</w:t>
            </w:r>
          </w:p>
        </w:tc>
        <w:tc>
          <w:tcPr>
            <w:tcW w:w="258" w:type="pct"/>
            <w:tcBorders>
              <w:top w:val="single" w:sz="4" w:space="0" w:color="auto"/>
              <w:bottom w:val="single" w:sz="4" w:space="0" w:color="auto"/>
            </w:tcBorders>
          </w:tcPr>
          <w:p w14:paraId="4B0AB8A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(933)</w:t>
            </w:r>
          </w:p>
        </w:tc>
        <w:tc>
          <w:tcPr>
            <w:tcW w:w="285" w:type="pct"/>
            <w:tcBorders>
              <w:top w:val="single" w:sz="4" w:space="0" w:color="auto"/>
              <w:bottom w:val="single" w:sz="4" w:space="0" w:color="auto"/>
            </w:tcBorders>
          </w:tcPr>
          <w:p w14:paraId="755A399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(880)</w:t>
            </w:r>
          </w:p>
        </w:tc>
        <w:tc>
          <w:tcPr>
            <w:tcW w:w="285" w:type="pct"/>
            <w:tcBorders>
              <w:top w:val="single" w:sz="4" w:space="0" w:color="auto"/>
              <w:bottom w:val="single" w:sz="4" w:space="0" w:color="auto"/>
            </w:tcBorders>
          </w:tcPr>
          <w:p w14:paraId="215FBFFB"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(8,897)</w:t>
            </w:r>
          </w:p>
        </w:tc>
        <w:tc>
          <w:tcPr>
            <w:tcW w:w="285" w:type="pct"/>
            <w:tcBorders>
              <w:top w:val="single" w:sz="4" w:space="0" w:color="auto"/>
              <w:bottom w:val="single" w:sz="4" w:space="0" w:color="auto"/>
            </w:tcBorders>
          </w:tcPr>
          <w:p w14:paraId="7154B22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4,681 </w:t>
            </w:r>
          </w:p>
        </w:tc>
        <w:tc>
          <w:tcPr>
            <w:tcW w:w="285" w:type="pct"/>
            <w:tcBorders>
              <w:top w:val="single" w:sz="4" w:space="0" w:color="auto"/>
              <w:bottom w:val="single" w:sz="4" w:space="0" w:color="auto"/>
            </w:tcBorders>
          </w:tcPr>
          <w:p w14:paraId="5943AEA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8,646 </w:t>
            </w:r>
          </w:p>
        </w:tc>
        <w:tc>
          <w:tcPr>
            <w:tcW w:w="251" w:type="pct"/>
            <w:tcBorders>
              <w:top w:val="single" w:sz="4" w:space="0" w:color="auto"/>
              <w:bottom w:val="single" w:sz="4" w:space="0" w:color="auto"/>
            </w:tcBorders>
          </w:tcPr>
          <w:p w14:paraId="778B4195"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(399)</w:t>
            </w:r>
          </w:p>
        </w:tc>
        <w:tc>
          <w:tcPr>
            <w:tcW w:w="251" w:type="pct"/>
            <w:tcBorders>
              <w:top w:val="single" w:sz="4" w:space="0" w:color="auto"/>
              <w:bottom w:val="single" w:sz="4" w:space="0" w:color="auto"/>
            </w:tcBorders>
          </w:tcPr>
          <w:p w14:paraId="345FFB1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564 </w:t>
            </w:r>
          </w:p>
        </w:tc>
        <w:tc>
          <w:tcPr>
            <w:tcW w:w="251" w:type="pct"/>
            <w:tcBorders>
              <w:top w:val="single" w:sz="4" w:space="0" w:color="auto"/>
              <w:bottom w:val="single" w:sz="4" w:space="0" w:color="auto"/>
            </w:tcBorders>
          </w:tcPr>
          <w:p w14:paraId="612FCAD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196 </w:t>
            </w:r>
          </w:p>
        </w:tc>
        <w:tc>
          <w:tcPr>
            <w:tcW w:w="251" w:type="pct"/>
            <w:tcBorders>
              <w:top w:val="single" w:sz="4" w:space="0" w:color="auto"/>
              <w:bottom w:val="single" w:sz="4" w:space="0" w:color="auto"/>
            </w:tcBorders>
          </w:tcPr>
          <w:p w14:paraId="01846F4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(79)</w:t>
            </w:r>
          </w:p>
        </w:tc>
        <w:tc>
          <w:tcPr>
            <w:tcW w:w="303" w:type="pct"/>
            <w:tcBorders>
              <w:top w:val="single" w:sz="4" w:space="0" w:color="auto"/>
              <w:bottom w:val="single" w:sz="4" w:space="0" w:color="auto"/>
            </w:tcBorders>
          </w:tcPr>
          <w:p w14:paraId="50AD7E8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(2,057)</w:t>
            </w:r>
          </w:p>
        </w:tc>
        <w:tc>
          <w:tcPr>
            <w:tcW w:w="303" w:type="pct"/>
            <w:tcBorders>
              <w:top w:val="single" w:sz="4" w:space="0" w:color="auto"/>
              <w:bottom w:val="single" w:sz="4" w:space="0" w:color="auto"/>
            </w:tcBorders>
          </w:tcPr>
          <w:p w14:paraId="2ADB3644"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131</w:t>
            </w:r>
          </w:p>
        </w:tc>
        <w:tc>
          <w:tcPr>
            <w:tcW w:w="285" w:type="pct"/>
            <w:tcBorders>
              <w:top w:val="single" w:sz="4" w:space="0" w:color="auto"/>
              <w:bottom w:val="single" w:sz="4" w:space="0" w:color="auto"/>
            </w:tcBorders>
          </w:tcPr>
          <w:p w14:paraId="36BDA95E"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4,405 </w:t>
            </w:r>
          </w:p>
        </w:tc>
        <w:tc>
          <w:tcPr>
            <w:tcW w:w="259" w:type="pct"/>
            <w:tcBorders>
              <w:top w:val="single" w:sz="4" w:space="0" w:color="auto"/>
              <w:bottom w:val="single" w:sz="4" w:space="0" w:color="auto"/>
            </w:tcBorders>
          </w:tcPr>
          <w:p w14:paraId="25174CBF"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(4,018)</w:t>
            </w:r>
          </w:p>
        </w:tc>
        <w:tc>
          <w:tcPr>
            <w:tcW w:w="285" w:type="pct"/>
            <w:tcBorders>
              <w:top w:val="single" w:sz="4" w:space="0" w:color="auto"/>
              <w:bottom w:val="single" w:sz="4" w:space="0" w:color="auto"/>
            </w:tcBorders>
          </w:tcPr>
          <w:p w14:paraId="09E80DD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 xml:space="preserve">3,138 </w:t>
            </w:r>
          </w:p>
        </w:tc>
        <w:tc>
          <w:tcPr>
            <w:tcW w:w="283" w:type="pct"/>
            <w:tcBorders>
              <w:top w:val="single" w:sz="4" w:space="0" w:color="auto"/>
              <w:bottom w:val="single" w:sz="4" w:space="0" w:color="auto"/>
            </w:tcBorders>
          </w:tcPr>
          <w:p w14:paraId="2666908C"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A030BE">
              <w:rPr>
                <w:rStyle w:val="Bold"/>
                <w:sz w:val="18"/>
                <w:szCs w:val="18"/>
              </w:rPr>
              <w:t>(4,586)</w:t>
            </w:r>
          </w:p>
        </w:tc>
      </w:tr>
      <w:tr w:rsidR="00C900BD" w:rsidRPr="00A030BE" w14:paraId="2C7B8FA9" w14:textId="77777777" w:rsidTr="008C5126">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4895F1A9" w14:textId="77777777" w:rsidR="00C900BD" w:rsidRPr="00F84520" w:rsidRDefault="00C900BD" w:rsidP="009C456B">
            <w:pPr>
              <w:pStyle w:val="TableText"/>
              <w:spacing w:before="120" w:after="40" w:line="233" w:lineRule="auto"/>
              <w:rPr>
                <w:rStyle w:val="Bold"/>
              </w:rPr>
            </w:pPr>
            <w:r w:rsidRPr="00F84520">
              <w:rPr>
                <w:rStyle w:val="Bold"/>
              </w:rPr>
              <w:t>Other economic flows-other comprehensive income</w:t>
            </w:r>
          </w:p>
        </w:tc>
        <w:tc>
          <w:tcPr>
            <w:tcW w:w="258" w:type="pct"/>
            <w:tcBorders>
              <w:top w:val="single" w:sz="4" w:space="0" w:color="auto"/>
            </w:tcBorders>
          </w:tcPr>
          <w:p w14:paraId="3B64AF85" w14:textId="5853AAEE"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8" w:type="pct"/>
            <w:tcBorders>
              <w:top w:val="single" w:sz="4" w:space="0" w:color="auto"/>
            </w:tcBorders>
          </w:tcPr>
          <w:p w14:paraId="20AE53F7" w14:textId="2603CCCF"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5AD7EB9E" w14:textId="5220A052"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2876F1C7" w14:textId="2127BE4D"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76262FEA" w14:textId="2D40A6C7"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32090EEF" w14:textId="6AF7C132"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Borders>
              <w:top w:val="single" w:sz="4" w:space="0" w:color="auto"/>
            </w:tcBorders>
          </w:tcPr>
          <w:p w14:paraId="1AED4032" w14:textId="5D28263A"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Borders>
              <w:top w:val="single" w:sz="4" w:space="0" w:color="auto"/>
            </w:tcBorders>
          </w:tcPr>
          <w:p w14:paraId="1AC490F6" w14:textId="49DE741D"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Borders>
              <w:top w:val="single" w:sz="4" w:space="0" w:color="auto"/>
            </w:tcBorders>
          </w:tcPr>
          <w:p w14:paraId="01F9FC32" w14:textId="467502A4"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Borders>
              <w:top w:val="single" w:sz="4" w:space="0" w:color="auto"/>
            </w:tcBorders>
          </w:tcPr>
          <w:p w14:paraId="6E4CC0EF" w14:textId="36F45449"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303" w:type="pct"/>
            <w:tcBorders>
              <w:top w:val="single" w:sz="4" w:space="0" w:color="auto"/>
            </w:tcBorders>
          </w:tcPr>
          <w:p w14:paraId="11928891" w14:textId="2FEDE193"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303" w:type="pct"/>
            <w:tcBorders>
              <w:top w:val="single" w:sz="4" w:space="0" w:color="auto"/>
            </w:tcBorders>
          </w:tcPr>
          <w:p w14:paraId="3D8DD0E8" w14:textId="449A3BBB"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049430E6" w14:textId="47916CF3"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9" w:type="pct"/>
            <w:tcBorders>
              <w:top w:val="single" w:sz="4" w:space="0" w:color="auto"/>
            </w:tcBorders>
          </w:tcPr>
          <w:p w14:paraId="44248826" w14:textId="6E3DCD77"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Borders>
              <w:top w:val="single" w:sz="4" w:space="0" w:color="auto"/>
            </w:tcBorders>
          </w:tcPr>
          <w:p w14:paraId="4887F42B" w14:textId="2769B121"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3" w:type="pct"/>
            <w:tcBorders>
              <w:top w:val="single" w:sz="4" w:space="0" w:color="auto"/>
            </w:tcBorders>
          </w:tcPr>
          <w:p w14:paraId="22AEF1B6" w14:textId="1B32486D" w:rsidR="00C900BD" w:rsidRPr="00A030BE" w:rsidRDefault="00C900BD" w:rsidP="009C456B">
            <w:pPr>
              <w:pStyle w:val="TableText"/>
              <w:spacing w:before="12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r>
      <w:tr w:rsidR="00C900BD" w:rsidRPr="00A030BE" w14:paraId="0C6745AB" w14:textId="77777777" w:rsidTr="00A030BE">
        <w:trPr>
          <w:trHeight w:val="346"/>
        </w:trPr>
        <w:tc>
          <w:tcPr>
            <w:cnfStyle w:val="001000000000" w:firstRow="0" w:lastRow="0" w:firstColumn="1" w:lastColumn="0" w:oddVBand="0" w:evenVBand="0" w:oddHBand="0" w:evenHBand="0" w:firstRowFirstColumn="0" w:firstRowLastColumn="0" w:lastRowFirstColumn="0" w:lastRowLastColumn="0"/>
            <w:tcW w:w="620" w:type="pct"/>
          </w:tcPr>
          <w:p w14:paraId="1B43173F" w14:textId="77777777" w:rsidR="00C900BD" w:rsidRPr="00F84520" w:rsidRDefault="00C900BD" w:rsidP="009C456B">
            <w:pPr>
              <w:pStyle w:val="TableText"/>
              <w:spacing w:before="40" w:after="40" w:line="233" w:lineRule="auto"/>
              <w:rPr>
                <w:rStyle w:val="Bold"/>
              </w:rPr>
            </w:pPr>
            <w:r w:rsidRPr="00F84520">
              <w:rPr>
                <w:rStyle w:val="Bold"/>
              </w:rPr>
              <w:t>Items that will not be reclassified to net result</w:t>
            </w:r>
          </w:p>
        </w:tc>
        <w:tc>
          <w:tcPr>
            <w:tcW w:w="258" w:type="pct"/>
          </w:tcPr>
          <w:p w14:paraId="77DF7EFC" w14:textId="1CD15703"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8" w:type="pct"/>
          </w:tcPr>
          <w:p w14:paraId="5417851A" w14:textId="7AD4D5F2"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255A2484" w14:textId="48B349EC"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0E37AF47" w14:textId="0CBC421A"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094BE9AC" w14:textId="244AF723"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40502BC6" w14:textId="3DBB7FF1"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Pr>
          <w:p w14:paraId="0C2B3554" w14:textId="684F6B90"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Pr>
          <w:p w14:paraId="70A99913" w14:textId="76195F96"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Pr>
          <w:p w14:paraId="35626BA2" w14:textId="11F31EE1"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1" w:type="pct"/>
          </w:tcPr>
          <w:p w14:paraId="1BC7F7E7" w14:textId="56525759"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303" w:type="pct"/>
          </w:tcPr>
          <w:p w14:paraId="617E086C" w14:textId="53F3A1FD"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303" w:type="pct"/>
          </w:tcPr>
          <w:p w14:paraId="3B15F738" w14:textId="6BF24016"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54B9ECF8" w14:textId="310D81EA"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59" w:type="pct"/>
          </w:tcPr>
          <w:p w14:paraId="7BC4C6D3" w14:textId="540037CE"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5" w:type="pct"/>
          </w:tcPr>
          <w:p w14:paraId="470C7999" w14:textId="1CBD09EB"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c>
          <w:tcPr>
            <w:tcW w:w="283" w:type="pct"/>
          </w:tcPr>
          <w:p w14:paraId="44A1C09E" w14:textId="73113F15" w:rsidR="00C900BD" w:rsidRPr="00A030BE" w:rsidRDefault="00C900BD"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4E0F63">
              <w:rPr>
                <w:sz w:val="18"/>
                <w:szCs w:val="18"/>
              </w:rPr>
              <w:t>N/A</w:t>
            </w:r>
          </w:p>
        </w:tc>
      </w:tr>
      <w:tr w:rsidR="00A030BE" w:rsidRPr="00A030BE" w14:paraId="0C69B56A" w14:textId="77777777" w:rsidTr="00F84520">
        <w:trPr>
          <w:trHeight w:val="346"/>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14:paraId="70E8638C" w14:textId="045C550B" w:rsidR="00735149" w:rsidRPr="00A030BE" w:rsidRDefault="00735149" w:rsidP="009C456B">
            <w:pPr>
              <w:pStyle w:val="TableText"/>
              <w:spacing w:before="40" w:after="40" w:line="233" w:lineRule="auto"/>
              <w:rPr>
                <w:sz w:val="18"/>
                <w:szCs w:val="18"/>
              </w:rPr>
            </w:pPr>
            <w:r w:rsidRPr="00A030BE">
              <w:rPr>
                <w:sz w:val="18"/>
                <w:szCs w:val="18"/>
              </w:rPr>
              <w:t>Changes in physical asset revaluation reserve</w:t>
            </w:r>
            <w:hyperlink w:anchor="Note42note1" w:history="1">
              <w:r w:rsidR="000D2542" w:rsidRPr="000D2542">
                <w:rPr>
                  <w:sz w:val="18"/>
                  <w:szCs w:val="18"/>
                  <w:vertAlign w:val="superscript"/>
                </w:rPr>
                <w:t>(1)</w:t>
              </w:r>
            </w:hyperlink>
          </w:p>
        </w:tc>
        <w:tc>
          <w:tcPr>
            <w:tcW w:w="258" w:type="pct"/>
            <w:tcBorders>
              <w:bottom w:val="single" w:sz="4" w:space="0" w:color="auto"/>
            </w:tcBorders>
          </w:tcPr>
          <w:p w14:paraId="1E3FD51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14,950 </w:t>
            </w:r>
          </w:p>
        </w:tc>
        <w:tc>
          <w:tcPr>
            <w:tcW w:w="258" w:type="pct"/>
            <w:tcBorders>
              <w:bottom w:val="single" w:sz="4" w:space="0" w:color="auto"/>
            </w:tcBorders>
          </w:tcPr>
          <w:p w14:paraId="11DDB389"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8,218</w:t>
            </w:r>
          </w:p>
        </w:tc>
        <w:tc>
          <w:tcPr>
            <w:tcW w:w="285" w:type="pct"/>
            <w:tcBorders>
              <w:bottom w:val="single" w:sz="4" w:space="0" w:color="auto"/>
            </w:tcBorders>
          </w:tcPr>
          <w:p w14:paraId="013D57C1"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13,383 </w:t>
            </w:r>
          </w:p>
        </w:tc>
        <w:tc>
          <w:tcPr>
            <w:tcW w:w="285" w:type="pct"/>
            <w:tcBorders>
              <w:bottom w:val="single" w:sz="4" w:space="0" w:color="auto"/>
            </w:tcBorders>
          </w:tcPr>
          <w:p w14:paraId="295C377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16,040</w:t>
            </w:r>
          </w:p>
        </w:tc>
        <w:tc>
          <w:tcPr>
            <w:tcW w:w="285" w:type="pct"/>
            <w:tcBorders>
              <w:bottom w:val="single" w:sz="4" w:space="0" w:color="auto"/>
            </w:tcBorders>
          </w:tcPr>
          <w:p w14:paraId="51C7C9F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11,021 </w:t>
            </w:r>
          </w:p>
        </w:tc>
        <w:tc>
          <w:tcPr>
            <w:tcW w:w="285" w:type="pct"/>
            <w:tcBorders>
              <w:bottom w:val="single" w:sz="4" w:space="0" w:color="auto"/>
            </w:tcBorders>
          </w:tcPr>
          <w:p w14:paraId="789BB48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21,213</w:t>
            </w:r>
          </w:p>
        </w:tc>
        <w:tc>
          <w:tcPr>
            <w:tcW w:w="251" w:type="pct"/>
            <w:tcBorders>
              <w:bottom w:val="single" w:sz="4" w:space="0" w:color="auto"/>
            </w:tcBorders>
          </w:tcPr>
          <w:p w14:paraId="4F697DC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2,341 </w:t>
            </w:r>
          </w:p>
        </w:tc>
        <w:tc>
          <w:tcPr>
            <w:tcW w:w="251" w:type="pct"/>
            <w:tcBorders>
              <w:bottom w:val="single" w:sz="4" w:space="0" w:color="auto"/>
            </w:tcBorders>
          </w:tcPr>
          <w:p w14:paraId="1D0B288A"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2,483</w:t>
            </w:r>
          </w:p>
        </w:tc>
        <w:tc>
          <w:tcPr>
            <w:tcW w:w="251" w:type="pct"/>
            <w:tcBorders>
              <w:bottom w:val="single" w:sz="4" w:space="0" w:color="auto"/>
            </w:tcBorders>
          </w:tcPr>
          <w:p w14:paraId="501F098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251" w:type="pct"/>
            <w:tcBorders>
              <w:bottom w:val="single" w:sz="4" w:space="0" w:color="auto"/>
            </w:tcBorders>
          </w:tcPr>
          <w:p w14:paraId="51BD60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303" w:type="pct"/>
            <w:tcBorders>
              <w:bottom w:val="single" w:sz="4" w:space="0" w:color="auto"/>
            </w:tcBorders>
          </w:tcPr>
          <w:p w14:paraId="692259C7"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0 </w:t>
            </w:r>
          </w:p>
        </w:tc>
        <w:tc>
          <w:tcPr>
            <w:tcW w:w="303" w:type="pct"/>
            <w:tcBorders>
              <w:bottom w:val="single" w:sz="4" w:space="0" w:color="auto"/>
            </w:tcBorders>
          </w:tcPr>
          <w:p w14:paraId="65DB2206"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0</w:t>
            </w:r>
          </w:p>
        </w:tc>
        <w:tc>
          <w:tcPr>
            <w:tcW w:w="285" w:type="pct"/>
            <w:tcBorders>
              <w:bottom w:val="single" w:sz="4" w:space="0" w:color="auto"/>
            </w:tcBorders>
          </w:tcPr>
          <w:p w14:paraId="22B52E40"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2,642 </w:t>
            </w:r>
          </w:p>
        </w:tc>
        <w:tc>
          <w:tcPr>
            <w:tcW w:w="259" w:type="pct"/>
            <w:tcBorders>
              <w:bottom w:val="single" w:sz="4" w:space="0" w:color="auto"/>
            </w:tcBorders>
          </w:tcPr>
          <w:p w14:paraId="1BBC2093"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5,891 </w:t>
            </w:r>
          </w:p>
        </w:tc>
        <w:tc>
          <w:tcPr>
            <w:tcW w:w="285" w:type="pct"/>
            <w:tcBorders>
              <w:bottom w:val="single" w:sz="4" w:space="0" w:color="auto"/>
            </w:tcBorders>
          </w:tcPr>
          <w:p w14:paraId="1B3A5A48"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 xml:space="preserve">44,337 </w:t>
            </w:r>
          </w:p>
        </w:tc>
        <w:tc>
          <w:tcPr>
            <w:tcW w:w="283" w:type="pct"/>
            <w:tcBorders>
              <w:bottom w:val="single" w:sz="4" w:space="0" w:color="auto"/>
            </w:tcBorders>
          </w:tcPr>
          <w:p w14:paraId="28A63C72" w14:textId="77777777" w:rsidR="00735149" w:rsidRPr="00A030BE"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sz w:val="18"/>
                <w:szCs w:val="18"/>
              </w:rPr>
            </w:pPr>
            <w:r w:rsidRPr="00A030BE">
              <w:rPr>
                <w:sz w:val="18"/>
                <w:szCs w:val="18"/>
              </w:rPr>
              <w:t>53,844</w:t>
            </w:r>
          </w:p>
        </w:tc>
      </w:tr>
      <w:tr w:rsidR="00A030BE" w:rsidRPr="00F84520" w14:paraId="0D411C6D" w14:textId="77777777" w:rsidTr="00F84520">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bottom w:val="single" w:sz="4" w:space="0" w:color="auto"/>
            </w:tcBorders>
          </w:tcPr>
          <w:p w14:paraId="4E61485F" w14:textId="77777777" w:rsidR="00735149" w:rsidRPr="00F84520" w:rsidRDefault="00735149" w:rsidP="009C456B">
            <w:pPr>
              <w:pStyle w:val="TableText"/>
              <w:spacing w:before="40" w:after="40" w:line="233" w:lineRule="auto"/>
              <w:rPr>
                <w:rStyle w:val="Bold"/>
                <w:sz w:val="18"/>
                <w:szCs w:val="18"/>
              </w:rPr>
            </w:pPr>
            <w:r w:rsidRPr="00F84520">
              <w:rPr>
                <w:rStyle w:val="Bold"/>
                <w:sz w:val="18"/>
                <w:szCs w:val="18"/>
              </w:rPr>
              <w:t>Total other economic flows – other comprehensive income</w:t>
            </w:r>
          </w:p>
        </w:tc>
        <w:tc>
          <w:tcPr>
            <w:tcW w:w="258" w:type="pct"/>
            <w:tcBorders>
              <w:top w:val="single" w:sz="4" w:space="0" w:color="auto"/>
              <w:bottom w:val="single" w:sz="4" w:space="0" w:color="auto"/>
            </w:tcBorders>
          </w:tcPr>
          <w:p w14:paraId="05224C71"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14,950 </w:t>
            </w:r>
          </w:p>
        </w:tc>
        <w:tc>
          <w:tcPr>
            <w:tcW w:w="258" w:type="pct"/>
            <w:tcBorders>
              <w:top w:val="single" w:sz="4" w:space="0" w:color="auto"/>
              <w:bottom w:val="single" w:sz="4" w:space="0" w:color="auto"/>
            </w:tcBorders>
          </w:tcPr>
          <w:p w14:paraId="0FDB3C0F"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8,218</w:t>
            </w:r>
          </w:p>
        </w:tc>
        <w:tc>
          <w:tcPr>
            <w:tcW w:w="285" w:type="pct"/>
            <w:tcBorders>
              <w:top w:val="single" w:sz="4" w:space="0" w:color="auto"/>
              <w:bottom w:val="single" w:sz="4" w:space="0" w:color="auto"/>
            </w:tcBorders>
          </w:tcPr>
          <w:p w14:paraId="689BB6FB"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13,383 </w:t>
            </w:r>
          </w:p>
        </w:tc>
        <w:tc>
          <w:tcPr>
            <w:tcW w:w="285" w:type="pct"/>
            <w:tcBorders>
              <w:top w:val="single" w:sz="4" w:space="0" w:color="auto"/>
              <w:bottom w:val="single" w:sz="4" w:space="0" w:color="auto"/>
            </w:tcBorders>
          </w:tcPr>
          <w:p w14:paraId="38C7A97B"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16,040</w:t>
            </w:r>
          </w:p>
        </w:tc>
        <w:tc>
          <w:tcPr>
            <w:tcW w:w="285" w:type="pct"/>
            <w:tcBorders>
              <w:top w:val="single" w:sz="4" w:space="0" w:color="auto"/>
              <w:bottom w:val="single" w:sz="4" w:space="0" w:color="auto"/>
            </w:tcBorders>
          </w:tcPr>
          <w:p w14:paraId="5EBD958B"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11,021 </w:t>
            </w:r>
          </w:p>
        </w:tc>
        <w:tc>
          <w:tcPr>
            <w:tcW w:w="285" w:type="pct"/>
            <w:tcBorders>
              <w:top w:val="single" w:sz="4" w:space="0" w:color="auto"/>
              <w:bottom w:val="single" w:sz="4" w:space="0" w:color="auto"/>
            </w:tcBorders>
          </w:tcPr>
          <w:p w14:paraId="2A1EE8BD"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21,213</w:t>
            </w:r>
          </w:p>
        </w:tc>
        <w:tc>
          <w:tcPr>
            <w:tcW w:w="251" w:type="pct"/>
            <w:tcBorders>
              <w:top w:val="single" w:sz="4" w:space="0" w:color="auto"/>
              <w:bottom w:val="single" w:sz="4" w:space="0" w:color="auto"/>
            </w:tcBorders>
          </w:tcPr>
          <w:p w14:paraId="0D800E56"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2,341 </w:t>
            </w:r>
          </w:p>
        </w:tc>
        <w:tc>
          <w:tcPr>
            <w:tcW w:w="251" w:type="pct"/>
            <w:tcBorders>
              <w:top w:val="single" w:sz="4" w:space="0" w:color="auto"/>
              <w:bottom w:val="single" w:sz="4" w:space="0" w:color="auto"/>
            </w:tcBorders>
          </w:tcPr>
          <w:p w14:paraId="04B2AD06"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2,483</w:t>
            </w:r>
          </w:p>
        </w:tc>
        <w:tc>
          <w:tcPr>
            <w:tcW w:w="251" w:type="pct"/>
            <w:tcBorders>
              <w:top w:val="single" w:sz="4" w:space="0" w:color="auto"/>
              <w:bottom w:val="single" w:sz="4" w:space="0" w:color="auto"/>
            </w:tcBorders>
          </w:tcPr>
          <w:p w14:paraId="55A45FFF"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0 </w:t>
            </w:r>
          </w:p>
        </w:tc>
        <w:tc>
          <w:tcPr>
            <w:tcW w:w="251" w:type="pct"/>
            <w:tcBorders>
              <w:top w:val="single" w:sz="4" w:space="0" w:color="auto"/>
              <w:bottom w:val="single" w:sz="4" w:space="0" w:color="auto"/>
            </w:tcBorders>
          </w:tcPr>
          <w:p w14:paraId="1E03A8E8"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0</w:t>
            </w:r>
          </w:p>
        </w:tc>
        <w:tc>
          <w:tcPr>
            <w:tcW w:w="303" w:type="pct"/>
            <w:tcBorders>
              <w:top w:val="single" w:sz="4" w:space="0" w:color="auto"/>
              <w:bottom w:val="single" w:sz="4" w:space="0" w:color="auto"/>
            </w:tcBorders>
          </w:tcPr>
          <w:p w14:paraId="0D739C02"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0 </w:t>
            </w:r>
          </w:p>
        </w:tc>
        <w:tc>
          <w:tcPr>
            <w:tcW w:w="303" w:type="pct"/>
            <w:tcBorders>
              <w:top w:val="single" w:sz="4" w:space="0" w:color="auto"/>
              <w:bottom w:val="single" w:sz="4" w:space="0" w:color="auto"/>
            </w:tcBorders>
          </w:tcPr>
          <w:p w14:paraId="2734B665"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0</w:t>
            </w:r>
          </w:p>
        </w:tc>
        <w:tc>
          <w:tcPr>
            <w:tcW w:w="285" w:type="pct"/>
            <w:tcBorders>
              <w:top w:val="single" w:sz="4" w:space="0" w:color="auto"/>
              <w:bottom w:val="single" w:sz="4" w:space="0" w:color="auto"/>
            </w:tcBorders>
          </w:tcPr>
          <w:p w14:paraId="2C4606FA"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2,642 </w:t>
            </w:r>
          </w:p>
        </w:tc>
        <w:tc>
          <w:tcPr>
            <w:tcW w:w="259" w:type="pct"/>
            <w:tcBorders>
              <w:top w:val="single" w:sz="4" w:space="0" w:color="auto"/>
              <w:bottom w:val="single" w:sz="4" w:space="0" w:color="auto"/>
            </w:tcBorders>
          </w:tcPr>
          <w:p w14:paraId="158666D6"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5,891 </w:t>
            </w:r>
          </w:p>
        </w:tc>
        <w:tc>
          <w:tcPr>
            <w:tcW w:w="285" w:type="pct"/>
            <w:tcBorders>
              <w:top w:val="single" w:sz="4" w:space="0" w:color="auto"/>
              <w:bottom w:val="single" w:sz="4" w:space="0" w:color="auto"/>
            </w:tcBorders>
          </w:tcPr>
          <w:p w14:paraId="6023D431"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44,337 </w:t>
            </w:r>
          </w:p>
        </w:tc>
        <w:tc>
          <w:tcPr>
            <w:tcW w:w="283" w:type="pct"/>
            <w:tcBorders>
              <w:top w:val="single" w:sz="4" w:space="0" w:color="auto"/>
              <w:bottom w:val="single" w:sz="4" w:space="0" w:color="auto"/>
            </w:tcBorders>
          </w:tcPr>
          <w:p w14:paraId="59903B55"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53,844</w:t>
            </w:r>
          </w:p>
        </w:tc>
      </w:tr>
      <w:tr w:rsidR="00A030BE" w:rsidRPr="00F84520" w14:paraId="26189C8A" w14:textId="77777777" w:rsidTr="00F84520">
        <w:trPr>
          <w:trHeight w:val="346"/>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14:paraId="15EC2E55" w14:textId="77777777" w:rsidR="00735149" w:rsidRPr="00F84520" w:rsidRDefault="00735149" w:rsidP="009C456B">
            <w:pPr>
              <w:pStyle w:val="TableText"/>
              <w:spacing w:before="40" w:after="40" w:line="233" w:lineRule="auto"/>
              <w:rPr>
                <w:rStyle w:val="Bold"/>
                <w:sz w:val="18"/>
                <w:szCs w:val="18"/>
              </w:rPr>
            </w:pPr>
            <w:r w:rsidRPr="00F84520">
              <w:rPr>
                <w:rStyle w:val="Bold"/>
                <w:sz w:val="18"/>
                <w:szCs w:val="18"/>
              </w:rPr>
              <w:t>Comprehensive result</w:t>
            </w:r>
          </w:p>
        </w:tc>
        <w:tc>
          <w:tcPr>
            <w:tcW w:w="258" w:type="pct"/>
            <w:tcBorders>
              <w:top w:val="single" w:sz="4" w:space="0" w:color="auto"/>
            </w:tcBorders>
          </w:tcPr>
          <w:p w14:paraId="20BA3737"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12,142 </w:t>
            </w:r>
          </w:p>
        </w:tc>
        <w:tc>
          <w:tcPr>
            <w:tcW w:w="258" w:type="pct"/>
            <w:tcBorders>
              <w:top w:val="single" w:sz="4" w:space="0" w:color="auto"/>
            </w:tcBorders>
          </w:tcPr>
          <w:p w14:paraId="22E505A2"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7,285 </w:t>
            </w:r>
          </w:p>
        </w:tc>
        <w:tc>
          <w:tcPr>
            <w:tcW w:w="285" w:type="pct"/>
            <w:tcBorders>
              <w:top w:val="single" w:sz="4" w:space="0" w:color="auto"/>
            </w:tcBorders>
          </w:tcPr>
          <w:p w14:paraId="4715EAB9"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12,503 </w:t>
            </w:r>
          </w:p>
        </w:tc>
        <w:tc>
          <w:tcPr>
            <w:tcW w:w="285" w:type="pct"/>
            <w:tcBorders>
              <w:top w:val="single" w:sz="4" w:space="0" w:color="auto"/>
            </w:tcBorders>
          </w:tcPr>
          <w:p w14:paraId="2EDA9100"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7,143 </w:t>
            </w:r>
          </w:p>
        </w:tc>
        <w:tc>
          <w:tcPr>
            <w:tcW w:w="285" w:type="pct"/>
            <w:tcBorders>
              <w:top w:val="single" w:sz="4" w:space="0" w:color="auto"/>
            </w:tcBorders>
          </w:tcPr>
          <w:p w14:paraId="11F98605"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15,702 </w:t>
            </w:r>
          </w:p>
        </w:tc>
        <w:tc>
          <w:tcPr>
            <w:tcW w:w="285" w:type="pct"/>
            <w:tcBorders>
              <w:top w:val="single" w:sz="4" w:space="0" w:color="auto"/>
            </w:tcBorders>
          </w:tcPr>
          <w:p w14:paraId="2C971934"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29,859 </w:t>
            </w:r>
          </w:p>
        </w:tc>
        <w:tc>
          <w:tcPr>
            <w:tcW w:w="251" w:type="pct"/>
            <w:tcBorders>
              <w:top w:val="single" w:sz="4" w:space="0" w:color="auto"/>
            </w:tcBorders>
          </w:tcPr>
          <w:p w14:paraId="34526392"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1,942 </w:t>
            </w:r>
          </w:p>
        </w:tc>
        <w:tc>
          <w:tcPr>
            <w:tcW w:w="251" w:type="pct"/>
            <w:tcBorders>
              <w:top w:val="single" w:sz="4" w:space="0" w:color="auto"/>
            </w:tcBorders>
          </w:tcPr>
          <w:p w14:paraId="57C2A42A"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3,047 </w:t>
            </w:r>
          </w:p>
        </w:tc>
        <w:tc>
          <w:tcPr>
            <w:tcW w:w="251" w:type="pct"/>
            <w:tcBorders>
              <w:top w:val="single" w:sz="4" w:space="0" w:color="auto"/>
            </w:tcBorders>
          </w:tcPr>
          <w:p w14:paraId="6120CE13"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196 </w:t>
            </w:r>
          </w:p>
        </w:tc>
        <w:tc>
          <w:tcPr>
            <w:tcW w:w="251" w:type="pct"/>
            <w:tcBorders>
              <w:top w:val="single" w:sz="4" w:space="0" w:color="auto"/>
            </w:tcBorders>
          </w:tcPr>
          <w:p w14:paraId="428EA18B"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(79)</w:t>
            </w:r>
          </w:p>
        </w:tc>
        <w:tc>
          <w:tcPr>
            <w:tcW w:w="303" w:type="pct"/>
            <w:tcBorders>
              <w:top w:val="single" w:sz="4" w:space="0" w:color="auto"/>
            </w:tcBorders>
          </w:tcPr>
          <w:p w14:paraId="74D827E3"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(2,057)</w:t>
            </w:r>
          </w:p>
        </w:tc>
        <w:tc>
          <w:tcPr>
            <w:tcW w:w="303" w:type="pct"/>
            <w:tcBorders>
              <w:top w:val="single" w:sz="4" w:space="0" w:color="auto"/>
            </w:tcBorders>
          </w:tcPr>
          <w:p w14:paraId="237F19DD"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131 </w:t>
            </w:r>
          </w:p>
        </w:tc>
        <w:tc>
          <w:tcPr>
            <w:tcW w:w="285" w:type="pct"/>
            <w:tcBorders>
              <w:top w:val="single" w:sz="4" w:space="0" w:color="auto"/>
            </w:tcBorders>
          </w:tcPr>
          <w:p w14:paraId="5E100A6D"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7,046 </w:t>
            </w:r>
          </w:p>
        </w:tc>
        <w:tc>
          <w:tcPr>
            <w:tcW w:w="259" w:type="pct"/>
            <w:tcBorders>
              <w:top w:val="single" w:sz="4" w:space="0" w:color="auto"/>
            </w:tcBorders>
          </w:tcPr>
          <w:p w14:paraId="286CDAF4"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1,873 </w:t>
            </w:r>
          </w:p>
        </w:tc>
        <w:tc>
          <w:tcPr>
            <w:tcW w:w="285" w:type="pct"/>
            <w:tcBorders>
              <w:top w:val="single" w:sz="4" w:space="0" w:color="auto"/>
            </w:tcBorders>
          </w:tcPr>
          <w:p w14:paraId="731896EF"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 xml:space="preserve">47,475 </w:t>
            </w:r>
          </w:p>
        </w:tc>
        <w:tc>
          <w:tcPr>
            <w:tcW w:w="283" w:type="pct"/>
            <w:tcBorders>
              <w:top w:val="single" w:sz="4" w:space="0" w:color="auto"/>
            </w:tcBorders>
          </w:tcPr>
          <w:p w14:paraId="116335EE" w14:textId="77777777" w:rsidR="00735149" w:rsidRPr="00F84520" w:rsidRDefault="00735149" w:rsidP="009C456B">
            <w:pPr>
              <w:pStyle w:val="TableText"/>
              <w:spacing w:before="40" w:after="40" w:line="233" w:lineRule="auto"/>
              <w:cnfStyle w:val="000000000000" w:firstRow="0" w:lastRow="0" w:firstColumn="0" w:lastColumn="0" w:oddVBand="0" w:evenVBand="0" w:oddHBand="0" w:evenHBand="0" w:firstRowFirstColumn="0" w:firstRowLastColumn="0" w:lastRowFirstColumn="0" w:lastRowLastColumn="0"/>
              <w:rPr>
                <w:rStyle w:val="Bold"/>
                <w:sz w:val="18"/>
                <w:szCs w:val="18"/>
              </w:rPr>
            </w:pPr>
            <w:r w:rsidRPr="00F84520">
              <w:rPr>
                <w:rStyle w:val="Bold"/>
                <w:sz w:val="18"/>
                <w:szCs w:val="18"/>
              </w:rPr>
              <w:t>49,258</w:t>
            </w:r>
          </w:p>
        </w:tc>
      </w:tr>
    </w:tbl>
    <w:p w14:paraId="00D3E1B5" w14:textId="77777777" w:rsidR="00F84520" w:rsidRDefault="00F84520" w:rsidP="00F84520">
      <w:pPr>
        <w:pStyle w:val="NotesText"/>
      </w:pPr>
      <w:r>
        <w:t>Note:</w:t>
      </w:r>
    </w:p>
    <w:p w14:paraId="20C3011B" w14:textId="16ACF0E3" w:rsidR="00735149" w:rsidRDefault="00F84520" w:rsidP="00F110E7">
      <w:pPr>
        <w:pStyle w:val="NotesNumberedList"/>
        <w:numPr>
          <w:ilvl w:val="0"/>
          <w:numId w:val="40"/>
        </w:numPr>
      </w:pPr>
      <w:bookmarkStart w:id="309" w:name="Note42note1"/>
      <w:bookmarkEnd w:id="309"/>
      <w:r>
        <w:t>Non-financial assets, Capital asset charge and Changes in physical asset revaluation reserve have been allocated by Jurisdiction.</w:t>
      </w:r>
    </w:p>
    <w:p w14:paraId="0F5A3550" w14:textId="61D2D5B9" w:rsidR="00D02EC5" w:rsidRDefault="004B4873" w:rsidP="00D02EC5">
      <w:pPr>
        <w:pStyle w:val="Heading4"/>
      </w:pPr>
      <w:r>
        <w:t xml:space="preserve">Schedule B–Controlled Assets and Liabilities </w:t>
      </w:r>
      <w:r w:rsidR="007B4F37">
        <w:t>b</w:t>
      </w:r>
      <w:r>
        <w:t xml:space="preserve">y Jurisdiction </w:t>
      </w:r>
      <w:r w:rsidR="007B4F37">
        <w:t>f</w:t>
      </w:r>
      <w:r>
        <w:t>or the Year Ended 30 June 20</w:t>
      </w:r>
      <w:r w:rsidR="00D02EC5">
        <w:t>20</w:t>
      </w:r>
    </w:p>
    <w:tbl>
      <w:tblPr>
        <w:tblStyle w:val="AccessibleTableNumerical"/>
        <w:tblW w:w="5000" w:type="pct"/>
        <w:tblLook w:val="04A0" w:firstRow="1" w:lastRow="0" w:firstColumn="1" w:lastColumn="0" w:noHBand="0" w:noVBand="1"/>
      </w:tblPr>
      <w:tblGrid>
        <w:gridCol w:w="2638"/>
        <w:gridCol w:w="1307"/>
        <w:gridCol w:w="1311"/>
        <w:gridCol w:w="1307"/>
        <w:gridCol w:w="1311"/>
        <w:gridCol w:w="1306"/>
        <w:gridCol w:w="1314"/>
        <w:gridCol w:w="1004"/>
        <w:gridCol w:w="1008"/>
        <w:gridCol w:w="1004"/>
        <w:gridCol w:w="1008"/>
        <w:gridCol w:w="1306"/>
        <w:gridCol w:w="1306"/>
        <w:gridCol w:w="1077"/>
        <w:gridCol w:w="1077"/>
        <w:gridCol w:w="1142"/>
        <w:gridCol w:w="1120"/>
      </w:tblGrid>
      <w:tr w:rsidR="00C900BD" w:rsidRPr="00C900BD" w14:paraId="292B310D" w14:textId="77777777" w:rsidTr="00C900BD">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612" w:type="pct"/>
          </w:tcPr>
          <w:p w14:paraId="5D2770E6" w14:textId="77D75DE1" w:rsidR="00C900BD" w:rsidRPr="00C900BD" w:rsidRDefault="00C900BD" w:rsidP="00C900BD">
            <w:pPr>
              <w:pStyle w:val="TableText"/>
              <w:rPr>
                <w:sz w:val="18"/>
                <w:szCs w:val="18"/>
              </w:rPr>
            </w:pPr>
            <w:bookmarkStart w:id="310" w:name="ColumnTitle_66117"/>
            <w:r>
              <w:rPr>
                <w:sz w:val="18"/>
                <w:szCs w:val="18"/>
              </w:rPr>
              <w:t>Item</w:t>
            </w:r>
          </w:p>
        </w:tc>
        <w:tc>
          <w:tcPr>
            <w:tcW w:w="303" w:type="pct"/>
            <w:vAlign w:val="bottom"/>
          </w:tcPr>
          <w:p w14:paraId="4D230823" w14:textId="116FF179"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Supreme Court of Victoria</w:t>
            </w:r>
            <w:r w:rsidR="00F37B01">
              <w:rPr>
                <w:sz w:val="18"/>
                <w:szCs w:val="18"/>
              </w:rPr>
              <w:br/>
            </w:r>
            <w:r>
              <w:rPr>
                <w:sz w:val="18"/>
                <w:szCs w:val="18"/>
              </w:rPr>
              <w:t>2020</w:t>
            </w:r>
            <w:r>
              <w:rPr>
                <w:sz w:val="18"/>
                <w:szCs w:val="18"/>
              </w:rPr>
              <w:br/>
              <w:t>$’000</w:t>
            </w:r>
          </w:p>
        </w:tc>
        <w:tc>
          <w:tcPr>
            <w:tcW w:w="304" w:type="pct"/>
            <w:vAlign w:val="bottom"/>
          </w:tcPr>
          <w:p w14:paraId="53FC05B9" w14:textId="2F49DC48"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Supreme Court of Victoria</w:t>
            </w:r>
            <w:r w:rsidR="00F37B01">
              <w:rPr>
                <w:sz w:val="18"/>
                <w:szCs w:val="18"/>
              </w:rPr>
              <w:br/>
            </w:r>
            <w:r>
              <w:rPr>
                <w:sz w:val="18"/>
                <w:szCs w:val="18"/>
              </w:rPr>
              <w:t>2019</w:t>
            </w:r>
            <w:r>
              <w:rPr>
                <w:sz w:val="18"/>
                <w:szCs w:val="18"/>
              </w:rPr>
              <w:br/>
              <w:t>$’000</w:t>
            </w:r>
          </w:p>
        </w:tc>
        <w:tc>
          <w:tcPr>
            <w:tcW w:w="303" w:type="pct"/>
            <w:vAlign w:val="bottom"/>
          </w:tcPr>
          <w:p w14:paraId="06747057" w14:textId="775665DB"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County Court of Victoria 2020</w:t>
            </w:r>
            <w:r>
              <w:rPr>
                <w:sz w:val="18"/>
                <w:szCs w:val="18"/>
              </w:rPr>
              <w:br/>
              <w:t>$’000</w:t>
            </w:r>
          </w:p>
        </w:tc>
        <w:tc>
          <w:tcPr>
            <w:tcW w:w="304" w:type="pct"/>
            <w:vAlign w:val="bottom"/>
          </w:tcPr>
          <w:p w14:paraId="3C065CD3" w14:textId="35D4541B"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County Court of Victoria 2019</w:t>
            </w:r>
            <w:r>
              <w:rPr>
                <w:sz w:val="18"/>
                <w:szCs w:val="18"/>
              </w:rPr>
              <w:br/>
              <w:t>$’000</w:t>
            </w:r>
          </w:p>
        </w:tc>
        <w:tc>
          <w:tcPr>
            <w:tcW w:w="303" w:type="pct"/>
            <w:vAlign w:val="bottom"/>
          </w:tcPr>
          <w:p w14:paraId="5B23CC5D" w14:textId="3D34CB8C"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Magistrates’ Court of Victoria</w:t>
            </w:r>
            <w:r w:rsidR="00F37B01">
              <w:rPr>
                <w:sz w:val="18"/>
                <w:szCs w:val="18"/>
              </w:rPr>
              <w:br/>
            </w:r>
            <w:r>
              <w:rPr>
                <w:sz w:val="18"/>
                <w:szCs w:val="18"/>
              </w:rPr>
              <w:t>2020</w:t>
            </w:r>
            <w:r>
              <w:rPr>
                <w:sz w:val="18"/>
                <w:szCs w:val="18"/>
              </w:rPr>
              <w:br/>
              <w:t>$’000</w:t>
            </w:r>
          </w:p>
        </w:tc>
        <w:tc>
          <w:tcPr>
            <w:tcW w:w="305" w:type="pct"/>
            <w:vAlign w:val="bottom"/>
          </w:tcPr>
          <w:p w14:paraId="0763F118" w14:textId="798F67F2"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Magistrates’ Court of Victoria</w:t>
            </w:r>
            <w:r w:rsidR="00F37B01">
              <w:rPr>
                <w:sz w:val="18"/>
                <w:szCs w:val="18"/>
              </w:rPr>
              <w:br/>
            </w:r>
            <w:r>
              <w:rPr>
                <w:sz w:val="18"/>
                <w:szCs w:val="18"/>
              </w:rPr>
              <w:t>2019</w:t>
            </w:r>
            <w:r>
              <w:rPr>
                <w:sz w:val="18"/>
                <w:szCs w:val="18"/>
              </w:rPr>
              <w:br/>
              <w:t>$’000</w:t>
            </w:r>
          </w:p>
        </w:tc>
        <w:tc>
          <w:tcPr>
            <w:tcW w:w="233" w:type="pct"/>
            <w:vAlign w:val="bottom"/>
          </w:tcPr>
          <w:p w14:paraId="3E4040C5" w14:textId="0FDCC6AE"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Children’s Court of Victoria 2020</w:t>
            </w:r>
            <w:r>
              <w:rPr>
                <w:sz w:val="18"/>
                <w:szCs w:val="18"/>
              </w:rPr>
              <w:br/>
              <w:t>$’000</w:t>
            </w:r>
          </w:p>
        </w:tc>
        <w:tc>
          <w:tcPr>
            <w:tcW w:w="234" w:type="pct"/>
            <w:vAlign w:val="bottom"/>
          </w:tcPr>
          <w:p w14:paraId="4201A6C0" w14:textId="52528257"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Children’s Court of Victoria 2019</w:t>
            </w:r>
            <w:r>
              <w:rPr>
                <w:sz w:val="18"/>
                <w:szCs w:val="18"/>
              </w:rPr>
              <w:br/>
              <w:t>$’000</w:t>
            </w:r>
          </w:p>
        </w:tc>
        <w:tc>
          <w:tcPr>
            <w:tcW w:w="233" w:type="pct"/>
            <w:vAlign w:val="bottom"/>
          </w:tcPr>
          <w:p w14:paraId="5466DDC7" w14:textId="59DC7931"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Coroners Court of Victoria 2020</w:t>
            </w:r>
            <w:r>
              <w:rPr>
                <w:sz w:val="18"/>
                <w:szCs w:val="18"/>
              </w:rPr>
              <w:br/>
              <w:t>$’000</w:t>
            </w:r>
          </w:p>
        </w:tc>
        <w:tc>
          <w:tcPr>
            <w:tcW w:w="234" w:type="pct"/>
            <w:vAlign w:val="bottom"/>
          </w:tcPr>
          <w:p w14:paraId="095706D2" w14:textId="42230116"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Coroners Court of Victoria 2019</w:t>
            </w:r>
            <w:r>
              <w:rPr>
                <w:sz w:val="18"/>
                <w:szCs w:val="18"/>
              </w:rPr>
              <w:br/>
              <w:t>$’000</w:t>
            </w:r>
          </w:p>
        </w:tc>
        <w:tc>
          <w:tcPr>
            <w:tcW w:w="303" w:type="pct"/>
            <w:vAlign w:val="bottom"/>
          </w:tcPr>
          <w:p w14:paraId="6AAD4C80" w14:textId="6C191708"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Victorian Civil &amp; Administrative Tribunal</w:t>
            </w:r>
            <w:r>
              <w:rPr>
                <w:sz w:val="18"/>
                <w:szCs w:val="18"/>
              </w:rPr>
              <w:br/>
              <w:t>2020</w:t>
            </w:r>
            <w:r>
              <w:rPr>
                <w:sz w:val="18"/>
                <w:szCs w:val="18"/>
              </w:rPr>
              <w:br/>
              <w:t>$’000</w:t>
            </w:r>
          </w:p>
        </w:tc>
        <w:tc>
          <w:tcPr>
            <w:tcW w:w="303" w:type="pct"/>
            <w:vAlign w:val="bottom"/>
          </w:tcPr>
          <w:p w14:paraId="155CBCC5" w14:textId="5F8A7810"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Victorian Civil &amp; Administrative Tribunal</w:t>
            </w:r>
            <w:r>
              <w:rPr>
                <w:sz w:val="18"/>
                <w:szCs w:val="18"/>
              </w:rPr>
              <w:br/>
              <w:t>2019</w:t>
            </w:r>
            <w:r>
              <w:rPr>
                <w:sz w:val="18"/>
                <w:szCs w:val="18"/>
              </w:rPr>
              <w:br/>
              <w:t>$’000</w:t>
            </w:r>
          </w:p>
        </w:tc>
        <w:tc>
          <w:tcPr>
            <w:tcW w:w="250" w:type="pct"/>
            <w:vAlign w:val="bottom"/>
          </w:tcPr>
          <w:p w14:paraId="21C2851F" w14:textId="2AA2F2FD"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Jurisdiction Services 2020</w:t>
            </w:r>
            <w:r>
              <w:rPr>
                <w:sz w:val="18"/>
                <w:szCs w:val="18"/>
              </w:rPr>
              <w:br/>
              <w:t>$’000</w:t>
            </w:r>
          </w:p>
        </w:tc>
        <w:tc>
          <w:tcPr>
            <w:tcW w:w="250" w:type="pct"/>
            <w:vAlign w:val="bottom"/>
          </w:tcPr>
          <w:p w14:paraId="3E79A88A" w14:textId="3F0A544C"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Jurisdiction Services 2019</w:t>
            </w:r>
            <w:r>
              <w:rPr>
                <w:sz w:val="18"/>
                <w:szCs w:val="18"/>
              </w:rPr>
              <w:br/>
              <w:t>$000</w:t>
            </w:r>
          </w:p>
        </w:tc>
        <w:tc>
          <w:tcPr>
            <w:tcW w:w="265" w:type="pct"/>
            <w:vAlign w:val="bottom"/>
          </w:tcPr>
          <w:p w14:paraId="5C438B66" w14:textId="75BC6371"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Pr>
                <w:sz w:val="18"/>
                <w:szCs w:val="18"/>
              </w:rPr>
              <w:br/>
              <w:t>2020</w:t>
            </w:r>
            <w:r>
              <w:rPr>
                <w:sz w:val="18"/>
                <w:szCs w:val="18"/>
              </w:rPr>
              <w:br/>
              <w:t>$’000</w:t>
            </w:r>
          </w:p>
        </w:tc>
        <w:tc>
          <w:tcPr>
            <w:tcW w:w="260" w:type="pct"/>
            <w:vAlign w:val="bottom"/>
          </w:tcPr>
          <w:p w14:paraId="2647BD05" w14:textId="7BA8535D" w:rsidR="00C900BD" w:rsidRPr="00C900BD" w:rsidRDefault="00C900BD" w:rsidP="00C900BD">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Pr>
                <w:sz w:val="18"/>
                <w:szCs w:val="18"/>
              </w:rPr>
              <w:br/>
              <w:t>2019</w:t>
            </w:r>
            <w:r>
              <w:rPr>
                <w:sz w:val="18"/>
                <w:szCs w:val="18"/>
              </w:rPr>
              <w:br/>
              <w:t>$’000</w:t>
            </w:r>
          </w:p>
        </w:tc>
      </w:tr>
      <w:bookmarkEnd w:id="310"/>
      <w:tr w:rsidR="00C900BD" w:rsidRPr="00C900BD" w14:paraId="09EEB665" w14:textId="77777777" w:rsidTr="00C900BD">
        <w:trPr>
          <w:trHeight w:val="60"/>
        </w:trPr>
        <w:tc>
          <w:tcPr>
            <w:cnfStyle w:val="001000000000" w:firstRow="0" w:lastRow="0" w:firstColumn="1" w:lastColumn="0" w:oddVBand="0" w:evenVBand="0" w:oddHBand="0" w:evenHBand="0" w:firstRowFirstColumn="0" w:firstRowLastColumn="0" w:lastRowFirstColumn="0" w:lastRowLastColumn="0"/>
            <w:tcW w:w="612" w:type="pct"/>
          </w:tcPr>
          <w:p w14:paraId="27F61E33" w14:textId="77777777" w:rsidR="00C900BD" w:rsidRPr="00983EC5" w:rsidRDefault="00C900BD" w:rsidP="00C900BD">
            <w:pPr>
              <w:pStyle w:val="TableText"/>
              <w:rPr>
                <w:sz w:val="18"/>
                <w:szCs w:val="18"/>
              </w:rPr>
            </w:pPr>
            <w:r w:rsidRPr="00983EC5">
              <w:rPr>
                <w:sz w:val="18"/>
                <w:szCs w:val="18"/>
              </w:rPr>
              <w:t>Financial assets</w:t>
            </w:r>
          </w:p>
        </w:tc>
        <w:tc>
          <w:tcPr>
            <w:tcW w:w="303" w:type="pct"/>
          </w:tcPr>
          <w:p w14:paraId="27F152E9"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5,790</w:t>
            </w:r>
          </w:p>
        </w:tc>
        <w:tc>
          <w:tcPr>
            <w:tcW w:w="304" w:type="pct"/>
          </w:tcPr>
          <w:p w14:paraId="700679F3"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5,596</w:t>
            </w:r>
          </w:p>
        </w:tc>
        <w:tc>
          <w:tcPr>
            <w:tcW w:w="303" w:type="pct"/>
          </w:tcPr>
          <w:p w14:paraId="43816027"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5,118</w:t>
            </w:r>
          </w:p>
        </w:tc>
        <w:tc>
          <w:tcPr>
            <w:tcW w:w="304" w:type="pct"/>
          </w:tcPr>
          <w:p w14:paraId="5552A231"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4,372</w:t>
            </w:r>
          </w:p>
        </w:tc>
        <w:tc>
          <w:tcPr>
            <w:tcW w:w="303" w:type="pct"/>
          </w:tcPr>
          <w:p w14:paraId="5E250C76"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17,865</w:t>
            </w:r>
          </w:p>
        </w:tc>
        <w:tc>
          <w:tcPr>
            <w:tcW w:w="305" w:type="pct"/>
          </w:tcPr>
          <w:p w14:paraId="4E5C02D4"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17,733</w:t>
            </w:r>
          </w:p>
        </w:tc>
        <w:tc>
          <w:tcPr>
            <w:tcW w:w="233" w:type="pct"/>
          </w:tcPr>
          <w:p w14:paraId="0A72080A"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389</w:t>
            </w:r>
          </w:p>
        </w:tc>
        <w:tc>
          <w:tcPr>
            <w:tcW w:w="234" w:type="pct"/>
          </w:tcPr>
          <w:p w14:paraId="53AB0CA6"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363</w:t>
            </w:r>
          </w:p>
        </w:tc>
        <w:tc>
          <w:tcPr>
            <w:tcW w:w="233" w:type="pct"/>
          </w:tcPr>
          <w:p w14:paraId="64110BCD"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2,036</w:t>
            </w:r>
          </w:p>
        </w:tc>
        <w:tc>
          <w:tcPr>
            <w:tcW w:w="234" w:type="pct"/>
          </w:tcPr>
          <w:p w14:paraId="7CFEACF5"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1,895</w:t>
            </w:r>
          </w:p>
        </w:tc>
        <w:tc>
          <w:tcPr>
            <w:tcW w:w="303" w:type="pct"/>
          </w:tcPr>
          <w:p w14:paraId="513E2C03"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7,491</w:t>
            </w:r>
          </w:p>
        </w:tc>
        <w:tc>
          <w:tcPr>
            <w:tcW w:w="303" w:type="pct"/>
          </w:tcPr>
          <w:p w14:paraId="592B566A"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4,777</w:t>
            </w:r>
          </w:p>
        </w:tc>
        <w:tc>
          <w:tcPr>
            <w:tcW w:w="250" w:type="pct"/>
          </w:tcPr>
          <w:p w14:paraId="6E9F0CDA"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115,904</w:t>
            </w:r>
          </w:p>
        </w:tc>
        <w:tc>
          <w:tcPr>
            <w:tcW w:w="250" w:type="pct"/>
          </w:tcPr>
          <w:p w14:paraId="66BCFA0F"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83,086</w:t>
            </w:r>
          </w:p>
        </w:tc>
        <w:tc>
          <w:tcPr>
            <w:tcW w:w="265" w:type="pct"/>
          </w:tcPr>
          <w:p w14:paraId="7AD1FCD1"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154,594</w:t>
            </w:r>
          </w:p>
        </w:tc>
        <w:tc>
          <w:tcPr>
            <w:tcW w:w="260" w:type="pct"/>
          </w:tcPr>
          <w:p w14:paraId="64DCE94A"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117,824</w:t>
            </w:r>
          </w:p>
        </w:tc>
      </w:tr>
      <w:tr w:rsidR="00C900BD" w:rsidRPr="00C900BD" w14:paraId="1A87BD18" w14:textId="77777777" w:rsidTr="0047415C">
        <w:trPr>
          <w:trHeight w:val="346"/>
        </w:trPr>
        <w:tc>
          <w:tcPr>
            <w:cnfStyle w:val="001000000000" w:firstRow="0" w:lastRow="0" w:firstColumn="1" w:lastColumn="0" w:oddVBand="0" w:evenVBand="0" w:oddHBand="0" w:evenHBand="0" w:firstRowFirstColumn="0" w:firstRowLastColumn="0" w:lastRowFirstColumn="0" w:lastRowLastColumn="0"/>
            <w:tcW w:w="612" w:type="pct"/>
          </w:tcPr>
          <w:p w14:paraId="25D7F37F" w14:textId="3AD64E92" w:rsidR="00C900BD" w:rsidRPr="00983EC5" w:rsidRDefault="00C900BD" w:rsidP="00C900BD">
            <w:pPr>
              <w:pStyle w:val="TableText"/>
              <w:rPr>
                <w:sz w:val="18"/>
                <w:szCs w:val="18"/>
              </w:rPr>
            </w:pPr>
            <w:r w:rsidRPr="00983EC5">
              <w:rPr>
                <w:sz w:val="18"/>
                <w:szCs w:val="18"/>
              </w:rPr>
              <w:t>Non-financial assets</w:t>
            </w:r>
            <w:hyperlink w:anchor="Note42note2" w:history="1">
              <w:r w:rsidR="000D2542" w:rsidRPr="00983EC5">
                <w:rPr>
                  <w:sz w:val="18"/>
                  <w:szCs w:val="18"/>
                  <w:vertAlign w:val="superscript"/>
                </w:rPr>
                <w:t>(1)</w:t>
              </w:r>
            </w:hyperlink>
          </w:p>
        </w:tc>
        <w:tc>
          <w:tcPr>
            <w:tcW w:w="303" w:type="pct"/>
          </w:tcPr>
          <w:p w14:paraId="68A50874"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260,552</w:t>
            </w:r>
          </w:p>
        </w:tc>
        <w:tc>
          <w:tcPr>
            <w:tcW w:w="304" w:type="pct"/>
          </w:tcPr>
          <w:p w14:paraId="1E42489F"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239,533</w:t>
            </w:r>
          </w:p>
        </w:tc>
        <w:tc>
          <w:tcPr>
            <w:tcW w:w="303" w:type="pct"/>
          </w:tcPr>
          <w:p w14:paraId="6FE8C69D"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174,565</w:t>
            </w:r>
          </w:p>
        </w:tc>
        <w:tc>
          <w:tcPr>
            <w:tcW w:w="304" w:type="pct"/>
          </w:tcPr>
          <w:p w14:paraId="5018607B"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174,258</w:t>
            </w:r>
          </w:p>
        </w:tc>
        <w:tc>
          <w:tcPr>
            <w:tcW w:w="303" w:type="pct"/>
          </w:tcPr>
          <w:p w14:paraId="523A3ACE"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400,247</w:t>
            </w:r>
          </w:p>
        </w:tc>
        <w:tc>
          <w:tcPr>
            <w:tcW w:w="305" w:type="pct"/>
          </w:tcPr>
          <w:p w14:paraId="1EEECECC"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318,658</w:t>
            </w:r>
          </w:p>
        </w:tc>
        <w:tc>
          <w:tcPr>
            <w:tcW w:w="233" w:type="pct"/>
          </w:tcPr>
          <w:p w14:paraId="342727B2"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59,095</w:t>
            </w:r>
          </w:p>
        </w:tc>
        <w:tc>
          <w:tcPr>
            <w:tcW w:w="234" w:type="pct"/>
          </w:tcPr>
          <w:p w14:paraId="5D2A9421"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51,958</w:t>
            </w:r>
          </w:p>
        </w:tc>
        <w:tc>
          <w:tcPr>
            <w:tcW w:w="233" w:type="pct"/>
          </w:tcPr>
          <w:p w14:paraId="4581A63B"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3,631</w:t>
            </w:r>
          </w:p>
        </w:tc>
        <w:tc>
          <w:tcPr>
            <w:tcW w:w="234" w:type="pct"/>
          </w:tcPr>
          <w:p w14:paraId="19D30306"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1,756</w:t>
            </w:r>
          </w:p>
        </w:tc>
        <w:tc>
          <w:tcPr>
            <w:tcW w:w="303" w:type="pct"/>
          </w:tcPr>
          <w:p w14:paraId="4F27ABA2"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30,644</w:t>
            </w:r>
          </w:p>
        </w:tc>
        <w:tc>
          <w:tcPr>
            <w:tcW w:w="303" w:type="pct"/>
          </w:tcPr>
          <w:p w14:paraId="3FF0575E"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10,001</w:t>
            </w:r>
          </w:p>
        </w:tc>
        <w:tc>
          <w:tcPr>
            <w:tcW w:w="250" w:type="pct"/>
          </w:tcPr>
          <w:p w14:paraId="0254921C"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245,121</w:t>
            </w:r>
          </w:p>
        </w:tc>
        <w:tc>
          <w:tcPr>
            <w:tcW w:w="250" w:type="pct"/>
          </w:tcPr>
          <w:p w14:paraId="0175F14D"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214,014</w:t>
            </w:r>
          </w:p>
        </w:tc>
        <w:tc>
          <w:tcPr>
            <w:tcW w:w="265" w:type="pct"/>
          </w:tcPr>
          <w:p w14:paraId="24B6C223"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1,173,855</w:t>
            </w:r>
          </w:p>
        </w:tc>
        <w:tc>
          <w:tcPr>
            <w:tcW w:w="260" w:type="pct"/>
          </w:tcPr>
          <w:p w14:paraId="124274CE" w14:textId="77777777" w:rsidR="00C900BD" w:rsidRPr="00C900BD"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900BD">
              <w:rPr>
                <w:sz w:val="18"/>
                <w:szCs w:val="18"/>
              </w:rPr>
              <w:t>1,010,178</w:t>
            </w:r>
          </w:p>
        </w:tc>
      </w:tr>
      <w:tr w:rsidR="00C900BD" w:rsidRPr="00C900BD" w14:paraId="6EF19D56" w14:textId="77777777" w:rsidTr="00C900BD">
        <w:trPr>
          <w:trHeight w:val="60"/>
        </w:trPr>
        <w:tc>
          <w:tcPr>
            <w:cnfStyle w:val="001000000000" w:firstRow="0" w:lastRow="0" w:firstColumn="1" w:lastColumn="0" w:oddVBand="0" w:evenVBand="0" w:oddHBand="0" w:evenHBand="0" w:firstRowFirstColumn="0" w:firstRowLastColumn="0" w:lastRowFirstColumn="0" w:lastRowLastColumn="0"/>
            <w:tcW w:w="612" w:type="pct"/>
          </w:tcPr>
          <w:p w14:paraId="646E1107" w14:textId="77777777" w:rsidR="00C900BD" w:rsidRPr="00983EC5" w:rsidRDefault="00C900BD" w:rsidP="00C900BD">
            <w:pPr>
              <w:pStyle w:val="TableText"/>
              <w:rPr>
                <w:rStyle w:val="Bold"/>
                <w:sz w:val="18"/>
                <w:szCs w:val="18"/>
              </w:rPr>
            </w:pPr>
            <w:r w:rsidRPr="00983EC5">
              <w:rPr>
                <w:rStyle w:val="Bold"/>
                <w:sz w:val="18"/>
                <w:szCs w:val="18"/>
              </w:rPr>
              <w:t>Total assets</w:t>
            </w:r>
          </w:p>
        </w:tc>
        <w:tc>
          <w:tcPr>
            <w:tcW w:w="303" w:type="pct"/>
          </w:tcPr>
          <w:p w14:paraId="6D9030C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266,342</w:t>
            </w:r>
          </w:p>
        </w:tc>
        <w:tc>
          <w:tcPr>
            <w:tcW w:w="304" w:type="pct"/>
          </w:tcPr>
          <w:p w14:paraId="4FACA57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245,129</w:t>
            </w:r>
          </w:p>
        </w:tc>
        <w:tc>
          <w:tcPr>
            <w:tcW w:w="303" w:type="pct"/>
          </w:tcPr>
          <w:p w14:paraId="2D5508F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179,684</w:t>
            </w:r>
          </w:p>
        </w:tc>
        <w:tc>
          <w:tcPr>
            <w:tcW w:w="304" w:type="pct"/>
          </w:tcPr>
          <w:p w14:paraId="3245EF2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178,630</w:t>
            </w:r>
          </w:p>
        </w:tc>
        <w:tc>
          <w:tcPr>
            <w:tcW w:w="303" w:type="pct"/>
          </w:tcPr>
          <w:p w14:paraId="3FF49BEF"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418,112</w:t>
            </w:r>
          </w:p>
        </w:tc>
        <w:tc>
          <w:tcPr>
            <w:tcW w:w="305" w:type="pct"/>
          </w:tcPr>
          <w:p w14:paraId="260F07D4"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336,391</w:t>
            </w:r>
          </w:p>
        </w:tc>
        <w:tc>
          <w:tcPr>
            <w:tcW w:w="233" w:type="pct"/>
          </w:tcPr>
          <w:p w14:paraId="47BB42B0"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59,484</w:t>
            </w:r>
          </w:p>
        </w:tc>
        <w:tc>
          <w:tcPr>
            <w:tcW w:w="234" w:type="pct"/>
          </w:tcPr>
          <w:p w14:paraId="75FA223E"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52,321</w:t>
            </w:r>
          </w:p>
        </w:tc>
        <w:tc>
          <w:tcPr>
            <w:tcW w:w="233" w:type="pct"/>
          </w:tcPr>
          <w:p w14:paraId="1800893B"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5,667</w:t>
            </w:r>
          </w:p>
        </w:tc>
        <w:tc>
          <w:tcPr>
            <w:tcW w:w="234" w:type="pct"/>
          </w:tcPr>
          <w:p w14:paraId="679D54B4"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3,651</w:t>
            </w:r>
          </w:p>
        </w:tc>
        <w:tc>
          <w:tcPr>
            <w:tcW w:w="303" w:type="pct"/>
          </w:tcPr>
          <w:p w14:paraId="19C7670B"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38,135</w:t>
            </w:r>
          </w:p>
        </w:tc>
        <w:tc>
          <w:tcPr>
            <w:tcW w:w="303" w:type="pct"/>
          </w:tcPr>
          <w:p w14:paraId="11C8C8D2"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14,779</w:t>
            </w:r>
          </w:p>
        </w:tc>
        <w:tc>
          <w:tcPr>
            <w:tcW w:w="250" w:type="pct"/>
          </w:tcPr>
          <w:p w14:paraId="5ECCE020"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361,025</w:t>
            </w:r>
          </w:p>
        </w:tc>
        <w:tc>
          <w:tcPr>
            <w:tcW w:w="250" w:type="pct"/>
          </w:tcPr>
          <w:p w14:paraId="74BF228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297,100</w:t>
            </w:r>
          </w:p>
        </w:tc>
        <w:tc>
          <w:tcPr>
            <w:tcW w:w="265" w:type="pct"/>
          </w:tcPr>
          <w:p w14:paraId="639CC5B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1,328,449</w:t>
            </w:r>
          </w:p>
        </w:tc>
        <w:tc>
          <w:tcPr>
            <w:tcW w:w="260" w:type="pct"/>
          </w:tcPr>
          <w:p w14:paraId="105A300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1,128,001</w:t>
            </w:r>
          </w:p>
        </w:tc>
      </w:tr>
      <w:tr w:rsidR="00C900BD" w:rsidRPr="00C900BD" w14:paraId="00C1B1F9" w14:textId="77777777" w:rsidTr="00C900BD">
        <w:trPr>
          <w:trHeight w:val="60"/>
        </w:trPr>
        <w:tc>
          <w:tcPr>
            <w:cnfStyle w:val="001000000000" w:firstRow="0" w:lastRow="0" w:firstColumn="1" w:lastColumn="0" w:oddVBand="0" w:evenVBand="0" w:oddHBand="0" w:evenHBand="0" w:firstRowFirstColumn="0" w:firstRowLastColumn="0" w:lastRowFirstColumn="0" w:lastRowLastColumn="0"/>
            <w:tcW w:w="612" w:type="pct"/>
          </w:tcPr>
          <w:p w14:paraId="462DE4CD" w14:textId="77777777" w:rsidR="00C900BD" w:rsidRPr="00983EC5" w:rsidRDefault="00C900BD" w:rsidP="00C900BD">
            <w:pPr>
              <w:pStyle w:val="TableText"/>
              <w:rPr>
                <w:sz w:val="18"/>
                <w:szCs w:val="18"/>
              </w:rPr>
            </w:pPr>
            <w:r w:rsidRPr="00983EC5">
              <w:rPr>
                <w:rStyle w:val="Bold"/>
                <w:sz w:val="18"/>
                <w:szCs w:val="18"/>
              </w:rPr>
              <w:t>Liabilities</w:t>
            </w:r>
          </w:p>
        </w:tc>
        <w:tc>
          <w:tcPr>
            <w:tcW w:w="303" w:type="pct"/>
          </w:tcPr>
          <w:p w14:paraId="69AF705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36,058</w:t>
            </w:r>
          </w:p>
        </w:tc>
        <w:tc>
          <w:tcPr>
            <w:tcW w:w="304" w:type="pct"/>
          </w:tcPr>
          <w:p w14:paraId="0A760B6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27,955</w:t>
            </w:r>
          </w:p>
        </w:tc>
        <w:tc>
          <w:tcPr>
            <w:tcW w:w="303" w:type="pct"/>
          </w:tcPr>
          <w:p w14:paraId="6DA05F0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61,669</w:t>
            </w:r>
          </w:p>
        </w:tc>
        <w:tc>
          <w:tcPr>
            <w:tcW w:w="304" w:type="pct"/>
          </w:tcPr>
          <w:p w14:paraId="3C6AB655"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71,421</w:t>
            </w:r>
          </w:p>
        </w:tc>
        <w:tc>
          <w:tcPr>
            <w:tcW w:w="303" w:type="pct"/>
          </w:tcPr>
          <w:p w14:paraId="64E1C19B"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109,542</w:t>
            </w:r>
          </w:p>
        </w:tc>
        <w:tc>
          <w:tcPr>
            <w:tcW w:w="305" w:type="pct"/>
          </w:tcPr>
          <w:p w14:paraId="43CD3246"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51,853</w:t>
            </w:r>
          </w:p>
        </w:tc>
        <w:tc>
          <w:tcPr>
            <w:tcW w:w="233" w:type="pct"/>
          </w:tcPr>
          <w:p w14:paraId="6EB36611"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9,782</w:t>
            </w:r>
          </w:p>
        </w:tc>
        <w:tc>
          <w:tcPr>
            <w:tcW w:w="234" w:type="pct"/>
          </w:tcPr>
          <w:p w14:paraId="735F9462"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6,397</w:t>
            </w:r>
          </w:p>
        </w:tc>
        <w:tc>
          <w:tcPr>
            <w:tcW w:w="233" w:type="pct"/>
          </w:tcPr>
          <w:p w14:paraId="34CC5755"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4,667</w:t>
            </w:r>
          </w:p>
        </w:tc>
        <w:tc>
          <w:tcPr>
            <w:tcW w:w="234" w:type="pct"/>
          </w:tcPr>
          <w:p w14:paraId="1E3F28BB"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3,490</w:t>
            </w:r>
          </w:p>
        </w:tc>
        <w:tc>
          <w:tcPr>
            <w:tcW w:w="303" w:type="pct"/>
          </w:tcPr>
          <w:p w14:paraId="780A410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33,850</w:t>
            </w:r>
          </w:p>
        </w:tc>
        <w:tc>
          <w:tcPr>
            <w:tcW w:w="303" w:type="pct"/>
          </w:tcPr>
          <w:p w14:paraId="3C6DCB7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12,929</w:t>
            </w:r>
          </w:p>
        </w:tc>
        <w:tc>
          <w:tcPr>
            <w:tcW w:w="250" w:type="pct"/>
          </w:tcPr>
          <w:p w14:paraId="5B235BEF"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31,013</w:t>
            </w:r>
          </w:p>
        </w:tc>
        <w:tc>
          <w:tcPr>
            <w:tcW w:w="250" w:type="pct"/>
          </w:tcPr>
          <w:p w14:paraId="768AD981"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25,585</w:t>
            </w:r>
          </w:p>
        </w:tc>
        <w:tc>
          <w:tcPr>
            <w:tcW w:w="265" w:type="pct"/>
          </w:tcPr>
          <w:p w14:paraId="47C7297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286,581</w:t>
            </w:r>
          </w:p>
        </w:tc>
        <w:tc>
          <w:tcPr>
            <w:tcW w:w="260" w:type="pct"/>
          </w:tcPr>
          <w:p w14:paraId="3E8EA0F5"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83EC5">
              <w:rPr>
                <w:sz w:val="18"/>
                <w:szCs w:val="18"/>
              </w:rPr>
              <w:t>199,630</w:t>
            </w:r>
          </w:p>
        </w:tc>
      </w:tr>
      <w:tr w:rsidR="00C900BD" w:rsidRPr="00C900BD" w14:paraId="33B01675" w14:textId="77777777" w:rsidTr="00C900BD">
        <w:trPr>
          <w:trHeight w:val="60"/>
        </w:trPr>
        <w:tc>
          <w:tcPr>
            <w:cnfStyle w:val="001000000000" w:firstRow="0" w:lastRow="0" w:firstColumn="1" w:lastColumn="0" w:oddVBand="0" w:evenVBand="0" w:oddHBand="0" w:evenHBand="0" w:firstRowFirstColumn="0" w:firstRowLastColumn="0" w:lastRowFirstColumn="0" w:lastRowLastColumn="0"/>
            <w:tcW w:w="612" w:type="pct"/>
          </w:tcPr>
          <w:p w14:paraId="21D53E34" w14:textId="77777777" w:rsidR="00C900BD" w:rsidRPr="00983EC5" w:rsidRDefault="00C900BD" w:rsidP="00C900BD">
            <w:pPr>
              <w:pStyle w:val="TableText"/>
              <w:rPr>
                <w:rStyle w:val="Bold"/>
                <w:sz w:val="18"/>
                <w:szCs w:val="18"/>
              </w:rPr>
            </w:pPr>
            <w:r w:rsidRPr="00983EC5">
              <w:rPr>
                <w:rStyle w:val="Bold"/>
                <w:sz w:val="18"/>
                <w:szCs w:val="18"/>
              </w:rPr>
              <w:t>Total liabilities</w:t>
            </w:r>
          </w:p>
        </w:tc>
        <w:tc>
          <w:tcPr>
            <w:tcW w:w="303" w:type="pct"/>
          </w:tcPr>
          <w:p w14:paraId="0CC012D5"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36,058</w:t>
            </w:r>
          </w:p>
        </w:tc>
        <w:tc>
          <w:tcPr>
            <w:tcW w:w="304" w:type="pct"/>
          </w:tcPr>
          <w:p w14:paraId="3F9F2E5D"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27,955 </w:t>
            </w:r>
          </w:p>
        </w:tc>
        <w:tc>
          <w:tcPr>
            <w:tcW w:w="303" w:type="pct"/>
          </w:tcPr>
          <w:p w14:paraId="58C271B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61,669</w:t>
            </w:r>
          </w:p>
        </w:tc>
        <w:tc>
          <w:tcPr>
            <w:tcW w:w="304" w:type="pct"/>
          </w:tcPr>
          <w:p w14:paraId="3691B6C0"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71,421 </w:t>
            </w:r>
          </w:p>
        </w:tc>
        <w:tc>
          <w:tcPr>
            <w:tcW w:w="303" w:type="pct"/>
          </w:tcPr>
          <w:p w14:paraId="0F1CB6D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109,542</w:t>
            </w:r>
          </w:p>
        </w:tc>
        <w:tc>
          <w:tcPr>
            <w:tcW w:w="305" w:type="pct"/>
          </w:tcPr>
          <w:p w14:paraId="5B9F672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51,853 </w:t>
            </w:r>
          </w:p>
        </w:tc>
        <w:tc>
          <w:tcPr>
            <w:tcW w:w="233" w:type="pct"/>
          </w:tcPr>
          <w:p w14:paraId="447BB54D"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9,782</w:t>
            </w:r>
          </w:p>
        </w:tc>
        <w:tc>
          <w:tcPr>
            <w:tcW w:w="234" w:type="pct"/>
          </w:tcPr>
          <w:p w14:paraId="58E720C4"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6,397 </w:t>
            </w:r>
          </w:p>
        </w:tc>
        <w:tc>
          <w:tcPr>
            <w:tcW w:w="233" w:type="pct"/>
          </w:tcPr>
          <w:p w14:paraId="35E0D83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4,667</w:t>
            </w:r>
          </w:p>
        </w:tc>
        <w:tc>
          <w:tcPr>
            <w:tcW w:w="234" w:type="pct"/>
          </w:tcPr>
          <w:p w14:paraId="0DD3AE1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3,490 </w:t>
            </w:r>
          </w:p>
        </w:tc>
        <w:tc>
          <w:tcPr>
            <w:tcW w:w="303" w:type="pct"/>
          </w:tcPr>
          <w:p w14:paraId="0CCA88B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33,850</w:t>
            </w:r>
          </w:p>
        </w:tc>
        <w:tc>
          <w:tcPr>
            <w:tcW w:w="303" w:type="pct"/>
          </w:tcPr>
          <w:p w14:paraId="50EB9E95"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12,929 </w:t>
            </w:r>
          </w:p>
        </w:tc>
        <w:tc>
          <w:tcPr>
            <w:tcW w:w="250" w:type="pct"/>
          </w:tcPr>
          <w:p w14:paraId="7A2FAC9E"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31,013</w:t>
            </w:r>
          </w:p>
        </w:tc>
        <w:tc>
          <w:tcPr>
            <w:tcW w:w="250" w:type="pct"/>
          </w:tcPr>
          <w:p w14:paraId="11FE183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25,585 </w:t>
            </w:r>
          </w:p>
        </w:tc>
        <w:tc>
          <w:tcPr>
            <w:tcW w:w="265" w:type="pct"/>
          </w:tcPr>
          <w:p w14:paraId="5BF3E8B2"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286,581</w:t>
            </w:r>
          </w:p>
        </w:tc>
        <w:tc>
          <w:tcPr>
            <w:tcW w:w="260" w:type="pct"/>
          </w:tcPr>
          <w:p w14:paraId="3732D20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199,630 </w:t>
            </w:r>
          </w:p>
        </w:tc>
      </w:tr>
      <w:tr w:rsidR="00C900BD" w:rsidRPr="00C900BD" w14:paraId="60CA0D8E" w14:textId="77777777" w:rsidTr="00C900BD">
        <w:trPr>
          <w:trHeight w:val="60"/>
        </w:trPr>
        <w:tc>
          <w:tcPr>
            <w:cnfStyle w:val="001000000000" w:firstRow="0" w:lastRow="0" w:firstColumn="1" w:lastColumn="0" w:oddVBand="0" w:evenVBand="0" w:oddHBand="0" w:evenHBand="0" w:firstRowFirstColumn="0" w:firstRowLastColumn="0" w:lastRowFirstColumn="0" w:lastRowLastColumn="0"/>
            <w:tcW w:w="612" w:type="pct"/>
          </w:tcPr>
          <w:p w14:paraId="055A5E06" w14:textId="77777777" w:rsidR="00C900BD" w:rsidRPr="00983EC5" w:rsidRDefault="00C900BD" w:rsidP="00C900BD">
            <w:pPr>
              <w:pStyle w:val="TableText"/>
              <w:rPr>
                <w:rStyle w:val="Bold"/>
                <w:sz w:val="18"/>
                <w:szCs w:val="18"/>
              </w:rPr>
            </w:pPr>
            <w:r w:rsidRPr="00983EC5">
              <w:rPr>
                <w:rStyle w:val="Bold"/>
                <w:sz w:val="18"/>
                <w:szCs w:val="18"/>
              </w:rPr>
              <w:t>Net assets</w:t>
            </w:r>
          </w:p>
        </w:tc>
        <w:tc>
          <w:tcPr>
            <w:tcW w:w="303" w:type="pct"/>
          </w:tcPr>
          <w:p w14:paraId="76D5C5A6"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230,284 </w:t>
            </w:r>
          </w:p>
        </w:tc>
        <w:tc>
          <w:tcPr>
            <w:tcW w:w="304" w:type="pct"/>
          </w:tcPr>
          <w:p w14:paraId="020C575C"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217,174 </w:t>
            </w:r>
          </w:p>
        </w:tc>
        <w:tc>
          <w:tcPr>
            <w:tcW w:w="303" w:type="pct"/>
          </w:tcPr>
          <w:p w14:paraId="2E80272F"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118,015 </w:t>
            </w:r>
          </w:p>
        </w:tc>
        <w:tc>
          <w:tcPr>
            <w:tcW w:w="304" w:type="pct"/>
          </w:tcPr>
          <w:p w14:paraId="056C09DA"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107,210 </w:t>
            </w:r>
          </w:p>
        </w:tc>
        <w:tc>
          <w:tcPr>
            <w:tcW w:w="303" w:type="pct"/>
          </w:tcPr>
          <w:p w14:paraId="1CC2972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308,570 </w:t>
            </w:r>
          </w:p>
        </w:tc>
        <w:tc>
          <w:tcPr>
            <w:tcW w:w="305" w:type="pct"/>
          </w:tcPr>
          <w:p w14:paraId="702DC4C0"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284,538 </w:t>
            </w:r>
          </w:p>
        </w:tc>
        <w:tc>
          <w:tcPr>
            <w:tcW w:w="233" w:type="pct"/>
          </w:tcPr>
          <w:p w14:paraId="45D47C3F"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49,702 </w:t>
            </w:r>
          </w:p>
        </w:tc>
        <w:tc>
          <w:tcPr>
            <w:tcW w:w="234" w:type="pct"/>
          </w:tcPr>
          <w:p w14:paraId="03AF633E"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45,924 </w:t>
            </w:r>
          </w:p>
        </w:tc>
        <w:tc>
          <w:tcPr>
            <w:tcW w:w="233" w:type="pct"/>
          </w:tcPr>
          <w:p w14:paraId="7A7EF9A4"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999 </w:t>
            </w:r>
          </w:p>
        </w:tc>
        <w:tc>
          <w:tcPr>
            <w:tcW w:w="234" w:type="pct"/>
          </w:tcPr>
          <w:p w14:paraId="743C0AA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160 </w:t>
            </w:r>
          </w:p>
        </w:tc>
        <w:tc>
          <w:tcPr>
            <w:tcW w:w="303" w:type="pct"/>
          </w:tcPr>
          <w:p w14:paraId="3E718F18"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4,285 </w:t>
            </w:r>
          </w:p>
        </w:tc>
        <w:tc>
          <w:tcPr>
            <w:tcW w:w="303" w:type="pct"/>
          </w:tcPr>
          <w:p w14:paraId="258B7140"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1,850 </w:t>
            </w:r>
          </w:p>
        </w:tc>
        <w:tc>
          <w:tcPr>
            <w:tcW w:w="250" w:type="pct"/>
          </w:tcPr>
          <w:p w14:paraId="71845C72"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330,012</w:t>
            </w:r>
          </w:p>
        </w:tc>
        <w:tc>
          <w:tcPr>
            <w:tcW w:w="250" w:type="pct"/>
          </w:tcPr>
          <w:p w14:paraId="7DDB6417"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271,515 </w:t>
            </w:r>
          </w:p>
        </w:tc>
        <w:tc>
          <w:tcPr>
            <w:tcW w:w="265" w:type="pct"/>
          </w:tcPr>
          <w:p w14:paraId="649BCF19"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1,041,868</w:t>
            </w:r>
          </w:p>
        </w:tc>
        <w:tc>
          <w:tcPr>
            <w:tcW w:w="260" w:type="pct"/>
          </w:tcPr>
          <w:p w14:paraId="4864DEF4" w14:textId="77777777" w:rsidR="00C900BD" w:rsidRPr="00983EC5" w:rsidRDefault="00C900BD" w:rsidP="00C900BD">
            <w:pPr>
              <w:pStyle w:val="TableText"/>
              <w:cnfStyle w:val="000000000000" w:firstRow="0" w:lastRow="0" w:firstColumn="0" w:lastColumn="0" w:oddVBand="0" w:evenVBand="0" w:oddHBand="0" w:evenHBand="0" w:firstRowFirstColumn="0" w:firstRowLastColumn="0" w:lastRowFirstColumn="0" w:lastRowLastColumn="0"/>
              <w:rPr>
                <w:rStyle w:val="Bold"/>
                <w:sz w:val="18"/>
                <w:szCs w:val="18"/>
              </w:rPr>
            </w:pPr>
            <w:r w:rsidRPr="00983EC5">
              <w:rPr>
                <w:rStyle w:val="Bold"/>
                <w:sz w:val="18"/>
                <w:szCs w:val="18"/>
              </w:rPr>
              <w:t xml:space="preserve">928,371 </w:t>
            </w:r>
          </w:p>
        </w:tc>
      </w:tr>
    </w:tbl>
    <w:p w14:paraId="3DD39837" w14:textId="7FE15319" w:rsidR="00C900BD" w:rsidRPr="00677C4B" w:rsidRDefault="00C900BD" w:rsidP="00C900BD">
      <w:pPr>
        <w:pStyle w:val="BodyText"/>
      </w:pPr>
      <w:r w:rsidRPr="001C32E5">
        <w:t>2019</w:t>
      </w:r>
      <w:r>
        <w:t xml:space="preserve"> </w:t>
      </w:r>
      <w:r w:rsidRPr="001C32E5">
        <w:t>amounts</w:t>
      </w:r>
      <w:r>
        <w:t xml:space="preserve"> </w:t>
      </w:r>
      <w:r w:rsidRPr="001C32E5">
        <w:t>have</w:t>
      </w:r>
      <w:r>
        <w:t xml:space="preserve"> </w:t>
      </w:r>
      <w:r w:rsidRPr="001C32E5">
        <w:t>been</w:t>
      </w:r>
      <w:r>
        <w:t xml:space="preserve"> </w:t>
      </w:r>
      <w:r w:rsidRPr="001C32E5">
        <w:t>restated</w:t>
      </w:r>
      <w:r>
        <w:t xml:space="preserve"> </w:t>
      </w:r>
      <w:r w:rsidRPr="001C32E5">
        <w:t>as</w:t>
      </w:r>
      <w:r>
        <w:t xml:space="preserve"> </w:t>
      </w:r>
      <w:r w:rsidRPr="001C32E5">
        <w:t>a</w:t>
      </w:r>
      <w:r>
        <w:t xml:space="preserve"> </w:t>
      </w:r>
      <w:r w:rsidRPr="001C32E5">
        <w:t>result</w:t>
      </w:r>
      <w:r>
        <w:t xml:space="preserve"> </w:t>
      </w:r>
      <w:r w:rsidRPr="00677C4B">
        <w:t>of a correction of an error (</w:t>
      </w:r>
      <w:r w:rsidR="00677C4B" w:rsidRPr="00677C4B">
        <w:t xml:space="preserve">see </w:t>
      </w:r>
      <w:hyperlink w:anchor="Note10text" w:history="1">
        <w:r w:rsidR="00677C4B" w:rsidRPr="00677C4B">
          <w:t>Note 10</w:t>
        </w:r>
      </w:hyperlink>
      <w:r w:rsidRPr="00677C4B">
        <w:t>).</w:t>
      </w:r>
    </w:p>
    <w:p w14:paraId="24F28FFE" w14:textId="1E4E3188" w:rsidR="00C900BD" w:rsidRDefault="00C900BD" w:rsidP="00C900BD">
      <w:pPr>
        <w:pStyle w:val="NotesText"/>
      </w:pPr>
      <w:r w:rsidRPr="00677C4B">
        <w:t>Note:</w:t>
      </w:r>
    </w:p>
    <w:p w14:paraId="4FA107A2" w14:textId="1B1CA874" w:rsidR="00D02EC5" w:rsidRDefault="00C900BD" w:rsidP="00F110E7">
      <w:pPr>
        <w:pStyle w:val="NotesNumberedList"/>
        <w:numPr>
          <w:ilvl w:val="0"/>
          <w:numId w:val="41"/>
        </w:numPr>
      </w:pPr>
      <w:bookmarkStart w:id="311" w:name="Note42note2"/>
      <w:bookmarkEnd w:id="311"/>
      <w:r>
        <w:t>Non-financial assets, Capital asset charge and Changes in physical asset revaluation reserve have been allocated by Jurisdiction.</w:t>
      </w:r>
    </w:p>
    <w:p w14:paraId="5C6310C4" w14:textId="1CE35C5F" w:rsidR="00275B65" w:rsidRDefault="00275B65" w:rsidP="00275B65">
      <w:pPr>
        <w:pStyle w:val="Heading3"/>
        <w:pageBreakBefore/>
      </w:pPr>
      <w:bookmarkStart w:id="312" w:name="Note43"/>
      <w:bookmarkStart w:id="313" w:name="_Ref22643353"/>
      <w:bookmarkStart w:id="314" w:name="_Ref61896816"/>
      <w:bookmarkStart w:id="315" w:name="_Toc62808150"/>
      <w:r w:rsidRPr="00ED517B">
        <w:t xml:space="preserve">4.3 </w:t>
      </w:r>
      <w:bookmarkEnd w:id="312"/>
      <w:r w:rsidRPr="00ED517B">
        <w:t>Admin</w:t>
      </w:r>
      <w:r w:rsidR="007B4F37" w:rsidRPr="00ED517B">
        <w:t>istered (Non-Controlled) Items f</w:t>
      </w:r>
      <w:r w:rsidRPr="00ED517B">
        <w:t>or the Financial Year Ended 30 June 20</w:t>
      </w:r>
      <w:bookmarkEnd w:id="313"/>
      <w:r w:rsidR="00CA40F5" w:rsidRPr="00ED517B">
        <w:t>20</w:t>
      </w:r>
      <w:bookmarkEnd w:id="314"/>
      <w:bookmarkEnd w:id="315"/>
    </w:p>
    <w:p w14:paraId="5D02B5F6" w14:textId="3F4AF1FA" w:rsidR="00CA40F5" w:rsidRDefault="00CA40F5" w:rsidP="00CA40F5">
      <w:r>
        <w:t xml:space="preserve">Administered income includes taxes, fees and fines and Special Appropriations provided to fund payments for criminal injuries compensation. Administered expenses include payments made on behalf of the State and payments into the consolidated fund. Administered assets include government income earned but yet to be collected. Administered liabilities include government expenses incurred but yet to be paid. Administered resources are accounted for on a cash basis except for Jurisdiction Services, the Supreme Court CITEC e-filing fees, Magistrates’ Court revenue received from services provided to credit rating agencies, and County Court administered revenue which is accounted for on an accrual basis using same accounting policies adopted for recognition of </w:t>
      </w:r>
      <w:r w:rsidR="009B1462">
        <w:t>Court Services Victoria</w:t>
      </w:r>
      <w:r>
        <w:t xml:space="preserve">’s items in the financial statements. Both controlled and administered items of </w:t>
      </w:r>
      <w:r w:rsidR="009B1462">
        <w:t>Court Services Victoria</w:t>
      </w:r>
      <w:r>
        <w:t xml:space="preserve"> are consolidated into the financial statements of the State.</w:t>
      </w:r>
    </w:p>
    <w:p w14:paraId="4549D9C3" w14:textId="7E582080" w:rsidR="00CA40F5" w:rsidRDefault="009B1462" w:rsidP="00CA40F5">
      <w:r>
        <w:t>Court Services Victoria</w:t>
      </w:r>
      <w:r w:rsidR="00CA40F5">
        <w:t xml:space="preserve"> does not gain control over assets arising from taxes and fines, consequently no income is recognised in </w:t>
      </w:r>
      <w:r>
        <w:t>Court Services Victoria</w:t>
      </w:r>
      <w:r w:rsidR="00CA40F5">
        <w:t xml:space="preserve">’s financial statements. </w:t>
      </w:r>
      <w:r>
        <w:t>Court Services Victoria</w:t>
      </w:r>
      <w:r w:rsidR="00CA40F5">
        <w:t xml:space="preserve"> collects these amounts on behalf of the State. Accordingly, the amounts are disclosed as income in the schedule of Administered items.</w:t>
      </w:r>
    </w:p>
    <w:tbl>
      <w:tblPr>
        <w:tblStyle w:val="AccessibleTableNumerical"/>
        <w:tblW w:w="5000" w:type="pct"/>
        <w:tblLook w:val="04A0" w:firstRow="1" w:lastRow="0" w:firstColumn="1" w:lastColumn="0" w:noHBand="0" w:noVBand="1"/>
      </w:tblPr>
      <w:tblGrid>
        <w:gridCol w:w="5495"/>
        <w:gridCol w:w="1229"/>
        <w:gridCol w:w="1229"/>
        <w:gridCol w:w="1229"/>
        <w:gridCol w:w="1229"/>
        <w:gridCol w:w="1108"/>
        <w:gridCol w:w="1108"/>
        <w:gridCol w:w="982"/>
        <w:gridCol w:w="982"/>
        <w:gridCol w:w="1306"/>
        <w:gridCol w:w="1306"/>
        <w:gridCol w:w="1077"/>
        <w:gridCol w:w="1077"/>
        <w:gridCol w:w="1086"/>
        <w:gridCol w:w="1103"/>
      </w:tblGrid>
      <w:tr w:rsidR="00AD226F" w:rsidRPr="00E84C34" w14:paraId="1F1F600B" w14:textId="77777777" w:rsidTr="00D51FA4">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1275" w:type="pct"/>
          </w:tcPr>
          <w:p w14:paraId="5F851180" w14:textId="02675ADB" w:rsidR="00E84C34" w:rsidRPr="00E84C34" w:rsidRDefault="00E84C34" w:rsidP="0047415C">
            <w:pPr>
              <w:pStyle w:val="TableText"/>
              <w:rPr>
                <w:sz w:val="18"/>
                <w:szCs w:val="18"/>
              </w:rPr>
            </w:pPr>
            <w:bookmarkStart w:id="316" w:name="ColumnTitle_67117"/>
            <w:r w:rsidRPr="00E84C34">
              <w:rPr>
                <w:sz w:val="18"/>
                <w:szCs w:val="18"/>
              </w:rPr>
              <w:t>Item</w:t>
            </w:r>
          </w:p>
        </w:tc>
        <w:tc>
          <w:tcPr>
            <w:tcW w:w="285" w:type="pct"/>
            <w:vAlign w:val="bottom"/>
          </w:tcPr>
          <w:p w14:paraId="0EFD3711" w14:textId="4C9F768A"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Supreme Court of Victoria</w:t>
            </w:r>
            <w:r w:rsidRPr="00E84C34">
              <w:rPr>
                <w:sz w:val="18"/>
                <w:szCs w:val="18"/>
              </w:rPr>
              <w:br/>
              <w:t>2020</w:t>
            </w:r>
            <w:r w:rsidRPr="00E84C34">
              <w:rPr>
                <w:sz w:val="18"/>
                <w:szCs w:val="18"/>
              </w:rPr>
              <w:br/>
              <w:t>$’000</w:t>
            </w:r>
          </w:p>
        </w:tc>
        <w:tc>
          <w:tcPr>
            <w:tcW w:w="285" w:type="pct"/>
            <w:vAlign w:val="bottom"/>
          </w:tcPr>
          <w:p w14:paraId="2336394E" w14:textId="5E99292B"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Supreme Court of Victoria</w:t>
            </w:r>
            <w:r w:rsidRPr="00E84C34">
              <w:rPr>
                <w:sz w:val="18"/>
                <w:szCs w:val="18"/>
              </w:rPr>
              <w:br/>
              <w:t>2019</w:t>
            </w:r>
            <w:r w:rsidRPr="00E84C34">
              <w:rPr>
                <w:sz w:val="18"/>
                <w:szCs w:val="18"/>
              </w:rPr>
              <w:br/>
              <w:t>$’000</w:t>
            </w:r>
          </w:p>
        </w:tc>
        <w:tc>
          <w:tcPr>
            <w:tcW w:w="285" w:type="pct"/>
            <w:vAlign w:val="bottom"/>
          </w:tcPr>
          <w:p w14:paraId="72412CAA" w14:textId="42E7E114"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County Court of Victoria</w:t>
            </w:r>
            <w:r w:rsidRPr="00E84C34">
              <w:rPr>
                <w:sz w:val="18"/>
                <w:szCs w:val="18"/>
              </w:rPr>
              <w:br/>
              <w:t>2020</w:t>
            </w:r>
            <w:r w:rsidRPr="00E84C34">
              <w:rPr>
                <w:sz w:val="18"/>
                <w:szCs w:val="18"/>
              </w:rPr>
              <w:br/>
              <w:t>$’000</w:t>
            </w:r>
          </w:p>
        </w:tc>
        <w:tc>
          <w:tcPr>
            <w:tcW w:w="285" w:type="pct"/>
            <w:vAlign w:val="bottom"/>
          </w:tcPr>
          <w:p w14:paraId="495B72F6" w14:textId="5FB45852"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County Court of Victoria</w:t>
            </w:r>
            <w:r w:rsidRPr="00E84C34">
              <w:rPr>
                <w:sz w:val="18"/>
                <w:szCs w:val="18"/>
              </w:rPr>
              <w:br/>
              <w:t>2019</w:t>
            </w:r>
            <w:r w:rsidRPr="00E84C34">
              <w:rPr>
                <w:sz w:val="18"/>
                <w:szCs w:val="18"/>
              </w:rPr>
              <w:br/>
              <w:t>$’000</w:t>
            </w:r>
          </w:p>
        </w:tc>
        <w:tc>
          <w:tcPr>
            <w:tcW w:w="257" w:type="pct"/>
            <w:vAlign w:val="bottom"/>
          </w:tcPr>
          <w:p w14:paraId="0A471D45" w14:textId="177BB884"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Magistrates’ Court of Victoria 2020</w:t>
            </w:r>
            <w:r w:rsidRPr="00E84C34">
              <w:rPr>
                <w:sz w:val="18"/>
                <w:szCs w:val="18"/>
              </w:rPr>
              <w:br/>
              <w:t>$’000</w:t>
            </w:r>
          </w:p>
        </w:tc>
        <w:tc>
          <w:tcPr>
            <w:tcW w:w="257" w:type="pct"/>
            <w:vAlign w:val="bottom"/>
          </w:tcPr>
          <w:p w14:paraId="653A9B2F" w14:textId="33729715"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Magistrates’ Court of Victoria 2019</w:t>
            </w:r>
            <w:r w:rsidRPr="00E84C34">
              <w:rPr>
                <w:sz w:val="18"/>
                <w:szCs w:val="18"/>
              </w:rPr>
              <w:br/>
              <w:t>$’000</w:t>
            </w:r>
          </w:p>
        </w:tc>
        <w:tc>
          <w:tcPr>
            <w:tcW w:w="228" w:type="pct"/>
            <w:vAlign w:val="bottom"/>
          </w:tcPr>
          <w:p w14:paraId="14603FFB" w14:textId="5EFE61A9"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Children’s Court of Victoria 2020</w:t>
            </w:r>
            <w:r w:rsidRPr="00E84C34">
              <w:rPr>
                <w:sz w:val="18"/>
                <w:szCs w:val="18"/>
              </w:rPr>
              <w:br/>
              <w:t>$’000</w:t>
            </w:r>
          </w:p>
        </w:tc>
        <w:tc>
          <w:tcPr>
            <w:tcW w:w="228" w:type="pct"/>
            <w:vAlign w:val="bottom"/>
          </w:tcPr>
          <w:p w14:paraId="4B8334DC" w14:textId="1E977946"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Children’s Court of Victoria 2019</w:t>
            </w:r>
            <w:r w:rsidRPr="00E84C34">
              <w:rPr>
                <w:sz w:val="18"/>
                <w:szCs w:val="18"/>
              </w:rPr>
              <w:br/>
              <w:t>$’000</w:t>
            </w:r>
          </w:p>
        </w:tc>
        <w:tc>
          <w:tcPr>
            <w:tcW w:w="303" w:type="pct"/>
            <w:vAlign w:val="bottom"/>
          </w:tcPr>
          <w:p w14:paraId="038FAA00" w14:textId="5CB4C7AE"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 xml:space="preserve">Victorian Civil &amp; Administrative </w:t>
            </w:r>
            <w:r w:rsidR="00AD226F">
              <w:rPr>
                <w:sz w:val="18"/>
                <w:szCs w:val="18"/>
              </w:rPr>
              <w:t>Tribunal</w:t>
            </w:r>
            <w:r w:rsidRPr="00E84C34">
              <w:rPr>
                <w:sz w:val="18"/>
                <w:szCs w:val="18"/>
              </w:rPr>
              <w:br/>
              <w:t>2020</w:t>
            </w:r>
            <w:r w:rsidRPr="00E84C34">
              <w:rPr>
                <w:sz w:val="18"/>
                <w:szCs w:val="18"/>
              </w:rPr>
              <w:br/>
              <w:t>$’000</w:t>
            </w:r>
          </w:p>
        </w:tc>
        <w:tc>
          <w:tcPr>
            <w:tcW w:w="303" w:type="pct"/>
            <w:vAlign w:val="bottom"/>
          </w:tcPr>
          <w:p w14:paraId="39797FD1" w14:textId="5ED2CA80"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 xml:space="preserve">Victorian Civil &amp; Administrative </w:t>
            </w:r>
            <w:r w:rsidR="00AD226F">
              <w:rPr>
                <w:sz w:val="18"/>
                <w:szCs w:val="18"/>
              </w:rPr>
              <w:t>Tribunal</w:t>
            </w:r>
            <w:r w:rsidRPr="00E84C34">
              <w:rPr>
                <w:sz w:val="18"/>
                <w:szCs w:val="18"/>
              </w:rPr>
              <w:t xml:space="preserve"> </w:t>
            </w:r>
            <w:r w:rsidRPr="00E84C34">
              <w:rPr>
                <w:sz w:val="18"/>
                <w:szCs w:val="18"/>
              </w:rPr>
              <w:br/>
              <w:t>2019</w:t>
            </w:r>
            <w:r w:rsidRPr="00E84C34">
              <w:rPr>
                <w:sz w:val="18"/>
                <w:szCs w:val="18"/>
              </w:rPr>
              <w:br/>
              <w:t>$’000</w:t>
            </w:r>
          </w:p>
        </w:tc>
        <w:tc>
          <w:tcPr>
            <w:tcW w:w="250" w:type="pct"/>
            <w:vAlign w:val="bottom"/>
          </w:tcPr>
          <w:p w14:paraId="05294926" w14:textId="542067E9"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Jurisdiction Services 2020</w:t>
            </w:r>
            <w:r w:rsidRPr="00E84C34">
              <w:rPr>
                <w:sz w:val="18"/>
                <w:szCs w:val="18"/>
              </w:rPr>
              <w:br/>
              <w:t>$’000</w:t>
            </w:r>
          </w:p>
        </w:tc>
        <w:tc>
          <w:tcPr>
            <w:tcW w:w="250" w:type="pct"/>
            <w:vAlign w:val="bottom"/>
          </w:tcPr>
          <w:p w14:paraId="1BE7F094" w14:textId="5A50A731"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Jurisdiction Services 2019</w:t>
            </w:r>
            <w:r w:rsidRPr="00E84C34">
              <w:rPr>
                <w:sz w:val="18"/>
                <w:szCs w:val="18"/>
              </w:rPr>
              <w:br/>
              <w:t>$’000</w:t>
            </w:r>
          </w:p>
        </w:tc>
        <w:tc>
          <w:tcPr>
            <w:tcW w:w="252" w:type="pct"/>
            <w:vAlign w:val="bottom"/>
          </w:tcPr>
          <w:p w14:paraId="2C0512F7" w14:textId="5BF77609"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Total</w:t>
            </w:r>
            <w:r w:rsidRPr="00E84C34">
              <w:rPr>
                <w:sz w:val="18"/>
                <w:szCs w:val="18"/>
              </w:rPr>
              <w:br/>
              <w:t>2020</w:t>
            </w:r>
            <w:r w:rsidRPr="00E84C34">
              <w:rPr>
                <w:sz w:val="18"/>
                <w:szCs w:val="18"/>
              </w:rPr>
              <w:br/>
              <w:t>$’000</w:t>
            </w:r>
          </w:p>
        </w:tc>
        <w:tc>
          <w:tcPr>
            <w:tcW w:w="256" w:type="pct"/>
            <w:vAlign w:val="bottom"/>
          </w:tcPr>
          <w:p w14:paraId="59B56638" w14:textId="63F598BA" w:rsidR="00E84C34" w:rsidRPr="00E84C34" w:rsidRDefault="00E84C34" w:rsidP="00E84C34">
            <w:pPr>
              <w:pStyle w:val="TableText"/>
              <w:cnfStyle w:val="100000000000" w:firstRow="1" w:lastRow="0" w:firstColumn="0" w:lastColumn="0" w:oddVBand="0" w:evenVBand="0" w:oddHBand="0" w:evenHBand="0" w:firstRowFirstColumn="0" w:firstRowLastColumn="0" w:lastRowFirstColumn="0" w:lastRowLastColumn="0"/>
              <w:rPr>
                <w:sz w:val="18"/>
                <w:szCs w:val="18"/>
              </w:rPr>
            </w:pPr>
            <w:r w:rsidRPr="00E84C34">
              <w:rPr>
                <w:sz w:val="18"/>
                <w:szCs w:val="18"/>
              </w:rPr>
              <w:t>Total</w:t>
            </w:r>
            <w:r w:rsidRPr="00E84C34">
              <w:rPr>
                <w:sz w:val="18"/>
                <w:szCs w:val="18"/>
              </w:rPr>
              <w:br/>
              <w:t>2019</w:t>
            </w:r>
            <w:r w:rsidRPr="00E84C34">
              <w:rPr>
                <w:sz w:val="18"/>
                <w:szCs w:val="18"/>
              </w:rPr>
              <w:br/>
              <w:t>$’000</w:t>
            </w:r>
          </w:p>
        </w:tc>
      </w:tr>
      <w:bookmarkEnd w:id="316"/>
      <w:tr w:rsidR="00AD226F" w:rsidRPr="00D75A3B" w14:paraId="55EF9E82"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3BFBF7B2" w14:textId="77777777" w:rsidR="00D51FA4" w:rsidRPr="00D51FA4" w:rsidRDefault="00D51FA4" w:rsidP="00D51FA4">
            <w:pPr>
              <w:pStyle w:val="TableText"/>
              <w:rPr>
                <w:rStyle w:val="Bold"/>
              </w:rPr>
            </w:pPr>
            <w:r w:rsidRPr="00D51FA4">
              <w:rPr>
                <w:rStyle w:val="Bold"/>
              </w:rPr>
              <w:t>Administered income from transactions</w:t>
            </w:r>
          </w:p>
        </w:tc>
        <w:tc>
          <w:tcPr>
            <w:tcW w:w="285" w:type="pct"/>
          </w:tcPr>
          <w:p w14:paraId="4C5A2A20" w14:textId="7B5F6B4F"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t>N/A</w:t>
            </w:r>
          </w:p>
        </w:tc>
        <w:tc>
          <w:tcPr>
            <w:tcW w:w="285" w:type="pct"/>
          </w:tcPr>
          <w:p w14:paraId="3A0EEBE3" w14:textId="046CE5B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85" w:type="pct"/>
          </w:tcPr>
          <w:p w14:paraId="697C2A45" w14:textId="60B4A6CB"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85" w:type="pct"/>
          </w:tcPr>
          <w:p w14:paraId="5B6E8BDB" w14:textId="0D6F9E6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7" w:type="pct"/>
          </w:tcPr>
          <w:p w14:paraId="5F11CA9F" w14:textId="0E1BA08B"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7" w:type="pct"/>
          </w:tcPr>
          <w:p w14:paraId="48970DA7" w14:textId="54EABBE7"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28" w:type="pct"/>
          </w:tcPr>
          <w:p w14:paraId="65F39BFA" w14:textId="4C376ABA"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28" w:type="pct"/>
          </w:tcPr>
          <w:p w14:paraId="4DB3BDA1" w14:textId="05064B4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303" w:type="pct"/>
          </w:tcPr>
          <w:p w14:paraId="037EB457" w14:textId="5D83616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303" w:type="pct"/>
          </w:tcPr>
          <w:p w14:paraId="2ED921D5" w14:textId="143C682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0" w:type="pct"/>
          </w:tcPr>
          <w:p w14:paraId="5AF3B302" w14:textId="6C73D7A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0" w:type="pct"/>
          </w:tcPr>
          <w:p w14:paraId="52272A45" w14:textId="332468A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2" w:type="pct"/>
          </w:tcPr>
          <w:p w14:paraId="438D6B0A" w14:textId="16CF797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c>
          <w:tcPr>
            <w:tcW w:w="256" w:type="pct"/>
          </w:tcPr>
          <w:p w14:paraId="23502D89" w14:textId="3073261E"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8C76E5">
              <w:t>N/A</w:t>
            </w:r>
          </w:p>
        </w:tc>
      </w:tr>
      <w:tr w:rsidR="00AD226F" w:rsidRPr="00D75A3B" w14:paraId="661383A0"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64A0D4D7" w14:textId="77777777" w:rsidR="00E84C34" w:rsidRPr="00D75A3B" w:rsidRDefault="00E84C34" w:rsidP="0047415C">
            <w:pPr>
              <w:pStyle w:val="TableText"/>
            </w:pPr>
            <w:r w:rsidRPr="00D75A3B">
              <w:t>Special appropriations applied</w:t>
            </w:r>
          </w:p>
        </w:tc>
        <w:tc>
          <w:tcPr>
            <w:tcW w:w="285" w:type="pct"/>
          </w:tcPr>
          <w:p w14:paraId="0912205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1770449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4904F0A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5D92458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7" w:type="pct"/>
          </w:tcPr>
          <w:p w14:paraId="373A520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45,146</w:t>
            </w:r>
          </w:p>
        </w:tc>
        <w:tc>
          <w:tcPr>
            <w:tcW w:w="257" w:type="pct"/>
          </w:tcPr>
          <w:p w14:paraId="536A2259"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46,008</w:t>
            </w:r>
          </w:p>
        </w:tc>
        <w:tc>
          <w:tcPr>
            <w:tcW w:w="228" w:type="pct"/>
          </w:tcPr>
          <w:p w14:paraId="29B48C9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28" w:type="pct"/>
          </w:tcPr>
          <w:p w14:paraId="0E81878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Pr>
          <w:p w14:paraId="1A38C1E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Pr>
          <w:p w14:paraId="0E7454F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1FEBBC6E"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31A88CB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2" w:type="pct"/>
          </w:tcPr>
          <w:p w14:paraId="2A2C4B7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45,146</w:t>
            </w:r>
          </w:p>
        </w:tc>
        <w:tc>
          <w:tcPr>
            <w:tcW w:w="256" w:type="pct"/>
          </w:tcPr>
          <w:p w14:paraId="0058B48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46,008</w:t>
            </w:r>
          </w:p>
        </w:tc>
      </w:tr>
      <w:tr w:rsidR="00AD226F" w:rsidRPr="00D75A3B" w14:paraId="0D9AB931"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15AD7B61" w14:textId="77777777" w:rsidR="00E84C34" w:rsidRPr="00D75A3B" w:rsidRDefault="00E84C34" w:rsidP="0047415C">
            <w:pPr>
              <w:pStyle w:val="TableText"/>
            </w:pPr>
            <w:r w:rsidRPr="00D75A3B">
              <w:t>Fines</w:t>
            </w:r>
          </w:p>
        </w:tc>
        <w:tc>
          <w:tcPr>
            <w:tcW w:w="285" w:type="pct"/>
          </w:tcPr>
          <w:p w14:paraId="3B62E97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5CA3610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280</w:t>
            </w:r>
          </w:p>
        </w:tc>
        <w:tc>
          <w:tcPr>
            <w:tcW w:w="285" w:type="pct"/>
          </w:tcPr>
          <w:p w14:paraId="02CE51D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(88)</w:t>
            </w:r>
          </w:p>
        </w:tc>
        <w:tc>
          <w:tcPr>
            <w:tcW w:w="285" w:type="pct"/>
          </w:tcPr>
          <w:p w14:paraId="4026681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(1,720)</w:t>
            </w:r>
          </w:p>
        </w:tc>
        <w:tc>
          <w:tcPr>
            <w:tcW w:w="257" w:type="pct"/>
          </w:tcPr>
          <w:p w14:paraId="2E70D13C"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4,227</w:t>
            </w:r>
          </w:p>
        </w:tc>
        <w:tc>
          <w:tcPr>
            <w:tcW w:w="257" w:type="pct"/>
          </w:tcPr>
          <w:p w14:paraId="3917B0C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4,342</w:t>
            </w:r>
          </w:p>
        </w:tc>
        <w:tc>
          <w:tcPr>
            <w:tcW w:w="228" w:type="pct"/>
          </w:tcPr>
          <w:p w14:paraId="5CE5B52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28" w:type="pct"/>
          </w:tcPr>
          <w:p w14:paraId="7363AAD3"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Pr>
          <w:p w14:paraId="519D650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Pr>
          <w:p w14:paraId="1E3A7C1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44B6519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21642D20"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2" w:type="pct"/>
          </w:tcPr>
          <w:p w14:paraId="1B23EB5C"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4,140</w:t>
            </w:r>
          </w:p>
        </w:tc>
        <w:tc>
          <w:tcPr>
            <w:tcW w:w="256" w:type="pct"/>
          </w:tcPr>
          <w:p w14:paraId="4C08EDE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2,902</w:t>
            </w:r>
          </w:p>
        </w:tc>
      </w:tr>
      <w:tr w:rsidR="00AD226F" w:rsidRPr="00D75A3B" w14:paraId="2856656A"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03BF4839" w14:textId="3845D530" w:rsidR="00E84C34" w:rsidRPr="00D75A3B" w:rsidRDefault="00E84C34" w:rsidP="0047415C">
            <w:pPr>
              <w:pStyle w:val="TableText"/>
            </w:pPr>
            <w:r w:rsidRPr="00D75A3B">
              <w:t>Sales of goods and services (including fees)</w:t>
            </w:r>
            <w:r w:rsidR="000D2542">
              <w:t xml:space="preserve"> </w:t>
            </w:r>
            <w:hyperlink w:anchor="Note43note1" w:history="1">
              <w:r w:rsidR="000D2542" w:rsidRPr="000D2542">
                <w:rPr>
                  <w:vertAlign w:val="superscript"/>
                </w:rPr>
                <w:t>(1)</w:t>
              </w:r>
            </w:hyperlink>
          </w:p>
        </w:tc>
        <w:tc>
          <w:tcPr>
            <w:tcW w:w="285" w:type="pct"/>
          </w:tcPr>
          <w:p w14:paraId="5C4267C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24,699</w:t>
            </w:r>
          </w:p>
        </w:tc>
        <w:tc>
          <w:tcPr>
            <w:tcW w:w="285" w:type="pct"/>
          </w:tcPr>
          <w:p w14:paraId="7A93480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22,585</w:t>
            </w:r>
          </w:p>
        </w:tc>
        <w:tc>
          <w:tcPr>
            <w:tcW w:w="285" w:type="pct"/>
          </w:tcPr>
          <w:p w14:paraId="7F3F2A7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10,150</w:t>
            </w:r>
          </w:p>
        </w:tc>
        <w:tc>
          <w:tcPr>
            <w:tcW w:w="285" w:type="pct"/>
          </w:tcPr>
          <w:p w14:paraId="354D86E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10,408</w:t>
            </w:r>
          </w:p>
        </w:tc>
        <w:tc>
          <w:tcPr>
            <w:tcW w:w="257" w:type="pct"/>
          </w:tcPr>
          <w:p w14:paraId="39C4433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19,615</w:t>
            </w:r>
          </w:p>
        </w:tc>
        <w:tc>
          <w:tcPr>
            <w:tcW w:w="257" w:type="pct"/>
          </w:tcPr>
          <w:p w14:paraId="3953008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22,181</w:t>
            </w:r>
          </w:p>
        </w:tc>
        <w:tc>
          <w:tcPr>
            <w:tcW w:w="228" w:type="pct"/>
          </w:tcPr>
          <w:p w14:paraId="4047FE5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3</w:t>
            </w:r>
          </w:p>
        </w:tc>
        <w:tc>
          <w:tcPr>
            <w:tcW w:w="228" w:type="pct"/>
          </w:tcPr>
          <w:p w14:paraId="24F4BAB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3</w:t>
            </w:r>
          </w:p>
        </w:tc>
        <w:tc>
          <w:tcPr>
            <w:tcW w:w="303" w:type="pct"/>
          </w:tcPr>
          <w:p w14:paraId="5BAB4B3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8,335</w:t>
            </w:r>
          </w:p>
        </w:tc>
        <w:tc>
          <w:tcPr>
            <w:tcW w:w="303" w:type="pct"/>
          </w:tcPr>
          <w:p w14:paraId="5571E6FB"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9,931</w:t>
            </w:r>
          </w:p>
        </w:tc>
        <w:tc>
          <w:tcPr>
            <w:tcW w:w="250" w:type="pct"/>
          </w:tcPr>
          <w:p w14:paraId="0DB70F2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54</w:t>
            </w:r>
          </w:p>
        </w:tc>
        <w:tc>
          <w:tcPr>
            <w:tcW w:w="250" w:type="pct"/>
          </w:tcPr>
          <w:p w14:paraId="42CC976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114</w:t>
            </w:r>
          </w:p>
        </w:tc>
        <w:tc>
          <w:tcPr>
            <w:tcW w:w="252" w:type="pct"/>
          </w:tcPr>
          <w:p w14:paraId="3DD8C3D3"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62,856</w:t>
            </w:r>
          </w:p>
        </w:tc>
        <w:tc>
          <w:tcPr>
            <w:tcW w:w="256" w:type="pct"/>
          </w:tcPr>
          <w:p w14:paraId="3FDD501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65,221</w:t>
            </w:r>
          </w:p>
        </w:tc>
      </w:tr>
      <w:tr w:rsidR="00AD226F" w:rsidRPr="00D75A3B" w14:paraId="1317ED98"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bottom w:val="single" w:sz="4" w:space="0" w:color="auto"/>
            </w:tcBorders>
          </w:tcPr>
          <w:p w14:paraId="157D4BEF" w14:textId="77777777" w:rsidR="00E84C34" w:rsidRPr="00D75A3B" w:rsidRDefault="00E84C34" w:rsidP="0047415C">
            <w:pPr>
              <w:pStyle w:val="TableText"/>
            </w:pPr>
            <w:r w:rsidRPr="00D75A3B">
              <w:t>Other income</w:t>
            </w:r>
          </w:p>
        </w:tc>
        <w:tc>
          <w:tcPr>
            <w:tcW w:w="285" w:type="pct"/>
            <w:tcBorders>
              <w:bottom w:val="single" w:sz="4" w:space="0" w:color="auto"/>
            </w:tcBorders>
          </w:tcPr>
          <w:p w14:paraId="02D6BAB0"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63</w:t>
            </w:r>
          </w:p>
        </w:tc>
        <w:tc>
          <w:tcPr>
            <w:tcW w:w="285" w:type="pct"/>
            <w:tcBorders>
              <w:bottom w:val="single" w:sz="4" w:space="0" w:color="auto"/>
            </w:tcBorders>
          </w:tcPr>
          <w:p w14:paraId="02C4A18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103</w:t>
            </w:r>
          </w:p>
        </w:tc>
        <w:tc>
          <w:tcPr>
            <w:tcW w:w="285" w:type="pct"/>
            <w:tcBorders>
              <w:bottom w:val="single" w:sz="4" w:space="0" w:color="auto"/>
            </w:tcBorders>
          </w:tcPr>
          <w:p w14:paraId="4C752BE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73</w:t>
            </w:r>
          </w:p>
        </w:tc>
        <w:tc>
          <w:tcPr>
            <w:tcW w:w="285" w:type="pct"/>
            <w:tcBorders>
              <w:bottom w:val="single" w:sz="4" w:space="0" w:color="auto"/>
            </w:tcBorders>
          </w:tcPr>
          <w:p w14:paraId="462243C9"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67</w:t>
            </w:r>
          </w:p>
        </w:tc>
        <w:tc>
          <w:tcPr>
            <w:tcW w:w="257" w:type="pct"/>
            <w:tcBorders>
              <w:bottom w:val="single" w:sz="4" w:space="0" w:color="auto"/>
            </w:tcBorders>
          </w:tcPr>
          <w:p w14:paraId="328D4CE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212</w:t>
            </w:r>
          </w:p>
        </w:tc>
        <w:tc>
          <w:tcPr>
            <w:tcW w:w="257" w:type="pct"/>
            <w:tcBorders>
              <w:bottom w:val="single" w:sz="4" w:space="0" w:color="auto"/>
            </w:tcBorders>
          </w:tcPr>
          <w:p w14:paraId="71CB8E6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309</w:t>
            </w:r>
          </w:p>
        </w:tc>
        <w:tc>
          <w:tcPr>
            <w:tcW w:w="228" w:type="pct"/>
            <w:tcBorders>
              <w:bottom w:val="single" w:sz="4" w:space="0" w:color="auto"/>
            </w:tcBorders>
          </w:tcPr>
          <w:p w14:paraId="2922315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28" w:type="pct"/>
            <w:tcBorders>
              <w:bottom w:val="single" w:sz="4" w:space="0" w:color="auto"/>
            </w:tcBorders>
          </w:tcPr>
          <w:p w14:paraId="1FCC04F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Borders>
              <w:bottom w:val="single" w:sz="4" w:space="0" w:color="auto"/>
            </w:tcBorders>
          </w:tcPr>
          <w:p w14:paraId="70E7453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Borders>
              <w:bottom w:val="single" w:sz="4" w:space="0" w:color="auto"/>
            </w:tcBorders>
          </w:tcPr>
          <w:p w14:paraId="7356D50C"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Borders>
              <w:bottom w:val="single" w:sz="4" w:space="0" w:color="auto"/>
            </w:tcBorders>
          </w:tcPr>
          <w:p w14:paraId="6538229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1,019</w:t>
            </w:r>
          </w:p>
        </w:tc>
        <w:tc>
          <w:tcPr>
            <w:tcW w:w="250" w:type="pct"/>
            <w:tcBorders>
              <w:bottom w:val="single" w:sz="4" w:space="0" w:color="auto"/>
            </w:tcBorders>
          </w:tcPr>
          <w:p w14:paraId="359511F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1,005</w:t>
            </w:r>
          </w:p>
        </w:tc>
        <w:tc>
          <w:tcPr>
            <w:tcW w:w="252" w:type="pct"/>
            <w:tcBorders>
              <w:bottom w:val="single" w:sz="4" w:space="0" w:color="auto"/>
            </w:tcBorders>
          </w:tcPr>
          <w:p w14:paraId="32DE1EC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1,368</w:t>
            </w:r>
          </w:p>
        </w:tc>
        <w:tc>
          <w:tcPr>
            <w:tcW w:w="256" w:type="pct"/>
            <w:tcBorders>
              <w:bottom w:val="single" w:sz="4" w:space="0" w:color="auto"/>
            </w:tcBorders>
          </w:tcPr>
          <w:p w14:paraId="0E4F4BB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1,484</w:t>
            </w:r>
          </w:p>
        </w:tc>
      </w:tr>
      <w:tr w:rsidR="00D51FA4" w:rsidRPr="00D51FA4" w14:paraId="1D0636A0"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bottom w:val="single" w:sz="4" w:space="0" w:color="auto"/>
            </w:tcBorders>
          </w:tcPr>
          <w:p w14:paraId="18029259" w14:textId="77777777" w:rsidR="00E84C34" w:rsidRPr="00D51FA4" w:rsidRDefault="00E84C34" w:rsidP="0047415C">
            <w:pPr>
              <w:pStyle w:val="TableText"/>
              <w:rPr>
                <w:rStyle w:val="Bold"/>
              </w:rPr>
            </w:pPr>
            <w:r w:rsidRPr="00D51FA4">
              <w:rPr>
                <w:rStyle w:val="Bold"/>
              </w:rPr>
              <w:t>Total administered income from transactions</w:t>
            </w:r>
          </w:p>
        </w:tc>
        <w:tc>
          <w:tcPr>
            <w:tcW w:w="285" w:type="pct"/>
            <w:tcBorders>
              <w:top w:val="single" w:sz="4" w:space="0" w:color="auto"/>
              <w:bottom w:val="single" w:sz="4" w:space="0" w:color="auto"/>
            </w:tcBorders>
          </w:tcPr>
          <w:p w14:paraId="35B527A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24,763</w:t>
            </w:r>
          </w:p>
        </w:tc>
        <w:tc>
          <w:tcPr>
            <w:tcW w:w="285" w:type="pct"/>
            <w:tcBorders>
              <w:top w:val="single" w:sz="4" w:space="0" w:color="auto"/>
              <w:bottom w:val="single" w:sz="4" w:space="0" w:color="auto"/>
            </w:tcBorders>
          </w:tcPr>
          <w:p w14:paraId="01BF7B9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22,967</w:t>
            </w:r>
          </w:p>
        </w:tc>
        <w:tc>
          <w:tcPr>
            <w:tcW w:w="285" w:type="pct"/>
            <w:tcBorders>
              <w:top w:val="single" w:sz="4" w:space="0" w:color="auto"/>
              <w:bottom w:val="single" w:sz="4" w:space="0" w:color="auto"/>
            </w:tcBorders>
          </w:tcPr>
          <w:p w14:paraId="29F58A6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10,136</w:t>
            </w:r>
          </w:p>
        </w:tc>
        <w:tc>
          <w:tcPr>
            <w:tcW w:w="285" w:type="pct"/>
            <w:tcBorders>
              <w:top w:val="single" w:sz="4" w:space="0" w:color="auto"/>
              <w:bottom w:val="single" w:sz="4" w:space="0" w:color="auto"/>
            </w:tcBorders>
          </w:tcPr>
          <w:p w14:paraId="4BCC5C6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8,755</w:t>
            </w:r>
          </w:p>
        </w:tc>
        <w:tc>
          <w:tcPr>
            <w:tcW w:w="257" w:type="pct"/>
            <w:tcBorders>
              <w:top w:val="single" w:sz="4" w:space="0" w:color="auto"/>
              <w:bottom w:val="single" w:sz="4" w:space="0" w:color="auto"/>
            </w:tcBorders>
          </w:tcPr>
          <w:p w14:paraId="0B8B0A26"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69,200 </w:t>
            </w:r>
          </w:p>
        </w:tc>
        <w:tc>
          <w:tcPr>
            <w:tcW w:w="257" w:type="pct"/>
            <w:tcBorders>
              <w:top w:val="single" w:sz="4" w:space="0" w:color="auto"/>
              <w:bottom w:val="single" w:sz="4" w:space="0" w:color="auto"/>
            </w:tcBorders>
          </w:tcPr>
          <w:p w14:paraId="70110CF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72,840</w:t>
            </w:r>
          </w:p>
        </w:tc>
        <w:tc>
          <w:tcPr>
            <w:tcW w:w="228" w:type="pct"/>
            <w:tcBorders>
              <w:top w:val="single" w:sz="4" w:space="0" w:color="auto"/>
              <w:bottom w:val="single" w:sz="4" w:space="0" w:color="auto"/>
            </w:tcBorders>
          </w:tcPr>
          <w:p w14:paraId="592B9D00"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3</w:t>
            </w:r>
          </w:p>
        </w:tc>
        <w:tc>
          <w:tcPr>
            <w:tcW w:w="228" w:type="pct"/>
            <w:tcBorders>
              <w:top w:val="single" w:sz="4" w:space="0" w:color="auto"/>
              <w:bottom w:val="single" w:sz="4" w:space="0" w:color="auto"/>
            </w:tcBorders>
          </w:tcPr>
          <w:p w14:paraId="7932DC3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3</w:t>
            </w:r>
          </w:p>
        </w:tc>
        <w:tc>
          <w:tcPr>
            <w:tcW w:w="303" w:type="pct"/>
            <w:tcBorders>
              <w:top w:val="single" w:sz="4" w:space="0" w:color="auto"/>
              <w:bottom w:val="single" w:sz="4" w:space="0" w:color="auto"/>
            </w:tcBorders>
          </w:tcPr>
          <w:p w14:paraId="2F382F2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8,335</w:t>
            </w:r>
          </w:p>
        </w:tc>
        <w:tc>
          <w:tcPr>
            <w:tcW w:w="303" w:type="pct"/>
            <w:tcBorders>
              <w:top w:val="single" w:sz="4" w:space="0" w:color="auto"/>
              <w:bottom w:val="single" w:sz="4" w:space="0" w:color="auto"/>
            </w:tcBorders>
          </w:tcPr>
          <w:p w14:paraId="1975FC75"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9,931</w:t>
            </w:r>
          </w:p>
        </w:tc>
        <w:tc>
          <w:tcPr>
            <w:tcW w:w="250" w:type="pct"/>
            <w:tcBorders>
              <w:top w:val="single" w:sz="4" w:space="0" w:color="auto"/>
              <w:bottom w:val="single" w:sz="4" w:space="0" w:color="auto"/>
            </w:tcBorders>
          </w:tcPr>
          <w:p w14:paraId="5E62CFB2"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1,073</w:t>
            </w:r>
          </w:p>
        </w:tc>
        <w:tc>
          <w:tcPr>
            <w:tcW w:w="250" w:type="pct"/>
            <w:tcBorders>
              <w:top w:val="single" w:sz="4" w:space="0" w:color="auto"/>
              <w:bottom w:val="single" w:sz="4" w:space="0" w:color="auto"/>
            </w:tcBorders>
          </w:tcPr>
          <w:p w14:paraId="0FC6CC8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1,119</w:t>
            </w:r>
          </w:p>
        </w:tc>
        <w:tc>
          <w:tcPr>
            <w:tcW w:w="252" w:type="pct"/>
            <w:tcBorders>
              <w:top w:val="single" w:sz="4" w:space="0" w:color="auto"/>
              <w:bottom w:val="single" w:sz="4" w:space="0" w:color="auto"/>
            </w:tcBorders>
          </w:tcPr>
          <w:p w14:paraId="58A17AAF"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113,510</w:t>
            </w:r>
          </w:p>
        </w:tc>
        <w:tc>
          <w:tcPr>
            <w:tcW w:w="256" w:type="pct"/>
            <w:tcBorders>
              <w:top w:val="single" w:sz="4" w:space="0" w:color="auto"/>
              <w:bottom w:val="single" w:sz="4" w:space="0" w:color="auto"/>
            </w:tcBorders>
          </w:tcPr>
          <w:p w14:paraId="45EC8063"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115,615</w:t>
            </w:r>
          </w:p>
        </w:tc>
      </w:tr>
      <w:tr w:rsidR="00AD226F" w:rsidRPr="00D75A3B" w14:paraId="61677090"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tcBorders>
          </w:tcPr>
          <w:p w14:paraId="126A57BE" w14:textId="77777777" w:rsidR="00D51FA4" w:rsidRPr="00D51FA4" w:rsidRDefault="00D51FA4" w:rsidP="00D51FA4">
            <w:pPr>
              <w:pStyle w:val="TableText"/>
              <w:rPr>
                <w:rStyle w:val="Bold"/>
              </w:rPr>
            </w:pPr>
            <w:r w:rsidRPr="00D51FA4">
              <w:rPr>
                <w:rStyle w:val="Bold"/>
              </w:rPr>
              <w:t>Administered expenses from transactions</w:t>
            </w:r>
          </w:p>
        </w:tc>
        <w:tc>
          <w:tcPr>
            <w:tcW w:w="285" w:type="pct"/>
            <w:tcBorders>
              <w:top w:val="single" w:sz="4" w:space="0" w:color="auto"/>
            </w:tcBorders>
          </w:tcPr>
          <w:p w14:paraId="14B4CFAB" w14:textId="3D3BF94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85" w:type="pct"/>
            <w:tcBorders>
              <w:top w:val="single" w:sz="4" w:space="0" w:color="auto"/>
            </w:tcBorders>
          </w:tcPr>
          <w:p w14:paraId="778F9D12" w14:textId="40D68FBA"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85" w:type="pct"/>
            <w:tcBorders>
              <w:top w:val="single" w:sz="4" w:space="0" w:color="auto"/>
            </w:tcBorders>
          </w:tcPr>
          <w:p w14:paraId="5B89C674" w14:textId="0254AD3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85" w:type="pct"/>
            <w:tcBorders>
              <w:top w:val="single" w:sz="4" w:space="0" w:color="auto"/>
            </w:tcBorders>
          </w:tcPr>
          <w:p w14:paraId="4F8F475A" w14:textId="0586A86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7" w:type="pct"/>
            <w:tcBorders>
              <w:top w:val="single" w:sz="4" w:space="0" w:color="auto"/>
            </w:tcBorders>
          </w:tcPr>
          <w:p w14:paraId="1451F717" w14:textId="19F6FD1E"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7" w:type="pct"/>
            <w:tcBorders>
              <w:top w:val="single" w:sz="4" w:space="0" w:color="auto"/>
            </w:tcBorders>
          </w:tcPr>
          <w:p w14:paraId="2780F4FD" w14:textId="33592AE0"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28" w:type="pct"/>
            <w:tcBorders>
              <w:top w:val="single" w:sz="4" w:space="0" w:color="auto"/>
            </w:tcBorders>
          </w:tcPr>
          <w:p w14:paraId="19435A44" w14:textId="7ECEACC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28" w:type="pct"/>
            <w:tcBorders>
              <w:top w:val="single" w:sz="4" w:space="0" w:color="auto"/>
            </w:tcBorders>
          </w:tcPr>
          <w:p w14:paraId="47EA99B3" w14:textId="59C8195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303" w:type="pct"/>
            <w:tcBorders>
              <w:top w:val="single" w:sz="4" w:space="0" w:color="auto"/>
            </w:tcBorders>
          </w:tcPr>
          <w:p w14:paraId="0E174E4F" w14:textId="6C81E1C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303" w:type="pct"/>
            <w:tcBorders>
              <w:top w:val="single" w:sz="4" w:space="0" w:color="auto"/>
            </w:tcBorders>
          </w:tcPr>
          <w:p w14:paraId="2F23DDDB" w14:textId="4DBF2C5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0" w:type="pct"/>
            <w:tcBorders>
              <w:top w:val="single" w:sz="4" w:space="0" w:color="auto"/>
            </w:tcBorders>
          </w:tcPr>
          <w:p w14:paraId="0E02D408" w14:textId="3A15D7E8"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0" w:type="pct"/>
            <w:tcBorders>
              <w:top w:val="single" w:sz="4" w:space="0" w:color="auto"/>
            </w:tcBorders>
          </w:tcPr>
          <w:p w14:paraId="1D8CF699" w14:textId="7308BD3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2" w:type="pct"/>
            <w:tcBorders>
              <w:top w:val="single" w:sz="4" w:space="0" w:color="auto"/>
            </w:tcBorders>
          </w:tcPr>
          <w:p w14:paraId="43DD0E32" w14:textId="3150C4D2"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c>
          <w:tcPr>
            <w:tcW w:w="256" w:type="pct"/>
            <w:tcBorders>
              <w:top w:val="single" w:sz="4" w:space="0" w:color="auto"/>
            </w:tcBorders>
          </w:tcPr>
          <w:p w14:paraId="12765A00" w14:textId="029B8947"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310C3B">
              <w:t>N/A</w:t>
            </w:r>
          </w:p>
        </w:tc>
      </w:tr>
      <w:tr w:rsidR="00AD226F" w:rsidRPr="00D75A3B" w14:paraId="2C321AE3"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585637DA" w14:textId="554C1591" w:rsidR="00E84C34" w:rsidRPr="00D75A3B" w:rsidRDefault="00E84C34" w:rsidP="0047415C">
            <w:pPr>
              <w:pStyle w:val="TableText"/>
            </w:pPr>
            <w:r w:rsidRPr="00D75A3B">
              <w:t>Payments into the Consolidated Fund</w:t>
            </w:r>
            <w:hyperlink w:anchor="Note43note2" w:history="1">
              <w:r w:rsidR="000D2542" w:rsidRPr="000D2542">
                <w:rPr>
                  <w:vertAlign w:val="superscript"/>
                </w:rPr>
                <w:t>(2)</w:t>
              </w:r>
            </w:hyperlink>
          </w:p>
        </w:tc>
        <w:tc>
          <w:tcPr>
            <w:tcW w:w="285" w:type="pct"/>
          </w:tcPr>
          <w:p w14:paraId="7EA9837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(24,715)</w:t>
            </w:r>
          </w:p>
        </w:tc>
        <w:tc>
          <w:tcPr>
            <w:tcW w:w="285" w:type="pct"/>
          </w:tcPr>
          <w:p w14:paraId="4825E4FE"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(22,875)</w:t>
            </w:r>
          </w:p>
        </w:tc>
        <w:tc>
          <w:tcPr>
            <w:tcW w:w="285" w:type="pct"/>
          </w:tcPr>
          <w:p w14:paraId="70CEBFE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(10,063)</w:t>
            </w:r>
          </w:p>
        </w:tc>
        <w:tc>
          <w:tcPr>
            <w:tcW w:w="285" w:type="pct"/>
          </w:tcPr>
          <w:p w14:paraId="46A52D1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(8,689)</w:t>
            </w:r>
          </w:p>
        </w:tc>
        <w:tc>
          <w:tcPr>
            <w:tcW w:w="257" w:type="pct"/>
          </w:tcPr>
          <w:p w14:paraId="6BD1DEC6"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(23,913)</w:t>
            </w:r>
          </w:p>
        </w:tc>
        <w:tc>
          <w:tcPr>
            <w:tcW w:w="257" w:type="pct"/>
          </w:tcPr>
          <w:p w14:paraId="6D5C340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(26,617)</w:t>
            </w:r>
          </w:p>
        </w:tc>
        <w:tc>
          <w:tcPr>
            <w:tcW w:w="228" w:type="pct"/>
          </w:tcPr>
          <w:p w14:paraId="0544281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(3)</w:t>
            </w:r>
          </w:p>
        </w:tc>
        <w:tc>
          <w:tcPr>
            <w:tcW w:w="228" w:type="pct"/>
          </w:tcPr>
          <w:p w14:paraId="22C2BB7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(3)</w:t>
            </w:r>
          </w:p>
        </w:tc>
        <w:tc>
          <w:tcPr>
            <w:tcW w:w="303" w:type="pct"/>
          </w:tcPr>
          <w:p w14:paraId="239EBE84"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(8,335)</w:t>
            </w:r>
          </w:p>
        </w:tc>
        <w:tc>
          <w:tcPr>
            <w:tcW w:w="303" w:type="pct"/>
          </w:tcPr>
          <w:p w14:paraId="1BFF923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(9,931)</w:t>
            </w:r>
          </w:p>
        </w:tc>
        <w:tc>
          <w:tcPr>
            <w:tcW w:w="250" w:type="pct"/>
          </w:tcPr>
          <w:p w14:paraId="36990DA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(152)</w:t>
            </w:r>
          </w:p>
        </w:tc>
        <w:tc>
          <w:tcPr>
            <w:tcW w:w="250" w:type="pct"/>
          </w:tcPr>
          <w:p w14:paraId="28AE09C0"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(2,857)</w:t>
            </w:r>
          </w:p>
        </w:tc>
        <w:tc>
          <w:tcPr>
            <w:tcW w:w="252" w:type="pct"/>
          </w:tcPr>
          <w:p w14:paraId="37B8E02B"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(67,181)</w:t>
            </w:r>
          </w:p>
        </w:tc>
        <w:tc>
          <w:tcPr>
            <w:tcW w:w="256" w:type="pct"/>
          </w:tcPr>
          <w:p w14:paraId="4A7CAE28"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(70,971)</w:t>
            </w:r>
          </w:p>
        </w:tc>
      </w:tr>
      <w:tr w:rsidR="00AD226F" w:rsidRPr="00D75A3B" w14:paraId="42BFB957"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193E2E97" w14:textId="5C62AC0D" w:rsidR="00E84C34" w:rsidRPr="00D75A3B" w:rsidRDefault="00E84C34" w:rsidP="0047415C">
            <w:pPr>
              <w:pStyle w:val="TableText"/>
            </w:pPr>
            <w:r w:rsidRPr="00D75A3B">
              <w:t>Criminal injuries compensation</w:t>
            </w:r>
            <w:hyperlink w:anchor="Note43note3" w:history="1">
              <w:r w:rsidR="000D2542" w:rsidRPr="000D2542">
                <w:rPr>
                  <w:vertAlign w:val="superscript"/>
                </w:rPr>
                <w:t>(3)</w:t>
              </w:r>
            </w:hyperlink>
          </w:p>
        </w:tc>
        <w:tc>
          <w:tcPr>
            <w:tcW w:w="285" w:type="pct"/>
          </w:tcPr>
          <w:p w14:paraId="018E0C3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41770D5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0F46C1E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Pr>
          <w:p w14:paraId="2888B7CC"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7" w:type="pct"/>
          </w:tcPr>
          <w:p w14:paraId="3249C3A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(44,028)</w:t>
            </w:r>
          </w:p>
        </w:tc>
        <w:tc>
          <w:tcPr>
            <w:tcW w:w="257" w:type="pct"/>
          </w:tcPr>
          <w:p w14:paraId="52E2CD6E"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(46,208)</w:t>
            </w:r>
          </w:p>
        </w:tc>
        <w:tc>
          <w:tcPr>
            <w:tcW w:w="228" w:type="pct"/>
          </w:tcPr>
          <w:p w14:paraId="61EFDBE9"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28" w:type="pct"/>
          </w:tcPr>
          <w:p w14:paraId="49D46983"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0 </w:t>
            </w:r>
          </w:p>
        </w:tc>
        <w:tc>
          <w:tcPr>
            <w:tcW w:w="303" w:type="pct"/>
          </w:tcPr>
          <w:p w14:paraId="74E0A7B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Pr>
          <w:p w14:paraId="698E4116"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1163D8B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Pr>
          <w:p w14:paraId="3E7D914A"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2" w:type="pct"/>
          </w:tcPr>
          <w:p w14:paraId="723B8F2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(44,028)</w:t>
            </w:r>
          </w:p>
        </w:tc>
        <w:tc>
          <w:tcPr>
            <w:tcW w:w="256" w:type="pct"/>
          </w:tcPr>
          <w:p w14:paraId="71F0ECF7"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(46,208)</w:t>
            </w:r>
          </w:p>
        </w:tc>
      </w:tr>
      <w:tr w:rsidR="00AD226F" w:rsidRPr="00D75A3B" w14:paraId="7C174E34"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bottom w:val="single" w:sz="4" w:space="0" w:color="auto"/>
            </w:tcBorders>
          </w:tcPr>
          <w:p w14:paraId="503610F3" w14:textId="77777777" w:rsidR="00E84C34" w:rsidRPr="00D75A3B" w:rsidRDefault="00E84C34" w:rsidP="0047415C">
            <w:pPr>
              <w:pStyle w:val="TableText"/>
            </w:pPr>
            <w:r w:rsidRPr="00D75A3B">
              <w:t>Other expenses</w:t>
            </w:r>
          </w:p>
        </w:tc>
        <w:tc>
          <w:tcPr>
            <w:tcW w:w="285" w:type="pct"/>
            <w:tcBorders>
              <w:bottom w:val="single" w:sz="4" w:space="0" w:color="auto"/>
            </w:tcBorders>
          </w:tcPr>
          <w:p w14:paraId="45352C0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Borders>
              <w:bottom w:val="single" w:sz="4" w:space="0" w:color="auto"/>
            </w:tcBorders>
          </w:tcPr>
          <w:p w14:paraId="23E68B51"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85" w:type="pct"/>
            <w:tcBorders>
              <w:bottom w:val="single" w:sz="4" w:space="0" w:color="auto"/>
            </w:tcBorders>
          </w:tcPr>
          <w:p w14:paraId="5E7B718C"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(911)</w:t>
            </w:r>
          </w:p>
        </w:tc>
        <w:tc>
          <w:tcPr>
            <w:tcW w:w="285" w:type="pct"/>
            <w:tcBorders>
              <w:bottom w:val="single" w:sz="4" w:space="0" w:color="auto"/>
            </w:tcBorders>
          </w:tcPr>
          <w:p w14:paraId="40C000DE"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2,164 </w:t>
            </w:r>
          </w:p>
        </w:tc>
        <w:tc>
          <w:tcPr>
            <w:tcW w:w="257" w:type="pct"/>
            <w:tcBorders>
              <w:bottom w:val="single" w:sz="4" w:space="0" w:color="auto"/>
            </w:tcBorders>
          </w:tcPr>
          <w:p w14:paraId="6C16FBEE"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(18)</w:t>
            </w:r>
          </w:p>
        </w:tc>
        <w:tc>
          <w:tcPr>
            <w:tcW w:w="257" w:type="pct"/>
            <w:tcBorders>
              <w:bottom w:val="single" w:sz="4" w:space="0" w:color="auto"/>
            </w:tcBorders>
          </w:tcPr>
          <w:p w14:paraId="48CBD072"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49 </w:t>
            </w:r>
          </w:p>
        </w:tc>
        <w:tc>
          <w:tcPr>
            <w:tcW w:w="228" w:type="pct"/>
            <w:tcBorders>
              <w:bottom w:val="single" w:sz="4" w:space="0" w:color="auto"/>
            </w:tcBorders>
          </w:tcPr>
          <w:p w14:paraId="4E089056"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0 </w:t>
            </w:r>
          </w:p>
        </w:tc>
        <w:tc>
          <w:tcPr>
            <w:tcW w:w="228" w:type="pct"/>
            <w:tcBorders>
              <w:bottom w:val="single" w:sz="4" w:space="0" w:color="auto"/>
            </w:tcBorders>
          </w:tcPr>
          <w:p w14:paraId="399614CD"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0 </w:t>
            </w:r>
          </w:p>
        </w:tc>
        <w:tc>
          <w:tcPr>
            <w:tcW w:w="303" w:type="pct"/>
            <w:tcBorders>
              <w:bottom w:val="single" w:sz="4" w:space="0" w:color="auto"/>
            </w:tcBorders>
          </w:tcPr>
          <w:p w14:paraId="4DA8C2FB"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303" w:type="pct"/>
            <w:tcBorders>
              <w:bottom w:val="single" w:sz="4" w:space="0" w:color="auto"/>
            </w:tcBorders>
          </w:tcPr>
          <w:p w14:paraId="5E4CEE19"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0</w:t>
            </w:r>
          </w:p>
        </w:tc>
        <w:tc>
          <w:tcPr>
            <w:tcW w:w="250" w:type="pct"/>
            <w:tcBorders>
              <w:bottom w:val="single" w:sz="4" w:space="0" w:color="auto"/>
            </w:tcBorders>
          </w:tcPr>
          <w:p w14:paraId="485729E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(894)</w:t>
            </w:r>
          </w:p>
        </w:tc>
        <w:tc>
          <w:tcPr>
            <w:tcW w:w="250" w:type="pct"/>
            <w:tcBorders>
              <w:bottom w:val="single" w:sz="4" w:space="0" w:color="auto"/>
            </w:tcBorders>
          </w:tcPr>
          <w:p w14:paraId="52EF16D9"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(1,099)</w:t>
            </w:r>
          </w:p>
        </w:tc>
        <w:tc>
          <w:tcPr>
            <w:tcW w:w="252" w:type="pct"/>
            <w:tcBorders>
              <w:bottom w:val="single" w:sz="4" w:space="0" w:color="auto"/>
            </w:tcBorders>
          </w:tcPr>
          <w:p w14:paraId="394C68CF"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(1,823)</w:t>
            </w:r>
          </w:p>
        </w:tc>
        <w:tc>
          <w:tcPr>
            <w:tcW w:w="256" w:type="pct"/>
            <w:tcBorders>
              <w:bottom w:val="single" w:sz="4" w:space="0" w:color="auto"/>
            </w:tcBorders>
          </w:tcPr>
          <w:p w14:paraId="435DAF35" w14:textId="77777777" w:rsidR="00E84C34" w:rsidRPr="00D75A3B" w:rsidRDefault="00E84C34" w:rsidP="0047415C">
            <w:pPr>
              <w:pStyle w:val="TableText"/>
              <w:cnfStyle w:val="000000000000" w:firstRow="0" w:lastRow="0" w:firstColumn="0" w:lastColumn="0" w:oddVBand="0" w:evenVBand="0" w:oddHBand="0" w:evenHBand="0" w:firstRowFirstColumn="0" w:firstRowLastColumn="0" w:lastRowFirstColumn="0" w:lastRowLastColumn="0"/>
            </w:pPr>
            <w:r w:rsidRPr="00D75A3B">
              <w:t xml:space="preserve">1,114 </w:t>
            </w:r>
          </w:p>
        </w:tc>
      </w:tr>
      <w:tr w:rsidR="00D51FA4" w:rsidRPr="00D51FA4" w14:paraId="6A09EA3D"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bottom w:val="single" w:sz="4" w:space="0" w:color="auto"/>
            </w:tcBorders>
          </w:tcPr>
          <w:p w14:paraId="25202BCF" w14:textId="77777777" w:rsidR="00E84C34" w:rsidRPr="00D51FA4" w:rsidRDefault="00E84C34" w:rsidP="0047415C">
            <w:pPr>
              <w:pStyle w:val="TableText"/>
              <w:rPr>
                <w:rStyle w:val="Bold"/>
              </w:rPr>
            </w:pPr>
            <w:r w:rsidRPr="00D51FA4">
              <w:rPr>
                <w:rStyle w:val="Bold"/>
              </w:rPr>
              <w:t>Total administered expenses from transactions</w:t>
            </w:r>
          </w:p>
        </w:tc>
        <w:tc>
          <w:tcPr>
            <w:tcW w:w="285" w:type="pct"/>
            <w:tcBorders>
              <w:top w:val="single" w:sz="4" w:space="0" w:color="auto"/>
              <w:bottom w:val="single" w:sz="4" w:space="0" w:color="auto"/>
            </w:tcBorders>
          </w:tcPr>
          <w:p w14:paraId="5E3D750C"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(24,715)</w:t>
            </w:r>
          </w:p>
        </w:tc>
        <w:tc>
          <w:tcPr>
            <w:tcW w:w="285" w:type="pct"/>
            <w:tcBorders>
              <w:top w:val="single" w:sz="4" w:space="0" w:color="auto"/>
              <w:bottom w:val="single" w:sz="4" w:space="0" w:color="auto"/>
            </w:tcBorders>
          </w:tcPr>
          <w:p w14:paraId="76C026D2"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(22,875)</w:t>
            </w:r>
          </w:p>
        </w:tc>
        <w:tc>
          <w:tcPr>
            <w:tcW w:w="285" w:type="pct"/>
            <w:tcBorders>
              <w:top w:val="single" w:sz="4" w:space="0" w:color="auto"/>
              <w:bottom w:val="single" w:sz="4" w:space="0" w:color="auto"/>
            </w:tcBorders>
          </w:tcPr>
          <w:p w14:paraId="449E41D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(10,974)</w:t>
            </w:r>
          </w:p>
        </w:tc>
        <w:tc>
          <w:tcPr>
            <w:tcW w:w="285" w:type="pct"/>
            <w:tcBorders>
              <w:top w:val="single" w:sz="4" w:space="0" w:color="auto"/>
              <w:bottom w:val="single" w:sz="4" w:space="0" w:color="auto"/>
            </w:tcBorders>
          </w:tcPr>
          <w:p w14:paraId="0650E98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(6,524)</w:t>
            </w:r>
          </w:p>
        </w:tc>
        <w:tc>
          <w:tcPr>
            <w:tcW w:w="257" w:type="pct"/>
            <w:tcBorders>
              <w:top w:val="single" w:sz="4" w:space="0" w:color="auto"/>
              <w:bottom w:val="single" w:sz="4" w:space="0" w:color="auto"/>
            </w:tcBorders>
          </w:tcPr>
          <w:p w14:paraId="77FC096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(67,959)</w:t>
            </w:r>
          </w:p>
        </w:tc>
        <w:tc>
          <w:tcPr>
            <w:tcW w:w="257" w:type="pct"/>
            <w:tcBorders>
              <w:top w:val="single" w:sz="4" w:space="0" w:color="auto"/>
              <w:bottom w:val="single" w:sz="4" w:space="0" w:color="auto"/>
            </w:tcBorders>
          </w:tcPr>
          <w:p w14:paraId="1B00B4E5"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(72,776)</w:t>
            </w:r>
          </w:p>
        </w:tc>
        <w:tc>
          <w:tcPr>
            <w:tcW w:w="228" w:type="pct"/>
            <w:tcBorders>
              <w:top w:val="single" w:sz="4" w:space="0" w:color="auto"/>
              <w:bottom w:val="single" w:sz="4" w:space="0" w:color="auto"/>
            </w:tcBorders>
          </w:tcPr>
          <w:p w14:paraId="052862F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(3)</w:t>
            </w:r>
          </w:p>
        </w:tc>
        <w:tc>
          <w:tcPr>
            <w:tcW w:w="228" w:type="pct"/>
            <w:tcBorders>
              <w:top w:val="single" w:sz="4" w:space="0" w:color="auto"/>
              <w:bottom w:val="single" w:sz="4" w:space="0" w:color="auto"/>
            </w:tcBorders>
          </w:tcPr>
          <w:p w14:paraId="7969C39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(3)</w:t>
            </w:r>
          </w:p>
        </w:tc>
        <w:tc>
          <w:tcPr>
            <w:tcW w:w="303" w:type="pct"/>
            <w:tcBorders>
              <w:top w:val="single" w:sz="4" w:space="0" w:color="auto"/>
              <w:bottom w:val="single" w:sz="4" w:space="0" w:color="auto"/>
            </w:tcBorders>
          </w:tcPr>
          <w:p w14:paraId="69828A7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(8,335)</w:t>
            </w:r>
          </w:p>
        </w:tc>
        <w:tc>
          <w:tcPr>
            <w:tcW w:w="303" w:type="pct"/>
            <w:tcBorders>
              <w:top w:val="single" w:sz="4" w:space="0" w:color="auto"/>
              <w:bottom w:val="single" w:sz="4" w:space="0" w:color="auto"/>
            </w:tcBorders>
          </w:tcPr>
          <w:p w14:paraId="50060F9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(9,931)</w:t>
            </w:r>
          </w:p>
        </w:tc>
        <w:tc>
          <w:tcPr>
            <w:tcW w:w="250" w:type="pct"/>
            <w:tcBorders>
              <w:top w:val="single" w:sz="4" w:space="0" w:color="auto"/>
              <w:bottom w:val="single" w:sz="4" w:space="0" w:color="auto"/>
            </w:tcBorders>
          </w:tcPr>
          <w:p w14:paraId="13917F22"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(1,046)</w:t>
            </w:r>
          </w:p>
        </w:tc>
        <w:tc>
          <w:tcPr>
            <w:tcW w:w="250" w:type="pct"/>
            <w:tcBorders>
              <w:top w:val="single" w:sz="4" w:space="0" w:color="auto"/>
              <w:bottom w:val="single" w:sz="4" w:space="0" w:color="auto"/>
            </w:tcBorders>
          </w:tcPr>
          <w:p w14:paraId="4FC6FC50"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(3,956)</w:t>
            </w:r>
          </w:p>
        </w:tc>
        <w:tc>
          <w:tcPr>
            <w:tcW w:w="252" w:type="pct"/>
            <w:tcBorders>
              <w:top w:val="single" w:sz="4" w:space="0" w:color="auto"/>
              <w:bottom w:val="single" w:sz="4" w:space="0" w:color="auto"/>
            </w:tcBorders>
          </w:tcPr>
          <w:p w14:paraId="1FCA756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(113,032)</w:t>
            </w:r>
          </w:p>
        </w:tc>
        <w:tc>
          <w:tcPr>
            <w:tcW w:w="256" w:type="pct"/>
            <w:tcBorders>
              <w:top w:val="single" w:sz="4" w:space="0" w:color="auto"/>
              <w:bottom w:val="single" w:sz="4" w:space="0" w:color="auto"/>
            </w:tcBorders>
          </w:tcPr>
          <w:p w14:paraId="350709A6"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(116,065)</w:t>
            </w:r>
          </w:p>
        </w:tc>
      </w:tr>
      <w:tr w:rsidR="00D51FA4" w:rsidRPr="00D51FA4" w14:paraId="373BEB69"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bottom w:val="single" w:sz="4" w:space="0" w:color="auto"/>
            </w:tcBorders>
          </w:tcPr>
          <w:p w14:paraId="196C0433" w14:textId="77777777" w:rsidR="00E84C34" w:rsidRPr="00D51FA4" w:rsidRDefault="00E84C34" w:rsidP="0047415C">
            <w:pPr>
              <w:pStyle w:val="TableText"/>
              <w:rPr>
                <w:rStyle w:val="Bold"/>
              </w:rPr>
            </w:pPr>
            <w:r w:rsidRPr="00D51FA4">
              <w:rPr>
                <w:rStyle w:val="Bold"/>
              </w:rPr>
              <w:t>Total administered net result from transactions (net operating balance)</w:t>
            </w:r>
          </w:p>
        </w:tc>
        <w:tc>
          <w:tcPr>
            <w:tcW w:w="285" w:type="pct"/>
            <w:tcBorders>
              <w:top w:val="single" w:sz="4" w:space="0" w:color="auto"/>
              <w:bottom w:val="single" w:sz="4" w:space="0" w:color="auto"/>
            </w:tcBorders>
          </w:tcPr>
          <w:p w14:paraId="5FE9CA6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48</w:t>
            </w:r>
          </w:p>
        </w:tc>
        <w:tc>
          <w:tcPr>
            <w:tcW w:w="285" w:type="pct"/>
            <w:tcBorders>
              <w:top w:val="single" w:sz="4" w:space="0" w:color="auto"/>
              <w:bottom w:val="single" w:sz="4" w:space="0" w:color="auto"/>
            </w:tcBorders>
          </w:tcPr>
          <w:p w14:paraId="2707B6C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92 </w:t>
            </w:r>
          </w:p>
        </w:tc>
        <w:tc>
          <w:tcPr>
            <w:tcW w:w="285" w:type="pct"/>
            <w:tcBorders>
              <w:top w:val="single" w:sz="4" w:space="0" w:color="auto"/>
              <w:bottom w:val="single" w:sz="4" w:space="0" w:color="auto"/>
            </w:tcBorders>
          </w:tcPr>
          <w:p w14:paraId="6DFAC6F4"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(839)</w:t>
            </w:r>
          </w:p>
        </w:tc>
        <w:tc>
          <w:tcPr>
            <w:tcW w:w="285" w:type="pct"/>
            <w:tcBorders>
              <w:top w:val="single" w:sz="4" w:space="0" w:color="auto"/>
              <w:bottom w:val="single" w:sz="4" w:space="0" w:color="auto"/>
            </w:tcBorders>
          </w:tcPr>
          <w:p w14:paraId="48AF6B5D"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2,231 </w:t>
            </w:r>
          </w:p>
        </w:tc>
        <w:tc>
          <w:tcPr>
            <w:tcW w:w="257" w:type="pct"/>
            <w:tcBorders>
              <w:top w:val="single" w:sz="4" w:space="0" w:color="auto"/>
              <w:bottom w:val="single" w:sz="4" w:space="0" w:color="auto"/>
            </w:tcBorders>
          </w:tcPr>
          <w:p w14:paraId="53EBF0C4"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1,241</w:t>
            </w:r>
          </w:p>
        </w:tc>
        <w:tc>
          <w:tcPr>
            <w:tcW w:w="257" w:type="pct"/>
            <w:tcBorders>
              <w:top w:val="single" w:sz="4" w:space="0" w:color="auto"/>
              <w:bottom w:val="single" w:sz="4" w:space="0" w:color="auto"/>
            </w:tcBorders>
          </w:tcPr>
          <w:p w14:paraId="1D806AF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64 </w:t>
            </w:r>
          </w:p>
        </w:tc>
        <w:tc>
          <w:tcPr>
            <w:tcW w:w="228" w:type="pct"/>
            <w:tcBorders>
              <w:top w:val="single" w:sz="4" w:space="0" w:color="auto"/>
              <w:bottom w:val="single" w:sz="4" w:space="0" w:color="auto"/>
            </w:tcBorders>
          </w:tcPr>
          <w:p w14:paraId="6295594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28" w:type="pct"/>
            <w:tcBorders>
              <w:top w:val="single" w:sz="4" w:space="0" w:color="auto"/>
              <w:bottom w:val="single" w:sz="4" w:space="0" w:color="auto"/>
            </w:tcBorders>
          </w:tcPr>
          <w:p w14:paraId="168FE6AC"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bottom w:val="single" w:sz="4" w:space="0" w:color="auto"/>
            </w:tcBorders>
          </w:tcPr>
          <w:p w14:paraId="29910617"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bottom w:val="single" w:sz="4" w:space="0" w:color="auto"/>
            </w:tcBorders>
          </w:tcPr>
          <w:p w14:paraId="3BA35D46"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0 </w:t>
            </w:r>
          </w:p>
        </w:tc>
        <w:tc>
          <w:tcPr>
            <w:tcW w:w="250" w:type="pct"/>
            <w:tcBorders>
              <w:top w:val="single" w:sz="4" w:space="0" w:color="auto"/>
              <w:bottom w:val="single" w:sz="4" w:space="0" w:color="auto"/>
            </w:tcBorders>
          </w:tcPr>
          <w:p w14:paraId="053E13C2"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27</w:t>
            </w:r>
          </w:p>
        </w:tc>
        <w:tc>
          <w:tcPr>
            <w:tcW w:w="250" w:type="pct"/>
            <w:tcBorders>
              <w:top w:val="single" w:sz="4" w:space="0" w:color="auto"/>
              <w:bottom w:val="single" w:sz="4" w:space="0" w:color="auto"/>
            </w:tcBorders>
          </w:tcPr>
          <w:p w14:paraId="3988BE56"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(2,837)</w:t>
            </w:r>
          </w:p>
        </w:tc>
        <w:tc>
          <w:tcPr>
            <w:tcW w:w="252" w:type="pct"/>
            <w:tcBorders>
              <w:top w:val="single" w:sz="4" w:space="0" w:color="auto"/>
              <w:bottom w:val="single" w:sz="4" w:space="0" w:color="auto"/>
            </w:tcBorders>
          </w:tcPr>
          <w:p w14:paraId="4DFAC04F"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477</w:t>
            </w:r>
          </w:p>
        </w:tc>
        <w:tc>
          <w:tcPr>
            <w:tcW w:w="256" w:type="pct"/>
            <w:tcBorders>
              <w:top w:val="single" w:sz="4" w:space="0" w:color="auto"/>
              <w:bottom w:val="single" w:sz="4" w:space="0" w:color="auto"/>
            </w:tcBorders>
          </w:tcPr>
          <w:p w14:paraId="27B07316"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(450)</w:t>
            </w:r>
          </w:p>
        </w:tc>
      </w:tr>
      <w:tr w:rsidR="00AD226F" w:rsidRPr="00D75A3B" w14:paraId="4242EE8D"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tcBorders>
          </w:tcPr>
          <w:p w14:paraId="10C2DB83" w14:textId="77777777" w:rsidR="00D51FA4" w:rsidRPr="00D51FA4" w:rsidRDefault="00D51FA4" w:rsidP="00D51FA4">
            <w:pPr>
              <w:pStyle w:val="TableText"/>
              <w:rPr>
                <w:rStyle w:val="Bold"/>
              </w:rPr>
            </w:pPr>
            <w:r w:rsidRPr="00D51FA4">
              <w:rPr>
                <w:rStyle w:val="Bold"/>
              </w:rPr>
              <w:t>Administered other economic flows</w:t>
            </w:r>
            <w:r w:rsidRPr="00D51FA4">
              <w:rPr>
                <w:rStyle w:val="Bold"/>
              </w:rPr>
              <w:br/>
              <w:t>included in administered net result</w:t>
            </w:r>
          </w:p>
        </w:tc>
        <w:tc>
          <w:tcPr>
            <w:tcW w:w="285" w:type="pct"/>
            <w:tcBorders>
              <w:top w:val="single" w:sz="4" w:space="0" w:color="auto"/>
            </w:tcBorders>
          </w:tcPr>
          <w:p w14:paraId="1E6BE531" w14:textId="4F6C432A"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top w:val="single" w:sz="4" w:space="0" w:color="auto"/>
            </w:tcBorders>
          </w:tcPr>
          <w:p w14:paraId="2C444FE9" w14:textId="573AC04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top w:val="single" w:sz="4" w:space="0" w:color="auto"/>
            </w:tcBorders>
          </w:tcPr>
          <w:p w14:paraId="53BA5F95" w14:textId="404C627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top w:val="single" w:sz="4" w:space="0" w:color="auto"/>
            </w:tcBorders>
          </w:tcPr>
          <w:p w14:paraId="2FF1AAFA" w14:textId="165667B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Borders>
              <w:top w:val="single" w:sz="4" w:space="0" w:color="auto"/>
            </w:tcBorders>
          </w:tcPr>
          <w:p w14:paraId="55468057" w14:textId="334B04E9"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Borders>
              <w:top w:val="single" w:sz="4" w:space="0" w:color="auto"/>
            </w:tcBorders>
          </w:tcPr>
          <w:p w14:paraId="0CB6603A" w14:textId="02E24F1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Borders>
              <w:top w:val="single" w:sz="4" w:space="0" w:color="auto"/>
            </w:tcBorders>
          </w:tcPr>
          <w:p w14:paraId="4B9643A6" w14:textId="6BE57DB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Borders>
              <w:top w:val="single" w:sz="4" w:space="0" w:color="auto"/>
            </w:tcBorders>
          </w:tcPr>
          <w:p w14:paraId="5EAE0215" w14:textId="19E84277"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Borders>
              <w:top w:val="single" w:sz="4" w:space="0" w:color="auto"/>
            </w:tcBorders>
          </w:tcPr>
          <w:p w14:paraId="5492C41B" w14:textId="7C471D2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Borders>
              <w:top w:val="single" w:sz="4" w:space="0" w:color="auto"/>
            </w:tcBorders>
          </w:tcPr>
          <w:p w14:paraId="1D7A2FE7" w14:textId="3065988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Borders>
              <w:top w:val="single" w:sz="4" w:space="0" w:color="auto"/>
            </w:tcBorders>
          </w:tcPr>
          <w:p w14:paraId="738C8090" w14:textId="5A209A1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Borders>
              <w:top w:val="single" w:sz="4" w:space="0" w:color="auto"/>
            </w:tcBorders>
          </w:tcPr>
          <w:p w14:paraId="702D17BC" w14:textId="1F0A0F6E"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2" w:type="pct"/>
            <w:tcBorders>
              <w:top w:val="single" w:sz="4" w:space="0" w:color="auto"/>
            </w:tcBorders>
          </w:tcPr>
          <w:p w14:paraId="0CF47838" w14:textId="12E2AB2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6" w:type="pct"/>
            <w:tcBorders>
              <w:top w:val="single" w:sz="4" w:space="0" w:color="auto"/>
            </w:tcBorders>
          </w:tcPr>
          <w:p w14:paraId="19B4A5A2" w14:textId="781EAFF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r>
      <w:tr w:rsidR="00AD226F" w:rsidRPr="00D75A3B" w14:paraId="29C6D452"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1CC661A1" w14:textId="77777777" w:rsidR="00D51FA4" w:rsidRPr="00D75A3B" w:rsidRDefault="00D51FA4" w:rsidP="00D51FA4">
            <w:pPr>
              <w:pStyle w:val="TableText"/>
            </w:pPr>
            <w:r w:rsidRPr="00D75A3B">
              <w:t>Net gain/(loss) on non-financial assets</w:t>
            </w:r>
          </w:p>
        </w:tc>
        <w:tc>
          <w:tcPr>
            <w:tcW w:w="285" w:type="pct"/>
          </w:tcPr>
          <w:p w14:paraId="019C1F21" w14:textId="07597642"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5D62ECF5" w14:textId="03EF0F5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37296725" w14:textId="4D69E41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4A66CA36" w14:textId="0BD506D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Pr>
          <w:p w14:paraId="11C3BC44" w14:textId="6008242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Pr>
          <w:p w14:paraId="1D1A2C96" w14:textId="3F0052EF"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Pr>
          <w:p w14:paraId="102D2C98" w14:textId="5E14A3A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Pr>
          <w:p w14:paraId="30147C3E" w14:textId="7E4A8147"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Pr>
          <w:p w14:paraId="1CEF12C5" w14:textId="4F364559"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Pr>
          <w:p w14:paraId="1AAFC48B" w14:textId="4498B27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Pr>
          <w:p w14:paraId="6413CC14" w14:textId="2FC51DB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Pr>
          <w:p w14:paraId="66891552" w14:textId="5FFEC13B"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2" w:type="pct"/>
          </w:tcPr>
          <w:p w14:paraId="3403E6DF" w14:textId="1CCBC0C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6" w:type="pct"/>
          </w:tcPr>
          <w:p w14:paraId="14BCCB10" w14:textId="4C525BC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r>
      <w:tr w:rsidR="00AD226F" w:rsidRPr="00D75A3B" w14:paraId="6206B997"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Pr>
          <w:p w14:paraId="4BCC0769" w14:textId="77777777" w:rsidR="00D51FA4" w:rsidRPr="00D75A3B" w:rsidRDefault="00D51FA4" w:rsidP="00D51FA4">
            <w:pPr>
              <w:pStyle w:val="TableText"/>
            </w:pPr>
            <w:r w:rsidRPr="00D75A3B">
              <w:t>Net gain/(loss) on financial instruments</w:t>
            </w:r>
          </w:p>
        </w:tc>
        <w:tc>
          <w:tcPr>
            <w:tcW w:w="285" w:type="pct"/>
          </w:tcPr>
          <w:p w14:paraId="6D4514C5" w14:textId="0E1A66D8"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0E3AAA4D" w14:textId="052BD17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7BA412A0" w14:textId="725F378A"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Pr>
          <w:p w14:paraId="606B8F57" w14:textId="0674EEAE"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Pr>
          <w:p w14:paraId="1C120480" w14:textId="3360C1C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Pr>
          <w:p w14:paraId="7A4352D3" w14:textId="0A7A7C29"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Pr>
          <w:p w14:paraId="03CD6EEE" w14:textId="58D642B6"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Pr>
          <w:p w14:paraId="7B2540C0" w14:textId="0B4E8DE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Pr>
          <w:p w14:paraId="5F3210F7" w14:textId="700F3BA0"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Pr>
          <w:p w14:paraId="1EC1C074" w14:textId="3102F65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Pr>
          <w:p w14:paraId="0A00EB20" w14:textId="3811740F"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Pr>
          <w:p w14:paraId="6048DAF4" w14:textId="4B47DF35"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2" w:type="pct"/>
          </w:tcPr>
          <w:p w14:paraId="6604A28C" w14:textId="4FB0013D"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6" w:type="pct"/>
          </w:tcPr>
          <w:p w14:paraId="5ADCC1E1" w14:textId="0E976CE9"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r>
      <w:tr w:rsidR="00AD226F" w:rsidRPr="00D75A3B" w14:paraId="79BEC9C3"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bottom w:val="single" w:sz="4" w:space="0" w:color="auto"/>
            </w:tcBorders>
          </w:tcPr>
          <w:p w14:paraId="370AC26D" w14:textId="77777777" w:rsidR="00D51FA4" w:rsidRPr="00D75A3B" w:rsidRDefault="00D51FA4" w:rsidP="00D51FA4">
            <w:pPr>
              <w:pStyle w:val="TableText"/>
            </w:pPr>
            <w:r w:rsidRPr="00D75A3B">
              <w:t>Other gains/(losses) from other economic flows</w:t>
            </w:r>
          </w:p>
        </w:tc>
        <w:tc>
          <w:tcPr>
            <w:tcW w:w="285" w:type="pct"/>
            <w:tcBorders>
              <w:bottom w:val="single" w:sz="4" w:space="0" w:color="auto"/>
            </w:tcBorders>
          </w:tcPr>
          <w:p w14:paraId="32D1B101" w14:textId="25E82E08"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bottom w:val="single" w:sz="4" w:space="0" w:color="auto"/>
            </w:tcBorders>
          </w:tcPr>
          <w:p w14:paraId="3180524C" w14:textId="7D0EEAA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bottom w:val="single" w:sz="4" w:space="0" w:color="auto"/>
            </w:tcBorders>
          </w:tcPr>
          <w:p w14:paraId="22E20CC5" w14:textId="49E2A164"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85" w:type="pct"/>
            <w:tcBorders>
              <w:bottom w:val="single" w:sz="4" w:space="0" w:color="auto"/>
            </w:tcBorders>
          </w:tcPr>
          <w:p w14:paraId="5510AF44" w14:textId="4EF54AFF"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Borders>
              <w:bottom w:val="single" w:sz="4" w:space="0" w:color="auto"/>
            </w:tcBorders>
          </w:tcPr>
          <w:p w14:paraId="0C5C773F" w14:textId="21F659DE"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7" w:type="pct"/>
            <w:tcBorders>
              <w:bottom w:val="single" w:sz="4" w:space="0" w:color="auto"/>
            </w:tcBorders>
          </w:tcPr>
          <w:p w14:paraId="525763DB" w14:textId="17F9F981"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Borders>
              <w:bottom w:val="single" w:sz="4" w:space="0" w:color="auto"/>
            </w:tcBorders>
          </w:tcPr>
          <w:p w14:paraId="7D9EBCB2" w14:textId="2ECA172F"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28" w:type="pct"/>
            <w:tcBorders>
              <w:bottom w:val="single" w:sz="4" w:space="0" w:color="auto"/>
            </w:tcBorders>
          </w:tcPr>
          <w:p w14:paraId="4DB9E755" w14:textId="5FA5F223"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Borders>
              <w:bottom w:val="single" w:sz="4" w:space="0" w:color="auto"/>
            </w:tcBorders>
          </w:tcPr>
          <w:p w14:paraId="6FEC8CA8" w14:textId="136F503B"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303" w:type="pct"/>
            <w:tcBorders>
              <w:bottom w:val="single" w:sz="4" w:space="0" w:color="auto"/>
            </w:tcBorders>
          </w:tcPr>
          <w:p w14:paraId="60DCEEA2" w14:textId="59B043A9"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Borders>
              <w:bottom w:val="single" w:sz="4" w:space="0" w:color="auto"/>
            </w:tcBorders>
          </w:tcPr>
          <w:p w14:paraId="16BBA262" w14:textId="109E2BFC"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0" w:type="pct"/>
            <w:tcBorders>
              <w:bottom w:val="single" w:sz="4" w:space="0" w:color="auto"/>
            </w:tcBorders>
          </w:tcPr>
          <w:p w14:paraId="375141CC" w14:textId="1F4AC7E0"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2" w:type="pct"/>
            <w:tcBorders>
              <w:bottom w:val="single" w:sz="4" w:space="0" w:color="auto"/>
            </w:tcBorders>
          </w:tcPr>
          <w:p w14:paraId="435611CA" w14:textId="2E2C64AB"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c>
          <w:tcPr>
            <w:tcW w:w="256" w:type="pct"/>
            <w:tcBorders>
              <w:bottom w:val="single" w:sz="4" w:space="0" w:color="auto"/>
            </w:tcBorders>
          </w:tcPr>
          <w:p w14:paraId="57F554B0" w14:textId="6239E00A" w:rsidR="00D51FA4" w:rsidRPr="00D75A3B" w:rsidRDefault="00D51FA4" w:rsidP="00D51FA4">
            <w:pPr>
              <w:pStyle w:val="TableText"/>
              <w:cnfStyle w:val="000000000000" w:firstRow="0" w:lastRow="0" w:firstColumn="0" w:lastColumn="0" w:oddVBand="0" w:evenVBand="0" w:oddHBand="0" w:evenHBand="0" w:firstRowFirstColumn="0" w:firstRowLastColumn="0" w:lastRowFirstColumn="0" w:lastRowLastColumn="0"/>
            </w:pPr>
            <w:r w:rsidRPr="00D766D7">
              <w:t>N/A</w:t>
            </w:r>
          </w:p>
        </w:tc>
      </w:tr>
      <w:tr w:rsidR="00D51FA4" w:rsidRPr="00D51FA4" w14:paraId="4627EC66"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bottom w:val="single" w:sz="4" w:space="0" w:color="auto"/>
            </w:tcBorders>
          </w:tcPr>
          <w:p w14:paraId="274F3846" w14:textId="77777777" w:rsidR="00E84C34" w:rsidRPr="00D51FA4" w:rsidRDefault="00E84C34" w:rsidP="0047415C">
            <w:pPr>
              <w:pStyle w:val="TableText"/>
              <w:rPr>
                <w:rStyle w:val="Bold"/>
              </w:rPr>
            </w:pPr>
            <w:r w:rsidRPr="00D51FA4">
              <w:rPr>
                <w:rStyle w:val="Bold"/>
              </w:rPr>
              <w:t>Total administered other economic flows</w:t>
            </w:r>
          </w:p>
        </w:tc>
        <w:tc>
          <w:tcPr>
            <w:tcW w:w="285" w:type="pct"/>
            <w:tcBorders>
              <w:top w:val="single" w:sz="4" w:space="0" w:color="auto"/>
              <w:bottom w:val="single" w:sz="4" w:space="0" w:color="auto"/>
            </w:tcBorders>
          </w:tcPr>
          <w:p w14:paraId="252EA7C7"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85" w:type="pct"/>
            <w:tcBorders>
              <w:top w:val="single" w:sz="4" w:space="0" w:color="auto"/>
              <w:bottom w:val="single" w:sz="4" w:space="0" w:color="auto"/>
            </w:tcBorders>
          </w:tcPr>
          <w:p w14:paraId="09E748AD"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85" w:type="pct"/>
            <w:tcBorders>
              <w:top w:val="single" w:sz="4" w:space="0" w:color="auto"/>
              <w:bottom w:val="single" w:sz="4" w:space="0" w:color="auto"/>
            </w:tcBorders>
          </w:tcPr>
          <w:p w14:paraId="08DBBDFD"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85" w:type="pct"/>
            <w:tcBorders>
              <w:top w:val="single" w:sz="4" w:space="0" w:color="auto"/>
              <w:bottom w:val="single" w:sz="4" w:space="0" w:color="auto"/>
            </w:tcBorders>
          </w:tcPr>
          <w:p w14:paraId="71143BA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7" w:type="pct"/>
            <w:tcBorders>
              <w:top w:val="single" w:sz="4" w:space="0" w:color="auto"/>
              <w:bottom w:val="single" w:sz="4" w:space="0" w:color="auto"/>
            </w:tcBorders>
          </w:tcPr>
          <w:p w14:paraId="703EC150"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7" w:type="pct"/>
            <w:tcBorders>
              <w:top w:val="single" w:sz="4" w:space="0" w:color="auto"/>
              <w:bottom w:val="single" w:sz="4" w:space="0" w:color="auto"/>
            </w:tcBorders>
          </w:tcPr>
          <w:p w14:paraId="328B066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28" w:type="pct"/>
            <w:tcBorders>
              <w:top w:val="single" w:sz="4" w:space="0" w:color="auto"/>
              <w:bottom w:val="single" w:sz="4" w:space="0" w:color="auto"/>
            </w:tcBorders>
          </w:tcPr>
          <w:p w14:paraId="1A81B6CC"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28" w:type="pct"/>
            <w:tcBorders>
              <w:top w:val="single" w:sz="4" w:space="0" w:color="auto"/>
              <w:bottom w:val="single" w:sz="4" w:space="0" w:color="auto"/>
            </w:tcBorders>
          </w:tcPr>
          <w:p w14:paraId="7D4E82F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bottom w:val="single" w:sz="4" w:space="0" w:color="auto"/>
            </w:tcBorders>
          </w:tcPr>
          <w:p w14:paraId="4803ACF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bottom w:val="single" w:sz="4" w:space="0" w:color="auto"/>
            </w:tcBorders>
          </w:tcPr>
          <w:p w14:paraId="500FCBE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0" w:type="pct"/>
            <w:tcBorders>
              <w:top w:val="single" w:sz="4" w:space="0" w:color="auto"/>
              <w:bottom w:val="single" w:sz="4" w:space="0" w:color="auto"/>
            </w:tcBorders>
          </w:tcPr>
          <w:p w14:paraId="090E825D"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0" w:type="pct"/>
            <w:tcBorders>
              <w:top w:val="single" w:sz="4" w:space="0" w:color="auto"/>
              <w:bottom w:val="single" w:sz="4" w:space="0" w:color="auto"/>
            </w:tcBorders>
          </w:tcPr>
          <w:p w14:paraId="0CABDFA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2" w:type="pct"/>
            <w:tcBorders>
              <w:top w:val="single" w:sz="4" w:space="0" w:color="auto"/>
              <w:bottom w:val="single" w:sz="4" w:space="0" w:color="auto"/>
            </w:tcBorders>
          </w:tcPr>
          <w:p w14:paraId="38B020E0"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56" w:type="pct"/>
            <w:tcBorders>
              <w:top w:val="single" w:sz="4" w:space="0" w:color="auto"/>
              <w:bottom w:val="single" w:sz="4" w:space="0" w:color="auto"/>
            </w:tcBorders>
          </w:tcPr>
          <w:p w14:paraId="57E9F9F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r>
      <w:tr w:rsidR="00AD226F" w:rsidRPr="00D51FA4" w14:paraId="3957D05D" w14:textId="77777777" w:rsidTr="00D51FA4">
        <w:trPr>
          <w:trHeight w:val="6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auto"/>
            </w:tcBorders>
          </w:tcPr>
          <w:p w14:paraId="04A4D335" w14:textId="77777777" w:rsidR="00E84C34" w:rsidRPr="00D51FA4" w:rsidRDefault="00E84C34" w:rsidP="0047415C">
            <w:pPr>
              <w:pStyle w:val="TableText"/>
              <w:rPr>
                <w:rStyle w:val="Bold"/>
              </w:rPr>
            </w:pPr>
            <w:r w:rsidRPr="00D51FA4">
              <w:rPr>
                <w:rStyle w:val="Bold"/>
              </w:rPr>
              <w:t>Total administered net result</w:t>
            </w:r>
          </w:p>
        </w:tc>
        <w:tc>
          <w:tcPr>
            <w:tcW w:w="285" w:type="pct"/>
            <w:tcBorders>
              <w:top w:val="single" w:sz="4" w:space="0" w:color="auto"/>
            </w:tcBorders>
          </w:tcPr>
          <w:p w14:paraId="42475D0A"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48</w:t>
            </w:r>
          </w:p>
        </w:tc>
        <w:tc>
          <w:tcPr>
            <w:tcW w:w="285" w:type="pct"/>
            <w:tcBorders>
              <w:top w:val="single" w:sz="4" w:space="0" w:color="auto"/>
            </w:tcBorders>
          </w:tcPr>
          <w:p w14:paraId="46C918BB"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92 </w:t>
            </w:r>
          </w:p>
        </w:tc>
        <w:tc>
          <w:tcPr>
            <w:tcW w:w="285" w:type="pct"/>
            <w:tcBorders>
              <w:top w:val="single" w:sz="4" w:space="0" w:color="auto"/>
            </w:tcBorders>
          </w:tcPr>
          <w:p w14:paraId="2BC69E7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(839)</w:t>
            </w:r>
          </w:p>
        </w:tc>
        <w:tc>
          <w:tcPr>
            <w:tcW w:w="285" w:type="pct"/>
            <w:tcBorders>
              <w:top w:val="single" w:sz="4" w:space="0" w:color="auto"/>
            </w:tcBorders>
          </w:tcPr>
          <w:p w14:paraId="7DB92D17"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2,231 </w:t>
            </w:r>
          </w:p>
        </w:tc>
        <w:tc>
          <w:tcPr>
            <w:tcW w:w="257" w:type="pct"/>
            <w:tcBorders>
              <w:top w:val="single" w:sz="4" w:space="0" w:color="auto"/>
            </w:tcBorders>
          </w:tcPr>
          <w:p w14:paraId="5D5AC4A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1,241 </w:t>
            </w:r>
          </w:p>
        </w:tc>
        <w:tc>
          <w:tcPr>
            <w:tcW w:w="257" w:type="pct"/>
            <w:tcBorders>
              <w:top w:val="single" w:sz="4" w:space="0" w:color="auto"/>
            </w:tcBorders>
          </w:tcPr>
          <w:p w14:paraId="7E3780ED"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64 </w:t>
            </w:r>
          </w:p>
        </w:tc>
        <w:tc>
          <w:tcPr>
            <w:tcW w:w="228" w:type="pct"/>
            <w:tcBorders>
              <w:top w:val="single" w:sz="4" w:space="0" w:color="auto"/>
            </w:tcBorders>
          </w:tcPr>
          <w:p w14:paraId="3259F5C4"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228" w:type="pct"/>
            <w:tcBorders>
              <w:top w:val="single" w:sz="4" w:space="0" w:color="auto"/>
            </w:tcBorders>
          </w:tcPr>
          <w:p w14:paraId="403628CF"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tcBorders>
          </w:tcPr>
          <w:p w14:paraId="78C8676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0</w:t>
            </w:r>
          </w:p>
        </w:tc>
        <w:tc>
          <w:tcPr>
            <w:tcW w:w="303" w:type="pct"/>
            <w:tcBorders>
              <w:top w:val="single" w:sz="4" w:space="0" w:color="auto"/>
            </w:tcBorders>
          </w:tcPr>
          <w:p w14:paraId="3B341BA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0 </w:t>
            </w:r>
          </w:p>
        </w:tc>
        <w:tc>
          <w:tcPr>
            <w:tcW w:w="250" w:type="pct"/>
            <w:tcBorders>
              <w:top w:val="single" w:sz="4" w:space="0" w:color="auto"/>
            </w:tcBorders>
          </w:tcPr>
          <w:p w14:paraId="5915E741"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27 </w:t>
            </w:r>
          </w:p>
        </w:tc>
        <w:tc>
          <w:tcPr>
            <w:tcW w:w="250" w:type="pct"/>
            <w:tcBorders>
              <w:top w:val="single" w:sz="4" w:space="0" w:color="auto"/>
            </w:tcBorders>
          </w:tcPr>
          <w:p w14:paraId="38557FAE"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(2,837)</w:t>
            </w:r>
          </w:p>
        </w:tc>
        <w:tc>
          <w:tcPr>
            <w:tcW w:w="252" w:type="pct"/>
            <w:tcBorders>
              <w:top w:val="single" w:sz="4" w:space="0" w:color="auto"/>
            </w:tcBorders>
          </w:tcPr>
          <w:p w14:paraId="43101299"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 xml:space="preserve">477 </w:t>
            </w:r>
          </w:p>
        </w:tc>
        <w:tc>
          <w:tcPr>
            <w:tcW w:w="256" w:type="pct"/>
            <w:tcBorders>
              <w:top w:val="single" w:sz="4" w:space="0" w:color="auto"/>
            </w:tcBorders>
          </w:tcPr>
          <w:p w14:paraId="5AA64FFF" w14:textId="77777777" w:rsidR="00E84C34" w:rsidRPr="00D51FA4" w:rsidRDefault="00E84C34" w:rsidP="0047415C">
            <w:pPr>
              <w:pStyle w:val="TableText"/>
              <w:cnfStyle w:val="000000000000" w:firstRow="0" w:lastRow="0" w:firstColumn="0" w:lastColumn="0" w:oddVBand="0" w:evenVBand="0" w:oddHBand="0" w:evenHBand="0" w:firstRowFirstColumn="0" w:firstRowLastColumn="0" w:lastRowFirstColumn="0" w:lastRowLastColumn="0"/>
              <w:rPr>
                <w:rStyle w:val="Bold"/>
              </w:rPr>
            </w:pPr>
            <w:r w:rsidRPr="00D51FA4">
              <w:rPr>
                <w:rStyle w:val="Bold"/>
              </w:rPr>
              <w:t>(450)</w:t>
            </w:r>
          </w:p>
        </w:tc>
      </w:tr>
    </w:tbl>
    <w:p w14:paraId="1446C15E" w14:textId="77777777" w:rsidR="00F313F5" w:rsidRDefault="00F313F5" w:rsidP="00F313F5">
      <w:pPr>
        <w:pStyle w:val="NotesText"/>
      </w:pPr>
      <w:r>
        <w:t>Notes:</w:t>
      </w:r>
    </w:p>
    <w:p w14:paraId="7974EB1E" w14:textId="5E2D5058" w:rsidR="00F313F5" w:rsidRDefault="009B1462" w:rsidP="00F110E7">
      <w:pPr>
        <w:pStyle w:val="NotesNumberedList"/>
        <w:numPr>
          <w:ilvl w:val="0"/>
          <w:numId w:val="42"/>
        </w:numPr>
      </w:pPr>
      <w:bookmarkStart w:id="317" w:name="Note43note1"/>
      <w:bookmarkEnd w:id="317"/>
      <w:r>
        <w:t>Court Services Victoria</w:t>
      </w:r>
      <w:r w:rsidR="00F313F5">
        <w:t xml:space="preserve"> has considered the impact of COVID-19 on Fees and has noted the potential for a reduction in Fees in 2020-21.</w:t>
      </w:r>
    </w:p>
    <w:p w14:paraId="156CD20A" w14:textId="72670953" w:rsidR="00F313F5" w:rsidRDefault="00F313F5" w:rsidP="00F313F5">
      <w:pPr>
        <w:pStyle w:val="NotesNumberedList"/>
      </w:pPr>
      <w:bookmarkStart w:id="318" w:name="Note43note2"/>
      <w:bookmarkEnd w:id="318"/>
      <w:r>
        <w:t>Payments into the Consolidated Fund by Jurisdiction Services relates to fines and other income paid on behalf of the jurisdictions.</w:t>
      </w:r>
    </w:p>
    <w:p w14:paraId="60CC642C" w14:textId="7DC15DCE" w:rsidR="00187572" w:rsidRDefault="00F313F5" w:rsidP="006A099C">
      <w:pPr>
        <w:pStyle w:val="NotesNumberedList"/>
      </w:pPr>
      <w:bookmarkStart w:id="319" w:name="Note43note3"/>
      <w:bookmarkEnd w:id="319"/>
      <w:r>
        <w:t>Criminal injuries compensation payments are awarded by the Victims of Crime Assistance Tribunal and are funded from Special appropriations on determination of each case in accordance with Victims of Crime Assistance Act 1996 s.69.</w:t>
      </w:r>
    </w:p>
    <w:tbl>
      <w:tblPr>
        <w:tblStyle w:val="AccessibleTableNumerical"/>
        <w:tblW w:w="5000" w:type="pct"/>
        <w:tblLook w:val="04A0" w:firstRow="1" w:lastRow="0" w:firstColumn="1" w:lastColumn="0" w:noHBand="0" w:noVBand="1"/>
      </w:tblPr>
      <w:tblGrid>
        <w:gridCol w:w="3442"/>
        <w:gridCol w:w="1219"/>
        <w:gridCol w:w="1219"/>
        <w:gridCol w:w="1219"/>
        <w:gridCol w:w="1220"/>
        <w:gridCol w:w="1220"/>
        <w:gridCol w:w="1220"/>
        <w:gridCol w:w="1349"/>
        <w:gridCol w:w="1349"/>
        <w:gridCol w:w="1349"/>
        <w:gridCol w:w="1349"/>
        <w:gridCol w:w="1349"/>
        <w:gridCol w:w="1349"/>
        <w:gridCol w:w="1349"/>
        <w:gridCol w:w="1344"/>
      </w:tblGrid>
      <w:tr w:rsidR="00187572" w:rsidRPr="00187572" w14:paraId="51C676A9" w14:textId="77777777" w:rsidTr="00AD226F">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799" w:type="pct"/>
          </w:tcPr>
          <w:p w14:paraId="2D607812" w14:textId="06D13858" w:rsidR="00187572" w:rsidRPr="00187572" w:rsidRDefault="00187572" w:rsidP="00187572">
            <w:pPr>
              <w:pStyle w:val="TableText"/>
              <w:rPr>
                <w:sz w:val="18"/>
                <w:szCs w:val="18"/>
              </w:rPr>
            </w:pPr>
            <w:bookmarkStart w:id="320" w:name="ColumnTitle_68"/>
            <w:r>
              <w:rPr>
                <w:sz w:val="18"/>
                <w:szCs w:val="18"/>
              </w:rPr>
              <w:t>Item</w:t>
            </w:r>
          </w:p>
        </w:tc>
        <w:tc>
          <w:tcPr>
            <w:tcW w:w="283" w:type="pct"/>
            <w:vAlign w:val="bottom"/>
          </w:tcPr>
          <w:p w14:paraId="68EB1790" w14:textId="693DAB52" w:rsidR="00187572" w:rsidRPr="00187572" w:rsidRDefault="00187572"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Supreme Court of Victoria</w:t>
            </w:r>
            <w:r w:rsidR="00AD226F">
              <w:rPr>
                <w:sz w:val="18"/>
                <w:szCs w:val="18"/>
              </w:rPr>
              <w:br/>
            </w:r>
            <w:r>
              <w:rPr>
                <w:sz w:val="18"/>
                <w:szCs w:val="18"/>
              </w:rPr>
              <w:t>2020</w:t>
            </w:r>
            <w:r>
              <w:rPr>
                <w:sz w:val="18"/>
                <w:szCs w:val="18"/>
              </w:rPr>
              <w:br/>
              <w:t>$’000</w:t>
            </w:r>
          </w:p>
        </w:tc>
        <w:tc>
          <w:tcPr>
            <w:tcW w:w="283" w:type="pct"/>
            <w:vAlign w:val="bottom"/>
          </w:tcPr>
          <w:p w14:paraId="1DF3E507" w14:textId="6EE049D7"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Supreme Court of Victoria</w:t>
            </w:r>
            <w:r>
              <w:rPr>
                <w:sz w:val="18"/>
                <w:szCs w:val="18"/>
              </w:rPr>
              <w:br/>
              <w:t>2019</w:t>
            </w:r>
            <w:r>
              <w:rPr>
                <w:sz w:val="18"/>
                <w:szCs w:val="18"/>
              </w:rPr>
              <w:br/>
              <w:t>$’000</w:t>
            </w:r>
          </w:p>
        </w:tc>
        <w:tc>
          <w:tcPr>
            <w:tcW w:w="283" w:type="pct"/>
            <w:vAlign w:val="bottom"/>
          </w:tcPr>
          <w:p w14:paraId="30A5FEBB" w14:textId="7584C4E7"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County Court of Victoria</w:t>
            </w:r>
            <w:r>
              <w:rPr>
                <w:sz w:val="18"/>
                <w:szCs w:val="18"/>
              </w:rPr>
              <w:br/>
              <w:t>2020</w:t>
            </w:r>
            <w:r>
              <w:rPr>
                <w:sz w:val="18"/>
                <w:szCs w:val="18"/>
              </w:rPr>
              <w:br/>
              <w:t>$’000</w:t>
            </w:r>
          </w:p>
        </w:tc>
        <w:tc>
          <w:tcPr>
            <w:tcW w:w="283" w:type="pct"/>
            <w:vAlign w:val="bottom"/>
          </w:tcPr>
          <w:p w14:paraId="6B2A26D2" w14:textId="55967312"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County Court of Victoria</w:t>
            </w:r>
            <w:r>
              <w:rPr>
                <w:sz w:val="18"/>
                <w:szCs w:val="18"/>
              </w:rPr>
              <w:br/>
              <w:t>2019</w:t>
            </w:r>
            <w:r>
              <w:rPr>
                <w:sz w:val="18"/>
                <w:szCs w:val="18"/>
              </w:rPr>
              <w:br/>
              <w:t>$’000</w:t>
            </w:r>
          </w:p>
        </w:tc>
        <w:tc>
          <w:tcPr>
            <w:tcW w:w="283" w:type="pct"/>
            <w:vAlign w:val="bottom"/>
          </w:tcPr>
          <w:p w14:paraId="4B202CCA" w14:textId="54A42A97"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Magistrates’ Court of Victoria</w:t>
            </w:r>
            <w:r>
              <w:rPr>
                <w:sz w:val="18"/>
                <w:szCs w:val="18"/>
              </w:rPr>
              <w:br/>
              <w:t>2020</w:t>
            </w:r>
            <w:r>
              <w:rPr>
                <w:sz w:val="18"/>
                <w:szCs w:val="18"/>
              </w:rPr>
              <w:br/>
              <w:t>$’000</w:t>
            </w:r>
          </w:p>
        </w:tc>
        <w:tc>
          <w:tcPr>
            <w:tcW w:w="283" w:type="pct"/>
            <w:vAlign w:val="bottom"/>
          </w:tcPr>
          <w:p w14:paraId="2C632DCE" w14:textId="4B3D67BC"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Magistrates’ Court of Victoria</w:t>
            </w:r>
            <w:r>
              <w:rPr>
                <w:sz w:val="18"/>
                <w:szCs w:val="18"/>
              </w:rPr>
              <w:br/>
              <w:t>2019</w:t>
            </w:r>
            <w:r>
              <w:rPr>
                <w:sz w:val="18"/>
                <w:szCs w:val="18"/>
              </w:rPr>
              <w:br/>
              <w:t>$’000</w:t>
            </w:r>
          </w:p>
        </w:tc>
        <w:tc>
          <w:tcPr>
            <w:tcW w:w="313" w:type="pct"/>
            <w:vAlign w:val="bottom"/>
          </w:tcPr>
          <w:p w14:paraId="1B7B9684" w14:textId="26AB1D9D"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Children’s Court of Victoria</w:t>
            </w:r>
            <w:r>
              <w:rPr>
                <w:sz w:val="18"/>
                <w:szCs w:val="18"/>
              </w:rPr>
              <w:br/>
              <w:t>2020</w:t>
            </w:r>
            <w:r>
              <w:rPr>
                <w:sz w:val="18"/>
                <w:szCs w:val="18"/>
              </w:rPr>
              <w:br/>
              <w:t>$’000</w:t>
            </w:r>
          </w:p>
        </w:tc>
        <w:tc>
          <w:tcPr>
            <w:tcW w:w="313" w:type="pct"/>
            <w:vAlign w:val="bottom"/>
          </w:tcPr>
          <w:p w14:paraId="6F49FE12" w14:textId="0B940D8D"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Children’s Court of Victoria</w:t>
            </w:r>
            <w:r>
              <w:rPr>
                <w:sz w:val="18"/>
                <w:szCs w:val="18"/>
              </w:rPr>
              <w:br/>
              <w:t>2019</w:t>
            </w:r>
            <w:r>
              <w:rPr>
                <w:sz w:val="18"/>
                <w:szCs w:val="18"/>
              </w:rPr>
              <w:br/>
              <w:t>$’000</w:t>
            </w:r>
          </w:p>
        </w:tc>
        <w:tc>
          <w:tcPr>
            <w:tcW w:w="313" w:type="pct"/>
            <w:vAlign w:val="bottom"/>
          </w:tcPr>
          <w:p w14:paraId="04A4FA9E" w14:textId="5B8AC3F5"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Victorian Civil &amp; Administrative Tribunal</w:t>
            </w:r>
            <w:r>
              <w:rPr>
                <w:sz w:val="18"/>
                <w:szCs w:val="18"/>
              </w:rPr>
              <w:br/>
              <w:t>2020</w:t>
            </w:r>
            <w:r>
              <w:rPr>
                <w:sz w:val="18"/>
                <w:szCs w:val="18"/>
              </w:rPr>
              <w:br/>
              <w:t>$’000</w:t>
            </w:r>
          </w:p>
        </w:tc>
        <w:tc>
          <w:tcPr>
            <w:tcW w:w="313" w:type="pct"/>
            <w:vAlign w:val="bottom"/>
          </w:tcPr>
          <w:p w14:paraId="482F3F76" w14:textId="4BFBD038"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Victorian Civil &amp; Administrative Tribunal</w:t>
            </w:r>
            <w:r>
              <w:rPr>
                <w:sz w:val="18"/>
                <w:szCs w:val="18"/>
              </w:rPr>
              <w:br/>
              <w:t>2019</w:t>
            </w:r>
            <w:r>
              <w:rPr>
                <w:sz w:val="18"/>
                <w:szCs w:val="18"/>
              </w:rPr>
              <w:br/>
              <w:t>$’000</w:t>
            </w:r>
          </w:p>
        </w:tc>
        <w:tc>
          <w:tcPr>
            <w:tcW w:w="313" w:type="pct"/>
            <w:vAlign w:val="bottom"/>
          </w:tcPr>
          <w:p w14:paraId="57A27752" w14:textId="705AF80F"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Jurisdiction Services</w:t>
            </w:r>
            <w:r>
              <w:rPr>
                <w:sz w:val="18"/>
                <w:szCs w:val="18"/>
              </w:rPr>
              <w:br/>
              <w:t>2020</w:t>
            </w:r>
            <w:r>
              <w:rPr>
                <w:sz w:val="18"/>
                <w:szCs w:val="18"/>
              </w:rPr>
              <w:br/>
              <w:t>$’000</w:t>
            </w:r>
          </w:p>
        </w:tc>
        <w:tc>
          <w:tcPr>
            <w:tcW w:w="313" w:type="pct"/>
            <w:vAlign w:val="bottom"/>
          </w:tcPr>
          <w:p w14:paraId="0EC85C62" w14:textId="4A452EFF"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Jurisdiction Services</w:t>
            </w:r>
            <w:r>
              <w:rPr>
                <w:sz w:val="18"/>
                <w:szCs w:val="18"/>
              </w:rPr>
              <w:br/>
              <w:t>2019</w:t>
            </w:r>
            <w:r>
              <w:rPr>
                <w:sz w:val="18"/>
                <w:szCs w:val="18"/>
              </w:rPr>
              <w:br/>
              <w:t>$’000</w:t>
            </w:r>
          </w:p>
        </w:tc>
        <w:tc>
          <w:tcPr>
            <w:tcW w:w="313" w:type="pct"/>
            <w:vAlign w:val="bottom"/>
          </w:tcPr>
          <w:p w14:paraId="378CDC0A" w14:textId="348545B5"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Pr>
                <w:sz w:val="18"/>
                <w:szCs w:val="18"/>
              </w:rPr>
              <w:br/>
              <w:t>2020</w:t>
            </w:r>
            <w:r>
              <w:rPr>
                <w:sz w:val="18"/>
                <w:szCs w:val="18"/>
              </w:rPr>
              <w:br/>
              <w:t>$’000</w:t>
            </w:r>
          </w:p>
        </w:tc>
        <w:tc>
          <w:tcPr>
            <w:tcW w:w="312" w:type="pct"/>
            <w:vAlign w:val="bottom"/>
          </w:tcPr>
          <w:p w14:paraId="31E24D91" w14:textId="47E17713" w:rsidR="00187572" w:rsidRPr="00187572" w:rsidRDefault="00AD226F" w:rsidP="00AD226F">
            <w:pPr>
              <w:pStyle w:val="Table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r>
              <w:rPr>
                <w:sz w:val="18"/>
                <w:szCs w:val="18"/>
              </w:rPr>
              <w:br/>
              <w:t>2019</w:t>
            </w:r>
            <w:r>
              <w:rPr>
                <w:sz w:val="18"/>
                <w:szCs w:val="18"/>
              </w:rPr>
              <w:br/>
              <w:t>$’000</w:t>
            </w:r>
          </w:p>
        </w:tc>
      </w:tr>
      <w:bookmarkEnd w:id="320"/>
      <w:tr w:rsidR="00187572" w:rsidRPr="007120B2" w14:paraId="2FC089CE"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Pr>
          <w:p w14:paraId="67677C8D" w14:textId="77777777" w:rsidR="00187572" w:rsidRPr="00AD226F" w:rsidRDefault="00187572" w:rsidP="00187572">
            <w:pPr>
              <w:pStyle w:val="TableText"/>
              <w:rPr>
                <w:rStyle w:val="Bold"/>
              </w:rPr>
            </w:pPr>
            <w:r w:rsidRPr="00AD226F">
              <w:rPr>
                <w:rStyle w:val="Bold"/>
              </w:rPr>
              <w:t>Administered financial assets</w:t>
            </w:r>
          </w:p>
        </w:tc>
        <w:tc>
          <w:tcPr>
            <w:tcW w:w="283" w:type="pct"/>
          </w:tcPr>
          <w:p w14:paraId="08222A5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Pr>
          <w:p w14:paraId="21BFB3F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Pr>
          <w:p w14:paraId="5267A21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Pr>
          <w:p w14:paraId="6CC2D96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Pr>
          <w:p w14:paraId="0A1BE87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Pr>
          <w:p w14:paraId="6BB2DEB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62DCCA1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4B4191A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2D7D571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3C83A3C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212F555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2FE91BE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Pr>
          <w:p w14:paraId="1CE15DF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2" w:type="pct"/>
          </w:tcPr>
          <w:p w14:paraId="0CDDB049"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r>
      <w:tr w:rsidR="00187572" w:rsidRPr="007120B2" w14:paraId="11E59DFE"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Pr>
          <w:p w14:paraId="087380E7" w14:textId="77777777" w:rsidR="00187572" w:rsidRPr="007120B2" w:rsidRDefault="00187572" w:rsidP="00187572">
            <w:pPr>
              <w:pStyle w:val="TableText"/>
            </w:pPr>
            <w:r w:rsidRPr="007120B2">
              <w:t>Cash and deposits</w:t>
            </w:r>
          </w:p>
        </w:tc>
        <w:tc>
          <w:tcPr>
            <w:tcW w:w="283" w:type="pct"/>
          </w:tcPr>
          <w:p w14:paraId="5224C1F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182</w:t>
            </w:r>
          </w:p>
        </w:tc>
        <w:tc>
          <w:tcPr>
            <w:tcW w:w="283" w:type="pct"/>
          </w:tcPr>
          <w:p w14:paraId="6731BC0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99 </w:t>
            </w:r>
          </w:p>
        </w:tc>
        <w:tc>
          <w:tcPr>
            <w:tcW w:w="283" w:type="pct"/>
          </w:tcPr>
          <w:p w14:paraId="7A0650B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2,557 </w:t>
            </w:r>
          </w:p>
        </w:tc>
        <w:tc>
          <w:tcPr>
            <w:tcW w:w="283" w:type="pct"/>
          </w:tcPr>
          <w:p w14:paraId="5F52B0C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2,777 </w:t>
            </w:r>
          </w:p>
        </w:tc>
        <w:tc>
          <w:tcPr>
            <w:tcW w:w="283" w:type="pct"/>
          </w:tcPr>
          <w:p w14:paraId="0255974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3,215 </w:t>
            </w:r>
          </w:p>
        </w:tc>
        <w:tc>
          <w:tcPr>
            <w:tcW w:w="283" w:type="pct"/>
          </w:tcPr>
          <w:p w14:paraId="2899E48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2,889 </w:t>
            </w:r>
          </w:p>
        </w:tc>
        <w:tc>
          <w:tcPr>
            <w:tcW w:w="313" w:type="pct"/>
          </w:tcPr>
          <w:p w14:paraId="730F16F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24EFE9A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22E2837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719 </w:t>
            </w:r>
          </w:p>
        </w:tc>
        <w:tc>
          <w:tcPr>
            <w:tcW w:w="313" w:type="pct"/>
          </w:tcPr>
          <w:p w14:paraId="66D9DB4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374 </w:t>
            </w:r>
          </w:p>
        </w:tc>
        <w:tc>
          <w:tcPr>
            <w:tcW w:w="313" w:type="pct"/>
          </w:tcPr>
          <w:p w14:paraId="4EBECA8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3,290 </w:t>
            </w:r>
          </w:p>
        </w:tc>
        <w:tc>
          <w:tcPr>
            <w:tcW w:w="313" w:type="pct"/>
          </w:tcPr>
          <w:p w14:paraId="086B6CD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3,081 </w:t>
            </w:r>
          </w:p>
        </w:tc>
        <w:tc>
          <w:tcPr>
            <w:tcW w:w="313" w:type="pct"/>
          </w:tcPr>
          <w:p w14:paraId="1C3A390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9,964</w:t>
            </w:r>
          </w:p>
        </w:tc>
        <w:tc>
          <w:tcPr>
            <w:tcW w:w="312" w:type="pct"/>
          </w:tcPr>
          <w:p w14:paraId="00A9EC94"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9,219</w:t>
            </w:r>
          </w:p>
        </w:tc>
      </w:tr>
      <w:tr w:rsidR="00187572" w:rsidRPr="007120B2" w14:paraId="2B1A3C79"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bottom w:val="single" w:sz="4" w:space="0" w:color="auto"/>
            </w:tcBorders>
          </w:tcPr>
          <w:p w14:paraId="30EAE3E8" w14:textId="77777777" w:rsidR="00187572" w:rsidRPr="007120B2" w:rsidRDefault="00187572" w:rsidP="00187572">
            <w:pPr>
              <w:pStyle w:val="TableText"/>
            </w:pPr>
            <w:r w:rsidRPr="007120B2">
              <w:t>Receivables</w:t>
            </w:r>
          </w:p>
        </w:tc>
        <w:tc>
          <w:tcPr>
            <w:tcW w:w="283" w:type="pct"/>
            <w:tcBorders>
              <w:bottom w:val="single" w:sz="4" w:space="0" w:color="auto"/>
            </w:tcBorders>
          </w:tcPr>
          <w:p w14:paraId="3E35F6F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14</w:t>
            </w:r>
          </w:p>
        </w:tc>
        <w:tc>
          <w:tcPr>
            <w:tcW w:w="283" w:type="pct"/>
            <w:tcBorders>
              <w:bottom w:val="single" w:sz="4" w:space="0" w:color="auto"/>
            </w:tcBorders>
          </w:tcPr>
          <w:p w14:paraId="37501BF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Borders>
              <w:bottom w:val="single" w:sz="4" w:space="0" w:color="auto"/>
            </w:tcBorders>
          </w:tcPr>
          <w:p w14:paraId="174E883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1,216 </w:t>
            </w:r>
          </w:p>
        </w:tc>
        <w:tc>
          <w:tcPr>
            <w:tcW w:w="283" w:type="pct"/>
            <w:tcBorders>
              <w:bottom w:val="single" w:sz="4" w:space="0" w:color="auto"/>
            </w:tcBorders>
          </w:tcPr>
          <w:p w14:paraId="3ACB53A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2,217 </w:t>
            </w:r>
          </w:p>
        </w:tc>
        <w:tc>
          <w:tcPr>
            <w:tcW w:w="283" w:type="pct"/>
            <w:tcBorders>
              <w:bottom w:val="single" w:sz="4" w:space="0" w:color="auto"/>
            </w:tcBorders>
          </w:tcPr>
          <w:p w14:paraId="2555330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63 </w:t>
            </w:r>
          </w:p>
        </w:tc>
        <w:tc>
          <w:tcPr>
            <w:tcW w:w="283" w:type="pct"/>
            <w:tcBorders>
              <w:bottom w:val="single" w:sz="4" w:space="0" w:color="auto"/>
            </w:tcBorders>
          </w:tcPr>
          <w:p w14:paraId="5093ECC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41 </w:t>
            </w:r>
          </w:p>
        </w:tc>
        <w:tc>
          <w:tcPr>
            <w:tcW w:w="313" w:type="pct"/>
            <w:tcBorders>
              <w:bottom w:val="single" w:sz="4" w:space="0" w:color="auto"/>
            </w:tcBorders>
          </w:tcPr>
          <w:p w14:paraId="430BF6F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3D0D873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4B0938F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3BDC7DA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14CE5D6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(4)</w:t>
            </w:r>
          </w:p>
        </w:tc>
        <w:tc>
          <w:tcPr>
            <w:tcW w:w="313" w:type="pct"/>
            <w:tcBorders>
              <w:bottom w:val="single" w:sz="4" w:space="0" w:color="auto"/>
            </w:tcBorders>
          </w:tcPr>
          <w:p w14:paraId="4BE1B5B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(7)</w:t>
            </w:r>
          </w:p>
        </w:tc>
        <w:tc>
          <w:tcPr>
            <w:tcW w:w="313" w:type="pct"/>
            <w:tcBorders>
              <w:bottom w:val="single" w:sz="4" w:space="0" w:color="auto"/>
            </w:tcBorders>
          </w:tcPr>
          <w:p w14:paraId="2D053F5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1,288</w:t>
            </w:r>
          </w:p>
        </w:tc>
        <w:tc>
          <w:tcPr>
            <w:tcW w:w="312" w:type="pct"/>
            <w:tcBorders>
              <w:bottom w:val="single" w:sz="4" w:space="0" w:color="auto"/>
            </w:tcBorders>
          </w:tcPr>
          <w:p w14:paraId="3D5CC5B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2,251</w:t>
            </w:r>
          </w:p>
        </w:tc>
      </w:tr>
      <w:tr w:rsidR="00187572" w:rsidRPr="00AD226F" w14:paraId="348B4506"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bottom w:val="single" w:sz="4" w:space="0" w:color="auto"/>
            </w:tcBorders>
          </w:tcPr>
          <w:p w14:paraId="288EC7DF" w14:textId="77777777" w:rsidR="00187572" w:rsidRPr="00AD226F" w:rsidRDefault="00187572" w:rsidP="00187572">
            <w:pPr>
              <w:pStyle w:val="TableText"/>
              <w:rPr>
                <w:rStyle w:val="Bold"/>
              </w:rPr>
            </w:pPr>
            <w:r w:rsidRPr="00AD226F">
              <w:rPr>
                <w:rStyle w:val="Bold"/>
              </w:rPr>
              <w:t>Total administered financial assets</w:t>
            </w:r>
          </w:p>
        </w:tc>
        <w:tc>
          <w:tcPr>
            <w:tcW w:w="283" w:type="pct"/>
            <w:tcBorders>
              <w:top w:val="single" w:sz="4" w:space="0" w:color="auto"/>
              <w:bottom w:val="single" w:sz="4" w:space="0" w:color="auto"/>
            </w:tcBorders>
          </w:tcPr>
          <w:p w14:paraId="08968EA8"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196</w:t>
            </w:r>
          </w:p>
        </w:tc>
        <w:tc>
          <w:tcPr>
            <w:tcW w:w="283" w:type="pct"/>
            <w:tcBorders>
              <w:top w:val="single" w:sz="4" w:space="0" w:color="auto"/>
              <w:bottom w:val="single" w:sz="4" w:space="0" w:color="auto"/>
            </w:tcBorders>
          </w:tcPr>
          <w:p w14:paraId="12EB71F0"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99 </w:t>
            </w:r>
          </w:p>
        </w:tc>
        <w:tc>
          <w:tcPr>
            <w:tcW w:w="283" w:type="pct"/>
            <w:tcBorders>
              <w:top w:val="single" w:sz="4" w:space="0" w:color="auto"/>
              <w:bottom w:val="single" w:sz="4" w:space="0" w:color="auto"/>
            </w:tcBorders>
          </w:tcPr>
          <w:p w14:paraId="6D7ED2C9"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3,773 </w:t>
            </w:r>
          </w:p>
        </w:tc>
        <w:tc>
          <w:tcPr>
            <w:tcW w:w="283" w:type="pct"/>
            <w:tcBorders>
              <w:top w:val="single" w:sz="4" w:space="0" w:color="auto"/>
              <w:bottom w:val="single" w:sz="4" w:space="0" w:color="auto"/>
            </w:tcBorders>
          </w:tcPr>
          <w:p w14:paraId="3569579D"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4,994 </w:t>
            </w:r>
          </w:p>
        </w:tc>
        <w:tc>
          <w:tcPr>
            <w:tcW w:w="283" w:type="pct"/>
            <w:tcBorders>
              <w:top w:val="single" w:sz="4" w:space="0" w:color="auto"/>
              <w:bottom w:val="single" w:sz="4" w:space="0" w:color="auto"/>
            </w:tcBorders>
          </w:tcPr>
          <w:p w14:paraId="2552FFC6"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3,278 </w:t>
            </w:r>
          </w:p>
        </w:tc>
        <w:tc>
          <w:tcPr>
            <w:tcW w:w="283" w:type="pct"/>
            <w:tcBorders>
              <w:top w:val="single" w:sz="4" w:space="0" w:color="auto"/>
              <w:bottom w:val="single" w:sz="4" w:space="0" w:color="auto"/>
            </w:tcBorders>
          </w:tcPr>
          <w:p w14:paraId="7C2B0B52"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2,930 </w:t>
            </w:r>
          </w:p>
        </w:tc>
        <w:tc>
          <w:tcPr>
            <w:tcW w:w="313" w:type="pct"/>
            <w:tcBorders>
              <w:top w:val="single" w:sz="4" w:space="0" w:color="auto"/>
              <w:bottom w:val="single" w:sz="4" w:space="0" w:color="auto"/>
            </w:tcBorders>
          </w:tcPr>
          <w:p w14:paraId="2AB37198"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4119AFA2"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1173A469"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719 </w:t>
            </w:r>
          </w:p>
        </w:tc>
        <w:tc>
          <w:tcPr>
            <w:tcW w:w="313" w:type="pct"/>
            <w:tcBorders>
              <w:top w:val="single" w:sz="4" w:space="0" w:color="auto"/>
              <w:bottom w:val="single" w:sz="4" w:space="0" w:color="auto"/>
            </w:tcBorders>
          </w:tcPr>
          <w:p w14:paraId="1C76F95C"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374 </w:t>
            </w:r>
          </w:p>
        </w:tc>
        <w:tc>
          <w:tcPr>
            <w:tcW w:w="313" w:type="pct"/>
            <w:tcBorders>
              <w:top w:val="single" w:sz="4" w:space="0" w:color="auto"/>
              <w:bottom w:val="single" w:sz="4" w:space="0" w:color="auto"/>
            </w:tcBorders>
          </w:tcPr>
          <w:p w14:paraId="1B48EE27"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3,286 </w:t>
            </w:r>
          </w:p>
        </w:tc>
        <w:tc>
          <w:tcPr>
            <w:tcW w:w="313" w:type="pct"/>
            <w:tcBorders>
              <w:top w:val="single" w:sz="4" w:space="0" w:color="auto"/>
              <w:bottom w:val="single" w:sz="4" w:space="0" w:color="auto"/>
            </w:tcBorders>
          </w:tcPr>
          <w:p w14:paraId="57E51CB1"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3,074 </w:t>
            </w:r>
          </w:p>
        </w:tc>
        <w:tc>
          <w:tcPr>
            <w:tcW w:w="313" w:type="pct"/>
            <w:tcBorders>
              <w:top w:val="single" w:sz="4" w:space="0" w:color="auto"/>
              <w:bottom w:val="single" w:sz="4" w:space="0" w:color="auto"/>
            </w:tcBorders>
          </w:tcPr>
          <w:p w14:paraId="0B8A99E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11,252</w:t>
            </w:r>
          </w:p>
        </w:tc>
        <w:tc>
          <w:tcPr>
            <w:tcW w:w="312" w:type="pct"/>
            <w:tcBorders>
              <w:top w:val="single" w:sz="4" w:space="0" w:color="auto"/>
              <w:bottom w:val="single" w:sz="4" w:space="0" w:color="auto"/>
            </w:tcBorders>
          </w:tcPr>
          <w:p w14:paraId="5F3FFAF4"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11,470</w:t>
            </w:r>
          </w:p>
        </w:tc>
      </w:tr>
      <w:tr w:rsidR="00187572" w:rsidRPr="007120B2" w14:paraId="56F14772"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tcBorders>
          </w:tcPr>
          <w:p w14:paraId="5DE3BD9C" w14:textId="77777777" w:rsidR="00187572" w:rsidRPr="00AD226F" w:rsidRDefault="00187572" w:rsidP="00187572">
            <w:pPr>
              <w:pStyle w:val="TableText"/>
              <w:rPr>
                <w:rStyle w:val="Bold"/>
              </w:rPr>
            </w:pPr>
            <w:r w:rsidRPr="00AD226F">
              <w:rPr>
                <w:rStyle w:val="Bold"/>
              </w:rPr>
              <w:t>Administered liabilities</w:t>
            </w:r>
          </w:p>
        </w:tc>
        <w:tc>
          <w:tcPr>
            <w:tcW w:w="283" w:type="pct"/>
            <w:tcBorders>
              <w:top w:val="single" w:sz="4" w:space="0" w:color="auto"/>
            </w:tcBorders>
          </w:tcPr>
          <w:p w14:paraId="04EDFFF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3982391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53D6142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56D1123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2DB471D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7E8119B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526DF30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5F105CD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11C7223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1F77631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4221CA3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25577DC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2881981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2" w:type="pct"/>
            <w:tcBorders>
              <w:top w:val="single" w:sz="4" w:space="0" w:color="auto"/>
            </w:tcBorders>
          </w:tcPr>
          <w:p w14:paraId="0EB528F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r>
      <w:tr w:rsidR="00187572" w:rsidRPr="007120B2" w14:paraId="7DAA9573"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Pr>
          <w:p w14:paraId="014ED7B4" w14:textId="77777777" w:rsidR="00187572" w:rsidRPr="007120B2" w:rsidRDefault="00187572" w:rsidP="00187572">
            <w:pPr>
              <w:pStyle w:val="TableText"/>
            </w:pPr>
            <w:r w:rsidRPr="007120B2">
              <w:t>Creditors and accruals</w:t>
            </w:r>
          </w:p>
        </w:tc>
        <w:tc>
          <w:tcPr>
            <w:tcW w:w="283" w:type="pct"/>
          </w:tcPr>
          <w:p w14:paraId="48B5CE7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Pr>
          <w:p w14:paraId="01BE55F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w:t>
            </w:r>
          </w:p>
        </w:tc>
        <w:tc>
          <w:tcPr>
            <w:tcW w:w="283" w:type="pct"/>
          </w:tcPr>
          <w:p w14:paraId="7DF3D204"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Pr>
          <w:p w14:paraId="0DCCF10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Pr>
          <w:p w14:paraId="0A4635B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(66)</w:t>
            </w:r>
          </w:p>
        </w:tc>
        <w:tc>
          <w:tcPr>
            <w:tcW w:w="283" w:type="pct"/>
          </w:tcPr>
          <w:p w14:paraId="42866C9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6D8CB0C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4966E32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0B259B8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(515)</w:t>
            </w:r>
          </w:p>
        </w:tc>
        <w:tc>
          <w:tcPr>
            <w:tcW w:w="313" w:type="pct"/>
          </w:tcPr>
          <w:p w14:paraId="3CCB3DC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(319)</w:t>
            </w:r>
          </w:p>
        </w:tc>
        <w:tc>
          <w:tcPr>
            <w:tcW w:w="313" w:type="pct"/>
          </w:tcPr>
          <w:p w14:paraId="5C0E426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(213)</w:t>
            </w:r>
          </w:p>
        </w:tc>
        <w:tc>
          <w:tcPr>
            <w:tcW w:w="313" w:type="pct"/>
          </w:tcPr>
          <w:p w14:paraId="2A154E7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(493)</w:t>
            </w:r>
          </w:p>
        </w:tc>
        <w:tc>
          <w:tcPr>
            <w:tcW w:w="313" w:type="pct"/>
          </w:tcPr>
          <w:p w14:paraId="0E701329"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(795)</w:t>
            </w:r>
          </w:p>
        </w:tc>
        <w:tc>
          <w:tcPr>
            <w:tcW w:w="312" w:type="pct"/>
          </w:tcPr>
          <w:p w14:paraId="7C9BBCE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(814)</w:t>
            </w:r>
          </w:p>
        </w:tc>
      </w:tr>
      <w:tr w:rsidR="00187572" w:rsidRPr="007120B2" w14:paraId="49E91924"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Pr>
          <w:p w14:paraId="14344B26" w14:textId="77777777" w:rsidR="00187572" w:rsidRPr="007120B2" w:rsidRDefault="00187572" w:rsidP="00187572">
            <w:pPr>
              <w:pStyle w:val="TableText"/>
            </w:pPr>
            <w:r w:rsidRPr="007120B2">
              <w:t>Deposits payable</w:t>
            </w:r>
          </w:p>
        </w:tc>
        <w:tc>
          <w:tcPr>
            <w:tcW w:w="283" w:type="pct"/>
          </w:tcPr>
          <w:p w14:paraId="3533B9B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(35)</w:t>
            </w:r>
          </w:p>
        </w:tc>
        <w:tc>
          <w:tcPr>
            <w:tcW w:w="283" w:type="pct"/>
          </w:tcPr>
          <w:p w14:paraId="1C684AD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49 </w:t>
            </w:r>
          </w:p>
        </w:tc>
        <w:tc>
          <w:tcPr>
            <w:tcW w:w="283" w:type="pct"/>
          </w:tcPr>
          <w:p w14:paraId="680BFE2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(1,652)</w:t>
            </w:r>
          </w:p>
        </w:tc>
        <w:tc>
          <w:tcPr>
            <w:tcW w:w="283" w:type="pct"/>
          </w:tcPr>
          <w:p w14:paraId="2F214B0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(1,872)</w:t>
            </w:r>
          </w:p>
        </w:tc>
        <w:tc>
          <w:tcPr>
            <w:tcW w:w="283" w:type="pct"/>
          </w:tcPr>
          <w:p w14:paraId="2B47010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(4,899)</w:t>
            </w:r>
          </w:p>
        </w:tc>
        <w:tc>
          <w:tcPr>
            <w:tcW w:w="283" w:type="pct"/>
          </w:tcPr>
          <w:p w14:paraId="5DFEAAE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(4,573)</w:t>
            </w:r>
          </w:p>
        </w:tc>
        <w:tc>
          <w:tcPr>
            <w:tcW w:w="313" w:type="pct"/>
          </w:tcPr>
          <w:p w14:paraId="2E620F5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02F28FE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Pr>
          <w:p w14:paraId="2E86BBC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447 </w:t>
            </w:r>
          </w:p>
        </w:tc>
        <w:tc>
          <w:tcPr>
            <w:tcW w:w="313" w:type="pct"/>
          </w:tcPr>
          <w:p w14:paraId="01DF742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597 </w:t>
            </w:r>
          </w:p>
        </w:tc>
        <w:tc>
          <w:tcPr>
            <w:tcW w:w="313" w:type="pct"/>
          </w:tcPr>
          <w:p w14:paraId="7476D97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(3,084)</w:t>
            </w:r>
          </w:p>
        </w:tc>
        <w:tc>
          <w:tcPr>
            <w:tcW w:w="313" w:type="pct"/>
          </w:tcPr>
          <w:p w14:paraId="0E82D03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(2,999)</w:t>
            </w:r>
          </w:p>
        </w:tc>
        <w:tc>
          <w:tcPr>
            <w:tcW w:w="313" w:type="pct"/>
          </w:tcPr>
          <w:p w14:paraId="4B7B31F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(9,223)</w:t>
            </w:r>
          </w:p>
        </w:tc>
        <w:tc>
          <w:tcPr>
            <w:tcW w:w="312" w:type="pct"/>
          </w:tcPr>
          <w:p w14:paraId="5039867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(8,798)</w:t>
            </w:r>
          </w:p>
        </w:tc>
      </w:tr>
      <w:tr w:rsidR="00187572" w:rsidRPr="007120B2" w14:paraId="440FFDD2"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bottom w:val="single" w:sz="4" w:space="0" w:color="auto"/>
            </w:tcBorders>
          </w:tcPr>
          <w:p w14:paraId="0E76489B" w14:textId="1FAE7CDC" w:rsidR="00187572" w:rsidRPr="007120B2" w:rsidRDefault="00187572" w:rsidP="00187572">
            <w:pPr>
              <w:pStyle w:val="TableText"/>
            </w:pPr>
            <w:r w:rsidRPr="007120B2">
              <w:t>Provisions</w:t>
            </w:r>
            <w:hyperlink w:anchor="Note43note4" w:history="1">
              <w:r w:rsidR="000D2542" w:rsidRPr="000D2542">
                <w:rPr>
                  <w:vertAlign w:val="superscript"/>
                </w:rPr>
                <w:t>(1)</w:t>
              </w:r>
            </w:hyperlink>
          </w:p>
        </w:tc>
        <w:tc>
          <w:tcPr>
            <w:tcW w:w="283" w:type="pct"/>
            <w:tcBorders>
              <w:bottom w:val="single" w:sz="4" w:space="0" w:color="auto"/>
            </w:tcBorders>
          </w:tcPr>
          <w:p w14:paraId="6ACC239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283" w:type="pct"/>
            <w:tcBorders>
              <w:bottom w:val="single" w:sz="4" w:space="0" w:color="auto"/>
            </w:tcBorders>
          </w:tcPr>
          <w:p w14:paraId="347D79E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Borders>
              <w:bottom w:val="single" w:sz="4" w:space="0" w:color="auto"/>
            </w:tcBorders>
          </w:tcPr>
          <w:p w14:paraId="4CBA28B9"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Borders>
              <w:bottom w:val="single" w:sz="4" w:space="0" w:color="auto"/>
            </w:tcBorders>
          </w:tcPr>
          <w:p w14:paraId="1CB91594"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283" w:type="pct"/>
            <w:tcBorders>
              <w:bottom w:val="single" w:sz="4" w:space="0" w:color="auto"/>
            </w:tcBorders>
          </w:tcPr>
          <w:p w14:paraId="037D967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(2,400)</w:t>
            </w:r>
          </w:p>
        </w:tc>
        <w:tc>
          <w:tcPr>
            <w:tcW w:w="283" w:type="pct"/>
            <w:tcBorders>
              <w:bottom w:val="single" w:sz="4" w:space="0" w:color="auto"/>
            </w:tcBorders>
          </w:tcPr>
          <w:p w14:paraId="0402734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(3,500)</w:t>
            </w:r>
          </w:p>
        </w:tc>
        <w:tc>
          <w:tcPr>
            <w:tcW w:w="313" w:type="pct"/>
            <w:tcBorders>
              <w:bottom w:val="single" w:sz="4" w:space="0" w:color="auto"/>
            </w:tcBorders>
          </w:tcPr>
          <w:p w14:paraId="30F7CD8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2D95BB1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643760E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3B8C9DC9"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 xml:space="preserve">0 </w:t>
            </w:r>
          </w:p>
        </w:tc>
        <w:tc>
          <w:tcPr>
            <w:tcW w:w="313" w:type="pct"/>
            <w:tcBorders>
              <w:bottom w:val="single" w:sz="4" w:space="0" w:color="auto"/>
            </w:tcBorders>
          </w:tcPr>
          <w:p w14:paraId="1C8E002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313" w:type="pct"/>
            <w:tcBorders>
              <w:bottom w:val="single" w:sz="4" w:space="0" w:color="auto"/>
            </w:tcBorders>
          </w:tcPr>
          <w:p w14:paraId="0EA8099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w:t>
            </w:r>
          </w:p>
        </w:tc>
        <w:tc>
          <w:tcPr>
            <w:tcW w:w="313" w:type="pct"/>
            <w:tcBorders>
              <w:bottom w:val="single" w:sz="4" w:space="0" w:color="auto"/>
            </w:tcBorders>
          </w:tcPr>
          <w:p w14:paraId="5F83EB1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(2,400)</w:t>
            </w:r>
          </w:p>
        </w:tc>
        <w:tc>
          <w:tcPr>
            <w:tcW w:w="312" w:type="pct"/>
            <w:tcBorders>
              <w:bottom w:val="single" w:sz="4" w:space="0" w:color="auto"/>
            </w:tcBorders>
          </w:tcPr>
          <w:p w14:paraId="62DFF03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(3,501)</w:t>
            </w:r>
          </w:p>
        </w:tc>
      </w:tr>
      <w:tr w:rsidR="00187572" w:rsidRPr="00AD226F" w14:paraId="65B1F92E"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bottom w:val="single" w:sz="4" w:space="0" w:color="auto"/>
            </w:tcBorders>
          </w:tcPr>
          <w:p w14:paraId="34893AD4" w14:textId="77777777" w:rsidR="00187572" w:rsidRPr="00AD226F" w:rsidRDefault="00187572" w:rsidP="00187572">
            <w:pPr>
              <w:pStyle w:val="TableText"/>
              <w:rPr>
                <w:rStyle w:val="Bold"/>
              </w:rPr>
            </w:pPr>
            <w:r w:rsidRPr="00AD226F">
              <w:rPr>
                <w:rStyle w:val="Bold"/>
              </w:rPr>
              <w:t>Total administered liabilities</w:t>
            </w:r>
          </w:p>
        </w:tc>
        <w:tc>
          <w:tcPr>
            <w:tcW w:w="283" w:type="pct"/>
            <w:tcBorders>
              <w:top w:val="single" w:sz="4" w:space="0" w:color="auto"/>
              <w:bottom w:val="single" w:sz="4" w:space="0" w:color="auto"/>
            </w:tcBorders>
          </w:tcPr>
          <w:p w14:paraId="0FA2B32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(35)</w:t>
            </w:r>
          </w:p>
        </w:tc>
        <w:tc>
          <w:tcPr>
            <w:tcW w:w="283" w:type="pct"/>
            <w:tcBorders>
              <w:top w:val="single" w:sz="4" w:space="0" w:color="auto"/>
              <w:bottom w:val="single" w:sz="4" w:space="0" w:color="auto"/>
            </w:tcBorders>
          </w:tcPr>
          <w:p w14:paraId="6FC0AF38"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47 </w:t>
            </w:r>
          </w:p>
        </w:tc>
        <w:tc>
          <w:tcPr>
            <w:tcW w:w="283" w:type="pct"/>
            <w:tcBorders>
              <w:top w:val="single" w:sz="4" w:space="0" w:color="auto"/>
              <w:bottom w:val="single" w:sz="4" w:space="0" w:color="auto"/>
            </w:tcBorders>
          </w:tcPr>
          <w:p w14:paraId="4E0EEA6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(1,652)</w:t>
            </w:r>
          </w:p>
        </w:tc>
        <w:tc>
          <w:tcPr>
            <w:tcW w:w="283" w:type="pct"/>
            <w:tcBorders>
              <w:top w:val="single" w:sz="4" w:space="0" w:color="auto"/>
              <w:bottom w:val="single" w:sz="4" w:space="0" w:color="auto"/>
            </w:tcBorders>
          </w:tcPr>
          <w:p w14:paraId="2D447E2A"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(1,872)</w:t>
            </w:r>
          </w:p>
        </w:tc>
        <w:tc>
          <w:tcPr>
            <w:tcW w:w="283" w:type="pct"/>
            <w:tcBorders>
              <w:top w:val="single" w:sz="4" w:space="0" w:color="auto"/>
              <w:bottom w:val="single" w:sz="4" w:space="0" w:color="auto"/>
            </w:tcBorders>
          </w:tcPr>
          <w:p w14:paraId="37A8E2E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(7,366)</w:t>
            </w:r>
          </w:p>
        </w:tc>
        <w:tc>
          <w:tcPr>
            <w:tcW w:w="283" w:type="pct"/>
            <w:tcBorders>
              <w:top w:val="single" w:sz="4" w:space="0" w:color="auto"/>
              <w:bottom w:val="single" w:sz="4" w:space="0" w:color="auto"/>
            </w:tcBorders>
          </w:tcPr>
          <w:p w14:paraId="65169DD9"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(8,073)</w:t>
            </w:r>
          </w:p>
        </w:tc>
        <w:tc>
          <w:tcPr>
            <w:tcW w:w="313" w:type="pct"/>
            <w:tcBorders>
              <w:top w:val="single" w:sz="4" w:space="0" w:color="auto"/>
              <w:bottom w:val="single" w:sz="4" w:space="0" w:color="auto"/>
            </w:tcBorders>
          </w:tcPr>
          <w:p w14:paraId="6E4234FC"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7CF799E2"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41D77A7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(68)</w:t>
            </w:r>
          </w:p>
        </w:tc>
        <w:tc>
          <w:tcPr>
            <w:tcW w:w="313" w:type="pct"/>
            <w:tcBorders>
              <w:top w:val="single" w:sz="4" w:space="0" w:color="auto"/>
              <w:bottom w:val="single" w:sz="4" w:space="0" w:color="auto"/>
            </w:tcBorders>
          </w:tcPr>
          <w:p w14:paraId="02833CAC"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278 </w:t>
            </w:r>
          </w:p>
        </w:tc>
        <w:tc>
          <w:tcPr>
            <w:tcW w:w="313" w:type="pct"/>
            <w:tcBorders>
              <w:top w:val="single" w:sz="4" w:space="0" w:color="auto"/>
              <w:bottom w:val="single" w:sz="4" w:space="0" w:color="auto"/>
            </w:tcBorders>
          </w:tcPr>
          <w:p w14:paraId="7FBB407D"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(3,297)</w:t>
            </w:r>
          </w:p>
        </w:tc>
        <w:tc>
          <w:tcPr>
            <w:tcW w:w="313" w:type="pct"/>
            <w:tcBorders>
              <w:top w:val="single" w:sz="4" w:space="0" w:color="auto"/>
              <w:bottom w:val="single" w:sz="4" w:space="0" w:color="auto"/>
            </w:tcBorders>
          </w:tcPr>
          <w:p w14:paraId="4DA5E97B"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(3,493)</w:t>
            </w:r>
          </w:p>
        </w:tc>
        <w:tc>
          <w:tcPr>
            <w:tcW w:w="313" w:type="pct"/>
            <w:tcBorders>
              <w:top w:val="single" w:sz="4" w:space="0" w:color="auto"/>
              <w:bottom w:val="single" w:sz="4" w:space="0" w:color="auto"/>
            </w:tcBorders>
          </w:tcPr>
          <w:p w14:paraId="70FAFE01"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(12,418)</w:t>
            </w:r>
          </w:p>
        </w:tc>
        <w:tc>
          <w:tcPr>
            <w:tcW w:w="312" w:type="pct"/>
            <w:tcBorders>
              <w:top w:val="single" w:sz="4" w:space="0" w:color="auto"/>
              <w:bottom w:val="single" w:sz="4" w:space="0" w:color="auto"/>
            </w:tcBorders>
          </w:tcPr>
          <w:p w14:paraId="67EF62E6"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(13,114)</w:t>
            </w:r>
          </w:p>
        </w:tc>
      </w:tr>
      <w:tr w:rsidR="00187572" w:rsidRPr="00AD226F" w14:paraId="68225E0D"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bottom w:val="single" w:sz="4" w:space="0" w:color="auto"/>
            </w:tcBorders>
          </w:tcPr>
          <w:p w14:paraId="77B13B90" w14:textId="77777777" w:rsidR="00187572" w:rsidRPr="00AD226F" w:rsidRDefault="00187572" w:rsidP="00187572">
            <w:pPr>
              <w:pStyle w:val="TableText"/>
              <w:rPr>
                <w:rStyle w:val="Bold"/>
              </w:rPr>
            </w:pPr>
            <w:r w:rsidRPr="00AD226F">
              <w:rPr>
                <w:rStyle w:val="Bold"/>
              </w:rPr>
              <w:t>Total administered net assets (liabilities)</w:t>
            </w:r>
          </w:p>
        </w:tc>
        <w:tc>
          <w:tcPr>
            <w:tcW w:w="283" w:type="pct"/>
            <w:tcBorders>
              <w:top w:val="single" w:sz="4" w:space="0" w:color="auto"/>
              <w:bottom w:val="single" w:sz="4" w:space="0" w:color="auto"/>
            </w:tcBorders>
          </w:tcPr>
          <w:p w14:paraId="65470C0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161</w:t>
            </w:r>
          </w:p>
        </w:tc>
        <w:tc>
          <w:tcPr>
            <w:tcW w:w="283" w:type="pct"/>
            <w:tcBorders>
              <w:top w:val="single" w:sz="4" w:space="0" w:color="auto"/>
              <w:bottom w:val="single" w:sz="4" w:space="0" w:color="auto"/>
            </w:tcBorders>
          </w:tcPr>
          <w:p w14:paraId="71A661F4"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145 </w:t>
            </w:r>
          </w:p>
        </w:tc>
        <w:tc>
          <w:tcPr>
            <w:tcW w:w="283" w:type="pct"/>
            <w:tcBorders>
              <w:top w:val="single" w:sz="4" w:space="0" w:color="auto"/>
              <w:bottom w:val="single" w:sz="4" w:space="0" w:color="auto"/>
            </w:tcBorders>
          </w:tcPr>
          <w:p w14:paraId="1708CAEC"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2,121</w:t>
            </w:r>
          </w:p>
        </w:tc>
        <w:tc>
          <w:tcPr>
            <w:tcW w:w="283" w:type="pct"/>
            <w:tcBorders>
              <w:top w:val="single" w:sz="4" w:space="0" w:color="auto"/>
              <w:bottom w:val="single" w:sz="4" w:space="0" w:color="auto"/>
            </w:tcBorders>
          </w:tcPr>
          <w:p w14:paraId="475D8E2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3,123 </w:t>
            </w:r>
          </w:p>
        </w:tc>
        <w:tc>
          <w:tcPr>
            <w:tcW w:w="283" w:type="pct"/>
            <w:tcBorders>
              <w:top w:val="single" w:sz="4" w:space="0" w:color="auto"/>
              <w:bottom w:val="single" w:sz="4" w:space="0" w:color="auto"/>
            </w:tcBorders>
          </w:tcPr>
          <w:p w14:paraId="6B2481BB"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(4,088)</w:t>
            </w:r>
          </w:p>
        </w:tc>
        <w:tc>
          <w:tcPr>
            <w:tcW w:w="283" w:type="pct"/>
            <w:tcBorders>
              <w:top w:val="single" w:sz="4" w:space="0" w:color="auto"/>
              <w:bottom w:val="single" w:sz="4" w:space="0" w:color="auto"/>
            </w:tcBorders>
          </w:tcPr>
          <w:p w14:paraId="7291C8E9"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(5,144)</w:t>
            </w:r>
          </w:p>
        </w:tc>
        <w:tc>
          <w:tcPr>
            <w:tcW w:w="313" w:type="pct"/>
            <w:tcBorders>
              <w:top w:val="single" w:sz="4" w:space="0" w:color="auto"/>
              <w:bottom w:val="single" w:sz="4" w:space="0" w:color="auto"/>
            </w:tcBorders>
          </w:tcPr>
          <w:p w14:paraId="60EBD491"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0</w:t>
            </w:r>
          </w:p>
        </w:tc>
        <w:tc>
          <w:tcPr>
            <w:tcW w:w="313" w:type="pct"/>
            <w:tcBorders>
              <w:top w:val="single" w:sz="4" w:space="0" w:color="auto"/>
              <w:bottom w:val="single" w:sz="4" w:space="0" w:color="auto"/>
            </w:tcBorders>
          </w:tcPr>
          <w:p w14:paraId="5246A613"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7B5E1A37"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651</w:t>
            </w:r>
          </w:p>
        </w:tc>
        <w:tc>
          <w:tcPr>
            <w:tcW w:w="313" w:type="pct"/>
            <w:tcBorders>
              <w:top w:val="single" w:sz="4" w:space="0" w:color="auto"/>
              <w:bottom w:val="single" w:sz="4" w:space="0" w:color="auto"/>
            </w:tcBorders>
          </w:tcPr>
          <w:p w14:paraId="64209EB9"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651 </w:t>
            </w:r>
          </w:p>
        </w:tc>
        <w:tc>
          <w:tcPr>
            <w:tcW w:w="313" w:type="pct"/>
            <w:tcBorders>
              <w:top w:val="single" w:sz="4" w:space="0" w:color="auto"/>
              <w:bottom w:val="single" w:sz="4" w:space="0" w:color="auto"/>
            </w:tcBorders>
          </w:tcPr>
          <w:p w14:paraId="52760B07"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(11)</w:t>
            </w:r>
          </w:p>
        </w:tc>
        <w:tc>
          <w:tcPr>
            <w:tcW w:w="313" w:type="pct"/>
            <w:tcBorders>
              <w:top w:val="single" w:sz="4" w:space="0" w:color="auto"/>
              <w:bottom w:val="single" w:sz="4" w:space="0" w:color="auto"/>
            </w:tcBorders>
          </w:tcPr>
          <w:p w14:paraId="1591F3F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(419)</w:t>
            </w:r>
          </w:p>
        </w:tc>
        <w:tc>
          <w:tcPr>
            <w:tcW w:w="313" w:type="pct"/>
            <w:tcBorders>
              <w:top w:val="single" w:sz="4" w:space="0" w:color="auto"/>
              <w:bottom w:val="single" w:sz="4" w:space="0" w:color="auto"/>
            </w:tcBorders>
          </w:tcPr>
          <w:p w14:paraId="1B4A390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(1,166)</w:t>
            </w:r>
          </w:p>
        </w:tc>
        <w:tc>
          <w:tcPr>
            <w:tcW w:w="312" w:type="pct"/>
            <w:tcBorders>
              <w:top w:val="single" w:sz="4" w:space="0" w:color="auto"/>
              <w:bottom w:val="single" w:sz="4" w:space="0" w:color="auto"/>
            </w:tcBorders>
          </w:tcPr>
          <w:p w14:paraId="097BA981"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(1,643)</w:t>
            </w:r>
          </w:p>
        </w:tc>
      </w:tr>
      <w:tr w:rsidR="00187572" w:rsidRPr="007120B2" w14:paraId="4D110159"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tcBorders>
          </w:tcPr>
          <w:p w14:paraId="097F0EAA" w14:textId="77777777" w:rsidR="00187572" w:rsidRPr="00AD226F" w:rsidRDefault="00187572" w:rsidP="00187572">
            <w:pPr>
              <w:pStyle w:val="TableText"/>
              <w:rPr>
                <w:rStyle w:val="Bold"/>
              </w:rPr>
            </w:pPr>
            <w:r w:rsidRPr="00AD226F">
              <w:rPr>
                <w:rStyle w:val="Bold"/>
              </w:rPr>
              <w:t>Equity</w:t>
            </w:r>
          </w:p>
        </w:tc>
        <w:tc>
          <w:tcPr>
            <w:tcW w:w="283" w:type="pct"/>
            <w:tcBorders>
              <w:top w:val="single" w:sz="4" w:space="0" w:color="auto"/>
            </w:tcBorders>
          </w:tcPr>
          <w:p w14:paraId="6A623F7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562A6CEF"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34A1F473"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442BC1A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5DB0463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283" w:type="pct"/>
            <w:tcBorders>
              <w:top w:val="single" w:sz="4" w:space="0" w:color="auto"/>
            </w:tcBorders>
          </w:tcPr>
          <w:p w14:paraId="4E83323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77AF6F2B"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2048CB45"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23AAD94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6C5E5002"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7930470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4C228DF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3" w:type="pct"/>
            <w:tcBorders>
              <w:top w:val="single" w:sz="4" w:space="0" w:color="auto"/>
            </w:tcBorders>
          </w:tcPr>
          <w:p w14:paraId="64AD519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c>
          <w:tcPr>
            <w:tcW w:w="312" w:type="pct"/>
            <w:tcBorders>
              <w:top w:val="single" w:sz="4" w:space="0" w:color="auto"/>
            </w:tcBorders>
          </w:tcPr>
          <w:p w14:paraId="6820CAC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p>
        </w:tc>
      </w:tr>
      <w:tr w:rsidR="00187572" w:rsidRPr="007120B2" w14:paraId="76EF5E72"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bottom w:val="single" w:sz="4" w:space="0" w:color="auto"/>
            </w:tcBorders>
          </w:tcPr>
          <w:p w14:paraId="206D9C3C" w14:textId="77777777" w:rsidR="00187572" w:rsidRPr="007120B2" w:rsidRDefault="00187572" w:rsidP="00187572">
            <w:pPr>
              <w:pStyle w:val="TableText"/>
            </w:pPr>
            <w:r w:rsidRPr="007120B2">
              <w:t>Contributed capital</w:t>
            </w:r>
          </w:p>
        </w:tc>
        <w:tc>
          <w:tcPr>
            <w:tcW w:w="283" w:type="pct"/>
            <w:tcBorders>
              <w:bottom w:val="single" w:sz="4" w:space="0" w:color="auto"/>
            </w:tcBorders>
          </w:tcPr>
          <w:p w14:paraId="280F68A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(30)</w:t>
            </w:r>
          </w:p>
        </w:tc>
        <w:tc>
          <w:tcPr>
            <w:tcW w:w="283" w:type="pct"/>
            <w:tcBorders>
              <w:bottom w:val="single" w:sz="4" w:space="0" w:color="auto"/>
            </w:tcBorders>
          </w:tcPr>
          <w:p w14:paraId="722F0471"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(53)</w:t>
            </w:r>
          </w:p>
        </w:tc>
        <w:tc>
          <w:tcPr>
            <w:tcW w:w="283" w:type="pct"/>
            <w:tcBorders>
              <w:bottom w:val="single" w:sz="4" w:space="0" w:color="auto"/>
            </w:tcBorders>
          </w:tcPr>
          <w:p w14:paraId="10CA5638"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283" w:type="pct"/>
            <w:tcBorders>
              <w:bottom w:val="single" w:sz="4" w:space="0" w:color="auto"/>
            </w:tcBorders>
          </w:tcPr>
          <w:p w14:paraId="3D5A5CD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(891)</w:t>
            </w:r>
          </w:p>
        </w:tc>
        <w:tc>
          <w:tcPr>
            <w:tcW w:w="283" w:type="pct"/>
            <w:tcBorders>
              <w:bottom w:val="single" w:sz="4" w:space="0" w:color="auto"/>
            </w:tcBorders>
          </w:tcPr>
          <w:p w14:paraId="4EA95ECE"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3,511</w:t>
            </w:r>
          </w:p>
        </w:tc>
        <w:tc>
          <w:tcPr>
            <w:tcW w:w="283" w:type="pct"/>
            <w:tcBorders>
              <w:bottom w:val="single" w:sz="4" w:space="0" w:color="auto"/>
            </w:tcBorders>
          </w:tcPr>
          <w:p w14:paraId="52A6DA7A"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5,207</w:t>
            </w:r>
          </w:p>
        </w:tc>
        <w:tc>
          <w:tcPr>
            <w:tcW w:w="313" w:type="pct"/>
            <w:tcBorders>
              <w:bottom w:val="single" w:sz="4" w:space="0" w:color="auto"/>
            </w:tcBorders>
          </w:tcPr>
          <w:p w14:paraId="51EAF1D4"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313" w:type="pct"/>
            <w:tcBorders>
              <w:bottom w:val="single" w:sz="4" w:space="0" w:color="auto"/>
            </w:tcBorders>
          </w:tcPr>
          <w:p w14:paraId="3D4C31A0"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313" w:type="pct"/>
            <w:tcBorders>
              <w:bottom w:val="single" w:sz="4" w:space="0" w:color="auto"/>
            </w:tcBorders>
          </w:tcPr>
          <w:p w14:paraId="2F18984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0</w:t>
            </w:r>
          </w:p>
        </w:tc>
        <w:tc>
          <w:tcPr>
            <w:tcW w:w="313" w:type="pct"/>
            <w:tcBorders>
              <w:bottom w:val="single" w:sz="4" w:space="0" w:color="auto"/>
            </w:tcBorders>
          </w:tcPr>
          <w:p w14:paraId="5D96846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(651)</w:t>
            </w:r>
          </w:p>
        </w:tc>
        <w:tc>
          <w:tcPr>
            <w:tcW w:w="313" w:type="pct"/>
            <w:tcBorders>
              <w:bottom w:val="single" w:sz="4" w:space="0" w:color="auto"/>
            </w:tcBorders>
          </w:tcPr>
          <w:p w14:paraId="72624E7D"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(1,837)</w:t>
            </w:r>
          </w:p>
        </w:tc>
        <w:tc>
          <w:tcPr>
            <w:tcW w:w="313" w:type="pct"/>
            <w:tcBorders>
              <w:bottom w:val="single" w:sz="4" w:space="0" w:color="auto"/>
            </w:tcBorders>
          </w:tcPr>
          <w:p w14:paraId="406A00E7"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(2,418)</w:t>
            </w:r>
          </w:p>
        </w:tc>
        <w:tc>
          <w:tcPr>
            <w:tcW w:w="313" w:type="pct"/>
            <w:tcBorders>
              <w:bottom w:val="single" w:sz="4" w:space="0" w:color="auto"/>
            </w:tcBorders>
          </w:tcPr>
          <w:p w14:paraId="3DB1828C"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1,643</w:t>
            </w:r>
          </w:p>
        </w:tc>
        <w:tc>
          <w:tcPr>
            <w:tcW w:w="312" w:type="pct"/>
            <w:tcBorders>
              <w:bottom w:val="single" w:sz="4" w:space="0" w:color="auto"/>
            </w:tcBorders>
          </w:tcPr>
          <w:p w14:paraId="5DEA0C86" w14:textId="77777777" w:rsidR="00187572" w:rsidRPr="007120B2" w:rsidRDefault="00187572" w:rsidP="00187572">
            <w:pPr>
              <w:pStyle w:val="TableText"/>
              <w:cnfStyle w:val="000000000000" w:firstRow="0" w:lastRow="0" w:firstColumn="0" w:lastColumn="0" w:oddVBand="0" w:evenVBand="0" w:oddHBand="0" w:evenHBand="0" w:firstRowFirstColumn="0" w:firstRowLastColumn="0" w:lastRowFirstColumn="0" w:lastRowLastColumn="0"/>
            </w:pPr>
            <w:r w:rsidRPr="007120B2">
              <w:t>1,194</w:t>
            </w:r>
          </w:p>
        </w:tc>
      </w:tr>
      <w:tr w:rsidR="00187572" w:rsidRPr="00AD226F" w14:paraId="1F2A3B50" w14:textId="77777777" w:rsidTr="00AD226F">
        <w:trPr>
          <w:trHeight w:val="6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bottom w:val="single" w:sz="4" w:space="0" w:color="auto"/>
            </w:tcBorders>
          </w:tcPr>
          <w:p w14:paraId="58073F96" w14:textId="77777777" w:rsidR="00187572" w:rsidRPr="00AD226F" w:rsidRDefault="00187572" w:rsidP="00187572">
            <w:pPr>
              <w:pStyle w:val="TableText"/>
              <w:rPr>
                <w:rStyle w:val="Bold"/>
              </w:rPr>
            </w:pPr>
            <w:r w:rsidRPr="00AD226F">
              <w:rPr>
                <w:rStyle w:val="Bold"/>
              </w:rPr>
              <w:t>Net worth</w:t>
            </w:r>
          </w:p>
        </w:tc>
        <w:tc>
          <w:tcPr>
            <w:tcW w:w="283" w:type="pct"/>
            <w:tcBorders>
              <w:top w:val="single" w:sz="4" w:space="0" w:color="auto"/>
              <w:bottom w:val="single" w:sz="4" w:space="0" w:color="auto"/>
            </w:tcBorders>
          </w:tcPr>
          <w:p w14:paraId="291F4738"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131</w:t>
            </w:r>
          </w:p>
        </w:tc>
        <w:tc>
          <w:tcPr>
            <w:tcW w:w="283" w:type="pct"/>
            <w:tcBorders>
              <w:top w:val="single" w:sz="4" w:space="0" w:color="auto"/>
              <w:bottom w:val="single" w:sz="4" w:space="0" w:color="auto"/>
            </w:tcBorders>
          </w:tcPr>
          <w:p w14:paraId="2FFBEE23"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92 </w:t>
            </w:r>
          </w:p>
        </w:tc>
        <w:tc>
          <w:tcPr>
            <w:tcW w:w="283" w:type="pct"/>
            <w:tcBorders>
              <w:top w:val="single" w:sz="4" w:space="0" w:color="auto"/>
              <w:bottom w:val="single" w:sz="4" w:space="0" w:color="auto"/>
            </w:tcBorders>
          </w:tcPr>
          <w:p w14:paraId="6EEB706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2,121</w:t>
            </w:r>
          </w:p>
        </w:tc>
        <w:tc>
          <w:tcPr>
            <w:tcW w:w="283" w:type="pct"/>
            <w:tcBorders>
              <w:top w:val="single" w:sz="4" w:space="0" w:color="auto"/>
              <w:bottom w:val="single" w:sz="4" w:space="0" w:color="auto"/>
            </w:tcBorders>
          </w:tcPr>
          <w:p w14:paraId="5945233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2,231 </w:t>
            </w:r>
          </w:p>
        </w:tc>
        <w:tc>
          <w:tcPr>
            <w:tcW w:w="283" w:type="pct"/>
            <w:tcBorders>
              <w:top w:val="single" w:sz="4" w:space="0" w:color="auto"/>
              <w:bottom w:val="single" w:sz="4" w:space="0" w:color="auto"/>
            </w:tcBorders>
          </w:tcPr>
          <w:p w14:paraId="4C660852"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(577)</w:t>
            </w:r>
          </w:p>
        </w:tc>
        <w:tc>
          <w:tcPr>
            <w:tcW w:w="283" w:type="pct"/>
            <w:tcBorders>
              <w:top w:val="single" w:sz="4" w:space="0" w:color="auto"/>
              <w:bottom w:val="single" w:sz="4" w:space="0" w:color="auto"/>
            </w:tcBorders>
          </w:tcPr>
          <w:p w14:paraId="015A02DE"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64 </w:t>
            </w:r>
          </w:p>
        </w:tc>
        <w:tc>
          <w:tcPr>
            <w:tcW w:w="313" w:type="pct"/>
            <w:tcBorders>
              <w:top w:val="single" w:sz="4" w:space="0" w:color="auto"/>
              <w:bottom w:val="single" w:sz="4" w:space="0" w:color="auto"/>
            </w:tcBorders>
          </w:tcPr>
          <w:p w14:paraId="4C0E2614"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0</w:t>
            </w:r>
          </w:p>
        </w:tc>
        <w:tc>
          <w:tcPr>
            <w:tcW w:w="313" w:type="pct"/>
            <w:tcBorders>
              <w:top w:val="single" w:sz="4" w:space="0" w:color="auto"/>
              <w:bottom w:val="single" w:sz="4" w:space="0" w:color="auto"/>
            </w:tcBorders>
          </w:tcPr>
          <w:p w14:paraId="55D7A18F"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4C5DD20D"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651</w:t>
            </w:r>
          </w:p>
        </w:tc>
        <w:tc>
          <w:tcPr>
            <w:tcW w:w="313" w:type="pct"/>
            <w:tcBorders>
              <w:top w:val="single" w:sz="4" w:space="0" w:color="auto"/>
              <w:bottom w:val="single" w:sz="4" w:space="0" w:color="auto"/>
            </w:tcBorders>
          </w:tcPr>
          <w:p w14:paraId="4650142A"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 xml:space="preserve">0 </w:t>
            </w:r>
          </w:p>
        </w:tc>
        <w:tc>
          <w:tcPr>
            <w:tcW w:w="313" w:type="pct"/>
            <w:tcBorders>
              <w:top w:val="single" w:sz="4" w:space="0" w:color="auto"/>
              <w:bottom w:val="single" w:sz="4" w:space="0" w:color="auto"/>
            </w:tcBorders>
          </w:tcPr>
          <w:p w14:paraId="09226820"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(1,849)</w:t>
            </w:r>
          </w:p>
        </w:tc>
        <w:tc>
          <w:tcPr>
            <w:tcW w:w="313" w:type="pct"/>
            <w:tcBorders>
              <w:top w:val="single" w:sz="4" w:space="0" w:color="auto"/>
              <w:bottom w:val="single" w:sz="4" w:space="0" w:color="auto"/>
            </w:tcBorders>
          </w:tcPr>
          <w:p w14:paraId="08015770"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(2,837)</w:t>
            </w:r>
          </w:p>
        </w:tc>
        <w:tc>
          <w:tcPr>
            <w:tcW w:w="313" w:type="pct"/>
            <w:tcBorders>
              <w:top w:val="single" w:sz="4" w:space="0" w:color="auto"/>
              <w:bottom w:val="single" w:sz="4" w:space="0" w:color="auto"/>
            </w:tcBorders>
          </w:tcPr>
          <w:p w14:paraId="368425ED"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476</w:t>
            </w:r>
          </w:p>
        </w:tc>
        <w:tc>
          <w:tcPr>
            <w:tcW w:w="312" w:type="pct"/>
            <w:tcBorders>
              <w:top w:val="single" w:sz="4" w:space="0" w:color="auto"/>
              <w:bottom w:val="single" w:sz="4" w:space="0" w:color="auto"/>
            </w:tcBorders>
          </w:tcPr>
          <w:p w14:paraId="06AFBE75" w14:textId="77777777" w:rsidR="00187572" w:rsidRPr="00AD226F" w:rsidRDefault="00187572" w:rsidP="00187572">
            <w:pPr>
              <w:pStyle w:val="TableText"/>
              <w:cnfStyle w:val="000000000000" w:firstRow="0" w:lastRow="0" w:firstColumn="0" w:lastColumn="0" w:oddVBand="0" w:evenVBand="0" w:oddHBand="0" w:evenHBand="0" w:firstRowFirstColumn="0" w:firstRowLastColumn="0" w:lastRowFirstColumn="0" w:lastRowLastColumn="0"/>
              <w:rPr>
                <w:rStyle w:val="Bold"/>
              </w:rPr>
            </w:pPr>
            <w:r w:rsidRPr="00AD226F">
              <w:rPr>
                <w:rStyle w:val="Bold"/>
              </w:rPr>
              <w:t>(450)</w:t>
            </w:r>
          </w:p>
        </w:tc>
      </w:tr>
    </w:tbl>
    <w:p w14:paraId="711EF1A6" w14:textId="77777777" w:rsidR="00AD226F" w:rsidRDefault="00AD226F" w:rsidP="00AD226F">
      <w:pPr>
        <w:pStyle w:val="NotesText"/>
      </w:pPr>
      <w:bookmarkStart w:id="321" w:name="Noteheading43"/>
      <w:r>
        <w:t>Note:</w:t>
      </w:r>
    </w:p>
    <w:p w14:paraId="7107261B" w14:textId="3745B34E" w:rsidR="001F091C" w:rsidRDefault="00AD226F" w:rsidP="00F110E7">
      <w:pPr>
        <w:pStyle w:val="NotesNumberedList"/>
        <w:numPr>
          <w:ilvl w:val="0"/>
          <w:numId w:val="43"/>
        </w:numPr>
      </w:pPr>
      <w:bookmarkStart w:id="322" w:name="Note43note4"/>
      <w:bookmarkEnd w:id="321"/>
      <w:bookmarkEnd w:id="322"/>
      <w:r>
        <w:t>Criminal injuries compensation payments that have been determined but not yet paid are recognised as a provision in the table above.</w:t>
      </w:r>
    </w:p>
    <w:p w14:paraId="311E3349" w14:textId="1731EABE" w:rsidR="00A86CBC" w:rsidRDefault="00A86CBC" w:rsidP="00417B1B">
      <w:pPr>
        <w:pStyle w:val="BodyText"/>
        <w:sectPr w:rsidR="00A86CBC" w:rsidSect="009C456B">
          <w:pgSz w:w="23814" w:h="16839" w:orient="landscape" w:code="9"/>
          <w:pgMar w:top="1134" w:right="1134" w:bottom="567" w:left="1134" w:header="567" w:footer="567" w:gutter="0"/>
          <w:cols w:space="720"/>
          <w:docGrid w:linePitch="299"/>
        </w:sectPr>
      </w:pPr>
    </w:p>
    <w:p w14:paraId="3ADBF273" w14:textId="53BF24D7" w:rsidR="00417B1B" w:rsidRDefault="00417B1B" w:rsidP="00417B1B">
      <w:pPr>
        <w:pStyle w:val="Heading2"/>
      </w:pPr>
      <w:bookmarkStart w:id="323" w:name="_Note_5._Key"/>
      <w:bookmarkStart w:id="324" w:name="_Ref22643438"/>
      <w:bookmarkStart w:id="325" w:name="_Ref22644042"/>
      <w:bookmarkStart w:id="326" w:name="_Toc62808151"/>
      <w:bookmarkEnd w:id="323"/>
      <w:r>
        <w:t xml:space="preserve">Note </w:t>
      </w:r>
      <w:bookmarkStart w:id="327" w:name="Note5"/>
      <w:r>
        <w:t>5</w:t>
      </w:r>
      <w:bookmarkEnd w:id="327"/>
      <w:r>
        <w:t>.</w:t>
      </w:r>
      <w:r>
        <w:tab/>
        <w:t xml:space="preserve">Key Assets Available </w:t>
      </w:r>
      <w:r w:rsidR="008C3E9D">
        <w:t>t</w:t>
      </w:r>
      <w:r>
        <w:t>o</w:t>
      </w:r>
      <w:r w:rsidR="00D45E5B">
        <w:t xml:space="preserve"> </w:t>
      </w:r>
      <w:r>
        <w:t>Support Output Delivery</w:t>
      </w:r>
      <w:bookmarkEnd w:id="324"/>
      <w:bookmarkEnd w:id="325"/>
      <w:bookmarkEnd w:id="326"/>
    </w:p>
    <w:p w14:paraId="22F1022B" w14:textId="77777777" w:rsidR="00417B1B" w:rsidRDefault="00417B1B" w:rsidP="00417B1B">
      <w:pPr>
        <w:pStyle w:val="Heading3"/>
      </w:pPr>
      <w:bookmarkStart w:id="328" w:name="_Toc62808152"/>
      <w:r>
        <w:t>Introduction</w:t>
      </w:r>
      <w:bookmarkEnd w:id="328"/>
    </w:p>
    <w:p w14:paraId="0AB69EBB" w14:textId="15EB9C55" w:rsidR="00A86CBC" w:rsidRDefault="009B1462" w:rsidP="00A86CBC">
      <w:pPr>
        <w:pStyle w:val="BodyText"/>
      </w:pPr>
      <w:r>
        <w:t>Court Services Victoria</w:t>
      </w:r>
      <w:r w:rsidR="00A86CBC">
        <w:t xml:space="preserve"> controls infrastructure that is utilised in fulfilling its objectives and conducting activities. The infrastructure represents the key resources that have been entrusted to </w:t>
      </w:r>
      <w:r>
        <w:t>Court Services Victoria</w:t>
      </w:r>
      <w:r w:rsidR="00A86CBC">
        <w:t xml:space="preserve"> to be utilised for delivery of its outputs.</w:t>
      </w:r>
    </w:p>
    <w:p w14:paraId="750B6F4D" w14:textId="60C0CC06" w:rsidR="00A86CBC" w:rsidRDefault="00A86CBC" w:rsidP="00A86CBC">
      <w:pPr>
        <w:pStyle w:val="Heading3"/>
      </w:pPr>
      <w:bookmarkStart w:id="329" w:name="_Toc62808153"/>
      <w:r>
        <w:t>Fair Value Measurement</w:t>
      </w:r>
      <w:bookmarkEnd w:id="329"/>
    </w:p>
    <w:p w14:paraId="0F041BDD" w14:textId="6FEA0B50" w:rsidR="00A86CBC" w:rsidRDefault="00A86CBC" w:rsidP="00A86CBC">
      <w:pPr>
        <w:pStyle w:val="BodyText"/>
      </w:pPr>
      <w:r>
        <w:t xml:space="preserve">Where the assets included in this section are carried at fair value, additional information is disclosed in </w:t>
      </w:r>
      <w:hyperlink w:anchor="Note83" w:history="1">
        <w:r w:rsidR="00B85F52" w:rsidRPr="00B85F52">
          <w:t>Note 8.3</w:t>
        </w:r>
      </w:hyperlink>
      <w:r>
        <w:t xml:space="preserve"> in connection with how those fair values were determined.</w:t>
      </w:r>
    </w:p>
    <w:p w14:paraId="2BAD9F6A" w14:textId="7CB5D019" w:rsidR="00A86CBC" w:rsidRPr="00A86CBC" w:rsidRDefault="00A86CBC" w:rsidP="00A86CBC">
      <w:pPr>
        <w:pStyle w:val="BodyText"/>
        <w:rPr>
          <w:rStyle w:val="Bold"/>
        </w:rPr>
      </w:pPr>
      <w:r w:rsidRPr="00A86CBC">
        <w:rPr>
          <w:rStyle w:val="Bold"/>
        </w:rPr>
        <w:t>Structure</w:t>
      </w:r>
    </w:p>
    <w:p w14:paraId="2B298519" w14:textId="396F6BCC" w:rsidR="00417B1B" w:rsidRPr="00625A11" w:rsidRDefault="00C9062D" w:rsidP="008C3E9D">
      <w:pPr>
        <w:pStyle w:val="NoSpacing"/>
      </w:pPr>
      <w:hyperlink w:anchor="Note51" w:history="1">
        <w:r w:rsidR="00857B1E" w:rsidRPr="00857B1E">
          <w:t>5.1</w:t>
        </w:r>
      </w:hyperlink>
      <w:r w:rsidR="00417B1B" w:rsidRPr="00625A11">
        <w:tab/>
        <w:t>Property, plant and equipment</w:t>
      </w:r>
    </w:p>
    <w:p w14:paraId="72E3E3ED" w14:textId="3E4352A8" w:rsidR="00417B1B" w:rsidRDefault="00C9062D" w:rsidP="008C3E9D">
      <w:pPr>
        <w:pStyle w:val="NoSpacing"/>
      </w:pPr>
      <w:hyperlink w:anchor="Note52" w:history="1">
        <w:r w:rsidR="00857B1E" w:rsidRPr="00857B1E">
          <w:t>5.2</w:t>
        </w:r>
      </w:hyperlink>
      <w:r w:rsidR="00417B1B" w:rsidRPr="00625A11">
        <w:tab/>
        <w:t>Intangible assets</w:t>
      </w:r>
    </w:p>
    <w:p w14:paraId="2BABDEC1" w14:textId="174E222D" w:rsidR="00417B1B" w:rsidRPr="0087446E" w:rsidRDefault="00417B1B" w:rsidP="00417B1B">
      <w:pPr>
        <w:pStyle w:val="Heading3"/>
        <w:rPr>
          <w:vertAlign w:val="superscript"/>
        </w:rPr>
      </w:pPr>
      <w:bookmarkStart w:id="330" w:name="Note51"/>
      <w:bookmarkStart w:id="331" w:name="_Toc62808154"/>
      <w:r w:rsidRPr="000D2542">
        <w:t>5.1</w:t>
      </w:r>
      <w:bookmarkEnd w:id="330"/>
      <w:r w:rsidRPr="000D2542">
        <w:t xml:space="preserve"> Property, Plant </w:t>
      </w:r>
      <w:r w:rsidR="00D45E5B" w:rsidRPr="000D2542">
        <w:t xml:space="preserve">and </w:t>
      </w:r>
      <w:r w:rsidRPr="000D2542">
        <w:t>Equipment</w:t>
      </w:r>
      <w:hyperlink w:anchor="Note51note1" w:history="1">
        <w:r w:rsidR="0087446E" w:rsidRPr="0087446E">
          <w:rPr>
            <w:vertAlign w:val="superscript"/>
          </w:rPr>
          <w:t>(1)</w:t>
        </w:r>
        <w:bookmarkEnd w:id="331"/>
      </w:hyperlink>
    </w:p>
    <w:tbl>
      <w:tblPr>
        <w:tblStyle w:val="AccessibleTableNumerical"/>
        <w:tblW w:w="5000" w:type="pct"/>
        <w:tblLook w:val="04E0" w:firstRow="1" w:lastRow="1" w:firstColumn="1" w:lastColumn="0" w:noHBand="0" w:noVBand="1"/>
      </w:tblPr>
      <w:tblGrid>
        <w:gridCol w:w="3119"/>
        <w:gridCol w:w="977"/>
        <w:gridCol w:w="976"/>
        <w:gridCol w:w="1311"/>
        <w:gridCol w:w="1311"/>
        <w:gridCol w:w="978"/>
        <w:gridCol w:w="970"/>
      </w:tblGrid>
      <w:tr w:rsidR="00417B1B" w:rsidRPr="00722662" w14:paraId="2C44CE8C" w14:textId="77777777" w:rsidTr="00ED7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7" w:type="pct"/>
          </w:tcPr>
          <w:p w14:paraId="4D817103" w14:textId="1531F2AD" w:rsidR="00417B1B" w:rsidRPr="00722662" w:rsidRDefault="006B0A00" w:rsidP="00327805">
            <w:pPr>
              <w:pStyle w:val="TableText"/>
            </w:pPr>
            <w:bookmarkStart w:id="332" w:name="ColumnTitle_64"/>
            <w:r>
              <w:t>Item</w:t>
            </w:r>
          </w:p>
        </w:tc>
        <w:tc>
          <w:tcPr>
            <w:tcW w:w="506" w:type="pct"/>
            <w:vAlign w:val="bottom"/>
          </w:tcPr>
          <w:p w14:paraId="79D951D5" w14:textId="797BE97A"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Gross carrying </w:t>
            </w:r>
            <w:r w:rsidRPr="00722662">
              <w:br/>
              <w:t>amount</w:t>
            </w:r>
            <w:r w:rsidR="007B4F37">
              <w:br/>
            </w:r>
            <w:r w:rsidR="00417B1B" w:rsidRPr="00722662">
              <w:t>20</w:t>
            </w:r>
            <w:r w:rsidR="00A86CBC">
              <w:t>20</w:t>
            </w:r>
            <w:r w:rsidR="00417B1B" w:rsidRPr="00722662">
              <w:t xml:space="preserve"> $'000</w:t>
            </w:r>
          </w:p>
        </w:tc>
        <w:tc>
          <w:tcPr>
            <w:tcW w:w="506" w:type="pct"/>
            <w:vAlign w:val="bottom"/>
          </w:tcPr>
          <w:p w14:paraId="21255F1A" w14:textId="4FD5EFE8"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Gross carrying </w:t>
            </w:r>
            <w:r w:rsidRPr="00722662">
              <w:br/>
              <w:t>amount</w:t>
            </w:r>
            <w:r w:rsidR="007B4F37">
              <w:br/>
            </w:r>
            <w:r w:rsidR="00417B1B" w:rsidRPr="00722662">
              <w:t>201</w:t>
            </w:r>
            <w:r w:rsidR="00A86CBC">
              <w:t>9</w:t>
            </w:r>
            <w:r w:rsidR="00417B1B" w:rsidRPr="00722662">
              <w:t xml:space="preserve"> $'000</w:t>
            </w:r>
          </w:p>
        </w:tc>
        <w:tc>
          <w:tcPr>
            <w:tcW w:w="680" w:type="pct"/>
            <w:vAlign w:val="bottom"/>
          </w:tcPr>
          <w:p w14:paraId="31BE32B3" w14:textId="6FD44C1B"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Accumulated </w:t>
            </w:r>
            <w:r w:rsidR="00A86CBC">
              <w:t>d</w:t>
            </w:r>
            <w:r w:rsidRPr="00722662">
              <w:t>epreciation</w:t>
            </w:r>
            <w:r w:rsidR="007B4F37">
              <w:br/>
            </w:r>
            <w:r w:rsidR="00A86CBC">
              <w:t>2020</w:t>
            </w:r>
            <w:r w:rsidR="007B4F37">
              <w:br/>
            </w:r>
            <w:r w:rsidR="00417B1B" w:rsidRPr="00722662">
              <w:t>$'000</w:t>
            </w:r>
          </w:p>
        </w:tc>
        <w:tc>
          <w:tcPr>
            <w:tcW w:w="680" w:type="pct"/>
            <w:vAlign w:val="bottom"/>
          </w:tcPr>
          <w:p w14:paraId="68ABD717" w14:textId="095C465E"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Accumulated </w:t>
            </w:r>
            <w:r w:rsidR="00A86CBC">
              <w:t>d</w:t>
            </w:r>
            <w:r w:rsidRPr="00722662">
              <w:t>epreciation</w:t>
            </w:r>
            <w:r w:rsidR="007B4F37">
              <w:br/>
            </w:r>
            <w:r w:rsidR="00A86CBC">
              <w:t>2019</w:t>
            </w:r>
            <w:r w:rsidR="007B4F37">
              <w:br/>
            </w:r>
            <w:r w:rsidR="00417B1B" w:rsidRPr="00722662">
              <w:t>$'000</w:t>
            </w:r>
          </w:p>
        </w:tc>
        <w:tc>
          <w:tcPr>
            <w:tcW w:w="507" w:type="pct"/>
            <w:vAlign w:val="bottom"/>
          </w:tcPr>
          <w:p w14:paraId="236773EF" w14:textId="72E6190F"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Net carrying </w:t>
            </w:r>
            <w:r w:rsidRPr="00722662">
              <w:br/>
              <w:t>amount</w:t>
            </w:r>
            <w:r w:rsidR="007B4F37">
              <w:br/>
            </w:r>
            <w:r w:rsidR="00A86CBC">
              <w:t>2020</w:t>
            </w:r>
            <w:r w:rsidR="00417B1B" w:rsidRPr="00722662">
              <w:t xml:space="preserve"> $'000</w:t>
            </w:r>
          </w:p>
        </w:tc>
        <w:tc>
          <w:tcPr>
            <w:tcW w:w="503" w:type="pct"/>
            <w:vAlign w:val="bottom"/>
          </w:tcPr>
          <w:p w14:paraId="52D764DA" w14:textId="4FCEAB06" w:rsidR="00417B1B" w:rsidRPr="00722662" w:rsidRDefault="00327805" w:rsidP="007B4F37">
            <w:pPr>
              <w:pStyle w:val="TableText"/>
              <w:cnfStyle w:val="100000000000" w:firstRow="1" w:lastRow="0" w:firstColumn="0" w:lastColumn="0" w:oddVBand="0" w:evenVBand="0" w:oddHBand="0" w:evenHBand="0" w:firstRowFirstColumn="0" w:firstRowLastColumn="0" w:lastRowFirstColumn="0" w:lastRowLastColumn="0"/>
            </w:pPr>
            <w:r w:rsidRPr="00722662">
              <w:t xml:space="preserve">Net carrying </w:t>
            </w:r>
            <w:r w:rsidRPr="00722662">
              <w:br/>
              <w:t>amount</w:t>
            </w:r>
            <w:r w:rsidR="007B4F37">
              <w:br/>
            </w:r>
            <w:r w:rsidR="00A86CBC">
              <w:t>2019</w:t>
            </w:r>
            <w:r w:rsidR="00417B1B" w:rsidRPr="00722662">
              <w:t xml:space="preserve"> $'000</w:t>
            </w:r>
          </w:p>
        </w:tc>
      </w:tr>
      <w:bookmarkEnd w:id="332"/>
      <w:tr w:rsidR="00417B1B" w:rsidRPr="00722662" w14:paraId="18167F98"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66B4920C" w14:textId="0CC607F4" w:rsidR="00417B1B" w:rsidRPr="00722662" w:rsidRDefault="00417B1B" w:rsidP="00327805">
            <w:pPr>
              <w:pStyle w:val="TableText"/>
            </w:pPr>
            <w:r w:rsidRPr="00722662">
              <w:t>Land at fair value</w:t>
            </w:r>
          </w:p>
        </w:tc>
        <w:tc>
          <w:tcPr>
            <w:tcW w:w="506" w:type="pct"/>
          </w:tcPr>
          <w:p w14:paraId="3853B140" w14:textId="3D392649"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464,958</w:t>
            </w:r>
          </w:p>
        </w:tc>
        <w:tc>
          <w:tcPr>
            <w:tcW w:w="506" w:type="pct"/>
          </w:tcPr>
          <w:p w14:paraId="7DC3A463" w14:textId="6161737D"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412,632</w:t>
            </w:r>
          </w:p>
        </w:tc>
        <w:tc>
          <w:tcPr>
            <w:tcW w:w="680" w:type="pct"/>
          </w:tcPr>
          <w:p w14:paraId="55865663" w14:textId="5A263446"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0</w:t>
            </w:r>
          </w:p>
        </w:tc>
        <w:tc>
          <w:tcPr>
            <w:tcW w:w="680" w:type="pct"/>
          </w:tcPr>
          <w:p w14:paraId="1DACE783" w14:textId="347979BC"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0</w:t>
            </w:r>
          </w:p>
        </w:tc>
        <w:tc>
          <w:tcPr>
            <w:tcW w:w="507" w:type="pct"/>
          </w:tcPr>
          <w:p w14:paraId="0D3A5460" w14:textId="2FB5883F"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464,958</w:t>
            </w:r>
          </w:p>
        </w:tc>
        <w:tc>
          <w:tcPr>
            <w:tcW w:w="503" w:type="pct"/>
          </w:tcPr>
          <w:p w14:paraId="11C39ACE" w14:textId="0DF7A5E6"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412,632</w:t>
            </w:r>
          </w:p>
        </w:tc>
      </w:tr>
      <w:tr w:rsidR="00417B1B" w:rsidRPr="00722662" w14:paraId="44CAED79"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3229AAE2" w14:textId="242BC5D4" w:rsidR="00417B1B" w:rsidRPr="00722662" w:rsidRDefault="00417B1B" w:rsidP="00327805">
            <w:pPr>
              <w:pStyle w:val="TableText"/>
            </w:pPr>
            <w:r w:rsidRPr="00722662">
              <w:t>Buildings at fair value</w:t>
            </w:r>
          </w:p>
        </w:tc>
        <w:tc>
          <w:tcPr>
            <w:tcW w:w="506" w:type="pct"/>
          </w:tcPr>
          <w:p w14:paraId="038D7094" w14:textId="15BF1CDF"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545,976</w:t>
            </w:r>
          </w:p>
        </w:tc>
        <w:tc>
          <w:tcPr>
            <w:tcW w:w="506" w:type="pct"/>
          </w:tcPr>
          <w:p w14:paraId="64249463" w14:textId="049F787C"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426,951</w:t>
            </w:r>
          </w:p>
        </w:tc>
        <w:tc>
          <w:tcPr>
            <w:tcW w:w="680" w:type="pct"/>
          </w:tcPr>
          <w:p w14:paraId="6A5D83C3" w14:textId="12C10282"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(41,829)</w:t>
            </w:r>
          </w:p>
        </w:tc>
        <w:tc>
          <w:tcPr>
            <w:tcW w:w="680" w:type="pct"/>
          </w:tcPr>
          <w:p w14:paraId="2094BBF7" w14:textId="1F9780CA"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(1,647)</w:t>
            </w:r>
          </w:p>
        </w:tc>
        <w:tc>
          <w:tcPr>
            <w:tcW w:w="507" w:type="pct"/>
          </w:tcPr>
          <w:p w14:paraId="04FBAA55" w14:textId="7B08DF50"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504,147</w:t>
            </w:r>
          </w:p>
        </w:tc>
        <w:tc>
          <w:tcPr>
            <w:tcW w:w="503" w:type="pct"/>
          </w:tcPr>
          <w:p w14:paraId="45C229D0" w14:textId="26CB7D98" w:rsidR="00417B1B" w:rsidRPr="00722662" w:rsidRDefault="00A86CBC" w:rsidP="00327805">
            <w:pPr>
              <w:pStyle w:val="TableText"/>
              <w:cnfStyle w:val="000000000000" w:firstRow="0" w:lastRow="0" w:firstColumn="0" w:lastColumn="0" w:oddVBand="0" w:evenVBand="0" w:oddHBand="0" w:evenHBand="0" w:firstRowFirstColumn="0" w:firstRowLastColumn="0" w:lastRowFirstColumn="0" w:lastRowLastColumn="0"/>
            </w:pPr>
            <w:r>
              <w:t>425,304</w:t>
            </w:r>
          </w:p>
        </w:tc>
      </w:tr>
      <w:tr w:rsidR="00417B1B" w:rsidRPr="00722662" w14:paraId="451EE4EA"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38051DCA" w14:textId="77777777" w:rsidR="00417B1B" w:rsidRPr="00722662" w:rsidRDefault="00417B1B" w:rsidP="00327805">
            <w:pPr>
              <w:pStyle w:val="TableText"/>
            </w:pPr>
            <w:r w:rsidRPr="00722662">
              <w:t>Leasehold buildings at fair value subject to finance lease</w:t>
            </w:r>
          </w:p>
        </w:tc>
        <w:tc>
          <w:tcPr>
            <w:tcW w:w="506" w:type="pct"/>
          </w:tcPr>
          <w:p w14:paraId="37549843" w14:textId="24D3C5C7"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79,905</w:t>
            </w:r>
          </w:p>
        </w:tc>
        <w:tc>
          <w:tcPr>
            <w:tcW w:w="506" w:type="pct"/>
          </w:tcPr>
          <w:p w14:paraId="43621FED" w14:textId="0C9F0A1C"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79,905</w:t>
            </w:r>
          </w:p>
        </w:tc>
        <w:tc>
          <w:tcPr>
            <w:tcW w:w="680" w:type="pct"/>
          </w:tcPr>
          <w:p w14:paraId="266F9BEB" w14:textId="404E8B2A"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(48,680)</w:t>
            </w:r>
          </w:p>
        </w:tc>
        <w:tc>
          <w:tcPr>
            <w:tcW w:w="680" w:type="pct"/>
          </w:tcPr>
          <w:p w14:paraId="22BD5187" w14:textId="4FD59FD4"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(32,166)</w:t>
            </w:r>
          </w:p>
        </w:tc>
        <w:tc>
          <w:tcPr>
            <w:tcW w:w="507" w:type="pct"/>
          </w:tcPr>
          <w:p w14:paraId="53ED62A3" w14:textId="4AE22D3F"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31,224</w:t>
            </w:r>
          </w:p>
        </w:tc>
        <w:tc>
          <w:tcPr>
            <w:tcW w:w="503" w:type="pct"/>
          </w:tcPr>
          <w:p w14:paraId="54EDE2B4" w14:textId="46926E86"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47,739</w:t>
            </w:r>
          </w:p>
        </w:tc>
      </w:tr>
      <w:tr w:rsidR="00417B1B" w:rsidRPr="00722662" w14:paraId="7B298502"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4D40B076" w14:textId="2CB2500D" w:rsidR="00417B1B" w:rsidRPr="00722662" w:rsidRDefault="00417B1B" w:rsidP="00327805">
            <w:pPr>
              <w:pStyle w:val="TableText"/>
            </w:pPr>
            <w:r w:rsidRPr="00722662">
              <w:t>Leasehold improvements at</w:t>
            </w:r>
            <w:r w:rsidR="00D45E5B">
              <w:t xml:space="preserve"> </w:t>
            </w:r>
            <w:r w:rsidRPr="00722662">
              <w:t>fair</w:t>
            </w:r>
            <w:r w:rsidR="00D45E5B">
              <w:t xml:space="preserve"> </w:t>
            </w:r>
            <w:r w:rsidRPr="00722662">
              <w:t>value</w:t>
            </w:r>
          </w:p>
        </w:tc>
        <w:tc>
          <w:tcPr>
            <w:tcW w:w="506" w:type="pct"/>
          </w:tcPr>
          <w:p w14:paraId="45BE7556" w14:textId="2C5E56E0"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26,673</w:t>
            </w:r>
          </w:p>
        </w:tc>
        <w:tc>
          <w:tcPr>
            <w:tcW w:w="506" w:type="pct"/>
          </w:tcPr>
          <w:p w14:paraId="36A82F3F" w14:textId="528946A6"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15,476</w:t>
            </w:r>
          </w:p>
        </w:tc>
        <w:tc>
          <w:tcPr>
            <w:tcW w:w="680" w:type="pct"/>
          </w:tcPr>
          <w:p w14:paraId="6D2956E8" w14:textId="3739D6D2"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(5,924)</w:t>
            </w:r>
          </w:p>
        </w:tc>
        <w:tc>
          <w:tcPr>
            <w:tcW w:w="680" w:type="pct"/>
          </w:tcPr>
          <w:p w14:paraId="65F7E602" w14:textId="31066CB8"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(2,936)</w:t>
            </w:r>
          </w:p>
        </w:tc>
        <w:tc>
          <w:tcPr>
            <w:tcW w:w="507" w:type="pct"/>
          </w:tcPr>
          <w:p w14:paraId="723FD1EF" w14:textId="272BD555"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20,750</w:t>
            </w:r>
          </w:p>
        </w:tc>
        <w:tc>
          <w:tcPr>
            <w:tcW w:w="503" w:type="pct"/>
          </w:tcPr>
          <w:p w14:paraId="1565BDA8" w14:textId="594D9070"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12,540</w:t>
            </w:r>
          </w:p>
        </w:tc>
      </w:tr>
      <w:tr w:rsidR="00417B1B" w:rsidRPr="00722662" w14:paraId="354B9125"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02E099A9" w14:textId="77777777" w:rsidR="00417B1B" w:rsidRPr="00722662" w:rsidRDefault="00417B1B" w:rsidP="00327805">
            <w:pPr>
              <w:pStyle w:val="TableText"/>
            </w:pPr>
            <w:r w:rsidRPr="00722662">
              <w:t>Plant and equipment at fair value</w:t>
            </w:r>
          </w:p>
        </w:tc>
        <w:tc>
          <w:tcPr>
            <w:tcW w:w="506" w:type="pct"/>
          </w:tcPr>
          <w:p w14:paraId="7D73ACA7" w14:textId="56461165"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6,174</w:t>
            </w:r>
          </w:p>
        </w:tc>
        <w:tc>
          <w:tcPr>
            <w:tcW w:w="506" w:type="pct"/>
          </w:tcPr>
          <w:p w14:paraId="59B36EB7" w14:textId="5A9C1C41"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5,934</w:t>
            </w:r>
          </w:p>
        </w:tc>
        <w:tc>
          <w:tcPr>
            <w:tcW w:w="680" w:type="pct"/>
          </w:tcPr>
          <w:p w14:paraId="53AB508D" w14:textId="28CDB63D"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(2,522)</w:t>
            </w:r>
          </w:p>
        </w:tc>
        <w:tc>
          <w:tcPr>
            <w:tcW w:w="680" w:type="pct"/>
          </w:tcPr>
          <w:p w14:paraId="6E3E048A" w14:textId="5C1C61D8"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(2,050)</w:t>
            </w:r>
          </w:p>
        </w:tc>
        <w:tc>
          <w:tcPr>
            <w:tcW w:w="507" w:type="pct"/>
          </w:tcPr>
          <w:p w14:paraId="5C4121BC" w14:textId="2EDBF627"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3,652</w:t>
            </w:r>
          </w:p>
        </w:tc>
        <w:tc>
          <w:tcPr>
            <w:tcW w:w="503" w:type="pct"/>
          </w:tcPr>
          <w:p w14:paraId="49B81006" w14:textId="4C7D9BAE"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3,884</w:t>
            </w:r>
          </w:p>
        </w:tc>
      </w:tr>
      <w:tr w:rsidR="00417B1B" w:rsidRPr="00722662" w14:paraId="54E3DDE7"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2F0BFF8D" w14:textId="7FE6C07E" w:rsidR="00417B1B" w:rsidRPr="00722662" w:rsidRDefault="00417B1B" w:rsidP="00327805">
            <w:pPr>
              <w:pStyle w:val="TableText"/>
            </w:pPr>
            <w:r w:rsidRPr="00722662">
              <w:t xml:space="preserve">Plant and equipment </w:t>
            </w:r>
            <w:r w:rsidR="00ED7884">
              <w:t>– Right-of Use (2019 Finance Leases)</w:t>
            </w:r>
          </w:p>
        </w:tc>
        <w:tc>
          <w:tcPr>
            <w:tcW w:w="506" w:type="pct"/>
          </w:tcPr>
          <w:p w14:paraId="7A578628" w14:textId="0EF27671"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14,212</w:t>
            </w:r>
          </w:p>
        </w:tc>
        <w:tc>
          <w:tcPr>
            <w:tcW w:w="506" w:type="pct"/>
          </w:tcPr>
          <w:p w14:paraId="0AC2A6BE" w14:textId="140C508E"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13,941</w:t>
            </w:r>
          </w:p>
        </w:tc>
        <w:tc>
          <w:tcPr>
            <w:tcW w:w="680" w:type="pct"/>
          </w:tcPr>
          <w:p w14:paraId="68838463" w14:textId="1CA0DA07"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(3,994)</w:t>
            </w:r>
          </w:p>
        </w:tc>
        <w:tc>
          <w:tcPr>
            <w:tcW w:w="680" w:type="pct"/>
          </w:tcPr>
          <w:p w14:paraId="187AC11B" w14:textId="4678A720"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(4,066)</w:t>
            </w:r>
          </w:p>
        </w:tc>
        <w:tc>
          <w:tcPr>
            <w:tcW w:w="507" w:type="pct"/>
          </w:tcPr>
          <w:p w14:paraId="384ED4F1" w14:textId="34A73DC8"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10,218</w:t>
            </w:r>
          </w:p>
        </w:tc>
        <w:tc>
          <w:tcPr>
            <w:tcW w:w="503" w:type="pct"/>
          </w:tcPr>
          <w:p w14:paraId="434BFADE" w14:textId="07BD9FB9"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9,875</w:t>
            </w:r>
          </w:p>
        </w:tc>
      </w:tr>
      <w:tr w:rsidR="00417B1B" w:rsidRPr="00722662" w14:paraId="4C112D74"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44C4DD28" w14:textId="4E94D14C" w:rsidR="00417B1B" w:rsidRPr="00722662" w:rsidRDefault="00417B1B" w:rsidP="00327805">
            <w:pPr>
              <w:pStyle w:val="TableText"/>
            </w:pPr>
            <w:r w:rsidRPr="00722662">
              <w:t xml:space="preserve">Computer </w:t>
            </w:r>
            <w:r w:rsidR="00ED7884">
              <w:t xml:space="preserve">and </w:t>
            </w:r>
            <w:r w:rsidRPr="00722662">
              <w:t>telecommunications equipment at fair value</w:t>
            </w:r>
          </w:p>
        </w:tc>
        <w:tc>
          <w:tcPr>
            <w:tcW w:w="506" w:type="pct"/>
          </w:tcPr>
          <w:p w14:paraId="4F651322" w14:textId="5971DC46"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34,247</w:t>
            </w:r>
          </w:p>
        </w:tc>
        <w:tc>
          <w:tcPr>
            <w:tcW w:w="506" w:type="pct"/>
          </w:tcPr>
          <w:p w14:paraId="739BE3C1" w14:textId="1D0C3499"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25,083</w:t>
            </w:r>
          </w:p>
        </w:tc>
        <w:tc>
          <w:tcPr>
            <w:tcW w:w="680" w:type="pct"/>
          </w:tcPr>
          <w:p w14:paraId="3E7D4C3D" w14:textId="45BE8D55"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(17,304)</w:t>
            </w:r>
          </w:p>
        </w:tc>
        <w:tc>
          <w:tcPr>
            <w:tcW w:w="680" w:type="pct"/>
          </w:tcPr>
          <w:p w14:paraId="67E29401" w14:textId="6302468B"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(10,228)</w:t>
            </w:r>
          </w:p>
        </w:tc>
        <w:tc>
          <w:tcPr>
            <w:tcW w:w="507" w:type="pct"/>
          </w:tcPr>
          <w:p w14:paraId="7A54CE04" w14:textId="37A6B025"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16,943</w:t>
            </w:r>
          </w:p>
        </w:tc>
        <w:tc>
          <w:tcPr>
            <w:tcW w:w="503" w:type="pct"/>
          </w:tcPr>
          <w:p w14:paraId="22705F9F" w14:textId="4AA323BF"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14,855</w:t>
            </w:r>
          </w:p>
        </w:tc>
      </w:tr>
      <w:tr w:rsidR="00417B1B" w:rsidRPr="00722662" w14:paraId="62B690B5"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4A099B0C" w14:textId="3E2E2ECB" w:rsidR="00417B1B" w:rsidRPr="00722662" w:rsidRDefault="00417B1B" w:rsidP="00327805">
            <w:pPr>
              <w:pStyle w:val="TableText"/>
            </w:pPr>
            <w:r w:rsidRPr="00722662">
              <w:t>Cultural assets at fair value</w:t>
            </w:r>
          </w:p>
        </w:tc>
        <w:tc>
          <w:tcPr>
            <w:tcW w:w="506" w:type="pct"/>
          </w:tcPr>
          <w:p w14:paraId="6D8E0861" w14:textId="5BD33CFD"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916</w:t>
            </w:r>
          </w:p>
        </w:tc>
        <w:tc>
          <w:tcPr>
            <w:tcW w:w="506" w:type="pct"/>
          </w:tcPr>
          <w:p w14:paraId="7CE45617" w14:textId="3D9047FE"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916</w:t>
            </w:r>
          </w:p>
        </w:tc>
        <w:tc>
          <w:tcPr>
            <w:tcW w:w="680" w:type="pct"/>
          </w:tcPr>
          <w:p w14:paraId="5EC79D13" w14:textId="5D6C7D50"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0</w:t>
            </w:r>
          </w:p>
        </w:tc>
        <w:tc>
          <w:tcPr>
            <w:tcW w:w="680" w:type="pct"/>
          </w:tcPr>
          <w:p w14:paraId="2AE1D153" w14:textId="589890C7"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0</w:t>
            </w:r>
          </w:p>
        </w:tc>
        <w:tc>
          <w:tcPr>
            <w:tcW w:w="507" w:type="pct"/>
          </w:tcPr>
          <w:p w14:paraId="34281473" w14:textId="77777777" w:rsidR="00417B1B" w:rsidRPr="00722662" w:rsidRDefault="00417B1B" w:rsidP="00327805">
            <w:pPr>
              <w:pStyle w:val="TableText"/>
              <w:cnfStyle w:val="000000000000" w:firstRow="0" w:lastRow="0" w:firstColumn="0" w:lastColumn="0" w:oddVBand="0" w:evenVBand="0" w:oddHBand="0" w:evenHBand="0" w:firstRowFirstColumn="0" w:firstRowLastColumn="0" w:lastRowFirstColumn="0" w:lastRowLastColumn="0"/>
            </w:pPr>
            <w:r w:rsidRPr="00722662">
              <w:t>916</w:t>
            </w:r>
          </w:p>
        </w:tc>
        <w:tc>
          <w:tcPr>
            <w:tcW w:w="503" w:type="pct"/>
          </w:tcPr>
          <w:p w14:paraId="00A55B92" w14:textId="77777777" w:rsidR="00417B1B" w:rsidRPr="00722662" w:rsidRDefault="00417B1B" w:rsidP="00327805">
            <w:pPr>
              <w:pStyle w:val="TableText"/>
              <w:cnfStyle w:val="000000000000" w:firstRow="0" w:lastRow="0" w:firstColumn="0" w:lastColumn="0" w:oddVBand="0" w:evenVBand="0" w:oddHBand="0" w:evenHBand="0" w:firstRowFirstColumn="0" w:firstRowLastColumn="0" w:lastRowFirstColumn="0" w:lastRowLastColumn="0"/>
            </w:pPr>
            <w:r w:rsidRPr="00722662">
              <w:t>916</w:t>
            </w:r>
          </w:p>
        </w:tc>
      </w:tr>
      <w:tr w:rsidR="00417B1B" w:rsidRPr="00722662" w14:paraId="1E1482D2" w14:textId="77777777" w:rsidTr="00ED7884">
        <w:tc>
          <w:tcPr>
            <w:cnfStyle w:val="001000000000" w:firstRow="0" w:lastRow="0" w:firstColumn="1" w:lastColumn="0" w:oddVBand="0" w:evenVBand="0" w:oddHBand="0" w:evenHBand="0" w:firstRowFirstColumn="0" w:firstRowLastColumn="0" w:lastRowFirstColumn="0" w:lastRowLastColumn="0"/>
            <w:tcW w:w="1617" w:type="pct"/>
          </w:tcPr>
          <w:p w14:paraId="10DA5117" w14:textId="77777777" w:rsidR="00417B1B" w:rsidRPr="00722662" w:rsidRDefault="00417B1B" w:rsidP="00327805">
            <w:pPr>
              <w:pStyle w:val="TableText"/>
            </w:pPr>
            <w:r w:rsidRPr="00722662">
              <w:t>Assets under construction at cost</w:t>
            </w:r>
          </w:p>
        </w:tc>
        <w:tc>
          <w:tcPr>
            <w:tcW w:w="506" w:type="pct"/>
          </w:tcPr>
          <w:p w14:paraId="22659C6D" w14:textId="2A1F6CE3"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81,355</w:t>
            </w:r>
          </w:p>
        </w:tc>
        <w:tc>
          <w:tcPr>
            <w:tcW w:w="506" w:type="pct"/>
          </w:tcPr>
          <w:p w14:paraId="2F2EB680" w14:textId="358F7DE1"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51,953</w:t>
            </w:r>
          </w:p>
        </w:tc>
        <w:tc>
          <w:tcPr>
            <w:tcW w:w="680" w:type="pct"/>
          </w:tcPr>
          <w:p w14:paraId="2E1C091E" w14:textId="77777777" w:rsidR="00417B1B" w:rsidRPr="00722662" w:rsidRDefault="00417B1B" w:rsidP="00327805">
            <w:pPr>
              <w:pStyle w:val="TableText"/>
              <w:cnfStyle w:val="000000000000" w:firstRow="0" w:lastRow="0" w:firstColumn="0" w:lastColumn="0" w:oddVBand="0" w:evenVBand="0" w:oddHBand="0" w:evenHBand="0" w:firstRowFirstColumn="0" w:firstRowLastColumn="0" w:lastRowFirstColumn="0" w:lastRowLastColumn="0"/>
            </w:pPr>
            <w:r w:rsidRPr="00722662">
              <w:t>0</w:t>
            </w:r>
          </w:p>
        </w:tc>
        <w:tc>
          <w:tcPr>
            <w:tcW w:w="680" w:type="pct"/>
          </w:tcPr>
          <w:p w14:paraId="04969BB8" w14:textId="77777777" w:rsidR="00417B1B" w:rsidRPr="00722662" w:rsidRDefault="00417B1B" w:rsidP="00327805">
            <w:pPr>
              <w:pStyle w:val="TableText"/>
              <w:cnfStyle w:val="000000000000" w:firstRow="0" w:lastRow="0" w:firstColumn="0" w:lastColumn="0" w:oddVBand="0" w:evenVBand="0" w:oddHBand="0" w:evenHBand="0" w:firstRowFirstColumn="0" w:firstRowLastColumn="0" w:lastRowFirstColumn="0" w:lastRowLastColumn="0"/>
            </w:pPr>
            <w:r w:rsidRPr="00722662">
              <w:t>0</w:t>
            </w:r>
          </w:p>
        </w:tc>
        <w:tc>
          <w:tcPr>
            <w:tcW w:w="507" w:type="pct"/>
          </w:tcPr>
          <w:p w14:paraId="20E090D3" w14:textId="18F8BB24"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81,355</w:t>
            </w:r>
          </w:p>
        </w:tc>
        <w:tc>
          <w:tcPr>
            <w:tcW w:w="503" w:type="pct"/>
          </w:tcPr>
          <w:p w14:paraId="6220C438" w14:textId="7365038A" w:rsidR="00417B1B" w:rsidRPr="00722662" w:rsidRDefault="00ED7884" w:rsidP="00327805">
            <w:pPr>
              <w:pStyle w:val="TableText"/>
              <w:cnfStyle w:val="000000000000" w:firstRow="0" w:lastRow="0" w:firstColumn="0" w:lastColumn="0" w:oddVBand="0" w:evenVBand="0" w:oddHBand="0" w:evenHBand="0" w:firstRowFirstColumn="0" w:firstRowLastColumn="0" w:lastRowFirstColumn="0" w:lastRowLastColumn="0"/>
            </w:pPr>
            <w:r>
              <w:t>51,953</w:t>
            </w:r>
          </w:p>
        </w:tc>
      </w:tr>
      <w:tr w:rsidR="00417B1B" w:rsidRPr="007B4F37" w14:paraId="1D24831A" w14:textId="77777777" w:rsidTr="00ED78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13EB6A0A" w14:textId="0E8235FF" w:rsidR="00417B1B" w:rsidRPr="007B4F37" w:rsidRDefault="00417B1B" w:rsidP="00327805">
            <w:pPr>
              <w:pStyle w:val="TableText"/>
              <w:rPr>
                <w:rStyle w:val="Bold"/>
              </w:rPr>
            </w:pPr>
            <w:r w:rsidRPr="007B4F37">
              <w:rPr>
                <w:rStyle w:val="Bold"/>
              </w:rPr>
              <w:t>Total property, plant and</w:t>
            </w:r>
            <w:r w:rsidR="00D45E5B" w:rsidRPr="007B4F37">
              <w:rPr>
                <w:rStyle w:val="Bold"/>
              </w:rPr>
              <w:t xml:space="preserve"> </w:t>
            </w:r>
            <w:r w:rsidRPr="007B4F37">
              <w:rPr>
                <w:rStyle w:val="Bold"/>
              </w:rPr>
              <w:t>equipment</w:t>
            </w:r>
          </w:p>
        </w:tc>
        <w:tc>
          <w:tcPr>
            <w:tcW w:w="506" w:type="pct"/>
          </w:tcPr>
          <w:p w14:paraId="494FBA81" w14:textId="16CC31EF"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1,254,416</w:t>
            </w:r>
          </w:p>
        </w:tc>
        <w:tc>
          <w:tcPr>
            <w:tcW w:w="506" w:type="pct"/>
          </w:tcPr>
          <w:p w14:paraId="12B2BB89" w14:textId="314A3034"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1,032,791</w:t>
            </w:r>
          </w:p>
        </w:tc>
        <w:tc>
          <w:tcPr>
            <w:tcW w:w="680" w:type="pct"/>
          </w:tcPr>
          <w:p w14:paraId="6DD133FC" w14:textId="54F45CB5"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(120,253)</w:t>
            </w:r>
          </w:p>
        </w:tc>
        <w:tc>
          <w:tcPr>
            <w:tcW w:w="680" w:type="pct"/>
          </w:tcPr>
          <w:p w14:paraId="0DC433C0" w14:textId="1C5ADA6D"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(53,092)</w:t>
            </w:r>
          </w:p>
        </w:tc>
        <w:tc>
          <w:tcPr>
            <w:tcW w:w="507" w:type="pct"/>
          </w:tcPr>
          <w:p w14:paraId="3B020120" w14:textId="02781EF1"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1,134,163</w:t>
            </w:r>
          </w:p>
        </w:tc>
        <w:tc>
          <w:tcPr>
            <w:tcW w:w="503" w:type="pct"/>
          </w:tcPr>
          <w:p w14:paraId="56F20130" w14:textId="5BB8932D" w:rsidR="00417B1B" w:rsidRPr="007B4F37" w:rsidRDefault="00ED7884" w:rsidP="0032780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979,698</w:t>
            </w:r>
          </w:p>
        </w:tc>
      </w:tr>
    </w:tbl>
    <w:p w14:paraId="04D863ED" w14:textId="50295CAF" w:rsidR="00ED7884" w:rsidRDefault="00ED7884" w:rsidP="00ED7884">
      <w:pPr>
        <w:pStyle w:val="BodyText"/>
      </w:pPr>
      <w:r>
        <w:t>2019 amounts have been restated as a result of a correction of an error (</w:t>
      </w:r>
      <w:r w:rsidR="00677C4B" w:rsidRPr="00A24CE7">
        <w:t>see</w:t>
      </w:r>
      <w:r w:rsidR="00677C4B">
        <w:t xml:space="preserve"> </w:t>
      </w:r>
      <w:hyperlink w:anchor="Note10text" w:history="1">
        <w:r w:rsidR="00677C4B" w:rsidRPr="00677C4B">
          <w:t>Note 10</w:t>
        </w:r>
      </w:hyperlink>
      <w:r>
        <w:t>).</w:t>
      </w:r>
    </w:p>
    <w:p w14:paraId="7C7E334A" w14:textId="77777777" w:rsidR="00ED7884" w:rsidRPr="0087446E" w:rsidRDefault="00ED7884" w:rsidP="0087446E">
      <w:pPr>
        <w:pStyle w:val="NotesText"/>
      </w:pPr>
      <w:r w:rsidRPr="0087446E">
        <w:t>Note:</w:t>
      </w:r>
    </w:p>
    <w:p w14:paraId="530BB9E1" w14:textId="5979D342" w:rsidR="00ED7884" w:rsidRDefault="00ED7884" w:rsidP="0087446E">
      <w:pPr>
        <w:pStyle w:val="NotesNumberedList"/>
        <w:numPr>
          <w:ilvl w:val="0"/>
          <w:numId w:val="52"/>
        </w:numPr>
      </w:pPr>
      <w:bookmarkStart w:id="333" w:name="Note51note1"/>
      <w:bookmarkEnd w:id="333"/>
      <w:r w:rsidRPr="0087446E">
        <w:t>AASB 16 Leases has been applied for the first time since 1 July 2019.</w:t>
      </w:r>
    </w:p>
    <w:p w14:paraId="2CEC80BA" w14:textId="6F215B2E" w:rsidR="00ED7884" w:rsidRDefault="00ED7884" w:rsidP="00895F89">
      <w:pPr>
        <w:pStyle w:val="BodyText"/>
        <w:keepNext/>
      </w:pPr>
      <w:r w:rsidRPr="00ED7884">
        <w:t>The</w:t>
      </w:r>
      <w:r>
        <w:t xml:space="preserve"> </w:t>
      </w:r>
      <w:r w:rsidRPr="00ED7884">
        <w:t>following</w:t>
      </w:r>
      <w:r>
        <w:t xml:space="preserve"> </w:t>
      </w:r>
      <w:r w:rsidRPr="00ED7884">
        <w:t>tables</w:t>
      </w:r>
      <w:r>
        <w:t xml:space="preserve"> </w:t>
      </w:r>
      <w:r w:rsidRPr="00ED7884">
        <w:t>are</w:t>
      </w:r>
      <w:r>
        <w:t xml:space="preserve"> </w:t>
      </w:r>
      <w:r w:rsidRPr="00ED7884">
        <w:t>subsets</w:t>
      </w:r>
      <w:r>
        <w:t xml:space="preserve"> </w:t>
      </w:r>
      <w:r w:rsidRPr="00ED7884">
        <w:t>of</w:t>
      </w:r>
      <w:r>
        <w:t xml:space="preserve"> </w:t>
      </w:r>
      <w:r w:rsidRPr="00ED7884">
        <w:t>buildings,</w:t>
      </w:r>
      <w:r>
        <w:t xml:space="preserve"> </w:t>
      </w:r>
      <w:r w:rsidRPr="00ED7884">
        <w:t>and</w:t>
      </w:r>
      <w:r>
        <w:t xml:space="preserve"> </w:t>
      </w:r>
      <w:r w:rsidRPr="00ED7884">
        <w:t>plant</w:t>
      </w:r>
      <w:r>
        <w:t xml:space="preserve"> </w:t>
      </w:r>
      <w:r w:rsidRPr="00ED7884">
        <w:t>and</w:t>
      </w:r>
      <w:r>
        <w:t xml:space="preserve"> </w:t>
      </w:r>
      <w:r w:rsidRPr="00ED7884">
        <w:t>equipment</w:t>
      </w:r>
      <w:r>
        <w:t xml:space="preserve"> </w:t>
      </w:r>
      <w:r w:rsidRPr="00ED7884">
        <w:t>by</w:t>
      </w:r>
      <w:r>
        <w:t xml:space="preserve"> </w:t>
      </w:r>
      <w:r w:rsidRPr="00ED7884">
        <w:t>right-of-use</w:t>
      </w:r>
      <w:r>
        <w:t xml:space="preserve"> </w:t>
      </w:r>
      <w:r w:rsidRPr="00ED7884">
        <w:t>assets.</w:t>
      </w:r>
    </w:p>
    <w:p w14:paraId="6DB3ECCB" w14:textId="094C4CDB" w:rsidR="00ED7884" w:rsidRDefault="00ED7884" w:rsidP="0087446E">
      <w:pPr>
        <w:pStyle w:val="Heading4"/>
      </w:pPr>
      <w:bookmarkStart w:id="334" w:name="Note51a"/>
      <w:r w:rsidRPr="0087446E">
        <w:t>5.1(a)</w:t>
      </w:r>
      <w:r w:rsidR="00092296">
        <w:t xml:space="preserve"> </w:t>
      </w:r>
      <w:bookmarkEnd w:id="334"/>
      <w:r w:rsidR="00092296">
        <w:t>T</w:t>
      </w:r>
      <w:r w:rsidRPr="0087446E">
        <w:t>otal right-of-use assets: buildings, plant, equipment and vehicles</w:t>
      </w:r>
    </w:p>
    <w:tbl>
      <w:tblPr>
        <w:tblStyle w:val="AccessibleTableNumerical"/>
        <w:tblW w:w="5000" w:type="pct"/>
        <w:tblLook w:val="04E0" w:firstRow="1" w:lastRow="1" w:firstColumn="1" w:lastColumn="0" w:noHBand="0" w:noVBand="1"/>
      </w:tblPr>
      <w:tblGrid>
        <w:gridCol w:w="4708"/>
        <w:gridCol w:w="1475"/>
        <w:gridCol w:w="1982"/>
        <w:gridCol w:w="1477"/>
      </w:tblGrid>
      <w:tr w:rsidR="00ED7884" w:rsidRPr="00722662" w14:paraId="2B42147A" w14:textId="77777777" w:rsidTr="00ED7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1" w:type="pct"/>
          </w:tcPr>
          <w:p w14:paraId="2E317497" w14:textId="77777777" w:rsidR="00ED7884" w:rsidRPr="00722662" w:rsidRDefault="00ED7884" w:rsidP="00CE6082">
            <w:pPr>
              <w:pStyle w:val="TableText"/>
            </w:pPr>
            <w:bookmarkStart w:id="335" w:name="ColumnTitle_70117"/>
            <w:r>
              <w:t>Item</w:t>
            </w:r>
          </w:p>
        </w:tc>
        <w:tc>
          <w:tcPr>
            <w:tcW w:w="765" w:type="pct"/>
            <w:vAlign w:val="bottom"/>
          </w:tcPr>
          <w:p w14:paraId="3A529567" w14:textId="50495992" w:rsidR="00ED7884" w:rsidRPr="00722662" w:rsidRDefault="00ED7884" w:rsidP="00CE6082">
            <w:pPr>
              <w:pStyle w:val="TableText"/>
              <w:cnfStyle w:val="100000000000" w:firstRow="1" w:lastRow="0" w:firstColumn="0" w:lastColumn="0" w:oddVBand="0" w:evenVBand="0" w:oddHBand="0" w:evenHBand="0" w:firstRowFirstColumn="0" w:firstRowLastColumn="0" w:lastRowFirstColumn="0" w:lastRowLastColumn="0"/>
            </w:pPr>
            <w:r w:rsidRPr="00722662">
              <w:t xml:space="preserve">Gross carrying </w:t>
            </w:r>
            <w:r w:rsidRPr="00722662">
              <w:br/>
              <w:t>amount</w:t>
            </w:r>
            <w:r>
              <w:br/>
            </w:r>
            <w:r w:rsidRPr="00722662">
              <w:t>20</w:t>
            </w:r>
            <w:r>
              <w:t>20</w:t>
            </w:r>
            <w:r w:rsidRPr="00722662">
              <w:t xml:space="preserve"> </w:t>
            </w:r>
          </w:p>
        </w:tc>
        <w:tc>
          <w:tcPr>
            <w:tcW w:w="1028" w:type="pct"/>
            <w:vAlign w:val="bottom"/>
          </w:tcPr>
          <w:p w14:paraId="168F4631" w14:textId="76F51B95" w:rsidR="00ED7884" w:rsidRPr="00722662" w:rsidRDefault="00ED7884" w:rsidP="00CE6082">
            <w:pPr>
              <w:pStyle w:val="TableText"/>
              <w:cnfStyle w:val="100000000000" w:firstRow="1" w:lastRow="0" w:firstColumn="0" w:lastColumn="0" w:oddVBand="0" w:evenVBand="0" w:oddHBand="0" w:evenHBand="0" w:firstRowFirstColumn="0" w:firstRowLastColumn="0" w:lastRowFirstColumn="0" w:lastRowLastColumn="0"/>
            </w:pPr>
            <w:r w:rsidRPr="00722662">
              <w:t xml:space="preserve">Accumulated </w:t>
            </w:r>
            <w:r>
              <w:t>d</w:t>
            </w:r>
            <w:r w:rsidRPr="00722662">
              <w:t>epreciation</w:t>
            </w:r>
            <w:r>
              <w:br/>
              <w:t>2020</w:t>
            </w:r>
          </w:p>
        </w:tc>
        <w:tc>
          <w:tcPr>
            <w:tcW w:w="766" w:type="pct"/>
            <w:vAlign w:val="bottom"/>
          </w:tcPr>
          <w:p w14:paraId="24F92A44" w14:textId="68E19697" w:rsidR="00ED7884" w:rsidRPr="00722662" w:rsidRDefault="00ED7884" w:rsidP="00CE6082">
            <w:pPr>
              <w:pStyle w:val="TableText"/>
              <w:cnfStyle w:val="100000000000" w:firstRow="1" w:lastRow="0" w:firstColumn="0" w:lastColumn="0" w:oddVBand="0" w:evenVBand="0" w:oddHBand="0" w:evenHBand="0" w:firstRowFirstColumn="0" w:firstRowLastColumn="0" w:lastRowFirstColumn="0" w:lastRowLastColumn="0"/>
            </w:pPr>
            <w:r w:rsidRPr="00722662">
              <w:t xml:space="preserve">Net carrying </w:t>
            </w:r>
            <w:r w:rsidRPr="00722662">
              <w:br/>
              <w:t>amount</w:t>
            </w:r>
            <w:r>
              <w:br/>
              <w:t>2020</w:t>
            </w:r>
          </w:p>
        </w:tc>
      </w:tr>
      <w:bookmarkEnd w:id="335"/>
      <w:tr w:rsidR="00ED7884" w:rsidRPr="00722662" w14:paraId="05EC879E" w14:textId="77777777" w:rsidTr="00ED7884">
        <w:tc>
          <w:tcPr>
            <w:cnfStyle w:val="001000000000" w:firstRow="0" w:lastRow="0" w:firstColumn="1" w:lastColumn="0" w:oddVBand="0" w:evenVBand="0" w:oddHBand="0" w:evenHBand="0" w:firstRowFirstColumn="0" w:firstRowLastColumn="0" w:lastRowFirstColumn="0" w:lastRowLastColumn="0"/>
            <w:tcW w:w="2441" w:type="pct"/>
          </w:tcPr>
          <w:p w14:paraId="21185D8B" w14:textId="7010D873" w:rsidR="00ED7884" w:rsidRPr="00722662" w:rsidRDefault="00ED7884" w:rsidP="00CE6082">
            <w:pPr>
              <w:pStyle w:val="TableText"/>
            </w:pPr>
            <w:r>
              <w:t>Buildings at fair value</w:t>
            </w:r>
          </w:p>
        </w:tc>
        <w:tc>
          <w:tcPr>
            <w:tcW w:w="765" w:type="pct"/>
          </w:tcPr>
          <w:p w14:paraId="3EC97370" w14:textId="61164160"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169,631</w:t>
            </w:r>
          </w:p>
        </w:tc>
        <w:tc>
          <w:tcPr>
            <w:tcW w:w="1028" w:type="pct"/>
          </w:tcPr>
          <w:p w14:paraId="2FFA3B16" w14:textId="7172A8EA"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(62,270)</w:t>
            </w:r>
          </w:p>
        </w:tc>
        <w:tc>
          <w:tcPr>
            <w:tcW w:w="766" w:type="pct"/>
          </w:tcPr>
          <w:p w14:paraId="3EE696B9" w14:textId="22074E10"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107,361</w:t>
            </w:r>
          </w:p>
        </w:tc>
      </w:tr>
      <w:tr w:rsidR="00ED7884" w:rsidRPr="00722662" w14:paraId="1A4392AD" w14:textId="77777777" w:rsidTr="00ED7884">
        <w:tc>
          <w:tcPr>
            <w:cnfStyle w:val="001000000000" w:firstRow="0" w:lastRow="0" w:firstColumn="1" w:lastColumn="0" w:oddVBand="0" w:evenVBand="0" w:oddHBand="0" w:evenHBand="0" w:firstRowFirstColumn="0" w:firstRowLastColumn="0" w:lastRowFirstColumn="0" w:lastRowLastColumn="0"/>
            <w:tcW w:w="2441" w:type="pct"/>
          </w:tcPr>
          <w:p w14:paraId="5E1B6175" w14:textId="51FB03D7" w:rsidR="00ED7884" w:rsidRPr="00722662" w:rsidRDefault="00ED7884" w:rsidP="00CE6082">
            <w:pPr>
              <w:pStyle w:val="TableText"/>
            </w:pPr>
            <w:r>
              <w:t>Property, plant and equipment</w:t>
            </w:r>
          </w:p>
        </w:tc>
        <w:tc>
          <w:tcPr>
            <w:tcW w:w="765" w:type="pct"/>
          </w:tcPr>
          <w:p w14:paraId="5B76B406" w14:textId="6E28DAD2"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14,212</w:t>
            </w:r>
          </w:p>
        </w:tc>
        <w:tc>
          <w:tcPr>
            <w:tcW w:w="1028" w:type="pct"/>
          </w:tcPr>
          <w:p w14:paraId="382DCACB" w14:textId="452CA2A9"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(3,994)</w:t>
            </w:r>
          </w:p>
        </w:tc>
        <w:tc>
          <w:tcPr>
            <w:tcW w:w="766" w:type="pct"/>
          </w:tcPr>
          <w:p w14:paraId="02B3DF42" w14:textId="6EA29A6C"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10,218</w:t>
            </w:r>
          </w:p>
        </w:tc>
      </w:tr>
      <w:tr w:rsidR="00ED7884" w:rsidRPr="007B4F37" w14:paraId="1D0FDF26" w14:textId="77777777" w:rsidTr="00ED78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14:paraId="4CACE431" w14:textId="726E4622" w:rsidR="00ED7884" w:rsidRPr="007B4F37" w:rsidRDefault="00ED7884" w:rsidP="00CE6082">
            <w:pPr>
              <w:pStyle w:val="TableText"/>
              <w:rPr>
                <w:rStyle w:val="Bold"/>
              </w:rPr>
            </w:pPr>
            <w:r>
              <w:rPr>
                <w:rStyle w:val="Bold"/>
              </w:rPr>
              <w:t>Net carrying amount</w:t>
            </w:r>
          </w:p>
        </w:tc>
        <w:tc>
          <w:tcPr>
            <w:tcW w:w="765" w:type="pct"/>
          </w:tcPr>
          <w:p w14:paraId="1FBB0A70" w14:textId="21CF8B89" w:rsidR="00ED7884" w:rsidRPr="007B4F37" w:rsidRDefault="00ED7884" w:rsidP="00CE608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183,842</w:t>
            </w:r>
          </w:p>
        </w:tc>
        <w:tc>
          <w:tcPr>
            <w:tcW w:w="1028" w:type="pct"/>
          </w:tcPr>
          <w:p w14:paraId="4DCC87A4" w14:textId="66A5397E" w:rsidR="00ED7884" w:rsidRPr="007B4F37" w:rsidRDefault="00ED7884" w:rsidP="00CE608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(66,264)</w:t>
            </w:r>
          </w:p>
        </w:tc>
        <w:tc>
          <w:tcPr>
            <w:tcW w:w="766" w:type="pct"/>
          </w:tcPr>
          <w:p w14:paraId="55FEBD34" w14:textId="458BEF95" w:rsidR="00ED7884" w:rsidRPr="007B4F37" w:rsidRDefault="00ED7884" w:rsidP="00CE608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117,579</w:t>
            </w:r>
          </w:p>
        </w:tc>
      </w:tr>
    </w:tbl>
    <w:p w14:paraId="62EBDB64" w14:textId="24730C82" w:rsidR="00ED7884" w:rsidRPr="0087446E" w:rsidRDefault="00ED7884" w:rsidP="009C456B">
      <w:pPr>
        <w:pStyle w:val="TableText"/>
      </w:pPr>
    </w:p>
    <w:tbl>
      <w:tblPr>
        <w:tblStyle w:val="AccessibleTableNumerical"/>
        <w:tblW w:w="5000" w:type="pct"/>
        <w:tblLook w:val="04E0" w:firstRow="1" w:lastRow="1" w:firstColumn="1" w:lastColumn="0" w:noHBand="0" w:noVBand="1"/>
      </w:tblPr>
      <w:tblGrid>
        <w:gridCol w:w="5560"/>
        <w:gridCol w:w="1741"/>
        <w:gridCol w:w="2341"/>
      </w:tblGrid>
      <w:tr w:rsidR="00ED7884" w:rsidRPr="00722662" w14:paraId="3BC080E3" w14:textId="77777777" w:rsidTr="00ED78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3" w:type="pct"/>
          </w:tcPr>
          <w:p w14:paraId="13A0FFF9" w14:textId="77777777" w:rsidR="00ED7884" w:rsidRPr="00722662" w:rsidRDefault="00ED7884" w:rsidP="00CE6082">
            <w:pPr>
              <w:pStyle w:val="TableText"/>
            </w:pPr>
            <w:bookmarkStart w:id="336" w:name="ColumnTitle_71117"/>
            <w:r>
              <w:t>Item</w:t>
            </w:r>
          </w:p>
        </w:tc>
        <w:tc>
          <w:tcPr>
            <w:tcW w:w="903" w:type="pct"/>
            <w:vAlign w:val="bottom"/>
          </w:tcPr>
          <w:p w14:paraId="2288AAD5" w14:textId="2048B24F" w:rsidR="00ED7884" w:rsidRPr="00722662" w:rsidRDefault="00ED7884" w:rsidP="00CE6082">
            <w:pPr>
              <w:pStyle w:val="TableText"/>
              <w:cnfStyle w:val="100000000000" w:firstRow="1" w:lastRow="0" w:firstColumn="0" w:lastColumn="0" w:oddVBand="0" w:evenVBand="0" w:oddHBand="0" w:evenHBand="0" w:firstRowFirstColumn="0" w:firstRowLastColumn="0" w:lastRowFirstColumn="0" w:lastRowLastColumn="0"/>
            </w:pPr>
            <w:r>
              <w:t xml:space="preserve">Buildings at </w:t>
            </w:r>
            <w:r w:rsidR="002360AC">
              <w:br/>
            </w:r>
            <w:r>
              <w:t>fair value</w:t>
            </w:r>
          </w:p>
        </w:tc>
        <w:tc>
          <w:tcPr>
            <w:tcW w:w="1214" w:type="pct"/>
            <w:vAlign w:val="bottom"/>
          </w:tcPr>
          <w:p w14:paraId="700E69C5" w14:textId="16E54654" w:rsidR="00ED7884" w:rsidRPr="00722662" w:rsidRDefault="00ED7884" w:rsidP="00CE6082">
            <w:pPr>
              <w:pStyle w:val="TableText"/>
              <w:cnfStyle w:val="100000000000" w:firstRow="1" w:lastRow="0" w:firstColumn="0" w:lastColumn="0" w:oddVBand="0" w:evenVBand="0" w:oddHBand="0" w:evenHBand="0" w:firstRowFirstColumn="0" w:firstRowLastColumn="0" w:lastRowFirstColumn="0" w:lastRowLastColumn="0"/>
            </w:pPr>
            <w:r>
              <w:t>Plant, equipment and vehicles at fair value</w:t>
            </w:r>
          </w:p>
        </w:tc>
      </w:tr>
      <w:bookmarkEnd w:id="336"/>
      <w:tr w:rsidR="00ED7884" w:rsidRPr="00722662" w14:paraId="2ED5105E" w14:textId="77777777" w:rsidTr="00ED7884">
        <w:tc>
          <w:tcPr>
            <w:cnfStyle w:val="001000000000" w:firstRow="0" w:lastRow="0" w:firstColumn="1" w:lastColumn="0" w:oddVBand="0" w:evenVBand="0" w:oddHBand="0" w:evenHBand="0" w:firstRowFirstColumn="0" w:firstRowLastColumn="0" w:lastRowFirstColumn="0" w:lastRowLastColumn="0"/>
            <w:tcW w:w="2883" w:type="pct"/>
          </w:tcPr>
          <w:p w14:paraId="631D5FF3" w14:textId="451463E6" w:rsidR="00ED7884" w:rsidRPr="00722662" w:rsidRDefault="00ED7884" w:rsidP="00CE6082">
            <w:pPr>
              <w:pStyle w:val="TableText"/>
            </w:pPr>
            <w:r>
              <w:t>Opening balance 1 July 2019</w:t>
            </w:r>
            <w:hyperlink w:anchor="Note51anote1" w:history="1">
              <w:r w:rsidR="0087446E" w:rsidRPr="0087446E">
                <w:rPr>
                  <w:vertAlign w:val="superscript"/>
                </w:rPr>
                <w:t>(1)</w:t>
              </w:r>
            </w:hyperlink>
          </w:p>
        </w:tc>
        <w:tc>
          <w:tcPr>
            <w:tcW w:w="903" w:type="pct"/>
          </w:tcPr>
          <w:p w14:paraId="78F6E529" w14:textId="0094C7F4"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128,164</w:t>
            </w:r>
          </w:p>
        </w:tc>
        <w:tc>
          <w:tcPr>
            <w:tcW w:w="1214" w:type="pct"/>
          </w:tcPr>
          <w:p w14:paraId="32C247B6" w14:textId="5E27A772"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9,875</w:t>
            </w:r>
          </w:p>
        </w:tc>
      </w:tr>
      <w:tr w:rsidR="00ED7884" w:rsidRPr="00722662" w14:paraId="3948E33F" w14:textId="77777777" w:rsidTr="00ED7884">
        <w:tc>
          <w:tcPr>
            <w:cnfStyle w:val="001000000000" w:firstRow="0" w:lastRow="0" w:firstColumn="1" w:lastColumn="0" w:oddVBand="0" w:evenVBand="0" w:oddHBand="0" w:evenHBand="0" w:firstRowFirstColumn="0" w:firstRowLastColumn="0" w:lastRowFirstColumn="0" w:lastRowLastColumn="0"/>
            <w:tcW w:w="2883" w:type="pct"/>
          </w:tcPr>
          <w:p w14:paraId="3EE1B50C" w14:textId="7BAA5B28" w:rsidR="00ED7884" w:rsidRPr="00722662" w:rsidRDefault="00ED7884" w:rsidP="00CE6082">
            <w:pPr>
              <w:pStyle w:val="TableText"/>
            </w:pPr>
            <w:r>
              <w:t>Additions</w:t>
            </w:r>
          </w:p>
        </w:tc>
        <w:tc>
          <w:tcPr>
            <w:tcW w:w="903" w:type="pct"/>
          </w:tcPr>
          <w:p w14:paraId="73EB7176" w14:textId="48CD7C2B"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9,300</w:t>
            </w:r>
          </w:p>
        </w:tc>
        <w:tc>
          <w:tcPr>
            <w:tcW w:w="1214" w:type="pct"/>
          </w:tcPr>
          <w:p w14:paraId="2A6CAF7C" w14:textId="2B6314F9" w:rsidR="00ED7884" w:rsidRPr="00722662"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5,161</w:t>
            </w:r>
          </w:p>
        </w:tc>
      </w:tr>
      <w:tr w:rsidR="00ED7884" w:rsidRPr="00722662" w14:paraId="1F02BEB0" w14:textId="77777777" w:rsidTr="00ED7884">
        <w:tc>
          <w:tcPr>
            <w:cnfStyle w:val="001000000000" w:firstRow="0" w:lastRow="0" w:firstColumn="1" w:lastColumn="0" w:oddVBand="0" w:evenVBand="0" w:oddHBand="0" w:evenHBand="0" w:firstRowFirstColumn="0" w:firstRowLastColumn="0" w:lastRowFirstColumn="0" w:lastRowLastColumn="0"/>
            <w:tcW w:w="2883" w:type="pct"/>
          </w:tcPr>
          <w:p w14:paraId="04DC5F6C" w14:textId="2D29FC35" w:rsidR="00ED7884" w:rsidRDefault="00ED7884" w:rsidP="00CE6082">
            <w:pPr>
              <w:pStyle w:val="TableText"/>
            </w:pPr>
            <w:r>
              <w:t>Disposals</w:t>
            </w:r>
          </w:p>
        </w:tc>
        <w:tc>
          <w:tcPr>
            <w:tcW w:w="903" w:type="pct"/>
          </w:tcPr>
          <w:p w14:paraId="154553F4" w14:textId="4B303266"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N/A</w:t>
            </w:r>
          </w:p>
        </w:tc>
        <w:tc>
          <w:tcPr>
            <w:tcW w:w="1214" w:type="pct"/>
          </w:tcPr>
          <w:p w14:paraId="1FB28771" w14:textId="68DBF5D8"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(2,253)</w:t>
            </w:r>
          </w:p>
        </w:tc>
      </w:tr>
      <w:tr w:rsidR="00ED7884" w:rsidRPr="00722662" w14:paraId="403AC1DF" w14:textId="77777777" w:rsidTr="00ED7884">
        <w:tc>
          <w:tcPr>
            <w:cnfStyle w:val="001000000000" w:firstRow="0" w:lastRow="0" w:firstColumn="1" w:lastColumn="0" w:oddVBand="0" w:evenVBand="0" w:oddHBand="0" w:evenHBand="0" w:firstRowFirstColumn="0" w:firstRowLastColumn="0" w:lastRowFirstColumn="0" w:lastRowLastColumn="0"/>
            <w:tcW w:w="2883" w:type="pct"/>
          </w:tcPr>
          <w:p w14:paraId="0F95F26A" w14:textId="4CC4E9F3" w:rsidR="00ED7884" w:rsidRDefault="00ED7884" w:rsidP="00CE6082">
            <w:pPr>
              <w:pStyle w:val="TableText"/>
            </w:pPr>
            <w:r>
              <w:t>Depreciation</w:t>
            </w:r>
          </w:p>
        </w:tc>
        <w:tc>
          <w:tcPr>
            <w:tcW w:w="903" w:type="pct"/>
          </w:tcPr>
          <w:p w14:paraId="06819890" w14:textId="02845FBD"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(30,104)</w:t>
            </w:r>
          </w:p>
        </w:tc>
        <w:tc>
          <w:tcPr>
            <w:tcW w:w="1214" w:type="pct"/>
          </w:tcPr>
          <w:p w14:paraId="34C68DCD" w14:textId="73EB7D5B"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(2,388)</w:t>
            </w:r>
          </w:p>
        </w:tc>
      </w:tr>
      <w:tr w:rsidR="00ED7884" w:rsidRPr="00722662" w14:paraId="49C96EA8" w14:textId="77777777" w:rsidTr="00ED7884">
        <w:tc>
          <w:tcPr>
            <w:cnfStyle w:val="001000000000" w:firstRow="0" w:lastRow="0" w:firstColumn="1" w:lastColumn="0" w:oddVBand="0" w:evenVBand="0" w:oddHBand="0" w:evenHBand="0" w:firstRowFirstColumn="0" w:firstRowLastColumn="0" w:lastRowFirstColumn="0" w:lastRowLastColumn="0"/>
            <w:tcW w:w="2883" w:type="pct"/>
          </w:tcPr>
          <w:p w14:paraId="06F77A85" w14:textId="6903C898" w:rsidR="00ED7884" w:rsidRDefault="00ED7884" w:rsidP="00CE6082">
            <w:pPr>
              <w:pStyle w:val="TableText"/>
            </w:pPr>
            <w:r>
              <w:t>Transfer to disposal group held for sale</w:t>
            </w:r>
          </w:p>
        </w:tc>
        <w:tc>
          <w:tcPr>
            <w:tcW w:w="903" w:type="pct"/>
          </w:tcPr>
          <w:p w14:paraId="5F23FFDB" w14:textId="69B648C8"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N/A</w:t>
            </w:r>
          </w:p>
        </w:tc>
        <w:tc>
          <w:tcPr>
            <w:tcW w:w="1214" w:type="pct"/>
          </w:tcPr>
          <w:p w14:paraId="031B4F9A" w14:textId="16CC8CE5" w:rsidR="00ED7884" w:rsidRDefault="00ED7884" w:rsidP="00CE6082">
            <w:pPr>
              <w:pStyle w:val="TableText"/>
              <w:cnfStyle w:val="000000000000" w:firstRow="0" w:lastRow="0" w:firstColumn="0" w:lastColumn="0" w:oddVBand="0" w:evenVBand="0" w:oddHBand="0" w:evenHBand="0" w:firstRowFirstColumn="0" w:firstRowLastColumn="0" w:lastRowFirstColumn="0" w:lastRowLastColumn="0"/>
            </w:pPr>
            <w:r>
              <w:t>(178)</w:t>
            </w:r>
          </w:p>
        </w:tc>
      </w:tr>
      <w:tr w:rsidR="00ED7884" w:rsidRPr="007B4F37" w14:paraId="06B06DF6" w14:textId="77777777" w:rsidTr="00ED78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tcPr>
          <w:p w14:paraId="3C42BFC7" w14:textId="23C6BA07" w:rsidR="00ED7884" w:rsidRPr="007B4F37" w:rsidRDefault="00ED7884" w:rsidP="00CE6082">
            <w:pPr>
              <w:pStyle w:val="TableText"/>
              <w:rPr>
                <w:rStyle w:val="Bold"/>
              </w:rPr>
            </w:pPr>
            <w:r>
              <w:rPr>
                <w:rStyle w:val="Bold"/>
              </w:rPr>
              <w:t xml:space="preserve">Closing balance </w:t>
            </w:r>
            <w:proofErr w:type="gramStart"/>
            <w:r>
              <w:rPr>
                <w:rStyle w:val="Bold"/>
              </w:rPr>
              <w:t>at</w:t>
            </w:r>
            <w:proofErr w:type="gramEnd"/>
            <w:r>
              <w:rPr>
                <w:rStyle w:val="Bold"/>
              </w:rPr>
              <w:t xml:space="preserve"> 30 June 2020</w:t>
            </w:r>
          </w:p>
        </w:tc>
        <w:tc>
          <w:tcPr>
            <w:tcW w:w="903" w:type="pct"/>
          </w:tcPr>
          <w:p w14:paraId="67C4119A" w14:textId="7CDD9684" w:rsidR="00ED7884" w:rsidRPr="007B4F37" w:rsidRDefault="00ED7884" w:rsidP="00CE608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107,361</w:t>
            </w:r>
          </w:p>
        </w:tc>
        <w:tc>
          <w:tcPr>
            <w:tcW w:w="1214" w:type="pct"/>
          </w:tcPr>
          <w:p w14:paraId="67E438C1" w14:textId="4C8B9460" w:rsidR="00ED7884" w:rsidRPr="007B4F37" w:rsidRDefault="00ED7884" w:rsidP="00CE608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10,218</w:t>
            </w:r>
          </w:p>
        </w:tc>
      </w:tr>
    </w:tbl>
    <w:p w14:paraId="6CB3A7D9" w14:textId="26640BFA" w:rsidR="00ED7884" w:rsidRPr="00ED7884" w:rsidRDefault="00ED7884" w:rsidP="0087446E">
      <w:pPr>
        <w:pStyle w:val="NotesNumberedList"/>
        <w:numPr>
          <w:ilvl w:val="0"/>
          <w:numId w:val="53"/>
        </w:numPr>
      </w:pPr>
      <w:bookmarkStart w:id="337" w:name="Note51anote1"/>
      <w:bookmarkEnd w:id="337"/>
      <w:r w:rsidRPr="0087446E">
        <w:t>This balance represents the initial recognition of right-of-use assets recorded on the balance</w:t>
      </w:r>
      <w:r>
        <w:t xml:space="preserve"> sheet on 1 July 2019 along with the transfer from finance lease assets (recognised under AASB 117 </w:t>
      </w:r>
      <w:proofErr w:type="gramStart"/>
      <w:r>
        <w:t>at</w:t>
      </w:r>
      <w:proofErr w:type="gramEnd"/>
      <w:r>
        <w:t xml:space="preserve"> 30 June 2019) to right-of-use assets (recognised under AASB 16 at 1 July 2019).</w:t>
      </w:r>
    </w:p>
    <w:p w14:paraId="7ED7EC79" w14:textId="38E509AA" w:rsidR="00417B1B" w:rsidRDefault="00417B1B" w:rsidP="006D2BA8">
      <w:pPr>
        <w:pStyle w:val="Heading5"/>
      </w:pPr>
      <w:r>
        <w:t>Initial Recognition</w:t>
      </w:r>
      <w:r w:rsidR="008551D1">
        <w:t>:</w:t>
      </w:r>
    </w:p>
    <w:p w14:paraId="0B9364C7" w14:textId="024EF1E8" w:rsidR="00ED7884" w:rsidRDefault="00ED7884" w:rsidP="00ED7884">
      <w:pPr>
        <w:pStyle w:val="BodyText"/>
      </w:pPr>
      <w:r>
        <w:t>Initial recognition: items of property, plant and equipment are measured initially at cost and subsequently revalued at fair value less accumulated depreciation and impairment. Where an asset is acquired for no or nominal cost, a fair value is determined at the date of acquisition. Assets transferred as part of a machinery of government change are transferred at their carrying amount.</w:t>
      </w:r>
    </w:p>
    <w:p w14:paraId="12173326" w14:textId="0650148C" w:rsidR="00ED7884" w:rsidRDefault="00ED7884" w:rsidP="00ED7884">
      <w:pPr>
        <w:pStyle w:val="BodyText"/>
      </w:pPr>
      <w:r>
        <w:t>The cost of constructed non-financial physical assets includes the cost of all materials used in construction, direct labour on the project and an appropriate proportion of variable and fixed overheads.</w:t>
      </w:r>
    </w:p>
    <w:p w14:paraId="4F3210A5" w14:textId="52954B6F" w:rsidR="00ED7884" w:rsidRDefault="00ED7884" w:rsidP="00ED7884">
      <w:pPr>
        <w:pStyle w:val="BodyText"/>
      </w:pPr>
      <w:r>
        <w:t>The cost of leasehold improvements is capitalised and depreciated over the shorter of the remaining term of the lease or its estimated useful lives.</w:t>
      </w:r>
    </w:p>
    <w:p w14:paraId="5955DC07" w14:textId="5C7CC02B" w:rsidR="00ED7884" w:rsidRDefault="00ED7884" w:rsidP="006D2BA8">
      <w:pPr>
        <w:pStyle w:val="Heading5"/>
      </w:pPr>
      <w:r w:rsidRPr="008551D1">
        <w:t>Right-of-use asset acquired by lessees</w:t>
      </w:r>
      <w:r w:rsidR="008551D1">
        <w:t xml:space="preserve"> </w:t>
      </w:r>
      <w:r>
        <w:t>(Under AASB 16 – Leases from 1 July 2019) – Initial measurement</w:t>
      </w:r>
      <w:r w:rsidR="008551D1">
        <w:t>:</w:t>
      </w:r>
    </w:p>
    <w:p w14:paraId="0D197C33" w14:textId="4869267A" w:rsidR="00ED7884" w:rsidRDefault="009B1462" w:rsidP="00ED7884">
      <w:pPr>
        <w:pStyle w:val="BodyText"/>
      </w:pPr>
      <w:r>
        <w:t>Court Services Victoria</w:t>
      </w:r>
      <w:r w:rsidR="00ED7884">
        <w:t xml:space="preserve"> recognised a right-of-use asset and a lease liability at the lease commencement date. The right-of-use asset is initially measure at cost which comprises the initial amount of the lease liability adjusted for:</w:t>
      </w:r>
    </w:p>
    <w:p w14:paraId="16653123" w14:textId="6FEE1A74" w:rsidR="00ED7884" w:rsidRDefault="00ED7884" w:rsidP="00CE6082">
      <w:pPr>
        <w:pStyle w:val="ListBullet"/>
      </w:pPr>
      <w:r>
        <w:t>any lease payments made at or before the commencement date; plus</w:t>
      </w:r>
    </w:p>
    <w:p w14:paraId="431AD7EB" w14:textId="631B0FF3" w:rsidR="00ED7884" w:rsidRDefault="00ED7884" w:rsidP="008551D1">
      <w:pPr>
        <w:pStyle w:val="ListBullet"/>
      </w:pPr>
      <w:r>
        <w:t>any initial direct costs incurred; and</w:t>
      </w:r>
    </w:p>
    <w:p w14:paraId="4E0F9C57" w14:textId="528B0933" w:rsidR="00ED7884" w:rsidRDefault="00ED7884" w:rsidP="00CE6082">
      <w:pPr>
        <w:pStyle w:val="ListBullet"/>
      </w:pPr>
      <w:r>
        <w:t>an estimate of costs to dismantle and remove the underlying asset or to restore the underlying asset or the site on which it is located, less any lease incentive received.</w:t>
      </w:r>
    </w:p>
    <w:p w14:paraId="3258C5F4" w14:textId="77777777" w:rsidR="008551D1" w:rsidRDefault="00ED7884" w:rsidP="006D2BA8">
      <w:pPr>
        <w:pStyle w:val="Heading5"/>
      </w:pPr>
      <w:r>
        <w:t>Subsequent measurement:</w:t>
      </w:r>
    </w:p>
    <w:p w14:paraId="470D1988" w14:textId="77777777" w:rsidR="008551D1" w:rsidRDefault="008551D1" w:rsidP="00ED7884">
      <w:pPr>
        <w:pStyle w:val="BodyText"/>
      </w:pPr>
      <w:r>
        <w:t>P</w:t>
      </w:r>
      <w:r w:rsidR="00ED7884">
        <w:t>roperty, plant and equipment (PPE) as well as right-of-use assets under leases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and is summarised below by asset category.</w:t>
      </w:r>
    </w:p>
    <w:p w14:paraId="709BF11F" w14:textId="757C927F" w:rsidR="00ED7884" w:rsidRDefault="00ED7884" w:rsidP="006D2BA8">
      <w:pPr>
        <w:pStyle w:val="Heading5"/>
      </w:pPr>
      <w:r>
        <w:t>Right-of-use asset – subsequent measurement:</w:t>
      </w:r>
    </w:p>
    <w:p w14:paraId="6388A379" w14:textId="6B167A89" w:rsidR="00ED7884" w:rsidRDefault="009B1462" w:rsidP="00ED7884">
      <w:pPr>
        <w:pStyle w:val="BodyText"/>
      </w:pPr>
      <w:r>
        <w:t>Court Services Victoria</w:t>
      </w:r>
      <w:r w:rsidR="00ED7884">
        <w:t xml:space="preserve"> depreciates the ROU assets on a straight-line basis from the lease commencement date to the earlier of the end of the useful life of the ROU asset and the end of the lease term.</w:t>
      </w:r>
    </w:p>
    <w:p w14:paraId="2B814F75" w14:textId="425BCEF0" w:rsidR="00ED7884" w:rsidRDefault="00ED7884" w:rsidP="00ED7884">
      <w:pPr>
        <w:pStyle w:val="BodyText"/>
      </w:pPr>
      <w:r>
        <w:t>In addition, the right-of-use asset is periodically reduced by impairment losses, if any and adjusted for certain remeasurements of the lease liability.</w:t>
      </w:r>
    </w:p>
    <w:p w14:paraId="6EE7651A" w14:textId="77777777" w:rsidR="008551D1" w:rsidRDefault="008551D1" w:rsidP="006D2BA8">
      <w:pPr>
        <w:pStyle w:val="Heading5"/>
      </w:pPr>
      <w:r>
        <w:t>Non-specialised buildings and artworks:</w:t>
      </w:r>
    </w:p>
    <w:p w14:paraId="5D987FBD" w14:textId="5DA202E5" w:rsidR="008551D1" w:rsidRDefault="008551D1" w:rsidP="008551D1">
      <w:pPr>
        <w:pStyle w:val="BodyText"/>
      </w:pPr>
      <w:r>
        <w:t>These assets are valued using the market approach, whereby assets are compared to recent comparable sales or sales of comparable assets that are considered to have nominal value.</w:t>
      </w:r>
    </w:p>
    <w:p w14:paraId="3E696C32" w14:textId="2B5602DA" w:rsidR="008551D1" w:rsidRDefault="008551D1" w:rsidP="006D2BA8">
      <w:pPr>
        <w:pStyle w:val="Heading5"/>
      </w:pPr>
      <w:r>
        <w:t>Specialised land and specialised buildings:</w:t>
      </w:r>
    </w:p>
    <w:p w14:paraId="33E7B73F" w14:textId="77777777" w:rsidR="008551D1" w:rsidRDefault="008551D1" w:rsidP="008551D1">
      <w:pPr>
        <w:pStyle w:val="BodyText"/>
      </w:pPr>
      <w:r>
        <w:t>The market approach is also used for specialised land and buildings, although it is adjusted for the community service obligation to reflect the specialised nature of the land being valued.</w:t>
      </w:r>
    </w:p>
    <w:p w14:paraId="5F151042" w14:textId="2E2A9D77" w:rsidR="008551D1" w:rsidRDefault="008551D1" w:rsidP="008551D1">
      <w:pPr>
        <w:pStyle w:val="BodyText"/>
      </w:pPr>
      <w:r>
        <w:t xml:space="preserve">The community service obligation adjustment reflects the valuer’s assessment of the impact of restrictions associated with an asset to the extent that these restrictions are also equally applicable to market participants. </w:t>
      </w:r>
    </w:p>
    <w:p w14:paraId="5D8B8A3D" w14:textId="231F1769" w:rsidR="008551D1" w:rsidRDefault="008551D1" w:rsidP="008551D1">
      <w:pPr>
        <w:pStyle w:val="BodyText"/>
      </w:pPr>
      <w:r>
        <w:t xml:space="preserve">The current replacement cost method is used to value </w:t>
      </w:r>
      <w:r w:rsidR="009B1462">
        <w:t>Court Services Victoria</w:t>
      </w:r>
      <w:r>
        <w:t>’s specialised buildings, adjusting for the associated depreciation.</w:t>
      </w:r>
    </w:p>
    <w:p w14:paraId="3D78F783" w14:textId="6067B725" w:rsidR="008551D1" w:rsidRDefault="008551D1" w:rsidP="008551D1">
      <w:pPr>
        <w:pStyle w:val="BodyText"/>
      </w:pPr>
      <w:r>
        <w:t>Heritage assets and infrastructure are valued using the current replacement cost method. This cost generally represents the replacement cost of the building/component after applying depreciation rates on a useful life basis. However, for some heritage and iconic assets, the cost may be the reproduction cost rather than the replacement cost if those assets’ service potential could only be replaced by reproducing them with the same materials.</w:t>
      </w:r>
    </w:p>
    <w:p w14:paraId="58469F56" w14:textId="5FFA890A" w:rsidR="008551D1" w:rsidRDefault="008551D1" w:rsidP="008551D1">
      <w:pPr>
        <w:pStyle w:val="BodyText"/>
      </w:pPr>
      <w:r>
        <w:t xml:space="preserve">Vehicles are valued using the current replacement cost method. </w:t>
      </w:r>
      <w:r w:rsidR="009B1462">
        <w:t>Court Services Victoria</w:t>
      </w:r>
      <w:r>
        <w:t xml:space="preserve"> acquires new vehicles and at times disposes of them before the end of their economic life. </w:t>
      </w:r>
      <w:proofErr w:type="gramStart"/>
      <w:r>
        <w:t>The process of acquisition,</w:t>
      </w:r>
      <w:proofErr w:type="gramEnd"/>
      <w:r>
        <w:t xml:space="preserve"> use and disposal in the market of vehicles is managed by </w:t>
      </w:r>
      <w:proofErr w:type="spellStart"/>
      <w:r>
        <w:t>VicFleet</w:t>
      </w:r>
      <w:proofErr w:type="spellEnd"/>
      <w:r>
        <w:t xml:space="preserve"> who set relevant depreciation rates during use to reflect the utilisation of the vehicles.</w:t>
      </w:r>
    </w:p>
    <w:p w14:paraId="2792A672" w14:textId="6B8AC000" w:rsidR="008551D1" w:rsidRDefault="008551D1" w:rsidP="008551D1">
      <w:pPr>
        <w:pStyle w:val="BodyText"/>
      </w:pPr>
      <w:r>
        <w:t>Fair value for plant and equipment that are specialised in use (such that it is rarely sold other than as part of a going concern) is determined using the current replacement cost method.</w:t>
      </w:r>
    </w:p>
    <w:p w14:paraId="0705941A" w14:textId="7B89B65C" w:rsidR="00ED7884" w:rsidRDefault="00C9062D" w:rsidP="008551D1">
      <w:pPr>
        <w:pStyle w:val="BodyText"/>
      </w:pPr>
      <w:hyperlink w:anchor="Note83" w:history="1">
        <w:r w:rsidR="00B85F52" w:rsidRPr="00B85F52">
          <w:t>Note 8.3</w:t>
        </w:r>
      </w:hyperlink>
      <w:r w:rsidR="008551D1">
        <w:t xml:space="preserve"> includes additional information in connection with fair value determination of property, plant and equipment.</w:t>
      </w:r>
    </w:p>
    <w:p w14:paraId="1B71ED6E" w14:textId="5B189151" w:rsidR="00417B1B" w:rsidRDefault="00417B1B" w:rsidP="009C456B">
      <w:pPr>
        <w:pStyle w:val="Heading4"/>
        <w:pageBreakBefore/>
      </w:pPr>
      <w:bookmarkStart w:id="338" w:name="Section511"/>
      <w:bookmarkStart w:id="339" w:name="Note511note"/>
      <w:r w:rsidRPr="00722662">
        <w:t>5.1.1</w:t>
      </w:r>
      <w:bookmarkEnd w:id="338"/>
      <w:bookmarkEnd w:id="339"/>
      <w:r w:rsidRPr="00722662">
        <w:tab/>
        <w:t>Depr</w:t>
      </w:r>
      <w:r w:rsidR="007B4F37">
        <w:t xml:space="preserve">eciation </w:t>
      </w:r>
      <w:r w:rsidR="00392A30">
        <w:t>and</w:t>
      </w:r>
      <w:r w:rsidR="007B4F37">
        <w:t xml:space="preserve"> Amortisation Charge f</w:t>
      </w:r>
      <w:r w:rsidRPr="00722662">
        <w:t xml:space="preserve">or </w:t>
      </w:r>
      <w:r w:rsidR="00E952AB">
        <w:t>the</w:t>
      </w:r>
      <w:r w:rsidRPr="00722662">
        <w:t xml:space="preserve"> Period</w:t>
      </w:r>
    </w:p>
    <w:tbl>
      <w:tblPr>
        <w:tblStyle w:val="AccessibleTableNumerical"/>
        <w:tblW w:w="5000" w:type="pct"/>
        <w:tblLook w:val="04E0" w:firstRow="1" w:lastRow="1" w:firstColumn="1" w:lastColumn="0" w:noHBand="0" w:noVBand="1"/>
      </w:tblPr>
      <w:tblGrid>
        <w:gridCol w:w="6061"/>
        <w:gridCol w:w="1791"/>
        <w:gridCol w:w="1790"/>
      </w:tblGrid>
      <w:tr w:rsidR="00417B1B" w:rsidRPr="00914B0B" w14:paraId="12B748E3" w14:textId="77777777" w:rsidTr="00392A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3" w:type="pct"/>
          </w:tcPr>
          <w:p w14:paraId="7CAE43B6" w14:textId="7624DA7C" w:rsidR="00417B1B" w:rsidRPr="00914B0B" w:rsidRDefault="00AC0BBF" w:rsidP="00914B0B">
            <w:pPr>
              <w:pStyle w:val="TableText"/>
            </w:pPr>
            <w:bookmarkStart w:id="340" w:name="ColumnTitle_65"/>
            <w:r w:rsidRPr="00914B0B">
              <w:t>Item</w:t>
            </w:r>
          </w:p>
        </w:tc>
        <w:tc>
          <w:tcPr>
            <w:tcW w:w="929" w:type="pct"/>
            <w:vAlign w:val="bottom"/>
          </w:tcPr>
          <w:p w14:paraId="4468AA82" w14:textId="1D2C4418" w:rsidR="00417B1B" w:rsidRPr="00914B0B"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914B0B">
              <w:t>20</w:t>
            </w:r>
            <w:r w:rsidR="00392A30">
              <w:t>20</w:t>
            </w:r>
            <w:r w:rsidRPr="00914B0B">
              <w:br/>
              <w:t>$'000</w:t>
            </w:r>
          </w:p>
        </w:tc>
        <w:tc>
          <w:tcPr>
            <w:tcW w:w="928" w:type="pct"/>
            <w:vAlign w:val="bottom"/>
          </w:tcPr>
          <w:p w14:paraId="7E620DC5" w14:textId="2DB04AAA" w:rsidR="00417B1B" w:rsidRPr="00914B0B"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914B0B">
              <w:t>201</w:t>
            </w:r>
            <w:r w:rsidR="00392A30">
              <w:t>9</w:t>
            </w:r>
            <w:r w:rsidRPr="00914B0B">
              <w:br/>
              <w:t>$'000</w:t>
            </w:r>
          </w:p>
        </w:tc>
      </w:tr>
      <w:bookmarkEnd w:id="340"/>
      <w:tr w:rsidR="00417B1B" w:rsidRPr="00914B0B" w14:paraId="5ABA03C0"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1C73EBEE" w14:textId="24D807F8" w:rsidR="00417B1B" w:rsidRPr="00914B0B" w:rsidRDefault="00417B1B" w:rsidP="00914B0B">
            <w:pPr>
              <w:pStyle w:val="TableText"/>
            </w:pPr>
            <w:r w:rsidRPr="00914B0B">
              <w:t>Buildings</w:t>
            </w:r>
          </w:p>
        </w:tc>
        <w:tc>
          <w:tcPr>
            <w:tcW w:w="929" w:type="pct"/>
          </w:tcPr>
          <w:p w14:paraId="262EDD88" w14:textId="51EECEC5"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26,196</w:t>
            </w:r>
          </w:p>
        </w:tc>
        <w:tc>
          <w:tcPr>
            <w:tcW w:w="928" w:type="pct"/>
          </w:tcPr>
          <w:p w14:paraId="6EF57C9A" w14:textId="1B222B53"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28,139</w:t>
            </w:r>
          </w:p>
        </w:tc>
      </w:tr>
      <w:tr w:rsidR="00417B1B" w:rsidRPr="00914B0B" w14:paraId="6CD8FEF2"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2D2EB47E" w14:textId="5EFB2249" w:rsidR="00417B1B" w:rsidRPr="00914B0B" w:rsidRDefault="00417B1B" w:rsidP="00914B0B">
            <w:pPr>
              <w:pStyle w:val="TableText"/>
            </w:pPr>
            <w:r w:rsidRPr="00F66782">
              <w:t xml:space="preserve">Leasehold buildings at fair value </w:t>
            </w:r>
            <w:r w:rsidR="00392A30" w:rsidRPr="00F66782">
              <w:t>as Right of Use Assets (2019 Finance Leases)</w:t>
            </w:r>
            <w:r w:rsidR="00F66782" w:rsidRPr="00F66782">
              <w:rPr>
                <w:vertAlign w:val="superscript"/>
              </w:rPr>
              <w:t xml:space="preserve"> </w:t>
            </w:r>
            <w:hyperlink w:anchor="Note511" w:history="1">
              <w:r w:rsidR="00F66782" w:rsidRPr="00F66782">
                <w:rPr>
                  <w:vertAlign w:val="superscript"/>
                </w:rPr>
                <w:t>(1)</w:t>
              </w:r>
            </w:hyperlink>
          </w:p>
        </w:tc>
        <w:tc>
          <w:tcPr>
            <w:tcW w:w="929" w:type="pct"/>
          </w:tcPr>
          <w:p w14:paraId="73CF1425" w14:textId="45DB760F"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29,740</w:t>
            </w:r>
          </w:p>
        </w:tc>
        <w:tc>
          <w:tcPr>
            <w:tcW w:w="928" w:type="pct"/>
          </w:tcPr>
          <w:p w14:paraId="6A44CF7E" w14:textId="6F3EA844"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17,621</w:t>
            </w:r>
          </w:p>
        </w:tc>
      </w:tr>
      <w:tr w:rsidR="00417B1B" w:rsidRPr="00914B0B" w14:paraId="4487AE77"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5BB97283" w14:textId="0EB67084" w:rsidR="00417B1B" w:rsidRPr="00914B0B" w:rsidRDefault="00417B1B" w:rsidP="00914B0B">
            <w:pPr>
              <w:pStyle w:val="TableText"/>
            </w:pPr>
            <w:r w:rsidRPr="00914B0B">
              <w:t>Leasehold improvements at fair value</w:t>
            </w:r>
          </w:p>
        </w:tc>
        <w:tc>
          <w:tcPr>
            <w:tcW w:w="929" w:type="pct"/>
          </w:tcPr>
          <w:p w14:paraId="746AFB4E" w14:textId="724C44F3"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3,747</w:t>
            </w:r>
          </w:p>
        </w:tc>
        <w:tc>
          <w:tcPr>
            <w:tcW w:w="928" w:type="pct"/>
          </w:tcPr>
          <w:p w14:paraId="4737D8DF" w14:textId="5BC7C8A7"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1,209</w:t>
            </w:r>
          </w:p>
        </w:tc>
      </w:tr>
      <w:tr w:rsidR="00417B1B" w:rsidRPr="00914B0B" w14:paraId="2FBFABD4"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243CE1B3" w14:textId="08072D02" w:rsidR="00417B1B" w:rsidRPr="00914B0B" w:rsidRDefault="00417B1B" w:rsidP="00914B0B">
            <w:pPr>
              <w:pStyle w:val="TableText"/>
            </w:pPr>
            <w:r w:rsidRPr="00914B0B">
              <w:t>Plant and equipment at fair value</w:t>
            </w:r>
          </w:p>
        </w:tc>
        <w:tc>
          <w:tcPr>
            <w:tcW w:w="929" w:type="pct"/>
          </w:tcPr>
          <w:p w14:paraId="4EAB5B08" w14:textId="5EDCE49C"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7,588</w:t>
            </w:r>
          </w:p>
        </w:tc>
        <w:tc>
          <w:tcPr>
            <w:tcW w:w="928" w:type="pct"/>
          </w:tcPr>
          <w:p w14:paraId="1ED014EE" w14:textId="7D47DAF4"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5,097</w:t>
            </w:r>
          </w:p>
        </w:tc>
      </w:tr>
      <w:tr w:rsidR="00417B1B" w:rsidRPr="00914B0B" w14:paraId="56DE2057"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672FB4C9" w14:textId="165649EB" w:rsidR="00417B1B" w:rsidRPr="00914B0B" w:rsidRDefault="00417B1B" w:rsidP="00914B0B">
            <w:pPr>
              <w:pStyle w:val="TableText"/>
            </w:pPr>
            <w:r w:rsidRPr="00914B0B">
              <w:t>Plant and equipment under finance lease at fair value</w:t>
            </w:r>
          </w:p>
        </w:tc>
        <w:tc>
          <w:tcPr>
            <w:tcW w:w="929" w:type="pct"/>
          </w:tcPr>
          <w:p w14:paraId="2C377BE1" w14:textId="7929F7C7"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2,388</w:t>
            </w:r>
          </w:p>
        </w:tc>
        <w:tc>
          <w:tcPr>
            <w:tcW w:w="928" w:type="pct"/>
          </w:tcPr>
          <w:p w14:paraId="6798400D" w14:textId="1F2B3AC8"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2,428</w:t>
            </w:r>
          </w:p>
        </w:tc>
      </w:tr>
      <w:tr w:rsidR="00417B1B" w:rsidRPr="00914B0B" w14:paraId="128899AE" w14:textId="77777777" w:rsidTr="00392A30">
        <w:tc>
          <w:tcPr>
            <w:cnfStyle w:val="001000000000" w:firstRow="0" w:lastRow="0" w:firstColumn="1" w:lastColumn="0" w:oddVBand="0" w:evenVBand="0" w:oddHBand="0" w:evenHBand="0" w:firstRowFirstColumn="0" w:firstRowLastColumn="0" w:lastRowFirstColumn="0" w:lastRowLastColumn="0"/>
            <w:tcW w:w="3143" w:type="pct"/>
          </w:tcPr>
          <w:p w14:paraId="228B9FD8" w14:textId="77777777" w:rsidR="00417B1B" w:rsidRPr="00914B0B" w:rsidRDefault="00417B1B" w:rsidP="00914B0B">
            <w:pPr>
              <w:pStyle w:val="TableText"/>
            </w:pPr>
            <w:r w:rsidRPr="00914B0B">
              <w:t>Software</w:t>
            </w:r>
          </w:p>
        </w:tc>
        <w:tc>
          <w:tcPr>
            <w:tcW w:w="929" w:type="pct"/>
          </w:tcPr>
          <w:p w14:paraId="617FED12" w14:textId="545221C7"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3,263</w:t>
            </w:r>
          </w:p>
        </w:tc>
        <w:tc>
          <w:tcPr>
            <w:tcW w:w="928" w:type="pct"/>
          </w:tcPr>
          <w:p w14:paraId="03B6AFF2" w14:textId="2BC477D6" w:rsidR="00417B1B" w:rsidRPr="00914B0B" w:rsidRDefault="00392A30" w:rsidP="00914B0B">
            <w:pPr>
              <w:pStyle w:val="TableText"/>
              <w:cnfStyle w:val="000000000000" w:firstRow="0" w:lastRow="0" w:firstColumn="0" w:lastColumn="0" w:oddVBand="0" w:evenVBand="0" w:oddHBand="0" w:evenHBand="0" w:firstRowFirstColumn="0" w:firstRowLastColumn="0" w:lastRowFirstColumn="0" w:lastRowLastColumn="0"/>
            </w:pPr>
            <w:r>
              <w:t>7,614</w:t>
            </w:r>
          </w:p>
        </w:tc>
      </w:tr>
      <w:tr w:rsidR="00417B1B" w:rsidRPr="007B4F37" w14:paraId="5827259D" w14:textId="77777777" w:rsidTr="00392A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pct"/>
          </w:tcPr>
          <w:p w14:paraId="1D7C559F" w14:textId="77777777" w:rsidR="00417B1B" w:rsidRPr="007B4F37" w:rsidRDefault="00417B1B" w:rsidP="00914B0B">
            <w:pPr>
              <w:pStyle w:val="TableText"/>
              <w:rPr>
                <w:rStyle w:val="Bold"/>
              </w:rPr>
            </w:pPr>
            <w:r w:rsidRPr="007B4F37">
              <w:rPr>
                <w:rStyle w:val="Bold"/>
              </w:rPr>
              <w:t>Total property, plant and equipment</w:t>
            </w:r>
          </w:p>
        </w:tc>
        <w:tc>
          <w:tcPr>
            <w:tcW w:w="929" w:type="pct"/>
          </w:tcPr>
          <w:p w14:paraId="45ED6B16" w14:textId="33BDB858" w:rsidR="00417B1B" w:rsidRPr="007B4F37" w:rsidRDefault="00392A30" w:rsidP="00914B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72,923</w:t>
            </w:r>
          </w:p>
        </w:tc>
        <w:tc>
          <w:tcPr>
            <w:tcW w:w="928" w:type="pct"/>
          </w:tcPr>
          <w:p w14:paraId="4031F8EB" w14:textId="2EA7D09C" w:rsidR="00417B1B" w:rsidRPr="007B4F37" w:rsidRDefault="00392A30" w:rsidP="00914B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62,109</w:t>
            </w:r>
          </w:p>
        </w:tc>
      </w:tr>
    </w:tbl>
    <w:p w14:paraId="0931BCDB" w14:textId="39C48CBF" w:rsidR="00392A30" w:rsidRDefault="00392A30" w:rsidP="00392A30">
      <w:pPr>
        <w:pStyle w:val="BodyText"/>
      </w:pPr>
      <w:r>
        <w:t>2019 amounts have been restated as a result of a correction of an error (</w:t>
      </w:r>
      <w:r w:rsidR="00677C4B" w:rsidRPr="00A24CE7">
        <w:t>see</w:t>
      </w:r>
      <w:r w:rsidR="00677C4B">
        <w:t xml:space="preserve"> </w:t>
      </w:r>
      <w:hyperlink w:anchor="Note10text" w:history="1">
        <w:r w:rsidR="00677C4B" w:rsidRPr="00677C4B">
          <w:t>Note 10</w:t>
        </w:r>
      </w:hyperlink>
      <w:r>
        <w:t>).</w:t>
      </w:r>
    </w:p>
    <w:p w14:paraId="1616EB86" w14:textId="76FAAA70" w:rsidR="00417B1B" w:rsidRPr="00F66782" w:rsidRDefault="00417B1B" w:rsidP="00417B1B">
      <w:pPr>
        <w:pStyle w:val="NotesText"/>
      </w:pPr>
      <w:r w:rsidRPr="00F66782">
        <w:t>Note:</w:t>
      </w:r>
    </w:p>
    <w:p w14:paraId="08563000" w14:textId="575612D8" w:rsidR="00417B1B" w:rsidRPr="00F66782" w:rsidRDefault="00392A30" w:rsidP="00F110E7">
      <w:pPr>
        <w:pStyle w:val="NotesNumberedList"/>
        <w:numPr>
          <w:ilvl w:val="0"/>
          <w:numId w:val="30"/>
        </w:numPr>
      </w:pPr>
      <w:bookmarkStart w:id="341" w:name="Note511"/>
      <w:bookmarkEnd w:id="341"/>
      <w:r w:rsidRPr="00F66782">
        <w:t>$16.515m ($17.621m 2019) relates to assets contracted under the public private partnership (PPP)</w:t>
      </w:r>
    </w:p>
    <w:p w14:paraId="3F4384E3" w14:textId="09A4BFD9" w:rsidR="00392A30" w:rsidRDefault="00392A30" w:rsidP="00392A30">
      <w:pPr>
        <w:pStyle w:val="BodyText"/>
      </w:pPr>
      <w:r>
        <w:t>All</w:t>
      </w:r>
      <w:r w:rsidR="0079082A">
        <w:t xml:space="preserve"> </w:t>
      </w:r>
      <w:r>
        <w:t>buildings,</w:t>
      </w:r>
      <w:r w:rsidR="0079082A">
        <w:t xml:space="preserve"> </w:t>
      </w:r>
      <w:r>
        <w:t>plant</w:t>
      </w:r>
      <w:r w:rsidR="0079082A">
        <w:t xml:space="preserve"> </w:t>
      </w:r>
      <w:r>
        <w:t>and</w:t>
      </w:r>
      <w:r w:rsidR="0079082A">
        <w:t xml:space="preserve"> </w:t>
      </w:r>
      <w:r>
        <w:t>equipment</w:t>
      </w:r>
      <w:r w:rsidR="0079082A">
        <w:t xml:space="preserve"> </w:t>
      </w:r>
      <w:r>
        <w:t>and</w:t>
      </w:r>
      <w:r w:rsidR="0079082A">
        <w:t xml:space="preserve"> </w:t>
      </w:r>
      <w:r>
        <w:t>other</w:t>
      </w:r>
      <w:r w:rsidR="0079082A">
        <w:t xml:space="preserve"> </w:t>
      </w:r>
      <w:r>
        <w:t>non-financial</w:t>
      </w:r>
      <w:r w:rsidR="0079082A">
        <w:t xml:space="preserve"> </w:t>
      </w:r>
      <w:r>
        <w:t>physical</w:t>
      </w:r>
      <w:r w:rsidR="0079082A">
        <w:t xml:space="preserve"> </w:t>
      </w:r>
      <w:r>
        <w:t>assets</w:t>
      </w:r>
      <w:r w:rsidR="0079082A">
        <w:t xml:space="preserve"> </w:t>
      </w:r>
      <w:r>
        <w:t>that</w:t>
      </w:r>
      <w:r w:rsidR="0079082A">
        <w:t xml:space="preserve"> </w:t>
      </w:r>
      <w:r>
        <w:t>have</w:t>
      </w:r>
      <w:r w:rsidR="0079082A">
        <w:t xml:space="preserve"> </w:t>
      </w:r>
      <w:r>
        <w:t>finite</w:t>
      </w:r>
      <w:r w:rsidR="0079082A">
        <w:t xml:space="preserve"> </w:t>
      </w:r>
      <w:r>
        <w:t>useful</w:t>
      </w:r>
      <w:r w:rsidR="0079082A">
        <w:t xml:space="preserve"> </w:t>
      </w:r>
      <w:r>
        <w:t>lives,</w:t>
      </w:r>
      <w:r w:rsidR="0079082A">
        <w:t xml:space="preserve"> </w:t>
      </w:r>
      <w:r>
        <w:t>are</w:t>
      </w:r>
      <w:r w:rsidR="0079082A">
        <w:t xml:space="preserve"> </w:t>
      </w:r>
      <w:r>
        <w:t>depreciated.</w:t>
      </w:r>
      <w:r w:rsidR="0079082A">
        <w:t xml:space="preserve"> </w:t>
      </w:r>
      <w:r>
        <w:t>The</w:t>
      </w:r>
      <w:r w:rsidR="0079082A">
        <w:t xml:space="preserve"> </w:t>
      </w:r>
      <w:r>
        <w:t>exceptions</w:t>
      </w:r>
      <w:r w:rsidR="0079082A">
        <w:t xml:space="preserve"> </w:t>
      </w:r>
      <w:r>
        <w:t>to</w:t>
      </w:r>
      <w:r w:rsidR="0079082A">
        <w:t xml:space="preserve"> </w:t>
      </w:r>
      <w:r>
        <w:t>this</w:t>
      </w:r>
      <w:r w:rsidR="0079082A">
        <w:t xml:space="preserve"> </w:t>
      </w:r>
      <w:r>
        <w:t>rule</w:t>
      </w:r>
      <w:r w:rsidR="0079082A">
        <w:t xml:space="preserve"> </w:t>
      </w:r>
      <w:r>
        <w:t>include</w:t>
      </w:r>
      <w:r w:rsidR="0079082A">
        <w:t xml:space="preserve"> </w:t>
      </w:r>
      <w:r>
        <w:t>items</w:t>
      </w:r>
      <w:r w:rsidR="0079082A">
        <w:t xml:space="preserve"> </w:t>
      </w:r>
      <w:r>
        <w:t>under</w:t>
      </w:r>
      <w:r w:rsidR="0079082A">
        <w:t xml:space="preserve"> </w:t>
      </w:r>
      <w:r>
        <w:t>operating</w:t>
      </w:r>
      <w:r w:rsidR="0079082A">
        <w:t xml:space="preserve"> </w:t>
      </w:r>
      <w:r>
        <w:t>leases,</w:t>
      </w:r>
      <w:r w:rsidR="0079082A">
        <w:t xml:space="preserve"> </w:t>
      </w:r>
      <w:r>
        <w:t>assets</w:t>
      </w:r>
      <w:r w:rsidR="0079082A">
        <w:t xml:space="preserve"> </w:t>
      </w:r>
      <w:r>
        <w:t>held</w:t>
      </w:r>
      <w:r w:rsidR="0079082A">
        <w:t xml:space="preserve"> </w:t>
      </w:r>
      <w:r>
        <w:t>for</w:t>
      </w:r>
      <w:r w:rsidR="0079082A">
        <w:t xml:space="preserve"> </w:t>
      </w:r>
      <w:r>
        <w:t>sale,</w:t>
      </w:r>
      <w:r w:rsidR="0079082A">
        <w:t xml:space="preserve"> </w:t>
      </w:r>
      <w:r>
        <w:t>land</w:t>
      </w:r>
      <w:r w:rsidR="0079082A">
        <w:t xml:space="preserve"> </w:t>
      </w:r>
      <w:r>
        <w:t>and</w:t>
      </w:r>
      <w:r w:rsidR="0079082A">
        <w:t xml:space="preserve"> </w:t>
      </w:r>
      <w:r>
        <w:t>cultural</w:t>
      </w:r>
      <w:r w:rsidR="0079082A">
        <w:t xml:space="preserve"> </w:t>
      </w:r>
      <w:r>
        <w:t>assets.</w:t>
      </w:r>
    </w:p>
    <w:p w14:paraId="6DA42D5F" w14:textId="14CE6332" w:rsidR="00392A30" w:rsidRDefault="0079082A" w:rsidP="0079082A">
      <w:pPr>
        <w:pStyle w:val="BodyText"/>
      </w:pPr>
      <w:r>
        <w:t>Depreciation is generally calculated on a straight-line basis, at rates that allocate the asset’s value, less any estimated residual value, over its estimated useful life. Typical estimated useful lives for the different asset classes for current and prior years are included in the table below:</w:t>
      </w:r>
    </w:p>
    <w:tbl>
      <w:tblPr>
        <w:tblStyle w:val="AccessibleTableNumerical"/>
        <w:tblW w:w="5000" w:type="pct"/>
        <w:tblLook w:val="04A0" w:firstRow="1" w:lastRow="0" w:firstColumn="1" w:lastColumn="0" w:noHBand="0" w:noVBand="1"/>
      </w:tblPr>
      <w:tblGrid>
        <w:gridCol w:w="7866"/>
        <w:gridCol w:w="1776"/>
      </w:tblGrid>
      <w:tr w:rsidR="00417B1B" w:rsidRPr="00914B0B" w14:paraId="6C78D609"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9" w:type="pct"/>
          </w:tcPr>
          <w:p w14:paraId="79983761" w14:textId="77777777" w:rsidR="00417B1B" w:rsidRPr="00914B0B" w:rsidRDefault="00417B1B" w:rsidP="00914B0B">
            <w:pPr>
              <w:pStyle w:val="TableText"/>
            </w:pPr>
            <w:bookmarkStart w:id="342" w:name="ColumnTitle_66"/>
            <w:r w:rsidRPr="00914B0B">
              <w:t>Asset</w:t>
            </w:r>
          </w:p>
        </w:tc>
        <w:tc>
          <w:tcPr>
            <w:tcW w:w="921" w:type="pct"/>
            <w:vAlign w:val="bottom"/>
          </w:tcPr>
          <w:p w14:paraId="5F9183C4" w14:textId="77777777" w:rsidR="00417B1B" w:rsidRPr="00914B0B"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914B0B">
              <w:t>Useful life years</w:t>
            </w:r>
          </w:p>
        </w:tc>
      </w:tr>
      <w:bookmarkEnd w:id="342"/>
      <w:tr w:rsidR="00417B1B" w:rsidRPr="00914B0B" w14:paraId="5C01B3DA"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72B7FD52" w14:textId="77777777" w:rsidR="00417B1B" w:rsidRPr="00914B0B" w:rsidRDefault="00417B1B" w:rsidP="00914B0B">
            <w:pPr>
              <w:pStyle w:val="TableText"/>
            </w:pPr>
            <w:r w:rsidRPr="00914B0B">
              <w:t>Cultural assets</w:t>
            </w:r>
          </w:p>
        </w:tc>
        <w:tc>
          <w:tcPr>
            <w:tcW w:w="921" w:type="pct"/>
          </w:tcPr>
          <w:p w14:paraId="177E1BEB"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Indefinite</w:t>
            </w:r>
          </w:p>
        </w:tc>
      </w:tr>
      <w:tr w:rsidR="00417B1B" w:rsidRPr="00914B0B" w14:paraId="4D69549E"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485D95DA" w14:textId="77777777" w:rsidR="00417B1B" w:rsidRPr="00914B0B" w:rsidRDefault="00417B1B" w:rsidP="00914B0B">
            <w:pPr>
              <w:pStyle w:val="TableText"/>
            </w:pPr>
            <w:r w:rsidRPr="00914B0B">
              <w:t>Buildings</w:t>
            </w:r>
          </w:p>
        </w:tc>
        <w:tc>
          <w:tcPr>
            <w:tcW w:w="921" w:type="pct"/>
          </w:tcPr>
          <w:p w14:paraId="494A9600" w14:textId="7EDEB710" w:rsidR="00417B1B" w:rsidRPr="00914B0B" w:rsidRDefault="00AC0BBF" w:rsidP="00914B0B">
            <w:pPr>
              <w:pStyle w:val="TableText"/>
              <w:cnfStyle w:val="000000000000" w:firstRow="0" w:lastRow="0" w:firstColumn="0" w:lastColumn="0" w:oddVBand="0" w:evenVBand="0" w:oddHBand="0" w:evenHBand="0" w:firstRowFirstColumn="0" w:firstRowLastColumn="0" w:lastRowFirstColumn="0" w:lastRowLastColumn="0"/>
            </w:pPr>
            <w:r w:rsidRPr="00914B0B">
              <w:t>N/A</w:t>
            </w:r>
          </w:p>
        </w:tc>
      </w:tr>
      <w:tr w:rsidR="00417B1B" w:rsidRPr="00914B0B" w14:paraId="123F7215"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5CE00A56" w14:textId="77777777" w:rsidR="00417B1B" w:rsidRPr="00914B0B" w:rsidRDefault="00417B1B" w:rsidP="00914B0B">
            <w:pPr>
              <w:pStyle w:val="TableTextBullet1"/>
            </w:pPr>
            <w:r w:rsidRPr="00914B0B">
              <w:t>Structure/shell/building fabric</w:t>
            </w:r>
          </w:p>
        </w:tc>
        <w:tc>
          <w:tcPr>
            <w:tcW w:w="921" w:type="pct"/>
          </w:tcPr>
          <w:p w14:paraId="19F97663"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6 to 50</w:t>
            </w:r>
          </w:p>
        </w:tc>
      </w:tr>
      <w:tr w:rsidR="00417B1B" w:rsidRPr="00914B0B" w14:paraId="1CB2059A"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2708595C" w14:textId="77777777" w:rsidR="00417B1B" w:rsidRPr="00914B0B" w:rsidRDefault="00417B1B" w:rsidP="00914B0B">
            <w:pPr>
              <w:pStyle w:val="TableTextBullet1"/>
            </w:pPr>
            <w:r w:rsidRPr="00914B0B">
              <w:t>Site engineering services</w:t>
            </w:r>
          </w:p>
        </w:tc>
        <w:tc>
          <w:tcPr>
            <w:tcW w:w="921" w:type="pct"/>
          </w:tcPr>
          <w:p w14:paraId="0658EE13"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6 to 50</w:t>
            </w:r>
          </w:p>
        </w:tc>
      </w:tr>
      <w:tr w:rsidR="00417B1B" w:rsidRPr="00914B0B" w14:paraId="07478838"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748DAF59" w14:textId="77777777" w:rsidR="00417B1B" w:rsidRPr="00914B0B" w:rsidRDefault="00417B1B" w:rsidP="00914B0B">
            <w:pPr>
              <w:pStyle w:val="TableTextBullet1"/>
            </w:pPr>
            <w:r w:rsidRPr="00914B0B">
              <w:t>Fit out</w:t>
            </w:r>
          </w:p>
        </w:tc>
        <w:tc>
          <w:tcPr>
            <w:tcW w:w="921" w:type="pct"/>
          </w:tcPr>
          <w:p w14:paraId="7A8CD154"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3 to 25</w:t>
            </w:r>
          </w:p>
        </w:tc>
      </w:tr>
      <w:tr w:rsidR="00417B1B" w:rsidRPr="00914B0B" w14:paraId="3E4BC440"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5E4173D4" w14:textId="77777777" w:rsidR="00417B1B" w:rsidRPr="00914B0B" w:rsidRDefault="00417B1B" w:rsidP="00914B0B">
            <w:pPr>
              <w:pStyle w:val="TableTextBullet1"/>
            </w:pPr>
            <w:r w:rsidRPr="00914B0B">
              <w:t>Trunk reticulated building systems</w:t>
            </w:r>
          </w:p>
        </w:tc>
        <w:tc>
          <w:tcPr>
            <w:tcW w:w="921" w:type="pct"/>
          </w:tcPr>
          <w:p w14:paraId="100581A8"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3 to 30</w:t>
            </w:r>
          </w:p>
        </w:tc>
      </w:tr>
      <w:tr w:rsidR="00417B1B" w:rsidRPr="00914B0B" w14:paraId="2CAFB177"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7BB4AA41" w14:textId="77777777" w:rsidR="00417B1B" w:rsidRPr="00914B0B" w:rsidRDefault="00417B1B" w:rsidP="00914B0B">
            <w:pPr>
              <w:pStyle w:val="TableText"/>
            </w:pPr>
            <w:r w:rsidRPr="00914B0B">
              <w:t xml:space="preserve">Leasehold improvements </w:t>
            </w:r>
          </w:p>
        </w:tc>
        <w:tc>
          <w:tcPr>
            <w:tcW w:w="921" w:type="pct"/>
          </w:tcPr>
          <w:p w14:paraId="5CF48C1A"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2 to 37</w:t>
            </w:r>
          </w:p>
        </w:tc>
      </w:tr>
      <w:tr w:rsidR="00417B1B" w:rsidRPr="00914B0B" w14:paraId="2054081F"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6B37EAE9" w14:textId="74141900" w:rsidR="00417B1B" w:rsidRPr="00914B0B" w:rsidRDefault="0079082A" w:rsidP="00914B0B">
            <w:pPr>
              <w:pStyle w:val="TableText"/>
            </w:pPr>
            <w:r>
              <w:t>Right of Use buildings</w:t>
            </w:r>
          </w:p>
        </w:tc>
        <w:tc>
          <w:tcPr>
            <w:tcW w:w="921" w:type="pct"/>
          </w:tcPr>
          <w:p w14:paraId="5B3BCDD3" w14:textId="5C3CCF7E" w:rsidR="00417B1B" w:rsidRPr="00914B0B" w:rsidRDefault="0079082A" w:rsidP="00914B0B">
            <w:pPr>
              <w:pStyle w:val="TableText"/>
              <w:cnfStyle w:val="000000000000" w:firstRow="0" w:lastRow="0" w:firstColumn="0" w:lastColumn="0" w:oddVBand="0" w:evenVBand="0" w:oddHBand="0" w:evenHBand="0" w:firstRowFirstColumn="0" w:firstRowLastColumn="0" w:lastRowFirstColumn="0" w:lastRowLastColumn="0"/>
            </w:pPr>
            <w:r>
              <w:t>1 to 14</w:t>
            </w:r>
          </w:p>
        </w:tc>
      </w:tr>
      <w:tr w:rsidR="00417B1B" w:rsidRPr="00914B0B" w14:paraId="635C004B"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52C85963" w14:textId="77777777" w:rsidR="00417B1B" w:rsidRPr="00914B0B" w:rsidRDefault="00417B1B" w:rsidP="00914B0B">
            <w:pPr>
              <w:pStyle w:val="TableText"/>
            </w:pPr>
            <w:r w:rsidRPr="00914B0B">
              <w:t>Plant and equipment</w:t>
            </w:r>
          </w:p>
        </w:tc>
        <w:tc>
          <w:tcPr>
            <w:tcW w:w="921" w:type="pct"/>
          </w:tcPr>
          <w:p w14:paraId="6B1A19C8" w14:textId="57BE01E9" w:rsidR="00417B1B" w:rsidRPr="00914B0B" w:rsidRDefault="0079082A" w:rsidP="00914B0B">
            <w:pPr>
              <w:pStyle w:val="TableText"/>
              <w:cnfStyle w:val="000000000000" w:firstRow="0" w:lastRow="0" w:firstColumn="0" w:lastColumn="0" w:oddVBand="0" w:evenVBand="0" w:oddHBand="0" w:evenHBand="0" w:firstRowFirstColumn="0" w:firstRowLastColumn="0" w:lastRowFirstColumn="0" w:lastRowLastColumn="0"/>
            </w:pPr>
            <w:r>
              <w:t>1 to 10</w:t>
            </w:r>
          </w:p>
        </w:tc>
      </w:tr>
      <w:tr w:rsidR="00417B1B" w:rsidRPr="00914B0B" w14:paraId="75B97FFA"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5B843A26" w14:textId="77777777" w:rsidR="00417B1B" w:rsidRPr="00914B0B" w:rsidRDefault="00417B1B" w:rsidP="00914B0B">
            <w:pPr>
              <w:pStyle w:val="TableText"/>
            </w:pPr>
            <w:r w:rsidRPr="00914B0B">
              <w:t>Computer and telecommunication equipment</w:t>
            </w:r>
          </w:p>
        </w:tc>
        <w:tc>
          <w:tcPr>
            <w:tcW w:w="921" w:type="pct"/>
          </w:tcPr>
          <w:p w14:paraId="7AB7BC23"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1 to 10</w:t>
            </w:r>
          </w:p>
        </w:tc>
      </w:tr>
      <w:tr w:rsidR="00417B1B" w:rsidRPr="00914B0B" w14:paraId="27C91659"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686F7DFF" w14:textId="77777777" w:rsidR="00417B1B" w:rsidRPr="00914B0B" w:rsidRDefault="00417B1B" w:rsidP="00914B0B">
            <w:pPr>
              <w:pStyle w:val="TableText"/>
            </w:pPr>
            <w:r w:rsidRPr="00914B0B">
              <w:t>Intangible assets</w:t>
            </w:r>
          </w:p>
        </w:tc>
        <w:tc>
          <w:tcPr>
            <w:tcW w:w="921" w:type="pct"/>
          </w:tcPr>
          <w:p w14:paraId="18419A4C"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3 to 7</w:t>
            </w:r>
          </w:p>
        </w:tc>
      </w:tr>
      <w:tr w:rsidR="00417B1B" w:rsidRPr="00914B0B" w14:paraId="79190CEB" w14:textId="77777777" w:rsidTr="00914B0B">
        <w:tc>
          <w:tcPr>
            <w:cnfStyle w:val="001000000000" w:firstRow="0" w:lastRow="0" w:firstColumn="1" w:lastColumn="0" w:oddVBand="0" w:evenVBand="0" w:oddHBand="0" w:evenHBand="0" w:firstRowFirstColumn="0" w:firstRowLastColumn="0" w:lastRowFirstColumn="0" w:lastRowLastColumn="0"/>
            <w:tcW w:w="4079" w:type="pct"/>
          </w:tcPr>
          <w:p w14:paraId="686B2BC5" w14:textId="77777777" w:rsidR="00417B1B" w:rsidRPr="00914B0B" w:rsidRDefault="00417B1B" w:rsidP="00914B0B">
            <w:pPr>
              <w:pStyle w:val="TableText"/>
            </w:pPr>
            <w:r w:rsidRPr="00914B0B">
              <w:t>Antique furniture and artefacts</w:t>
            </w:r>
          </w:p>
        </w:tc>
        <w:tc>
          <w:tcPr>
            <w:tcW w:w="921" w:type="pct"/>
          </w:tcPr>
          <w:p w14:paraId="727B23CB" w14:textId="77777777" w:rsidR="00417B1B" w:rsidRPr="00914B0B"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914B0B">
              <w:t>75 to 95</w:t>
            </w:r>
          </w:p>
        </w:tc>
      </w:tr>
    </w:tbl>
    <w:p w14:paraId="0A917B83" w14:textId="42A9A7B4" w:rsidR="0079082A" w:rsidRDefault="0079082A" w:rsidP="0079082A">
      <w:pPr>
        <w:pStyle w:val="BodyText"/>
      </w:pPr>
      <w:r>
        <w:t>The estimated useful lives, residual values and depreciation method are reviewed at the end of each annual reporting period, and adjustments made where appropriate.</w:t>
      </w:r>
    </w:p>
    <w:p w14:paraId="7E26D093" w14:textId="1EAFE83B" w:rsidR="0079082A" w:rsidRDefault="0079082A" w:rsidP="0079082A">
      <w:pPr>
        <w:pStyle w:val="BodyText"/>
      </w:pPr>
      <w:r>
        <w:t xml:space="preserve">Right-of use assets are generally depreciated over the shorter of the asset’s useful life and the lease term. Where </w:t>
      </w:r>
      <w:r w:rsidR="009B1462">
        <w:t>Court Services Victoria</w:t>
      </w:r>
      <w:r>
        <w:t xml:space="preserve"> obtains ownership of the underlying asset or if the cost of the right-of-use asset reflects that the entity will exercise a purchase option, the entity depreciates the right-of-use asset over its useful life.</w:t>
      </w:r>
    </w:p>
    <w:p w14:paraId="69DF6A7F" w14:textId="3B056CE5" w:rsidR="0079082A" w:rsidRDefault="0079082A" w:rsidP="0079082A">
      <w:pPr>
        <w:pStyle w:val="Heading5"/>
      </w:pPr>
      <w:r>
        <w:t>Indefinite life assets</w:t>
      </w:r>
    </w:p>
    <w:p w14:paraId="467E09C8" w14:textId="55B5BA31" w:rsidR="0079082A" w:rsidRDefault="0079082A" w:rsidP="0079082A">
      <w:pPr>
        <w:pStyle w:val="BodyText"/>
      </w:pPr>
      <w:r>
        <w:t>Land and cultural assets, which are considered to have an indefinite life, are not depreciated. Depreciation is not recognised in respect of these assets because their service potential has not, in any material sense, been consumed during the reporting period.</w:t>
      </w:r>
    </w:p>
    <w:p w14:paraId="5D207D95" w14:textId="77777777" w:rsidR="0079082A" w:rsidRDefault="0079082A" w:rsidP="0079082A">
      <w:pPr>
        <w:pStyle w:val="Heading5"/>
      </w:pPr>
      <w:r>
        <w:t>Impairment</w:t>
      </w:r>
    </w:p>
    <w:p w14:paraId="2BC9A580" w14:textId="3F977A71" w:rsidR="0079082A" w:rsidRDefault="0079082A" w:rsidP="0079082A">
      <w:pPr>
        <w:pStyle w:val="BodyText"/>
      </w:pPr>
      <w:r>
        <w:t>Non-financial assets, including items of property, plant and equipment, are tested for impairment whenever there is an indication that the asset may be impaired.</w:t>
      </w:r>
    </w:p>
    <w:p w14:paraId="0E75211C" w14:textId="672C6B43" w:rsidR="0079082A" w:rsidRDefault="0079082A" w:rsidP="0079082A">
      <w:pPr>
        <w:pStyle w:val="BodyText"/>
      </w:pPr>
      <w:r>
        <w:t>The assets concerned are tested as to whether their carrying value exceeds their recoverable amount. Where an asset’s carrying value exceeds its recoverable amount, the difference is written off as an ‘other economic flow’, except to the extent that it can be debited to an asset revaluation surplus amount applicable to that class of asset.</w:t>
      </w:r>
    </w:p>
    <w:p w14:paraId="2ABA728E" w14:textId="40FB0C40" w:rsidR="0079082A" w:rsidRDefault="0079082A" w:rsidP="0079082A">
      <w:pPr>
        <w:pStyle w:val="BodyText"/>
      </w:pPr>
      <w:r>
        <w:t xml:space="preserve">If there is an indication that there has been a reversal in impairment, the carrying amount shall be increased to its recoverable amount. </w:t>
      </w:r>
      <w:proofErr w:type="gramStart"/>
      <w:r>
        <w:t>However</w:t>
      </w:r>
      <w:proofErr w:type="gramEnd"/>
      <w:r>
        <w:t xml:space="preserve"> this reversal should not increase the asset’s carrying amount above what would have been determined, net of depreciation or amortisation, if no impairment loss had been recognised in prior years.</w:t>
      </w:r>
    </w:p>
    <w:p w14:paraId="7248B381" w14:textId="49CB0C87" w:rsidR="0079082A" w:rsidRDefault="0079082A" w:rsidP="0079082A">
      <w:pPr>
        <w:pStyle w:val="BodyText"/>
      </w:pPr>
      <w:r>
        <w:t>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14:paraId="5CB14C2F" w14:textId="7FD2D263" w:rsidR="00417B1B" w:rsidRPr="007B2CC8" w:rsidRDefault="00417B1B" w:rsidP="007B2CC8">
      <w:pPr>
        <w:pStyle w:val="Heading4"/>
      </w:pPr>
      <w:bookmarkStart w:id="343" w:name="Note512"/>
      <w:r w:rsidRPr="004E6EAC">
        <w:t>5.1</w:t>
      </w:r>
      <w:r w:rsidR="007B4F37">
        <w:t>.2</w:t>
      </w:r>
      <w:bookmarkEnd w:id="343"/>
      <w:r w:rsidR="007B4F37">
        <w:tab/>
        <w:t>Carrying Values b</w:t>
      </w:r>
      <w:r w:rsidRPr="004E6EAC">
        <w:t>y 'Purpose' Groups</w:t>
      </w:r>
    </w:p>
    <w:p w14:paraId="39722307" w14:textId="7788B205" w:rsidR="0033641F" w:rsidRPr="0033641F" w:rsidRDefault="0033641F" w:rsidP="0033641F">
      <w:pPr>
        <w:pStyle w:val="BodyText"/>
      </w:pPr>
      <w:r w:rsidRPr="0033641F">
        <w:t>Public safety and environment</w:t>
      </w:r>
    </w:p>
    <w:tbl>
      <w:tblPr>
        <w:tblStyle w:val="AccessibleTableNumerical"/>
        <w:tblW w:w="5000" w:type="pct"/>
        <w:tblLook w:val="04E0" w:firstRow="1" w:lastRow="1" w:firstColumn="1" w:lastColumn="0" w:noHBand="0" w:noVBand="1"/>
      </w:tblPr>
      <w:tblGrid>
        <w:gridCol w:w="4978"/>
        <w:gridCol w:w="2331"/>
        <w:gridCol w:w="2333"/>
      </w:tblGrid>
      <w:tr w:rsidR="00417B1B" w:rsidRPr="00914B0B" w14:paraId="6B5EC072"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pct"/>
          </w:tcPr>
          <w:p w14:paraId="4BCB82E1" w14:textId="169CA1F9" w:rsidR="00417B1B" w:rsidRPr="00914B0B" w:rsidRDefault="0033641F" w:rsidP="00914B0B">
            <w:pPr>
              <w:pStyle w:val="TableText"/>
            </w:pPr>
            <w:bookmarkStart w:id="344" w:name="ColumnTitle_67"/>
            <w:r>
              <w:t>Item</w:t>
            </w:r>
          </w:p>
        </w:tc>
        <w:tc>
          <w:tcPr>
            <w:tcW w:w="1209" w:type="pct"/>
            <w:vAlign w:val="bottom"/>
          </w:tcPr>
          <w:p w14:paraId="5968DFE2" w14:textId="605397C3" w:rsidR="00417B1B" w:rsidRPr="00914B0B"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914B0B">
              <w:t>20</w:t>
            </w:r>
            <w:r w:rsidR="002F0B21">
              <w:t>20</w:t>
            </w:r>
            <w:r w:rsidRPr="00914B0B">
              <w:br/>
              <w:t>$'000</w:t>
            </w:r>
          </w:p>
        </w:tc>
        <w:tc>
          <w:tcPr>
            <w:tcW w:w="1210" w:type="pct"/>
            <w:vAlign w:val="bottom"/>
          </w:tcPr>
          <w:p w14:paraId="2761BB64" w14:textId="39C7B76B" w:rsidR="00417B1B" w:rsidRPr="00914B0B"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914B0B">
              <w:t>201</w:t>
            </w:r>
            <w:r w:rsidR="002F0B21">
              <w:t>9</w:t>
            </w:r>
            <w:r w:rsidRPr="00914B0B">
              <w:br/>
              <w:t>$'000</w:t>
            </w:r>
          </w:p>
        </w:tc>
      </w:tr>
      <w:bookmarkEnd w:id="344"/>
      <w:tr w:rsidR="00417B1B" w:rsidRPr="00625A11" w14:paraId="7998FD72"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2D09BC71" w14:textId="316927E5" w:rsidR="00417B1B" w:rsidRPr="00625A11" w:rsidRDefault="00625A11" w:rsidP="00914B0B">
            <w:pPr>
              <w:pStyle w:val="TableText"/>
            </w:pPr>
            <w:r>
              <w:t>Crown land at fair value</w:t>
            </w:r>
            <w:hyperlink w:anchor="Note512note1" w:history="1">
              <w:r w:rsidR="00845B48" w:rsidRPr="00845B48">
                <w:rPr>
                  <w:vertAlign w:val="superscript"/>
                </w:rPr>
                <w:t>(1)</w:t>
              </w:r>
            </w:hyperlink>
          </w:p>
        </w:tc>
        <w:tc>
          <w:tcPr>
            <w:tcW w:w="1209" w:type="pct"/>
          </w:tcPr>
          <w:p w14:paraId="698F0B99" w14:textId="74B5E5C1"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464,958</w:t>
            </w:r>
          </w:p>
        </w:tc>
        <w:tc>
          <w:tcPr>
            <w:tcW w:w="1210" w:type="pct"/>
          </w:tcPr>
          <w:p w14:paraId="2FBCD08A" w14:textId="69F218B8"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412,632</w:t>
            </w:r>
          </w:p>
        </w:tc>
      </w:tr>
      <w:tr w:rsidR="00417B1B" w:rsidRPr="00625A11" w14:paraId="282F1F3B"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7D3FEAE8" w14:textId="394BD4CD" w:rsidR="00417B1B" w:rsidRPr="00625A11" w:rsidRDefault="00417B1B" w:rsidP="00625A11">
            <w:pPr>
              <w:pStyle w:val="TableText"/>
            </w:pPr>
            <w:r w:rsidRPr="00625A11">
              <w:t>Buildings at fair value</w:t>
            </w:r>
            <w:hyperlink w:anchor="Note512note1" w:history="1">
              <w:r w:rsidR="00845B48" w:rsidRPr="00845B48">
                <w:rPr>
                  <w:vertAlign w:val="superscript"/>
                </w:rPr>
                <w:t>(1)</w:t>
              </w:r>
            </w:hyperlink>
          </w:p>
        </w:tc>
        <w:tc>
          <w:tcPr>
            <w:tcW w:w="1209" w:type="pct"/>
          </w:tcPr>
          <w:p w14:paraId="1823C716" w14:textId="586188A2"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504,147</w:t>
            </w:r>
          </w:p>
        </w:tc>
        <w:tc>
          <w:tcPr>
            <w:tcW w:w="1210" w:type="pct"/>
          </w:tcPr>
          <w:p w14:paraId="2F9953C3" w14:textId="3326CF3D"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425,304</w:t>
            </w:r>
          </w:p>
        </w:tc>
      </w:tr>
      <w:tr w:rsidR="00417B1B" w:rsidRPr="00625A11" w14:paraId="280E6E80"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32CDE789" w14:textId="1364AC6A" w:rsidR="00417B1B" w:rsidRPr="00625A11" w:rsidRDefault="00417B1B" w:rsidP="00625A11">
            <w:pPr>
              <w:pStyle w:val="TableText"/>
            </w:pPr>
            <w:r w:rsidRPr="00625A11">
              <w:t xml:space="preserve">Leasehold buildings </w:t>
            </w:r>
            <w:r w:rsidR="002F0B21">
              <w:t>at fair value as Right of Use Assets (2019 Finance Leases)</w:t>
            </w:r>
            <w:r w:rsidR="002F0B21" w:rsidRPr="00625A11">
              <w:rPr>
                <w:vertAlign w:val="superscript"/>
              </w:rPr>
              <w:t xml:space="preserve"> </w:t>
            </w:r>
            <w:hyperlink w:anchor="Note512note2" w:history="1">
              <w:r w:rsidR="00845B48" w:rsidRPr="00845B48">
                <w:rPr>
                  <w:vertAlign w:val="superscript"/>
                </w:rPr>
                <w:t>(2)</w:t>
              </w:r>
            </w:hyperlink>
          </w:p>
        </w:tc>
        <w:tc>
          <w:tcPr>
            <w:tcW w:w="1209" w:type="pct"/>
          </w:tcPr>
          <w:p w14:paraId="20384917" w14:textId="2FF4AC6D"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31,224</w:t>
            </w:r>
          </w:p>
        </w:tc>
        <w:tc>
          <w:tcPr>
            <w:tcW w:w="1210" w:type="pct"/>
          </w:tcPr>
          <w:p w14:paraId="2A58B46C" w14:textId="71564994"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47,739</w:t>
            </w:r>
          </w:p>
        </w:tc>
      </w:tr>
      <w:tr w:rsidR="00417B1B" w:rsidRPr="00625A11" w14:paraId="13CDFC39"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4CB1E11E" w14:textId="720F356A" w:rsidR="00417B1B" w:rsidRPr="00625A11" w:rsidRDefault="00417B1B" w:rsidP="00914B0B">
            <w:pPr>
              <w:pStyle w:val="TableText"/>
            </w:pPr>
            <w:r w:rsidRPr="00625A11">
              <w:t>Leasehol</w:t>
            </w:r>
            <w:r w:rsidR="00625A11">
              <w:t>d improvements at fair value</w:t>
            </w:r>
            <w:hyperlink w:anchor="Note512note2" w:history="1">
              <w:r w:rsidR="00845B48" w:rsidRPr="00845B48">
                <w:rPr>
                  <w:vertAlign w:val="superscript"/>
                </w:rPr>
                <w:t>(2)</w:t>
              </w:r>
            </w:hyperlink>
          </w:p>
        </w:tc>
        <w:tc>
          <w:tcPr>
            <w:tcW w:w="1209" w:type="pct"/>
          </w:tcPr>
          <w:p w14:paraId="5F1613B6" w14:textId="28531F7B"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20,750</w:t>
            </w:r>
          </w:p>
        </w:tc>
        <w:tc>
          <w:tcPr>
            <w:tcW w:w="1210" w:type="pct"/>
          </w:tcPr>
          <w:p w14:paraId="6CFF28D2" w14:textId="7F616168"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12,540</w:t>
            </w:r>
          </w:p>
        </w:tc>
      </w:tr>
      <w:tr w:rsidR="00417B1B" w:rsidRPr="00625A11" w14:paraId="593E13F0"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6051DAF7" w14:textId="45A41C7D" w:rsidR="00417B1B" w:rsidRPr="00625A11" w:rsidRDefault="00417B1B" w:rsidP="00914B0B">
            <w:pPr>
              <w:pStyle w:val="TableText"/>
            </w:pPr>
            <w:r w:rsidRPr="00625A11">
              <w:t>Plant and equipment at fair value</w:t>
            </w:r>
            <w:hyperlink w:anchor="Note512note3" w:history="1">
              <w:r w:rsidR="00845B48" w:rsidRPr="00845B48">
                <w:rPr>
                  <w:vertAlign w:val="superscript"/>
                </w:rPr>
                <w:t>(3)</w:t>
              </w:r>
            </w:hyperlink>
          </w:p>
        </w:tc>
        <w:tc>
          <w:tcPr>
            <w:tcW w:w="1209" w:type="pct"/>
          </w:tcPr>
          <w:p w14:paraId="3F4A21C7" w14:textId="7A0DA9D1"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3,652</w:t>
            </w:r>
          </w:p>
        </w:tc>
        <w:tc>
          <w:tcPr>
            <w:tcW w:w="1210" w:type="pct"/>
          </w:tcPr>
          <w:p w14:paraId="19FEA64A" w14:textId="3AA9717A"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3,884</w:t>
            </w:r>
          </w:p>
        </w:tc>
      </w:tr>
      <w:tr w:rsidR="00417B1B" w:rsidRPr="00625A11" w14:paraId="4A419309"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3D8FBAB9" w14:textId="6136BA32" w:rsidR="00417B1B" w:rsidRPr="00625A11" w:rsidRDefault="00417B1B" w:rsidP="00914B0B">
            <w:pPr>
              <w:pStyle w:val="TableText"/>
            </w:pPr>
            <w:r w:rsidRPr="00625A11">
              <w:t>Plant and equipment under finance lease at</w:t>
            </w:r>
            <w:r w:rsidR="00D45E5B" w:rsidRPr="00625A11">
              <w:t xml:space="preserve"> </w:t>
            </w:r>
            <w:r w:rsidRPr="00625A11">
              <w:t>fair</w:t>
            </w:r>
            <w:r w:rsidR="00D45E5B" w:rsidRPr="00625A11">
              <w:t xml:space="preserve"> </w:t>
            </w:r>
            <w:r w:rsidRPr="00625A11">
              <w:t>value</w:t>
            </w:r>
            <w:hyperlink w:anchor="Note512note3" w:history="1">
              <w:r w:rsidR="00845B48" w:rsidRPr="00845B48">
                <w:rPr>
                  <w:vertAlign w:val="superscript"/>
                </w:rPr>
                <w:t>(3)</w:t>
              </w:r>
            </w:hyperlink>
          </w:p>
        </w:tc>
        <w:tc>
          <w:tcPr>
            <w:tcW w:w="1209" w:type="pct"/>
          </w:tcPr>
          <w:p w14:paraId="4DFB318F" w14:textId="2B8FCEF3"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10,218</w:t>
            </w:r>
          </w:p>
        </w:tc>
        <w:tc>
          <w:tcPr>
            <w:tcW w:w="1210" w:type="pct"/>
          </w:tcPr>
          <w:p w14:paraId="38A9196F" w14:textId="5BBA4593"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9,875</w:t>
            </w:r>
          </w:p>
        </w:tc>
      </w:tr>
      <w:tr w:rsidR="00417B1B" w:rsidRPr="00625A11" w14:paraId="7138C049"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50B2A6B2" w14:textId="0B91F40C" w:rsidR="00417B1B" w:rsidRPr="00625A11" w:rsidRDefault="00417B1B" w:rsidP="00625A11">
            <w:pPr>
              <w:pStyle w:val="TableText"/>
            </w:pPr>
            <w:r w:rsidRPr="00625A11">
              <w:t>Computer &amp; telecommunications equipment at</w:t>
            </w:r>
            <w:r w:rsidR="00D45E5B" w:rsidRPr="00625A11">
              <w:t xml:space="preserve"> </w:t>
            </w:r>
            <w:r w:rsidRPr="00625A11">
              <w:t>fair</w:t>
            </w:r>
            <w:r w:rsidR="00D45E5B" w:rsidRPr="00625A11">
              <w:t xml:space="preserve"> </w:t>
            </w:r>
            <w:r w:rsidRPr="00625A11">
              <w:t>value</w:t>
            </w:r>
            <w:hyperlink w:anchor="Note512note3" w:history="1">
              <w:r w:rsidR="00845B48" w:rsidRPr="00845B48">
                <w:rPr>
                  <w:vertAlign w:val="superscript"/>
                </w:rPr>
                <w:t>(3)</w:t>
              </w:r>
            </w:hyperlink>
          </w:p>
        </w:tc>
        <w:tc>
          <w:tcPr>
            <w:tcW w:w="1209" w:type="pct"/>
          </w:tcPr>
          <w:p w14:paraId="70B1E01D" w14:textId="2397B01E"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16,943</w:t>
            </w:r>
          </w:p>
        </w:tc>
        <w:tc>
          <w:tcPr>
            <w:tcW w:w="1210" w:type="pct"/>
          </w:tcPr>
          <w:p w14:paraId="72EFB67D" w14:textId="768A9DB2"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14,855</w:t>
            </w:r>
          </w:p>
        </w:tc>
      </w:tr>
      <w:tr w:rsidR="00417B1B" w:rsidRPr="00625A11" w14:paraId="5AA2823F"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2935997F" w14:textId="0290089F" w:rsidR="00417B1B" w:rsidRPr="00625A11" w:rsidRDefault="00417B1B" w:rsidP="00625A11">
            <w:pPr>
              <w:pStyle w:val="TableText"/>
            </w:pPr>
            <w:r w:rsidRPr="00625A11">
              <w:t>Cultural assets at fair value</w:t>
            </w:r>
            <w:hyperlink w:anchor="Note512note1" w:history="1">
              <w:r w:rsidR="00845B48" w:rsidRPr="00845B48">
                <w:rPr>
                  <w:vertAlign w:val="superscript"/>
                </w:rPr>
                <w:t>(1)</w:t>
              </w:r>
            </w:hyperlink>
          </w:p>
        </w:tc>
        <w:tc>
          <w:tcPr>
            <w:tcW w:w="1209" w:type="pct"/>
          </w:tcPr>
          <w:p w14:paraId="084E630C" w14:textId="31E93E86"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916</w:t>
            </w:r>
          </w:p>
        </w:tc>
        <w:tc>
          <w:tcPr>
            <w:tcW w:w="1210" w:type="pct"/>
          </w:tcPr>
          <w:p w14:paraId="423A88E5" w14:textId="77777777" w:rsidR="00417B1B" w:rsidRPr="00625A11" w:rsidRDefault="00417B1B" w:rsidP="00914B0B">
            <w:pPr>
              <w:pStyle w:val="TableText"/>
              <w:cnfStyle w:val="000000000000" w:firstRow="0" w:lastRow="0" w:firstColumn="0" w:lastColumn="0" w:oddVBand="0" w:evenVBand="0" w:oddHBand="0" w:evenHBand="0" w:firstRowFirstColumn="0" w:firstRowLastColumn="0" w:lastRowFirstColumn="0" w:lastRowLastColumn="0"/>
            </w:pPr>
            <w:r w:rsidRPr="00625A11">
              <w:t>916</w:t>
            </w:r>
          </w:p>
        </w:tc>
      </w:tr>
      <w:tr w:rsidR="00417B1B" w:rsidRPr="00914B0B" w14:paraId="607A1D93" w14:textId="77777777" w:rsidTr="0033641F">
        <w:tc>
          <w:tcPr>
            <w:cnfStyle w:val="001000000000" w:firstRow="0" w:lastRow="0" w:firstColumn="1" w:lastColumn="0" w:oddVBand="0" w:evenVBand="0" w:oddHBand="0" w:evenHBand="0" w:firstRowFirstColumn="0" w:firstRowLastColumn="0" w:lastRowFirstColumn="0" w:lastRowLastColumn="0"/>
            <w:tcW w:w="2581" w:type="pct"/>
          </w:tcPr>
          <w:p w14:paraId="276B888D" w14:textId="77777777" w:rsidR="00417B1B" w:rsidRPr="00625A11" w:rsidRDefault="00417B1B" w:rsidP="00914B0B">
            <w:pPr>
              <w:pStyle w:val="TableText"/>
            </w:pPr>
            <w:r w:rsidRPr="00625A11">
              <w:t>Assets under construction at cost</w:t>
            </w:r>
          </w:p>
        </w:tc>
        <w:tc>
          <w:tcPr>
            <w:tcW w:w="1209" w:type="pct"/>
          </w:tcPr>
          <w:p w14:paraId="63623EA5" w14:textId="3EABA40B" w:rsidR="00417B1B" w:rsidRPr="00625A11"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81,355</w:t>
            </w:r>
          </w:p>
        </w:tc>
        <w:tc>
          <w:tcPr>
            <w:tcW w:w="1210" w:type="pct"/>
          </w:tcPr>
          <w:p w14:paraId="4B0A2D56" w14:textId="2FB7B3B1" w:rsidR="00417B1B" w:rsidRPr="00914B0B" w:rsidRDefault="002F0B21" w:rsidP="00914B0B">
            <w:pPr>
              <w:pStyle w:val="TableText"/>
              <w:cnfStyle w:val="000000000000" w:firstRow="0" w:lastRow="0" w:firstColumn="0" w:lastColumn="0" w:oddVBand="0" w:evenVBand="0" w:oddHBand="0" w:evenHBand="0" w:firstRowFirstColumn="0" w:firstRowLastColumn="0" w:lastRowFirstColumn="0" w:lastRowLastColumn="0"/>
            </w:pPr>
            <w:r>
              <w:t>51,953</w:t>
            </w:r>
          </w:p>
        </w:tc>
      </w:tr>
      <w:tr w:rsidR="00417B1B" w:rsidRPr="007B4F37" w14:paraId="5ED6E9BE" w14:textId="77777777" w:rsidTr="003364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pct"/>
          </w:tcPr>
          <w:p w14:paraId="47CD685E" w14:textId="77777777" w:rsidR="00417B1B" w:rsidRPr="007B4F37" w:rsidRDefault="00417B1B" w:rsidP="00914B0B">
            <w:pPr>
              <w:pStyle w:val="TableText"/>
              <w:rPr>
                <w:rStyle w:val="Bold"/>
              </w:rPr>
            </w:pPr>
            <w:r w:rsidRPr="007B4F37">
              <w:rPr>
                <w:rStyle w:val="Bold"/>
              </w:rPr>
              <w:t>Total property, plant and equipment</w:t>
            </w:r>
          </w:p>
        </w:tc>
        <w:tc>
          <w:tcPr>
            <w:tcW w:w="1209" w:type="pct"/>
          </w:tcPr>
          <w:p w14:paraId="2E29C16E" w14:textId="7AE3593E" w:rsidR="00417B1B" w:rsidRPr="007B4F37" w:rsidRDefault="002F0B21" w:rsidP="00914B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1,134,163</w:t>
            </w:r>
          </w:p>
        </w:tc>
        <w:tc>
          <w:tcPr>
            <w:tcW w:w="1210" w:type="pct"/>
          </w:tcPr>
          <w:p w14:paraId="12EE664A" w14:textId="346095C8" w:rsidR="00417B1B" w:rsidRPr="007B4F37" w:rsidRDefault="002F0B21" w:rsidP="00914B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979,699</w:t>
            </w:r>
          </w:p>
        </w:tc>
      </w:tr>
    </w:tbl>
    <w:p w14:paraId="79C27201" w14:textId="24D5367E" w:rsidR="00845B48" w:rsidRDefault="00845B48" w:rsidP="006A099C">
      <w:pPr>
        <w:pStyle w:val="BodyText"/>
      </w:pPr>
      <w:r w:rsidRPr="00845B48">
        <w:t>2019</w:t>
      </w:r>
      <w:r>
        <w:t xml:space="preserve"> </w:t>
      </w:r>
      <w:r w:rsidRPr="00845B48">
        <w:t>amounts</w:t>
      </w:r>
      <w:r>
        <w:t xml:space="preserve"> </w:t>
      </w:r>
      <w:r w:rsidRPr="00845B48">
        <w:t>have</w:t>
      </w:r>
      <w:r>
        <w:t xml:space="preserve"> </w:t>
      </w:r>
      <w:r w:rsidRPr="00845B48">
        <w:t>been</w:t>
      </w:r>
      <w:r>
        <w:t xml:space="preserve"> </w:t>
      </w:r>
      <w:r w:rsidRPr="00845B48">
        <w:t>restated</w:t>
      </w:r>
      <w:r>
        <w:t xml:space="preserve"> </w:t>
      </w:r>
      <w:r w:rsidRPr="00845B48">
        <w:t>as</w:t>
      </w:r>
      <w:r>
        <w:t xml:space="preserve"> </w:t>
      </w:r>
      <w:r w:rsidRPr="00845B48">
        <w:t>a</w:t>
      </w:r>
      <w:r>
        <w:t xml:space="preserve"> </w:t>
      </w:r>
      <w:r w:rsidRPr="00845B48">
        <w:t>result</w:t>
      </w:r>
      <w:r>
        <w:t xml:space="preserve"> </w:t>
      </w:r>
      <w:r w:rsidRPr="00845B48">
        <w:t>of</w:t>
      </w:r>
      <w:r>
        <w:t xml:space="preserve"> </w:t>
      </w:r>
      <w:r w:rsidRPr="00845B48">
        <w:t>a</w:t>
      </w:r>
      <w:r>
        <w:t xml:space="preserve"> </w:t>
      </w:r>
      <w:r w:rsidRPr="00845B48">
        <w:t>correction</w:t>
      </w:r>
      <w:r>
        <w:t xml:space="preserve"> </w:t>
      </w:r>
      <w:r w:rsidRPr="00845B48">
        <w:t>of</w:t>
      </w:r>
      <w:r>
        <w:t xml:space="preserve"> </w:t>
      </w:r>
      <w:r w:rsidRPr="00845B48">
        <w:t>an</w:t>
      </w:r>
      <w:r>
        <w:t xml:space="preserve"> </w:t>
      </w:r>
      <w:r w:rsidRPr="00845B48">
        <w:t>error</w:t>
      </w:r>
      <w:r>
        <w:t xml:space="preserve"> </w:t>
      </w:r>
      <w:r w:rsidRPr="00845B48">
        <w:t>(</w:t>
      </w:r>
      <w:r w:rsidR="00677C4B" w:rsidRPr="00A24CE7">
        <w:t>see</w:t>
      </w:r>
      <w:r w:rsidR="00677C4B">
        <w:t xml:space="preserve"> </w:t>
      </w:r>
      <w:hyperlink w:anchor="Note10text" w:history="1">
        <w:r w:rsidR="00677C4B" w:rsidRPr="00677C4B">
          <w:t>Note 10</w:t>
        </w:r>
      </w:hyperlink>
      <w:r w:rsidRPr="00845B48">
        <w:t>).</w:t>
      </w:r>
    </w:p>
    <w:p w14:paraId="12B44FBF" w14:textId="794C28B4" w:rsidR="00417B1B" w:rsidRDefault="00417B1B" w:rsidP="00417B1B">
      <w:pPr>
        <w:pStyle w:val="NotesText"/>
      </w:pPr>
      <w:r>
        <w:t>Notes:</w:t>
      </w:r>
    </w:p>
    <w:p w14:paraId="1AA1F7F9" w14:textId="329F096C" w:rsidR="006D2BA8" w:rsidRDefault="006D2BA8" w:rsidP="006A099C">
      <w:pPr>
        <w:pStyle w:val="NotesNumberedList"/>
        <w:numPr>
          <w:ilvl w:val="0"/>
          <w:numId w:val="20"/>
        </w:numPr>
      </w:pPr>
      <w:bookmarkStart w:id="345" w:name="Note512note1"/>
      <w:bookmarkStart w:id="346" w:name="Note512tablenote1"/>
      <w:bookmarkEnd w:id="345"/>
      <w:r>
        <w:t xml:space="preserve">An independent revaluation of </w:t>
      </w:r>
      <w:r w:rsidR="009B1462">
        <w:t>Court Services Victoria</w:t>
      </w:r>
      <w:r>
        <w:t xml:space="preserve"> land, buildings and cultural assets was performed by the Valuer-General of Victoria as </w:t>
      </w:r>
      <w:proofErr w:type="gramStart"/>
      <w:r>
        <w:t>at</w:t>
      </w:r>
      <w:proofErr w:type="gramEnd"/>
      <w:r>
        <w:t xml:space="preserve"> 30 June 2016. </w:t>
      </w:r>
      <w:r>
        <w:br/>
        <w:t>A Managerial Revaluation of Land was undertaken in 2019/20 in accordance with FRD 103 H</w:t>
      </w:r>
      <w:r>
        <w:br/>
        <w:t>A Managerial Revaluation of Buildings was undertaken in 2018/19 in accordance with FRD 103 H</w:t>
      </w:r>
    </w:p>
    <w:p w14:paraId="52B2D629" w14:textId="70699213" w:rsidR="006D2BA8" w:rsidRDefault="006D2BA8" w:rsidP="006D2BA8">
      <w:pPr>
        <w:pStyle w:val="NotesNumberedList"/>
        <w:numPr>
          <w:ilvl w:val="0"/>
          <w:numId w:val="20"/>
        </w:numPr>
      </w:pPr>
      <w:bookmarkStart w:id="347" w:name="Note512note2"/>
      <w:bookmarkEnd w:id="347"/>
      <w:r>
        <w:t>Fair value of finance leasehold buildings and improvements is depreciated replacement cost.</w:t>
      </w:r>
    </w:p>
    <w:p w14:paraId="63B823A1" w14:textId="30D11F12" w:rsidR="006D2BA8" w:rsidRDefault="006D2BA8" w:rsidP="006A099C">
      <w:pPr>
        <w:pStyle w:val="NotesNumberedList"/>
        <w:numPr>
          <w:ilvl w:val="0"/>
          <w:numId w:val="20"/>
        </w:numPr>
      </w:pPr>
      <w:bookmarkStart w:id="348" w:name="Note512note3"/>
      <w:bookmarkEnd w:id="348"/>
      <w:r>
        <w:t>The fair value of plant, equipment, computer and telecommunications assets is depreciated cost. This represents a reasonable approximation of fair value as there is no evidence of a reliable market-based fair value for this class of asset.</w:t>
      </w:r>
    </w:p>
    <w:p w14:paraId="447F5D44" w14:textId="14DC8F8A" w:rsidR="00417B1B" w:rsidRDefault="006D2BA8" w:rsidP="006A099C">
      <w:pPr>
        <w:pStyle w:val="NotesNumberedList"/>
        <w:numPr>
          <w:ilvl w:val="0"/>
          <w:numId w:val="20"/>
        </w:numPr>
      </w:pPr>
      <w:bookmarkStart w:id="349" w:name="Note512note4"/>
      <w:bookmarkEnd w:id="349"/>
      <w:r>
        <w:t>Property, plant, equipment, computer and telecommunications assets are classified primarily by the ‘purpose’ for which the assets are used, according to one of six purpose groups based upon government purpose classifications. All assets in a purpose group are further sub - categorised according to the asset’s ‘nature’ (</w:t>
      </w:r>
      <w:proofErr w:type="gramStart"/>
      <w:r>
        <w:t>e.g.</w:t>
      </w:r>
      <w:proofErr w:type="gramEnd"/>
      <w:r>
        <w:t xml:space="preserve"> buildings, plant etc.), with each sub - category being classified as a separate class of asset for financial reporting purposes.</w:t>
      </w:r>
      <w:bookmarkStart w:id="350" w:name="Note512tablenote4"/>
      <w:bookmarkEnd w:id="346"/>
    </w:p>
    <w:bookmarkEnd w:id="350"/>
    <w:p w14:paraId="6529DE7B" w14:textId="77777777" w:rsidR="00417B1B" w:rsidRDefault="00417B1B" w:rsidP="00417B1B">
      <w:pPr>
        <w:pStyle w:val="Heading4"/>
        <w:sectPr w:rsidR="00417B1B" w:rsidSect="00AC0BBF">
          <w:pgSz w:w="11910" w:h="16840" w:code="9"/>
          <w:pgMar w:top="1134" w:right="1134" w:bottom="1134" w:left="1134" w:header="567" w:footer="567" w:gutter="0"/>
          <w:cols w:space="720"/>
          <w:docGrid w:linePitch="299"/>
        </w:sectPr>
      </w:pPr>
    </w:p>
    <w:p w14:paraId="1248FA4A" w14:textId="595BF1C1" w:rsidR="00417B1B" w:rsidRDefault="00417B1B" w:rsidP="00417B1B">
      <w:pPr>
        <w:pStyle w:val="Heading4"/>
      </w:pPr>
      <w:bookmarkStart w:id="351" w:name="Note513"/>
      <w:r w:rsidRPr="006A0EFA">
        <w:t>5.1.3</w:t>
      </w:r>
      <w:bookmarkEnd w:id="351"/>
      <w:r w:rsidRPr="006A0EFA">
        <w:tab/>
        <w:t xml:space="preserve">Reconciliation </w:t>
      </w:r>
      <w:r w:rsidR="00172429" w:rsidRPr="006A0EFA">
        <w:t>of</w:t>
      </w:r>
      <w:r w:rsidR="007B4F37" w:rsidRPr="006A0EFA">
        <w:t xml:space="preserve"> Movements i</w:t>
      </w:r>
      <w:r w:rsidRPr="006A0EFA">
        <w:t xml:space="preserve">n Carrying Values </w:t>
      </w:r>
      <w:r w:rsidR="00172429" w:rsidRPr="006A0EFA">
        <w:t>of</w:t>
      </w:r>
      <w:r w:rsidRPr="006A0EFA">
        <w:t xml:space="preserve"> Property, Plant </w:t>
      </w:r>
      <w:r w:rsidR="00D45E5B" w:rsidRPr="006A0EFA">
        <w:t xml:space="preserve">and </w:t>
      </w:r>
      <w:r w:rsidRPr="006A0EFA">
        <w:t>Equipment</w:t>
      </w:r>
    </w:p>
    <w:p w14:paraId="7CFE25C5" w14:textId="3624B140" w:rsidR="00B71F92" w:rsidRDefault="00B71F92" w:rsidP="00B71F92">
      <w:pPr>
        <w:pStyle w:val="BodyText"/>
      </w:pPr>
      <w:r>
        <w:t>20</w:t>
      </w:r>
      <w:r w:rsidR="00CE6082">
        <w:t>20</w:t>
      </w:r>
    </w:p>
    <w:tbl>
      <w:tblPr>
        <w:tblStyle w:val="AccessibleTableNumerical"/>
        <w:tblW w:w="5000" w:type="pct"/>
        <w:tblLook w:val="04A0" w:firstRow="1" w:lastRow="0" w:firstColumn="1" w:lastColumn="0" w:noHBand="0" w:noVBand="1"/>
      </w:tblPr>
      <w:tblGrid>
        <w:gridCol w:w="2836"/>
        <w:gridCol w:w="1845"/>
        <w:gridCol w:w="1840"/>
        <w:gridCol w:w="1844"/>
        <w:gridCol w:w="1987"/>
        <w:gridCol w:w="1840"/>
        <w:gridCol w:w="1844"/>
        <w:gridCol w:w="1840"/>
        <w:gridCol w:w="1844"/>
        <w:gridCol w:w="1844"/>
        <w:gridCol w:w="1982"/>
      </w:tblGrid>
      <w:tr w:rsidR="00A874EF" w:rsidRPr="00EC6B6B" w14:paraId="2E596281" w14:textId="77777777" w:rsidTr="00034F0C">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658" w:type="pct"/>
          </w:tcPr>
          <w:p w14:paraId="25132A3E" w14:textId="7480A42A" w:rsidR="00A874EF" w:rsidRPr="00EC6B6B" w:rsidRDefault="00034F0C" w:rsidP="00895F89">
            <w:pPr>
              <w:pStyle w:val="TableText"/>
              <w:spacing w:before="40" w:after="40"/>
            </w:pPr>
            <w:bookmarkStart w:id="352" w:name="ColumnTitle_75117"/>
            <w:r>
              <w:t>Item</w:t>
            </w:r>
          </w:p>
        </w:tc>
        <w:tc>
          <w:tcPr>
            <w:tcW w:w="428" w:type="pct"/>
            <w:vAlign w:val="bottom"/>
          </w:tcPr>
          <w:p w14:paraId="6B485E31" w14:textId="6E37B5F9"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Specialised land at fair value</w:t>
            </w:r>
            <w:r>
              <w:br/>
              <w:t>$’000</w:t>
            </w:r>
          </w:p>
        </w:tc>
        <w:tc>
          <w:tcPr>
            <w:tcW w:w="427" w:type="pct"/>
            <w:vAlign w:val="bottom"/>
          </w:tcPr>
          <w:p w14:paraId="52527D8D" w14:textId="1B4D6D8C"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Specialised buildings </w:t>
            </w:r>
            <w:r w:rsidR="00AB6857">
              <w:br/>
            </w:r>
            <w:r>
              <w:t>at fair value</w:t>
            </w:r>
            <w:r>
              <w:br/>
              <w:t>$’000</w:t>
            </w:r>
          </w:p>
        </w:tc>
        <w:tc>
          <w:tcPr>
            <w:tcW w:w="428" w:type="pct"/>
            <w:vAlign w:val="bottom"/>
          </w:tcPr>
          <w:p w14:paraId="41A77EE3" w14:textId="047043AB"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Buildings leasehold </w:t>
            </w:r>
            <w:r w:rsidR="00AB6857">
              <w:br/>
            </w:r>
            <w:r>
              <w:t>at fair value</w:t>
            </w:r>
            <w:r>
              <w:br/>
              <w:t>$’000</w:t>
            </w:r>
          </w:p>
        </w:tc>
        <w:tc>
          <w:tcPr>
            <w:tcW w:w="461" w:type="pct"/>
            <w:vAlign w:val="bottom"/>
          </w:tcPr>
          <w:p w14:paraId="51BB9D2F" w14:textId="61E0A640"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Leasehold improvements </w:t>
            </w:r>
            <w:r w:rsidR="00AB6857">
              <w:br/>
            </w:r>
            <w:r>
              <w:t>at fair value</w:t>
            </w:r>
            <w:r>
              <w:br/>
              <w:t>$’000</w:t>
            </w:r>
          </w:p>
        </w:tc>
        <w:tc>
          <w:tcPr>
            <w:tcW w:w="427" w:type="pct"/>
            <w:vAlign w:val="bottom"/>
          </w:tcPr>
          <w:p w14:paraId="1C694DC1" w14:textId="0256C8C2" w:rsidR="00A874EF"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Plant and equipment </w:t>
            </w:r>
            <w:r w:rsidR="00AB6857">
              <w:br/>
            </w:r>
            <w:r>
              <w:t>at fair value</w:t>
            </w:r>
          </w:p>
          <w:p w14:paraId="3A86D881" w14:textId="757560FF" w:rsidR="00034F0C"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$’000</w:t>
            </w:r>
          </w:p>
        </w:tc>
        <w:tc>
          <w:tcPr>
            <w:tcW w:w="428" w:type="pct"/>
            <w:vAlign w:val="bottom"/>
          </w:tcPr>
          <w:p w14:paraId="622C9DDC" w14:textId="7BD66CF6"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Computer and communication equipment</w:t>
            </w:r>
            <w:r>
              <w:br/>
              <w:t>$’000</w:t>
            </w:r>
          </w:p>
        </w:tc>
        <w:tc>
          <w:tcPr>
            <w:tcW w:w="427" w:type="pct"/>
            <w:vAlign w:val="bottom"/>
          </w:tcPr>
          <w:p w14:paraId="1207BB5A" w14:textId="56607658" w:rsidR="00A874EF"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Leased plant and equipment </w:t>
            </w:r>
            <w:r w:rsidR="00AB6857">
              <w:br/>
            </w:r>
            <w:r>
              <w:t>at fair value</w:t>
            </w:r>
          </w:p>
          <w:p w14:paraId="64B0E852" w14:textId="7A3A8055" w:rsidR="00034F0C"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$’000</w:t>
            </w:r>
          </w:p>
        </w:tc>
        <w:tc>
          <w:tcPr>
            <w:tcW w:w="428" w:type="pct"/>
            <w:vAlign w:val="bottom"/>
          </w:tcPr>
          <w:p w14:paraId="71CD851A" w14:textId="4DA8ECD4"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Cultural assets </w:t>
            </w:r>
            <w:r w:rsidR="00AB6857">
              <w:br/>
            </w:r>
            <w:r>
              <w:t>at fair value</w:t>
            </w:r>
            <w:r>
              <w:br/>
              <w:t>$’000</w:t>
            </w:r>
          </w:p>
        </w:tc>
        <w:tc>
          <w:tcPr>
            <w:tcW w:w="428" w:type="pct"/>
            <w:vAlign w:val="bottom"/>
          </w:tcPr>
          <w:p w14:paraId="74782530" w14:textId="64927035" w:rsidR="00A874EF"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 xml:space="preserve">Assets under construction </w:t>
            </w:r>
            <w:r w:rsidR="00AB6857">
              <w:br/>
            </w:r>
            <w:r>
              <w:t>at cost</w:t>
            </w:r>
            <w:r>
              <w:br/>
              <w:t>$’000</w:t>
            </w:r>
          </w:p>
        </w:tc>
        <w:tc>
          <w:tcPr>
            <w:tcW w:w="460" w:type="pct"/>
            <w:vAlign w:val="bottom"/>
          </w:tcPr>
          <w:p w14:paraId="40378E42" w14:textId="424D6779" w:rsidR="00034F0C" w:rsidRPr="00EC6B6B" w:rsidRDefault="00034F0C" w:rsidP="00895F89">
            <w:pPr>
              <w:pStyle w:val="TableText"/>
              <w:spacing w:before="40" w:after="40"/>
              <w:cnfStyle w:val="100000000000" w:firstRow="1" w:lastRow="0" w:firstColumn="0" w:lastColumn="0" w:oddVBand="0" w:evenVBand="0" w:oddHBand="0" w:evenHBand="0" w:firstRowFirstColumn="0" w:firstRowLastColumn="0" w:lastRowFirstColumn="0" w:lastRowLastColumn="0"/>
            </w:pPr>
            <w:r>
              <w:t>Total</w:t>
            </w:r>
            <w:r>
              <w:br/>
              <w:t>$’000</w:t>
            </w:r>
          </w:p>
        </w:tc>
      </w:tr>
      <w:bookmarkEnd w:id="352"/>
      <w:tr w:rsidR="00A874EF" w:rsidRPr="00E07D3B" w14:paraId="1E212AC9"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4D8EEA37" w14:textId="77777777" w:rsidR="00A874EF" w:rsidRPr="00E07D3B" w:rsidRDefault="00A874EF" w:rsidP="00895F89">
            <w:pPr>
              <w:pStyle w:val="TableText"/>
              <w:spacing w:before="40" w:after="60"/>
              <w:rPr>
                <w:rStyle w:val="Bold"/>
              </w:rPr>
            </w:pPr>
            <w:r w:rsidRPr="00E07D3B">
              <w:rPr>
                <w:rStyle w:val="Bold"/>
              </w:rPr>
              <w:t>Opening balance (Restated)</w:t>
            </w:r>
          </w:p>
        </w:tc>
        <w:tc>
          <w:tcPr>
            <w:tcW w:w="428" w:type="pct"/>
          </w:tcPr>
          <w:p w14:paraId="7EBC188B"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412,632</w:t>
            </w:r>
          </w:p>
        </w:tc>
        <w:tc>
          <w:tcPr>
            <w:tcW w:w="427" w:type="pct"/>
          </w:tcPr>
          <w:p w14:paraId="1106812A"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425,303</w:t>
            </w:r>
          </w:p>
        </w:tc>
        <w:tc>
          <w:tcPr>
            <w:tcW w:w="428" w:type="pct"/>
          </w:tcPr>
          <w:p w14:paraId="4195D4B1"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47,739</w:t>
            </w:r>
          </w:p>
        </w:tc>
        <w:tc>
          <w:tcPr>
            <w:tcW w:w="461" w:type="pct"/>
          </w:tcPr>
          <w:p w14:paraId="2C0D5920"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12,540</w:t>
            </w:r>
          </w:p>
        </w:tc>
        <w:tc>
          <w:tcPr>
            <w:tcW w:w="427" w:type="pct"/>
          </w:tcPr>
          <w:p w14:paraId="67B3F336"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3,884</w:t>
            </w:r>
          </w:p>
        </w:tc>
        <w:tc>
          <w:tcPr>
            <w:tcW w:w="428" w:type="pct"/>
          </w:tcPr>
          <w:p w14:paraId="7D86427E"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14,855</w:t>
            </w:r>
          </w:p>
        </w:tc>
        <w:tc>
          <w:tcPr>
            <w:tcW w:w="427" w:type="pct"/>
          </w:tcPr>
          <w:p w14:paraId="22B1E0D9"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9,875</w:t>
            </w:r>
          </w:p>
        </w:tc>
        <w:tc>
          <w:tcPr>
            <w:tcW w:w="428" w:type="pct"/>
          </w:tcPr>
          <w:p w14:paraId="1D0BAF17"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916</w:t>
            </w:r>
          </w:p>
        </w:tc>
        <w:tc>
          <w:tcPr>
            <w:tcW w:w="428" w:type="pct"/>
          </w:tcPr>
          <w:p w14:paraId="6448B90E"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51,953</w:t>
            </w:r>
          </w:p>
        </w:tc>
        <w:tc>
          <w:tcPr>
            <w:tcW w:w="460" w:type="pct"/>
          </w:tcPr>
          <w:p w14:paraId="54F034A9" w14:textId="77777777" w:rsidR="00A874EF" w:rsidRPr="00E07D3B" w:rsidRDefault="00A874EF" w:rsidP="00895F89">
            <w:pPr>
              <w:pStyle w:val="TableText"/>
              <w:spacing w:before="40" w:after="6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 xml:space="preserve">979,698 </w:t>
            </w:r>
          </w:p>
        </w:tc>
      </w:tr>
      <w:tr w:rsidR="00A874EF" w:rsidRPr="00EC6B6B" w14:paraId="781B3CFD"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7973305E" w14:textId="7B6E896A" w:rsidR="00A874EF" w:rsidRPr="00EC6B6B" w:rsidRDefault="00A874EF" w:rsidP="00895F89">
            <w:pPr>
              <w:pStyle w:val="TableText"/>
              <w:spacing w:before="40"/>
            </w:pPr>
            <w:r w:rsidRPr="00EC6B6B">
              <w:t>Recognition of right-of-use assets on initial application of AASB 16</w:t>
            </w:r>
            <w:hyperlink w:anchor="Note513note1" w:history="1">
              <w:r w:rsidR="006A099C" w:rsidRPr="006A099C">
                <w:rPr>
                  <w:vertAlign w:val="superscript"/>
                </w:rPr>
                <w:t>(1)</w:t>
              </w:r>
            </w:hyperlink>
          </w:p>
        </w:tc>
        <w:tc>
          <w:tcPr>
            <w:tcW w:w="428" w:type="pct"/>
          </w:tcPr>
          <w:p w14:paraId="53136DB3"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7" w:type="pct"/>
          </w:tcPr>
          <w:p w14:paraId="2B64471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80,425</w:t>
            </w:r>
          </w:p>
        </w:tc>
        <w:tc>
          <w:tcPr>
            <w:tcW w:w="428" w:type="pct"/>
          </w:tcPr>
          <w:p w14:paraId="4107254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61" w:type="pct"/>
          </w:tcPr>
          <w:p w14:paraId="4A2CEC6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7" w:type="pct"/>
          </w:tcPr>
          <w:p w14:paraId="4A1B20D8"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8" w:type="pct"/>
          </w:tcPr>
          <w:p w14:paraId="0DC7DA0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7" w:type="pct"/>
          </w:tcPr>
          <w:p w14:paraId="47043D65"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8" w:type="pct"/>
          </w:tcPr>
          <w:p w14:paraId="08B43964"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8" w:type="pct"/>
          </w:tcPr>
          <w:p w14:paraId="050A61D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60" w:type="pct"/>
          </w:tcPr>
          <w:p w14:paraId="7A5709A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80,425 </w:t>
            </w:r>
          </w:p>
        </w:tc>
      </w:tr>
      <w:tr w:rsidR="00A874EF" w:rsidRPr="00E07D3B" w14:paraId="24F656F4"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47FF9B96" w14:textId="60E7905F" w:rsidR="00A874EF" w:rsidRPr="00E07D3B" w:rsidRDefault="00A874EF" w:rsidP="00895F89">
            <w:pPr>
              <w:pStyle w:val="TableText"/>
              <w:spacing w:before="40"/>
            </w:pPr>
            <w:r w:rsidRPr="00E07D3B">
              <w:rPr>
                <w:rStyle w:val="Bold"/>
              </w:rPr>
              <w:t xml:space="preserve">Adjusted balance </w:t>
            </w:r>
            <w:r w:rsidR="00AB6857">
              <w:rPr>
                <w:rStyle w:val="Bold"/>
              </w:rPr>
              <w:br/>
            </w:r>
            <w:proofErr w:type="gramStart"/>
            <w:r w:rsidRPr="00E07D3B">
              <w:rPr>
                <w:rStyle w:val="Bold"/>
              </w:rPr>
              <w:t>at</w:t>
            </w:r>
            <w:proofErr w:type="gramEnd"/>
            <w:r w:rsidRPr="00E07D3B">
              <w:rPr>
                <w:rStyle w:val="Bold"/>
              </w:rPr>
              <w:t xml:space="preserve"> 1 July 2019</w:t>
            </w:r>
            <w:hyperlink w:anchor="Note513note2" w:history="1">
              <w:r w:rsidR="00E51697" w:rsidRPr="00E51697">
                <w:rPr>
                  <w:rFonts w:ascii="Arial Bold" w:hAnsi="Arial Bold"/>
                  <w:vertAlign w:val="superscript"/>
                </w:rPr>
                <w:t>(2)</w:t>
              </w:r>
            </w:hyperlink>
          </w:p>
        </w:tc>
        <w:tc>
          <w:tcPr>
            <w:tcW w:w="428" w:type="pct"/>
          </w:tcPr>
          <w:p w14:paraId="3400B610"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412,632</w:t>
            </w:r>
          </w:p>
        </w:tc>
        <w:tc>
          <w:tcPr>
            <w:tcW w:w="427" w:type="pct"/>
          </w:tcPr>
          <w:p w14:paraId="1A556539"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 xml:space="preserve">505,729 </w:t>
            </w:r>
          </w:p>
        </w:tc>
        <w:tc>
          <w:tcPr>
            <w:tcW w:w="428" w:type="pct"/>
          </w:tcPr>
          <w:p w14:paraId="5918F44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47,739</w:t>
            </w:r>
          </w:p>
        </w:tc>
        <w:tc>
          <w:tcPr>
            <w:tcW w:w="461" w:type="pct"/>
          </w:tcPr>
          <w:p w14:paraId="2D6026F4"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12,540</w:t>
            </w:r>
          </w:p>
        </w:tc>
        <w:tc>
          <w:tcPr>
            <w:tcW w:w="427" w:type="pct"/>
          </w:tcPr>
          <w:p w14:paraId="4688ED4E"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3,884</w:t>
            </w:r>
          </w:p>
        </w:tc>
        <w:tc>
          <w:tcPr>
            <w:tcW w:w="428" w:type="pct"/>
          </w:tcPr>
          <w:p w14:paraId="0E04B22A"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14,855</w:t>
            </w:r>
          </w:p>
        </w:tc>
        <w:tc>
          <w:tcPr>
            <w:tcW w:w="427" w:type="pct"/>
          </w:tcPr>
          <w:p w14:paraId="6533AD2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9,875</w:t>
            </w:r>
          </w:p>
        </w:tc>
        <w:tc>
          <w:tcPr>
            <w:tcW w:w="428" w:type="pct"/>
          </w:tcPr>
          <w:p w14:paraId="0A869E58"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916</w:t>
            </w:r>
          </w:p>
        </w:tc>
        <w:tc>
          <w:tcPr>
            <w:tcW w:w="428" w:type="pct"/>
          </w:tcPr>
          <w:p w14:paraId="69753C08"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51,953</w:t>
            </w:r>
          </w:p>
        </w:tc>
        <w:tc>
          <w:tcPr>
            <w:tcW w:w="460" w:type="pct"/>
          </w:tcPr>
          <w:p w14:paraId="518CE33C"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 xml:space="preserve">1,060,123 </w:t>
            </w:r>
          </w:p>
        </w:tc>
      </w:tr>
      <w:tr w:rsidR="00A874EF" w:rsidRPr="00EC6B6B" w14:paraId="67FF21ED"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1972A689" w14:textId="77777777" w:rsidR="00A874EF" w:rsidRPr="00EC6B6B" w:rsidRDefault="00A874EF" w:rsidP="00895F89">
            <w:pPr>
              <w:pStyle w:val="TableText"/>
              <w:spacing w:before="40"/>
            </w:pPr>
            <w:r w:rsidRPr="00EC6B6B">
              <w:t>Additions</w:t>
            </w:r>
          </w:p>
        </w:tc>
        <w:tc>
          <w:tcPr>
            <w:tcW w:w="428" w:type="pct"/>
          </w:tcPr>
          <w:p w14:paraId="5E6B8BB7" w14:textId="504E5CA7" w:rsidR="00A874EF" w:rsidRPr="00EC6B6B" w:rsidRDefault="00AB6857" w:rsidP="00895F89">
            <w:pPr>
              <w:pStyle w:val="TableText"/>
              <w:spacing w:before="40"/>
              <w:cnfStyle w:val="000000000000" w:firstRow="0" w:lastRow="0" w:firstColumn="0" w:lastColumn="0" w:oddVBand="0" w:evenVBand="0" w:oddHBand="0" w:evenHBand="0" w:firstRowFirstColumn="0" w:firstRowLastColumn="0" w:lastRowFirstColumn="0" w:lastRowLastColumn="0"/>
            </w:pPr>
            <w:r>
              <w:t>N/A</w:t>
            </w:r>
          </w:p>
        </w:tc>
        <w:tc>
          <w:tcPr>
            <w:tcW w:w="427" w:type="pct"/>
          </w:tcPr>
          <w:p w14:paraId="5EDBE34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9,300 </w:t>
            </w:r>
          </w:p>
        </w:tc>
        <w:tc>
          <w:tcPr>
            <w:tcW w:w="428" w:type="pct"/>
          </w:tcPr>
          <w:p w14:paraId="34AB78BB"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1" w:type="pct"/>
          </w:tcPr>
          <w:p w14:paraId="31437886"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5CB4E83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233E647F"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2BA22B0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5,161 </w:t>
            </w:r>
          </w:p>
        </w:tc>
        <w:tc>
          <w:tcPr>
            <w:tcW w:w="428" w:type="pct"/>
          </w:tcPr>
          <w:p w14:paraId="0759DC6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1D681C2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88,069 </w:t>
            </w:r>
          </w:p>
        </w:tc>
        <w:tc>
          <w:tcPr>
            <w:tcW w:w="460" w:type="pct"/>
          </w:tcPr>
          <w:p w14:paraId="3E0BDBE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102,530 </w:t>
            </w:r>
          </w:p>
        </w:tc>
      </w:tr>
      <w:tr w:rsidR="00A874EF" w:rsidRPr="00EC6B6B" w14:paraId="175F8AAC"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41C55D1C" w14:textId="77777777" w:rsidR="00A874EF" w:rsidRPr="00EC6B6B" w:rsidRDefault="00A874EF" w:rsidP="00895F89">
            <w:pPr>
              <w:pStyle w:val="TableText"/>
              <w:spacing w:before="40"/>
            </w:pPr>
            <w:r w:rsidRPr="00EC6B6B">
              <w:t>Disposals</w:t>
            </w:r>
          </w:p>
        </w:tc>
        <w:tc>
          <w:tcPr>
            <w:tcW w:w="428" w:type="pct"/>
          </w:tcPr>
          <w:p w14:paraId="4B91D71C"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34F62224"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6188982B"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1" w:type="pct"/>
          </w:tcPr>
          <w:p w14:paraId="50428256"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6205AE2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0EF749D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3FD97D8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(2,253)</w:t>
            </w:r>
          </w:p>
        </w:tc>
        <w:tc>
          <w:tcPr>
            <w:tcW w:w="428" w:type="pct"/>
          </w:tcPr>
          <w:p w14:paraId="15B065A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2B387C74" w14:textId="54EEB974" w:rsidR="00A874EF" w:rsidRPr="00EC6B6B" w:rsidRDefault="00AB6857" w:rsidP="00895F89">
            <w:pPr>
              <w:pStyle w:val="TableText"/>
              <w:spacing w:before="40"/>
              <w:cnfStyle w:val="000000000000" w:firstRow="0" w:lastRow="0" w:firstColumn="0" w:lastColumn="0" w:oddVBand="0" w:evenVBand="0" w:oddHBand="0" w:evenHBand="0" w:firstRowFirstColumn="0" w:firstRowLastColumn="0" w:lastRowFirstColumn="0" w:lastRowLastColumn="0"/>
            </w:pPr>
            <w:r>
              <w:t>N/A</w:t>
            </w:r>
          </w:p>
        </w:tc>
        <w:tc>
          <w:tcPr>
            <w:tcW w:w="460" w:type="pct"/>
          </w:tcPr>
          <w:p w14:paraId="310B3E3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(2,253)</w:t>
            </w:r>
          </w:p>
        </w:tc>
      </w:tr>
      <w:tr w:rsidR="00A874EF" w:rsidRPr="00EC6B6B" w14:paraId="15E55DA4"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47579A29" w14:textId="77777777" w:rsidR="00A874EF" w:rsidRPr="00EC6B6B" w:rsidRDefault="00A874EF" w:rsidP="00895F89">
            <w:pPr>
              <w:pStyle w:val="TableText"/>
              <w:spacing w:before="40"/>
            </w:pPr>
            <w:r w:rsidRPr="00EC6B6B">
              <w:t>Depreciation</w:t>
            </w:r>
          </w:p>
        </w:tc>
        <w:tc>
          <w:tcPr>
            <w:tcW w:w="428" w:type="pct"/>
          </w:tcPr>
          <w:p w14:paraId="06C20126"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5BB2B1A5"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(40,182)</w:t>
            </w:r>
          </w:p>
        </w:tc>
        <w:tc>
          <w:tcPr>
            <w:tcW w:w="428" w:type="pct"/>
          </w:tcPr>
          <w:p w14:paraId="7155F28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(16,515)</w:t>
            </w:r>
          </w:p>
        </w:tc>
        <w:tc>
          <w:tcPr>
            <w:tcW w:w="461" w:type="pct"/>
          </w:tcPr>
          <w:p w14:paraId="09466BA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(2,987)</w:t>
            </w:r>
          </w:p>
        </w:tc>
        <w:tc>
          <w:tcPr>
            <w:tcW w:w="427" w:type="pct"/>
          </w:tcPr>
          <w:p w14:paraId="56F7FF6F"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(473)</w:t>
            </w:r>
          </w:p>
        </w:tc>
        <w:tc>
          <w:tcPr>
            <w:tcW w:w="428" w:type="pct"/>
          </w:tcPr>
          <w:p w14:paraId="030F167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(7,116)</w:t>
            </w:r>
          </w:p>
        </w:tc>
        <w:tc>
          <w:tcPr>
            <w:tcW w:w="427" w:type="pct"/>
          </w:tcPr>
          <w:p w14:paraId="74DDEEE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(2,388)</w:t>
            </w:r>
          </w:p>
        </w:tc>
        <w:tc>
          <w:tcPr>
            <w:tcW w:w="428" w:type="pct"/>
          </w:tcPr>
          <w:p w14:paraId="01240B8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5EDB66E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0" w:type="pct"/>
          </w:tcPr>
          <w:p w14:paraId="2207877C"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(69,660)</w:t>
            </w:r>
          </w:p>
        </w:tc>
      </w:tr>
      <w:tr w:rsidR="00A874EF" w:rsidRPr="00EC6B6B" w14:paraId="4FA0908A"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1B461BE5" w14:textId="77777777" w:rsidR="00A874EF" w:rsidRPr="00EC6B6B" w:rsidRDefault="00A874EF" w:rsidP="00895F89">
            <w:pPr>
              <w:pStyle w:val="TableText"/>
              <w:spacing w:before="40"/>
            </w:pPr>
            <w:r w:rsidRPr="00EC6B6B">
              <w:t>Revaluation of property</w:t>
            </w:r>
          </w:p>
        </w:tc>
        <w:tc>
          <w:tcPr>
            <w:tcW w:w="428" w:type="pct"/>
          </w:tcPr>
          <w:p w14:paraId="6BA8E652"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44,337 </w:t>
            </w:r>
          </w:p>
        </w:tc>
        <w:tc>
          <w:tcPr>
            <w:tcW w:w="427" w:type="pct"/>
          </w:tcPr>
          <w:p w14:paraId="4998D89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07B9FBF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1" w:type="pct"/>
          </w:tcPr>
          <w:p w14:paraId="0504D84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3C16E238"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54F161C6"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4B40C43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0EB36EC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14ADC67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0" w:type="pct"/>
          </w:tcPr>
          <w:p w14:paraId="69A3E54C"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44,337 </w:t>
            </w:r>
          </w:p>
        </w:tc>
      </w:tr>
      <w:tr w:rsidR="00A874EF" w:rsidRPr="00EC6B6B" w14:paraId="5AA904AF"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5DD5E89B" w14:textId="77777777" w:rsidR="00A874EF" w:rsidRPr="00EC6B6B" w:rsidRDefault="00A874EF" w:rsidP="00895F89">
            <w:pPr>
              <w:pStyle w:val="TableText"/>
              <w:spacing w:before="40"/>
            </w:pPr>
            <w:r w:rsidRPr="00EC6B6B">
              <w:t>Transfer between asset classes</w:t>
            </w:r>
          </w:p>
        </w:tc>
        <w:tc>
          <w:tcPr>
            <w:tcW w:w="428" w:type="pct"/>
          </w:tcPr>
          <w:p w14:paraId="7249606A"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0404C81C"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467D888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61" w:type="pct"/>
          </w:tcPr>
          <w:p w14:paraId="58EC73C5"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74D7620D"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05D98823"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0548510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425A2B4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183A13B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(738)</w:t>
            </w:r>
          </w:p>
        </w:tc>
        <w:tc>
          <w:tcPr>
            <w:tcW w:w="460" w:type="pct"/>
          </w:tcPr>
          <w:p w14:paraId="07120DD3"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(738)</w:t>
            </w:r>
          </w:p>
        </w:tc>
      </w:tr>
      <w:tr w:rsidR="00A874EF" w:rsidRPr="00EC6B6B" w14:paraId="04EA3C67" w14:textId="77777777" w:rsidTr="00A874EF">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21258DC9" w14:textId="77777777" w:rsidR="00A874EF" w:rsidRPr="00EC6B6B" w:rsidRDefault="00A874EF" w:rsidP="00895F89">
            <w:pPr>
              <w:pStyle w:val="TableText"/>
              <w:spacing w:before="40"/>
            </w:pPr>
            <w:r w:rsidRPr="00EC6B6B">
              <w:t>Transfer to disposal group held for sale</w:t>
            </w:r>
          </w:p>
        </w:tc>
        <w:tc>
          <w:tcPr>
            <w:tcW w:w="428" w:type="pct"/>
          </w:tcPr>
          <w:p w14:paraId="38BD1430"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48BC49CE"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8" w:type="pct"/>
          </w:tcPr>
          <w:p w14:paraId="7A6851E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61" w:type="pct"/>
          </w:tcPr>
          <w:p w14:paraId="0F1B049B"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16792EBB"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28" w:type="pct"/>
          </w:tcPr>
          <w:p w14:paraId="4202699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7" w:type="pct"/>
          </w:tcPr>
          <w:p w14:paraId="7198AAE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(178)</w:t>
            </w:r>
          </w:p>
        </w:tc>
        <w:tc>
          <w:tcPr>
            <w:tcW w:w="428" w:type="pct"/>
          </w:tcPr>
          <w:p w14:paraId="08E147D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Pr>
          <w:p w14:paraId="458E00E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c>
          <w:tcPr>
            <w:tcW w:w="460" w:type="pct"/>
          </w:tcPr>
          <w:p w14:paraId="73C5C382"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(178)</w:t>
            </w:r>
          </w:p>
        </w:tc>
      </w:tr>
      <w:tr w:rsidR="00A874EF" w:rsidRPr="00EC6B6B" w14:paraId="7CE79F57" w14:textId="77777777" w:rsidTr="00D46E6D">
        <w:trPr>
          <w:trHeight w:val="60"/>
        </w:trPr>
        <w:tc>
          <w:tcPr>
            <w:cnfStyle w:val="001000000000" w:firstRow="0" w:lastRow="0" w:firstColumn="1" w:lastColumn="0" w:oddVBand="0" w:evenVBand="0" w:oddHBand="0" w:evenHBand="0" w:firstRowFirstColumn="0" w:firstRowLastColumn="0" w:lastRowFirstColumn="0" w:lastRowLastColumn="0"/>
            <w:tcW w:w="658" w:type="pct"/>
            <w:tcBorders>
              <w:bottom w:val="single" w:sz="4" w:space="0" w:color="auto"/>
            </w:tcBorders>
          </w:tcPr>
          <w:p w14:paraId="291BFDBB" w14:textId="77777777" w:rsidR="00A874EF" w:rsidRPr="00EC6B6B" w:rsidRDefault="00A874EF" w:rsidP="00895F89">
            <w:pPr>
              <w:pStyle w:val="TableText"/>
              <w:spacing w:before="40"/>
            </w:pPr>
            <w:r w:rsidRPr="00EC6B6B">
              <w:t>Transfer in/out of assets under construction</w:t>
            </w:r>
          </w:p>
        </w:tc>
        <w:tc>
          <w:tcPr>
            <w:tcW w:w="428" w:type="pct"/>
            <w:tcBorders>
              <w:bottom w:val="single" w:sz="4" w:space="0" w:color="auto"/>
            </w:tcBorders>
          </w:tcPr>
          <w:p w14:paraId="31E1BF42"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7,989 </w:t>
            </w:r>
          </w:p>
        </w:tc>
        <w:tc>
          <w:tcPr>
            <w:tcW w:w="427" w:type="pct"/>
            <w:tcBorders>
              <w:bottom w:val="single" w:sz="4" w:space="0" w:color="auto"/>
            </w:tcBorders>
          </w:tcPr>
          <w:p w14:paraId="3C73160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29,299 </w:t>
            </w:r>
          </w:p>
        </w:tc>
        <w:tc>
          <w:tcPr>
            <w:tcW w:w="428" w:type="pct"/>
            <w:tcBorders>
              <w:bottom w:val="single" w:sz="4" w:space="0" w:color="auto"/>
            </w:tcBorders>
          </w:tcPr>
          <w:p w14:paraId="2620D639"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61" w:type="pct"/>
            <w:tcBorders>
              <w:bottom w:val="single" w:sz="4" w:space="0" w:color="auto"/>
            </w:tcBorders>
          </w:tcPr>
          <w:p w14:paraId="54C70DB7"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11,197 </w:t>
            </w:r>
          </w:p>
        </w:tc>
        <w:tc>
          <w:tcPr>
            <w:tcW w:w="427" w:type="pct"/>
            <w:tcBorders>
              <w:bottom w:val="single" w:sz="4" w:space="0" w:color="auto"/>
            </w:tcBorders>
          </w:tcPr>
          <w:p w14:paraId="2CAD0B31"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241 </w:t>
            </w:r>
          </w:p>
        </w:tc>
        <w:tc>
          <w:tcPr>
            <w:tcW w:w="428" w:type="pct"/>
            <w:tcBorders>
              <w:bottom w:val="single" w:sz="4" w:space="0" w:color="auto"/>
            </w:tcBorders>
          </w:tcPr>
          <w:p w14:paraId="0593300B"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9,204 </w:t>
            </w:r>
          </w:p>
        </w:tc>
        <w:tc>
          <w:tcPr>
            <w:tcW w:w="427" w:type="pct"/>
            <w:tcBorders>
              <w:bottom w:val="single" w:sz="4" w:space="0" w:color="auto"/>
            </w:tcBorders>
          </w:tcPr>
          <w:p w14:paraId="7AA6D648"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Borders>
              <w:bottom w:val="single" w:sz="4" w:space="0" w:color="auto"/>
            </w:tcBorders>
          </w:tcPr>
          <w:p w14:paraId="6D778283"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 xml:space="preserve">0 </w:t>
            </w:r>
          </w:p>
        </w:tc>
        <w:tc>
          <w:tcPr>
            <w:tcW w:w="428" w:type="pct"/>
            <w:tcBorders>
              <w:bottom w:val="single" w:sz="4" w:space="0" w:color="auto"/>
            </w:tcBorders>
          </w:tcPr>
          <w:p w14:paraId="1CD6CD42"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(57,929)</w:t>
            </w:r>
          </w:p>
        </w:tc>
        <w:tc>
          <w:tcPr>
            <w:tcW w:w="460" w:type="pct"/>
            <w:tcBorders>
              <w:bottom w:val="single" w:sz="4" w:space="0" w:color="auto"/>
            </w:tcBorders>
          </w:tcPr>
          <w:p w14:paraId="778D2594" w14:textId="77777777" w:rsidR="00A874EF" w:rsidRPr="00EC6B6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pPr>
            <w:r w:rsidRPr="00EC6B6B">
              <w:t>(0)</w:t>
            </w:r>
          </w:p>
        </w:tc>
      </w:tr>
      <w:tr w:rsidR="00A874EF" w:rsidRPr="00E07D3B" w14:paraId="7FC96B2B" w14:textId="77777777" w:rsidTr="00D46E6D">
        <w:trPr>
          <w:trHeight w:val="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auto"/>
              <w:bottom w:val="single" w:sz="4" w:space="0" w:color="auto"/>
            </w:tcBorders>
          </w:tcPr>
          <w:p w14:paraId="5CD8C11E" w14:textId="68FF4CAC" w:rsidR="00A874EF" w:rsidRPr="00E07D3B" w:rsidRDefault="00E07D3B" w:rsidP="00895F89">
            <w:pPr>
              <w:pStyle w:val="TableText"/>
              <w:spacing w:before="40"/>
              <w:rPr>
                <w:rStyle w:val="Bold"/>
              </w:rPr>
            </w:pPr>
            <w:r w:rsidRPr="00E07D3B">
              <w:rPr>
                <w:rStyle w:val="Bold"/>
              </w:rPr>
              <w:t>Total</w:t>
            </w:r>
          </w:p>
        </w:tc>
        <w:tc>
          <w:tcPr>
            <w:tcW w:w="428" w:type="pct"/>
            <w:tcBorders>
              <w:top w:val="single" w:sz="4" w:space="0" w:color="auto"/>
              <w:bottom w:val="single" w:sz="4" w:space="0" w:color="auto"/>
            </w:tcBorders>
          </w:tcPr>
          <w:p w14:paraId="02758720"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464,958</w:t>
            </w:r>
          </w:p>
        </w:tc>
        <w:tc>
          <w:tcPr>
            <w:tcW w:w="427" w:type="pct"/>
            <w:tcBorders>
              <w:top w:val="single" w:sz="4" w:space="0" w:color="auto"/>
              <w:bottom w:val="single" w:sz="4" w:space="0" w:color="auto"/>
            </w:tcBorders>
          </w:tcPr>
          <w:p w14:paraId="71CD8753"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504,146</w:t>
            </w:r>
          </w:p>
        </w:tc>
        <w:tc>
          <w:tcPr>
            <w:tcW w:w="428" w:type="pct"/>
            <w:tcBorders>
              <w:top w:val="single" w:sz="4" w:space="0" w:color="auto"/>
              <w:bottom w:val="single" w:sz="4" w:space="0" w:color="auto"/>
            </w:tcBorders>
          </w:tcPr>
          <w:p w14:paraId="74CD7DE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31,224</w:t>
            </w:r>
          </w:p>
        </w:tc>
        <w:tc>
          <w:tcPr>
            <w:tcW w:w="461" w:type="pct"/>
            <w:tcBorders>
              <w:top w:val="single" w:sz="4" w:space="0" w:color="auto"/>
              <w:bottom w:val="single" w:sz="4" w:space="0" w:color="auto"/>
            </w:tcBorders>
          </w:tcPr>
          <w:p w14:paraId="0A63F65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20,750</w:t>
            </w:r>
          </w:p>
        </w:tc>
        <w:tc>
          <w:tcPr>
            <w:tcW w:w="427" w:type="pct"/>
            <w:tcBorders>
              <w:top w:val="single" w:sz="4" w:space="0" w:color="auto"/>
              <w:bottom w:val="single" w:sz="4" w:space="0" w:color="auto"/>
            </w:tcBorders>
          </w:tcPr>
          <w:p w14:paraId="45273F93"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3,652</w:t>
            </w:r>
          </w:p>
        </w:tc>
        <w:tc>
          <w:tcPr>
            <w:tcW w:w="428" w:type="pct"/>
            <w:tcBorders>
              <w:top w:val="single" w:sz="4" w:space="0" w:color="auto"/>
              <w:bottom w:val="single" w:sz="4" w:space="0" w:color="auto"/>
            </w:tcBorders>
          </w:tcPr>
          <w:p w14:paraId="0DBED3AE"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16,943</w:t>
            </w:r>
          </w:p>
        </w:tc>
        <w:tc>
          <w:tcPr>
            <w:tcW w:w="427" w:type="pct"/>
            <w:tcBorders>
              <w:top w:val="single" w:sz="4" w:space="0" w:color="auto"/>
              <w:bottom w:val="single" w:sz="4" w:space="0" w:color="auto"/>
            </w:tcBorders>
          </w:tcPr>
          <w:p w14:paraId="6CCB758D"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10,218</w:t>
            </w:r>
          </w:p>
        </w:tc>
        <w:tc>
          <w:tcPr>
            <w:tcW w:w="428" w:type="pct"/>
            <w:tcBorders>
              <w:top w:val="single" w:sz="4" w:space="0" w:color="auto"/>
              <w:bottom w:val="single" w:sz="4" w:space="0" w:color="auto"/>
            </w:tcBorders>
          </w:tcPr>
          <w:p w14:paraId="54699D0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916</w:t>
            </w:r>
          </w:p>
        </w:tc>
        <w:tc>
          <w:tcPr>
            <w:tcW w:w="428" w:type="pct"/>
            <w:tcBorders>
              <w:top w:val="single" w:sz="4" w:space="0" w:color="auto"/>
              <w:bottom w:val="single" w:sz="4" w:space="0" w:color="auto"/>
            </w:tcBorders>
          </w:tcPr>
          <w:p w14:paraId="72BA0AA7"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81,355</w:t>
            </w:r>
          </w:p>
        </w:tc>
        <w:tc>
          <w:tcPr>
            <w:tcW w:w="460" w:type="pct"/>
            <w:tcBorders>
              <w:top w:val="single" w:sz="4" w:space="0" w:color="auto"/>
              <w:bottom w:val="single" w:sz="4" w:space="0" w:color="auto"/>
            </w:tcBorders>
          </w:tcPr>
          <w:p w14:paraId="6637A532" w14:textId="77777777" w:rsidR="00A874EF" w:rsidRPr="00E07D3B" w:rsidRDefault="00A874EF" w:rsidP="00895F89">
            <w:pPr>
              <w:pStyle w:val="TableText"/>
              <w:spacing w:before="40"/>
              <w:cnfStyle w:val="000000000000" w:firstRow="0" w:lastRow="0" w:firstColumn="0" w:lastColumn="0" w:oddVBand="0" w:evenVBand="0" w:oddHBand="0" w:evenHBand="0" w:firstRowFirstColumn="0" w:firstRowLastColumn="0" w:lastRowFirstColumn="0" w:lastRowLastColumn="0"/>
              <w:rPr>
                <w:rStyle w:val="Bold"/>
              </w:rPr>
            </w:pPr>
            <w:r w:rsidRPr="00E07D3B">
              <w:rPr>
                <w:rStyle w:val="Bold"/>
              </w:rPr>
              <w:t>1,134,163</w:t>
            </w:r>
          </w:p>
        </w:tc>
      </w:tr>
    </w:tbl>
    <w:p w14:paraId="08AEB32A" w14:textId="413BB1FF" w:rsidR="00B71F92" w:rsidRDefault="00B71F92">
      <w:r>
        <w:t>201</w:t>
      </w:r>
      <w:r w:rsidR="00C61B54">
        <w:t>9</w:t>
      </w:r>
    </w:p>
    <w:tbl>
      <w:tblPr>
        <w:tblStyle w:val="AccessibleTableNumerical"/>
        <w:tblW w:w="5000" w:type="pct"/>
        <w:tblLook w:val="04A0" w:firstRow="1" w:lastRow="0" w:firstColumn="1" w:lastColumn="0" w:noHBand="0" w:noVBand="1"/>
      </w:tblPr>
      <w:tblGrid>
        <w:gridCol w:w="2835"/>
        <w:gridCol w:w="1844"/>
        <w:gridCol w:w="1844"/>
        <w:gridCol w:w="1840"/>
        <w:gridCol w:w="1987"/>
        <w:gridCol w:w="1853"/>
        <w:gridCol w:w="1866"/>
        <w:gridCol w:w="1836"/>
        <w:gridCol w:w="1840"/>
        <w:gridCol w:w="1840"/>
        <w:gridCol w:w="1961"/>
      </w:tblGrid>
      <w:tr w:rsidR="00C61B54" w:rsidRPr="00C61B54" w14:paraId="05D93CE6" w14:textId="77777777" w:rsidTr="00C61B54">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658" w:type="pct"/>
          </w:tcPr>
          <w:p w14:paraId="1FF71EB9" w14:textId="545E3F29" w:rsidR="00C61B54" w:rsidRPr="00C61B54" w:rsidRDefault="00C61B54" w:rsidP="00895F89">
            <w:pPr>
              <w:pStyle w:val="TableText"/>
              <w:spacing w:before="40" w:after="40"/>
              <w:rPr>
                <w:rStyle w:val="Bold"/>
              </w:rPr>
            </w:pPr>
            <w:bookmarkStart w:id="353" w:name="ColumnTitle_76117"/>
            <w:r w:rsidRPr="00C61B54">
              <w:rPr>
                <w:rStyle w:val="Bold"/>
              </w:rPr>
              <w:t>Item</w:t>
            </w:r>
          </w:p>
        </w:tc>
        <w:tc>
          <w:tcPr>
            <w:tcW w:w="428" w:type="pct"/>
            <w:vAlign w:val="bottom"/>
          </w:tcPr>
          <w:p w14:paraId="66627227" w14:textId="019B1DE6"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sidRPr="00C61B54">
              <w:rPr>
                <w:rStyle w:val="Bold"/>
              </w:rPr>
              <w:t>Specialised land at fair value</w:t>
            </w:r>
            <w:r w:rsidRPr="00C61B54">
              <w:rPr>
                <w:rStyle w:val="Bold"/>
              </w:rPr>
              <w:br/>
              <w:t>$’000</w:t>
            </w:r>
          </w:p>
        </w:tc>
        <w:tc>
          <w:tcPr>
            <w:tcW w:w="428" w:type="pct"/>
            <w:vAlign w:val="bottom"/>
          </w:tcPr>
          <w:p w14:paraId="69C21EED" w14:textId="654D8489"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sidRPr="00C61B54">
              <w:rPr>
                <w:rStyle w:val="Bold"/>
              </w:rPr>
              <w:t xml:space="preserve">Specialised buildings </w:t>
            </w:r>
            <w:r w:rsidR="00AB6857">
              <w:rPr>
                <w:rStyle w:val="Bold"/>
              </w:rPr>
              <w:br/>
            </w:r>
            <w:r w:rsidRPr="00C61B54">
              <w:rPr>
                <w:rStyle w:val="Bold"/>
              </w:rPr>
              <w:t>at fair value</w:t>
            </w:r>
            <w:r w:rsidRPr="00C61B54">
              <w:rPr>
                <w:rStyle w:val="Bold"/>
              </w:rPr>
              <w:br/>
              <w:t>$’000</w:t>
            </w:r>
          </w:p>
        </w:tc>
        <w:tc>
          <w:tcPr>
            <w:tcW w:w="427" w:type="pct"/>
            <w:vAlign w:val="bottom"/>
          </w:tcPr>
          <w:p w14:paraId="5729655B" w14:textId="69E25D19"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Buildings leasehold </w:t>
            </w:r>
            <w:r w:rsidR="00AB6857">
              <w:rPr>
                <w:rStyle w:val="Bold"/>
              </w:rPr>
              <w:br/>
            </w:r>
            <w:r>
              <w:rPr>
                <w:rStyle w:val="Bold"/>
              </w:rPr>
              <w:t>at fair value</w:t>
            </w:r>
            <w:r>
              <w:rPr>
                <w:rStyle w:val="Bold"/>
              </w:rPr>
              <w:br/>
              <w:t>$’000</w:t>
            </w:r>
          </w:p>
        </w:tc>
        <w:tc>
          <w:tcPr>
            <w:tcW w:w="461" w:type="pct"/>
            <w:vAlign w:val="bottom"/>
          </w:tcPr>
          <w:p w14:paraId="6A22262E" w14:textId="2C1A866A"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Leasehold improvements </w:t>
            </w:r>
            <w:r w:rsidR="00AB6857">
              <w:rPr>
                <w:rStyle w:val="Bold"/>
              </w:rPr>
              <w:br/>
            </w:r>
            <w:r>
              <w:rPr>
                <w:rStyle w:val="Bold"/>
              </w:rPr>
              <w:t>at fair value</w:t>
            </w:r>
            <w:r>
              <w:rPr>
                <w:rStyle w:val="Bold"/>
              </w:rPr>
              <w:br/>
              <w:t>$’000</w:t>
            </w:r>
          </w:p>
        </w:tc>
        <w:tc>
          <w:tcPr>
            <w:tcW w:w="430" w:type="pct"/>
            <w:vAlign w:val="bottom"/>
          </w:tcPr>
          <w:p w14:paraId="44D2C9B9" w14:textId="10A34D6D"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Plant and equipment </w:t>
            </w:r>
            <w:r w:rsidR="00AB6857">
              <w:rPr>
                <w:rStyle w:val="Bold"/>
              </w:rPr>
              <w:br/>
            </w:r>
            <w:r>
              <w:rPr>
                <w:rStyle w:val="Bold"/>
              </w:rPr>
              <w:t>at fair value</w:t>
            </w:r>
            <w:r>
              <w:rPr>
                <w:rStyle w:val="Bold"/>
              </w:rPr>
              <w:br/>
              <w:t>$’000</w:t>
            </w:r>
          </w:p>
        </w:tc>
        <w:tc>
          <w:tcPr>
            <w:tcW w:w="433" w:type="pct"/>
            <w:vAlign w:val="bottom"/>
          </w:tcPr>
          <w:p w14:paraId="65918C35" w14:textId="4A6494F7"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Computer and communication equipment</w:t>
            </w:r>
            <w:r>
              <w:rPr>
                <w:rStyle w:val="Bold"/>
              </w:rPr>
              <w:br/>
              <w:t>$’000</w:t>
            </w:r>
          </w:p>
        </w:tc>
        <w:tc>
          <w:tcPr>
            <w:tcW w:w="426" w:type="pct"/>
            <w:vAlign w:val="bottom"/>
          </w:tcPr>
          <w:p w14:paraId="79B9D6AC" w14:textId="63DE1BEC" w:rsid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Leased plant and equipment </w:t>
            </w:r>
            <w:r w:rsidR="00AB6857">
              <w:rPr>
                <w:rStyle w:val="Bold"/>
              </w:rPr>
              <w:br/>
            </w:r>
            <w:r>
              <w:rPr>
                <w:rStyle w:val="Bold"/>
              </w:rPr>
              <w:t>at fair value</w:t>
            </w:r>
          </w:p>
          <w:p w14:paraId="1BBCAA78" w14:textId="6E14F432"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c>
          <w:tcPr>
            <w:tcW w:w="427" w:type="pct"/>
            <w:vAlign w:val="bottom"/>
          </w:tcPr>
          <w:p w14:paraId="2FE46F92" w14:textId="5AE217F5"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Cultural assets </w:t>
            </w:r>
            <w:r w:rsidR="00AB6857">
              <w:rPr>
                <w:rStyle w:val="Bold"/>
              </w:rPr>
              <w:br/>
            </w:r>
            <w:r>
              <w:rPr>
                <w:rStyle w:val="Bold"/>
              </w:rPr>
              <w:t>at fair value</w:t>
            </w:r>
            <w:r>
              <w:rPr>
                <w:rStyle w:val="Bold"/>
              </w:rPr>
              <w:br/>
              <w:t>$’000</w:t>
            </w:r>
          </w:p>
        </w:tc>
        <w:tc>
          <w:tcPr>
            <w:tcW w:w="427" w:type="pct"/>
            <w:vAlign w:val="bottom"/>
          </w:tcPr>
          <w:p w14:paraId="699913CC" w14:textId="2EBDE912"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Assets under construction </w:t>
            </w:r>
            <w:r w:rsidR="00AB6857">
              <w:rPr>
                <w:rStyle w:val="Bold"/>
              </w:rPr>
              <w:br/>
            </w:r>
            <w:r>
              <w:rPr>
                <w:rStyle w:val="Bold"/>
              </w:rPr>
              <w:t>at cost</w:t>
            </w:r>
            <w:r>
              <w:rPr>
                <w:rStyle w:val="Bold"/>
              </w:rPr>
              <w:br/>
              <w:t>$’000</w:t>
            </w:r>
          </w:p>
        </w:tc>
        <w:tc>
          <w:tcPr>
            <w:tcW w:w="455" w:type="pct"/>
            <w:vAlign w:val="bottom"/>
          </w:tcPr>
          <w:p w14:paraId="30995832" w14:textId="47154568" w:rsidR="00C61B54" w:rsidRPr="00C61B54" w:rsidRDefault="00C61B54" w:rsidP="00895F89">
            <w:pPr>
              <w:pStyle w:val="TableText"/>
              <w:spacing w:before="40" w:after="40"/>
              <w:cnfStyle w:val="100000000000" w:firstRow="1" w:lastRow="0" w:firstColumn="0" w:lastColumn="0" w:oddVBand="0" w:evenVBand="0" w:oddHBand="0" w:evenHBand="0" w:firstRowFirstColumn="0" w:firstRowLastColumn="0" w:lastRowFirstColumn="0" w:lastRowLastColumn="0"/>
              <w:rPr>
                <w:rStyle w:val="Bold"/>
              </w:rPr>
            </w:pPr>
            <w:r>
              <w:rPr>
                <w:rStyle w:val="Bold"/>
              </w:rPr>
              <w:t>Total</w:t>
            </w:r>
            <w:r>
              <w:rPr>
                <w:rStyle w:val="Bold"/>
              </w:rPr>
              <w:br/>
              <w:t>$’000</w:t>
            </w:r>
          </w:p>
        </w:tc>
      </w:tr>
      <w:bookmarkEnd w:id="353"/>
      <w:tr w:rsidR="00C61B54" w:rsidRPr="00C61B54" w14:paraId="6C608278"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129CAB0D" w14:textId="66C3C70C" w:rsidR="00C61B54" w:rsidRPr="00C61B54" w:rsidRDefault="00C61B54" w:rsidP="00895F89">
            <w:pPr>
              <w:pStyle w:val="TableText"/>
              <w:spacing w:before="40" w:after="40"/>
              <w:rPr>
                <w:rStyle w:val="Bold"/>
              </w:rPr>
            </w:pPr>
            <w:r w:rsidRPr="00C61B54">
              <w:rPr>
                <w:rStyle w:val="Bold"/>
              </w:rPr>
              <w:t>Opening balance (Restated)</w:t>
            </w:r>
          </w:p>
        </w:tc>
        <w:tc>
          <w:tcPr>
            <w:tcW w:w="428" w:type="pct"/>
          </w:tcPr>
          <w:p w14:paraId="1F5AD5E9"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412,632</w:t>
            </w:r>
          </w:p>
        </w:tc>
        <w:tc>
          <w:tcPr>
            <w:tcW w:w="428" w:type="pct"/>
          </w:tcPr>
          <w:p w14:paraId="7ACD0A5B"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401,670</w:t>
            </w:r>
          </w:p>
        </w:tc>
        <w:tc>
          <w:tcPr>
            <w:tcW w:w="427" w:type="pct"/>
          </w:tcPr>
          <w:p w14:paraId="27134689"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49,320</w:t>
            </w:r>
          </w:p>
        </w:tc>
        <w:tc>
          <w:tcPr>
            <w:tcW w:w="461" w:type="pct"/>
          </w:tcPr>
          <w:p w14:paraId="2985CAD1"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4,031</w:t>
            </w:r>
          </w:p>
        </w:tc>
        <w:tc>
          <w:tcPr>
            <w:tcW w:w="430" w:type="pct"/>
          </w:tcPr>
          <w:p w14:paraId="19F4415C"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3,316</w:t>
            </w:r>
          </w:p>
        </w:tc>
        <w:tc>
          <w:tcPr>
            <w:tcW w:w="433" w:type="pct"/>
          </w:tcPr>
          <w:p w14:paraId="4A7C1CAB"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12,222</w:t>
            </w:r>
          </w:p>
        </w:tc>
        <w:tc>
          <w:tcPr>
            <w:tcW w:w="426" w:type="pct"/>
          </w:tcPr>
          <w:p w14:paraId="1664B972"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9,490</w:t>
            </w:r>
          </w:p>
        </w:tc>
        <w:tc>
          <w:tcPr>
            <w:tcW w:w="427" w:type="pct"/>
          </w:tcPr>
          <w:p w14:paraId="312AFE6A"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916</w:t>
            </w:r>
          </w:p>
        </w:tc>
        <w:tc>
          <w:tcPr>
            <w:tcW w:w="427" w:type="pct"/>
          </w:tcPr>
          <w:p w14:paraId="596F0498"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32,812</w:t>
            </w:r>
          </w:p>
        </w:tc>
        <w:tc>
          <w:tcPr>
            <w:tcW w:w="455" w:type="pct"/>
          </w:tcPr>
          <w:p w14:paraId="13101E21"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926,408</w:t>
            </w:r>
          </w:p>
        </w:tc>
      </w:tr>
      <w:tr w:rsidR="00C61B54" w:rsidRPr="00AC0ED0" w14:paraId="718BB222"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4D7A356C" w14:textId="77777777" w:rsidR="00C61B54" w:rsidRPr="00AC0ED0" w:rsidRDefault="00C61B54" w:rsidP="00895F89">
            <w:pPr>
              <w:pStyle w:val="TableText"/>
              <w:spacing w:before="40" w:after="40"/>
            </w:pPr>
            <w:r w:rsidRPr="00AC0ED0">
              <w:t>Additions</w:t>
            </w:r>
          </w:p>
        </w:tc>
        <w:tc>
          <w:tcPr>
            <w:tcW w:w="428" w:type="pct"/>
          </w:tcPr>
          <w:p w14:paraId="64604593"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5C5A145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06CAEB5B"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61" w:type="pct"/>
          </w:tcPr>
          <w:p w14:paraId="31B3B9CE"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0" w:type="pct"/>
          </w:tcPr>
          <w:p w14:paraId="34D8CE36"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24 </w:t>
            </w:r>
          </w:p>
        </w:tc>
        <w:tc>
          <w:tcPr>
            <w:tcW w:w="433" w:type="pct"/>
          </w:tcPr>
          <w:p w14:paraId="7C6BAAD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6" w:type="pct"/>
          </w:tcPr>
          <w:p w14:paraId="49859694"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5,262 </w:t>
            </w:r>
          </w:p>
        </w:tc>
        <w:tc>
          <w:tcPr>
            <w:tcW w:w="427" w:type="pct"/>
          </w:tcPr>
          <w:p w14:paraId="24EE8681"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6DAADB6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54,689 </w:t>
            </w:r>
          </w:p>
        </w:tc>
        <w:tc>
          <w:tcPr>
            <w:tcW w:w="455" w:type="pct"/>
          </w:tcPr>
          <w:p w14:paraId="4EB0D943"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59,975</w:t>
            </w:r>
          </w:p>
        </w:tc>
      </w:tr>
      <w:tr w:rsidR="00C61B54" w:rsidRPr="00AC0ED0" w14:paraId="3805D493"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173DB78B" w14:textId="77777777" w:rsidR="00C61B54" w:rsidRPr="00AC0ED0" w:rsidRDefault="00C61B54" w:rsidP="00895F89">
            <w:pPr>
              <w:pStyle w:val="TableText"/>
              <w:spacing w:before="40" w:after="40"/>
            </w:pPr>
            <w:r w:rsidRPr="00AC0ED0">
              <w:t>Disposals</w:t>
            </w:r>
          </w:p>
        </w:tc>
        <w:tc>
          <w:tcPr>
            <w:tcW w:w="428" w:type="pct"/>
          </w:tcPr>
          <w:p w14:paraId="35B7064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49785670"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2898EA92"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61" w:type="pct"/>
          </w:tcPr>
          <w:p w14:paraId="0D6B9B63"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0" w:type="pct"/>
          </w:tcPr>
          <w:p w14:paraId="2DCA1169"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(6)</w:t>
            </w:r>
          </w:p>
        </w:tc>
        <w:tc>
          <w:tcPr>
            <w:tcW w:w="433" w:type="pct"/>
          </w:tcPr>
          <w:p w14:paraId="3C0AA982"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6" w:type="pct"/>
          </w:tcPr>
          <w:p w14:paraId="0015BB32"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(2,249)</w:t>
            </w:r>
          </w:p>
        </w:tc>
        <w:tc>
          <w:tcPr>
            <w:tcW w:w="427" w:type="pct"/>
          </w:tcPr>
          <w:p w14:paraId="5CBB0DE8"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0F116596"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55" w:type="pct"/>
          </w:tcPr>
          <w:p w14:paraId="2972E69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(2,255)</w:t>
            </w:r>
          </w:p>
        </w:tc>
      </w:tr>
      <w:tr w:rsidR="00C61B54" w:rsidRPr="00AC0ED0" w14:paraId="33029C7E"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52B8E670" w14:textId="77777777" w:rsidR="00C61B54" w:rsidRPr="00AC0ED0" w:rsidRDefault="00C61B54" w:rsidP="00895F89">
            <w:pPr>
              <w:pStyle w:val="TableText"/>
              <w:spacing w:before="40" w:after="40"/>
            </w:pPr>
            <w:r w:rsidRPr="00AC0ED0">
              <w:t>Depreciation</w:t>
            </w:r>
          </w:p>
        </w:tc>
        <w:tc>
          <w:tcPr>
            <w:tcW w:w="428" w:type="pct"/>
          </w:tcPr>
          <w:p w14:paraId="1A6D4B21"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6DE7EEC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(28,138)</w:t>
            </w:r>
          </w:p>
        </w:tc>
        <w:tc>
          <w:tcPr>
            <w:tcW w:w="427" w:type="pct"/>
          </w:tcPr>
          <w:p w14:paraId="75C1290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(17,621)</w:t>
            </w:r>
          </w:p>
        </w:tc>
        <w:tc>
          <w:tcPr>
            <w:tcW w:w="461" w:type="pct"/>
          </w:tcPr>
          <w:p w14:paraId="0E50DE39"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(1,209)</w:t>
            </w:r>
          </w:p>
        </w:tc>
        <w:tc>
          <w:tcPr>
            <w:tcW w:w="430" w:type="pct"/>
          </w:tcPr>
          <w:p w14:paraId="2CA8ADA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(548)</w:t>
            </w:r>
          </w:p>
        </w:tc>
        <w:tc>
          <w:tcPr>
            <w:tcW w:w="433" w:type="pct"/>
          </w:tcPr>
          <w:p w14:paraId="5E1A5627"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(4,550)</w:t>
            </w:r>
          </w:p>
        </w:tc>
        <w:tc>
          <w:tcPr>
            <w:tcW w:w="426" w:type="pct"/>
          </w:tcPr>
          <w:p w14:paraId="3367ED63"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(2,428)</w:t>
            </w:r>
          </w:p>
        </w:tc>
        <w:tc>
          <w:tcPr>
            <w:tcW w:w="427" w:type="pct"/>
          </w:tcPr>
          <w:p w14:paraId="350AB2E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767EFE4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55" w:type="pct"/>
          </w:tcPr>
          <w:p w14:paraId="00ED848C"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(54,494)</w:t>
            </w:r>
          </w:p>
        </w:tc>
      </w:tr>
      <w:tr w:rsidR="00C61B54" w:rsidRPr="00AC0ED0" w14:paraId="5C3AA9E9"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063A5902" w14:textId="77777777" w:rsidR="00C61B54" w:rsidRPr="00AC0ED0" w:rsidRDefault="00C61B54" w:rsidP="00895F89">
            <w:pPr>
              <w:pStyle w:val="TableText"/>
              <w:spacing w:before="40" w:after="40"/>
            </w:pPr>
            <w:r w:rsidRPr="00AC0ED0">
              <w:t>Revaluation of property</w:t>
            </w:r>
          </w:p>
        </w:tc>
        <w:tc>
          <w:tcPr>
            <w:tcW w:w="428" w:type="pct"/>
          </w:tcPr>
          <w:p w14:paraId="0775486E"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3968639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37,804 </w:t>
            </w:r>
          </w:p>
        </w:tc>
        <w:tc>
          <w:tcPr>
            <w:tcW w:w="427" w:type="pct"/>
          </w:tcPr>
          <w:p w14:paraId="74C25057"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16,040 </w:t>
            </w:r>
          </w:p>
        </w:tc>
        <w:tc>
          <w:tcPr>
            <w:tcW w:w="461" w:type="pct"/>
          </w:tcPr>
          <w:p w14:paraId="5D911B14"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0" w:type="pct"/>
          </w:tcPr>
          <w:p w14:paraId="0BEDAB8C"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3" w:type="pct"/>
          </w:tcPr>
          <w:p w14:paraId="37DAC817"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6" w:type="pct"/>
          </w:tcPr>
          <w:p w14:paraId="5F3AF6F7"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74214F0C"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3CE28016"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55" w:type="pct"/>
          </w:tcPr>
          <w:p w14:paraId="5858A83A"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53,844 </w:t>
            </w:r>
          </w:p>
        </w:tc>
      </w:tr>
      <w:tr w:rsidR="00C61B54" w:rsidRPr="00AC0ED0" w14:paraId="750FA84F"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51953E9D" w14:textId="77777777" w:rsidR="00C61B54" w:rsidRPr="00AC0ED0" w:rsidRDefault="00C61B54" w:rsidP="00895F89">
            <w:pPr>
              <w:pStyle w:val="TableText"/>
              <w:spacing w:before="40" w:after="40"/>
            </w:pPr>
            <w:r w:rsidRPr="00AC0ED0">
              <w:t>Transfer between asset classes</w:t>
            </w:r>
          </w:p>
        </w:tc>
        <w:tc>
          <w:tcPr>
            <w:tcW w:w="428" w:type="pct"/>
          </w:tcPr>
          <w:p w14:paraId="658FE73F"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5CA75066"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19C44434"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61" w:type="pct"/>
          </w:tcPr>
          <w:p w14:paraId="19794EFE"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0" w:type="pct"/>
          </w:tcPr>
          <w:p w14:paraId="476080E9"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3" w:type="pct"/>
          </w:tcPr>
          <w:p w14:paraId="5C3E54E4"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6" w:type="pct"/>
          </w:tcPr>
          <w:p w14:paraId="5E4B9E6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0</w:t>
            </w:r>
          </w:p>
        </w:tc>
        <w:tc>
          <w:tcPr>
            <w:tcW w:w="427" w:type="pct"/>
          </w:tcPr>
          <w:p w14:paraId="1608744B"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5D620E6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(3,581)</w:t>
            </w:r>
          </w:p>
        </w:tc>
        <w:tc>
          <w:tcPr>
            <w:tcW w:w="455" w:type="pct"/>
          </w:tcPr>
          <w:p w14:paraId="15D059BF"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(3,581)</w:t>
            </w:r>
          </w:p>
        </w:tc>
      </w:tr>
      <w:tr w:rsidR="00C61B54" w:rsidRPr="00AC0ED0" w14:paraId="678A4C20" w14:textId="77777777" w:rsidTr="00C61B54">
        <w:trPr>
          <w:trHeight w:val="60"/>
        </w:trPr>
        <w:tc>
          <w:tcPr>
            <w:cnfStyle w:val="001000000000" w:firstRow="0" w:lastRow="0" w:firstColumn="1" w:lastColumn="0" w:oddVBand="0" w:evenVBand="0" w:oddHBand="0" w:evenHBand="0" w:firstRowFirstColumn="0" w:firstRowLastColumn="0" w:lastRowFirstColumn="0" w:lastRowLastColumn="0"/>
            <w:tcW w:w="658" w:type="pct"/>
          </w:tcPr>
          <w:p w14:paraId="74B8DA2E" w14:textId="77777777" w:rsidR="00C61B54" w:rsidRPr="00AC0ED0" w:rsidRDefault="00C61B54" w:rsidP="00895F89">
            <w:pPr>
              <w:pStyle w:val="TableText"/>
              <w:spacing w:before="40" w:after="40"/>
            </w:pPr>
            <w:r w:rsidRPr="00AC0ED0">
              <w:t>Transfer to disposal group held for sale</w:t>
            </w:r>
          </w:p>
        </w:tc>
        <w:tc>
          <w:tcPr>
            <w:tcW w:w="428" w:type="pct"/>
          </w:tcPr>
          <w:p w14:paraId="7296FDBC"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Pr>
          <w:p w14:paraId="25910C36"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488E3148"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61" w:type="pct"/>
          </w:tcPr>
          <w:p w14:paraId="120583CE"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0" w:type="pct"/>
          </w:tcPr>
          <w:p w14:paraId="68D15AA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33" w:type="pct"/>
          </w:tcPr>
          <w:p w14:paraId="428F4B7A"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6" w:type="pct"/>
          </w:tcPr>
          <w:p w14:paraId="0E4F5181"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(200)</w:t>
            </w:r>
          </w:p>
        </w:tc>
        <w:tc>
          <w:tcPr>
            <w:tcW w:w="427" w:type="pct"/>
          </w:tcPr>
          <w:p w14:paraId="13F66E99"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Pr>
          <w:p w14:paraId="6FFDA7EA"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55" w:type="pct"/>
          </w:tcPr>
          <w:p w14:paraId="711FAF0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(200)</w:t>
            </w:r>
          </w:p>
        </w:tc>
      </w:tr>
      <w:tr w:rsidR="00C61B54" w:rsidRPr="00AC0ED0" w14:paraId="55A7C881" w14:textId="77777777" w:rsidTr="00D46E6D">
        <w:trPr>
          <w:trHeight w:val="60"/>
        </w:trPr>
        <w:tc>
          <w:tcPr>
            <w:cnfStyle w:val="001000000000" w:firstRow="0" w:lastRow="0" w:firstColumn="1" w:lastColumn="0" w:oddVBand="0" w:evenVBand="0" w:oddHBand="0" w:evenHBand="0" w:firstRowFirstColumn="0" w:firstRowLastColumn="0" w:lastRowFirstColumn="0" w:lastRowLastColumn="0"/>
            <w:tcW w:w="658" w:type="pct"/>
            <w:tcBorders>
              <w:bottom w:val="single" w:sz="4" w:space="0" w:color="auto"/>
            </w:tcBorders>
          </w:tcPr>
          <w:p w14:paraId="3F974476" w14:textId="77777777" w:rsidR="00C61B54" w:rsidRPr="00AC0ED0" w:rsidRDefault="00C61B54" w:rsidP="00895F89">
            <w:pPr>
              <w:pStyle w:val="TableText"/>
              <w:spacing w:before="40" w:after="40"/>
            </w:pPr>
            <w:r w:rsidRPr="00AC0ED0">
              <w:t>Transfer in/out of assets under construction</w:t>
            </w:r>
          </w:p>
        </w:tc>
        <w:tc>
          <w:tcPr>
            <w:tcW w:w="428" w:type="pct"/>
            <w:tcBorders>
              <w:bottom w:val="single" w:sz="4" w:space="0" w:color="auto"/>
            </w:tcBorders>
          </w:tcPr>
          <w:p w14:paraId="292A3EBB"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8" w:type="pct"/>
            <w:tcBorders>
              <w:bottom w:val="single" w:sz="4" w:space="0" w:color="auto"/>
            </w:tcBorders>
          </w:tcPr>
          <w:p w14:paraId="54B559EF"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13,968 </w:t>
            </w:r>
          </w:p>
        </w:tc>
        <w:tc>
          <w:tcPr>
            <w:tcW w:w="427" w:type="pct"/>
            <w:tcBorders>
              <w:bottom w:val="single" w:sz="4" w:space="0" w:color="auto"/>
            </w:tcBorders>
          </w:tcPr>
          <w:p w14:paraId="4C480309"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61" w:type="pct"/>
            <w:tcBorders>
              <w:bottom w:val="single" w:sz="4" w:space="0" w:color="auto"/>
            </w:tcBorders>
          </w:tcPr>
          <w:p w14:paraId="01A9489D"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9,719 </w:t>
            </w:r>
          </w:p>
        </w:tc>
        <w:tc>
          <w:tcPr>
            <w:tcW w:w="430" w:type="pct"/>
            <w:tcBorders>
              <w:bottom w:val="single" w:sz="4" w:space="0" w:color="auto"/>
            </w:tcBorders>
          </w:tcPr>
          <w:p w14:paraId="58DA230B"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1,098 </w:t>
            </w:r>
          </w:p>
        </w:tc>
        <w:tc>
          <w:tcPr>
            <w:tcW w:w="433" w:type="pct"/>
            <w:tcBorders>
              <w:bottom w:val="single" w:sz="4" w:space="0" w:color="auto"/>
            </w:tcBorders>
          </w:tcPr>
          <w:p w14:paraId="437F558E"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7,182 </w:t>
            </w:r>
          </w:p>
        </w:tc>
        <w:tc>
          <w:tcPr>
            <w:tcW w:w="426" w:type="pct"/>
            <w:tcBorders>
              <w:bottom w:val="single" w:sz="4" w:space="0" w:color="auto"/>
            </w:tcBorders>
          </w:tcPr>
          <w:p w14:paraId="07020C65"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Borders>
              <w:bottom w:val="single" w:sz="4" w:space="0" w:color="auto"/>
            </w:tcBorders>
          </w:tcPr>
          <w:p w14:paraId="74A23011"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 xml:space="preserve">0 </w:t>
            </w:r>
          </w:p>
        </w:tc>
        <w:tc>
          <w:tcPr>
            <w:tcW w:w="427" w:type="pct"/>
            <w:tcBorders>
              <w:bottom w:val="single" w:sz="4" w:space="0" w:color="auto"/>
            </w:tcBorders>
          </w:tcPr>
          <w:p w14:paraId="0D1AF0EB"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(31,967)</w:t>
            </w:r>
          </w:p>
        </w:tc>
        <w:tc>
          <w:tcPr>
            <w:tcW w:w="455" w:type="pct"/>
            <w:tcBorders>
              <w:bottom w:val="single" w:sz="4" w:space="0" w:color="auto"/>
            </w:tcBorders>
          </w:tcPr>
          <w:p w14:paraId="5D991AD8" w14:textId="77777777" w:rsidR="00C61B54" w:rsidRPr="00AC0ED0"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AC0ED0">
              <w:t>0</w:t>
            </w:r>
          </w:p>
        </w:tc>
      </w:tr>
      <w:tr w:rsidR="00C61B54" w:rsidRPr="00C61B54" w14:paraId="1249CFED" w14:textId="77777777" w:rsidTr="00D46E6D">
        <w:trPr>
          <w:trHeight w:val="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auto"/>
              <w:bottom w:val="single" w:sz="4" w:space="0" w:color="auto"/>
            </w:tcBorders>
          </w:tcPr>
          <w:p w14:paraId="20C3D641" w14:textId="77777777" w:rsidR="00C61B54" w:rsidRPr="00C61B54" w:rsidRDefault="00C61B54" w:rsidP="00895F89">
            <w:pPr>
              <w:pStyle w:val="TableText"/>
              <w:spacing w:before="40" w:after="40"/>
              <w:rPr>
                <w:rStyle w:val="Bold"/>
              </w:rPr>
            </w:pPr>
            <w:r w:rsidRPr="00C61B54">
              <w:rPr>
                <w:rStyle w:val="Bold"/>
              </w:rPr>
              <w:t>Closing balance</w:t>
            </w:r>
          </w:p>
        </w:tc>
        <w:tc>
          <w:tcPr>
            <w:tcW w:w="428" w:type="pct"/>
            <w:tcBorders>
              <w:top w:val="single" w:sz="4" w:space="0" w:color="auto"/>
              <w:bottom w:val="single" w:sz="4" w:space="0" w:color="auto"/>
            </w:tcBorders>
          </w:tcPr>
          <w:p w14:paraId="13FF49D7"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412,632</w:t>
            </w:r>
          </w:p>
        </w:tc>
        <w:tc>
          <w:tcPr>
            <w:tcW w:w="428" w:type="pct"/>
            <w:tcBorders>
              <w:top w:val="single" w:sz="4" w:space="0" w:color="auto"/>
              <w:bottom w:val="single" w:sz="4" w:space="0" w:color="auto"/>
            </w:tcBorders>
          </w:tcPr>
          <w:p w14:paraId="43C088DC"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425,304</w:t>
            </w:r>
          </w:p>
        </w:tc>
        <w:tc>
          <w:tcPr>
            <w:tcW w:w="427" w:type="pct"/>
            <w:tcBorders>
              <w:top w:val="single" w:sz="4" w:space="0" w:color="auto"/>
              <w:bottom w:val="single" w:sz="4" w:space="0" w:color="auto"/>
            </w:tcBorders>
          </w:tcPr>
          <w:p w14:paraId="4C4F2BE6"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47,739</w:t>
            </w:r>
          </w:p>
        </w:tc>
        <w:tc>
          <w:tcPr>
            <w:tcW w:w="461" w:type="pct"/>
            <w:tcBorders>
              <w:top w:val="single" w:sz="4" w:space="0" w:color="auto"/>
              <w:bottom w:val="single" w:sz="4" w:space="0" w:color="auto"/>
            </w:tcBorders>
          </w:tcPr>
          <w:p w14:paraId="1453F771"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12,540</w:t>
            </w:r>
          </w:p>
        </w:tc>
        <w:tc>
          <w:tcPr>
            <w:tcW w:w="430" w:type="pct"/>
            <w:tcBorders>
              <w:top w:val="single" w:sz="4" w:space="0" w:color="auto"/>
              <w:bottom w:val="single" w:sz="4" w:space="0" w:color="auto"/>
            </w:tcBorders>
          </w:tcPr>
          <w:p w14:paraId="166CBEE6"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3,884</w:t>
            </w:r>
          </w:p>
        </w:tc>
        <w:tc>
          <w:tcPr>
            <w:tcW w:w="433" w:type="pct"/>
            <w:tcBorders>
              <w:top w:val="single" w:sz="4" w:space="0" w:color="auto"/>
              <w:bottom w:val="single" w:sz="4" w:space="0" w:color="auto"/>
            </w:tcBorders>
          </w:tcPr>
          <w:p w14:paraId="64E448B5"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14,855</w:t>
            </w:r>
          </w:p>
        </w:tc>
        <w:tc>
          <w:tcPr>
            <w:tcW w:w="426" w:type="pct"/>
            <w:tcBorders>
              <w:top w:val="single" w:sz="4" w:space="0" w:color="auto"/>
              <w:bottom w:val="single" w:sz="4" w:space="0" w:color="auto"/>
            </w:tcBorders>
          </w:tcPr>
          <w:p w14:paraId="24C628B7"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9,875</w:t>
            </w:r>
          </w:p>
        </w:tc>
        <w:tc>
          <w:tcPr>
            <w:tcW w:w="427" w:type="pct"/>
            <w:tcBorders>
              <w:top w:val="single" w:sz="4" w:space="0" w:color="auto"/>
              <w:bottom w:val="single" w:sz="4" w:space="0" w:color="auto"/>
            </w:tcBorders>
          </w:tcPr>
          <w:p w14:paraId="6114A99A"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916</w:t>
            </w:r>
          </w:p>
        </w:tc>
        <w:tc>
          <w:tcPr>
            <w:tcW w:w="427" w:type="pct"/>
            <w:tcBorders>
              <w:top w:val="single" w:sz="4" w:space="0" w:color="auto"/>
              <w:bottom w:val="single" w:sz="4" w:space="0" w:color="auto"/>
            </w:tcBorders>
          </w:tcPr>
          <w:p w14:paraId="70BB70D4"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51,953</w:t>
            </w:r>
          </w:p>
        </w:tc>
        <w:tc>
          <w:tcPr>
            <w:tcW w:w="455" w:type="pct"/>
            <w:tcBorders>
              <w:top w:val="single" w:sz="4" w:space="0" w:color="auto"/>
              <w:bottom w:val="single" w:sz="4" w:space="0" w:color="auto"/>
            </w:tcBorders>
          </w:tcPr>
          <w:p w14:paraId="61E466D4" w14:textId="77777777" w:rsidR="00C61B54" w:rsidRPr="00C61B54" w:rsidRDefault="00C61B54" w:rsidP="00895F89">
            <w:pPr>
              <w:pStyle w:val="TableText"/>
              <w:spacing w:before="40" w:after="40"/>
              <w:cnfStyle w:val="000000000000" w:firstRow="0" w:lastRow="0" w:firstColumn="0" w:lastColumn="0" w:oddVBand="0" w:evenVBand="0" w:oddHBand="0" w:evenHBand="0" w:firstRowFirstColumn="0" w:firstRowLastColumn="0" w:lastRowFirstColumn="0" w:lastRowLastColumn="0"/>
              <w:rPr>
                <w:rStyle w:val="Bold"/>
              </w:rPr>
            </w:pPr>
            <w:r w:rsidRPr="00C61B54">
              <w:rPr>
                <w:rStyle w:val="Bold"/>
              </w:rPr>
              <w:t>979,698</w:t>
            </w:r>
          </w:p>
        </w:tc>
      </w:tr>
    </w:tbl>
    <w:p w14:paraId="7BE5D92C" w14:textId="40F6150D" w:rsidR="00C61B54" w:rsidRDefault="00C61B54" w:rsidP="00F110E7">
      <w:pPr>
        <w:pStyle w:val="NotesNumberedList"/>
        <w:numPr>
          <w:ilvl w:val="0"/>
          <w:numId w:val="44"/>
        </w:numPr>
      </w:pPr>
      <w:r>
        <w:t>Recognition of right-of-use assets on initial application of AASB 16 balance represents the initial recognition of right-of-use assets recorded on the balance sheet on 1 July 2019 relating to operating leases.</w:t>
      </w:r>
    </w:p>
    <w:p w14:paraId="374F54B4" w14:textId="3534DC51" w:rsidR="00C61B54" w:rsidRDefault="00C61B54" w:rsidP="00895F89">
      <w:pPr>
        <w:pStyle w:val="NotesNumberedList"/>
        <w:spacing w:after="120"/>
      </w:pPr>
      <w:bookmarkStart w:id="354" w:name="Note513note2"/>
      <w:bookmarkEnd w:id="354"/>
      <w:r>
        <w:t xml:space="preserve">The adjusted balance relates to amounts transferred from finance lease assets (recognised under AASB 117 </w:t>
      </w:r>
      <w:proofErr w:type="gramStart"/>
      <w:r>
        <w:t>at</w:t>
      </w:r>
      <w:proofErr w:type="gramEnd"/>
      <w:r>
        <w:t xml:space="preserve"> 30 June 2019) to ROU assets (recognised under AASB 16 at 1 July 2019).</w:t>
      </w:r>
    </w:p>
    <w:p w14:paraId="4D459D92" w14:textId="4D37AE15" w:rsidR="00C61B54" w:rsidRDefault="00C61B54" w:rsidP="00895F89">
      <w:pPr>
        <w:pStyle w:val="BodyText"/>
        <w:spacing w:before="120" w:after="0"/>
      </w:pPr>
      <w:r w:rsidRPr="00677C4B">
        <w:t>2018 and 2019 amounts have been restated as a result of a correction of an error (</w:t>
      </w:r>
      <w:r w:rsidR="00677C4B" w:rsidRPr="00677C4B">
        <w:t xml:space="preserve">see </w:t>
      </w:r>
      <w:hyperlink w:anchor="Note10text" w:history="1">
        <w:r w:rsidR="00677C4B" w:rsidRPr="00677C4B">
          <w:t>Note 10</w:t>
        </w:r>
      </w:hyperlink>
      <w:r w:rsidRPr="00677C4B">
        <w:t>)</w:t>
      </w:r>
    </w:p>
    <w:p w14:paraId="3DAA18CA" w14:textId="77777777" w:rsidR="00417B1B" w:rsidRDefault="00417B1B" w:rsidP="00417B1B">
      <w:pPr>
        <w:pStyle w:val="BodyText"/>
        <w:sectPr w:rsidR="00417B1B" w:rsidSect="00B71F92">
          <w:pgSz w:w="23814" w:h="16839" w:orient="landscape" w:code="9"/>
          <w:pgMar w:top="1134" w:right="1134" w:bottom="1134" w:left="1134" w:header="567" w:footer="567" w:gutter="0"/>
          <w:cols w:space="720"/>
          <w:docGrid w:linePitch="299"/>
        </w:sectPr>
      </w:pPr>
    </w:p>
    <w:p w14:paraId="362C87F2" w14:textId="656982E2" w:rsidR="00C24B57" w:rsidRDefault="00C24B57" w:rsidP="00C24B57">
      <w:pPr>
        <w:pStyle w:val="Heading3"/>
      </w:pPr>
      <w:bookmarkStart w:id="355" w:name="_5.2_Intangible_assets"/>
      <w:bookmarkStart w:id="356" w:name="Note52"/>
      <w:bookmarkStart w:id="357" w:name="Note521"/>
      <w:bookmarkStart w:id="358" w:name="_Toc62808155"/>
      <w:bookmarkEnd w:id="355"/>
      <w:r>
        <w:t>5.2</w:t>
      </w:r>
      <w:bookmarkEnd w:id="356"/>
      <w:r w:rsidRPr="00625A11">
        <w:tab/>
        <w:t>Intangible assets</w:t>
      </w:r>
      <w:bookmarkEnd w:id="358"/>
    </w:p>
    <w:p w14:paraId="4185D978" w14:textId="121F7F05" w:rsidR="00417B1B" w:rsidRDefault="00B71F92" w:rsidP="00417B1B">
      <w:pPr>
        <w:pStyle w:val="Heading4"/>
      </w:pPr>
      <w:r>
        <w:t>5.2.1</w:t>
      </w:r>
      <w:bookmarkEnd w:id="357"/>
      <w:r w:rsidR="00092296">
        <w:tab/>
      </w:r>
      <w:r>
        <w:t>Intangible</w:t>
      </w:r>
      <w:r w:rsidR="00417B1B">
        <w:t xml:space="preserve"> Assets - Excluding Case Management System (CMS)</w:t>
      </w:r>
    </w:p>
    <w:p w14:paraId="2BB39FD8" w14:textId="4D0D696C" w:rsidR="00B71F92" w:rsidRPr="00B71F92" w:rsidRDefault="00B71F92" w:rsidP="007B4F37">
      <w:pPr>
        <w:pStyle w:val="BodyText"/>
      </w:pPr>
      <w:r w:rsidRPr="00B71F92">
        <w:t>Computer Software</w:t>
      </w:r>
    </w:p>
    <w:tbl>
      <w:tblPr>
        <w:tblStyle w:val="AccessibleTableNumerical"/>
        <w:tblW w:w="5000" w:type="pct"/>
        <w:tblLook w:val="04A0" w:firstRow="1" w:lastRow="0" w:firstColumn="1" w:lastColumn="0" w:noHBand="0" w:noVBand="1"/>
      </w:tblPr>
      <w:tblGrid>
        <w:gridCol w:w="4978"/>
        <w:gridCol w:w="2331"/>
        <w:gridCol w:w="2333"/>
      </w:tblGrid>
      <w:tr w:rsidR="00417B1B" w:rsidRPr="00722BEC" w14:paraId="10ABAFC7"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pct"/>
          </w:tcPr>
          <w:p w14:paraId="1AAA304E" w14:textId="1969E069" w:rsidR="00417B1B" w:rsidRPr="00722BEC" w:rsidRDefault="00B71F92" w:rsidP="00B71F92">
            <w:pPr>
              <w:pStyle w:val="TableText"/>
            </w:pPr>
            <w:bookmarkStart w:id="359" w:name="ColumnTitle_70"/>
            <w:r>
              <w:t>Item</w:t>
            </w:r>
          </w:p>
        </w:tc>
        <w:tc>
          <w:tcPr>
            <w:tcW w:w="1209" w:type="pct"/>
            <w:vAlign w:val="bottom"/>
          </w:tcPr>
          <w:p w14:paraId="0E0BE7F9" w14:textId="2575AB8B"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w:t>
            </w:r>
            <w:r w:rsidR="00CE6082">
              <w:t>20</w:t>
            </w:r>
            <w:r w:rsidRPr="00722BEC">
              <w:br/>
              <w:t>$'000</w:t>
            </w:r>
          </w:p>
        </w:tc>
        <w:tc>
          <w:tcPr>
            <w:tcW w:w="1210" w:type="pct"/>
            <w:vAlign w:val="bottom"/>
          </w:tcPr>
          <w:p w14:paraId="79CEE171" w14:textId="4E90AA2E"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201</w:t>
            </w:r>
            <w:r w:rsidR="00CE6082">
              <w:t>9</w:t>
            </w:r>
            <w:r w:rsidRPr="00722BEC">
              <w:br/>
              <w:t>$'000</w:t>
            </w:r>
          </w:p>
        </w:tc>
      </w:tr>
      <w:bookmarkEnd w:id="359"/>
      <w:tr w:rsidR="00417B1B" w:rsidRPr="00722BEC" w14:paraId="4D8A4183"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2583255C" w14:textId="4A6D204E" w:rsidR="00417B1B" w:rsidRPr="007B4F37" w:rsidRDefault="00417B1B" w:rsidP="00B71F92">
            <w:pPr>
              <w:pStyle w:val="TableText"/>
              <w:rPr>
                <w:rStyle w:val="Bold"/>
              </w:rPr>
            </w:pPr>
            <w:r w:rsidRPr="007B4F37">
              <w:rPr>
                <w:rStyle w:val="Bold"/>
              </w:rPr>
              <w:t>Gross carrying amount</w:t>
            </w:r>
          </w:p>
        </w:tc>
        <w:tc>
          <w:tcPr>
            <w:tcW w:w="1209" w:type="pct"/>
          </w:tcPr>
          <w:p w14:paraId="333CF983" w14:textId="4FF46153" w:rsidR="00417B1B" w:rsidRPr="00722BEC" w:rsidRDefault="00AC0BBF" w:rsidP="00B71F92">
            <w:pPr>
              <w:pStyle w:val="TableText"/>
              <w:cnfStyle w:val="000000000000" w:firstRow="0" w:lastRow="0" w:firstColumn="0" w:lastColumn="0" w:oddVBand="0" w:evenVBand="0" w:oddHBand="0" w:evenHBand="0" w:firstRowFirstColumn="0" w:firstRowLastColumn="0" w:lastRowFirstColumn="0" w:lastRowLastColumn="0"/>
            </w:pPr>
            <w:r>
              <w:t>N/A</w:t>
            </w:r>
          </w:p>
        </w:tc>
        <w:tc>
          <w:tcPr>
            <w:tcW w:w="1210" w:type="pct"/>
          </w:tcPr>
          <w:p w14:paraId="453CEE2E" w14:textId="6D469C6B" w:rsidR="00417B1B" w:rsidRPr="00722BEC" w:rsidRDefault="00AC0BBF" w:rsidP="00B71F92">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141F7BA6"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4C002085" w14:textId="77777777" w:rsidR="00417B1B" w:rsidRPr="00722BEC" w:rsidRDefault="00417B1B" w:rsidP="00B71F92">
            <w:pPr>
              <w:pStyle w:val="TableText"/>
            </w:pPr>
            <w:r w:rsidRPr="00722BEC">
              <w:t>Opening balance</w:t>
            </w:r>
          </w:p>
        </w:tc>
        <w:tc>
          <w:tcPr>
            <w:tcW w:w="1209" w:type="pct"/>
          </w:tcPr>
          <w:p w14:paraId="3BEC77AB" w14:textId="571A29B9"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55,334</w:t>
            </w:r>
          </w:p>
        </w:tc>
        <w:tc>
          <w:tcPr>
            <w:tcW w:w="1210" w:type="pct"/>
          </w:tcPr>
          <w:p w14:paraId="79B79D6E" w14:textId="6A2A9F1B"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45,981</w:t>
            </w:r>
          </w:p>
        </w:tc>
      </w:tr>
      <w:tr w:rsidR="00417B1B" w:rsidRPr="00722BEC" w14:paraId="1D191420"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16D75E5B" w14:textId="77777777" w:rsidR="00417B1B" w:rsidRPr="00722BEC" w:rsidRDefault="00417B1B" w:rsidP="00B71F92">
            <w:pPr>
              <w:pStyle w:val="TableText"/>
            </w:pPr>
            <w:r w:rsidRPr="00722BEC">
              <w:t>Additions</w:t>
            </w:r>
          </w:p>
        </w:tc>
        <w:tc>
          <w:tcPr>
            <w:tcW w:w="1209" w:type="pct"/>
          </w:tcPr>
          <w:p w14:paraId="5F4B94BC" w14:textId="1CCF3BA1"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11,710</w:t>
            </w:r>
          </w:p>
        </w:tc>
        <w:tc>
          <w:tcPr>
            <w:tcW w:w="1210" w:type="pct"/>
          </w:tcPr>
          <w:p w14:paraId="7195DBAB" w14:textId="14000EB0"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0</w:t>
            </w:r>
          </w:p>
        </w:tc>
      </w:tr>
      <w:tr w:rsidR="00417B1B" w:rsidRPr="00722BEC" w14:paraId="79BCF383"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6625E3C4" w14:textId="40873534" w:rsidR="00417B1B" w:rsidRPr="00722BEC" w:rsidRDefault="00CE6082" w:rsidP="00B71F92">
            <w:pPr>
              <w:pStyle w:val="TableText"/>
            </w:pPr>
            <w:r>
              <w:t>Additions to/transfers from work in progress</w:t>
            </w:r>
          </w:p>
        </w:tc>
        <w:tc>
          <w:tcPr>
            <w:tcW w:w="1209" w:type="pct"/>
          </w:tcPr>
          <w:p w14:paraId="569FD5BB" w14:textId="56DE9DF1"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(7,338)</w:t>
            </w:r>
          </w:p>
        </w:tc>
        <w:tc>
          <w:tcPr>
            <w:tcW w:w="1210" w:type="pct"/>
          </w:tcPr>
          <w:p w14:paraId="4CD7469E" w14:textId="4C8FF917"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5,772</w:t>
            </w:r>
          </w:p>
        </w:tc>
      </w:tr>
      <w:tr w:rsidR="00417B1B" w:rsidRPr="00722BEC" w14:paraId="5E3720E7"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60D6D9CE" w14:textId="77777777" w:rsidR="00417B1B" w:rsidRPr="00722BEC" w:rsidRDefault="00417B1B" w:rsidP="00B71F92">
            <w:pPr>
              <w:pStyle w:val="TableText"/>
            </w:pPr>
            <w:r w:rsidRPr="00722BEC">
              <w:t>Transfer between asset classes</w:t>
            </w:r>
          </w:p>
        </w:tc>
        <w:tc>
          <w:tcPr>
            <w:tcW w:w="1209" w:type="pct"/>
          </w:tcPr>
          <w:p w14:paraId="2D6E9F5C" w14:textId="37EAC08C"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738</w:t>
            </w:r>
          </w:p>
        </w:tc>
        <w:tc>
          <w:tcPr>
            <w:tcW w:w="1210" w:type="pct"/>
          </w:tcPr>
          <w:p w14:paraId="07E45901" w14:textId="3286AC0C"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3,581</w:t>
            </w:r>
          </w:p>
        </w:tc>
      </w:tr>
      <w:tr w:rsidR="00417B1B" w:rsidRPr="007B4F37" w14:paraId="5CBD9297"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03F617D6" w14:textId="77777777" w:rsidR="00417B1B" w:rsidRPr="007B4F37" w:rsidRDefault="00417B1B" w:rsidP="00B71F92">
            <w:pPr>
              <w:pStyle w:val="TableText"/>
              <w:rPr>
                <w:rStyle w:val="Bold"/>
              </w:rPr>
            </w:pPr>
            <w:r w:rsidRPr="007B4F37">
              <w:rPr>
                <w:rStyle w:val="Bold"/>
              </w:rPr>
              <w:t>Gross value at the end of the financial year</w:t>
            </w:r>
          </w:p>
        </w:tc>
        <w:tc>
          <w:tcPr>
            <w:tcW w:w="1209" w:type="pct"/>
          </w:tcPr>
          <w:p w14:paraId="12FD1F06" w14:textId="06B4D5EA"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60,443</w:t>
            </w:r>
          </w:p>
        </w:tc>
        <w:tc>
          <w:tcPr>
            <w:tcW w:w="1210" w:type="pct"/>
          </w:tcPr>
          <w:p w14:paraId="139BD816" w14:textId="26753AFC"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55,334</w:t>
            </w:r>
          </w:p>
        </w:tc>
      </w:tr>
      <w:tr w:rsidR="00417B1B" w:rsidRPr="00722BEC" w14:paraId="5C878B30"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6FAD9972" w14:textId="77777777" w:rsidR="00417B1B" w:rsidRPr="007B4F37" w:rsidRDefault="00417B1B" w:rsidP="00B71F92">
            <w:pPr>
              <w:pStyle w:val="TableText"/>
              <w:rPr>
                <w:rStyle w:val="Bold"/>
              </w:rPr>
            </w:pPr>
            <w:r w:rsidRPr="007B4F37">
              <w:rPr>
                <w:rStyle w:val="Bold"/>
              </w:rPr>
              <w:t>Accumulated amortisation and impairment</w:t>
            </w:r>
          </w:p>
        </w:tc>
        <w:tc>
          <w:tcPr>
            <w:tcW w:w="1209" w:type="pct"/>
          </w:tcPr>
          <w:p w14:paraId="71E4AE83" w14:textId="140A5D09" w:rsidR="00417B1B" w:rsidRPr="00722BEC" w:rsidRDefault="00AC0BBF" w:rsidP="00B71F92">
            <w:pPr>
              <w:pStyle w:val="TableText"/>
              <w:cnfStyle w:val="000000000000" w:firstRow="0" w:lastRow="0" w:firstColumn="0" w:lastColumn="0" w:oddVBand="0" w:evenVBand="0" w:oddHBand="0" w:evenHBand="0" w:firstRowFirstColumn="0" w:firstRowLastColumn="0" w:lastRowFirstColumn="0" w:lastRowLastColumn="0"/>
            </w:pPr>
            <w:r>
              <w:t>N/A</w:t>
            </w:r>
          </w:p>
        </w:tc>
        <w:tc>
          <w:tcPr>
            <w:tcW w:w="1210" w:type="pct"/>
          </w:tcPr>
          <w:p w14:paraId="6D07BA6B" w14:textId="6C9FE88D" w:rsidR="00417B1B" w:rsidRPr="00722BEC" w:rsidRDefault="00AC0BBF" w:rsidP="00B71F92">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7468842F"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56F39511" w14:textId="77777777" w:rsidR="00417B1B" w:rsidRPr="00722BEC" w:rsidRDefault="00417B1B" w:rsidP="00B71F92">
            <w:pPr>
              <w:pStyle w:val="TableText"/>
            </w:pPr>
            <w:r w:rsidRPr="00722BEC">
              <w:t>Opening balance</w:t>
            </w:r>
          </w:p>
        </w:tc>
        <w:tc>
          <w:tcPr>
            <w:tcW w:w="1209" w:type="pct"/>
          </w:tcPr>
          <w:p w14:paraId="59AA84D7" w14:textId="5EF8B31B"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(38,474)</w:t>
            </w:r>
          </w:p>
        </w:tc>
        <w:tc>
          <w:tcPr>
            <w:tcW w:w="1210" w:type="pct"/>
          </w:tcPr>
          <w:p w14:paraId="7DB719DF" w14:textId="135A3011"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(31,003)</w:t>
            </w:r>
          </w:p>
        </w:tc>
      </w:tr>
      <w:tr w:rsidR="00417B1B" w:rsidRPr="00722BEC" w14:paraId="4D2E1D32" w14:textId="77777777" w:rsidTr="00B71F92">
        <w:tc>
          <w:tcPr>
            <w:cnfStyle w:val="001000000000" w:firstRow="0" w:lastRow="0" w:firstColumn="1" w:lastColumn="0" w:oddVBand="0" w:evenVBand="0" w:oddHBand="0" w:evenHBand="0" w:firstRowFirstColumn="0" w:firstRowLastColumn="0" w:lastRowFirstColumn="0" w:lastRowLastColumn="0"/>
            <w:tcW w:w="2581" w:type="pct"/>
          </w:tcPr>
          <w:p w14:paraId="68A3E8CC" w14:textId="4981DE5D" w:rsidR="00417B1B" w:rsidRPr="00722BEC" w:rsidRDefault="00417B1B" w:rsidP="00460432">
            <w:pPr>
              <w:pStyle w:val="TableText"/>
            </w:pPr>
            <w:r w:rsidRPr="00460432">
              <w:t>Amortisation</w:t>
            </w:r>
            <w:r w:rsidR="00460432" w:rsidRPr="00460432">
              <w:rPr>
                <w:vertAlign w:val="superscript"/>
              </w:rPr>
              <w:fldChar w:fldCharType="begin"/>
            </w:r>
            <w:r w:rsidR="00460432" w:rsidRPr="00460432">
              <w:rPr>
                <w:vertAlign w:val="superscript"/>
              </w:rPr>
              <w:instrText xml:space="preserve"> REF Note522tablenote1 \r \h </w:instrText>
            </w:r>
            <w:r w:rsidR="00460432">
              <w:rPr>
                <w:vertAlign w:val="superscript"/>
              </w:rPr>
              <w:instrText xml:space="preserve"> \* MERGEFORMAT </w:instrText>
            </w:r>
            <w:r w:rsidR="00460432" w:rsidRPr="00460432">
              <w:rPr>
                <w:vertAlign w:val="superscript"/>
              </w:rPr>
            </w:r>
            <w:r w:rsidR="00460432" w:rsidRPr="00460432">
              <w:rPr>
                <w:vertAlign w:val="superscript"/>
              </w:rPr>
              <w:fldChar w:fldCharType="separate"/>
            </w:r>
            <w:r w:rsidR="00D46E6D">
              <w:rPr>
                <w:vertAlign w:val="superscript"/>
              </w:rPr>
              <w:t>(1)</w:t>
            </w:r>
            <w:r w:rsidR="00460432" w:rsidRPr="00460432">
              <w:rPr>
                <w:vertAlign w:val="superscript"/>
              </w:rPr>
              <w:fldChar w:fldCharType="end"/>
            </w:r>
          </w:p>
        </w:tc>
        <w:tc>
          <w:tcPr>
            <w:tcW w:w="1209" w:type="pct"/>
          </w:tcPr>
          <w:p w14:paraId="7326BF56" w14:textId="7B446DE0"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(3,121)</w:t>
            </w:r>
          </w:p>
        </w:tc>
        <w:tc>
          <w:tcPr>
            <w:tcW w:w="1210" w:type="pct"/>
          </w:tcPr>
          <w:p w14:paraId="30872F4B" w14:textId="560D92C8" w:rsidR="00417B1B" w:rsidRPr="00722BEC" w:rsidRDefault="00CE6082" w:rsidP="00B71F92">
            <w:pPr>
              <w:pStyle w:val="TableText"/>
              <w:cnfStyle w:val="000000000000" w:firstRow="0" w:lastRow="0" w:firstColumn="0" w:lastColumn="0" w:oddVBand="0" w:evenVBand="0" w:oddHBand="0" w:evenHBand="0" w:firstRowFirstColumn="0" w:firstRowLastColumn="0" w:lastRowFirstColumn="0" w:lastRowLastColumn="0"/>
            </w:pPr>
            <w:r>
              <w:t>(7,472)</w:t>
            </w:r>
          </w:p>
        </w:tc>
      </w:tr>
      <w:tr w:rsidR="00417B1B" w:rsidRPr="007B4F37" w14:paraId="1FA5B111"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bottom w:val="single" w:sz="4" w:space="0" w:color="auto"/>
            </w:tcBorders>
          </w:tcPr>
          <w:p w14:paraId="7D22F5E8" w14:textId="77777777" w:rsidR="00417B1B" w:rsidRPr="007B4F37" w:rsidRDefault="00417B1B" w:rsidP="00B71F92">
            <w:pPr>
              <w:pStyle w:val="TableText"/>
              <w:rPr>
                <w:rStyle w:val="Bold"/>
              </w:rPr>
            </w:pPr>
            <w:r w:rsidRPr="007B4F37">
              <w:rPr>
                <w:rStyle w:val="Bold"/>
              </w:rPr>
              <w:t>Closing balance</w:t>
            </w:r>
          </w:p>
        </w:tc>
        <w:tc>
          <w:tcPr>
            <w:tcW w:w="1209" w:type="pct"/>
            <w:tcBorders>
              <w:bottom w:val="single" w:sz="4" w:space="0" w:color="auto"/>
            </w:tcBorders>
          </w:tcPr>
          <w:p w14:paraId="4140B0F4" w14:textId="364EFB68"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(41,595)</w:t>
            </w:r>
          </w:p>
        </w:tc>
        <w:tc>
          <w:tcPr>
            <w:tcW w:w="1210" w:type="pct"/>
            <w:tcBorders>
              <w:bottom w:val="single" w:sz="4" w:space="0" w:color="auto"/>
            </w:tcBorders>
          </w:tcPr>
          <w:p w14:paraId="69D15B3A" w14:textId="2AF22D87"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(38,474)</w:t>
            </w:r>
          </w:p>
        </w:tc>
      </w:tr>
      <w:tr w:rsidR="00417B1B" w:rsidRPr="007B4F37" w14:paraId="2137AA04"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top w:val="single" w:sz="4" w:space="0" w:color="auto"/>
              <w:bottom w:val="single" w:sz="4" w:space="0" w:color="auto"/>
            </w:tcBorders>
          </w:tcPr>
          <w:p w14:paraId="3286895B" w14:textId="77777777" w:rsidR="00417B1B" w:rsidRPr="007B4F37" w:rsidRDefault="00417B1B" w:rsidP="00B71F92">
            <w:pPr>
              <w:pStyle w:val="TableText"/>
              <w:rPr>
                <w:rStyle w:val="Bold"/>
              </w:rPr>
            </w:pPr>
            <w:r w:rsidRPr="007B4F37">
              <w:rPr>
                <w:rStyle w:val="Bold"/>
              </w:rPr>
              <w:t>Net book value at the end of the financial year</w:t>
            </w:r>
          </w:p>
        </w:tc>
        <w:tc>
          <w:tcPr>
            <w:tcW w:w="1209" w:type="pct"/>
            <w:tcBorders>
              <w:top w:val="single" w:sz="4" w:space="0" w:color="auto"/>
              <w:bottom w:val="single" w:sz="4" w:space="0" w:color="auto"/>
            </w:tcBorders>
          </w:tcPr>
          <w:p w14:paraId="6E503A07" w14:textId="26CBDA8B"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18,848</w:t>
            </w:r>
          </w:p>
        </w:tc>
        <w:tc>
          <w:tcPr>
            <w:tcW w:w="1210" w:type="pct"/>
            <w:tcBorders>
              <w:top w:val="single" w:sz="4" w:space="0" w:color="auto"/>
              <w:bottom w:val="single" w:sz="4" w:space="0" w:color="auto"/>
            </w:tcBorders>
          </w:tcPr>
          <w:p w14:paraId="16CF13CF" w14:textId="6188ABEE" w:rsidR="00417B1B" w:rsidRPr="007B4F37" w:rsidRDefault="00CE6082" w:rsidP="00B71F92">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16,859</w:t>
            </w:r>
          </w:p>
        </w:tc>
      </w:tr>
    </w:tbl>
    <w:p w14:paraId="706BB99D" w14:textId="09C183D7" w:rsidR="00417B1B" w:rsidRDefault="00B71F92" w:rsidP="00417B1B">
      <w:pPr>
        <w:pStyle w:val="Heading4"/>
      </w:pPr>
      <w:bookmarkStart w:id="360" w:name="Note522"/>
      <w:r w:rsidRPr="00722BEC">
        <w:t>5.2.2</w:t>
      </w:r>
      <w:bookmarkEnd w:id="360"/>
      <w:r w:rsidR="00092296">
        <w:tab/>
      </w:r>
      <w:r w:rsidRPr="00722BEC">
        <w:t>Intangible</w:t>
      </w:r>
      <w:r w:rsidR="00417B1B" w:rsidRPr="00722BEC">
        <w:t xml:space="preserve"> Assets </w:t>
      </w:r>
      <w:r w:rsidR="00417B1B">
        <w:t>–</w:t>
      </w:r>
      <w:r w:rsidR="00417B1B" w:rsidRPr="00722BEC">
        <w:t xml:space="preserve"> </w:t>
      </w:r>
      <w:r w:rsidR="009B1462">
        <w:t>Case Management System</w:t>
      </w:r>
    </w:p>
    <w:p w14:paraId="0E1C2043" w14:textId="582B4246" w:rsidR="001A5CF5" w:rsidRPr="001A5CF5" w:rsidRDefault="001A5CF5" w:rsidP="007B4F37">
      <w:pPr>
        <w:pStyle w:val="BodyText"/>
      </w:pPr>
      <w:r>
        <w:t>Computer Software</w:t>
      </w:r>
    </w:p>
    <w:tbl>
      <w:tblPr>
        <w:tblStyle w:val="AccessibleTableNumerical"/>
        <w:tblW w:w="5000" w:type="pct"/>
        <w:tblLook w:val="04A0" w:firstRow="1" w:lastRow="0" w:firstColumn="1" w:lastColumn="0" w:noHBand="0" w:noVBand="1"/>
      </w:tblPr>
      <w:tblGrid>
        <w:gridCol w:w="4978"/>
        <w:gridCol w:w="2331"/>
        <w:gridCol w:w="2333"/>
      </w:tblGrid>
      <w:tr w:rsidR="00417B1B" w:rsidRPr="001A5CF5" w14:paraId="2EDD1830"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pct"/>
          </w:tcPr>
          <w:p w14:paraId="37A45F6C" w14:textId="7F785B51" w:rsidR="00417B1B" w:rsidRPr="001A5CF5" w:rsidRDefault="001A5CF5" w:rsidP="001A5CF5">
            <w:pPr>
              <w:pStyle w:val="TableText"/>
            </w:pPr>
            <w:bookmarkStart w:id="361" w:name="ColumnTitle_71"/>
            <w:r>
              <w:t>Item</w:t>
            </w:r>
          </w:p>
        </w:tc>
        <w:tc>
          <w:tcPr>
            <w:tcW w:w="1209" w:type="pct"/>
            <w:vAlign w:val="bottom"/>
          </w:tcPr>
          <w:p w14:paraId="37ED7273" w14:textId="171DA0B4" w:rsidR="00417B1B" w:rsidRPr="001A5CF5"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1A5CF5">
              <w:t>20</w:t>
            </w:r>
            <w:r w:rsidR="00CE6082">
              <w:t>20</w:t>
            </w:r>
            <w:r w:rsidRPr="001A5CF5">
              <w:br/>
              <w:t>$'000</w:t>
            </w:r>
          </w:p>
        </w:tc>
        <w:tc>
          <w:tcPr>
            <w:tcW w:w="1210" w:type="pct"/>
            <w:vAlign w:val="bottom"/>
          </w:tcPr>
          <w:p w14:paraId="2B4C72CE" w14:textId="424E4923" w:rsidR="00417B1B" w:rsidRPr="001A5CF5"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1A5CF5">
              <w:t>201</w:t>
            </w:r>
            <w:r w:rsidR="00CE6082">
              <w:t>9</w:t>
            </w:r>
            <w:r w:rsidRPr="001A5CF5">
              <w:br/>
              <w:t>$'000</w:t>
            </w:r>
          </w:p>
        </w:tc>
      </w:tr>
      <w:bookmarkEnd w:id="361"/>
      <w:tr w:rsidR="00417B1B" w:rsidRPr="001A5CF5" w14:paraId="1FFE5126" w14:textId="77777777" w:rsidTr="001A5CF5">
        <w:tc>
          <w:tcPr>
            <w:cnfStyle w:val="001000000000" w:firstRow="0" w:lastRow="0" w:firstColumn="1" w:lastColumn="0" w:oddVBand="0" w:evenVBand="0" w:oddHBand="0" w:evenHBand="0" w:firstRowFirstColumn="0" w:firstRowLastColumn="0" w:lastRowFirstColumn="0" w:lastRowLastColumn="0"/>
            <w:tcW w:w="2581" w:type="pct"/>
          </w:tcPr>
          <w:p w14:paraId="72F5AA9F" w14:textId="577D3484" w:rsidR="00417B1B" w:rsidRPr="007B4F37" w:rsidRDefault="00417B1B" w:rsidP="001A5CF5">
            <w:pPr>
              <w:pStyle w:val="TableText"/>
              <w:rPr>
                <w:rStyle w:val="Bold"/>
              </w:rPr>
            </w:pPr>
            <w:r w:rsidRPr="007B4F37">
              <w:rPr>
                <w:rStyle w:val="Bold"/>
              </w:rPr>
              <w:t>Gross carrying amount</w:t>
            </w:r>
          </w:p>
        </w:tc>
        <w:tc>
          <w:tcPr>
            <w:tcW w:w="1209" w:type="pct"/>
          </w:tcPr>
          <w:p w14:paraId="559F9703" w14:textId="14AF048D" w:rsidR="00417B1B" w:rsidRPr="001A5CF5" w:rsidRDefault="00AC0BBF" w:rsidP="001A5CF5">
            <w:pPr>
              <w:pStyle w:val="TableText"/>
              <w:cnfStyle w:val="000000000000" w:firstRow="0" w:lastRow="0" w:firstColumn="0" w:lastColumn="0" w:oddVBand="0" w:evenVBand="0" w:oddHBand="0" w:evenHBand="0" w:firstRowFirstColumn="0" w:firstRowLastColumn="0" w:lastRowFirstColumn="0" w:lastRowLastColumn="0"/>
            </w:pPr>
            <w:r w:rsidRPr="001A5CF5">
              <w:t>N/A</w:t>
            </w:r>
          </w:p>
        </w:tc>
        <w:tc>
          <w:tcPr>
            <w:tcW w:w="1210" w:type="pct"/>
          </w:tcPr>
          <w:p w14:paraId="667134AA" w14:textId="194E560A" w:rsidR="00417B1B" w:rsidRPr="001A5CF5" w:rsidRDefault="00AC0BBF" w:rsidP="001A5CF5">
            <w:pPr>
              <w:pStyle w:val="TableText"/>
              <w:cnfStyle w:val="000000000000" w:firstRow="0" w:lastRow="0" w:firstColumn="0" w:lastColumn="0" w:oddVBand="0" w:evenVBand="0" w:oddHBand="0" w:evenHBand="0" w:firstRowFirstColumn="0" w:firstRowLastColumn="0" w:lastRowFirstColumn="0" w:lastRowLastColumn="0"/>
            </w:pPr>
            <w:r w:rsidRPr="001A5CF5">
              <w:t>N/A</w:t>
            </w:r>
          </w:p>
        </w:tc>
      </w:tr>
      <w:tr w:rsidR="00417B1B" w:rsidRPr="001A5CF5" w14:paraId="7322E240" w14:textId="77777777" w:rsidTr="001A5CF5">
        <w:tc>
          <w:tcPr>
            <w:cnfStyle w:val="001000000000" w:firstRow="0" w:lastRow="0" w:firstColumn="1" w:lastColumn="0" w:oddVBand="0" w:evenVBand="0" w:oddHBand="0" w:evenHBand="0" w:firstRowFirstColumn="0" w:firstRowLastColumn="0" w:lastRowFirstColumn="0" w:lastRowLastColumn="0"/>
            <w:tcW w:w="2581" w:type="pct"/>
          </w:tcPr>
          <w:p w14:paraId="7A7BEE27" w14:textId="77777777" w:rsidR="00417B1B" w:rsidRPr="001A5CF5" w:rsidRDefault="00417B1B" w:rsidP="001A5CF5">
            <w:pPr>
              <w:pStyle w:val="TableText"/>
            </w:pPr>
            <w:r w:rsidRPr="001A5CF5">
              <w:t>Opening balance</w:t>
            </w:r>
          </w:p>
        </w:tc>
        <w:tc>
          <w:tcPr>
            <w:tcW w:w="1209" w:type="pct"/>
          </w:tcPr>
          <w:p w14:paraId="7F6C35B7" w14:textId="77777777" w:rsidR="00417B1B" w:rsidRPr="001A5CF5" w:rsidRDefault="00417B1B" w:rsidP="001A5CF5">
            <w:pPr>
              <w:pStyle w:val="TableText"/>
              <w:cnfStyle w:val="000000000000" w:firstRow="0" w:lastRow="0" w:firstColumn="0" w:lastColumn="0" w:oddVBand="0" w:evenVBand="0" w:oddHBand="0" w:evenHBand="0" w:firstRowFirstColumn="0" w:firstRowLastColumn="0" w:lastRowFirstColumn="0" w:lastRowLastColumn="0"/>
            </w:pPr>
            <w:r w:rsidRPr="001A5CF5">
              <w:t>999</w:t>
            </w:r>
          </w:p>
        </w:tc>
        <w:tc>
          <w:tcPr>
            <w:tcW w:w="1210" w:type="pct"/>
          </w:tcPr>
          <w:p w14:paraId="7555AEE1" w14:textId="77777777" w:rsidR="00417B1B" w:rsidRPr="001A5CF5" w:rsidRDefault="00417B1B" w:rsidP="001A5CF5">
            <w:pPr>
              <w:pStyle w:val="TableText"/>
              <w:cnfStyle w:val="000000000000" w:firstRow="0" w:lastRow="0" w:firstColumn="0" w:lastColumn="0" w:oddVBand="0" w:evenVBand="0" w:oddHBand="0" w:evenHBand="0" w:firstRowFirstColumn="0" w:firstRowLastColumn="0" w:lastRowFirstColumn="0" w:lastRowLastColumn="0"/>
            </w:pPr>
            <w:r w:rsidRPr="001A5CF5">
              <w:t>999</w:t>
            </w:r>
          </w:p>
        </w:tc>
      </w:tr>
      <w:tr w:rsidR="00417B1B" w:rsidRPr="001A5CF5" w14:paraId="63C403FB" w14:textId="77777777" w:rsidTr="001A5CF5">
        <w:tc>
          <w:tcPr>
            <w:cnfStyle w:val="001000000000" w:firstRow="0" w:lastRow="0" w:firstColumn="1" w:lastColumn="0" w:oddVBand="0" w:evenVBand="0" w:oddHBand="0" w:evenHBand="0" w:firstRowFirstColumn="0" w:firstRowLastColumn="0" w:lastRowFirstColumn="0" w:lastRowLastColumn="0"/>
            <w:tcW w:w="2581" w:type="pct"/>
          </w:tcPr>
          <w:p w14:paraId="1C4E9C7A" w14:textId="77777777" w:rsidR="00417B1B" w:rsidRPr="007B4F37" w:rsidRDefault="00417B1B" w:rsidP="001A5CF5">
            <w:pPr>
              <w:pStyle w:val="TableText"/>
              <w:rPr>
                <w:rStyle w:val="Bold"/>
              </w:rPr>
            </w:pPr>
            <w:r w:rsidRPr="007B4F37">
              <w:rPr>
                <w:rStyle w:val="Bold"/>
              </w:rPr>
              <w:t>Accumulated amortisation and impairment</w:t>
            </w:r>
          </w:p>
        </w:tc>
        <w:tc>
          <w:tcPr>
            <w:tcW w:w="1209" w:type="pct"/>
          </w:tcPr>
          <w:p w14:paraId="0ED5A51A" w14:textId="6D4775AD" w:rsidR="00417B1B" w:rsidRPr="001A5CF5" w:rsidRDefault="00AC0BBF" w:rsidP="001A5CF5">
            <w:pPr>
              <w:pStyle w:val="TableText"/>
              <w:cnfStyle w:val="000000000000" w:firstRow="0" w:lastRow="0" w:firstColumn="0" w:lastColumn="0" w:oddVBand="0" w:evenVBand="0" w:oddHBand="0" w:evenHBand="0" w:firstRowFirstColumn="0" w:firstRowLastColumn="0" w:lastRowFirstColumn="0" w:lastRowLastColumn="0"/>
            </w:pPr>
            <w:r w:rsidRPr="001A5CF5">
              <w:t>N/A</w:t>
            </w:r>
          </w:p>
        </w:tc>
        <w:tc>
          <w:tcPr>
            <w:tcW w:w="1210" w:type="pct"/>
          </w:tcPr>
          <w:p w14:paraId="352B9370" w14:textId="697A68F4" w:rsidR="00417B1B" w:rsidRPr="001A5CF5" w:rsidRDefault="00AC0BBF" w:rsidP="001A5CF5">
            <w:pPr>
              <w:pStyle w:val="TableText"/>
              <w:cnfStyle w:val="000000000000" w:firstRow="0" w:lastRow="0" w:firstColumn="0" w:lastColumn="0" w:oddVBand="0" w:evenVBand="0" w:oddHBand="0" w:evenHBand="0" w:firstRowFirstColumn="0" w:firstRowLastColumn="0" w:lastRowFirstColumn="0" w:lastRowLastColumn="0"/>
            </w:pPr>
            <w:r w:rsidRPr="001A5CF5">
              <w:t>N/A</w:t>
            </w:r>
          </w:p>
        </w:tc>
      </w:tr>
      <w:tr w:rsidR="00417B1B" w:rsidRPr="001A5CF5" w14:paraId="251A057B" w14:textId="77777777" w:rsidTr="001A5CF5">
        <w:tc>
          <w:tcPr>
            <w:cnfStyle w:val="001000000000" w:firstRow="0" w:lastRow="0" w:firstColumn="1" w:lastColumn="0" w:oddVBand="0" w:evenVBand="0" w:oddHBand="0" w:evenHBand="0" w:firstRowFirstColumn="0" w:firstRowLastColumn="0" w:lastRowFirstColumn="0" w:lastRowLastColumn="0"/>
            <w:tcW w:w="2581" w:type="pct"/>
          </w:tcPr>
          <w:p w14:paraId="71D99B48" w14:textId="77777777" w:rsidR="00417B1B" w:rsidRPr="001A5CF5" w:rsidRDefault="00417B1B" w:rsidP="001A5CF5">
            <w:pPr>
              <w:pStyle w:val="TableText"/>
            </w:pPr>
            <w:r w:rsidRPr="001A5CF5">
              <w:t>Opening balance</w:t>
            </w:r>
          </w:p>
        </w:tc>
        <w:tc>
          <w:tcPr>
            <w:tcW w:w="1209" w:type="pct"/>
          </w:tcPr>
          <w:p w14:paraId="442716F6" w14:textId="261146F1" w:rsidR="00417B1B" w:rsidRPr="001A5CF5" w:rsidRDefault="00CE6082" w:rsidP="001A5CF5">
            <w:pPr>
              <w:pStyle w:val="TableText"/>
              <w:cnfStyle w:val="000000000000" w:firstRow="0" w:lastRow="0" w:firstColumn="0" w:lastColumn="0" w:oddVBand="0" w:evenVBand="0" w:oddHBand="0" w:evenHBand="0" w:firstRowFirstColumn="0" w:firstRowLastColumn="0" w:lastRowFirstColumn="0" w:lastRowLastColumn="0"/>
            </w:pPr>
            <w:r>
              <w:t>(445)</w:t>
            </w:r>
          </w:p>
        </w:tc>
        <w:tc>
          <w:tcPr>
            <w:tcW w:w="1210" w:type="pct"/>
          </w:tcPr>
          <w:p w14:paraId="2AA8B44F" w14:textId="5C1C5525" w:rsidR="00417B1B" w:rsidRPr="001A5CF5" w:rsidRDefault="00CE6082" w:rsidP="001A5CF5">
            <w:pPr>
              <w:pStyle w:val="TableText"/>
              <w:cnfStyle w:val="000000000000" w:firstRow="0" w:lastRow="0" w:firstColumn="0" w:lastColumn="0" w:oddVBand="0" w:evenVBand="0" w:oddHBand="0" w:evenHBand="0" w:firstRowFirstColumn="0" w:firstRowLastColumn="0" w:lastRowFirstColumn="0" w:lastRowLastColumn="0"/>
            </w:pPr>
            <w:r>
              <w:t>(303)</w:t>
            </w:r>
          </w:p>
        </w:tc>
      </w:tr>
      <w:tr w:rsidR="00417B1B" w:rsidRPr="001A5CF5" w14:paraId="7AD98031" w14:textId="77777777" w:rsidTr="001A5CF5">
        <w:tc>
          <w:tcPr>
            <w:cnfStyle w:val="001000000000" w:firstRow="0" w:lastRow="0" w:firstColumn="1" w:lastColumn="0" w:oddVBand="0" w:evenVBand="0" w:oddHBand="0" w:evenHBand="0" w:firstRowFirstColumn="0" w:firstRowLastColumn="0" w:lastRowFirstColumn="0" w:lastRowLastColumn="0"/>
            <w:tcW w:w="2581" w:type="pct"/>
          </w:tcPr>
          <w:p w14:paraId="7250FDCC" w14:textId="27EF1AA9" w:rsidR="00417B1B" w:rsidRPr="001A5CF5" w:rsidRDefault="00417B1B" w:rsidP="001A5CF5">
            <w:pPr>
              <w:pStyle w:val="TableText"/>
            </w:pPr>
            <w:r w:rsidRPr="00625A11">
              <w:t>Amortisation</w:t>
            </w:r>
            <w:r w:rsidR="00625A11" w:rsidRPr="00625A11">
              <w:rPr>
                <w:vertAlign w:val="superscript"/>
              </w:rPr>
              <w:fldChar w:fldCharType="begin"/>
            </w:r>
            <w:r w:rsidR="00625A11" w:rsidRPr="00625A11">
              <w:rPr>
                <w:vertAlign w:val="superscript"/>
              </w:rPr>
              <w:instrText xml:space="preserve"> REF Note522tablenote1 \r \h </w:instrText>
            </w:r>
            <w:r w:rsidR="00625A11">
              <w:rPr>
                <w:vertAlign w:val="superscript"/>
              </w:rPr>
              <w:instrText xml:space="preserve"> \* MERGEFORMAT </w:instrText>
            </w:r>
            <w:r w:rsidR="00625A11" w:rsidRPr="00625A11">
              <w:rPr>
                <w:vertAlign w:val="superscript"/>
              </w:rPr>
            </w:r>
            <w:r w:rsidR="00625A11" w:rsidRPr="00625A11">
              <w:rPr>
                <w:vertAlign w:val="superscript"/>
              </w:rPr>
              <w:fldChar w:fldCharType="separate"/>
            </w:r>
            <w:r w:rsidR="00D46E6D">
              <w:rPr>
                <w:vertAlign w:val="superscript"/>
              </w:rPr>
              <w:t>(1)</w:t>
            </w:r>
            <w:r w:rsidR="00625A11" w:rsidRPr="00625A11">
              <w:rPr>
                <w:vertAlign w:val="superscript"/>
              </w:rPr>
              <w:fldChar w:fldCharType="end"/>
            </w:r>
          </w:p>
        </w:tc>
        <w:tc>
          <w:tcPr>
            <w:tcW w:w="1209" w:type="pct"/>
          </w:tcPr>
          <w:p w14:paraId="28256B34" w14:textId="2DD84835" w:rsidR="00417B1B" w:rsidRPr="001A5CF5" w:rsidRDefault="00CE6082" w:rsidP="001A5CF5">
            <w:pPr>
              <w:pStyle w:val="TableText"/>
              <w:cnfStyle w:val="000000000000" w:firstRow="0" w:lastRow="0" w:firstColumn="0" w:lastColumn="0" w:oddVBand="0" w:evenVBand="0" w:oddHBand="0" w:evenHBand="0" w:firstRowFirstColumn="0" w:firstRowLastColumn="0" w:lastRowFirstColumn="0" w:lastRowLastColumn="0"/>
            </w:pPr>
            <w:r>
              <w:t>(143)</w:t>
            </w:r>
          </w:p>
        </w:tc>
        <w:tc>
          <w:tcPr>
            <w:tcW w:w="1210" w:type="pct"/>
          </w:tcPr>
          <w:p w14:paraId="3E8E798A" w14:textId="4F72AE73" w:rsidR="00417B1B" w:rsidRPr="001A5CF5" w:rsidRDefault="00CE6082" w:rsidP="001A5CF5">
            <w:pPr>
              <w:pStyle w:val="TableText"/>
              <w:cnfStyle w:val="000000000000" w:firstRow="0" w:lastRow="0" w:firstColumn="0" w:lastColumn="0" w:oddVBand="0" w:evenVBand="0" w:oddHBand="0" w:evenHBand="0" w:firstRowFirstColumn="0" w:firstRowLastColumn="0" w:lastRowFirstColumn="0" w:lastRowLastColumn="0"/>
            </w:pPr>
            <w:r>
              <w:t>(143)</w:t>
            </w:r>
          </w:p>
        </w:tc>
      </w:tr>
      <w:tr w:rsidR="00417B1B" w:rsidRPr="007B4F37" w14:paraId="6C161BBD"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bottom w:val="single" w:sz="4" w:space="0" w:color="auto"/>
            </w:tcBorders>
          </w:tcPr>
          <w:p w14:paraId="0517C892" w14:textId="77777777" w:rsidR="00417B1B" w:rsidRPr="007B4F37" w:rsidRDefault="00417B1B" w:rsidP="001A5CF5">
            <w:pPr>
              <w:pStyle w:val="TableText"/>
              <w:rPr>
                <w:rStyle w:val="Bold"/>
              </w:rPr>
            </w:pPr>
            <w:r w:rsidRPr="007B4F37">
              <w:rPr>
                <w:rStyle w:val="Bold"/>
              </w:rPr>
              <w:t>Closing balance</w:t>
            </w:r>
          </w:p>
        </w:tc>
        <w:tc>
          <w:tcPr>
            <w:tcW w:w="1209" w:type="pct"/>
            <w:tcBorders>
              <w:bottom w:val="single" w:sz="4" w:space="0" w:color="auto"/>
            </w:tcBorders>
          </w:tcPr>
          <w:p w14:paraId="7C764ABF" w14:textId="1BB0B62C"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(588)</w:t>
            </w:r>
          </w:p>
        </w:tc>
        <w:tc>
          <w:tcPr>
            <w:tcW w:w="1210" w:type="pct"/>
            <w:tcBorders>
              <w:bottom w:val="single" w:sz="4" w:space="0" w:color="auto"/>
            </w:tcBorders>
          </w:tcPr>
          <w:p w14:paraId="611E8D0D" w14:textId="4325CAC2"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(445)</w:t>
            </w:r>
          </w:p>
        </w:tc>
      </w:tr>
      <w:tr w:rsidR="00417B1B" w:rsidRPr="007B4F37" w14:paraId="3B11A26A"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top w:val="single" w:sz="4" w:space="0" w:color="auto"/>
              <w:bottom w:val="single" w:sz="4" w:space="0" w:color="auto"/>
            </w:tcBorders>
          </w:tcPr>
          <w:p w14:paraId="273310B5" w14:textId="77777777" w:rsidR="00417B1B" w:rsidRPr="007B4F37" w:rsidRDefault="00417B1B" w:rsidP="001A5CF5">
            <w:pPr>
              <w:pStyle w:val="TableText"/>
              <w:rPr>
                <w:rStyle w:val="Bold"/>
              </w:rPr>
            </w:pPr>
            <w:r w:rsidRPr="007B4F37">
              <w:rPr>
                <w:rStyle w:val="Bold"/>
              </w:rPr>
              <w:t>Net book value at the end of the financial year</w:t>
            </w:r>
          </w:p>
        </w:tc>
        <w:tc>
          <w:tcPr>
            <w:tcW w:w="1209" w:type="pct"/>
            <w:tcBorders>
              <w:top w:val="single" w:sz="4" w:space="0" w:color="auto"/>
              <w:bottom w:val="single" w:sz="4" w:space="0" w:color="auto"/>
            </w:tcBorders>
          </w:tcPr>
          <w:p w14:paraId="6D14AAB8" w14:textId="595D3A1D"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411</w:t>
            </w:r>
          </w:p>
        </w:tc>
        <w:tc>
          <w:tcPr>
            <w:tcW w:w="1210" w:type="pct"/>
            <w:tcBorders>
              <w:top w:val="single" w:sz="4" w:space="0" w:color="auto"/>
              <w:bottom w:val="single" w:sz="4" w:space="0" w:color="auto"/>
            </w:tcBorders>
          </w:tcPr>
          <w:p w14:paraId="4CE6532C" w14:textId="083021AA"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554</w:t>
            </w:r>
          </w:p>
        </w:tc>
      </w:tr>
    </w:tbl>
    <w:p w14:paraId="7C1B438B" w14:textId="69D7D5F8" w:rsidR="00417B1B" w:rsidRDefault="001A5CF5" w:rsidP="00895F89">
      <w:pPr>
        <w:pStyle w:val="Heading4"/>
      </w:pPr>
      <w:bookmarkStart w:id="362" w:name="Note523"/>
      <w:r w:rsidRPr="00722BEC">
        <w:t>5.2.3</w:t>
      </w:r>
      <w:bookmarkEnd w:id="362"/>
      <w:r w:rsidR="00092296">
        <w:tab/>
      </w:r>
      <w:r w:rsidRPr="00722BEC">
        <w:t>Intangible</w:t>
      </w:r>
      <w:r w:rsidR="006A197A">
        <w:t xml:space="preserve"> Assets - </w:t>
      </w:r>
      <w:r w:rsidR="009B1462">
        <w:t>Case Management System</w:t>
      </w:r>
      <w:r w:rsidR="00417B1B" w:rsidRPr="00722BEC">
        <w:t xml:space="preserve"> (WIP)</w:t>
      </w:r>
    </w:p>
    <w:p w14:paraId="32ABED3F" w14:textId="3B2DC585" w:rsidR="004F5974" w:rsidRPr="004F5974" w:rsidRDefault="004F5974" w:rsidP="00895F89">
      <w:pPr>
        <w:pStyle w:val="BodyText"/>
        <w:keepNext/>
      </w:pPr>
      <w:r>
        <w:t>Computer Software</w:t>
      </w:r>
    </w:p>
    <w:tbl>
      <w:tblPr>
        <w:tblStyle w:val="AccessibleTableNumerical"/>
        <w:tblW w:w="5000" w:type="pct"/>
        <w:tblLook w:val="04A0" w:firstRow="1" w:lastRow="0" w:firstColumn="1" w:lastColumn="0" w:noHBand="0" w:noVBand="1"/>
      </w:tblPr>
      <w:tblGrid>
        <w:gridCol w:w="4978"/>
        <w:gridCol w:w="2331"/>
        <w:gridCol w:w="2333"/>
      </w:tblGrid>
      <w:tr w:rsidR="00417B1B" w:rsidRPr="001A5CF5" w14:paraId="10AA788F"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pct"/>
          </w:tcPr>
          <w:p w14:paraId="50B5789F" w14:textId="6B821F29" w:rsidR="00417B1B" w:rsidRPr="001A5CF5" w:rsidRDefault="004F5974" w:rsidP="00895F89">
            <w:pPr>
              <w:pStyle w:val="TableText"/>
              <w:keepNext/>
            </w:pPr>
            <w:bookmarkStart w:id="363" w:name="ColumnTitle_72"/>
            <w:r w:rsidRPr="001A5CF5">
              <w:t>Item</w:t>
            </w:r>
          </w:p>
        </w:tc>
        <w:tc>
          <w:tcPr>
            <w:tcW w:w="1209" w:type="pct"/>
            <w:vAlign w:val="bottom"/>
          </w:tcPr>
          <w:p w14:paraId="5CE149DF" w14:textId="5CB4CD96" w:rsidR="00417B1B" w:rsidRPr="001A5CF5" w:rsidRDefault="00417B1B" w:rsidP="00895F89">
            <w:pPr>
              <w:pStyle w:val="TableText"/>
              <w:keepNext/>
              <w:cnfStyle w:val="100000000000" w:firstRow="1" w:lastRow="0" w:firstColumn="0" w:lastColumn="0" w:oddVBand="0" w:evenVBand="0" w:oddHBand="0" w:evenHBand="0" w:firstRowFirstColumn="0" w:firstRowLastColumn="0" w:lastRowFirstColumn="0" w:lastRowLastColumn="0"/>
            </w:pPr>
            <w:r w:rsidRPr="001A5CF5">
              <w:t>20</w:t>
            </w:r>
            <w:r w:rsidR="00CE6082">
              <w:t>20</w:t>
            </w:r>
            <w:r w:rsidRPr="001A5CF5">
              <w:br/>
              <w:t>$'000</w:t>
            </w:r>
          </w:p>
        </w:tc>
        <w:tc>
          <w:tcPr>
            <w:tcW w:w="1210" w:type="pct"/>
            <w:vAlign w:val="bottom"/>
          </w:tcPr>
          <w:p w14:paraId="49DBCF3F" w14:textId="71F0B6CB" w:rsidR="00417B1B" w:rsidRPr="001A5CF5" w:rsidRDefault="00417B1B" w:rsidP="00895F89">
            <w:pPr>
              <w:pStyle w:val="TableText"/>
              <w:keepNext/>
              <w:cnfStyle w:val="100000000000" w:firstRow="1" w:lastRow="0" w:firstColumn="0" w:lastColumn="0" w:oddVBand="0" w:evenVBand="0" w:oddHBand="0" w:evenHBand="0" w:firstRowFirstColumn="0" w:firstRowLastColumn="0" w:lastRowFirstColumn="0" w:lastRowLastColumn="0"/>
            </w:pPr>
            <w:r w:rsidRPr="001A5CF5">
              <w:t>201</w:t>
            </w:r>
            <w:r w:rsidR="00CE6082">
              <w:t>9</w:t>
            </w:r>
            <w:r w:rsidRPr="001A5CF5">
              <w:br/>
              <w:t>$'000</w:t>
            </w:r>
          </w:p>
        </w:tc>
      </w:tr>
      <w:bookmarkEnd w:id="363"/>
      <w:tr w:rsidR="00417B1B" w:rsidRPr="001A5CF5" w14:paraId="0F00BD18" w14:textId="77777777" w:rsidTr="004F5974">
        <w:tc>
          <w:tcPr>
            <w:cnfStyle w:val="001000000000" w:firstRow="0" w:lastRow="0" w:firstColumn="1" w:lastColumn="0" w:oddVBand="0" w:evenVBand="0" w:oddHBand="0" w:evenHBand="0" w:firstRowFirstColumn="0" w:firstRowLastColumn="0" w:lastRowFirstColumn="0" w:lastRowLastColumn="0"/>
            <w:tcW w:w="2581" w:type="pct"/>
          </w:tcPr>
          <w:p w14:paraId="76DFC32A" w14:textId="7954802B" w:rsidR="00417B1B" w:rsidRPr="007B4F37" w:rsidRDefault="00417B1B" w:rsidP="00895F89">
            <w:pPr>
              <w:pStyle w:val="TableText"/>
              <w:keepNext/>
              <w:rPr>
                <w:rStyle w:val="Bold"/>
              </w:rPr>
            </w:pPr>
            <w:r w:rsidRPr="007B4F37">
              <w:rPr>
                <w:rStyle w:val="Bold"/>
              </w:rPr>
              <w:t>Gross carrying amount</w:t>
            </w:r>
          </w:p>
        </w:tc>
        <w:tc>
          <w:tcPr>
            <w:tcW w:w="1209" w:type="pct"/>
          </w:tcPr>
          <w:p w14:paraId="014F0B76" w14:textId="51D274C5" w:rsidR="00417B1B" w:rsidRPr="001A5CF5" w:rsidRDefault="00AC0BBF" w:rsidP="00895F89">
            <w:pPr>
              <w:pStyle w:val="TableText"/>
              <w:keepNext/>
              <w:cnfStyle w:val="000000000000" w:firstRow="0" w:lastRow="0" w:firstColumn="0" w:lastColumn="0" w:oddVBand="0" w:evenVBand="0" w:oddHBand="0" w:evenHBand="0" w:firstRowFirstColumn="0" w:firstRowLastColumn="0" w:lastRowFirstColumn="0" w:lastRowLastColumn="0"/>
            </w:pPr>
            <w:r w:rsidRPr="001A5CF5">
              <w:t>N/A</w:t>
            </w:r>
          </w:p>
        </w:tc>
        <w:tc>
          <w:tcPr>
            <w:tcW w:w="1210" w:type="pct"/>
          </w:tcPr>
          <w:p w14:paraId="5077623E" w14:textId="11D68FEC" w:rsidR="00417B1B" w:rsidRPr="001A5CF5" w:rsidRDefault="00AC0BBF" w:rsidP="00895F89">
            <w:pPr>
              <w:pStyle w:val="TableText"/>
              <w:keepNext/>
              <w:cnfStyle w:val="000000000000" w:firstRow="0" w:lastRow="0" w:firstColumn="0" w:lastColumn="0" w:oddVBand="0" w:evenVBand="0" w:oddHBand="0" w:evenHBand="0" w:firstRowFirstColumn="0" w:firstRowLastColumn="0" w:lastRowFirstColumn="0" w:lastRowLastColumn="0"/>
            </w:pPr>
            <w:r w:rsidRPr="001A5CF5">
              <w:t>N/A</w:t>
            </w:r>
          </w:p>
        </w:tc>
      </w:tr>
      <w:tr w:rsidR="00417B1B" w:rsidRPr="001A5CF5" w14:paraId="6694C55F" w14:textId="77777777" w:rsidTr="004F5974">
        <w:tc>
          <w:tcPr>
            <w:cnfStyle w:val="001000000000" w:firstRow="0" w:lastRow="0" w:firstColumn="1" w:lastColumn="0" w:oddVBand="0" w:evenVBand="0" w:oddHBand="0" w:evenHBand="0" w:firstRowFirstColumn="0" w:firstRowLastColumn="0" w:lastRowFirstColumn="0" w:lastRowLastColumn="0"/>
            <w:tcW w:w="2581" w:type="pct"/>
          </w:tcPr>
          <w:p w14:paraId="2A62F51F" w14:textId="77777777" w:rsidR="00417B1B" w:rsidRPr="001A5CF5" w:rsidRDefault="00417B1B" w:rsidP="00895F89">
            <w:pPr>
              <w:pStyle w:val="TableText"/>
              <w:keepNext/>
            </w:pPr>
            <w:r w:rsidRPr="001A5CF5">
              <w:t>Opening balance</w:t>
            </w:r>
          </w:p>
        </w:tc>
        <w:tc>
          <w:tcPr>
            <w:tcW w:w="1209" w:type="pct"/>
          </w:tcPr>
          <w:p w14:paraId="316270F7" w14:textId="79609720" w:rsidR="00417B1B" w:rsidRPr="001A5CF5" w:rsidRDefault="00CE6082" w:rsidP="00895F89">
            <w:pPr>
              <w:pStyle w:val="TableText"/>
              <w:keepNext/>
              <w:cnfStyle w:val="000000000000" w:firstRow="0" w:lastRow="0" w:firstColumn="0" w:lastColumn="0" w:oddVBand="0" w:evenVBand="0" w:oddHBand="0" w:evenHBand="0" w:firstRowFirstColumn="0" w:firstRowLastColumn="0" w:lastRowFirstColumn="0" w:lastRowLastColumn="0"/>
            </w:pPr>
            <w:r>
              <w:t>6,980</w:t>
            </w:r>
          </w:p>
        </w:tc>
        <w:tc>
          <w:tcPr>
            <w:tcW w:w="1210" w:type="pct"/>
          </w:tcPr>
          <w:p w14:paraId="2894913E" w14:textId="482AD56A" w:rsidR="00417B1B" w:rsidRPr="001A5CF5" w:rsidRDefault="00CE6082" w:rsidP="00895F89">
            <w:pPr>
              <w:pStyle w:val="TableText"/>
              <w:keepNext/>
              <w:cnfStyle w:val="000000000000" w:firstRow="0" w:lastRow="0" w:firstColumn="0" w:lastColumn="0" w:oddVBand="0" w:evenVBand="0" w:oddHBand="0" w:evenHBand="0" w:firstRowFirstColumn="0" w:firstRowLastColumn="0" w:lastRowFirstColumn="0" w:lastRowLastColumn="0"/>
            </w:pPr>
            <w:r>
              <w:t>1,916</w:t>
            </w:r>
          </w:p>
        </w:tc>
      </w:tr>
      <w:tr w:rsidR="00417B1B" w:rsidRPr="001A5CF5" w14:paraId="2DABEB75" w14:textId="77777777" w:rsidTr="004F5974">
        <w:tc>
          <w:tcPr>
            <w:cnfStyle w:val="001000000000" w:firstRow="0" w:lastRow="0" w:firstColumn="1" w:lastColumn="0" w:oddVBand="0" w:evenVBand="0" w:oddHBand="0" w:evenHBand="0" w:firstRowFirstColumn="0" w:firstRowLastColumn="0" w:lastRowFirstColumn="0" w:lastRowLastColumn="0"/>
            <w:tcW w:w="2581" w:type="pct"/>
          </w:tcPr>
          <w:p w14:paraId="7464C325" w14:textId="77777777" w:rsidR="00417B1B" w:rsidRPr="001A5CF5" w:rsidRDefault="00417B1B" w:rsidP="00895F89">
            <w:pPr>
              <w:pStyle w:val="TableText"/>
              <w:keepNext/>
            </w:pPr>
            <w:r w:rsidRPr="001A5CF5">
              <w:t>Additions to work in progress</w:t>
            </w:r>
          </w:p>
        </w:tc>
        <w:tc>
          <w:tcPr>
            <w:tcW w:w="1209" w:type="pct"/>
          </w:tcPr>
          <w:p w14:paraId="589F6963" w14:textId="7A26A1E3" w:rsidR="00417B1B" w:rsidRPr="001A5CF5" w:rsidRDefault="00CE6082" w:rsidP="00895F89">
            <w:pPr>
              <w:pStyle w:val="TableText"/>
              <w:keepNext/>
              <w:cnfStyle w:val="000000000000" w:firstRow="0" w:lastRow="0" w:firstColumn="0" w:lastColumn="0" w:oddVBand="0" w:evenVBand="0" w:oddHBand="0" w:evenHBand="0" w:firstRowFirstColumn="0" w:firstRowLastColumn="0" w:lastRowFirstColumn="0" w:lastRowLastColumn="0"/>
            </w:pPr>
            <w:r>
              <w:t>5,383</w:t>
            </w:r>
          </w:p>
        </w:tc>
        <w:tc>
          <w:tcPr>
            <w:tcW w:w="1210" w:type="pct"/>
          </w:tcPr>
          <w:p w14:paraId="769ADA0C" w14:textId="0E52668A" w:rsidR="00417B1B" w:rsidRPr="001A5CF5" w:rsidRDefault="00CE6082" w:rsidP="00895F89">
            <w:pPr>
              <w:pStyle w:val="TableText"/>
              <w:keepNext/>
              <w:cnfStyle w:val="000000000000" w:firstRow="0" w:lastRow="0" w:firstColumn="0" w:lastColumn="0" w:oddVBand="0" w:evenVBand="0" w:oddHBand="0" w:evenHBand="0" w:firstRowFirstColumn="0" w:firstRowLastColumn="0" w:lastRowFirstColumn="0" w:lastRowLastColumn="0"/>
            </w:pPr>
            <w:r>
              <w:t>5,064</w:t>
            </w:r>
          </w:p>
        </w:tc>
      </w:tr>
      <w:tr w:rsidR="00417B1B" w:rsidRPr="007B4F37" w14:paraId="1CF48B2B"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bottom w:val="single" w:sz="4" w:space="0" w:color="auto"/>
            </w:tcBorders>
          </w:tcPr>
          <w:p w14:paraId="3774ACF7" w14:textId="20FFE445" w:rsidR="00417B1B" w:rsidRPr="007B4F37" w:rsidRDefault="00417B1B" w:rsidP="001A5CF5">
            <w:pPr>
              <w:pStyle w:val="TableText"/>
              <w:rPr>
                <w:rStyle w:val="Bold"/>
              </w:rPr>
            </w:pPr>
            <w:r w:rsidRPr="007B4F37">
              <w:rPr>
                <w:rStyle w:val="Bold"/>
              </w:rPr>
              <w:t>Gross value at t</w:t>
            </w:r>
            <w:r w:rsidR="00625A11">
              <w:rPr>
                <w:rStyle w:val="Bold"/>
              </w:rPr>
              <w:t>he end of the financial year</w:t>
            </w:r>
          </w:p>
        </w:tc>
        <w:tc>
          <w:tcPr>
            <w:tcW w:w="1209" w:type="pct"/>
            <w:tcBorders>
              <w:bottom w:val="single" w:sz="4" w:space="0" w:color="auto"/>
            </w:tcBorders>
          </w:tcPr>
          <w:p w14:paraId="121C41D2" w14:textId="01CDDD81"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12,363</w:t>
            </w:r>
          </w:p>
        </w:tc>
        <w:tc>
          <w:tcPr>
            <w:tcW w:w="1210" w:type="pct"/>
            <w:tcBorders>
              <w:bottom w:val="single" w:sz="4" w:space="0" w:color="auto"/>
            </w:tcBorders>
          </w:tcPr>
          <w:p w14:paraId="6115D0B5" w14:textId="278AE058"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6,980</w:t>
            </w:r>
          </w:p>
        </w:tc>
      </w:tr>
      <w:tr w:rsidR="00417B1B" w:rsidRPr="007B4F37" w14:paraId="718C3647" w14:textId="77777777" w:rsidTr="00D46E6D">
        <w:tc>
          <w:tcPr>
            <w:cnfStyle w:val="001000000000" w:firstRow="0" w:lastRow="0" w:firstColumn="1" w:lastColumn="0" w:oddVBand="0" w:evenVBand="0" w:oddHBand="0" w:evenHBand="0" w:firstRowFirstColumn="0" w:firstRowLastColumn="0" w:lastRowFirstColumn="0" w:lastRowLastColumn="0"/>
            <w:tcW w:w="2581" w:type="pct"/>
            <w:tcBorders>
              <w:top w:val="single" w:sz="4" w:space="0" w:color="auto"/>
              <w:bottom w:val="single" w:sz="4" w:space="0" w:color="auto"/>
            </w:tcBorders>
          </w:tcPr>
          <w:p w14:paraId="6C8BBB2C" w14:textId="543187CB" w:rsidR="00417B1B" w:rsidRPr="007B4F37" w:rsidRDefault="00417B1B" w:rsidP="001A5CF5">
            <w:pPr>
              <w:pStyle w:val="TableText"/>
              <w:rPr>
                <w:rStyle w:val="Bold"/>
              </w:rPr>
            </w:pPr>
            <w:r w:rsidRPr="007B4F37">
              <w:rPr>
                <w:rStyle w:val="Bold"/>
              </w:rPr>
              <w:t xml:space="preserve">Total </w:t>
            </w:r>
            <w:r w:rsidR="00236505">
              <w:rPr>
                <w:rStyle w:val="Bold"/>
              </w:rPr>
              <w:t>i</w:t>
            </w:r>
            <w:r w:rsidRPr="007B4F37">
              <w:rPr>
                <w:rStyle w:val="Bold"/>
              </w:rPr>
              <w:t xml:space="preserve">ntangible </w:t>
            </w:r>
            <w:r w:rsidR="00236505">
              <w:rPr>
                <w:rStyle w:val="Bold"/>
              </w:rPr>
              <w:t>a</w:t>
            </w:r>
            <w:r w:rsidRPr="007B4F37">
              <w:rPr>
                <w:rStyle w:val="Bold"/>
              </w:rPr>
              <w:t>ssets</w:t>
            </w:r>
          </w:p>
        </w:tc>
        <w:tc>
          <w:tcPr>
            <w:tcW w:w="1209" w:type="pct"/>
            <w:tcBorders>
              <w:top w:val="single" w:sz="4" w:space="0" w:color="auto"/>
              <w:bottom w:val="single" w:sz="4" w:space="0" w:color="auto"/>
            </w:tcBorders>
          </w:tcPr>
          <w:p w14:paraId="47987CEC" w14:textId="103E2E44"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31,622</w:t>
            </w:r>
          </w:p>
        </w:tc>
        <w:tc>
          <w:tcPr>
            <w:tcW w:w="1210" w:type="pct"/>
            <w:tcBorders>
              <w:top w:val="single" w:sz="4" w:space="0" w:color="auto"/>
              <w:bottom w:val="single" w:sz="4" w:space="0" w:color="auto"/>
            </w:tcBorders>
          </w:tcPr>
          <w:p w14:paraId="3FFD3FFA" w14:textId="24F0A715" w:rsidR="00417B1B" w:rsidRPr="007B4F37" w:rsidRDefault="00CE6082" w:rsidP="001A5CF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24,393</w:t>
            </w:r>
          </w:p>
        </w:tc>
      </w:tr>
    </w:tbl>
    <w:p w14:paraId="0C3C2784" w14:textId="2E280834" w:rsidR="00E952AB" w:rsidRDefault="00417B1B" w:rsidP="00417B1B">
      <w:pPr>
        <w:pStyle w:val="NotesText"/>
      </w:pPr>
      <w:r>
        <w:t>Note:</w:t>
      </w:r>
    </w:p>
    <w:p w14:paraId="09C18087" w14:textId="031AE8CD" w:rsidR="00417B1B" w:rsidRDefault="00CE6082" w:rsidP="00F110E7">
      <w:pPr>
        <w:pStyle w:val="NotesNumberedList"/>
        <w:numPr>
          <w:ilvl w:val="0"/>
          <w:numId w:val="21"/>
        </w:numPr>
      </w:pPr>
      <w:bookmarkStart w:id="364" w:name="Note522tablenote1"/>
      <w:r>
        <w:t>The consumption of intangible produced assets is included in the ‘depreciation and amortisation’ line item on the comprehensive operating statement.</w:t>
      </w:r>
      <w:bookmarkEnd w:id="364"/>
    </w:p>
    <w:p w14:paraId="5785665F" w14:textId="4D5C5F9B" w:rsidR="00CE6082" w:rsidRDefault="00CE6082" w:rsidP="00CE6082">
      <w:pPr>
        <w:pStyle w:val="Heading5"/>
      </w:pPr>
      <w:r>
        <w:t>Initial Recognition</w:t>
      </w:r>
    </w:p>
    <w:p w14:paraId="4BEF7E20" w14:textId="798F1B43" w:rsidR="00CE6082" w:rsidRDefault="00CE6082" w:rsidP="00CE6082">
      <w:pPr>
        <w:pStyle w:val="BodyText"/>
      </w:pPr>
      <w:r>
        <w:t>Purchased intangible assets are initially recognised at cost. When the recognition criteria in AASB 138 Intangible Assets is met, internally generated intangible assets are recognised at cost. Subsequently, intangible assets with finite useful lives are carried at cost less accumulated amortisation and accumulated impairment losses. Amortisation begins when the asset is available for use, that is, when it is in the location and condition necessary for it to be capable of operating in the manner intended by management.</w:t>
      </w:r>
    </w:p>
    <w:p w14:paraId="4A0C66E1" w14:textId="176E632F" w:rsidR="00CE6082" w:rsidRDefault="00CE6082" w:rsidP="00CE6082">
      <w:pPr>
        <w:pStyle w:val="BodyText"/>
      </w:pPr>
      <w:r>
        <w:t xml:space="preserve">An </w:t>
      </w:r>
      <w:proofErr w:type="gramStart"/>
      <w:r>
        <w:t>internally-generated</w:t>
      </w:r>
      <w:proofErr w:type="gramEnd"/>
      <w:r>
        <w:t xml:space="preserve"> intangible asset arising from development (or from the development phase of an internal project) is recognised if, and only if, all of the following are demonstrated:</w:t>
      </w:r>
    </w:p>
    <w:p w14:paraId="34666A08" w14:textId="54C1282A" w:rsidR="00CE6082" w:rsidRDefault="00CE6082" w:rsidP="00F110E7">
      <w:pPr>
        <w:pStyle w:val="ListAlpha1"/>
        <w:numPr>
          <w:ilvl w:val="0"/>
          <w:numId w:val="32"/>
        </w:numPr>
      </w:pPr>
      <w:r>
        <w:t xml:space="preserve">the technical feasibility of completing the intangible asset so that it will be available for use or </w:t>
      </w:r>
      <w:proofErr w:type="gramStart"/>
      <w:r>
        <w:t>sale;</w:t>
      </w:r>
      <w:proofErr w:type="gramEnd"/>
    </w:p>
    <w:p w14:paraId="5C0D432D" w14:textId="07CCCA9A" w:rsidR="00CE6082" w:rsidRDefault="00CE6082" w:rsidP="00F110E7">
      <w:pPr>
        <w:pStyle w:val="ListAlpha1"/>
        <w:numPr>
          <w:ilvl w:val="0"/>
          <w:numId w:val="32"/>
        </w:numPr>
      </w:pPr>
      <w:r>
        <w:t xml:space="preserve">an intention to complete the intangible asset and use or sell </w:t>
      </w:r>
      <w:proofErr w:type="gramStart"/>
      <w:r>
        <w:t>it;</w:t>
      </w:r>
      <w:proofErr w:type="gramEnd"/>
    </w:p>
    <w:p w14:paraId="03D70C90" w14:textId="75E08D90" w:rsidR="00CE6082" w:rsidRDefault="00CE6082" w:rsidP="00F110E7">
      <w:pPr>
        <w:pStyle w:val="ListAlpha1"/>
        <w:numPr>
          <w:ilvl w:val="0"/>
          <w:numId w:val="32"/>
        </w:numPr>
      </w:pPr>
      <w:r>
        <w:t xml:space="preserve">the ability to use or sell the intangible </w:t>
      </w:r>
      <w:proofErr w:type="gramStart"/>
      <w:r>
        <w:t>asset;</w:t>
      </w:r>
      <w:proofErr w:type="gramEnd"/>
      <w:r>
        <w:t xml:space="preserve"> </w:t>
      </w:r>
    </w:p>
    <w:p w14:paraId="48CEEEB3" w14:textId="4B0CCEA3" w:rsidR="00CE6082" w:rsidRDefault="00CE6082" w:rsidP="00F110E7">
      <w:pPr>
        <w:pStyle w:val="ListAlpha1"/>
        <w:numPr>
          <w:ilvl w:val="0"/>
          <w:numId w:val="32"/>
        </w:numPr>
      </w:pPr>
      <w:r>
        <w:t xml:space="preserve">the intangible asset will generate probable future economic </w:t>
      </w:r>
      <w:proofErr w:type="gramStart"/>
      <w:r>
        <w:t>benefits;</w:t>
      </w:r>
      <w:proofErr w:type="gramEnd"/>
    </w:p>
    <w:p w14:paraId="2D29F0AF" w14:textId="6BE30012" w:rsidR="00CE6082" w:rsidRDefault="00CE6082" w:rsidP="00F110E7">
      <w:pPr>
        <w:pStyle w:val="ListAlpha1"/>
        <w:numPr>
          <w:ilvl w:val="0"/>
          <w:numId w:val="32"/>
        </w:numPr>
      </w:pPr>
      <w:r>
        <w:t>the availability of adequate technical, financial and other resources to complete the development and to use or sell the intangible asset; and</w:t>
      </w:r>
    </w:p>
    <w:p w14:paraId="4F4759B6" w14:textId="6B898C9F" w:rsidR="00CE6082" w:rsidRDefault="00CE6082" w:rsidP="00F110E7">
      <w:pPr>
        <w:pStyle w:val="ListAlpha1"/>
        <w:numPr>
          <w:ilvl w:val="0"/>
          <w:numId w:val="32"/>
        </w:numPr>
      </w:pPr>
      <w:r>
        <w:t>the ability to measure reliably the expenditure attributable to the intangible asset during its development.</w:t>
      </w:r>
    </w:p>
    <w:p w14:paraId="32ED2317" w14:textId="21DAFF93" w:rsidR="00CE6082" w:rsidRDefault="00CE6082" w:rsidP="00CE6082">
      <w:pPr>
        <w:pStyle w:val="Heading5"/>
      </w:pPr>
      <w:r>
        <w:t>Subsequent Measurement</w:t>
      </w:r>
    </w:p>
    <w:p w14:paraId="22A661C3" w14:textId="4812D8E8" w:rsidR="00CE6082" w:rsidRDefault="00CE6082" w:rsidP="00CE6082">
      <w:pPr>
        <w:pStyle w:val="BodyText"/>
      </w:pPr>
      <w:r>
        <w:t xml:space="preserve">Intangible produced assets with finite useful lives, are amortised as an ‘expense from transactions’ on a </w:t>
      </w:r>
      <w:proofErr w:type="gramStart"/>
      <w:r>
        <w:t>straight line</w:t>
      </w:r>
      <w:proofErr w:type="gramEnd"/>
      <w:r>
        <w:t xml:space="preserve"> basis over their useful lives. Produced intangible assets have useful lives of between 3 and 7 years (2019: 3 and 7 years).</w:t>
      </w:r>
    </w:p>
    <w:p w14:paraId="491BA113" w14:textId="047CD7C1" w:rsidR="00CE6082" w:rsidRDefault="00CE6082" w:rsidP="00CE6082">
      <w:pPr>
        <w:pStyle w:val="BodyText"/>
      </w:pPr>
      <w:r>
        <w:t>Intangible non-produced assets with finite lives are amortised as an ‘other economic flow’ on a straight-line basis over their useful lives. The amortisation period is 3 to 5 years (2019: 3 and 5 years).</w:t>
      </w:r>
    </w:p>
    <w:p w14:paraId="43FF2819" w14:textId="4AF1D27A" w:rsidR="00CE6082" w:rsidRDefault="00CE6082" w:rsidP="00CE6082">
      <w:pPr>
        <w:pStyle w:val="Heading5"/>
      </w:pPr>
      <w:bookmarkStart w:id="365" w:name="_Ref61897102"/>
      <w:r>
        <w:t>Impairment of Intangible Assets</w:t>
      </w:r>
      <w:bookmarkEnd w:id="365"/>
    </w:p>
    <w:p w14:paraId="00A23DBB" w14:textId="20F6DD49" w:rsidR="00CE6082" w:rsidRDefault="00CE6082" w:rsidP="00CE6082">
      <w:pPr>
        <w:pStyle w:val="BodyText"/>
      </w:pPr>
      <w:r>
        <w:t xml:space="preserve">Intangible assets with finite useful lives are tested for impairment whenever an indication of impairment is identified. Intangible assets not yet available for use are tested annually for impairment and whenever there is an indication that the asset may be impaired. </w:t>
      </w:r>
      <w:r w:rsidR="009B1462">
        <w:t>Court Services Victoria</w:t>
      </w:r>
      <w:r>
        <w:t xml:space="preserve"> has no intangible assets with indefinite useful lives.</w:t>
      </w:r>
    </w:p>
    <w:p w14:paraId="6A23975A" w14:textId="2C15A57A" w:rsidR="00CE6082" w:rsidRDefault="00CE6082" w:rsidP="00417B1B">
      <w:pPr>
        <w:pStyle w:val="BodyText"/>
      </w:pPr>
      <w:r>
        <w:t>The policy in connection with testing for impairment is outlined in</w:t>
      </w:r>
      <w:r w:rsidR="00546B78">
        <w:t xml:space="preserve"> </w:t>
      </w:r>
      <w:hyperlink w:anchor="Section511" w:history="1">
        <w:r w:rsidR="00546B78" w:rsidRPr="00546B78">
          <w:t>section 5.1.1</w:t>
        </w:r>
      </w:hyperlink>
      <w:r>
        <w:t>.</w:t>
      </w:r>
    </w:p>
    <w:p w14:paraId="050E2021" w14:textId="265F31D0" w:rsidR="00417B1B" w:rsidRDefault="00417B1B" w:rsidP="00DD031A">
      <w:pPr>
        <w:pStyle w:val="Heading2"/>
      </w:pPr>
      <w:bookmarkStart w:id="366" w:name="_Note_6._Other"/>
      <w:bookmarkStart w:id="367" w:name="_Ref22644052"/>
      <w:bookmarkStart w:id="368" w:name="_Toc62808156"/>
      <w:bookmarkEnd w:id="366"/>
      <w:r>
        <w:t xml:space="preserve">Note </w:t>
      </w:r>
      <w:bookmarkStart w:id="369" w:name="Note6"/>
      <w:r>
        <w:t>6</w:t>
      </w:r>
      <w:bookmarkEnd w:id="369"/>
      <w:r>
        <w:t>.</w:t>
      </w:r>
      <w:r>
        <w:tab/>
        <w:t xml:space="preserve">Other Assets </w:t>
      </w:r>
      <w:r w:rsidR="00D45E5B">
        <w:t xml:space="preserve">and </w:t>
      </w:r>
      <w:r>
        <w:t>Liabilities</w:t>
      </w:r>
      <w:bookmarkEnd w:id="367"/>
      <w:bookmarkEnd w:id="368"/>
    </w:p>
    <w:p w14:paraId="09F3417F" w14:textId="77777777" w:rsidR="00417B1B" w:rsidRDefault="00417B1B" w:rsidP="00417B1B">
      <w:pPr>
        <w:pStyle w:val="Heading3"/>
      </w:pPr>
      <w:bookmarkStart w:id="370" w:name="_Toc62808157"/>
      <w:r>
        <w:t>Introduction</w:t>
      </w:r>
      <w:bookmarkEnd w:id="370"/>
    </w:p>
    <w:p w14:paraId="54245EC1" w14:textId="7FC60CF4" w:rsidR="00417B1B" w:rsidRDefault="00417B1B" w:rsidP="00417B1B">
      <w:pPr>
        <w:pStyle w:val="BodyText"/>
      </w:pPr>
      <w:r>
        <w:t xml:space="preserve">This section sets out those assets and liabilities that arose from </w:t>
      </w:r>
      <w:r w:rsidR="009B1462">
        <w:t>Court Services Victoria</w:t>
      </w:r>
      <w:r w:rsidR="00CE6082">
        <w:t xml:space="preserve">’s </w:t>
      </w:r>
      <w:r>
        <w:t>controlled operations.</w:t>
      </w:r>
    </w:p>
    <w:p w14:paraId="1254061B" w14:textId="77777777" w:rsidR="00417B1B" w:rsidRPr="00460432" w:rsidRDefault="00417B1B" w:rsidP="00460432">
      <w:pPr>
        <w:pStyle w:val="BodyText"/>
        <w:rPr>
          <w:rStyle w:val="Bold"/>
        </w:rPr>
      </w:pPr>
      <w:r w:rsidRPr="00460432">
        <w:rPr>
          <w:rStyle w:val="Bold"/>
        </w:rPr>
        <w:t>Structure</w:t>
      </w:r>
    </w:p>
    <w:p w14:paraId="3C7AF42E" w14:textId="0B416504" w:rsidR="00417B1B" w:rsidRPr="00625A11" w:rsidRDefault="00625A11" w:rsidP="00885C57">
      <w:pPr>
        <w:pStyle w:val="NoSpacing"/>
      </w:pPr>
      <w:r>
        <w:fldChar w:fldCharType="begin"/>
      </w:r>
      <w:r>
        <w:instrText xml:space="preserve"> REF Note61 \h </w:instrText>
      </w:r>
      <w:r>
        <w:fldChar w:fldCharType="separate"/>
      </w:r>
      <w:r w:rsidR="00D46E6D">
        <w:t xml:space="preserve">6.1 </w:t>
      </w:r>
      <w:r>
        <w:fldChar w:fldCharType="end"/>
      </w:r>
      <w:r w:rsidR="00417B1B" w:rsidRPr="00625A11">
        <w:tab/>
        <w:t>Receivables</w:t>
      </w:r>
    </w:p>
    <w:p w14:paraId="53F64F4B" w14:textId="2E2CFC0D" w:rsidR="00417B1B" w:rsidRDefault="00625A11" w:rsidP="00885C57">
      <w:pPr>
        <w:pStyle w:val="NoSpacing"/>
      </w:pPr>
      <w:r>
        <w:fldChar w:fldCharType="begin"/>
      </w:r>
      <w:r>
        <w:instrText xml:space="preserve"> REF Note62 \h </w:instrText>
      </w:r>
      <w:r>
        <w:fldChar w:fldCharType="separate"/>
      </w:r>
      <w:r w:rsidR="00D46E6D">
        <w:t xml:space="preserve">6.2 </w:t>
      </w:r>
      <w:r>
        <w:fldChar w:fldCharType="end"/>
      </w:r>
      <w:r w:rsidR="00417B1B" w:rsidRPr="00625A11">
        <w:tab/>
        <w:t>Payables</w:t>
      </w:r>
    </w:p>
    <w:p w14:paraId="2B4CCE22" w14:textId="77777777" w:rsidR="00417B1B" w:rsidRDefault="00417B1B" w:rsidP="00417B1B">
      <w:pPr>
        <w:pStyle w:val="Heading3"/>
      </w:pPr>
      <w:bookmarkStart w:id="371" w:name="Note61"/>
      <w:bookmarkStart w:id="372" w:name="_Toc62808158"/>
      <w:r>
        <w:t xml:space="preserve">6.1 </w:t>
      </w:r>
      <w:bookmarkEnd w:id="371"/>
      <w:r>
        <w:t>Receivables</w:t>
      </w:r>
      <w:bookmarkEnd w:id="372"/>
    </w:p>
    <w:tbl>
      <w:tblPr>
        <w:tblStyle w:val="AccessibleTableNumerical"/>
        <w:tblW w:w="5000" w:type="pct"/>
        <w:tblLook w:val="04A0" w:firstRow="1" w:lastRow="0" w:firstColumn="1" w:lastColumn="0" w:noHBand="0" w:noVBand="1"/>
      </w:tblPr>
      <w:tblGrid>
        <w:gridCol w:w="5852"/>
        <w:gridCol w:w="1896"/>
        <w:gridCol w:w="1894"/>
      </w:tblGrid>
      <w:tr w:rsidR="00417B1B" w:rsidRPr="00722BEC" w14:paraId="0E671024"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5" w:type="pct"/>
          </w:tcPr>
          <w:p w14:paraId="7D95CC3D" w14:textId="20965405" w:rsidR="00417B1B" w:rsidRPr="00722BEC" w:rsidRDefault="00B95700" w:rsidP="00675754">
            <w:pPr>
              <w:pStyle w:val="TableText"/>
            </w:pPr>
            <w:bookmarkStart w:id="373" w:name="ColumnTitle_73"/>
            <w:r w:rsidRPr="00722BEC">
              <w:t>Current receivables</w:t>
            </w:r>
          </w:p>
        </w:tc>
        <w:tc>
          <w:tcPr>
            <w:tcW w:w="983" w:type="pct"/>
            <w:vAlign w:val="bottom"/>
          </w:tcPr>
          <w:p w14:paraId="76C948FA" w14:textId="3937EEFB"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w:t>
            </w:r>
            <w:r w:rsidR="007C514A">
              <w:t>20</w:t>
            </w:r>
            <w:r w:rsidRPr="00722BEC">
              <w:br/>
              <w:t>$'000</w:t>
            </w:r>
          </w:p>
        </w:tc>
        <w:tc>
          <w:tcPr>
            <w:tcW w:w="982" w:type="pct"/>
            <w:vAlign w:val="bottom"/>
          </w:tcPr>
          <w:p w14:paraId="230192BD" w14:textId="451FB72C"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201</w:t>
            </w:r>
            <w:r w:rsidR="007C514A">
              <w:t>9</w:t>
            </w:r>
            <w:r w:rsidRPr="00722BEC">
              <w:br/>
              <w:t>$'000</w:t>
            </w:r>
          </w:p>
        </w:tc>
      </w:tr>
      <w:bookmarkEnd w:id="373"/>
      <w:tr w:rsidR="00417B1B" w:rsidRPr="00722BEC" w14:paraId="4BA47270" w14:textId="77777777" w:rsidTr="00B95700">
        <w:tc>
          <w:tcPr>
            <w:cnfStyle w:val="001000000000" w:firstRow="0" w:lastRow="0" w:firstColumn="1" w:lastColumn="0" w:oddVBand="0" w:evenVBand="0" w:oddHBand="0" w:evenHBand="0" w:firstRowFirstColumn="0" w:firstRowLastColumn="0" w:lastRowFirstColumn="0" w:lastRowLastColumn="0"/>
            <w:tcW w:w="3035" w:type="pct"/>
          </w:tcPr>
          <w:p w14:paraId="3D699968" w14:textId="77777777" w:rsidR="00417B1B" w:rsidRPr="00722BEC" w:rsidRDefault="00417B1B" w:rsidP="00675754">
            <w:pPr>
              <w:pStyle w:val="TableText"/>
            </w:pPr>
            <w:r w:rsidRPr="00B95700">
              <w:rPr>
                <w:rStyle w:val="Bold"/>
              </w:rPr>
              <w:t>Contractual</w:t>
            </w:r>
          </w:p>
        </w:tc>
        <w:tc>
          <w:tcPr>
            <w:tcW w:w="983" w:type="pct"/>
            <w:tcBorders>
              <w:bottom w:val="nil"/>
            </w:tcBorders>
          </w:tcPr>
          <w:p w14:paraId="172F0BAB" w14:textId="241BB733" w:rsidR="00417B1B" w:rsidRPr="00722BEC" w:rsidRDefault="00AC0BBF" w:rsidP="00675754">
            <w:pPr>
              <w:pStyle w:val="TableText"/>
              <w:cnfStyle w:val="000000000000" w:firstRow="0" w:lastRow="0" w:firstColumn="0" w:lastColumn="0" w:oddVBand="0" w:evenVBand="0" w:oddHBand="0" w:evenHBand="0" w:firstRowFirstColumn="0" w:firstRowLastColumn="0" w:lastRowFirstColumn="0" w:lastRowLastColumn="0"/>
            </w:pPr>
            <w:r>
              <w:t>N/A</w:t>
            </w:r>
          </w:p>
        </w:tc>
        <w:tc>
          <w:tcPr>
            <w:tcW w:w="982" w:type="pct"/>
            <w:tcBorders>
              <w:bottom w:val="nil"/>
            </w:tcBorders>
          </w:tcPr>
          <w:p w14:paraId="02DF4D48" w14:textId="564FDB18" w:rsidR="00417B1B" w:rsidRPr="00722BEC" w:rsidRDefault="00AC0BBF" w:rsidP="00675754">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2DD636BA" w14:textId="77777777" w:rsidTr="00B95700">
        <w:tc>
          <w:tcPr>
            <w:cnfStyle w:val="001000000000" w:firstRow="0" w:lastRow="0" w:firstColumn="1" w:lastColumn="0" w:oddVBand="0" w:evenVBand="0" w:oddHBand="0" w:evenHBand="0" w:firstRowFirstColumn="0" w:firstRowLastColumn="0" w:lastRowFirstColumn="0" w:lastRowLastColumn="0"/>
            <w:tcW w:w="3035" w:type="pct"/>
          </w:tcPr>
          <w:p w14:paraId="7EC6FDC4" w14:textId="747B1E37" w:rsidR="00417B1B" w:rsidRPr="00722BEC" w:rsidRDefault="00417B1B" w:rsidP="00675754">
            <w:pPr>
              <w:pStyle w:val="TableText"/>
            </w:pPr>
            <w:r w:rsidRPr="00722BEC">
              <w:t>Other receivables</w:t>
            </w:r>
          </w:p>
        </w:tc>
        <w:tc>
          <w:tcPr>
            <w:tcW w:w="983" w:type="pct"/>
            <w:tcBorders>
              <w:top w:val="nil"/>
              <w:bottom w:val="nil"/>
            </w:tcBorders>
          </w:tcPr>
          <w:p w14:paraId="33023932" w14:textId="78940B65"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6,046</w:t>
            </w:r>
          </w:p>
        </w:tc>
        <w:tc>
          <w:tcPr>
            <w:tcW w:w="982" w:type="pct"/>
            <w:tcBorders>
              <w:top w:val="nil"/>
              <w:bottom w:val="nil"/>
            </w:tcBorders>
          </w:tcPr>
          <w:p w14:paraId="775909B4" w14:textId="1C0786AF"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10,600</w:t>
            </w:r>
          </w:p>
        </w:tc>
      </w:tr>
      <w:tr w:rsidR="00417B1B" w:rsidRPr="00722BEC" w14:paraId="6D0CDB86" w14:textId="77777777" w:rsidTr="00B95700">
        <w:tc>
          <w:tcPr>
            <w:cnfStyle w:val="001000000000" w:firstRow="0" w:lastRow="0" w:firstColumn="1" w:lastColumn="0" w:oddVBand="0" w:evenVBand="0" w:oddHBand="0" w:evenHBand="0" w:firstRowFirstColumn="0" w:firstRowLastColumn="0" w:lastRowFirstColumn="0" w:lastRowLastColumn="0"/>
            <w:tcW w:w="3035" w:type="pct"/>
          </w:tcPr>
          <w:p w14:paraId="0DFE4C9F" w14:textId="77777777" w:rsidR="00417B1B" w:rsidRPr="00722BEC" w:rsidRDefault="00417B1B" w:rsidP="00675754">
            <w:pPr>
              <w:pStyle w:val="TableText"/>
            </w:pPr>
            <w:r w:rsidRPr="00722BEC">
              <w:t>Allowance for impairment losses of contractual receivables</w:t>
            </w:r>
          </w:p>
        </w:tc>
        <w:tc>
          <w:tcPr>
            <w:tcW w:w="983" w:type="pct"/>
            <w:tcBorders>
              <w:top w:val="nil"/>
              <w:bottom w:val="single" w:sz="4" w:space="0" w:color="auto"/>
            </w:tcBorders>
          </w:tcPr>
          <w:p w14:paraId="6FCE3B70" w14:textId="1CE50FDA"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(56)</w:t>
            </w:r>
          </w:p>
        </w:tc>
        <w:tc>
          <w:tcPr>
            <w:tcW w:w="982" w:type="pct"/>
            <w:tcBorders>
              <w:top w:val="nil"/>
              <w:bottom w:val="single" w:sz="4" w:space="0" w:color="auto"/>
            </w:tcBorders>
          </w:tcPr>
          <w:p w14:paraId="55CB230F" w14:textId="3B85555B"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(246)</w:t>
            </w:r>
          </w:p>
        </w:tc>
      </w:tr>
      <w:tr w:rsidR="00417B1B" w:rsidRPr="00722BEC" w14:paraId="50165276" w14:textId="77777777" w:rsidTr="00B95700">
        <w:tc>
          <w:tcPr>
            <w:cnfStyle w:val="001000000000" w:firstRow="0" w:lastRow="0" w:firstColumn="1" w:lastColumn="0" w:oddVBand="0" w:evenVBand="0" w:oddHBand="0" w:evenHBand="0" w:firstRowFirstColumn="0" w:firstRowLastColumn="0" w:lastRowFirstColumn="0" w:lastRowLastColumn="0"/>
            <w:tcW w:w="3035" w:type="pct"/>
          </w:tcPr>
          <w:p w14:paraId="214EA528" w14:textId="68C69B48" w:rsidR="00417B1B" w:rsidRPr="00722BEC" w:rsidRDefault="00B95700" w:rsidP="00675754">
            <w:pPr>
              <w:pStyle w:val="TableText"/>
            </w:pPr>
            <w:r>
              <w:t>Total</w:t>
            </w:r>
          </w:p>
        </w:tc>
        <w:tc>
          <w:tcPr>
            <w:tcW w:w="983" w:type="pct"/>
            <w:tcBorders>
              <w:top w:val="single" w:sz="4" w:space="0" w:color="auto"/>
            </w:tcBorders>
          </w:tcPr>
          <w:p w14:paraId="6122C493" w14:textId="2136D662"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5,991</w:t>
            </w:r>
          </w:p>
        </w:tc>
        <w:tc>
          <w:tcPr>
            <w:tcW w:w="982" w:type="pct"/>
            <w:tcBorders>
              <w:top w:val="single" w:sz="4" w:space="0" w:color="auto"/>
            </w:tcBorders>
          </w:tcPr>
          <w:p w14:paraId="0DDC1B77" w14:textId="661D8D15"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10,354</w:t>
            </w:r>
          </w:p>
        </w:tc>
      </w:tr>
      <w:tr w:rsidR="00417B1B" w:rsidRPr="00722BEC" w14:paraId="7900D8A2" w14:textId="77777777" w:rsidTr="00885C57">
        <w:tc>
          <w:tcPr>
            <w:cnfStyle w:val="001000000000" w:firstRow="0" w:lastRow="0" w:firstColumn="1" w:lastColumn="0" w:oddVBand="0" w:evenVBand="0" w:oddHBand="0" w:evenHBand="0" w:firstRowFirstColumn="0" w:firstRowLastColumn="0" w:lastRowFirstColumn="0" w:lastRowLastColumn="0"/>
            <w:tcW w:w="3035" w:type="pct"/>
          </w:tcPr>
          <w:p w14:paraId="0366557C" w14:textId="77777777" w:rsidR="00417B1B" w:rsidRPr="00722BEC" w:rsidRDefault="00417B1B" w:rsidP="00437B50">
            <w:pPr>
              <w:pStyle w:val="TableText"/>
              <w:spacing w:before="120"/>
            </w:pPr>
            <w:r w:rsidRPr="00B95700">
              <w:rPr>
                <w:rStyle w:val="Bold"/>
              </w:rPr>
              <w:t>Statutory</w:t>
            </w:r>
          </w:p>
        </w:tc>
        <w:tc>
          <w:tcPr>
            <w:tcW w:w="983" w:type="pct"/>
          </w:tcPr>
          <w:p w14:paraId="07EA16A5" w14:textId="01BCA1DB" w:rsidR="00417B1B" w:rsidRPr="00722BEC" w:rsidRDefault="00AC0BBF" w:rsidP="00437B50">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982" w:type="pct"/>
          </w:tcPr>
          <w:p w14:paraId="3A736BF1" w14:textId="3C99F885" w:rsidR="00417B1B" w:rsidRPr="00722BEC" w:rsidRDefault="00AC0BBF" w:rsidP="00437B50">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659ECF68" w14:textId="77777777" w:rsidTr="00885C57">
        <w:tc>
          <w:tcPr>
            <w:cnfStyle w:val="001000000000" w:firstRow="0" w:lastRow="0" w:firstColumn="1" w:lastColumn="0" w:oddVBand="0" w:evenVBand="0" w:oddHBand="0" w:evenHBand="0" w:firstRowFirstColumn="0" w:firstRowLastColumn="0" w:lastRowFirstColumn="0" w:lastRowLastColumn="0"/>
            <w:tcW w:w="3035" w:type="pct"/>
          </w:tcPr>
          <w:p w14:paraId="3083C81F" w14:textId="3243131A" w:rsidR="00417B1B" w:rsidRPr="00722BEC" w:rsidRDefault="00417B1B" w:rsidP="00675754">
            <w:pPr>
              <w:pStyle w:val="TableText"/>
            </w:pPr>
            <w:r w:rsidRPr="00722BEC">
              <w:t>Amounts owing from Victorian Government</w:t>
            </w:r>
          </w:p>
        </w:tc>
        <w:tc>
          <w:tcPr>
            <w:tcW w:w="983" w:type="pct"/>
          </w:tcPr>
          <w:p w14:paraId="4AA11E1C" w14:textId="24E30941"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122,345</w:t>
            </w:r>
          </w:p>
        </w:tc>
        <w:tc>
          <w:tcPr>
            <w:tcW w:w="982" w:type="pct"/>
          </w:tcPr>
          <w:p w14:paraId="220CF1A3" w14:textId="4836AC05"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83,555</w:t>
            </w:r>
          </w:p>
        </w:tc>
      </w:tr>
      <w:tr w:rsidR="00417B1B" w:rsidRPr="00722BEC" w14:paraId="5E3849C3" w14:textId="77777777" w:rsidTr="00B95700">
        <w:tc>
          <w:tcPr>
            <w:cnfStyle w:val="001000000000" w:firstRow="0" w:lastRow="0" w:firstColumn="1" w:lastColumn="0" w:oddVBand="0" w:evenVBand="0" w:oddHBand="0" w:evenHBand="0" w:firstRowFirstColumn="0" w:firstRowLastColumn="0" w:lastRowFirstColumn="0" w:lastRowLastColumn="0"/>
            <w:tcW w:w="3035" w:type="pct"/>
          </w:tcPr>
          <w:p w14:paraId="3BE059C4" w14:textId="77777777" w:rsidR="00417B1B" w:rsidRPr="00722BEC" w:rsidRDefault="00417B1B" w:rsidP="00675754">
            <w:pPr>
              <w:pStyle w:val="TableText"/>
            </w:pPr>
            <w:r w:rsidRPr="00722BEC">
              <w:t>GST input tax credit recoverable</w:t>
            </w:r>
          </w:p>
        </w:tc>
        <w:tc>
          <w:tcPr>
            <w:tcW w:w="983" w:type="pct"/>
            <w:tcBorders>
              <w:bottom w:val="single" w:sz="4" w:space="0" w:color="auto"/>
            </w:tcBorders>
          </w:tcPr>
          <w:p w14:paraId="28E0940A" w14:textId="42AAA18B"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6,370</w:t>
            </w:r>
          </w:p>
        </w:tc>
        <w:tc>
          <w:tcPr>
            <w:tcW w:w="982" w:type="pct"/>
            <w:tcBorders>
              <w:bottom w:val="single" w:sz="4" w:space="0" w:color="auto"/>
            </w:tcBorders>
          </w:tcPr>
          <w:p w14:paraId="4A9C0352" w14:textId="3701533E"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6,016</w:t>
            </w:r>
          </w:p>
        </w:tc>
      </w:tr>
      <w:tr w:rsidR="00417B1B" w:rsidRPr="00722BEC" w14:paraId="235CE3AE" w14:textId="77777777" w:rsidTr="00B95700">
        <w:tc>
          <w:tcPr>
            <w:cnfStyle w:val="001000000000" w:firstRow="0" w:lastRow="0" w:firstColumn="1" w:lastColumn="0" w:oddVBand="0" w:evenVBand="0" w:oddHBand="0" w:evenHBand="0" w:firstRowFirstColumn="0" w:firstRowLastColumn="0" w:lastRowFirstColumn="0" w:lastRowLastColumn="0"/>
            <w:tcW w:w="3035" w:type="pct"/>
            <w:tcBorders>
              <w:bottom w:val="single" w:sz="4" w:space="0" w:color="auto"/>
            </w:tcBorders>
          </w:tcPr>
          <w:p w14:paraId="3072AA0A" w14:textId="083B61F4" w:rsidR="00417B1B" w:rsidRPr="00722BEC" w:rsidRDefault="00B95700" w:rsidP="00675754">
            <w:pPr>
              <w:pStyle w:val="TableText"/>
            </w:pPr>
            <w:r>
              <w:t>Total</w:t>
            </w:r>
          </w:p>
        </w:tc>
        <w:tc>
          <w:tcPr>
            <w:tcW w:w="983" w:type="pct"/>
            <w:tcBorders>
              <w:top w:val="single" w:sz="4" w:space="0" w:color="auto"/>
              <w:bottom w:val="single" w:sz="4" w:space="0" w:color="auto"/>
            </w:tcBorders>
          </w:tcPr>
          <w:p w14:paraId="39F20033" w14:textId="36D1EF76"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128,715</w:t>
            </w:r>
          </w:p>
        </w:tc>
        <w:tc>
          <w:tcPr>
            <w:tcW w:w="982" w:type="pct"/>
            <w:tcBorders>
              <w:top w:val="single" w:sz="4" w:space="0" w:color="auto"/>
              <w:bottom w:val="single" w:sz="4" w:space="0" w:color="auto"/>
            </w:tcBorders>
          </w:tcPr>
          <w:p w14:paraId="13FE71B5" w14:textId="2EF32CB7"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89,571</w:t>
            </w:r>
          </w:p>
        </w:tc>
      </w:tr>
      <w:tr w:rsidR="00417B1B" w:rsidRPr="00B95700" w14:paraId="3B25CEFD" w14:textId="77777777" w:rsidTr="00B95700">
        <w:tc>
          <w:tcPr>
            <w:cnfStyle w:val="001000000000" w:firstRow="0" w:lastRow="0" w:firstColumn="1" w:lastColumn="0" w:oddVBand="0" w:evenVBand="0" w:oddHBand="0" w:evenHBand="0" w:firstRowFirstColumn="0" w:firstRowLastColumn="0" w:lastRowFirstColumn="0" w:lastRowLastColumn="0"/>
            <w:tcW w:w="3035" w:type="pct"/>
            <w:tcBorders>
              <w:top w:val="single" w:sz="4" w:space="0" w:color="auto"/>
              <w:bottom w:val="single" w:sz="4" w:space="0" w:color="auto"/>
            </w:tcBorders>
            <w:shd w:val="clear" w:color="auto" w:fill="auto"/>
          </w:tcPr>
          <w:p w14:paraId="3D974328" w14:textId="77777777" w:rsidR="00417B1B" w:rsidRPr="00B95700" w:rsidRDefault="00417B1B" w:rsidP="00675754">
            <w:pPr>
              <w:pStyle w:val="TableText"/>
              <w:rPr>
                <w:rStyle w:val="Bold"/>
              </w:rPr>
            </w:pPr>
            <w:r w:rsidRPr="00B95700">
              <w:rPr>
                <w:rStyle w:val="Bold"/>
              </w:rPr>
              <w:t>Total receivables</w:t>
            </w:r>
          </w:p>
        </w:tc>
        <w:tc>
          <w:tcPr>
            <w:tcW w:w="983" w:type="pct"/>
            <w:tcBorders>
              <w:top w:val="single" w:sz="4" w:space="0" w:color="auto"/>
              <w:bottom w:val="single" w:sz="4" w:space="0" w:color="auto"/>
            </w:tcBorders>
            <w:shd w:val="clear" w:color="auto" w:fill="auto"/>
          </w:tcPr>
          <w:p w14:paraId="6EF8312A" w14:textId="0E763101" w:rsidR="00417B1B" w:rsidRPr="00B95700" w:rsidRDefault="00437B50" w:rsidP="0067575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134,706</w:t>
            </w:r>
          </w:p>
        </w:tc>
        <w:tc>
          <w:tcPr>
            <w:tcW w:w="982" w:type="pct"/>
            <w:tcBorders>
              <w:top w:val="single" w:sz="4" w:space="0" w:color="auto"/>
              <w:bottom w:val="single" w:sz="4" w:space="0" w:color="auto"/>
            </w:tcBorders>
            <w:shd w:val="clear" w:color="auto" w:fill="auto"/>
          </w:tcPr>
          <w:p w14:paraId="42831E14" w14:textId="4D9D183F" w:rsidR="00417B1B" w:rsidRPr="00B95700" w:rsidRDefault="00437B50" w:rsidP="00675754">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99,925</w:t>
            </w:r>
          </w:p>
        </w:tc>
      </w:tr>
      <w:tr w:rsidR="00417B1B" w:rsidRPr="00722BEC" w14:paraId="5FA459BF" w14:textId="77777777" w:rsidTr="00885C57">
        <w:tc>
          <w:tcPr>
            <w:cnfStyle w:val="001000000000" w:firstRow="0" w:lastRow="0" w:firstColumn="1" w:lastColumn="0" w:oddVBand="0" w:evenVBand="0" w:oddHBand="0" w:evenHBand="0" w:firstRowFirstColumn="0" w:firstRowLastColumn="0" w:lastRowFirstColumn="0" w:lastRowLastColumn="0"/>
            <w:tcW w:w="3035" w:type="pct"/>
          </w:tcPr>
          <w:p w14:paraId="0BAF1D3F" w14:textId="77777777" w:rsidR="00417B1B" w:rsidRPr="00722BEC" w:rsidRDefault="00417B1B" w:rsidP="00437B50">
            <w:pPr>
              <w:pStyle w:val="TableText"/>
              <w:spacing w:before="120"/>
            </w:pPr>
            <w:r w:rsidRPr="00722BEC">
              <w:t>Represented by:</w:t>
            </w:r>
          </w:p>
        </w:tc>
        <w:tc>
          <w:tcPr>
            <w:tcW w:w="983" w:type="pct"/>
          </w:tcPr>
          <w:p w14:paraId="5801A27F" w14:textId="349BDA5C" w:rsidR="00417B1B" w:rsidRPr="00722BEC" w:rsidRDefault="00AC0BBF" w:rsidP="00437B50">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982" w:type="pct"/>
          </w:tcPr>
          <w:p w14:paraId="51C3CD35" w14:textId="5A14CDFE" w:rsidR="00417B1B" w:rsidRPr="00722BEC" w:rsidRDefault="00AC0BBF" w:rsidP="00437B50">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1768B002" w14:textId="77777777" w:rsidTr="00885C57">
        <w:tc>
          <w:tcPr>
            <w:cnfStyle w:val="001000000000" w:firstRow="0" w:lastRow="0" w:firstColumn="1" w:lastColumn="0" w:oddVBand="0" w:evenVBand="0" w:oddHBand="0" w:evenHBand="0" w:firstRowFirstColumn="0" w:firstRowLastColumn="0" w:lastRowFirstColumn="0" w:lastRowLastColumn="0"/>
            <w:tcW w:w="3035" w:type="pct"/>
          </w:tcPr>
          <w:p w14:paraId="3F13D904" w14:textId="77777777" w:rsidR="00417B1B" w:rsidRPr="00722BEC" w:rsidRDefault="00417B1B" w:rsidP="00675754">
            <w:pPr>
              <w:pStyle w:val="TableText"/>
            </w:pPr>
            <w:r w:rsidRPr="00722BEC">
              <w:t>Current receivables</w:t>
            </w:r>
          </w:p>
        </w:tc>
        <w:tc>
          <w:tcPr>
            <w:tcW w:w="983" w:type="pct"/>
          </w:tcPr>
          <w:p w14:paraId="7779461E" w14:textId="6714CA6F"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132,096</w:t>
            </w:r>
          </w:p>
        </w:tc>
        <w:tc>
          <w:tcPr>
            <w:tcW w:w="982" w:type="pct"/>
          </w:tcPr>
          <w:p w14:paraId="0283DAAC" w14:textId="56BD44D2"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98,029</w:t>
            </w:r>
          </w:p>
        </w:tc>
      </w:tr>
      <w:tr w:rsidR="00417B1B" w:rsidRPr="00722BEC" w14:paraId="081716E6" w14:textId="77777777" w:rsidTr="00885C57">
        <w:tc>
          <w:tcPr>
            <w:cnfStyle w:val="001000000000" w:firstRow="0" w:lastRow="0" w:firstColumn="1" w:lastColumn="0" w:oddVBand="0" w:evenVBand="0" w:oddHBand="0" w:evenHBand="0" w:firstRowFirstColumn="0" w:firstRowLastColumn="0" w:lastRowFirstColumn="0" w:lastRowLastColumn="0"/>
            <w:tcW w:w="3035" w:type="pct"/>
          </w:tcPr>
          <w:p w14:paraId="2635070F" w14:textId="77777777" w:rsidR="00417B1B" w:rsidRPr="00722BEC" w:rsidRDefault="00417B1B" w:rsidP="00675754">
            <w:pPr>
              <w:pStyle w:val="TableText"/>
            </w:pPr>
            <w:r w:rsidRPr="00722BEC">
              <w:t>Non-current receivables</w:t>
            </w:r>
          </w:p>
        </w:tc>
        <w:tc>
          <w:tcPr>
            <w:tcW w:w="983" w:type="pct"/>
          </w:tcPr>
          <w:p w14:paraId="5B5C9C1F" w14:textId="1BE396F2"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2,609</w:t>
            </w:r>
          </w:p>
        </w:tc>
        <w:tc>
          <w:tcPr>
            <w:tcW w:w="982" w:type="pct"/>
          </w:tcPr>
          <w:p w14:paraId="0ADE2AA8" w14:textId="40550957" w:rsidR="00417B1B" w:rsidRPr="00722BEC" w:rsidRDefault="007C514A" w:rsidP="00675754">
            <w:pPr>
              <w:pStyle w:val="TableText"/>
              <w:cnfStyle w:val="000000000000" w:firstRow="0" w:lastRow="0" w:firstColumn="0" w:lastColumn="0" w:oddVBand="0" w:evenVBand="0" w:oddHBand="0" w:evenHBand="0" w:firstRowFirstColumn="0" w:firstRowLastColumn="0" w:lastRowFirstColumn="0" w:lastRowLastColumn="0"/>
            </w:pPr>
            <w:r>
              <w:t>1,896</w:t>
            </w:r>
          </w:p>
        </w:tc>
      </w:tr>
    </w:tbl>
    <w:p w14:paraId="53AA1769" w14:textId="374B7673" w:rsidR="007C514A" w:rsidRDefault="007C514A" w:rsidP="007C514A">
      <w:pPr>
        <w:pStyle w:val="BodyText"/>
      </w:pPr>
      <w:r>
        <w:t xml:space="preserve">Contractual receivables are classified as financial instruments and categorised as ‘financial assets at amortised </w:t>
      </w:r>
      <w:proofErr w:type="gramStart"/>
      <w:r>
        <w:t>costs’</w:t>
      </w:r>
      <w:proofErr w:type="gramEnd"/>
      <w:r>
        <w:t>. They are initially recognised at fair value plus any directly attributable transaction costs. Subsequent to initial measurement they are measured at amortised cost using the effective interest method, less any impairment.</w:t>
      </w:r>
    </w:p>
    <w:p w14:paraId="1FD03004" w14:textId="5076D64F" w:rsidR="007C514A" w:rsidRDefault="007C514A" w:rsidP="007C514A">
      <w:pPr>
        <w:pStyle w:val="BodyText"/>
      </w:pPr>
      <w:r>
        <w:t>Statutory receivables do not arise from contracts and are recognised and measured similarly to contractual receivables (except for impairment</w:t>
      </w:r>
      <w:proofErr w:type="gramStart"/>
      <w:r>
        <w:t>), but</w:t>
      </w:r>
      <w:proofErr w:type="gramEnd"/>
      <w:r>
        <w:t xml:space="preserve"> are not classified as financial instruments. Amounts recognised from the Victorian Government represent funding for all commitments incurred and are drawn from the Consolidated Fund as the commitments fall due.</w:t>
      </w:r>
    </w:p>
    <w:p w14:paraId="48B14F68" w14:textId="14575CC9" w:rsidR="00417B1B" w:rsidRDefault="00417B1B" w:rsidP="00417B1B">
      <w:pPr>
        <w:pStyle w:val="Heading4"/>
      </w:pPr>
      <w:bookmarkStart w:id="374" w:name="Note611"/>
      <w:r>
        <w:t>6.1.1</w:t>
      </w:r>
      <w:bookmarkEnd w:id="374"/>
      <w:r>
        <w:tab/>
        <w:t xml:space="preserve">Ageing Analysis </w:t>
      </w:r>
      <w:r w:rsidR="00172429">
        <w:t>of</w:t>
      </w:r>
      <w:r>
        <w:t xml:space="preserve"> Contractual Financial Assets</w:t>
      </w:r>
    </w:p>
    <w:p w14:paraId="78ECF3C4" w14:textId="54FB2B70" w:rsidR="007C514A" w:rsidRDefault="007C514A" w:rsidP="007C514A">
      <w:pPr>
        <w:pStyle w:val="BodyText"/>
      </w:pPr>
      <w:r>
        <w:t xml:space="preserve">No interest is charged for the first 30 days from the invoice date. The average credit period for sales of goods/services and other receivables is 30 days. There are no material financial assets that are individually determined to be impaired. Currently, </w:t>
      </w:r>
      <w:r w:rsidR="009B1462">
        <w:t>Court Services Victoria</w:t>
      </w:r>
      <w:r>
        <w:t xml:space="preserve"> does not hold any collateral as security nor credit enhancements relating to any of its financial assets.</w:t>
      </w:r>
    </w:p>
    <w:p w14:paraId="140CE8ED" w14:textId="7ECFDD85" w:rsidR="007C514A" w:rsidRDefault="007C514A" w:rsidP="007C514A">
      <w:pPr>
        <w:pStyle w:val="BodyText"/>
      </w:pPr>
      <w:r>
        <w:t>There are no financial assets that have had their terms renegotiated so as to prevent them from being past due or impaired, and they are stated at the carrying amounts as indicated.</w:t>
      </w:r>
    </w:p>
    <w:p w14:paraId="6D1210C5" w14:textId="77777777" w:rsidR="00417B1B" w:rsidRDefault="00417B1B" w:rsidP="00417B1B">
      <w:pPr>
        <w:pStyle w:val="Heading3"/>
      </w:pPr>
      <w:bookmarkStart w:id="375" w:name="Note62"/>
      <w:bookmarkStart w:id="376" w:name="_Toc62808159"/>
      <w:r>
        <w:t xml:space="preserve">6.2 </w:t>
      </w:r>
      <w:bookmarkEnd w:id="375"/>
      <w:r>
        <w:t>Payables</w:t>
      </w:r>
      <w:bookmarkEnd w:id="376"/>
    </w:p>
    <w:tbl>
      <w:tblPr>
        <w:tblStyle w:val="AccessibleTableNumerical"/>
        <w:tblW w:w="5000" w:type="pct"/>
        <w:tblLook w:val="04A0" w:firstRow="1" w:lastRow="0" w:firstColumn="1" w:lastColumn="0" w:noHBand="0" w:noVBand="1"/>
      </w:tblPr>
      <w:tblGrid>
        <w:gridCol w:w="5836"/>
        <w:gridCol w:w="1903"/>
        <w:gridCol w:w="1903"/>
      </w:tblGrid>
      <w:tr w:rsidR="00417B1B" w:rsidRPr="00722BEC" w14:paraId="105D8B91" w14:textId="77777777" w:rsidTr="007B4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6" w:type="pct"/>
          </w:tcPr>
          <w:p w14:paraId="691A4E0D" w14:textId="3B2FAEEE" w:rsidR="00417B1B" w:rsidRPr="00722BEC" w:rsidRDefault="00B95700" w:rsidP="00B95700">
            <w:pPr>
              <w:pStyle w:val="TableText"/>
            </w:pPr>
            <w:bookmarkStart w:id="377" w:name="ColumnTitle_74"/>
            <w:r w:rsidRPr="00B95700">
              <w:rPr>
                <w:rStyle w:val="Bold"/>
              </w:rPr>
              <w:t>Current Payables</w:t>
            </w:r>
          </w:p>
        </w:tc>
        <w:tc>
          <w:tcPr>
            <w:tcW w:w="987" w:type="pct"/>
            <w:vAlign w:val="bottom"/>
          </w:tcPr>
          <w:p w14:paraId="3131258F" w14:textId="2B14AAEE"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w:t>
            </w:r>
            <w:r w:rsidR="007C514A">
              <w:t>20</w:t>
            </w:r>
            <w:r w:rsidRPr="00722BEC">
              <w:br/>
              <w:t>$'000</w:t>
            </w:r>
          </w:p>
        </w:tc>
        <w:tc>
          <w:tcPr>
            <w:tcW w:w="987" w:type="pct"/>
            <w:vAlign w:val="bottom"/>
          </w:tcPr>
          <w:p w14:paraId="457ABAD0" w14:textId="1A876416" w:rsidR="00417B1B" w:rsidRPr="00722BEC" w:rsidRDefault="00417B1B" w:rsidP="007B4F37">
            <w:pPr>
              <w:pStyle w:val="TableText"/>
              <w:cnfStyle w:val="100000000000" w:firstRow="1" w:lastRow="0" w:firstColumn="0" w:lastColumn="0" w:oddVBand="0" w:evenVBand="0" w:oddHBand="0" w:evenHBand="0" w:firstRowFirstColumn="0" w:firstRowLastColumn="0" w:lastRowFirstColumn="0" w:lastRowLastColumn="0"/>
            </w:pPr>
            <w:r w:rsidRPr="00722BEC">
              <w:t>201</w:t>
            </w:r>
            <w:r w:rsidR="007C514A">
              <w:t>9</w:t>
            </w:r>
            <w:r w:rsidRPr="00722BEC">
              <w:br/>
              <w:t>$'000</w:t>
            </w:r>
          </w:p>
        </w:tc>
      </w:tr>
      <w:bookmarkEnd w:id="377"/>
      <w:tr w:rsidR="00417B1B" w:rsidRPr="00722BEC" w14:paraId="0B85530E"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0D5BE209" w14:textId="77777777" w:rsidR="00417B1B" w:rsidRPr="00722BEC" w:rsidRDefault="00417B1B" w:rsidP="00B95700">
            <w:pPr>
              <w:pStyle w:val="TableText"/>
            </w:pPr>
            <w:r w:rsidRPr="00B95700">
              <w:rPr>
                <w:rStyle w:val="Bold"/>
              </w:rPr>
              <w:t>Contractual</w:t>
            </w:r>
          </w:p>
        </w:tc>
        <w:tc>
          <w:tcPr>
            <w:tcW w:w="987" w:type="pct"/>
          </w:tcPr>
          <w:p w14:paraId="18FB391B" w14:textId="72147CCE" w:rsidR="00417B1B" w:rsidRPr="00722BEC" w:rsidRDefault="00AC0BBF" w:rsidP="00B95700">
            <w:pPr>
              <w:pStyle w:val="TableText"/>
              <w:cnfStyle w:val="000000000000" w:firstRow="0" w:lastRow="0" w:firstColumn="0" w:lastColumn="0" w:oddVBand="0" w:evenVBand="0" w:oddHBand="0" w:evenHBand="0" w:firstRowFirstColumn="0" w:firstRowLastColumn="0" w:lastRowFirstColumn="0" w:lastRowLastColumn="0"/>
            </w:pPr>
            <w:r>
              <w:t>N/A</w:t>
            </w:r>
          </w:p>
        </w:tc>
        <w:tc>
          <w:tcPr>
            <w:tcW w:w="987" w:type="pct"/>
          </w:tcPr>
          <w:p w14:paraId="78CA7F5F" w14:textId="1704D35D" w:rsidR="00417B1B" w:rsidRPr="00722BEC" w:rsidRDefault="00AC0BBF" w:rsidP="00B9570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52848725"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14CFF729" w14:textId="7DE14F29" w:rsidR="00417B1B" w:rsidRPr="00722BEC" w:rsidRDefault="00417B1B" w:rsidP="00B95700">
            <w:pPr>
              <w:pStyle w:val="TableText"/>
            </w:pPr>
            <w:r w:rsidRPr="00722BEC">
              <w:t>Trade creditors and other payables</w:t>
            </w:r>
          </w:p>
        </w:tc>
        <w:tc>
          <w:tcPr>
            <w:tcW w:w="987" w:type="pct"/>
          </w:tcPr>
          <w:p w14:paraId="0949A6C8" w14:textId="6ADBF60C"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32,142</w:t>
            </w:r>
          </w:p>
        </w:tc>
        <w:tc>
          <w:tcPr>
            <w:tcW w:w="987" w:type="pct"/>
          </w:tcPr>
          <w:p w14:paraId="698FF3B0" w14:textId="3A3F512D"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33,146</w:t>
            </w:r>
          </w:p>
        </w:tc>
      </w:tr>
      <w:tr w:rsidR="00417B1B" w:rsidRPr="00722BEC" w14:paraId="26190487"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414178F9" w14:textId="77777777" w:rsidR="00417B1B" w:rsidRPr="00722BEC" w:rsidRDefault="00417B1B" w:rsidP="00B95700">
            <w:pPr>
              <w:pStyle w:val="TableText"/>
            </w:pPr>
            <w:r w:rsidRPr="00722BEC">
              <w:t>Unearned Revenue</w:t>
            </w:r>
          </w:p>
        </w:tc>
        <w:tc>
          <w:tcPr>
            <w:tcW w:w="987" w:type="pct"/>
          </w:tcPr>
          <w:p w14:paraId="07CABCD4" w14:textId="6519476F"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58</w:t>
            </w:r>
          </w:p>
        </w:tc>
        <w:tc>
          <w:tcPr>
            <w:tcW w:w="987" w:type="pct"/>
          </w:tcPr>
          <w:p w14:paraId="07BAD8BA" w14:textId="586C4851"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0</w:t>
            </w:r>
          </w:p>
        </w:tc>
      </w:tr>
      <w:tr w:rsidR="00417B1B" w:rsidRPr="00722BEC" w14:paraId="150EF665" w14:textId="77777777" w:rsidTr="00B95700">
        <w:tc>
          <w:tcPr>
            <w:cnfStyle w:val="001000000000" w:firstRow="0" w:lastRow="0" w:firstColumn="1" w:lastColumn="0" w:oddVBand="0" w:evenVBand="0" w:oddHBand="0" w:evenHBand="0" w:firstRowFirstColumn="0" w:firstRowLastColumn="0" w:lastRowFirstColumn="0" w:lastRowLastColumn="0"/>
            <w:tcW w:w="3026" w:type="pct"/>
          </w:tcPr>
          <w:p w14:paraId="28CF8849" w14:textId="77777777" w:rsidR="00417B1B" w:rsidRPr="00722BEC" w:rsidRDefault="00417B1B" w:rsidP="00B95700">
            <w:pPr>
              <w:pStyle w:val="TableText"/>
            </w:pPr>
            <w:r w:rsidRPr="00722BEC">
              <w:t>Accrued capital works</w:t>
            </w:r>
          </w:p>
        </w:tc>
        <w:tc>
          <w:tcPr>
            <w:tcW w:w="987" w:type="pct"/>
            <w:tcBorders>
              <w:bottom w:val="nil"/>
            </w:tcBorders>
          </w:tcPr>
          <w:p w14:paraId="3CAC18CF" w14:textId="021580A3"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13,338</w:t>
            </w:r>
          </w:p>
        </w:tc>
        <w:tc>
          <w:tcPr>
            <w:tcW w:w="987" w:type="pct"/>
            <w:tcBorders>
              <w:bottom w:val="nil"/>
            </w:tcBorders>
          </w:tcPr>
          <w:p w14:paraId="31409132" w14:textId="188FE382"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5,921</w:t>
            </w:r>
          </w:p>
        </w:tc>
      </w:tr>
      <w:tr w:rsidR="00417B1B" w:rsidRPr="00722BEC" w14:paraId="08BC7E4E" w14:textId="77777777" w:rsidTr="00B95700">
        <w:tc>
          <w:tcPr>
            <w:cnfStyle w:val="001000000000" w:firstRow="0" w:lastRow="0" w:firstColumn="1" w:lastColumn="0" w:oddVBand="0" w:evenVBand="0" w:oddHBand="0" w:evenHBand="0" w:firstRowFirstColumn="0" w:firstRowLastColumn="0" w:lastRowFirstColumn="0" w:lastRowLastColumn="0"/>
            <w:tcW w:w="3026" w:type="pct"/>
          </w:tcPr>
          <w:p w14:paraId="7A0F4240" w14:textId="77777777" w:rsidR="00417B1B" w:rsidRPr="00722BEC" w:rsidRDefault="00417B1B" w:rsidP="00B95700">
            <w:pPr>
              <w:pStyle w:val="TableText"/>
            </w:pPr>
            <w:r w:rsidRPr="00722BEC">
              <w:t xml:space="preserve">Salaries and wages </w:t>
            </w:r>
          </w:p>
        </w:tc>
        <w:tc>
          <w:tcPr>
            <w:tcW w:w="987" w:type="pct"/>
            <w:tcBorders>
              <w:top w:val="nil"/>
              <w:bottom w:val="single" w:sz="4" w:space="0" w:color="auto"/>
            </w:tcBorders>
          </w:tcPr>
          <w:p w14:paraId="366D8EFB" w14:textId="69B0AC2A"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11,730</w:t>
            </w:r>
          </w:p>
        </w:tc>
        <w:tc>
          <w:tcPr>
            <w:tcW w:w="987" w:type="pct"/>
            <w:tcBorders>
              <w:top w:val="nil"/>
              <w:bottom w:val="single" w:sz="4" w:space="0" w:color="auto"/>
            </w:tcBorders>
          </w:tcPr>
          <w:p w14:paraId="2413053B" w14:textId="33F98BC7"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7,512</w:t>
            </w:r>
          </w:p>
        </w:tc>
      </w:tr>
      <w:tr w:rsidR="00417B1B" w:rsidRPr="00722BEC" w14:paraId="37183D4A" w14:textId="77777777" w:rsidTr="00B95700">
        <w:tc>
          <w:tcPr>
            <w:cnfStyle w:val="001000000000" w:firstRow="0" w:lastRow="0" w:firstColumn="1" w:lastColumn="0" w:oddVBand="0" w:evenVBand="0" w:oddHBand="0" w:evenHBand="0" w:firstRowFirstColumn="0" w:firstRowLastColumn="0" w:lastRowFirstColumn="0" w:lastRowLastColumn="0"/>
            <w:tcW w:w="3026" w:type="pct"/>
          </w:tcPr>
          <w:p w14:paraId="42462FF5" w14:textId="163D6E0A" w:rsidR="00417B1B" w:rsidRPr="00722BEC" w:rsidRDefault="00B95700" w:rsidP="00B95700">
            <w:pPr>
              <w:pStyle w:val="TableText"/>
            </w:pPr>
            <w:r>
              <w:t>Total</w:t>
            </w:r>
          </w:p>
        </w:tc>
        <w:tc>
          <w:tcPr>
            <w:tcW w:w="987" w:type="pct"/>
            <w:tcBorders>
              <w:top w:val="single" w:sz="4" w:space="0" w:color="auto"/>
            </w:tcBorders>
          </w:tcPr>
          <w:p w14:paraId="19AA97A2" w14:textId="10E730A6"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57,268</w:t>
            </w:r>
          </w:p>
        </w:tc>
        <w:tc>
          <w:tcPr>
            <w:tcW w:w="987" w:type="pct"/>
            <w:tcBorders>
              <w:top w:val="single" w:sz="4" w:space="0" w:color="auto"/>
            </w:tcBorders>
          </w:tcPr>
          <w:p w14:paraId="4087DC39" w14:textId="2937FF7E"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46,579</w:t>
            </w:r>
          </w:p>
        </w:tc>
      </w:tr>
      <w:tr w:rsidR="00417B1B" w:rsidRPr="00722BEC" w14:paraId="339E2F2A"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37F41DC5" w14:textId="77777777" w:rsidR="00417B1B" w:rsidRPr="00722BEC" w:rsidRDefault="00417B1B" w:rsidP="00442603">
            <w:pPr>
              <w:pStyle w:val="TableText"/>
              <w:spacing w:before="120"/>
            </w:pPr>
            <w:r w:rsidRPr="00B95700">
              <w:rPr>
                <w:rStyle w:val="Bold"/>
              </w:rPr>
              <w:t>Statutory</w:t>
            </w:r>
          </w:p>
        </w:tc>
        <w:tc>
          <w:tcPr>
            <w:tcW w:w="987" w:type="pct"/>
          </w:tcPr>
          <w:p w14:paraId="2B26D8E6" w14:textId="79C5A425" w:rsidR="00417B1B" w:rsidRPr="00722BEC" w:rsidRDefault="00AC0BBF" w:rsidP="00442603">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987" w:type="pct"/>
          </w:tcPr>
          <w:p w14:paraId="0C5BAA3A" w14:textId="2E370C9D" w:rsidR="00417B1B" w:rsidRPr="00722BEC" w:rsidRDefault="00AC0BBF" w:rsidP="00442603">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17B4DA6F"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56842BA8" w14:textId="77777777" w:rsidR="00417B1B" w:rsidRPr="00722BEC" w:rsidRDefault="00417B1B" w:rsidP="00B95700">
            <w:pPr>
              <w:pStyle w:val="TableText"/>
            </w:pPr>
            <w:r w:rsidRPr="00722BEC">
              <w:t>Payroll tax</w:t>
            </w:r>
          </w:p>
        </w:tc>
        <w:tc>
          <w:tcPr>
            <w:tcW w:w="987" w:type="pct"/>
          </w:tcPr>
          <w:p w14:paraId="278BBE39" w14:textId="047101F0"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1,351</w:t>
            </w:r>
          </w:p>
        </w:tc>
        <w:tc>
          <w:tcPr>
            <w:tcW w:w="987" w:type="pct"/>
          </w:tcPr>
          <w:p w14:paraId="370D63A7" w14:textId="747E72DD"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1,259</w:t>
            </w:r>
          </w:p>
        </w:tc>
      </w:tr>
      <w:tr w:rsidR="00417B1B" w:rsidRPr="00722BEC" w14:paraId="216E5D39"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102C82DC" w14:textId="77777777" w:rsidR="00417B1B" w:rsidRPr="00722BEC" w:rsidRDefault="00417B1B" w:rsidP="00B95700">
            <w:pPr>
              <w:pStyle w:val="TableText"/>
            </w:pPr>
            <w:r w:rsidRPr="00722BEC">
              <w:t>Fringe benefits tax</w:t>
            </w:r>
          </w:p>
        </w:tc>
        <w:tc>
          <w:tcPr>
            <w:tcW w:w="987" w:type="pct"/>
          </w:tcPr>
          <w:p w14:paraId="16A4DDAF" w14:textId="1D94F985"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768</w:t>
            </w:r>
          </w:p>
        </w:tc>
        <w:tc>
          <w:tcPr>
            <w:tcW w:w="987" w:type="pct"/>
          </w:tcPr>
          <w:p w14:paraId="4DD9390C" w14:textId="293F4039"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733</w:t>
            </w:r>
          </w:p>
        </w:tc>
      </w:tr>
      <w:tr w:rsidR="00417B1B" w:rsidRPr="00722BEC" w14:paraId="4CF4FF4C"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21FB21B6" w14:textId="77777777" w:rsidR="00417B1B" w:rsidRPr="00722BEC" w:rsidRDefault="00417B1B" w:rsidP="00B95700">
            <w:pPr>
              <w:pStyle w:val="TableText"/>
            </w:pPr>
            <w:r w:rsidRPr="00722BEC">
              <w:t>Amounts payable to the Judicial College of Victoria</w:t>
            </w:r>
          </w:p>
        </w:tc>
        <w:tc>
          <w:tcPr>
            <w:tcW w:w="987" w:type="pct"/>
          </w:tcPr>
          <w:p w14:paraId="3A48F9F7" w14:textId="7CA43D53"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2,186</w:t>
            </w:r>
          </w:p>
        </w:tc>
        <w:tc>
          <w:tcPr>
            <w:tcW w:w="987" w:type="pct"/>
          </w:tcPr>
          <w:p w14:paraId="1CAA5113" w14:textId="40B56525"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1,646</w:t>
            </w:r>
          </w:p>
        </w:tc>
      </w:tr>
      <w:tr w:rsidR="00417B1B" w:rsidRPr="00722BEC" w14:paraId="04EC640B"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6DF2E5B1" w14:textId="77777777" w:rsidR="00417B1B" w:rsidRPr="00722BEC" w:rsidRDefault="00417B1B" w:rsidP="00B95700">
            <w:pPr>
              <w:pStyle w:val="TableText"/>
            </w:pPr>
            <w:r w:rsidRPr="00722BEC">
              <w:t>Amounts payable to the Judicial Commission of Victoria</w:t>
            </w:r>
          </w:p>
        </w:tc>
        <w:tc>
          <w:tcPr>
            <w:tcW w:w="987" w:type="pct"/>
          </w:tcPr>
          <w:p w14:paraId="1A62A466" w14:textId="5F282892"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423</w:t>
            </w:r>
          </w:p>
        </w:tc>
        <w:tc>
          <w:tcPr>
            <w:tcW w:w="987" w:type="pct"/>
          </w:tcPr>
          <w:p w14:paraId="5549A283" w14:textId="43441E3C"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250</w:t>
            </w:r>
          </w:p>
        </w:tc>
      </w:tr>
      <w:tr w:rsidR="00417B1B" w:rsidRPr="00722BEC" w14:paraId="7CE95C74" w14:textId="77777777" w:rsidTr="00B95700">
        <w:tc>
          <w:tcPr>
            <w:cnfStyle w:val="001000000000" w:firstRow="0" w:lastRow="0" w:firstColumn="1" w:lastColumn="0" w:oddVBand="0" w:evenVBand="0" w:oddHBand="0" w:evenHBand="0" w:firstRowFirstColumn="0" w:firstRowLastColumn="0" w:lastRowFirstColumn="0" w:lastRowLastColumn="0"/>
            <w:tcW w:w="3026" w:type="pct"/>
            <w:tcBorders>
              <w:bottom w:val="single" w:sz="4" w:space="0" w:color="auto"/>
            </w:tcBorders>
          </w:tcPr>
          <w:p w14:paraId="7BC6B569" w14:textId="5879BFB4" w:rsidR="00417B1B" w:rsidRPr="00722BEC" w:rsidRDefault="00B95700" w:rsidP="00B95700">
            <w:pPr>
              <w:pStyle w:val="TableText"/>
            </w:pPr>
            <w:r>
              <w:t>Total</w:t>
            </w:r>
          </w:p>
        </w:tc>
        <w:tc>
          <w:tcPr>
            <w:tcW w:w="987" w:type="pct"/>
            <w:tcBorders>
              <w:bottom w:val="single" w:sz="4" w:space="0" w:color="auto"/>
            </w:tcBorders>
          </w:tcPr>
          <w:p w14:paraId="112A7EEC" w14:textId="66B8E74B"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4,728</w:t>
            </w:r>
          </w:p>
        </w:tc>
        <w:tc>
          <w:tcPr>
            <w:tcW w:w="987" w:type="pct"/>
            <w:tcBorders>
              <w:bottom w:val="single" w:sz="4" w:space="0" w:color="auto"/>
            </w:tcBorders>
          </w:tcPr>
          <w:p w14:paraId="2653EE4A" w14:textId="187B33F3"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3,888</w:t>
            </w:r>
          </w:p>
        </w:tc>
      </w:tr>
      <w:tr w:rsidR="00417B1B" w:rsidRPr="00B95700" w14:paraId="7108C312" w14:textId="77777777" w:rsidTr="00B95700">
        <w:tc>
          <w:tcPr>
            <w:cnfStyle w:val="001000000000" w:firstRow="0" w:lastRow="0" w:firstColumn="1" w:lastColumn="0" w:oddVBand="0" w:evenVBand="0" w:oddHBand="0" w:evenHBand="0" w:firstRowFirstColumn="0" w:firstRowLastColumn="0" w:lastRowFirstColumn="0" w:lastRowLastColumn="0"/>
            <w:tcW w:w="3026" w:type="pct"/>
            <w:tcBorders>
              <w:top w:val="single" w:sz="4" w:space="0" w:color="auto"/>
              <w:bottom w:val="single" w:sz="4" w:space="0" w:color="auto"/>
            </w:tcBorders>
            <w:shd w:val="clear" w:color="auto" w:fill="auto"/>
          </w:tcPr>
          <w:p w14:paraId="1F8CCA99" w14:textId="77777777" w:rsidR="00417B1B" w:rsidRPr="00B95700" w:rsidRDefault="00417B1B" w:rsidP="00B95700">
            <w:pPr>
              <w:pStyle w:val="TableText"/>
              <w:rPr>
                <w:rStyle w:val="Bold"/>
              </w:rPr>
            </w:pPr>
            <w:r w:rsidRPr="00B95700">
              <w:rPr>
                <w:rStyle w:val="Bold"/>
              </w:rPr>
              <w:t>Total payables</w:t>
            </w:r>
          </w:p>
        </w:tc>
        <w:tc>
          <w:tcPr>
            <w:tcW w:w="987" w:type="pct"/>
            <w:tcBorders>
              <w:top w:val="single" w:sz="4" w:space="0" w:color="auto"/>
              <w:bottom w:val="single" w:sz="4" w:space="0" w:color="auto"/>
            </w:tcBorders>
            <w:shd w:val="clear" w:color="auto" w:fill="auto"/>
          </w:tcPr>
          <w:p w14:paraId="77451E2E" w14:textId="7BC8DE7A" w:rsidR="00417B1B" w:rsidRPr="00B95700" w:rsidRDefault="007C514A" w:rsidP="00B95700">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61,996</w:t>
            </w:r>
          </w:p>
        </w:tc>
        <w:tc>
          <w:tcPr>
            <w:tcW w:w="987" w:type="pct"/>
            <w:tcBorders>
              <w:top w:val="single" w:sz="4" w:space="0" w:color="auto"/>
              <w:bottom w:val="single" w:sz="4" w:space="0" w:color="auto"/>
            </w:tcBorders>
            <w:shd w:val="clear" w:color="auto" w:fill="auto"/>
          </w:tcPr>
          <w:p w14:paraId="31A3B94E" w14:textId="714667E1" w:rsidR="00417B1B" w:rsidRPr="00B95700" w:rsidRDefault="007C514A" w:rsidP="00B95700">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50,468</w:t>
            </w:r>
          </w:p>
        </w:tc>
      </w:tr>
      <w:tr w:rsidR="00417B1B" w:rsidRPr="00722BEC" w14:paraId="56BEF05A" w14:textId="77777777" w:rsidTr="00B95700">
        <w:tc>
          <w:tcPr>
            <w:cnfStyle w:val="001000000000" w:firstRow="0" w:lastRow="0" w:firstColumn="1" w:lastColumn="0" w:oddVBand="0" w:evenVBand="0" w:oddHBand="0" w:evenHBand="0" w:firstRowFirstColumn="0" w:firstRowLastColumn="0" w:lastRowFirstColumn="0" w:lastRowLastColumn="0"/>
            <w:tcW w:w="3026" w:type="pct"/>
            <w:tcBorders>
              <w:top w:val="single" w:sz="4" w:space="0" w:color="auto"/>
            </w:tcBorders>
          </w:tcPr>
          <w:p w14:paraId="78306C4B" w14:textId="77777777" w:rsidR="00417B1B" w:rsidRPr="00722BEC" w:rsidRDefault="00417B1B" w:rsidP="00442603">
            <w:pPr>
              <w:pStyle w:val="TableText"/>
              <w:spacing w:before="120"/>
            </w:pPr>
            <w:r w:rsidRPr="00722BEC">
              <w:t>Represented by:</w:t>
            </w:r>
          </w:p>
        </w:tc>
        <w:tc>
          <w:tcPr>
            <w:tcW w:w="987" w:type="pct"/>
            <w:tcBorders>
              <w:top w:val="single" w:sz="4" w:space="0" w:color="auto"/>
            </w:tcBorders>
          </w:tcPr>
          <w:p w14:paraId="74B762AB" w14:textId="3CBA0611" w:rsidR="00417B1B" w:rsidRPr="00722BEC" w:rsidRDefault="00AC0BBF" w:rsidP="00442603">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987" w:type="pct"/>
            <w:tcBorders>
              <w:top w:val="single" w:sz="4" w:space="0" w:color="auto"/>
            </w:tcBorders>
          </w:tcPr>
          <w:p w14:paraId="3A5129D7" w14:textId="47879836" w:rsidR="00417B1B" w:rsidRPr="00722BEC" w:rsidRDefault="00AC0BBF" w:rsidP="00442603">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417B1B" w:rsidRPr="00722BEC" w14:paraId="07901FBF"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76177EF7" w14:textId="77777777" w:rsidR="00417B1B" w:rsidRPr="00722BEC" w:rsidRDefault="00417B1B" w:rsidP="00B95700">
            <w:pPr>
              <w:pStyle w:val="TableText"/>
            </w:pPr>
            <w:r w:rsidRPr="00722BEC">
              <w:t>Current payables</w:t>
            </w:r>
          </w:p>
        </w:tc>
        <w:tc>
          <w:tcPr>
            <w:tcW w:w="987" w:type="pct"/>
          </w:tcPr>
          <w:p w14:paraId="7E6EB480" w14:textId="5640C86B"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61,913</w:t>
            </w:r>
          </w:p>
        </w:tc>
        <w:tc>
          <w:tcPr>
            <w:tcW w:w="987" w:type="pct"/>
          </w:tcPr>
          <w:p w14:paraId="780F8C8E" w14:textId="71CE2A14"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50,397</w:t>
            </w:r>
          </w:p>
        </w:tc>
      </w:tr>
      <w:tr w:rsidR="00417B1B" w:rsidRPr="00722BEC" w14:paraId="3706AEE4" w14:textId="77777777" w:rsidTr="00AC0BBF">
        <w:tc>
          <w:tcPr>
            <w:cnfStyle w:val="001000000000" w:firstRow="0" w:lastRow="0" w:firstColumn="1" w:lastColumn="0" w:oddVBand="0" w:evenVBand="0" w:oddHBand="0" w:evenHBand="0" w:firstRowFirstColumn="0" w:firstRowLastColumn="0" w:lastRowFirstColumn="0" w:lastRowLastColumn="0"/>
            <w:tcW w:w="3026" w:type="pct"/>
          </w:tcPr>
          <w:p w14:paraId="3F1E951D" w14:textId="77777777" w:rsidR="00417B1B" w:rsidRPr="00722BEC" w:rsidRDefault="00417B1B" w:rsidP="00B95700">
            <w:pPr>
              <w:pStyle w:val="TableText"/>
            </w:pPr>
            <w:r w:rsidRPr="00722BEC">
              <w:t>Non-current payables</w:t>
            </w:r>
          </w:p>
        </w:tc>
        <w:tc>
          <w:tcPr>
            <w:tcW w:w="987" w:type="pct"/>
          </w:tcPr>
          <w:p w14:paraId="134B5241" w14:textId="715BF7B2"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83</w:t>
            </w:r>
          </w:p>
        </w:tc>
        <w:tc>
          <w:tcPr>
            <w:tcW w:w="987" w:type="pct"/>
          </w:tcPr>
          <w:p w14:paraId="4B9F3D7D" w14:textId="1E74DDD7" w:rsidR="00417B1B" w:rsidRPr="00722BEC" w:rsidRDefault="007C514A" w:rsidP="00B95700">
            <w:pPr>
              <w:pStyle w:val="TableText"/>
              <w:cnfStyle w:val="000000000000" w:firstRow="0" w:lastRow="0" w:firstColumn="0" w:lastColumn="0" w:oddVBand="0" w:evenVBand="0" w:oddHBand="0" w:evenHBand="0" w:firstRowFirstColumn="0" w:firstRowLastColumn="0" w:lastRowFirstColumn="0" w:lastRowLastColumn="0"/>
            </w:pPr>
            <w:r>
              <w:t>71</w:t>
            </w:r>
          </w:p>
        </w:tc>
      </w:tr>
    </w:tbl>
    <w:p w14:paraId="67F26189" w14:textId="77777777" w:rsidR="00417B1B" w:rsidRDefault="00417B1B" w:rsidP="00417B1B">
      <w:pPr>
        <w:pStyle w:val="BodyText"/>
      </w:pPr>
      <w:r>
        <w:t>Payables consist of:</w:t>
      </w:r>
    </w:p>
    <w:p w14:paraId="23AAC211" w14:textId="1AECC6CD" w:rsidR="007C514A" w:rsidRDefault="007C514A" w:rsidP="007C514A">
      <w:pPr>
        <w:pStyle w:val="ListBullet"/>
      </w:pPr>
      <w:r>
        <w:t xml:space="preserve">contractual payables, totalling $57.27 million (2019: $46.58 million) that are classified as financial instruments and measured at amortised cost. Accounts payable represent liabilities for goods and services provided to </w:t>
      </w:r>
      <w:r w:rsidR="009B1462">
        <w:t>Court Services Victoria</w:t>
      </w:r>
      <w:r>
        <w:t xml:space="preserve"> prior to the end of the financial year that are unpaid; and</w:t>
      </w:r>
    </w:p>
    <w:p w14:paraId="3A57DD42" w14:textId="33F2FCD4" w:rsidR="007C514A" w:rsidRDefault="007C514A" w:rsidP="007C514A">
      <w:pPr>
        <w:pStyle w:val="ListBullet"/>
      </w:pPr>
      <w:r>
        <w:t xml:space="preserve">statutory payables, totalling $4.7 million (2019: $3.89 million) that are recognised and measured similarly to contractual payables, but are not classified as financial instruments and not included in the category of financial liabilities at amortised cost, because they do not arise from contracts. </w:t>
      </w:r>
    </w:p>
    <w:p w14:paraId="06BFBF81" w14:textId="419AC79D" w:rsidR="007C514A" w:rsidRDefault="007C514A" w:rsidP="007C514A">
      <w:pPr>
        <w:pStyle w:val="BodyText"/>
      </w:pPr>
      <w:r>
        <w:t>Payables for supplies and services have an average credit period of 30 days.</w:t>
      </w:r>
    </w:p>
    <w:p w14:paraId="3E684E8B" w14:textId="0A91C2C0" w:rsidR="007C514A" w:rsidRDefault="007C514A" w:rsidP="007C514A">
      <w:pPr>
        <w:pStyle w:val="BodyText"/>
      </w:pPr>
      <w:r>
        <w:t>The terms and conditions of amounts payable to the government and agencies vary according to the particular agreements and as they are not legislative payables, they are not classified as financial instruments.</w:t>
      </w:r>
    </w:p>
    <w:p w14:paraId="1BAA661F" w14:textId="77777777" w:rsidR="00417B1B" w:rsidRDefault="00417B1B" w:rsidP="00895F89">
      <w:pPr>
        <w:pStyle w:val="Heading2"/>
      </w:pPr>
      <w:bookmarkStart w:id="378" w:name="_Note_7._Financing"/>
      <w:bookmarkStart w:id="379" w:name="_Ref22644058"/>
      <w:bookmarkStart w:id="380" w:name="_Toc62808160"/>
      <w:bookmarkEnd w:id="378"/>
      <w:r>
        <w:t xml:space="preserve">Note </w:t>
      </w:r>
      <w:bookmarkStart w:id="381" w:name="Note7"/>
      <w:r>
        <w:t>7</w:t>
      </w:r>
      <w:bookmarkEnd w:id="381"/>
      <w:r>
        <w:t>.</w:t>
      </w:r>
      <w:r>
        <w:tab/>
        <w:t>Financing Our Operations</w:t>
      </w:r>
      <w:bookmarkEnd w:id="379"/>
      <w:bookmarkEnd w:id="380"/>
    </w:p>
    <w:p w14:paraId="731C7C77" w14:textId="77777777" w:rsidR="00417B1B" w:rsidRDefault="00417B1B" w:rsidP="00895F89">
      <w:pPr>
        <w:pStyle w:val="Heading3"/>
      </w:pPr>
      <w:bookmarkStart w:id="382" w:name="_Toc62808161"/>
      <w:r>
        <w:t>Introduction</w:t>
      </w:r>
      <w:bookmarkEnd w:id="382"/>
    </w:p>
    <w:p w14:paraId="71931B19" w14:textId="17D791FD" w:rsidR="007C514A" w:rsidRDefault="007C514A" w:rsidP="00895F89">
      <w:pPr>
        <w:pStyle w:val="BodyText"/>
        <w:keepNext/>
      </w:pPr>
      <w:r>
        <w:t xml:space="preserve">This section provides information on the sources of finance utilised by </w:t>
      </w:r>
      <w:r w:rsidR="009B1462">
        <w:t>Court Services Victoria</w:t>
      </w:r>
      <w:r>
        <w:t xml:space="preserve"> during its operations, along with interest expenses (the cost of borrowings) and other information related to the financing of activities.</w:t>
      </w:r>
    </w:p>
    <w:p w14:paraId="520E2D2E" w14:textId="23C9767D" w:rsidR="007C514A" w:rsidRDefault="007C514A" w:rsidP="007C514A">
      <w:pPr>
        <w:pStyle w:val="BodyText"/>
      </w:pPr>
      <w:r>
        <w:t>This section includes disclosures of balances that are financial instruments (such as borrowings and cash balances). Notes 8.1 and 8.3 provide additional, specific financial instrument disclosures.</w:t>
      </w:r>
    </w:p>
    <w:p w14:paraId="7A3DC37E" w14:textId="0C3A53BA" w:rsidR="007C514A" w:rsidRDefault="007C514A" w:rsidP="007C514A">
      <w:pPr>
        <w:pStyle w:val="BodyText"/>
      </w:pPr>
      <w:r>
        <w:t xml:space="preserve">Borrowings refer to interest bearing liabilities mainly raised through lease liabilities. Borrowings are classified as financial instruments, and </w:t>
      </w:r>
      <w:proofErr w:type="gramStart"/>
      <w:r>
        <w:t>interest bearing</w:t>
      </w:r>
      <w:proofErr w:type="gramEnd"/>
      <w:r>
        <w:t xml:space="preserve"> liabilities are classified at amortised cost unless </w:t>
      </w:r>
      <w:r w:rsidR="009B1462">
        <w:t>Court Services Victoria</w:t>
      </w:r>
      <w:r>
        <w:t xml:space="preserve"> elects to irrevocably designate them at fair value through the profit and loss at initial recognition.</w:t>
      </w:r>
    </w:p>
    <w:p w14:paraId="5788C622" w14:textId="6D471EEA" w:rsidR="007C514A" w:rsidRDefault="007C514A" w:rsidP="007C514A">
      <w:pPr>
        <w:pStyle w:val="BodyText"/>
      </w:pPr>
      <w:r>
        <w:t>The election depends on the nature and purpose of the interest-bearing liabilities.</w:t>
      </w:r>
    </w:p>
    <w:p w14:paraId="0C38C019" w14:textId="77777777" w:rsidR="00417B1B" w:rsidRPr="00460432" w:rsidRDefault="00417B1B" w:rsidP="00460432">
      <w:pPr>
        <w:pStyle w:val="BodyText"/>
        <w:rPr>
          <w:rStyle w:val="Bold"/>
        </w:rPr>
      </w:pPr>
      <w:r w:rsidRPr="00460432">
        <w:rPr>
          <w:rStyle w:val="Bold"/>
        </w:rPr>
        <w:t>Structure</w:t>
      </w:r>
    </w:p>
    <w:p w14:paraId="782E3327" w14:textId="16CC97B9" w:rsidR="00417B1B" w:rsidRPr="00625A11" w:rsidRDefault="00625A11" w:rsidP="007D7D73">
      <w:pPr>
        <w:pStyle w:val="NoSpacing"/>
      </w:pPr>
      <w:r>
        <w:fldChar w:fldCharType="begin"/>
      </w:r>
      <w:r>
        <w:instrText xml:space="preserve"> REF Note71 \h </w:instrText>
      </w:r>
      <w:r>
        <w:fldChar w:fldCharType="separate"/>
      </w:r>
      <w:r w:rsidR="00D46E6D">
        <w:t xml:space="preserve">7.1 </w:t>
      </w:r>
      <w:r>
        <w:fldChar w:fldCharType="end"/>
      </w:r>
      <w:r w:rsidR="00417B1B" w:rsidRPr="00625A11">
        <w:tab/>
      </w:r>
      <w:r w:rsidR="007C514A">
        <w:t>Lease Liabilities (</w:t>
      </w:r>
      <w:r w:rsidR="009B1462">
        <w:t>Court Services Victoria</w:t>
      </w:r>
      <w:r w:rsidR="007C514A">
        <w:t xml:space="preserve"> as lessee)</w:t>
      </w:r>
    </w:p>
    <w:p w14:paraId="1F6D6897" w14:textId="4AA84D89" w:rsidR="00417B1B" w:rsidRPr="00625A11" w:rsidRDefault="00C9062D" w:rsidP="007D7D73">
      <w:pPr>
        <w:pStyle w:val="NoSpacing"/>
      </w:pPr>
      <w:hyperlink w:anchor="Note72" w:history="1">
        <w:r w:rsidR="00811A79" w:rsidRPr="00811A79">
          <w:t>7.2</w:t>
        </w:r>
      </w:hyperlink>
      <w:r w:rsidR="00417B1B" w:rsidRPr="00625A11">
        <w:tab/>
        <w:t>Cash flow information and balances</w:t>
      </w:r>
    </w:p>
    <w:p w14:paraId="4352216D" w14:textId="588FEEC1" w:rsidR="00417B1B" w:rsidRPr="00625A11" w:rsidRDefault="00625A11" w:rsidP="007D7D73">
      <w:pPr>
        <w:pStyle w:val="NoSpacing"/>
      </w:pPr>
      <w:r>
        <w:fldChar w:fldCharType="begin"/>
      </w:r>
      <w:r>
        <w:instrText xml:space="preserve"> REF Note73 \h </w:instrText>
      </w:r>
      <w:r>
        <w:fldChar w:fldCharType="separate"/>
      </w:r>
      <w:r w:rsidR="00D46E6D" w:rsidRPr="00D25726">
        <w:t xml:space="preserve">7.3 </w:t>
      </w:r>
      <w:r>
        <w:fldChar w:fldCharType="end"/>
      </w:r>
      <w:r w:rsidR="00417B1B" w:rsidRPr="00625A11">
        <w:tab/>
        <w:t>Trust account balances</w:t>
      </w:r>
    </w:p>
    <w:p w14:paraId="40D931C2" w14:textId="36415879" w:rsidR="00417B1B" w:rsidRDefault="00625A11" w:rsidP="007D7D73">
      <w:pPr>
        <w:pStyle w:val="NoSpacing"/>
      </w:pPr>
      <w:r>
        <w:fldChar w:fldCharType="begin"/>
      </w:r>
      <w:r>
        <w:instrText xml:space="preserve"> REF Note74 \h </w:instrText>
      </w:r>
      <w:r>
        <w:fldChar w:fldCharType="separate"/>
      </w:r>
      <w:r w:rsidR="00D46E6D">
        <w:t xml:space="preserve">7.4 </w:t>
      </w:r>
      <w:r>
        <w:fldChar w:fldCharType="end"/>
      </w:r>
      <w:r w:rsidR="00417B1B" w:rsidRPr="00625A11">
        <w:tab/>
        <w:t>Commitments for expenditure</w:t>
      </w:r>
    </w:p>
    <w:p w14:paraId="6756AD2D" w14:textId="12CB23F5" w:rsidR="00417B1B" w:rsidRDefault="00417B1B" w:rsidP="00417B1B">
      <w:pPr>
        <w:pStyle w:val="Heading3"/>
      </w:pPr>
      <w:bookmarkStart w:id="383" w:name="Note71"/>
      <w:bookmarkStart w:id="384" w:name="_Toc62808162"/>
      <w:r>
        <w:t xml:space="preserve">7.1 </w:t>
      </w:r>
      <w:bookmarkEnd w:id="383"/>
      <w:r w:rsidR="007C514A">
        <w:t>Lease Liabilities (</w:t>
      </w:r>
      <w:r w:rsidR="009B1462">
        <w:t>Court Services Victoria</w:t>
      </w:r>
      <w:r w:rsidR="007C514A">
        <w:t xml:space="preserve"> as Lessee)</w:t>
      </w:r>
      <w:bookmarkEnd w:id="384"/>
    </w:p>
    <w:tbl>
      <w:tblPr>
        <w:tblStyle w:val="AccessibleTableNumerical"/>
        <w:tblW w:w="5000" w:type="pct"/>
        <w:tblLook w:val="04E0" w:firstRow="1" w:lastRow="1" w:firstColumn="1" w:lastColumn="0" w:noHBand="0" w:noVBand="1"/>
      </w:tblPr>
      <w:tblGrid>
        <w:gridCol w:w="4425"/>
        <w:gridCol w:w="1303"/>
        <w:gridCol w:w="1304"/>
        <w:gridCol w:w="1304"/>
        <w:gridCol w:w="1306"/>
      </w:tblGrid>
      <w:tr w:rsidR="00417B1B" w:rsidRPr="0099570F" w14:paraId="5231ECE3" w14:textId="77777777" w:rsidTr="00DB7E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5" w:type="pct"/>
          </w:tcPr>
          <w:p w14:paraId="71872272" w14:textId="166FE8DE" w:rsidR="00417B1B" w:rsidRPr="0099570F" w:rsidRDefault="007C514A" w:rsidP="007D7D73">
            <w:pPr>
              <w:pStyle w:val="TableText"/>
            </w:pPr>
            <w:bookmarkStart w:id="385" w:name="ColumnTitle_75"/>
            <w:r>
              <w:t>Interest bearing</w:t>
            </w:r>
            <w:r w:rsidR="007D7D73" w:rsidRPr="0099570F">
              <w:t xml:space="preserve"> lease liabilities</w:t>
            </w:r>
          </w:p>
        </w:tc>
        <w:tc>
          <w:tcPr>
            <w:tcW w:w="676" w:type="pct"/>
            <w:vAlign w:val="bottom"/>
          </w:tcPr>
          <w:p w14:paraId="68415491" w14:textId="09360CBF" w:rsidR="00417B1B" w:rsidRPr="00625A11" w:rsidRDefault="007D7D73" w:rsidP="00625A11">
            <w:pPr>
              <w:pStyle w:val="TableText"/>
              <w:cnfStyle w:val="100000000000" w:firstRow="1" w:lastRow="0" w:firstColumn="0" w:lastColumn="0" w:oddVBand="0" w:evenVBand="0" w:oddHBand="0" w:evenHBand="0" w:firstRowFirstColumn="0" w:firstRowLastColumn="0" w:lastRowFirstColumn="0" w:lastRowLastColumn="0"/>
            </w:pPr>
            <w:r w:rsidRPr="00625A11">
              <w:t>Minimum future lease payments</w:t>
            </w:r>
            <w:hyperlink w:anchor="Note71note1" w:history="1">
              <w:r w:rsidR="006A796B" w:rsidRPr="006A796B">
                <w:rPr>
                  <w:vertAlign w:val="superscript"/>
                </w:rPr>
                <w:t>(1)</w:t>
              </w:r>
            </w:hyperlink>
            <w:r w:rsidR="00625A11">
              <w:rPr>
                <w:vertAlign w:val="superscript"/>
              </w:rPr>
              <w:br/>
            </w:r>
            <w:r w:rsidR="00417B1B" w:rsidRPr="00625A11">
              <w:t>20</w:t>
            </w:r>
            <w:r w:rsidR="007C514A">
              <w:t>20</w:t>
            </w:r>
            <w:r w:rsidR="00417B1B" w:rsidRPr="00625A11">
              <w:br/>
              <w:t>$'000</w:t>
            </w:r>
          </w:p>
        </w:tc>
        <w:tc>
          <w:tcPr>
            <w:tcW w:w="676" w:type="pct"/>
            <w:vAlign w:val="bottom"/>
          </w:tcPr>
          <w:p w14:paraId="2D5620E9" w14:textId="3B81D6E4" w:rsidR="00417B1B" w:rsidRPr="00625A11" w:rsidRDefault="007D7D73" w:rsidP="00625A11">
            <w:pPr>
              <w:pStyle w:val="TableText"/>
              <w:cnfStyle w:val="100000000000" w:firstRow="1" w:lastRow="0" w:firstColumn="0" w:lastColumn="0" w:oddVBand="0" w:evenVBand="0" w:oddHBand="0" w:evenHBand="0" w:firstRowFirstColumn="0" w:firstRowLastColumn="0" w:lastRowFirstColumn="0" w:lastRowLastColumn="0"/>
            </w:pPr>
            <w:r w:rsidRPr="00625A11">
              <w:t>Minimum future lease payments</w:t>
            </w:r>
            <w:hyperlink w:anchor="Note71note1" w:history="1">
              <w:r w:rsidR="006A796B" w:rsidRPr="006A796B">
                <w:rPr>
                  <w:vertAlign w:val="superscript"/>
                </w:rPr>
                <w:t>(1)</w:t>
              </w:r>
            </w:hyperlink>
            <w:r w:rsidR="00625A11">
              <w:rPr>
                <w:vertAlign w:val="superscript"/>
              </w:rPr>
              <w:br/>
            </w:r>
            <w:r w:rsidR="00417B1B" w:rsidRPr="00625A11">
              <w:t>201</w:t>
            </w:r>
            <w:r w:rsidR="007C514A">
              <w:t>9</w:t>
            </w:r>
            <w:r w:rsidR="00417B1B" w:rsidRPr="00625A11">
              <w:br/>
              <w:t>$'000</w:t>
            </w:r>
          </w:p>
        </w:tc>
        <w:tc>
          <w:tcPr>
            <w:tcW w:w="676" w:type="pct"/>
            <w:vAlign w:val="bottom"/>
          </w:tcPr>
          <w:p w14:paraId="5C394324" w14:textId="10CA7E8A" w:rsidR="00417B1B" w:rsidRPr="00625A11" w:rsidRDefault="007D7D73" w:rsidP="00625A11">
            <w:pPr>
              <w:pStyle w:val="TableText"/>
              <w:cnfStyle w:val="100000000000" w:firstRow="1" w:lastRow="0" w:firstColumn="0" w:lastColumn="0" w:oddVBand="0" w:evenVBand="0" w:oddHBand="0" w:evenHBand="0" w:firstRowFirstColumn="0" w:firstRowLastColumn="0" w:lastRowFirstColumn="0" w:lastRowLastColumn="0"/>
            </w:pPr>
            <w:r w:rsidRPr="00625A11">
              <w:t>Present value of minimum lease payments</w:t>
            </w:r>
            <w:r w:rsidR="00625A11">
              <w:br/>
            </w:r>
            <w:r w:rsidR="00417B1B" w:rsidRPr="00625A11">
              <w:t>20</w:t>
            </w:r>
            <w:r w:rsidR="007C514A">
              <w:t>20</w:t>
            </w:r>
            <w:r w:rsidR="00417B1B" w:rsidRPr="00625A11">
              <w:br/>
              <w:t>$'000</w:t>
            </w:r>
          </w:p>
        </w:tc>
        <w:tc>
          <w:tcPr>
            <w:tcW w:w="677" w:type="pct"/>
            <w:vAlign w:val="bottom"/>
          </w:tcPr>
          <w:p w14:paraId="1BD19445" w14:textId="1A9C3520" w:rsidR="00417B1B" w:rsidRPr="00625A11" w:rsidRDefault="007D7D73" w:rsidP="00625A11">
            <w:pPr>
              <w:pStyle w:val="TableText"/>
              <w:cnfStyle w:val="100000000000" w:firstRow="1" w:lastRow="0" w:firstColumn="0" w:lastColumn="0" w:oddVBand="0" w:evenVBand="0" w:oddHBand="0" w:evenHBand="0" w:firstRowFirstColumn="0" w:firstRowLastColumn="0" w:lastRowFirstColumn="0" w:lastRowLastColumn="0"/>
            </w:pPr>
            <w:r w:rsidRPr="00625A11">
              <w:t>Present value of minimum lease payments</w:t>
            </w:r>
            <w:r w:rsidR="00625A11">
              <w:br/>
            </w:r>
            <w:r w:rsidR="00417B1B" w:rsidRPr="00625A11">
              <w:t>201</w:t>
            </w:r>
            <w:r w:rsidR="007C514A">
              <w:t>9</w:t>
            </w:r>
            <w:r w:rsidR="00417B1B" w:rsidRPr="00625A11">
              <w:br/>
              <w:t>$'000</w:t>
            </w:r>
          </w:p>
        </w:tc>
      </w:tr>
      <w:bookmarkEnd w:id="385"/>
      <w:tr w:rsidR="00417B1B" w:rsidRPr="0099570F" w14:paraId="748C225F"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6059A7CA" w14:textId="47976DAB" w:rsidR="00417B1B" w:rsidRPr="007D7D73" w:rsidRDefault="00417B1B" w:rsidP="007D7D73">
            <w:pPr>
              <w:pStyle w:val="TableText"/>
              <w:rPr>
                <w:rStyle w:val="Bold"/>
              </w:rPr>
            </w:pPr>
            <w:r w:rsidRPr="007D7D73">
              <w:rPr>
                <w:rStyle w:val="Bold"/>
              </w:rPr>
              <w:t>Commissioned PPP related finance lease liabilities payable</w:t>
            </w:r>
            <w:r w:rsidR="007C514A">
              <w:rPr>
                <w:rStyle w:val="Bold"/>
              </w:rPr>
              <w:t xml:space="preserve"> (prior period finance lease)</w:t>
            </w:r>
          </w:p>
        </w:tc>
        <w:tc>
          <w:tcPr>
            <w:tcW w:w="676" w:type="pct"/>
          </w:tcPr>
          <w:p w14:paraId="6A86DCBA" w14:textId="6840DEA0" w:rsidR="00417B1B" w:rsidRPr="00625A11"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625A11">
              <w:t>N/A</w:t>
            </w:r>
          </w:p>
        </w:tc>
        <w:tc>
          <w:tcPr>
            <w:tcW w:w="676" w:type="pct"/>
          </w:tcPr>
          <w:p w14:paraId="52CEBE6F" w14:textId="1BA98F79" w:rsidR="00417B1B" w:rsidRPr="00625A11"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625A11">
              <w:t>N/A</w:t>
            </w:r>
          </w:p>
        </w:tc>
        <w:tc>
          <w:tcPr>
            <w:tcW w:w="676" w:type="pct"/>
          </w:tcPr>
          <w:p w14:paraId="606C939F" w14:textId="52F1C549" w:rsidR="00417B1B" w:rsidRPr="00625A11"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625A11">
              <w:t>N/A</w:t>
            </w:r>
          </w:p>
        </w:tc>
        <w:tc>
          <w:tcPr>
            <w:tcW w:w="677" w:type="pct"/>
          </w:tcPr>
          <w:p w14:paraId="406818CC" w14:textId="202A616E" w:rsidR="00417B1B" w:rsidRPr="00625A11"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625A11">
              <w:t>N/A</w:t>
            </w:r>
          </w:p>
        </w:tc>
      </w:tr>
      <w:tr w:rsidR="00417B1B" w:rsidRPr="0099570F" w14:paraId="29E40F1A"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3F0F95AA" w14:textId="77777777" w:rsidR="00417B1B" w:rsidRPr="0099570F" w:rsidRDefault="00417B1B" w:rsidP="007D7D73">
            <w:pPr>
              <w:pStyle w:val="TableText"/>
            </w:pPr>
            <w:proofErr w:type="spellStart"/>
            <w:r w:rsidRPr="0099570F">
              <w:t>Not longer</w:t>
            </w:r>
            <w:proofErr w:type="spellEnd"/>
            <w:r w:rsidRPr="0099570F">
              <w:t xml:space="preserve"> than 1 year</w:t>
            </w:r>
          </w:p>
        </w:tc>
        <w:tc>
          <w:tcPr>
            <w:tcW w:w="676" w:type="pct"/>
          </w:tcPr>
          <w:p w14:paraId="53ED7E09" w14:textId="68970FB4"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17,580</w:t>
            </w:r>
          </w:p>
        </w:tc>
        <w:tc>
          <w:tcPr>
            <w:tcW w:w="676" w:type="pct"/>
          </w:tcPr>
          <w:p w14:paraId="590912F5" w14:textId="7C981D87"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17,633</w:t>
            </w:r>
          </w:p>
        </w:tc>
        <w:tc>
          <w:tcPr>
            <w:tcW w:w="676" w:type="pct"/>
          </w:tcPr>
          <w:p w14:paraId="4C292C3A" w14:textId="0B75C91E"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15,400</w:t>
            </w:r>
          </w:p>
        </w:tc>
        <w:tc>
          <w:tcPr>
            <w:tcW w:w="677" w:type="pct"/>
          </w:tcPr>
          <w:p w14:paraId="62928423" w14:textId="3006A90E"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14,107</w:t>
            </w:r>
          </w:p>
        </w:tc>
      </w:tr>
      <w:tr w:rsidR="00417B1B" w:rsidRPr="0099570F" w14:paraId="13D3275E"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2D2430DD" w14:textId="77777777" w:rsidR="00417B1B" w:rsidRPr="00625A11" w:rsidRDefault="00417B1B" w:rsidP="007D7D73">
            <w:pPr>
              <w:pStyle w:val="TableText"/>
            </w:pPr>
            <w:r w:rsidRPr="00625A11">
              <w:t>Longer than 1 year and not longer than 5 years</w:t>
            </w:r>
          </w:p>
        </w:tc>
        <w:tc>
          <w:tcPr>
            <w:tcW w:w="676" w:type="pct"/>
          </w:tcPr>
          <w:p w14:paraId="60734EA6" w14:textId="5F527616"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15,999</w:t>
            </w:r>
          </w:p>
        </w:tc>
        <w:tc>
          <w:tcPr>
            <w:tcW w:w="676" w:type="pct"/>
          </w:tcPr>
          <w:p w14:paraId="429D1145" w14:textId="4A85A61F"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33,579</w:t>
            </w:r>
          </w:p>
        </w:tc>
        <w:tc>
          <w:tcPr>
            <w:tcW w:w="676" w:type="pct"/>
          </w:tcPr>
          <w:p w14:paraId="1EAC4B2D" w14:textId="49EE5EF0"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15,302</w:t>
            </w:r>
          </w:p>
        </w:tc>
        <w:tc>
          <w:tcPr>
            <w:tcW w:w="677" w:type="pct"/>
          </w:tcPr>
          <w:p w14:paraId="52CCBF49" w14:textId="405B104A"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30,701</w:t>
            </w:r>
          </w:p>
        </w:tc>
      </w:tr>
      <w:tr w:rsidR="00417B1B" w:rsidRPr="0099570F" w14:paraId="1A9D29E0"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2699FE71" w14:textId="77777777" w:rsidR="00417B1B" w:rsidRPr="00625A11" w:rsidRDefault="00417B1B" w:rsidP="007D7D73">
            <w:pPr>
              <w:pStyle w:val="TableText"/>
            </w:pPr>
            <w:r w:rsidRPr="00625A11">
              <w:t>Longer than 5 years</w:t>
            </w:r>
          </w:p>
        </w:tc>
        <w:tc>
          <w:tcPr>
            <w:tcW w:w="676" w:type="pct"/>
          </w:tcPr>
          <w:p w14:paraId="7CC2FEDA" w14:textId="2D0884C3" w:rsidR="00417B1B" w:rsidRPr="00625A11" w:rsidRDefault="0045178A" w:rsidP="007D7D73">
            <w:pPr>
              <w:pStyle w:val="TableText"/>
              <w:cnfStyle w:val="000000000000" w:firstRow="0" w:lastRow="0" w:firstColumn="0" w:lastColumn="0" w:oddVBand="0" w:evenVBand="0" w:oddHBand="0" w:evenHBand="0" w:firstRowFirstColumn="0" w:firstRowLastColumn="0" w:lastRowFirstColumn="0" w:lastRowLastColumn="0"/>
            </w:pPr>
            <w:r>
              <w:t>N/A</w:t>
            </w:r>
          </w:p>
        </w:tc>
        <w:tc>
          <w:tcPr>
            <w:tcW w:w="676" w:type="pct"/>
          </w:tcPr>
          <w:p w14:paraId="5FB7EE2D" w14:textId="4AF12A26" w:rsidR="00417B1B" w:rsidRPr="00625A11" w:rsidRDefault="0045178A" w:rsidP="007D7D73">
            <w:pPr>
              <w:pStyle w:val="TableText"/>
              <w:cnfStyle w:val="000000000000" w:firstRow="0" w:lastRow="0" w:firstColumn="0" w:lastColumn="0" w:oddVBand="0" w:evenVBand="0" w:oddHBand="0" w:evenHBand="0" w:firstRowFirstColumn="0" w:firstRowLastColumn="0" w:lastRowFirstColumn="0" w:lastRowLastColumn="0"/>
            </w:pPr>
            <w:r>
              <w:t>N/A</w:t>
            </w:r>
          </w:p>
        </w:tc>
        <w:tc>
          <w:tcPr>
            <w:tcW w:w="676" w:type="pct"/>
          </w:tcPr>
          <w:p w14:paraId="2E390D4A" w14:textId="2D78C779" w:rsidR="00417B1B" w:rsidRPr="00625A11" w:rsidRDefault="0045178A" w:rsidP="007D7D73">
            <w:pPr>
              <w:pStyle w:val="TableText"/>
              <w:cnfStyle w:val="000000000000" w:firstRow="0" w:lastRow="0" w:firstColumn="0" w:lastColumn="0" w:oddVBand="0" w:evenVBand="0" w:oddHBand="0" w:evenHBand="0" w:firstRowFirstColumn="0" w:firstRowLastColumn="0" w:lastRowFirstColumn="0" w:lastRowLastColumn="0"/>
            </w:pPr>
            <w:r>
              <w:t>N/A</w:t>
            </w:r>
          </w:p>
        </w:tc>
        <w:tc>
          <w:tcPr>
            <w:tcW w:w="677" w:type="pct"/>
          </w:tcPr>
          <w:p w14:paraId="5DBF9AA9" w14:textId="298CB3DF" w:rsidR="00417B1B" w:rsidRPr="00625A11" w:rsidRDefault="0045178A" w:rsidP="007D7D73">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D7D73" w14:paraId="3E3D4AE9"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1A5C401B" w14:textId="26494240" w:rsidR="00417B1B" w:rsidRPr="00625A11" w:rsidRDefault="00417B1B" w:rsidP="0045178A">
            <w:pPr>
              <w:pStyle w:val="TableText"/>
              <w:spacing w:before="120"/>
              <w:rPr>
                <w:rStyle w:val="Bold"/>
              </w:rPr>
            </w:pPr>
            <w:r w:rsidRPr="00625A11">
              <w:rPr>
                <w:rStyle w:val="Bold"/>
              </w:rPr>
              <w:t xml:space="preserve">Other finance lease liabilities </w:t>
            </w:r>
            <w:r w:rsidR="007C514A">
              <w:rPr>
                <w:rStyle w:val="Bold"/>
              </w:rPr>
              <w:t>payable (prior period finance lease)</w:t>
            </w:r>
            <w:r w:rsidRPr="00625A11">
              <w:rPr>
                <w:rStyle w:val="Bold"/>
                <w:vertAlign w:val="superscript"/>
              </w:rPr>
              <w:t xml:space="preserve"> </w:t>
            </w:r>
            <w:hyperlink w:anchor="Note71note2" w:history="1">
              <w:r w:rsidR="006A796B" w:rsidRPr="006A796B">
                <w:rPr>
                  <w:rFonts w:ascii="Arial Bold" w:hAnsi="Arial Bold"/>
                  <w:vertAlign w:val="superscript"/>
                </w:rPr>
                <w:t>(2)</w:t>
              </w:r>
            </w:hyperlink>
          </w:p>
        </w:tc>
        <w:tc>
          <w:tcPr>
            <w:tcW w:w="676" w:type="pct"/>
          </w:tcPr>
          <w:p w14:paraId="60141B75" w14:textId="14E87F9F" w:rsidR="00417B1B" w:rsidRPr="00625A11" w:rsidRDefault="00AC0BBF" w:rsidP="0045178A">
            <w:pPr>
              <w:pStyle w:val="TableText"/>
              <w:spacing w:before="120"/>
              <w:cnfStyle w:val="000000000000" w:firstRow="0" w:lastRow="0" w:firstColumn="0" w:lastColumn="0" w:oddVBand="0" w:evenVBand="0" w:oddHBand="0" w:evenHBand="0" w:firstRowFirstColumn="0" w:firstRowLastColumn="0" w:lastRowFirstColumn="0" w:lastRowLastColumn="0"/>
            </w:pPr>
            <w:r w:rsidRPr="00625A11">
              <w:t>N/A</w:t>
            </w:r>
          </w:p>
        </w:tc>
        <w:tc>
          <w:tcPr>
            <w:tcW w:w="676" w:type="pct"/>
          </w:tcPr>
          <w:p w14:paraId="7E6E3490" w14:textId="3674B541" w:rsidR="00417B1B" w:rsidRPr="00625A11" w:rsidRDefault="00AC0BBF" w:rsidP="0045178A">
            <w:pPr>
              <w:pStyle w:val="TableText"/>
              <w:spacing w:before="120"/>
              <w:cnfStyle w:val="000000000000" w:firstRow="0" w:lastRow="0" w:firstColumn="0" w:lastColumn="0" w:oddVBand="0" w:evenVBand="0" w:oddHBand="0" w:evenHBand="0" w:firstRowFirstColumn="0" w:firstRowLastColumn="0" w:lastRowFirstColumn="0" w:lastRowLastColumn="0"/>
            </w:pPr>
            <w:r w:rsidRPr="00625A11">
              <w:t>N/A</w:t>
            </w:r>
          </w:p>
        </w:tc>
        <w:tc>
          <w:tcPr>
            <w:tcW w:w="676" w:type="pct"/>
          </w:tcPr>
          <w:p w14:paraId="64E36914" w14:textId="365A44D2" w:rsidR="00417B1B" w:rsidRPr="00625A11" w:rsidRDefault="00AC0BBF" w:rsidP="0045178A">
            <w:pPr>
              <w:pStyle w:val="TableText"/>
              <w:spacing w:before="120"/>
              <w:cnfStyle w:val="000000000000" w:firstRow="0" w:lastRow="0" w:firstColumn="0" w:lastColumn="0" w:oddVBand="0" w:evenVBand="0" w:oddHBand="0" w:evenHBand="0" w:firstRowFirstColumn="0" w:firstRowLastColumn="0" w:lastRowFirstColumn="0" w:lastRowLastColumn="0"/>
            </w:pPr>
            <w:r w:rsidRPr="00625A11">
              <w:t>N/A</w:t>
            </w:r>
          </w:p>
        </w:tc>
        <w:tc>
          <w:tcPr>
            <w:tcW w:w="677" w:type="pct"/>
          </w:tcPr>
          <w:p w14:paraId="03430C58" w14:textId="400F0DB2" w:rsidR="00417B1B" w:rsidRPr="00625A11" w:rsidRDefault="00AC0BBF" w:rsidP="0045178A">
            <w:pPr>
              <w:pStyle w:val="TableText"/>
              <w:spacing w:before="120"/>
              <w:cnfStyle w:val="000000000000" w:firstRow="0" w:lastRow="0" w:firstColumn="0" w:lastColumn="0" w:oddVBand="0" w:evenVBand="0" w:oddHBand="0" w:evenHBand="0" w:firstRowFirstColumn="0" w:firstRowLastColumn="0" w:lastRowFirstColumn="0" w:lastRowLastColumn="0"/>
            </w:pPr>
            <w:r w:rsidRPr="00625A11">
              <w:t>N/A</w:t>
            </w:r>
          </w:p>
        </w:tc>
      </w:tr>
      <w:tr w:rsidR="00417B1B" w:rsidRPr="0099570F" w14:paraId="53DDF84B"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506F964D" w14:textId="77777777" w:rsidR="00417B1B" w:rsidRPr="00625A11" w:rsidRDefault="00417B1B" w:rsidP="007D7D73">
            <w:pPr>
              <w:pStyle w:val="TableText"/>
            </w:pPr>
            <w:proofErr w:type="spellStart"/>
            <w:r w:rsidRPr="00625A11">
              <w:t>Not longer</w:t>
            </w:r>
            <w:proofErr w:type="spellEnd"/>
            <w:r w:rsidRPr="00625A11">
              <w:t xml:space="preserve"> than 1 year</w:t>
            </w:r>
          </w:p>
        </w:tc>
        <w:tc>
          <w:tcPr>
            <w:tcW w:w="676" w:type="pct"/>
          </w:tcPr>
          <w:p w14:paraId="63E5E7A7" w14:textId="217AB229"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18,399</w:t>
            </w:r>
          </w:p>
        </w:tc>
        <w:tc>
          <w:tcPr>
            <w:tcW w:w="676" w:type="pct"/>
          </w:tcPr>
          <w:p w14:paraId="05F4F027" w14:textId="0C25A19F"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4,638</w:t>
            </w:r>
          </w:p>
        </w:tc>
        <w:tc>
          <w:tcPr>
            <w:tcW w:w="676" w:type="pct"/>
          </w:tcPr>
          <w:p w14:paraId="20ADACA9" w14:textId="286B1602"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17,209</w:t>
            </w:r>
          </w:p>
        </w:tc>
        <w:tc>
          <w:tcPr>
            <w:tcW w:w="677" w:type="pct"/>
          </w:tcPr>
          <w:p w14:paraId="41C5947B" w14:textId="6DB10BC8" w:rsidR="00417B1B" w:rsidRPr="00625A11"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4,394</w:t>
            </w:r>
          </w:p>
        </w:tc>
      </w:tr>
      <w:tr w:rsidR="00417B1B" w:rsidRPr="0099570F" w14:paraId="406A77A1"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058B2546" w14:textId="77777777" w:rsidR="00417B1B" w:rsidRPr="0099570F" w:rsidRDefault="00417B1B" w:rsidP="007D7D73">
            <w:pPr>
              <w:pStyle w:val="TableText"/>
            </w:pPr>
            <w:r w:rsidRPr="0099570F">
              <w:t>Longer than 1 year and not longer than 5 years</w:t>
            </w:r>
          </w:p>
        </w:tc>
        <w:tc>
          <w:tcPr>
            <w:tcW w:w="676" w:type="pct"/>
          </w:tcPr>
          <w:p w14:paraId="4621A19B" w14:textId="7C52A9B3"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38,943</w:t>
            </w:r>
          </w:p>
        </w:tc>
        <w:tc>
          <w:tcPr>
            <w:tcW w:w="676" w:type="pct"/>
          </w:tcPr>
          <w:p w14:paraId="13419379" w14:textId="600AAEE0"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5,877</w:t>
            </w:r>
          </w:p>
        </w:tc>
        <w:tc>
          <w:tcPr>
            <w:tcW w:w="676" w:type="pct"/>
          </w:tcPr>
          <w:p w14:paraId="55C34C77" w14:textId="0FB0CA62"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36,232</w:t>
            </w:r>
          </w:p>
        </w:tc>
        <w:tc>
          <w:tcPr>
            <w:tcW w:w="677" w:type="pct"/>
          </w:tcPr>
          <w:p w14:paraId="40596452" w14:textId="5812FE6B"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5,715</w:t>
            </w:r>
          </w:p>
        </w:tc>
      </w:tr>
      <w:tr w:rsidR="007C514A" w:rsidRPr="0099570F" w14:paraId="5540D21E"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37CF3F9C" w14:textId="06C40541" w:rsidR="007C514A" w:rsidRPr="0099570F" w:rsidRDefault="007C514A" w:rsidP="007D7D73">
            <w:pPr>
              <w:pStyle w:val="TableText"/>
            </w:pPr>
            <w:r>
              <w:t>Longer than 5 years</w:t>
            </w:r>
          </w:p>
        </w:tc>
        <w:tc>
          <w:tcPr>
            <w:tcW w:w="676" w:type="pct"/>
          </w:tcPr>
          <w:p w14:paraId="24C81618" w14:textId="287DCD79" w:rsidR="007C514A"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36,747</w:t>
            </w:r>
          </w:p>
        </w:tc>
        <w:tc>
          <w:tcPr>
            <w:tcW w:w="676" w:type="pct"/>
          </w:tcPr>
          <w:p w14:paraId="2B046911" w14:textId="60CBC38F" w:rsidR="007C514A"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N/A</w:t>
            </w:r>
          </w:p>
        </w:tc>
        <w:tc>
          <w:tcPr>
            <w:tcW w:w="676" w:type="pct"/>
          </w:tcPr>
          <w:p w14:paraId="633F7C8D" w14:textId="6D65A21F" w:rsidR="007C514A"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35,156</w:t>
            </w:r>
          </w:p>
        </w:tc>
        <w:tc>
          <w:tcPr>
            <w:tcW w:w="677" w:type="pct"/>
          </w:tcPr>
          <w:p w14:paraId="159A2316" w14:textId="4125D855" w:rsidR="007C514A"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DB7E45" w14:paraId="6A1366D6"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4F7C2D29" w14:textId="77777777" w:rsidR="00417B1B" w:rsidRPr="00DB7E45" w:rsidRDefault="00417B1B" w:rsidP="007D7D73">
            <w:pPr>
              <w:pStyle w:val="TableText"/>
              <w:rPr>
                <w:rStyle w:val="Bold"/>
              </w:rPr>
            </w:pPr>
            <w:r w:rsidRPr="00DB7E45">
              <w:rPr>
                <w:rStyle w:val="Bold"/>
              </w:rPr>
              <w:t>Minimum future lease payments</w:t>
            </w:r>
          </w:p>
        </w:tc>
        <w:tc>
          <w:tcPr>
            <w:tcW w:w="676" w:type="pct"/>
          </w:tcPr>
          <w:p w14:paraId="69DD5748" w14:textId="544AC9E2" w:rsidR="00417B1B" w:rsidRPr="00DB7E45" w:rsidRDefault="007C514A"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127,668</w:t>
            </w:r>
          </w:p>
        </w:tc>
        <w:tc>
          <w:tcPr>
            <w:tcW w:w="676" w:type="pct"/>
          </w:tcPr>
          <w:p w14:paraId="6B6A59BE" w14:textId="416BA508" w:rsidR="00417B1B" w:rsidRPr="00DB7E45" w:rsidRDefault="007C514A"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61,728</w:t>
            </w:r>
          </w:p>
        </w:tc>
        <w:tc>
          <w:tcPr>
            <w:tcW w:w="676" w:type="pct"/>
          </w:tcPr>
          <w:p w14:paraId="6A01C023" w14:textId="1228F605" w:rsidR="00417B1B" w:rsidRPr="00DB7E45" w:rsidRDefault="007C514A"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119,299</w:t>
            </w:r>
          </w:p>
        </w:tc>
        <w:tc>
          <w:tcPr>
            <w:tcW w:w="677" w:type="pct"/>
          </w:tcPr>
          <w:p w14:paraId="6034F121" w14:textId="79BFE18C" w:rsidR="00417B1B" w:rsidRPr="00DB7E45" w:rsidRDefault="007C514A"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54,917</w:t>
            </w:r>
          </w:p>
        </w:tc>
      </w:tr>
      <w:tr w:rsidR="00417B1B" w:rsidRPr="0099570F" w14:paraId="3E2F51D5"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055D1682" w14:textId="77777777" w:rsidR="00417B1B" w:rsidRPr="0099570F" w:rsidRDefault="00417B1B" w:rsidP="007D7D73">
            <w:pPr>
              <w:pStyle w:val="TableText"/>
            </w:pPr>
            <w:r w:rsidRPr="0099570F">
              <w:t>Less future finance charges</w:t>
            </w:r>
          </w:p>
        </w:tc>
        <w:tc>
          <w:tcPr>
            <w:tcW w:w="676" w:type="pct"/>
          </w:tcPr>
          <w:p w14:paraId="5F3528E1" w14:textId="6D2FD0B6"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(8,369)</w:t>
            </w:r>
          </w:p>
        </w:tc>
        <w:tc>
          <w:tcPr>
            <w:tcW w:w="676" w:type="pct"/>
          </w:tcPr>
          <w:p w14:paraId="156E2DA9" w14:textId="2FD6010E" w:rsidR="00417B1B" w:rsidRPr="0099570F" w:rsidRDefault="007C514A" w:rsidP="007D7D73">
            <w:pPr>
              <w:pStyle w:val="TableText"/>
              <w:cnfStyle w:val="000000000000" w:firstRow="0" w:lastRow="0" w:firstColumn="0" w:lastColumn="0" w:oddVBand="0" w:evenVBand="0" w:oddHBand="0" w:evenHBand="0" w:firstRowFirstColumn="0" w:firstRowLastColumn="0" w:lastRowFirstColumn="0" w:lastRowLastColumn="0"/>
            </w:pPr>
            <w:r>
              <w:t>(6,810)</w:t>
            </w:r>
          </w:p>
        </w:tc>
        <w:tc>
          <w:tcPr>
            <w:tcW w:w="676" w:type="pct"/>
          </w:tcPr>
          <w:p w14:paraId="3EDA71C7" w14:textId="1C8D449A"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7" w:type="pct"/>
          </w:tcPr>
          <w:p w14:paraId="5D4BC0C6" w14:textId="728D80BD"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r>
      <w:tr w:rsidR="00417B1B" w:rsidRPr="00DB7E45" w14:paraId="4A86C15A"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3863336B" w14:textId="77777777" w:rsidR="00417B1B" w:rsidRPr="00DB7E45" w:rsidRDefault="00417B1B" w:rsidP="007D7D73">
            <w:pPr>
              <w:pStyle w:val="TableText"/>
              <w:rPr>
                <w:rStyle w:val="Bold"/>
              </w:rPr>
            </w:pPr>
            <w:r w:rsidRPr="00DB7E45">
              <w:rPr>
                <w:rStyle w:val="Bold"/>
              </w:rPr>
              <w:t>Present value of minimum lease payments</w:t>
            </w:r>
          </w:p>
        </w:tc>
        <w:tc>
          <w:tcPr>
            <w:tcW w:w="676" w:type="pct"/>
          </w:tcPr>
          <w:p w14:paraId="50B85DF2" w14:textId="754EB4D6" w:rsidR="00417B1B" w:rsidRPr="00DB7E45" w:rsidRDefault="00272313"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119,299</w:t>
            </w:r>
          </w:p>
        </w:tc>
        <w:tc>
          <w:tcPr>
            <w:tcW w:w="676" w:type="pct"/>
          </w:tcPr>
          <w:p w14:paraId="4BF8F118" w14:textId="09194C5E" w:rsidR="00417B1B" w:rsidRPr="00DB7E45" w:rsidRDefault="00272313"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54,917</w:t>
            </w:r>
          </w:p>
        </w:tc>
        <w:tc>
          <w:tcPr>
            <w:tcW w:w="676" w:type="pct"/>
          </w:tcPr>
          <w:p w14:paraId="2845F9F1" w14:textId="1A78F427" w:rsidR="00417B1B" w:rsidRPr="00DB7E45" w:rsidRDefault="00272313"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119,299</w:t>
            </w:r>
          </w:p>
        </w:tc>
        <w:tc>
          <w:tcPr>
            <w:tcW w:w="677" w:type="pct"/>
          </w:tcPr>
          <w:p w14:paraId="1F924C53" w14:textId="02A1FEAA" w:rsidR="00417B1B" w:rsidRPr="00DB7E45" w:rsidRDefault="00272313" w:rsidP="007D7D73">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54,917</w:t>
            </w:r>
          </w:p>
        </w:tc>
      </w:tr>
      <w:tr w:rsidR="00417B1B" w:rsidRPr="0099570F" w14:paraId="5830D285"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2EB47230" w14:textId="77777777" w:rsidR="00417B1B" w:rsidRPr="0099570F" w:rsidRDefault="00417B1B" w:rsidP="007D7D73">
            <w:pPr>
              <w:pStyle w:val="TableText"/>
            </w:pPr>
            <w:r w:rsidRPr="0099570F">
              <w:t>Included in the financial statements as:</w:t>
            </w:r>
          </w:p>
        </w:tc>
        <w:tc>
          <w:tcPr>
            <w:tcW w:w="676" w:type="pct"/>
          </w:tcPr>
          <w:p w14:paraId="5B8D62C5" w14:textId="3990C6BA"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6" w:type="pct"/>
          </w:tcPr>
          <w:p w14:paraId="5A12F668" w14:textId="02248EFD"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6" w:type="pct"/>
          </w:tcPr>
          <w:p w14:paraId="2483E1A1" w14:textId="4F8E22FA"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7" w:type="pct"/>
          </w:tcPr>
          <w:p w14:paraId="72739BE7" w14:textId="1AE0AAF7"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r>
      <w:tr w:rsidR="00417B1B" w:rsidRPr="0099570F" w14:paraId="4097E971"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64091DD8" w14:textId="77777777" w:rsidR="00417B1B" w:rsidRPr="0099570F" w:rsidRDefault="00417B1B" w:rsidP="007D7D73">
            <w:pPr>
              <w:pStyle w:val="TableText"/>
            </w:pPr>
            <w:r w:rsidRPr="0099570F">
              <w:t>Current borrowings lease liabilities</w:t>
            </w:r>
          </w:p>
        </w:tc>
        <w:tc>
          <w:tcPr>
            <w:tcW w:w="676" w:type="pct"/>
          </w:tcPr>
          <w:p w14:paraId="4CCAC607" w14:textId="380B7D8E"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6" w:type="pct"/>
          </w:tcPr>
          <w:p w14:paraId="1A1BDD3A" w14:textId="2BDC706D"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6" w:type="pct"/>
          </w:tcPr>
          <w:p w14:paraId="3A02B603" w14:textId="7C0E2A1B" w:rsidR="00417B1B" w:rsidRPr="0099570F" w:rsidRDefault="00272313" w:rsidP="007D7D73">
            <w:pPr>
              <w:pStyle w:val="TableText"/>
              <w:cnfStyle w:val="000000000000" w:firstRow="0" w:lastRow="0" w:firstColumn="0" w:lastColumn="0" w:oddVBand="0" w:evenVBand="0" w:oddHBand="0" w:evenHBand="0" w:firstRowFirstColumn="0" w:firstRowLastColumn="0" w:lastRowFirstColumn="0" w:lastRowLastColumn="0"/>
            </w:pPr>
            <w:r>
              <w:t>32,609</w:t>
            </w:r>
          </w:p>
        </w:tc>
        <w:tc>
          <w:tcPr>
            <w:tcW w:w="677" w:type="pct"/>
          </w:tcPr>
          <w:p w14:paraId="150D76EC" w14:textId="20DAB419" w:rsidR="00417B1B" w:rsidRPr="0099570F" w:rsidRDefault="00272313" w:rsidP="007D7D73">
            <w:pPr>
              <w:pStyle w:val="TableText"/>
              <w:cnfStyle w:val="000000000000" w:firstRow="0" w:lastRow="0" w:firstColumn="0" w:lastColumn="0" w:oddVBand="0" w:evenVBand="0" w:oddHBand="0" w:evenHBand="0" w:firstRowFirstColumn="0" w:firstRowLastColumn="0" w:lastRowFirstColumn="0" w:lastRowLastColumn="0"/>
            </w:pPr>
            <w:r>
              <w:t>18,501</w:t>
            </w:r>
          </w:p>
        </w:tc>
      </w:tr>
      <w:tr w:rsidR="00417B1B" w:rsidRPr="0099570F" w14:paraId="36DB385E" w14:textId="77777777" w:rsidTr="00686BA8">
        <w:tc>
          <w:tcPr>
            <w:cnfStyle w:val="001000000000" w:firstRow="0" w:lastRow="0" w:firstColumn="1" w:lastColumn="0" w:oddVBand="0" w:evenVBand="0" w:oddHBand="0" w:evenHBand="0" w:firstRowFirstColumn="0" w:firstRowLastColumn="0" w:lastRowFirstColumn="0" w:lastRowLastColumn="0"/>
            <w:tcW w:w="2295" w:type="pct"/>
          </w:tcPr>
          <w:p w14:paraId="1EE36640" w14:textId="77777777" w:rsidR="00417B1B" w:rsidRPr="0099570F" w:rsidRDefault="00417B1B" w:rsidP="007D7D73">
            <w:pPr>
              <w:pStyle w:val="TableText"/>
            </w:pPr>
            <w:r w:rsidRPr="0099570F">
              <w:t>Non-current borrowings lease liabilities</w:t>
            </w:r>
          </w:p>
        </w:tc>
        <w:tc>
          <w:tcPr>
            <w:tcW w:w="676" w:type="pct"/>
          </w:tcPr>
          <w:p w14:paraId="14D662B2" w14:textId="42D1D625" w:rsidR="00417B1B" w:rsidRPr="007D7D73" w:rsidRDefault="00AC0BBF" w:rsidP="007D7D73">
            <w:pPr>
              <w:pStyle w:val="TableText"/>
              <w:cnfStyle w:val="000000000000" w:firstRow="0" w:lastRow="0" w:firstColumn="0" w:lastColumn="0" w:oddVBand="0" w:evenVBand="0" w:oddHBand="0" w:evenHBand="0" w:firstRowFirstColumn="0" w:firstRowLastColumn="0" w:lastRowFirstColumn="0" w:lastRowLastColumn="0"/>
            </w:pPr>
            <w:r w:rsidRPr="007D7D73">
              <w:t>N/A</w:t>
            </w:r>
          </w:p>
        </w:tc>
        <w:tc>
          <w:tcPr>
            <w:tcW w:w="676" w:type="pct"/>
          </w:tcPr>
          <w:p w14:paraId="7F94F80A" w14:textId="78177826" w:rsidR="00417B1B" w:rsidRPr="007D7D73" w:rsidRDefault="00272313" w:rsidP="007D7D73">
            <w:pPr>
              <w:pStyle w:val="TableText"/>
              <w:cnfStyle w:val="000000000000" w:firstRow="0" w:lastRow="0" w:firstColumn="0" w:lastColumn="0" w:oddVBand="0" w:evenVBand="0" w:oddHBand="0" w:evenHBand="0" w:firstRowFirstColumn="0" w:firstRowLastColumn="0" w:lastRowFirstColumn="0" w:lastRowLastColumn="0"/>
            </w:pPr>
            <w:r>
              <w:t>N/A</w:t>
            </w:r>
          </w:p>
        </w:tc>
        <w:tc>
          <w:tcPr>
            <w:tcW w:w="676" w:type="pct"/>
          </w:tcPr>
          <w:p w14:paraId="10FC8C60" w14:textId="10E9ADAA" w:rsidR="00417B1B" w:rsidRPr="0099570F" w:rsidRDefault="00272313" w:rsidP="007D7D73">
            <w:pPr>
              <w:pStyle w:val="TableText"/>
              <w:cnfStyle w:val="000000000000" w:firstRow="0" w:lastRow="0" w:firstColumn="0" w:lastColumn="0" w:oddVBand="0" w:evenVBand="0" w:oddHBand="0" w:evenHBand="0" w:firstRowFirstColumn="0" w:firstRowLastColumn="0" w:lastRowFirstColumn="0" w:lastRowLastColumn="0"/>
            </w:pPr>
            <w:r>
              <w:t>86,690</w:t>
            </w:r>
          </w:p>
        </w:tc>
        <w:tc>
          <w:tcPr>
            <w:tcW w:w="677" w:type="pct"/>
          </w:tcPr>
          <w:p w14:paraId="43A1F25A" w14:textId="07038F14" w:rsidR="00417B1B" w:rsidRPr="0099570F" w:rsidRDefault="00272313" w:rsidP="007D7D73">
            <w:pPr>
              <w:pStyle w:val="TableText"/>
              <w:cnfStyle w:val="000000000000" w:firstRow="0" w:lastRow="0" w:firstColumn="0" w:lastColumn="0" w:oddVBand="0" w:evenVBand="0" w:oddHBand="0" w:evenHBand="0" w:firstRowFirstColumn="0" w:firstRowLastColumn="0" w:lastRowFirstColumn="0" w:lastRowLastColumn="0"/>
            </w:pPr>
            <w:r>
              <w:t>36,417</w:t>
            </w:r>
          </w:p>
        </w:tc>
      </w:tr>
      <w:tr w:rsidR="00417B1B" w:rsidRPr="00DB7E45" w14:paraId="7702D4DC" w14:textId="77777777" w:rsidTr="00686B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130E478A" w14:textId="77777777" w:rsidR="00417B1B" w:rsidRPr="00DB7E45" w:rsidRDefault="00417B1B" w:rsidP="007D7D73">
            <w:pPr>
              <w:pStyle w:val="TableText"/>
              <w:rPr>
                <w:rStyle w:val="Bold"/>
              </w:rPr>
            </w:pPr>
            <w:r w:rsidRPr="00DB7E45">
              <w:rPr>
                <w:rStyle w:val="Bold"/>
              </w:rPr>
              <w:t>Total lease liabilities</w:t>
            </w:r>
          </w:p>
        </w:tc>
        <w:tc>
          <w:tcPr>
            <w:tcW w:w="676" w:type="pct"/>
          </w:tcPr>
          <w:p w14:paraId="25DB475C" w14:textId="3907615F" w:rsidR="00417B1B" w:rsidRPr="00DB7E45" w:rsidRDefault="00AC0BBF" w:rsidP="007D7D73">
            <w:pPr>
              <w:pStyle w:val="TableText"/>
              <w:cnfStyle w:val="010000000000" w:firstRow="0" w:lastRow="1" w:firstColumn="0" w:lastColumn="0" w:oddVBand="0" w:evenVBand="0" w:oddHBand="0" w:evenHBand="0" w:firstRowFirstColumn="0" w:firstRowLastColumn="0" w:lastRowFirstColumn="0" w:lastRowLastColumn="0"/>
              <w:rPr>
                <w:rStyle w:val="Bold"/>
              </w:rPr>
            </w:pPr>
            <w:r w:rsidRPr="00DB7E45">
              <w:rPr>
                <w:rStyle w:val="Bold"/>
              </w:rPr>
              <w:t>N/A</w:t>
            </w:r>
          </w:p>
        </w:tc>
        <w:tc>
          <w:tcPr>
            <w:tcW w:w="676" w:type="pct"/>
          </w:tcPr>
          <w:p w14:paraId="684D602C" w14:textId="6B2F3FA4" w:rsidR="00417B1B" w:rsidRPr="00DB7E45" w:rsidRDefault="00AC0BBF" w:rsidP="007D7D73">
            <w:pPr>
              <w:pStyle w:val="TableText"/>
              <w:cnfStyle w:val="010000000000" w:firstRow="0" w:lastRow="1" w:firstColumn="0" w:lastColumn="0" w:oddVBand="0" w:evenVBand="0" w:oddHBand="0" w:evenHBand="0" w:firstRowFirstColumn="0" w:firstRowLastColumn="0" w:lastRowFirstColumn="0" w:lastRowLastColumn="0"/>
              <w:rPr>
                <w:rStyle w:val="Bold"/>
              </w:rPr>
            </w:pPr>
            <w:r w:rsidRPr="00DB7E45">
              <w:rPr>
                <w:rStyle w:val="Bold"/>
              </w:rPr>
              <w:t>N/A</w:t>
            </w:r>
          </w:p>
        </w:tc>
        <w:tc>
          <w:tcPr>
            <w:tcW w:w="676" w:type="pct"/>
          </w:tcPr>
          <w:p w14:paraId="7B6F6A52" w14:textId="75620EC4" w:rsidR="00417B1B" w:rsidRPr="00DB7E45" w:rsidRDefault="00272313" w:rsidP="007D7D73">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119,299</w:t>
            </w:r>
          </w:p>
        </w:tc>
        <w:tc>
          <w:tcPr>
            <w:tcW w:w="677" w:type="pct"/>
          </w:tcPr>
          <w:p w14:paraId="7C4ED308" w14:textId="4AB08C12" w:rsidR="00417B1B" w:rsidRPr="00DB7E45" w:rsidRDefault="00272313" w:rsidP="007D7D73">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54,917</w:t>
            </w:r>
          </w:p>
        </w:tc>
      </w:tr>
    </w:tbl>
    <w:p w14:paraId="01BE6476" w14:textId="77777777" w:rsidR="00417B1B" w:rsidRDefault="00417B1B" w:rsidP="00417B1B">
      <w:pPr>
        <w:pStyle w:val="NotesText"/>
      </w:pPr>
      <w:r>
        <w:t>Notes:</w:t>
      </w:r>
    </w:p>
    <w:p w14:paraId="606E3CB0" w14:textId="5B0CC4B6" w:rsidR="00272313" w:rsidRDefault="00272313" w:rsidP="00F110E7">
      <w:pPr>
        <w:pStyle w:val="NotesNumberedList"/>
        <w:numPr>
          <w:ilvl w:val="0"/>
          <w:numId w:val="22"/>
        </w:numPr>
      </w:pPr>
      <w:bookmarkStart w:id="386" w:name="Note71tablenote1"/>
      <w:bookmarkStart w:id="387" w:name="Note71note1"/>
      <w:bookmarkEnd w:id="386"/>
      <w:bookmarkEnd w:id="387"/>
      <w:r>
        <w:t>Minimum future lease payments include the aggregate of all base payments and any guaranteed residual.</w:t>
      </w:r>
    </w:p>
    <w:p w14:paraId="7A79263C" w14:textId="3194A700" w:rsidR="00272313" w:rsidRDefault="00272313" w:rsidP="00F110E7">
      <w:pPr>
        <w:pStyle w:val="NotesNumberedList"/>
        <w:numPr>
          <w:ilvl w:val="0"/>
          <w:numId w:val="22"/>
        </w:numPr>
      </w:pPr>
      <w:bookmarkStart w:id="388" w:name="Note71note2"/>
      <w:bookmarkEnd w:id="388"/>
      <w:r>
        <w:t xml:space="preserve">Other finance lease liabilities include obligations that are recognised on the balance sheet; the future payments related to operating and lease commitments are disclosed in </w:t>
      </w:r>
      <w:hyperlink w:anchor="Note712" w:history="1">
        <w:r w:rsidR="00B85F52" w:rsidRPr="00B85F52">
          <w:t>Note 7.1.2</w:t>
        </w:r>
      </w:hyperlink>
      <w:r>
        <w:t xml:space="preserve"> These are secured by the Assets leased. Leases liabilities are effectively secured as the rights to the leased assets revert to the lessor in the event of default.</w:t>
      </w:r>
    </w:p>
    <w:p w14:paraId="0BC2336E" w14:textId="71771322" w:rsidR="00272313" w:rsidRDefault="00272313" w:rsidP="00272313">
      <w:pPr>
        <w:pStyle w:val="Heading4"/>
      </w:pPr>
      <w:r w:rsidRPr="006A796B">
        <w:t>7.1.1</w:t>
      </w:r>
      <w:r w:rsidR="00092296">
        <w:tab/>
      </w:r>
      <w:r w:rsidRPr="006A796B">
        <w:t>Leases</w:t>
      </w:r>
    </w:p>
    <w:p w14:paraId="179CF37E" w14:textId="6CDE21EE" w:rsidR="00272313" w:rsidRDefault="009B1462" w:rsidP="00272313">
      <w:pPr>
        <w:pStyle w:val="BodyText"/>
      </w:pPr>
      <w:r>
        <w:t>Court Services Victoria</w:t>
      </w:r>
      <w:r w:rsidR="00272313">
        <w:t xml:space="preserve">’s leases comprise various properties and motor vehicles. Majority of </w:t>
      </w:r>
      <w:r>
        <w:t>Court Services Victoria</w:t>
      </w:r>
      <w:r w:rsidR="00272313">
        <w:t>’s leases are property leases which were treated and disclosed as operating leases under the previous lease standard AASB 117 and are now recognised under AASB 16.</w:t>
      </w:r>
    </w:p>
    <w:p w14:paraId="614D6227" w14:textId="4E5469B7" w:rsidR="00272313" w:rsidRDefault="00272313" w:rsidP="00272313">
      <w:pPr>
        <w:pStyle w:val="BodyText"/>
      </w:pPr>
      <w:r>
        <w:t xml:space="preserve">The other finance lease relates to motor vehicles leased through the </w:t>
      </w:r>
      <w:proofErr w:type="spellStart"/>
      <w:r>
        <w:t>VicFleet</w:t>
      </w:r>
      <w:proofErr w:type="spellEnd"/>
      <w:r>
        <w:t xml:space="preserve"> lease facility. The lease term is the period over which the vehicle is to be leased. Generally, vehicles must be retained for three years or 60,000 kms, whichever occurs first. On disposal of the vehicle any profit or loss on sale is borne by Court Services Victoria.</w:t>
      </w:r>
    </w:p>
    <w:p w14:paraId="7E363E33" w14:textId="4CE075FD" w:rsidR="00272313" w:rsidRDefault="009B1462" w:rsidP="00272313">
      <w:pPr>
        <w:pStyle w:val="BodyText"/>
      </w:pPr>
      <w:r>
        <w:t>Court Services Victoria</w:t>
      </w:r>
      <w:r w:rsidR="00272313">
        <w:t>’s property lease terms includes the term stated in the contract adjusted for any option periods (i.e., extension options, holdover terms, etc.) if the options are reasonably certain of being exercised.</w:t>
      </w:r>
    </w:p>
    <w:p w14:paraId="6B52B7FF" w14:textId="61AAFC9F" w:rsidR="00272313" w:rsidRDefault="009B1462" w:rsidP="00272313">
      <w:pPr>
        <w:pStyle w:val="BodyText"/>
      </w:pPr>
      <w:r>
        <w:t>Court Services Victoria</w:t>
      </w:r>
      <w:r w:rsidR="00272313">
        <w:t>’s lease payments for its property leases comprise the fixed lease payments and periodic fixed % increases, market rent reviews on exercise of renewal terms and adjustments to lease payments to reflect changes in CPI.</w:t>
      </w:r>
    </w:p>
    <w:p w14:paraId="6FB0F223" w14:textId="5A05E862" w:rsidR="00272313" w:rsidRDefault="00272313" w:rsidP="00272313">
      <w:pPr>
        <w:pStyle w:val="BodyText"/>
      </w:pPr>
      <w:r>
        <w:t xml:space="preserve">During the current and prior year there were no defaults or breaches of any of </w:t>
      </w:r>
      <w:r w:rsidR="009B1462">
        <w:t>Court Services Victoria</w:t>
      </w:r>
      <w:r>
        <w:t>’s leases.</w:t>
      </w:r>
    </w:p>
    <w:p w14:paraId="67348EB3" w14:textId="7EC5D670" w:rsidR="00272313" w:rsidRDefault="00272313" w:rsidP="00272313">
      <w:pPr>
        <w:pStyle w:val="BodyText"/>
      </w:pPr>
      <w:r>
        <w:t xml:space="preserve">Right-of-use assets are presented in </w:t>
      </w:r>
      <w:hyperlink w:anchor="Note51a" w:history="1">
        <w:r w:rsidR="00B85F52" w:rsidRPr="00B85F52">
          <w:t>note 5.1(a)</w:t>
        </w:r>
      </w:hyperlink>
      <w:r>
        <w:t>.</w:t>
      </w:r>
    </w:p>
    <w:p w14:paraId="598CDB53" w14:textId="49B06007" w:rsidR="00272313" w:rsidRDefault="00272313" w:rsidP="00272313">
      <w:pPr>
        <w:pStyle w:val="Heading4"/>
      </w:pPr>
      <w:bookmarkStart w:id="389" w:name="Note712"/>
      <w:bookmarkEnd w:id="389"/>
      <w:r>
        <w:t>7.1.2</w:t>
      </w:r>
      <w:r w:rsidR="00092296">
        <w:tab/>
      </w:r>
      <w:r>
        <w:t>Right-</w:t>
      </w:r>
      <w:r w:rsidR="001E64F3">
        <w:t>o</w:t>
      </w:r>
      <w:r>
        <w:t xml:space="preserve">f-Use Assets – Amounts Recognised </w:t>
      </w:r>
      <w:r w:rsidR="001E64F3">
        <w:t xml:space="preserve">in the </w:t>
      </w:r>
      <w:r>
        <w:t>Comprehensive Operating Statement</w:t>
      </w:r>
    </w:p>
    <w:p w14:paraId="5CC735BE" w14:textId="14AAF387" w:rsidR="00272313" w:rsidRDefault="00272313" w:rsidP="00272313">
      <w:pPr>
        <w:pStyle w:val="BodyText"/>
      </w:pPr>
      <w:r>
        <w:t>The</w:t>
      </w:r>
      <w:r w:rsidR="001E64F3">
        <w:t xml:space="preserve"> </w:t>
      </w:r>
      <w:r>
        <w:t>following</w:t>
      </w:r>
      <w:r w:rsidR="001E64F3">
        <w:t xml:space="preserve"> </w:t>
      </w:r>
      <w:r>
        <w:t>amounts</w:t>
      </w:r>
      <w:r w:rsidR="001E64F3">
        <w:t xml:space="preserve"> </w:t>
      </w:r>
      <w:r>
        <w:t>are</w:t>
      </w:r>
      <w:r w:rsidR="001E64F3">
        <w:t xml:space="preserve"> </w:t>
      </w:r>
      <w:r>
        <w:t>recognised</w:t>
      </w:r>
      <w:r w:rsidR="001E64F3">
        <w:t xml:space="preserve"> </w:t>
      </w:r>
      <w:r>
        <w:t>in</w:t>
      </w:r>
      <w:r w:rsidR="001E64F3">
        <w:t xml:space="preserve"> </w:t>
      </w:r>
      <w:r>
        <w:t>the</w:t>
      </w:r>
      <w:r w:rsidR="001E64F3">
        <w:t xml:space="preserve"> </w:t>
      </w:r>
      <w:r>
        <w:t>Comprehensive</w:t>
      </w:r>
      <w:r w:rsidR="001E64F3">
        <w:t xml:space="preserve"> </w:t>
      </w:r>
      <w:r>
        <w:t>Operating</w:t>
      </w:r>
      <w:r w:rsidR="001E64F3">
        <w:t xml:space="preserve"> </w:t>
      </w:r>
      <w:r>
        <w:t>Statement</w:t>
      </w:r>
      <w:r w:rsidR="001E64F3">
        <w:t xml:space="preserve"> </w:t>
      </w:r>
      <w:r>
        <w:t>relating</w:t>
      </w:r>
      <w:r w:rsidR="001E64F3">
        <w:t xml:space="preserve"> </w:t>
      </w:r>
      <w:r>
        <w:t>to</w:t>
      </w:r>
      <w:r w:rsidR="001E64F3">
        <w:t xml:space="preserve"> </w:t>
      </w:r>
      <w:r>
        <w:t>leases.</w:t>
      </w:r>
    </w:p>
    <w:tbl>
      <w:tblPr>
        <w:tblStyle w:val="AccessibleTableNumerical"/>
        <w:tblW w:w="5000" w:type="pct"/>
        <w:tblLook w:val="04E0" w:firstRow="1" w:lastRow="1" w:firstColumn="1" w:lastColumn="0" w:noHBand="0" w:noVBand="1"/>
      </w:tblPr>
      <w:tblGrid>
        <w:gridCol w:w="7446"/>
        <w:gridCol w:w="2196"/>
      </w:tblGrid>
      <w:tr w:rsidR="001E64F3" w:rsidRPr="0099570F" w14:paraId="02093EA8" w14:textId="77777777" w:rsidTr="001E6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1" w:type="pct"/>
          </w:tcPr>
          <w:p w14:paraId="28A7CEB1" w14:textId="4D488361" w:rsidR="001E64F3" w:rsidRPr="0099570F" w:rsidRDefault="001E64F3" w:rsidP="0067442B">
            <w:pPr>
              <w:pStyle w:val="TableText"/>
            </w:pPr>
            <w:bookmarkStart w:id="390" w:name="ColumnTitle_83117"/>
            <w:r>
              <w:t>Item</w:t>
            </w:r>
          </w:p>
        </w:tc>
        <w:tc>
          <w:tcPr>
            <w:tcW w:w="1139" w:type="pct"/>
            <w:vAlign w:val="bottom"/>
          </w:tcPr>
          <w:p w14:paraId="45D2A99B" w14:textId="77777777" w:rsidR="001E64F3" w:rsidRDefault="001E64F3" w:rsidP="0067442B">
            <w:pPr>
              <w:pStyle w:val="TableText"/>
              <w:cnfStyle w:val="100000000000" w:firstRow="1" w:lastRow="0" w:firstColumn="0" w:lastColumn="0" w:oddVBand="0" w:evenVBand="0" w:oddHBand="0" w:evenHBand="0" w:firstRowFirstColumn="0" w:firstRowLastColumn="0" w:lastRowFirstColumn="0" w:lastRowLastColumn="0"/>
            </w:pPr>
            <w:r>
              <w:t>2020</w:t>
            </w:r>
          </w:p>
          <w:p w14:paraId="085362FD" w14:textId="36A0DC0F" w:rsidR="001E64F3" w:rsidRPr="00625A11" w:rsidRDefault="001E64F3" w:rsidP="0067442B">
            <w:pPr>
              <w:pStyle w:val="TableText"/>
              <w:cnfStyle w:val="100000000000" w:firstRow="1" w:lastRow="0" w:firstColumn="0" w:lastColumn="0" w:oddVBand="0" w:evenVBand="0" w:oddHBand="0" w:evenHBand="0" w:firstRowFirstColumn="0" w:firstRowLastColumn="0" w:lastRowFirstColumn="0" w:lastRowLastColumn="0"/>
            </w:pPr>
            <w:r>
              <w:t>$’000</w:t>
            </w:r>
          </w:p>
        </w:tc>
      </w:tr>
      <w:bookmarkEnd w:id="390"/>
      <w:tr w:rsidR="001E64F3" w:rsidRPr="0099570F" w14:paraId="7276354C" w14:textId="77777777" w:rsidTr="001E64F3">
        <w:tc>
          <w:tcPr>
            <w:cnfStyle w:val="001000000000" w:firstRow="0" w:lastRow="0" w:firstColumn="1" w:lastColumn="0" w:oddVBand="0" w:evenVBand="0" w:oddHBand="0" w:evenHBand="0" w:firstRowFirstColumn="0" w:firstRowLastColumn="0" w:lastRowFirstColumn="0" w:lastRowLastColumn="0"/>
            <w:tcW w:w="3861" w:type="pct"/>
          </w:tcPr>
          <w:p w14:paraId="4D21D12A" w14:textId="01427F0F" w:rsidR="001E64F3" w:rsidRPr="0099570F" w:rsidRDefault="001E64F3" w:rsidP="0067442B">
            <w:pPr>
              <w:pStyle w:val="TableText"/>
            </w:pPr>
            <w:r>
              <w:t>Interest expense on lease liabilities</w:t>
            </w:r>
            <w:hyperlink w:anchor="Note712note1" w:history="1">
              <w:r w:rsidR="00245EA6" w:rsidRPr="00245EA6">
                <w:rPr>
                  <w:vertAlign w:val="superscript"/>
                </w:rPr>
                <w:t>(1)</w:t>
              </w:r>
            </w:hyperlink>
          </w:p>
        </w:tc>
        <w:tc>
          <w:tcPr>
            <w:tcW w:w="1139" w:type="pct"/>
          </w:tcPr>
          <w:p w14:paraId="5A14FE8C" w14:textId="5B2FD3ED" w:rsidR="001E64F3" w:rsidRPr="00625A11" w:rsidRDefault="001E64F3" w:rsidP="0067442B">
            <w:pPr>
              <w:pStyle w:val="TableText"/>
              <w:cnfStyle w:val="000000000000" w:firstRow="0" w:lastRow="0" w:firstColumn="0" w:lastColumn="0" w:oddVBand="0" w:evenVBand="0" w:oddHBand="0" w:evenHBand="0" w:firstRowFirstColumn="0" w:firstRowLastColumn="0" w:lastRowFirstColumn="0" w:lastRowLastColumn="0"/>
            </w:pPr>
            <w:r>
              <w:t>4,807</w:t>
            </w:r>
          </w:p>
        </w:tc>
      </w:tr>
      <w:tr w:rsidR="001E64F3" w:rsidRPr="00DB7E45" w14:paraId="1B05871D" w14:textId="77777777" w:rsidTr="001E64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374BEB59" w14:textId="763E2171" w:rsidR="001E64F3" w:rsidRPr="00DB7E45" w:rsidRDefault="001E64F3" w:rsidP="0067442B">
            <w:pPr>
              <w:pStyle w:val="TableText"/>
              <w:rPr>
                <w:rStyle w:val="Bold"/>
              </w:rPr>
            </w:pPr>
            <w:r>
              <w:rPr>
                <w:rStyle w:val="Bold"/>
              </w:rPr>
              <w:t>Total amount recognised in the comprehensive operating statement</w:t>
            </w:r>
          </w:p>
        </w:tc>
        <w:tc>
          <w:tcPr>
            <w:tcW w:w="1139" w:type="pct"/>
          </w:tcPr>
          <w:p w14:paraId="6B0E349E" w14:textId="6DC1CC86" w:rsidR="001E64F3" w:rsidRPr="00DB7E45" w:rsidRDefault="001E64F3" w:rsidP="0067442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4,807</w:t>
            </w:r>
          </w:p>
        </w:tc>
      </w:tr>
    </w:tbl>
    <w:p w14:paraId="119E4EAF" w14:textId="627642DE" w:rsidR="00272313" w:rsidRPr="00245EA6" w:rsidRDefault="001E64F3" w:rsidP="00245EA6">
      <w:pPr>
        <w:pStyle w:val="NotesText"/>
      </w:pPr>
      <w:r w:rsidRPr="00245EA6">
        <w:t>Note:</w:t>
      </w:r>
    </w:p>
    <w:p w14:paraId="6DF01E68" w14:textId="168260E5" w:rsidR="001E64F3" w:rsidRDefault="001E64F3" w:rsidP="00245EA6">
      <w:pPr>
        <w:pStyle w:val="NotesNumberedList"/>
        <w:numPr>
          <w:ilvl w:val="0"/>
          <w:numId w:val="54"/>
        </w:numPr>
      </w:pPr>
      <w:bookmarkStart w:id="391" w:name="Note712note1"/>
      <w:bookmarkEnd w:id="391"/>
      <w:r w:rsidRPr="00245EA6">
        <w:t>Of the balance in ‘interest on leases liabilities’, $3.527m related to assets contracted under the PPP arrangements.</w:t>
      </w:r>
    </w:p>
    <w:p w14:paraId="113CB0A4" w14:textId="309C29B0" w:rsidR="001E64F3" w:rsidRDefault="001E64F3" w:rsidP="001E64F3">
      <w:pPr>
        <w:pStyle w:val="Heading4"/>
      </w:pPr>
      <w:r>
        <w:t>7.1.3</w:t>
      </w:r>
      <w:r w:rsidR="00092296">
        <w:tab/>
      </w:r>
      <w:r>
        <w:t>Total Cash Outflows for Leases</w:t>
      </w:r>
    </w:p>
    <w:p w14:paraId="26E8D3E5" w14:textId="1E9CDC57" w:rsidR="00272313" w:rsidRDefault="001E64F3" w:rsidP="001E64F3">
      <w:pPr>
        <w:pStyle w:val="BodyText"/>
      </w:pPr>
      <w:r>
        <w:t>The following amounts are recognised in the Statement of Cash Flows for the year ending 30 June 2020 relating to leases.</w:t>
      </w:r>
    </w:p>
    <w:tbl>
      <w:tblPr>
        <w:tblStyle w:val="AccessibleTableNumerical"/>
        <w:tblW w:w="5000" w:type="pct"/>
        <w:tblLook w:val="04E0" w:firstRow="1" w:lastRow="1" w:firstColumn="1" w:lastColumn="0" w:noHBand="0" w:noVBand="1"/>
      </w:tblPr>
      <w:tblGrid>
        <w:gridCol w:w="7446"/>
        <w:gridCol w:w="2196"/>
      </w:tblGrid>
      <w:tr w:rsidR="001E64F3" w:rsidRPr="0099570F" w14:paraId="30666AF4" w14:textId="77777777" w:rsidTr="006744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1" w:type="pct"/>
          </w:tcPr>
          <w:p w14:paraId="00EB8F75" w14:textId="77777777" w:rsidR="001E64F3" w:rsidRPr="0099570F" w:rsidRDefault="001E64F3" w:rsidP="0067442B">
            <w:pPr>
              <w:pStyle w:val="TableText"/>
            </w:pPr>
            <w:bookmarkStart w:id="392" w:name="ColumnTitle_84117"/>
            <w:r>
              <w:t>Item</w:t>
            </w:r>
          </w:p>
        </w:tc>
        <w:tc>
          <w:tcPr>
            <w:tcW w:w="1139" w:type="pct"/>
            <w:vAlign w:val="bottom"/>
          </w:tcPr>
          <w:p w14:paraId="67EB3C51" w14:textId="77777777" w:rsidR="001E64F3" w:rsidRDefault="001E64F3" w:rsidP="0067442B">
            <w:pPr>
              <w:pStyle w:val="TableText"/>
              <w:cnfStyle w:val="100000000000" w:firstRow="1" w:lastRow="0" w:firstColumn="0" w:lastColumn="0" w:oddVBand="0" w:evenVBand="0" w:oddHBand="0" w:evenHBand="0" w:firstRowFirstColumn="0" w:firstRowLastColumn="0" w:lastRowFirstColumn="0" w:lastRowLastColumn="0"/>
            </w:pPr>
            <w:r>
              <w:t>2020</w:t>
            </w:r>
          </w:p>
          <w:p w14:paraId="4675CDD6" w14:textId="77777777" w:rsidR="001E64F3" w:rsidRPr="00625A11" w:rsidRDefault="001E64F3" w:rsidP="0067442B">
            <w:pPr>
              <w:pStyle w:val="TableText"/>
              <w:cnfStyle w:val="100000000000" w:firstRow="1" w:lastRow="0" w:firstColumn="0" w:lastColumn="0" w:oddVBand="0" w:evenVBand="0" w:oddHBand="0" w:evenHBand="0" w:firstRowFirstColumn="0" w:firstRowLastColumn="0" w:lastRowFirstColumn="0" w:lastRowLastColumn="0"/>
            </w:pPr>
            <w:r>
              <w:t>$’000</w:t>
            </w:r>
          </w:p>
        </w:tc>
      </w:tr>
      <w:bookmarkEnd w:id="392"/>
      <w:tr w:rsidR="001E64F3" w:rsidRPr="00DB7E45" w14:paraId="74E3E063" w14:textId="77777777" w:rsidTr="006744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5EEBE1B5" w14:textId="7B43FD17" w:rsidR="001E64F3" w:rsidRPr="00DB7E45" w:rsidRDefault="001E64F3" w:rsidP="0067442B">
            <w:pPr>
              <w:pStyle w:val="TableText"/>
              <w:rPr>
                <w:rStyle w:val="Bold"/>
              </w:rPr>
            </w:pPr>
            <w:r>
              <w:rPr>
                <w:rStyle w:val="Bold"/>
              </w:rPr>
              <w:t>Total cash outflow</w:t>
            </w:r>
          </w:p>
        </w:tc>
        <w:tc>
          <w:tcPr>
            <w:tcW w:w="1139" w:type="pct"/>
          </w:tcPr>
          <w:p w14:paraId="1A3EC3A2" w14:textId="0F85F5E8" w:rsidR="001E64F3" w:rsidRPr="00DB7E45" w:rsidRDefault="001E64F3" w:rsidP="0067442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30,151</w:t>
            </w:r>
          </w:p>
        </w:tc>
      </w:tr>
    </w:tbl>
    <w:p w14:paraId="76E708E0" w14:textId="55E9F3AA" w:rsidR="001E64F3" w:rsidRDefault="001E64F3" w:rsidP="001E64F3">
      <w:pPr>
        <w:pStyle w:val="Heading4"/>
      </w:pPr>
      <w:r>
        <w:t>7.1.4</w:t>
      </w:r>
      <w:r w:rsidR="00092296">
        <w:tab/>
      </w:r>
      <w:r>
        <w:t>Lease Policy</w:t>
      </w:r>
    </w:p>
    <w:p w14:paraId="3B61F179" w14:textId="4C8B8A96" w:rsidR="001E64F3" w:rsidRDefault="001E64F3" w:rsidP="001E64F3">
      <w:pPr>
        <w:pStyle w:val="BodyText"/>
      </w:pPr>
      <w:r>
        <w:t xml:space="preserve">For any new contracts entered into on or after 1 July 2019, </w:t>
      </w:r>
      <w:r w:rsidR="009B1462">
        <w:t>Court Services Victoria</w:t>
      </w:r>
      <w:r>
        <w:t xml:space="preserve"> considers whether a contract is, or contains a lease. A lease is defined as ‘a contract, or part of a contract, that conveys the right to use an asset (the underlying asset) for a period of time in exchange for consideration’. To apply this definition </w:t>
      </w:r>
      <w:r w:rsidR="009B1462">
        <w:t>Court Services Victoria</w:t>
      </w:r>
      <w:r>
        <w:t xml:space="preserve"> assesses whether the contract meets three key evaluations:</w:t>
      </w:r>
    </w:p>
    <w:p w14:paraId="6E19F00A" w14:textId="49B5EE1A" w:rsidR="001E64F3" w:rsidRDefault="001E64F3" w:rsidP="0067442B">
      <w:pPr>
        <w:pStyle w:val="ListBullet"/>
      </w:pPr>
      <w:r>
        <w:t xml:space="preserve">Whether the contract contains an identified asset, which is either explicitly identified in the contract or implicitly specified by being identified at the time the asset is made available to </w:t>
      </w:r>
      <w:r w:rsidR="009B1462">
        <w:t>Court Services Victoria</w:t>
      </w:r>
      <w:r>
        <w:t xml:space="preserve"> and for which the supplier does not have substantive substitution </w:t>
      </w:r>
      <w:proofErr w:type="gramStart"/>
      <w:r>
        <w:t>rights;</w:t>
      </w:r>
      <w:proofErr w:type="gramEnd"/>
    </w:p>
    <w:p w14:paraId="7649B1D1" w14:textId="7CBACAD1" w:rsidR="001E64F3" w:rsidRDefault="001E64F3" w:rsidP="0067442B">
      <w:pPr>
        <w:pStyle w:val="ListBullet"/>
      </w:pPr>
      <w:r>
        <w:t xml:space="preserve">Whether </w:t>
      </w:r>
      <w:r w:rsidR="009B1462">
        <w:t>Court Services Victoria</w:t>
      </w:r>
      <w:r>
        <w:t xml:space="preserve"> has the right to obtain substantially all of the economic benefits from use of the identified asset throughout the period of use, considering its rights within the defined scope of the contract and </w:t>
      </w:r>
      <w:r w:rsidR="009B1462">
        <w:t>Court Services Victoria</w:t>
      </w:r>
      <w:r>
        <w:t xml:space="preserve"> has the right to direct the use of the identified asset throughout the period of use; and</w:t>
      </w:r>
    </w:p>
    <w:p w14:paraId="448F6559" w14:textId="17D7C21F" w:rsidR="001E64F3" w:rsidRDefault="001E64F3" w:rsidP="0067442B">
      <w:pPr>
        <w:pStyle w:val="ListBullet"/>
      </w:pPr>
      <w:r>
        <w:t xml:space="preserve">Whether </w:t>
      </w:r>
      <w:r w:rsidR="009B1462">
        <w:t>Court Services Victoria</w:t>
      </w:r>
      <w:r>
        <w:t xml:space="preserve"> has the right to take decisions in respect of ‘how and for what purpose’ the asset is used throughout the period of use.</w:t>
      </w:r>
    </w:p>
    <w:p w14:paraId="02BDC58F" w14:textId="5E3253D6" w:rsidR="001E64F3" w:rsidRDefault="001E64F3" w:rsidP="001E64F3">
      <w:pPr>
        <w:pStyle w:val="BodyText"/>
      </w:pPr>
      <w:r>
        <w:t>This policy is applied to contracts entered into, or changed, on or after 1 July 2019.</w:t>
      </w:r>
    </w:p>
    <w:p w14:paraId="4A17AB3C" w14:textId="6C93C852" w:rsidR="0067442B" w:rsidRDefault="0067442B" w:rsidP="00DF32E7">
      <w:pPr>
        <w:pStyle w:val="Heading3"/>
      </w:pPr>
      <w:bookmarkStart w:id="393" w:name="_Toc62808163"/>
      <w:r w:rsidRPr="00245EA6">
        <w:t>Separation of Lease and Non-Lease Components</w:t>
      </w:r>
      <w:bookmarkEnd w:id="393"/>
    </w:p>
    <w:p w14:paraId="42C2FDD1" w14:textId="30E4A058" w:rsidR="001E64F3" w:rsidRDefault="0067442B" w:rsidP="0067442B">
      <w:pPr>
        <w:pStyle w:val="BodyText"/>
      </w:pPr>
      <w:r>
        <w:t>At inception or on reassessment of a contract that contains a lease component, the lessee is required to separate out and account separately for non-lease components within a lease contract and exclude these amounts when determining the lease liability and right-of-use asset amount.</w:t>
      </w:r>
    </w:p>
    <w:p w14:paraId="7C1E964A" w14:textId="1F7013CB" w:rsidR="0067442B" w:rsidRDefault="0067442B" w:rsidP="00DF32E7">
      <w:pPr>
        <w:pStyle w:val="Heading3"/>
      </w:pPr>
      <w:bookmarkStart w:id="394" w:name="_Toc62808164"/>
      <w:r>
        <w:t xml:space="preserve">Recognition and Measurement of Leases as a Lessee (Under AASB 16 </w:t>
      </w:r>
      <w:r w:rsidR="00DF32E7">
        <w:br/>
      </w:r>
      <w:r>
        <w:t>from 1 July 2019)</w:t>
      </w:r>
      <w:bookmarkEnd w:id="394"/>
    </w:p>
    <w:p w14:paraId="785B45FA" w14:textId="5F1BF879" w:rsidR="0067442B" w:rsidRDefault="0067442B" w:rsidP="0067442B">
      <w:pPr>
        <w:pStyle w:val="Heading4"/>
      </w:pPr>
      <w:r w:rsidRPr="00245EA6">
        <w:t>A) Lease Liability – Initial Measurement</w:t>
      </w:r>
    </w:p>
    <w:p w14:paraId="2BD53514" w14:textId="44A308C5" w:rsidR="0067442B" w:rsidRDefault="0067442B" w:rsidP="0067442B">
      <w:pPr>
        <w:pStyle w:val="BodyText"/>
      </w:pPr>
      <w:r>
        <w:t xml:space="preserve">The lease liability is initially measured at the present value of the lease payments unpaid at the commencement date, discounted using the interest rate implicit in the lease if that rate is readily determinable or </w:t>
      </w:r>
      <w:r w:rsidR="009B1462">
        <w:t>Court Services Victoria</w:t>
      </w:r>
      <w:r>
        <w:t>’s incremental borrowing rate.</w:t>
      </w:r>
    </w:p>
    <w:p w14:paraId="39DB0565" w14:textId="084EB7A9" w:rsidR="0067442B" w:rsidRDefault="0067442B" w:rsidP="0067442B">
      <w:pPr>
        <w:pStyle w:val="BodyText"/>
      </w:pPr>
      <w:r>
        <w:t>Lease payments included in the measurement of the lease liability comprise the following:</w:t>
      </w:r>
    </w:p>
    <w:p w14:paraId="73B26ABA" w14:textId="429DDCD2" w:rsidR="0067442B" w:rsidRDefault="0067442B" w:rsidP="0067442B">
      <w:pPr>
        <w:pStyle w:val="ListBullet"/>
      </w:pPr>
      <w:r>
        <w:t xml:space="preserve">fixed payments (including in-substance fixed payments) less any lease incentive </w:t>
      </w:r>
      <w:proofErr w:type="gramStart"/>
      <w:r>
        <w:t>receivable;</w:t>
      </w:r>
      <w:proofErr w:type="gramEnd"/>
    </w:p>
    <w:p w14:paraId="6DE2158F" w14:textId="77777777" w:rsidR="0067442B" w:rsidRDefault="0067442B" w:rsidP="0067442B">
      <w:pPr>
        <w:pStyle w:val="ListBullet"/>
      </w:pPr>
      <w:r>
        <w:t xml:space="preserve">variable payments based on an index or rate, initially measured using the index or rate as at the commencement </w:t>
      </w:r>
      <w:proofErr w:type="gramStart"/>
      <w:r>
        <w:t>date;</w:t>
      </w:r>
      <w:proofErr w:type="gramEnd"/>
    </w:p>
    <w:p w14:paraId="04B1B5ED" w14:textId="10A23BAB" w:rsidR="0067442B" w:rsidRDefault="0067442B" w:rsidP="0067442B">
      <w:pPr>
        <w:pStyle w:val="ListBullet"/>
      </w:pPr>
      <w:r>
        <w:t>amounts expected to be payable under a residual value guarantee; and</w:t>
      </w:r>
    </w:p>
    <w:p w14:paraId="0EE808E0" w14:textId="0F182D74" w:rsidR="0067442B" w:rsidRDefault="0067442B" w:rsidP="0067442B">
      <w:pPr>
        <w:pStyle w:val="ListBullet"/>
      </w:pPr>
      <w:r>
        <w:t>payments arising from purchase and termination options reasonably certain to be exercised.</w:t>
      </w:r>
    </w:p>
    <w:p w14:paraId="51C04929" w14:textId="47C2161C" w:rsidR="0067442B" w:rsidRDefault="0067442B" w:rsidP="0067442B">
      <w:pPr>
        <w:pStyle w:val="Heading4"/>
      </w:pPr>
      <w:r>
        <w:t>B) Lease Liability – Subsequent Measurement</w:t>
      </w:r>
    </w:p>
    <w:p w14:paraId="27D4F613" w14:textId="07F77694" w:rsidR="0067442B" w:rsidRDefault="0067442B" w:rsidP="0067442B">
      <w:pPr>
        <w:pStyle w:val="BodyText"/>
      </w:pPr>
      <w:r>
        <w:t>Subsequent to initial measurement, the liability will be reduced for payments made and increased for interest. It is remeasured to reflect any reassessment or modification, or if there are changes to in-substance fixed payments.</w:t>
      </w:r>
    </w:p>
    <w:p w14:paraId="49C3CF7A" w14:textId="79038360" w:rsidR="0067442B" w:rsidRDefault="0067442B" w:rsidP="0067442B">
      <w:pPr>
        <w:pStyle w:val="BodyText"/>
      </w:pPr>
      <w:r>
        <w:t>When the lease liability is remeasured, the corresponding adjustment is reflected in the right-of-use asset, or profit and loss if the right-of-use asset is already reduced to zero.</w:t>
      </w:r>
    </w:p>
    <w:p w14:paraId="0040F499" w14:textId="3E237E13" w:rsidR="0067442B" w:rsidRDefault="0067442B" w:rsidP="0067442B">
      <w:pPr>
        <w:pStyle w:val="Heading4"/>
      </w:pPr>
      <w:r>
        <w:t>C) Short-Term Leases and Leases of Low-value Assets</w:t>
      </w:r>
    </w:p>
    <w:p w14:paraId="1E9F29A9" w14:textId="7EA37A02" w:rsidR="0067442B" w:rsidRDefault="009B1462" w:rsidP="0067442B">
      <w:pPr>
        <w:pStyle w:val="BodyText"/>
      </w:pPr>
      <w:r>
        <w:t>Court Services Victoria</w:t>
      </w:r>
      <w:r w:rsidR="0067442B">
        <w:t xml:space="preserve"> has elected to account for short-term leases and leases of low-value assets using practical expedients. Instead of recognising a right-of-use asset and liability, the payments in relation to these are recognised as an expense in the Operating Statement on a straight-line basis over the lease term.</w:t>
      </w:r>
    </w:p>
    <w:p w14:paraId="16EE08ED" w14:textId="22D71EF6" w:rsidR="0067442B" w:rsidRDefault="0067442B" w:rsidP="0067442B">
      <w:pPr>
        <w:pStyle w:val="Heading4"/>
      </w:pPr>
      <w:r>
        <w:t>D) Presentation of Right-of-use Assets and Lease Liabilities</w:t>
      </w:r>
    </w:p>
    <w:p w14:paraId="5F920416" w14:textId="0BEB171C" w:rsidR="0067442B" w:rsidRDefault="009B1462" w:rsidP="0067442B">
      <w:pPr>
        <w:pStyle w:val="BodyText"/>
      </w:pPr>
      <w:r>
        <w:t>Court Services Victoria</w:t>
      </w:r>
      <w:r w:rsidR="0067442B">
        <w:t xml:space="preserve"> presents in the balance sheet right-of-use assets as ‘buildings at fair value’ and ‘property plant equipment’. Lease liabilities are presented as ‘borrowings’ in the balance sheet.</w:t>
      </w:r>
    </w:p>
    <w:p w14:paraId="1EB40369" w14:textId="346B1FD6" w:rsidR="0067442B" w:rsidRDefault="0067442B" w:rsidP="0067442B">
      <w:pPr>
        <w:pStyle w:val="Heading4"/>
      </w:pPr>
      <w:r>
        <w:t>E) Recognition and Measurement of Leases (Under AASB 117 until 30 June 2019)</w:t>
      </w:r>
    </w:p>
    <w:p w14:paraId="3CC85027" w14:textId="30427E08" w:rsidR="0067442B" w:rsidRDefault="0067442B" w:rsidP="0067442B">
      <w:pPr>
        <w:pStyle w:val="BodyText"/>
      </w:pPr>
      <w:r>
        <w:t>In the comparative period, leases of property, plant and equipment were classified as either finance lease or operating leases.</w:t>
      </w:r>
    </w:p>
    <w:p w14:paraId="12EEBFA9" w14:textId="04CEA963" w:rsidR="0067442B" w:rsidRDefault="009B1462" w:rsidP="0067442B">
      <w:pPr>
        <w:pStyle w:val="BodyText"/>
      </w:pPr>
      <w:r>
        <w:t>Court Services Victoria</w:t>
      </w:r>
      <w:r w:rsidR="0067442B">
        <w:t xml:space="preserve"> determined whether an arrangement was or contained a lease based on the substance of the arrangement and required an assessment of whether fulfilment of the arrangement is dependent on the use of the specific asset(s); and the arrangement conveyed a right to use the asset(s).</w:t>
      </w:r>
    </w:p>
    <w:p w14:paraId="3CD86D0F" w14:textId="7CF77A23" w:rsidR="0067442B" w:rsidRDefault="0067442B" w:rsidP="0067442B">
      <w:pPr>
        <w:pStyle w:val="BodyText"/>
      </w:pPr>
      <w:r>
        <w:t xml:space="preserve">Leases of property, plant and equipment where </w:t>
      </w:r>
      <w:r w:rsidR="009B1462">
        <w:t>Court Services Victoria</w:t>
      </w:r>
      <w:r>
        <w:t xml:space="preserve"> as a lessee had substantially all of the risks and rewards of ownership were classified as finance leases. Finance leases were initially recognised as assets and liabilities at amounts equal to the fair value of the leased property or, if lower, the present value of the minimum lease payment, each determined at the inception of the lease. The leased asset is accounted for as a non-financial physical asset and depreciated over the shorter of the estimated useful life of the asset or the term of the lease. Minimum finance lease payments were apportioned between the reduction of the outstanding lease liability and the periodic finance expense, which is calculated using the interest rate implicit in the lease and charged directly to the consolidated comprehensive operating statement.</w:t>
      </w:r>
    </w:p>
    <w:p w14:paraId="4E4D69E9" w14:textId="00D268C6" w:rsidR="001E64F3" w:rsidRDefault="0067442B" w:rsidP="0067442B">
      <w:pPr>
        <w:pStyle w:val="BodyText"/>
      </w:pPr>
      <w:r>
        <w:t xml:space="preserve">Assets held under other leases were classified as operating leases and were not recognised in </w:t>
      </w:r>
      <w:r w:rsidR="009B1462">
        <w:t>Court Services Victoria</w:t>
      </w:r>
      <w:r>
        <w:t>’s balance sheet. Operating lease payments were recognised as an operating expense in the Statement of Comprehensive Income on a straight-line basis over the lease term.</w:t>
      </w:r>
    </w:p>
    <w:p w14:paraId="29481F6E" w14:textId="46CDE7A7" w:rsidR="0067442B" w:rsidRDefault="0067442B" w:rsidP="0067442B">
      <w:pPr>
        <w:pStyle w:val="Heading4"/>
      </w:pPr>
      <w:r>
        <w:t xml:space="preserve">F) </w:t>
      </w:r>
      <w:bookmarkStart w:id="395" w:name="Note714f"/>
      <w:bookmarkEnd w:id="395"/>
      <w:r>
        <w:t>Commissioned Public Private Partnership</w:t>
      </w:r>
    </w:p>
    <w:p w14:paraId="59006967" w14:textId="52FCC168" w:rsidR="0067442B" w:rsidRDefault="0067442B" w:rsidP="0067442B">
      <w:pPr>
        <w:pStyle w:val="BodyText"/>
      </w:pPr>
      <w:r>
        <w:t xml:space="preserve">The State, through </w:t>
      </w:r>
      <w:r w:rsidR="009B1462">
        <w:t>Court Services Victoria</w:t>
      </w:r>
      <w:r>
        <w:t xml:space="preserve">, entered into a 20-year PPP with the Liberty Group Consortium Pty Ltd in June 2002 for the design, construction and maintenance of the County Court. Under the agreement, the portion of the payments to The Liberty Group Pty Ltd that relates to </w:t>
      </w:r>
      <w:r w:rsidR="009B1462">
        <w:t>Court Services Victoria</w:t>
      </w:r>
      <w:r>
        <w:t xml:space="preserve">’s right-of-use assets are accounted for as Lease Liabilities. In addition, until the end of this PPP arrangement, </w:t>
      </w:r>
      <w:r w:rsidR="009B1462">
        <w:t>Court Services Victoria</w:t>
      </w:r>
      <w:r>
        <w:t xml:space="preserve"> pays The Liberty Group Consortium Pty Ltd for the ongoing operation and maintenance of the Court (refer to the ‘public private partnerships’ component of </w:t>
      </w:r>
      <w:hyperlink w:anchor="Note74" w:history="1">
        <w:r w:rsidR="00B85F52" w:rsidRPr="00B85F52">
          <w:t>Note 7.4</w:t>
        </w:r>
      </w:hyperlink>
      <w:r>
        <w:t>, Commitments for expenditure).</w:t>
      </w:r>
    </w:p>
    <w:p w14:paraId="297F64BF" w14:textId="6DCF8DD9" w:rsidR="0067442B" w:rsidRDefault="0067442B" w:rsidP="0067442B">
      <w:pPr>
        <w:pStyle w:val="BodyText"/>
      </w:pPr>
      <w:r>
        <w:t xml:space="preserve">Prior to 2019-20, </w:t>
      </w:r>
      <w:r w:rsidR="009B1462">
        <w:t>Court Services Victoria</w:t>
      </w:r>
      <w:r>
        <w:t xml:space="preserve"> accounted for the component of periodic payments related to the design and construction or upgrading of the County Courts as a finance lease in accordance with AASB 1008 Leases which was superseded by AASB 117 Leases (“AASB 117”) and are now recognised under AASB 16. The remaining component relating to the ongoing operations and maintenance of the County Courts is accounted for as operating expenses as they are incurred in the Comprehensive Operating Statement.</w:t>
      </w:r>
    </w:p>
    <w:p w14:paraId="4C3B5B37" w14:textId="29FDBA38" w:rsidR="00413804" w:rsidRDefault="00413804" w:rsidP="00245EA6">
      <w:pPr>
        <w:pStyle w:val="Heading3"/>
      </w:pPr>
      <w:bookmarkStart w:id="396" w:name="Note72"/>
      <w:bookmarkStart w:id="397" w:name="_Toc62808165"/>
      <w:r>
        <w:t xml:space="preserve">7.2 </w:t>
      </w:r>
      <w:bookmarkEnd w:id="396"/>
      <w:r>
        <w:t>Cash Flow Information and Balances</w:t>
      </w:r>
      <w:bookmarkEnd w:id="397"/>
    </w:p>
    <w:p w14:paraId="7A49150A" w14:textId="59887BB8" w:rsidR="00413804" w:rsidRDefault="00413804" w:rsidP="00413804">
      <w:pPr>
        <w:pStyle w:val="BodyText"/>
      </w:pPr>
      <w:r>
        <w:t>Cash and deposits, including cash equivalents, comprise cash on hand and cash at bank that are held for the purpose of meeting short-term cash commitments, rather than for investment purposes, and which are readily convertible to known amounts of cash and are subject to an insignificant risk of changes in value.</w:t>
      </w:r>
    </w:p>
    <w:p w14:paraId="0D2E3115" w14:textId="0B537544" w:rsidR="001E64F3" w:rsidRDefault="00413804" w:rsidP="00413804">
      <w:pPr>
        <w:pStyle w:val="BodyText"/>
      </w:pPr>
      <w:r>
        <w:t xml:space="preserve">Due to the State’s investment policy and funding arrangements, </w:t>
      </w:r>
      <w:r w:rsidR="009B1462">
        <w:t>Court Services Victoria</w:t>
      </w:r>
      <w:r>
        <w:t xml:space="preserve"> does not hold a large cash reserve in its bank accounts. Cash received from generation of income is generally paid into the State’s bank account (‘public account’). Similarly, </w:t>
      </w:r>
      <w:r w:rsidR="009B1462">
        <w:t>Court Services Victoria</w:t>
      </w:r>
      <w:r>
        <w:t xml:space="preserve"> expenditure, including in the form of cheques drawn for the payments to its suppliers and creditors, is made via the public account. The public account remits to </w:t>
      </w:r>
      <w:r w:rsidR="009B1462">
        <w:t>Court Services Victoria</w:t>
      </w:r>
      <w:r>
        <w:t xml:space="preserve"> the cash required upon presentation of cheques by </w:t>
      </w:r>
      <w:r w:rsidR="009B1462">
        <w:t>Court Services Victoria</w:t>
      </w:r>
      <w:r>
        <w:t>’s suppliers or creditors.</w:t>
      </w:r>
    </w:p>
    <w:p w14:paraId="682AB3EF" w14:textId="78F3F67E" w:rsidR="00413804" w:rsidRDefault="00413804" w:rsidP="00413804">
      <w:pPr>
        <w:pStyle w:val="BodyText"/>
      </w:pPr>
      <w:r>
        <w:t xml:space="preserve">These funding arrangements often result in </w:t>
      </w:r>
      <w:r w:rsidR="009B1462">
        <w:t>Court Services Victoria</w:t>
      </w:r>
      <w:r>
        <w:t xml:space="preserve"> having a notional shortfall in the cash at bank required for payment of unpresented cheques at reporting date. </w:t>
      </w:r>
      <w:proofErr w:type="gramStart"/>
      <w:r>
        <w:t>At</w:t>
      </w:r>
      <w:proofErr w:type="gramEnd"/>
      <w:r>
        <w:t xml:space="preserve"> 30 June 2020, cash at bank included the amount of a notional shortfall for the payment of unpresented cheques of $0.72 million in </w:t>
      </w:r>
      <w:r w:rsidR="009B1462">
        <w:t>Court Services Victoria</w:t>
      </w:r>
      <w:r>
        <w:t xml:space="preserve"> Expenditure Account (2019: $2.78 million) and $0.27 million in the Juror Payments Account (2019: $0.26 million).</w:t>
      </w:r>
    </w:p>
    <w:p w14:paraId="45A39AC3" w14:textId="228B4706" w:rsidR="00413804" w:rsidRDefault="00413804" w:rsidP="00413804">
      <w:pPr>
        <w:pStyle w:val="BodyText"/>
      </w:pPr>
      <w:r>
        <w:t xml:space="preserve">For cash flow statement presentation purposes, cash and cash equivalents comprise the cash balance and funds held in trust, $19.89 million (2019 $17.90 million) details of which can be found at </w:t>
      </w:r>
      <w:hyperlink w:anchor="Note811" w:history="1">
        <w:r w:rsidR="00B85F52" w:rsidRPr="00B85F52">
          <w:t>Note 8.1.1</w:t>
        </w:r>
      </w:hyperlink>
      <w:r>
        <w:t>.</w:t>
      </w:r>
    </w:p>
    <w:p w14:paraId="5C488E1C" w14:textId="22BDAE27" w:rsidR="00413804" w:rsidRDefault="00413804" w:rsidP="00413804">
      <w:pPr>
        <w:pStyle w:val="Heading4"/>
      </w:pPr>
      <w:bookmarkStart w:id="398" w:name="Note721"/>
      <w:r w:rsidRPr="00245EA6">
        <w:t>7.2.1</w:t>
      </w:r>
      <w:bookmarkEnd w:id="398"/>
      <w:r w:rsidR="00092296">
        <w:tab/>
      </w:r>
      <w:r w:rsidRPr="00245EA6">
        <w:t>Reconciliation of Net Result for the Period to Cash Flow from Operating Activities</w:t>
      </w:r>
    </w:p>
    <w:tbl>
      <w:tblPr>
        <w:tblStyle w:val="AccessibleTableNumerical"/>
        <w:tblW w:w="5000" w:type="pct"/>
        <w:tblLook w:val="04E0" w:firstRow="1" w:lastRow="1" w:firstColumn="1" w:lastColumn="0" w:noHBand="0" w:noVBand="1"/>
      </w:tblPr>
      <w:tblGrid>
        <w:gridCol w:w="4992"/>
        <w:gridCol w:w="2324"/>
        <w:gridCol w:w="2326"/>
      </w:tblGrid>
      <w:tr w:rsidR="00417B1B" w:rsidRPr="0099570F" w14:paraId="6CF68096" w14:textId="77777777" w:rsidTr="004517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9" w:type="pct"/>
          </w:tcPr>
          <w:p w14:paraId="3A65EB20" w14:textId="701CCFCF" w:rsidR="00417B1B" w:rsidRPr="0099570F" w:rsidRDefault="00AC0BBF" w:rsidP="00307800">
            <w:pPr>
              <w:pStyle w:val="TableText"/>
            </w:pPr>
            <w:bookmarkStart w:id="399" w:name="ColumnTitle_76"/>
            <w:r>
              <w:t>Item</w:t>
            </w:r>
          </w:p>
        </w:tc>
        <w:tc>
          <w:tcPr>
            <w:tcW w:w="1205" w:type="pct"/>
            <w:vAlign w:val="bottom"/>
          </w:tcPr>
          <w:p w14:paraId="72FA0237" w14:textId="19CC526D" w:rsidR="00417B1B" w:rsidRPr="0099570F" w:rsidRDefault="00417B1B" w:rsidP="0045178A">
            <w:pPr>
              <w:pStyle w:val="TableText"/>
              <w:cnfStyle w:val="100000000000" w:firstRow="1" w:lastRow="0" w:firstColumn="0" w:lastColumn="0" w:oddVBand="0" w:evenVBand="0" w:oddHBand="0" w:evenHBand="0" w:firstRowFirstColumn="0" w:firstRowLastColumn="0" w:lastRowFirstColumn="0" w:lastRowLastColumn="0"/>
            </w:pPr>
            <w:r w:rsidRPr="0099570F">
              <w:t>20</w:t>
            </w:r>
            <w:r w:rsidR="00ED1164">
              <w:t>20</w:t>
            </w:r>
            <w:r w:rsidRPr="0099570F">
              <w:br/>
              <w:t>$'000</w:t>
            </w:r>
          </w:p>
        </w:tc>
        <w:tc>
          <w:tcPr>
            <w:tcW w:w="1206" w:type="pct"/>
            <w:vAlign w:val="bottom"/>
          </w:tcPr>
          <w:p w14:paraId="7C33DEC7" w14:textId="6B98F959" w:rsidR="00417B1B" w:rsidRPr="0099570F" w:rsidRDefault="00417B1B" w:rsidP="0045178A">
            <w:pPr>
              <w:pStyle w:val="TableText"/>
              <w:cnfStyle w:val="100000000000" w:firstRow="1" w:lastRow="0" w:firstColumn="0" w:lastColumn="0" w:oddVBand="0" w:evenVBand="0" w:oddHBand="0" w:evenHBand="0" w:firstRowFirstColumn="0" w:firstRowLastColumn="0" w:lastRowFirstColumn="0" w:lastRowLastColumn="0"/>
            </w:pPr>
            <w:r w:rsidRPr="0099570F">
              <w:t>201</w:t>
            </w:r>
            <w:r w:rsidR="00ED1164">
              <w:t>9</w:t>
            </w:r>
            <w:r w:rsidRPr="0099570F">
              <w:br/>
              <w:t>$'000</w:t>
            </w:r>
          </w:p>
        </w:tc>
      </w:tr>
      <w:bookmarkEnd w:id="399"/>
      <w:tr w:rsidR="00417B1B" w:rsidRPr="00DB7E45" w14:paraId="34D55D54"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47AFE3EB" w14:textId="77777777" w:rsidR="00417B1B" w:rsidRPr="00DB7E45" w:rsidRDefault="00417B1B" w:rsidP="00307800">
            <w:pPr>
              <w:pStyle w:val="TableText"/>
              <w:rPr>
                <w:rStyle w:val="Bold"/>
              </w:rPr>
            </w:pPr>
            <w:r w:rsidRPr="00DB7E45">
              <w:rPr>
                <w:rStyle w:val="Bold"/>
              </w:rPr>
              <w:t>Net result for the period</w:t>
            </w:r>
          </w:p>
        </w:tc>
        <w:tc>
          <w:tcPr>
            <w:tcW w:w="1205" w:type="pct"/>
          </w:tcPr>
          <w:p w14:paraId="41C777BA" w14:textId="6865D0A5" w:rsidR="00417B1B" w:rsidRPr="00DB7E45" w:rsidRDefault="00ED1164" w:rsidP="00307800">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3,138</w:t>
            </w:r>
          </w:p>
        </w:tc>
        <w:tc>
          <w:tcPr>
            <w:tcW w:w="1206" w:type="pct"/>
          </w:tcPr>
          <w:p w14:paraId="1C48EDBE" w14:textId="76EC6033" w:rsidR="00417B1B" w:rsidRPr="00DB7E45" w:rsidRDefault="00ED1164" w:rsidP="00307800">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(4,586)</w:t>
            </w:r>
          </w:p>
        </w:tc>
      </w:tr>
      <w:tr w:rsidR="00417B1B" w:rsidRPr="0099570F" w14:paraId="3D36F369"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786A280B" w14:textId="77777777" w:rsidR="00417B1B" w:rsidRPr="00DB7E45" w:rsidRDefault="00417B1B" w:rsidP="00307800">
            <w:pPr>
              <w:pStyle w:val="TableText"/>
              <w:rPr>
                <w:rStyle w:val="Bold"/>
              </w:rPr>
            </w:pPr>
            <w:r w:rsidRPr="00DB7E45">
              <w:rPr>
                <w:rStyle w:val="Bold"/>
              </w:rPr>
              <w:t>Non-cash movements:</w:t>
            </w:r>
          </w:p>
        </w:tc>
        <w:tc>
          <w:tcPr>
            <w:tcW w:w="1205" w:type="pct"/>
          </w:tcPr>
          <w:p w14:paraId="1B8F279B" w14:textId="1655A75F" w:rsidR="00417B1B" w:rsidRPr="0099570F" w:rsidRDefault="00AC0BBF" w:rsidP="00307800">
            <w:pPr>
              <w:pStyle w:val="TableText"/>
              <w:cnfStyle w:val="000000000000" w:firstRow="0" w:lastRow="0" w:firstColumn="0" w:lastColumn="0" w:oddVBand="0" w:evenVBand="0" w:oddHBand="0" w:evenHBand="0" w:firstRowFirstColumn="0" w:firstRowLastColumn="0" w:lastRowFirstColumn="0" w:lastRowLastColumn="0"/>
            </w:pPr>
            <w:r>
              <w:t>N/A</w:t>
            </w:r>
          </w:p>
        </w:tc>
        <w:tc>
          <w:tcPr>
            <w:tcW w:w="1206" w:type="pct"/>
          </w:tcPr>
          <w:p w14:paraId="5DEF37A7" w14:textId="6F02A6E6" w:rsidR="00417B1B" w:rsidRPr="0099570F" w:rsidRDefault="00AC0BBF" w:rsidP="0030780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99570F" w14:paraId="501B3EED"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0024D2A6" w14:textId="77777777" w:rsidR="00417B1B" w:rsidRPr="0099570F" w:rsidRDefault="00417B1B" w:rsidP="00307800">
            <w:pPr>
              <w:pStyle w:val="TableText"/>
            </w:pPr>
            <w:r w:rsidRPr="0099570F">
              <w:t>(Gain)/loss on sale or disposal of non-current assets</w:t>
            </w:r>
          </w:p>
        </w:tc>
        <w:tc>
          <w:tcPr>
            <w:tcW w:w="1205" w:type="pct"/>
          </w:tcPr>
          <w:p w14:paraId="1FB1D311" w14:textId="732E7DA8"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(346)</w:t>
            </w:r>
          </w:p>
        </w:tc>
        <w:tc>
          <w:tcPr>
            <w:tcW w:w="1206" w:type="pct"/>
          </w:tcPr>
          <w:p w14:paraId="03FB05D4" w14:textId="2063DA70"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(468)</w:t>
            </w:r>
          </w:p>
        </w:tc>
      </w:tr>
      <w:tr w:rsidR="00417B1B" w:rsidRPr="0099570F" w14:paraId="1956619D"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4049EAAE" w14:textId="77777777" w:rsidR="00417B1B" w:rsidRPr="0099570F" w:rsidRDefault="00417B1B" w:rsidP="00307800">
            <w:pPr>
              <w:pStyle w:val="TableText"/>
            </w:pPr>
            <w:r w:rsidRPr="0099570F">
              <w:t>Depreciation and amortisation of non-current assets</w:t>
            </w:r>
          </w:p>
        </w:tc>
        <w:tc>
          <w:tcPr>
            <w:tcW w:w="1205" w:type="pct"/>
          </w:tcPr>
          <w:p w14:paraId="6EBCF438" w14:textId="48CF9622"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72,923</w:t>
            </w:r>
          </w:p>
        </w:tc>
        <w:tc>
          <w:tcPr>
            <w:tcW w:w="1206" w:type="pct"/>
          </w:tcPr>
          <w:p w14:paraId="61F1EE78" w14:textId="58F85055"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62,109</w:t>
            </w:r>
          </w:p>
        </w:tc>
      </w:tr>
      <w:tr w:rsidR="00417B1B" w:rsidRPr="0099570F" w14:paraId="3F7A928B"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21EB8CB8" w14:textId="77777777" w:rsidR="00417B1B" w:rsidRPr="0099570F" w:rsidRDefault="00417B1B" w:rsidP="00307800">
            <w:pPr>
              <w:pStyle w:val="TableText"/>
            </w:pPr>
            <w:r w:rsidRPr="0099570F">
              <w:t>Allowance for doubtful debts and bad debts</w:t>
            </w:r>
          </w:p>
        </w:tc>
        <w:tc>
          <w:tcPr>
            <w:tcW w:w="1205" w:type="pct"/>
          </w:tcPr>
          <w:p w14:paraId="648229A9" w14:textId="4B8B7908"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(190)</w:t>
            </w:r>
          </w:p>
        </w:tc>
        <w:tc>
          <w:tcPr>
            <w:tcW w:w="1206" w:type="pct"/>
          </w:tcPr>
          <w:p w14:paraId="708528C9" w14:textId="48F13924"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(381)</w:t>
            </w:r>
          </w:p>
        </w:tc>
      </w:tr>
      <w:tr w:rsidR="00417B1B" w:rsidRPr="0099570F" w14:paraId="67FEF3FE"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4ED555F7" w14:textId="77777777" w:rsidR="00417B1B" w:rsidRPr="00DB7E45" w:rsidRDefault="00417B1B" w:rsidP="00307800">
            <w:pPr>
              <w:pStyle w:val="TableText"/>
              <w:rPr>
                <w:rStyle w:val="Bold"/>
              </w:rPr>
            </w:pPr>
            <w:r w:rsidRPr="00DB7E45">
              <w:rPr>
                <w:rStyle w:val="Bold"/>
              </w:rPr>
              <w:t>Movements in net assets and liabilities</w:t>
            </w:r>
          </w:p>
        </w:tc>
        <w:tc>
          <w:tcPr>
            <w:tcW w:w="1205" w:type="pct"/>
          </w:tcPr>
          <w:p w14:paraId="694FC516" w14:textId="53C9B905" w:rsidR="00417B1B" w:rsidRPr="0099570F" w:rsidRDefault="00AC0BBF" w:rsidP="00307800">
            <w:pPr>
              <w:pStyle w:val="TableText"/>
              <w:cnfStyle w:val="000000000000" w:firstRow="0" w:lastRow="0" w:firstColumn="0" w:lastColumn="0" w:oddVBand="0" w:evenVBand="0" w:oddHBand="0" w:evenHBand="0" w:firstRowFirstColumn="0" w:firstRowLastColumn="0" w:lastRowFirstColumn="0" w:lastRowLastColumn="0"/>
            </w:pPr>
            <w:r>
              <w:t>N/A</w:t>
            </w:r>
          </w:p>
        </w:tc>
        <w:tc>
          <w:tcPr>
            <w:tcW w:w="1206" w:type="pct"/>
          </w:tcPr>
          <w:p w14:paraId="3448CD76" w14:textId="7CCBCB35" w:rsidR="00417B1B" w:rsidRPr="0099570F" w:rsidRDefault="00AC0BBF" w:rsidP="0030780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99570F" w14:paraId="6D5A91F0"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3AE34618" w14:textId="77777777" w:rsidR="00417B1B" w:rsidRPr="0099570F" w:rsidRDefault="00417B1B" w:rsidP="00307800">
            <w:pPr>
              <w:pStyle w:val="TableText"/>
            </w:pPr>
            <w:r w:rsidRPr="0099570F">
              <w:t>Decrease/(increase) in receivables</w:t>
            </w:r>
          </w:p>
        </w:tc>
        <w:tc>
          <w:tcPr>
            <w:tcW w:w="1205" w:type="pct"/>
          </w:tcPr>
          <w:p w14:paraId="3C04D2FF" w14:textId="4752CD8D"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(34,903)</w:t>
            </w:r>
          </w:p>
        </w:tc>
        <w:tc>
          <w:tcPr>
            <w:tcW w:w="1206" w:type="pct"/>
          </w:tcPr>
          <w:p w14:paraId="201F5708" w14:textId="6B931B7D"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(346)</w:t>
            </w:r>
          </w:p>
        </w:tc>
      </w:tr>
      <w:tr w:rsidR="00417B1B" w:rsidRPr="0099570F" w14:paraId="05A6B426"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469DA1B1" w14:textId="77777777" w:rsidR="00417B1B" w:rsidRPr="0099570F" w:rsidRDefault="00417B1B" w:rsidP="00307800">
            <w:pPr>
              <w:pStyle w:val="TableText"/>
            </w:pPr>
            <w:r w:rsidRPr="0099570F">
              <w:t>Decrease/(increase) in prepayments</w:t>
            </w:r>
          </w:p>
        </w:tc>
        <w:tc>
          <w:tcPr>
            <w:tcW w:w="1205" w:type="pct"/>
          </w:tcPr>
          <w:p w14:paraId="2850E6BB" w14:textId="4884DE35"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(2,005)</w:t>
            </w:r>
          </w:p>
        </w:tc>
        <w:tc>
          <w:tcPr>
            <w:tcW w:w="1206" w:type="pct"/>
          </w:tcPr>
          <w:p w14:paraId="42B06F32" w14:textId="1C77E21E"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(3,517)</w:t>
            </w:r>
          </w:p>
        </w:tc>
      </w:tr>
      <w:tr w:rsidR="00417B1B" w:rsidRPr="0099570F" w14:paraId="6D79F4AE"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6759C741" w14:textId="77777777" w:rsidR="00417B1B" w:rsidRPr="0099570F" w:rsidRDefault="00417B1B" w:rsidP="00307800">
            <w:pPr>
              <w:pStyle w:val="TableText"/>
            </w:pPr>
            <w:r w:rsidRPr="0099570F">
              <w:t>Increase/(decrease) in payables</w:t>
            </w:r>
          </w:p>
        </w:tc>
        <w:tc>
          <w:tcPr>
            <w:tcW w:w="1205" w:type="pct"/>
          </w:tcPr>
          <w:p w14:paraId="7A3E0451" w14:textId="486A0790"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4,112</w:t>
            </w:r>
          </w:p>
        </w:tc>
        <w:tc>
          <w:tcPr>
            <w:tcW w:w="1206" w:type="pct"/>
          </w:tcPr>
          <w:p w14:paraId="3838935C" w14:textId="488C7F8E"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7,418</w:t>
            </w:r>
          </w:p>
        </w:tc>
      </w:tr>
      <w:tr w:rsidR="00417B1B" w:rsidRPr="0099570F" w14:paraId="34950DC8" w14:textId="77777777" w:rsidTr="00307800">
        <w:tc>
          <w:tcPr>
            <w:cnfStyle w:val="001000000000" w:firstRow="0" w:lastRow="0" w:firstColumn="1" w:lastColumn="0" w:oddVBand="0" w:evenVBand="0" w:oddHBand="0" w:evenHBand="0" w:firstRowFirstColumn="0" w:firstRowLastColumn="0" w:lastRowFirstColumn="0" w:lastRowLastColumn="0"/>
            <w:tcW w:w="2589" w:type="pct"/>
          </w:tcPr>
          <w:p w14:paraId="7AACA341" w14:textId="77777777" w:rsidR="00417B1B" w:rsidRPr="0099570F" w:rsidRDefault="00417B1B" w:rsidP="00307800">
            <w:pPr>
              <w:pStyle w:val="TableText"/>
            </w:pPr>
            <w:r w:rsidRPr="0099570F">
              <w:t>Increase/(decrease) in provisions</w:t>
            </w:r>
          </w:p>
        </w:tc>
        <w:tc>
          <w:tcPr>
            <w:tcW w:w="1205" w:type="pct"/>
          </w:tcPr>
          <w:p w14:paraId="4BFFF21E" w14:textId="2A5E8EBD"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11,220</w:t>
            </w:r>
          </w:p>
        </w:tc>
        <w:tc>
          <w:tcPr>
            <w:tcW w:w="1206" w:type="pct"/>
          </w:tcPr>
          <w:p w14:paraId="34F84C54" w14:textId="6ECFEB8F" w:rsidR="00417B1B" w:rsidRPr="0099570F" w:rsidRDefault="00ED1164" w:rsidP="00307800">
            <w:pPr>
              <w:pStyle w:val="TableText"/>
              <w:cnfStyle w:val="000000000000" w:firstRow="0" w:lastRow="0" w:firstColumn="0" w:lastColumn="0" w:oddVBand="0" w:evenVBand="0" w:oddHBand="0" w:evenHBand="0" w:firstRowFirstColumn="0" w:firstRowLastColumn="0" w:lastRowFirstColumn="0" w:lastRowLastColumn="0"/>
            </w:pPr>
            <w:r>
              <w:t>14,334</w:t>
            </w:r>
          </w:p>
        </w:tc>
      </w:tr>
      <w:tr w:rsidR="00417B1B" w:rsidRPr="00DB7E45" w14:paraId="44CBFE00" w14:textId="77777777" w:rsidTr="003078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553E6E46" w14:textId="77777777" w:rsidR="00417B1B" w:rsidRPr="00DB7E45" w:rsidRDefault="00417B1B" w:rsidP="00307800">
            <w:pPr>
              <w:pStyle w:val="TableText"/>
              <w:rPr>
                <w:rStyle w:val="Bold"/>
              </w:rPr>
            </w:pPr>
            <w:r w:rsidRPr="00DB7E45">
              <w:rPr>
                <w:rStyle w:val="Bold"/>
              </w:rPr>
              <w:t>Net cash from</w:t>
            </w:r>
            <w:proofErr w:type="gramStart"/>
            <w:r w:rsidRPr="00DB7E45">
              <w:rPr>
                <w:rStyle w:val="Bold"/>
              </w:rPr>
              <w:t>/(</w:t>
            </w:r>
            <w:proofErr w:type="gramEnd"/>
            <w:r w:rsidRPr="00DB7E45">
              <w:rPr>
                <w:rStyle w:val="Bold"/>
              </w:rPr>
              <w:t>used in) operating activities</w:t>
            </w:r>
          </w:p>
        </w:tc>
        <w:tc>
          <w:tcPr>
            <w:tcW w:w="1205" w:type="pct"/>
          </w:tcPr>
          <w:p w14:paraId="57194B3F" w14:textId="6625E9D6" w:rsidR="00417B1B" w:rsidRPr="00DB7E45" w:rsidRDefault="00ED1164" w:rsidP="00307800">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53,948</w:t>
            </w:r>
          </w:p>
        </w:tc>
        <w:tc>
          <w:tcPr>
            <w:tcW w:w="1206" w:type="pct"/>
          </w:tcPr>
          <w:p w14:paraId="0068853C" w14:textId="69F5C7C9" w:rsidR="00417B1B" w:rsidRPr="00DB7E45" w:rsidRDefault="00ED1164" w:rsidP="00307800">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74,563</w:t>
            </w:r>
          </w:p>
        </w:tc>
      </w:tr>
    </w:tbl>
    <w:p w14:paraId="2D10FF2D" w14:textId="63DEC856" w:rsidR="00417B1B" w:rsidRDefault="00245EA6" w:rsidP="00245EA6">
      <w:pPr>
        <w:pStyle w:val="BodyText"/>
      </w:pPr>
      <w:r w:rsidRPr="00677C4B">
        <w:t>2019 amounts have been restated as a result of a correction of an error (</w:t>
      </w:r>
      <w:r w:rsidR="00677C4B" w:rsidRPr="00677C4B">
        <w:t xml:space="preserve">see </w:t>
      </w:r>
      <w:hyperlink w:anchor="Note10text" w:history="1">
        <w:r w:rsidR="00677C4B" w:rsidRPr="00677C4B">
          <w:t>Note 10</w:t>
        </w:r>
      </w:hyperlink>
      <w:r w:rsidRPr="00677C4B">
        <w:t>)</w:t>
      </w:r>
    </w:p>
    <w:p w14:paraId="7A3C7E73" w14:textId="305AF90C" w:rsidR="00245EA6" w:rsidRPr="00245EA6" w:rsidRDefault="00245EA6" w:rsidP="00245EA6">
      <w:pPr>
        <w:pStyle w:val="BodyText"/>
        <w:sectPr w:rsidR="00245EA6" w:rsidRPr="00245EA6" w:rsidSect="00AC0BBF">
          <w:pgSz w:w="11910" w:h="16840" w:code="9"/>
          <w:pgMar w:top="1134" w:right="1134" w:bottom="1134" w:left="1134" w:header="567" w:footer="567" w:gutter="0"/>
          <w:cols w:space="720"/>
          <w:docGrid w:linePitch="299"/>
        </w:sectPr>
      </w:pPr>
    </w:p>
    <w:p w14:paraId="7DCC0293" w14:textId="3DBC2FAE" w:rsidR="00417B1B" w:rsidRDefault="00417B1B" w:rsidP="00417B1B">
      <w:pPr>
        <w:pStyle w:val="Heading3"/>
      </w:pPr>
      <w:bookmarkStart w:id="400" w:name="Note73"/>
      <w:bookmarkStart w:id="401" w:name="_Toc62808166"/>
      <w:r w:rsidRPr="00D25726">
        <w:t xml:space="preserve">7.3 </w:t>
      </w:r>
      <w:bookmarkEnd w:id="400"/>
      <w:r w:rsidRPr="00D25726">
        <w:t>Trust Account Balances</w:t>
      </w:r>
      <w:bookmarkEnd w:id="401"/>
    </w:p>
    <w:p w14:paraId="066A42CF" w14:textId="70CEB442" w:rsidR="003D186C" w:rsidRDefault="003D186C" w:rsidP="003D186C">
      <w:pPr>
        <w:pStyle w:val="BodyText"/>
      </w:pPr>
      <w:r>
        <w:t>Funds held in trust are quarantined for use specifically for the purposes under which each trust fund has been established and are not used for operating purposes.</w:t>
      </w:r>
    </w:p>
    <w:p w14:paraId="0BF39906" w14:textId="4C0A1197" w:rsidR="00417B1B" w:rsidRDefault="00417B1B" w:rsidP="00417B1B">
      <w:pPr>
        <w:pStyle w:val="Heading4"/>
      </w:pPr>
      <w:r w:rsidRPr="00C864CC">
        <w:t>Trust Account Ba</w:t>
      </w:r>
      <w:r w:rsidR="00DB7E45">
        <w:t>lances Relating t</w:t>
      </w:r>
      <w:r w:rsidRPr="00C864CC">
        <w:t xml:space="preserve">o Trust Accounts Controlled </w:t>
      </w:r>
      <w:r w:rsidR="00DB7E45">
        <w:t>and/o</w:t>
      </w:r>
      <w:r w:rsidRPr="00C864CC">
        <w:t>r</w:t>
      </w:r>
      <w:r w:rsidR="00D45E5B">
        <w:t xml:space="preserve"> </w:t>
      </w:r>
      <w:r w:rsidRPr="00C864CC">
        <w:t>Administered</w:t>
      </w:r>
      <w:r w:rsidR="00D45E5B">
        <w:t xml:space="preserve"> </w:t>
      </w:r>
      <w:r w:rsidR="00DB7E45">
        <w:t>b</w:t>
      </w:r>
      <w:r w:rsidRPr="00C864CC">
        <w:t>y</w:t>
      </w:r>
      <w:r w:rsidR="00D45E5B">
        <w:t xml:space="preserve"> </w:t>
      </w:r>
      <w:r w:rsidR="009B1462">
        <w:t>Court Services Victoria</w:t>
      </w:r>
    </w:p>
    <w:p w14:paraId="5D051BBF" w14:textId="54624CD2" w:rsidR="00342C4D" w:rsidRDefault="00342C4D" w:rsidP="00342C4D">
      <w:pPr>
        <w:pStyle w:val="BodyText"/>
      </w:pPr>
      <w:r w:rsidRPr="007204BF">
        <w:t>Cash and cash equivalents and investments</w:t>
      </w:r>
    </w:p>
    <w:tbl>
      <w:tblPr>
        <w:tblStyle w:val="AccessibleTableNumerical"/>
        <w:tblW w:w="5000" w:type="pct"/>
        <w:tblLook w:val="04A0" w:firstRow="1" w:lastRow="0" w:firstColumn="1" w:lastColumn="0" w:noHBand="0" w:noVBand="1"/>
      </w:tblPr>
      <w:tblGrid>
        <w:gridCol w:w="3829"/>
        <w:gridCol w:w="1472"/>
        <w:gridCol w:w="1020"/>
        <w:gridCol w:w="1227"/>
        <w:gridCol w:w="1367"/>
        <w:gridCol w:w="1434"/>
        <w:gridCol w:w="1416"/>
        <w:gridCol w:w="1419"/>
        <w:gridCol w:w="1387"/>
      </w:tblGrid>
      <w:tr w:rsidR="00DA71E9" w:rsidRPr="00DA71E9" w14:paraId="543949D3" w14:textId="77777777" w:rsidTr="006C3681">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1314" w:type="pct"/>
          </w:tcPr>
          <w:p w14:paraId="5B083E1C" w14:textId="63905A55" w:rsidR="00DA71E9" w:rsidRPr="00DA71E9" w:rsidRDefault="00DA71E9" w:rsidP="009C456B">
            <w:pPr>
              <w:pStyle w:val="TableText"/>
              <w:spacing w:line="228" w:lineRule="auto"/>
            </w:pPr>
            <w:bookmarkStart w:id="402" w:name="ColumnTitle_86117"/>
            <w:r>
              <w:t>Controlled Trusts</w:t>
            </w:r>
          </w:p>
        </w:tc>
        <w:tc>
          <w:tcPr>
            <w:tcW w:w="505" w:type="pct"/>
            <w:vAlign w:val="bottom"/>
          </w:tcPr>
          <w:p w14:paraId="66439D79" w14:textId="1148B6BF" w:rsidR="00DA71E9" w:rsidRPr="00DA71E9" w:rsidRDefault="006C3681"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t>Opening balance as at 1-Jul-19</w:t>
            </w:r>
            <w:r>
              <w:br/>
            </w:r>
            <w:r w:rsidR="00DA71E9" w:rsidRPr="00DA71E9">
              <w:t>'000</w:t>
            </w:r>
          </w:p>
        </w:tc>
        <w:tc>
          <w:tcPr>
            <w:tcW w:w="350" w:type="pct"/>
            <w:vAlign w:val="bottom"/>
          </w:tcPr>
          <w:p w14:paraId="4AFD1AF9" w14:textId="2632ACBB"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Total</w:t>
            </w:r>
            <w:r w:rsidR="006C3681">
              <w:t xml:space="preserve"> </w:t>
            </w:r>
            <w:r w:rsidRPr="00DA71E9">
              <w:t>receipts</w:t>
            </w:r>
            <w:r w:rsidRPr="00DA71E9">
              <w:br/>
              <w:t>$'000</w:t>
            </w:r>
          </w:p>
        </w:tc>
        <w:tc>
          <w:tcPr>
            <w:tcW w:w="421" w:type="pct"/>
            <w:vAlign w:val="bottom"/>
          </w:tcPr>
          <w:p w14:paraId="6B00B180" w14:textId="4105B917"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Total</w:t>
            </w:r>
            <w:r w:rsidR="006C3681">
              <w:t xml:space="preserve"> </w:t>
            </w:r>
            <w:r w:rsidRPr="00DA71E9">
              <w:t>payments</w:t>
            </w:r>
            <w:r w:rsidRPr="00DA71E9">
              <w:br/>
              <w:t>$'000</w:t>
            </w:r>
          </w:p>
        </w:tc>
        <w:tc>
          <w:tcPr>
            <w:tcW w:w="469" w:type="pct"/>
            <w:vAlign w:val="bottom"/>
          </w:tcPr>
          <w:p w14:paraId="4D3E6FAE" w14:textId="77777777"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Closing balance as at 30-Jun-20</w:t>
            </w:r>
            <w:r w:rsidRPr="00DA71E9">
              <w:br/>
              <w:t>$'000</w:t>
            </w:r>
          </w:p>
        </w:tc>
        <w:tc>
          <w:tcPr>
            <w:tcW w:w="492" w:type="pct"/>
            <w:vAlign w:val="bottom"/>
          </w:tcPr>
          <w:p w14:paraId="6F4F3256" w14:textId="77777777"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Opening balance as at 1-Jul-18</w:t>
            </w:r>
            <w:r w:rsidRPr="00DA71E9">
              <w:br/>
              <w:t>$'000</w:t>
            </w:r>
          </w:p>
        </w:tc>
        <w:tc>
          <w:tcPr>
            <w:tcW w:w="486" w:type="pct"/>
            <w:vAlign w:val="bottom"/>
          </w:tcPr>
          <w:p w14:paraId="4C4AFC10" w14:textId="2D978505"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Total</w:t>
            </w:r>
            <w:r w:rsidR="006C3681">
              <w:t xml:space="preserve"> </w:t>
            </w:r>
            <w:r w:rsidR="006C3681">
              <w:br/>
            </w:r>
            <w:r w:rsidRPr="00DA71E9">
              <w:t>receipts</w:t>
            </w:r>
            <w:r w:rsidRPr="00DA71E9">
              <w:br/>
              <w:t>$'000</w:t>
            </w:r>
          </w:p>
        </w:tc>
        <w:tc>
          <w:tcPr>
            <w:tcW w:w="487" w:type="pct"/>
            <w:vAlign w:val="bottom"/>
          </w:tcPr>
          <w:p w14:paraId="73B4BE29" w14:textId="467AB4C4"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Total</w:t>
            </w:r>
            <w:r w:rsidR="006C3681">
              <w:t xml:space="preserve"> </w:t>
            </w:r>
            <w:r w:rsidRPr="00DA71E9">
              <w:t>payments</w:t>
            </w:r>
            <w:r w:rsidRPr="00DA71E9">
              <w:br/>
              <w:t>$'000</w:t>
            </w:r>
          </w:p>
        </w:tc>
        <w:tc>
          <w:tcPr>
            <w:tcW w:w="476" w:type="pct"/>
            <w:vAlign w:val="bottom"/>
          </w:tcPr>
          <w:p w14:paraId="77F02E9E" w14:textId="39998238" w:rsidR="00DA71E9" w:rsidRPr="00DA71E9" w:rsidRDefault="00DA71E9" w:rsidP="009C456B">
            <w:pPr>
              <w:pStyle w:val="TableText"/>
              <w:spacing w:line="228" w:lineRule="auto"/>
              <w:cnfStyle w:val="100000000000" w:firstRow="1" w:lastRow="0" w:firstColumn="0" w:lastColumn="0" w:oddVBand="0" w:evenVBand="0" w:oddHBand="0" w:evenHBand="0" w:firstRowFirstColumn="0" w:firstRowLastColumn="0" w:lastRowFirstColumn="0" w:lastRowLastColumn="0"/>
            </w:pPr>
            <w:r w:rsidRPr="00DA71E9">
              <w:t>Closing balance</w:t>
            </w:r>
            <w:r w:rsidR="006C3681">
              <w:t xml:space="preserve"> </w:t>
            </w:r>
            <w:r w:rsidRPr="00DA71E9">
              <w:t>as at 30-Jun-19</w:t>
            </w:r>
            <w:r w:rsidRPr="00DA71E9">
              <w:br/>
              <w:t>$'000</w:t>
            </w:r>
          </w:p>
        </w:tc>
      </w:tr>
      <w:bookmarkEnd w:id="402"/>
      <w:tr w:rsidR="00930A29" w:rsidRPr="00AC0ED0" w14:paraId="633EDCEB" w14:textId="77777777" w:rsidTr="006C3681">
        <w:trPr>
          <w:trHeight w:val="306"/>
        </w:trPr>
        <w:tc>
          <w:tcPr>
            <w:cnfStyle w:val="001000000000" w:firstRow="0" w:lastRow="0" w:firstColumn="1" w:lastColumn="0" w:oddVBand="0" w:evenVBand="0" w:oddHBand="0" w:evenHBand="0" w:firstRowFirstColumn="0" w:firstRowLastColumn="0" w:lastRowFirstColumn="0" w:lastRowLastColumn="0"/>
            <w:tcW w:w="1314" w:type="pct"/>
          </w:tcPr>
          <w:p w14:paraId="334653EF" w14:textId="77777777" w:rsidR="00930A29" w:rsidRPr="006C3681" w:rsidRDefault="00930A29" w:rsidP="009C456B">
            <w:pPr>
              <w:pStyle w:val="TableText"/>
              <w:spacing w:line="228" w:lineRule="auto"/>
              <w:rPr>
                <w:rStyle w:val="Bold"/>
              </w:rPr>
            </w:pPr>
            <w:r w:rsidRPr="006C3681">
              <w:rPr>
                <w:rStyle w:val="Bold"/>
              </w:rPr>
              <w:t>Treasury Trust Fund</w:t>
            </w:r>
          </w:p>
        </w:tc>
        <w:tc>
          <w:tcPr>
            <w:tcW w:w="505" w:type="pct"/>
          </w:tcPr>
          <w:p w14:paraId="2C0ED94F" w14:textId="21F65664"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t>N/A</w:t>
            </w:r>
          </w:p>
        </w:tc>
        <w:tc>
          <w:tcPr>
            <w:tcW w:w="350" w:type="pct"/>
          </w:tcPr>
          <w:p w14:paraId="50B36B3D" w14:textId="576B47E3"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21" w:type="pct"/>
          </w:tcPr>
          <w:p w14:paraId="0E25DE34" w14:textId="49B1B79D"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69" w:type="pct"/>
          </w:tcPr>
          <w:p w14:paraId="2D1EB020" w14:textId="41DDEE4F"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92" w:type="pct"/>
          </w:tcPr>
          <w:p w14:paraId="0D578FD9" w14:textId="7A0C123B"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86" w:type="pct"/>
          </w:tcPr>
          <w:p w14:paraId="73363199" w14:textId="3C2450DA"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87" w:type="pct"/>
          </w:tcPr>
          <w:p w14:paraId="0119BC83" w14:textId="583E98EE"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c>
          <w:tcPr>
            <w:tcW w:w="476" w:type="pct"/>
          </w:tcPr>
          <w:p w14:paraId="53619FDE" w14:textId="747DC537" w:rsidR="00930A29" w:rsidRPr="00AC0ED0" w:rsidRDefault="00930A2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D95599">
              <w:t>N/A</w:t>
            </w:r>
          </w:p>
        </w:tc>
      </w:tr>
      <w:tr w:rsidR="00AE4DC2" w:rsidRPr="00AC0ED0" w14:paraId="58C79BB5"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DADFD6E" w14:textId="77777777" w:rsidR="00AE4DC2" w:rsidRPr="00AC0ED0" w:rsidRDefault="00AE4DC2" w:rsidP="009C456B">
            <w:pPr>
              <w:pStyle w:val="TableTextBullet1"/>
            </w:pPr>
            <w:r w:rsidRPr="00AC0ED0">
              <w:t>Financial Management Act 1994 (No. 18/1994), Part 4</w:t>
            </w:r>
          </w:p>
        </w:tc>
        <w:tc>
          <w:tcPr>
            <w:tcW w:w="505" w:type="pct"/>
          </w:tcPr>
          <w:p w14:paraId="16E071E7" w14:textId="42FEE76B"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350" w:type="pct"/>
          </w:tcPr>
          <w:p w14:paraId="3B7E7805" w14:textId="4800D10B"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21" w:type="pct"/>
          </w:tcPr>
          <w:p w14:paraId="7DCF2E21" w14:textId="62607AFF"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69" w:type="pct"/>
          </w:tcPr>
          <w:p w14:paraId="2A9620FF" w14:textId="2A5B66F9"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92" w:type="pct"/>
          </w:tcPr>
          <w:p w14:paraId="5C7C9A38" w14:textId="0F8A2C3C"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86" w:type="pct"/>
          </w:tcPr>
          <w:p w14:paraId="33355067" w14:textId="42CFC21A"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87" w:type="pct"/>
          </w:tcPr>
          <w:p w14:paraId="1F5A5523" w14:textId="37564426"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c>
          <w:tcPr>
            <w:tcW w:w="476" w:type="pct"/>
          </w:tcPr>
          <w:p w14:paraId="6780F1C2" w14:textId="03814471"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887EA9">
              <w:t>N/A</w:t>
            </w:r>
          </w:p>
        </w:tc>
      </w:tr>
      <w:tr w:rsidR="00DA71E9" w:rsidRPr="00AC0ED0" w14:paraId="4C50DBAF"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CAD4EBC" w14:textId="0B2E19C4" w:rsidR="00DA71E9" w:rsidRPr="00AC0ED0" w:rsidRDefault="00DA71E9" w:rsidP="009C456B">
            <w:pPr>
              <w:pStyle w:val="TableTextBullet1"/>
            </w:pPr>
            <w:r w:rsidRPr="00AC0ED0">
              <w:t xml:space="preserve">Working account for </w:t>
            </w:r>
            <w:r w:rsidR="009B1462">
              <w:t>Court Services Victoria</w:t>
            </w:r>
          </w:p>
        </w:tc>
        <w:tc>
          <w:tcPr>
            <w:tcW w:w="505" w:type="pct"/>
          </w:tcPr>
          <w:p w14:paraId="1FB2764A"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12,661</w:t>
            </w:r>
          </w:p>
        </w:tc>
        <w:tc>
          <w:tcPr>
            <w:tcW w:w="350" w:type="pct"/>
          </w:tcPr>
          <w:p w14:paraId="1C70AF41"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491</w:t>
            </w:r>
          </w:p>
        </w:tc>
        <w:tc>
          <w:tcPr>
            <w:tcW w:w="421" w:type="pct"/>
          </w:tcPr>
          <w:p w14:paraId="2A001733"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1,829</w:t>
            </w:r>
          </w:p>
        </w:tc>
        <w:tc>
          <w:tcPr>
            <w:tcW w:w="469" w:type="pct"/>
          </w:tcPr>
          <w:p w14:paraId="2B29380E"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11,323</w:t>
            </w:r>
          </w:p>
        </w:tc>
        <w:tc>
          <w:tcPr>
            <w:tcW w:w="492" w:type="pct"/>
          </w:tcPr>
          <w:p w14:paraId="67582BC1"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10,403</w:t>
            </w:r>
          </w:p>
        </w:tc>
        <w:tc>
          <w:tcPr>
            <w:tcW w:w="486" w:type="pct"/>
          </w:tcPr>
          <w:p w14:paraId="3C936D92"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2,888</w:t>
            </w:r>
          </w:p>
        </w:tc>
        <w:tc>
          <w:tcPr>
            <w:tcW w:w="487" w:type="pct"/>
          </w:tcPr>
          <w:p w14:paraId="7EDF4770"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629</w:t>
            </w:r>
          </w:p>
        </w:tc>
        <w:tc>
          <w:tcPr>
            <w:tcW w:w="476" w:type="pct"/>
          </w:tcPr>
          <w:p w14:paraId="56C485E1"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12,661</w:t>
            </w:r>
          </w:p>
        </w:tc>
      </w:tr>
      <w:tr w:rsidR="00AE4DC2" w:rsidRPr="00AC0ED0" w14:paraId="23BBECEC"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5508A556" w14:textId="77777777" w:rsidR="00AE4DC2" w:rsidRPr="006C3681" w:rsidRDefault="00AE4DC2" w:rsidP="009C456B">
            <w:pPr>
              <w:pStyle w:val="TableText"/>
              <w:spacing w:line="228" w:lineRule="auto"/>
              <w:rPr>
                <w:rStyle w:val="Bold"/>
              </w:rPr>
            </w:pPr>
            <w:r w:rsidRPr="006C3681">
              <w:rPr>
                <w:rStyle w:val="Bold"/>
              </w:rPr>
              <w:t>Vehicle Lease Trust Account</w:t>
            </w:r>
          </w:p>
        </w:tc>
        <w:tc>
          <w:tcPr>
            <w:tcW w:w="505" w:type="pct"/>
          </w:tcPr>
          <w:p w14:paraId="47BBA923" w14:textId="6BFD4227"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350" w:type="pct"/>
          </w:tcPr>
          <w:p w14:paraId="055475D7" w14:textId="3C4912D9"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21" w:type="pct"/>
          </w:tcPr>
          <w:p w14:paraId="14396F95" w14:textId="68A7098A"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69" w:type="pct"/>
          </w:tcPr>
          <w:p w14:paraId="43405A7D" w14:textId="264BE613"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92" w:type="pct"/>
          </w:tcPr>
          <w:p w14:paraId="16DC4AB3" w14:textId="78BA0A2D"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86" w:type="pct"/>
          </w:tcPr>
          <w:p w14:paraId="1C2A6DFA" w14:textId="766C3032"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87" w:type="pct"/>
          </w:tcPr>
          <w:p w14:paraId="22C9C519" w14:textId="2374E26C"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76" w:type="pct"/>
          </w:tcPr>
          <w:p w14:paraId="319B092E" w14:textId="000DAA0F"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r>
      <w:tr w:rsidR="00AE4DC2" w:rsidRPr="00AC0ED0" w14:paraId="2F32858A"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B7CF0F3" w14:textId="77777777" w:rsidR="00AE4DC2" w:rsidRPr="00AC0ED0" w:rsidRDefault="00AE4DC2" w:rsidP="009C456B">
            <w:pPr>
              <w:pStyle w:val="TableTextBullet1"/>
            </w:pPr>
            <w:r w:rsidRPr="00AC0ED0">
              <w:t>Financial Management Act 1994 (No. 18/1994), Part 4</w:t>
            </w:r>
          </w:p>
        </w:tc>
        <w:tc>
          <w:tcPr>
            <w:tcW w:w="505" w:type="pct"/>
          </w:tcPr>
          <w:p w14:paraId="0334849B" w14:textId="6DDFC302"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350" w:type="pct"/>
          </w:tcPr>
          <w:p w14:paraId="10CFD832" w14:textId="5A64D0B1"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21" w:type="pct"/>
          </w:tcPr>
          <w:p w14:paraId="10A5BE40" w14:textId="6B25DAE8"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69" w:type="pct"/>
          </w:tcPr>
          <w:p w14:paraId="74970ADE" w14:textId="48C6410A"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92" w:type="pct"/>
          </w:tcPr>
          <w:p w14:paraId="6188CFFF" w14:textId="14254F9F"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86" w:type="pct"/>
          </w:tcPr>
          <w:p w14:paraId="58A05276" w14:textId="2F81D92A"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87" w:type="pct"/>
          </w:tcPr>
          <w:p w14:paraId="19885721" w14:textId="561F0B9F"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c>
          <w:tcPr>
            <w:tcW w:w="476" w:type="pct"/>
          </w:tcPr>
          <w:p w14:paraId="1E8353CC" w14:textId="2741A604"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995822">
              <w:t>N/A</w:t>
            </w:r>
          </w:p>
        </w:tc>
      </w:tr>
      <w:tr w:rsidR="00DA71E9" w:rsidRPr="00AC0ED0" w14:paraId="56E9C029"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4039BD19" w14:textId="77777777" w:rsidR="00DA71E9" w:rsidRPr="00AC0ED0" w:rsidRDefault="00DA71E9" w:rsidP="009C456B">
            <w:pPr>
              <w:pStyle w:val="TableTextBullet1"/>
            </w:pPr>
            <w:r w:rsidRPr="00AC0ED0">
              <w:t xml:space="preserve">Working account for the sale of </w:t>
            </w:r>
            <w:proofErr w:type="spellStart"/>
            <w:r w:rsidRPr="00AC0ED0">
              <w:t>VicFleet</w:t>
            </w:r>
            <w:proofErr w:type="spellEnd"/>
            <w:r w:rsidRPr="00AC0ED0">
              <w:t xml:space="preserve"> motor vehicles</w:t>
            </w:r>
          </w:p>
        </w:tc>
        <w:tc>
          <w:tcPr>
            <w:tcW w:w="505" w:type="pct"/>
          </w:tcPr>
          <w:p w14:paraId="02184A3E"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113</w:t>
            </w:r>
          </w:p>
        </w:tc>
        <w:tc>
          <w:tcPr>
            <w:tcW w:w="350" w:type="pct"/>
          </w:tcPr>
          <w:p w14:paraId="78E4DE0C"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405</w:t>
            </w:r>
          </w:p>
        </w:tc>
        <w:tc>
          <w:tcPr>
            <w:tcW w:w="421" w:type="pct"/>
          </w:tcPr>
          <w:p w14:paraId="7F277508"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441</w:t>
            </w:r>
          </w:p>
        </w:tc>
        <w:tc>
          <w:tcPr>
            <w:tcW w:w="469" w:type="pct"/>
          </w:tcPr>
          <w:p w14:paraId="4F5ACE92"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77</w:t>
            </w:r>
          </w:p>
        </w:tc>
        <w:tc>
          <w:tcPr>
            <w:tcW w:w="492" w:type="pct"/>
          </w:tcPr>
          <w:p w14:paraId="69B3954C"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49</w:t>
            </w:r>
          </w:p>
        </w:tc>
        <w:tc>
          <w:tcPr>
            <w:tcW w:w="486" w:type="pct"/>
          </w:tcPr>
          <w:p w14:paraId="297371C8"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590</w:t>
            </w:r>
          </w:p>
        </w:tc>
        <w:tc>
          <w:tcPr>
            <w:tcW w:w="487" w:type="pct"/>
          </w:tcPr>
          <w:p w14:paraId="4CE0D215"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526</w:t>
            </w:r>
          </w:p>
        </w:tc>
        <w:tc>
          <w:tcPr>
            <w:tcW w:w="476" w:type="pct"/>
          </w:tcPr>
          <w:p w14:paraId="67E853F5"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113</w:t>
            </w:r>
          </w:p>
        </w:tc>
      </w:tr>
      <w:tr w:rsidR="00AE4DC2" w:rsidRPr="00AC0ED0" w14:paraId="74AECFA7"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607DBCC9" w14:textId="77777777" w:rsidR="00AE4DC2" w:rsidRPr="006C3681" w:rsidRDefault="00AE4DC2" w:rsidP="009C456B">
            <w:pPr>
              <w:pStyle w:val="TableText"/>
              <w:spacing w:line="228" w:lineRule="auto"/>
              <w:rPr>
                <w:rStyle w:val="Bold"/>
              </w:rPr>
            </w:pPr>
            <w:r w:rsidRPr="006C3681">
              <w:rPr>
                <w:rStyle w:val="Bold"/>
              </w:rPr>
              <w:t>Victorian Civil and Administrative Tribunal Trust Account</w:t>
            </w:r>
          </w:p>
        </w:tc>
        <w:tc>
          <w:tcPr>
            <w:tcW w:w="505" w:type="pct"/>
          </w:tcPr>
          <w:p w14:paraId="52C04755" w14:textId="23288043"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350" w:type="pct"/>
          </w:tcPr>
          <w:p w14:paraId="357D5954" w14:textId="55C055F7"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21" w:type="pct"/>
          </w:tcPr>
          <w:p w14:paraId="24D8B001" w14:textId="21E88C2B"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69" w:type="pct"/>
          </w:tcPr>
          <w:p w14:paraId="0F3CCD7D" w14:textId="0EB96820"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92" w:type="pct"/>
          </w:tcPr>
          <w:p w14:paraId="2AA3E497" w14:textId="1113D3F8"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86" w:type="pct"/>
          </w:tcPr>
          <w:p w14:paraId="6C8546D3" w14:textId="5A51B320"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87" w:type="pct"/>
          </w:tcPr>
          <w:p w14:paraId="4FFB01EA" w14:textId="590CCEFC"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76" w:type="pct"/>
          </w:tcPr>
          <w:p w14:paraId="6B85522F" w14:textId="137FD127"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r>
      <w:tr w:rsidR="00AE4DC2" w:rsidRPr="00AC0ED0" w14:paraId="05212A86"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1614029" w14:textId="77777777" w:rsidR="00AE4DC2" w:rsidRPr="00AC0ED0" w:rsidRDefault="00AE4DC2" w:rsidP="009C456B">
            <w:pPr>
              <w:pStyle w:val="TableTextBullet1"/>
            </w:pPr>
            <w:r w:rsidRPr="00AC0ED0">
              <w:t>Financial Management Act 1994 (No. 18/1994), Part 4</w:t>
            </w:r>
          </w:p>
        </w:tc>
        <w:tc>
          <w:tcPr>
            <w:tcW w:w="505" w:type="pct"/>
          </w:tcPr>
          <w:p w14:paraId="3AE766E5" w14:textId="63CD4AED"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350" w:type="pct"/>
          </w:tcPr>
          <w:p w14:paraId="5A633EB9" w14:textId="4EAEC5D6"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21" w:type="pct"/>
          </w:tcPr>
          <w:p w14:paraId="2C6A2FC0" w14:textId="715616E6"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69" w:type="pct"/>
          </w:tcPr>
          <w:p w14:paraId="7AEB682A" w14:textId="79DC3CC2"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92" w:type="pct"/>
          </w:tcPr>
          <w:p w14:paraId="34080646" w14:textId="40B77D60"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86" w:type="pct"/>
          </w:tcPr>
          <w:p w14:paraId="32E589EA" w14:textId="0B51B802"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87" w:type="pct"/>
          </w:tcPr>
          <w:p w14:paraId="2AE8B1B9" w14:textId="5B6D8478"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c>
          <w:tcPr>
            <w:tcW w:w="476" w:type="pct"/>
          </w:tcPr>
          <w:p w14:paraId="3BF6C645" w14:textId="29878BAD" w:rsidR="00AE4DC2" w:rsidRPr="00AC0ED0" w:rsidRDefault="00AE4DC2"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057E16">
              <w:t>N/A</w:t>
            </w:r>
          </w:p>
        </w:tc>
      </w:tr>
      <w:tr w:rsidR="00DA71E9" w:rsidRPr="00AC0ED0" w14:paraId="4817FF0F" w14:textId="77777777" w:rsidTr="006C3681">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646907E8" w14:textId="77777777" w:rsidR="00DA71E9" w:rsidRPr="00930A29" w:rsidRDefault="00DA71E9" w:rsidP="009C456B">
            <w:pPr>
              <w:pStyle w:val="TableTextBullet1"/>
            </w:pPr>
            <w:r w:rsidRPr="00930A29">
              <w:t>Working account for the Owners Corporation, Domestic Building and Residential Tenancies disputes.</w:t>
            </w:r>
          </w:p>
        </w:tc>
        <w:tc>
          <w:tcPr>
            <w:tcW w:w="505" w:type="pct"/>
          </w:tcPr>
          <w:p w14:paraId="2C613616"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2,949</w:t>
            </w:r>
          </w:p>
        </w:tc>
        <w:tc>
          <w:tcPr>
            <w:tcW w:w="350" w:type="pct"/>
          </w:tcPr>
          <w:p w14:paraId="2864A590"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20,749</w:t>
            </w:r>
          </w:p>
        </w:tc>
        <w:tc>
          <w:tcPr>
            <w:tcW w:w="421" w:type="pct"/>
          </w:tcPr>
          <w:p w14:paraId="3830484D"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19,284</w:t>
            </w:r>
          </w:p>
        </w:tc>
        <w:tc>
          <w:tcPr>
            <w:tcW w:w="469" w:type="pct"/>
          </w:tcPr>
          <w:p w14:paraId="0943E4D9"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4,414</w:t>
            </w:r>
          </w:p>
        </w:tc>
        <w:tc>
          <w:tcPr>
            <w:tcW w:w="492" w:type="pct"/>
          </w:tcPr>
          <w:p w14:paraId="0CAF0186"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2,547</w:t>
            </w:r>
          </w:p>
        </w:tc>
        <w:tc>
          <w:tcPr>
            <w:tcW w:w="486" w:type="pct"/>
          </w:tcPr>
          <w:p w14:paraId="30DA16FF"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19,480</w:t>
            </w:r>
          </w:p>
        </w:tc>
        <w:tc>
          <w:tcPr>
            <w:tcW w:w="487" w:type="pct"/>
          </w:tcPr>
          <w:p w14:paraId="39B0F9A5"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19,077</w:t>
            </w:r>
          </w:p>
        </w:tc>
        <w:tc>
          <w:tcPr>
            <w:tcW w:w="476" w:type="pct"/>
          </w:tcPr>
          <w:p w14:paraId="556613F2"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2,949</w:t>
            </w:r>
          </w:p>
        </w:tc>
      </w:tr>
      <w:tr w:rsidR="00DA71E9" w:rsidRPr="00AC0ED0" w14:paraId="610F613A" w14:textId="77777777" w:rsidTr="00F1511A">
        <w:trPr>
          <w:trHeight w:val="60"/>
        </w:trPr>
        <w:tc>
          <w:tcPr>
            <w:cnfStyle w:val="001000000000" w:firstRow="0" w:lastRow="0" w:firstColumn="1" w:lastColumn="0" w:oddVBand="0" w:evenVBand="0" w:oddHBand="0" w:evenHBand="0" w:firstRowFirstColumn="0" w:firstRowLastColumn="0" w:lastRowFirstColumn="0" w:lastRowLastColumn="0"/>
            <w:tcW w:w="1314" w:type="pct"/>
            <w:tcBorders>
              <w:bottom w:val="single" w:sz="4" w:space="0" w:color="auto"/>
            </w:tcBorders>
          </w:tcPr>
          <w:p w14:paraId="5BA0BB9D" w14:textId="77777777" w:rsidR="00DA71E9" w:rsidRPr="006C3681" w:rsidRDefault="00DA71E9" w:rsidP="009C456B">
            <w:pPr>
              <w:pStyle w:val="TableText"/>
              <w:spacing w:line="228" w:lineRule="auto"/>
              <w:rPr>
                <w:rStyle w:val="Bold"/>
              </w:rPr>
            </w:pPr>
            <w:r w:rsidRPr="006C3681">
              <w:rPr>
                <w:rStyle w:val="Bold"/>
              </w:rPr>
              <w:t>Inter-Departmental Transfer Fund</w:t>
            </w:r>
          </w:p>
        </w:tc>
        <w:tc>
          <w:tcPr>
            <w:tcW w:w="505" w:type="pct"/>
            <w:tcBorders>
              <w:bottom w:val="single" w:sz="4" w:space="0" w:color="auto"/>
            </w:tcBorders>
          </w:tcPr>
          <w:p w14:paraId="404A55B8"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5,206</w:t>
            </w:r>
          </w:p>
        </w:tc>
        <w:tc>
          <w:tcPr>
            <w:tcW w:w="350" w:type="pct"/>
            <w:tcBorders>
              <w:bottom w:val="single" w:sz="4" w:space="0" w:color="auto"/>
            </w:tcBorders>
          </w:tcPr>
          <w:p w14:paraId="7EC74BF5"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4,377</w:t>
            </w:r>
          </w:p>
        </w:tc>
        <w:tc>
          <w:tcPr>
            <w:tcW w:w="421" w:type="pct"/>
            <w:tcBorders>
              <w:bottom w:val="single" w:sz="4" w:space="0" w:color="auto"/>
            </w:tcBorders>
          </w:tcPr>
          <w:p w14:paraId="3EB9E739"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4,223</w:t>
            </w:r>
          </w:p>
        </w:tc>
        <w:tc>
          <w:tcPr>
            <w:tcW w:w="469" w:type="pct"/>
            <w:tcBorders>
              <w:bottom w:val="single" w:sz="4" w:space="0" w:color="auto"/>
            </w:tcBorders>
          </w:tcPr>
          <w:p w14:paraId="74272339"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5,361</w:t>
            </w:r>
          </w:p>
        </w:tc>
        <w:tc>
          <w:tcPr>
            <w:tcW w:w="492" w:type="pct"/>
            <w:tcBorders>
              <w:bottom w:val="single" w:sz="4" w:space="0" w:color="auto"/>
            </w:tcBorders>
          </w:tcPr>
          <w:p w14:paraId="1C7F3420"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1,556</w:t>
            </w:r>
          </w:p>
        </w:tc>
        <w:tc>
          <w:tcPr>
            <w:tcW w:w="486" w:type="pct"/>
            <w:tcBorders>
              <w:bottom w:val="single" w:sz="4" w:space="0" w:color="auto"/>
            </w:tcBorders>
          </w:tcPr>
          <w:p w14:paraId="56FF7130"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5,797</w:t>
            </w:r>
          </w:p>
        </w:tc>
        <w:tc>
          <w:tcPr>
            <w:tcW w:w="487" w:type="pct"/>
            <w:tcBorders>
              <w:bottom w:val="single" w:sz="4" w:space="0" w:color="auto"/>
            </w:tcBorders>
          </w:tcPr>
          <w:p w14:paraId="20A615CE"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2,147</w:t>
            </w:r>
          </w:p>
        </w:tc>
        <w:tc>
          <w:tcPr>
            <w:tcW w:w="476" w:type="pct"/>
            <w:tcBorders>
              <w:bottom w:val="single" w:sz="4" w:space="0" w:color="auto"/>
            </w:tcBorders>
          </w:tcPr>
          <w:p w14:paraId="1E9F51BC" w14:textId="77777777" w:rsidR="00DA71E9" w:rsidRPr="00AC0ED0"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pPr>
            <w:r w:rsidRPr="00AC0ED0">
              <w:t>5,206</w:t>
            </w:r>
          </w:p>
        </w:tc>
      </w:tr>
      <w:tr w:rsidR="00DA71E9" w:rsidRPr="006C3681" w14:paraId="21C3B3C3" w14:textId="77777777" w:rsidTr="00F1511A">
        <w:trPr>
          <w:trHeight w:val="285"/>
        </w:trPr>
        <w:tc>
          <w:tcPr>
            <w:cnfStyle w:val="001000000000" w:firstRow="0" w:lastRow="0" w:firstColumn="1" w:lastColumn="0" w:oddVBand="0" w:evenVBand="0" w:oddHBand="0" w:evenHBand="0" w:firstRowFirstColumn="0" w:firstRowLastColumn="0" w:lastRowFirstColumn="0" w:lastRowLastColumn="0"/>
            <w:tcW w:w="1314" w:type="pct"/>
            <w:tcBorders>
              <w:top w:val="single" w:sz="4" w:space="0" w:color="auto"/>
              <w:bottom w:val="single" w:sz="4" w:space="0" w:color="auto"/>
            </w:tcBorders>
          </w:tcPr>
          <w:p w14:paraId="2611D64C" w14:textId="77777777" w:rsidR="00DA71E9" w:rsidRPr="006C3681" w:rsidRDefault="00DA71E9" w:rsidP="009C456B">
            <w:pPr>
              <w:pStyle w:val="TableText"/>
              <w:spacing w:line="228" w:lineRule="auto"/>
              <w:rPr>
                <w:rStyle w:val="Bold"/>
              </w:rPr>
            </w:pPr>
            <w:r w:rsidRPr="006C3681">
              <w:rPr>
                <w:rStyle w:val="Bold"/>
              </w:rPr>
              <w:t>Total controlled trusts</w:t>
            </w:r>
          </w:p>
        </w:tc>
        <w:tc>
          <w:tcPr>
            <w:tcW w:w="505" w:type="pct"/>
            <w:tcBorders>
              <w:top w:val="single" w:sz="4" w:space="0" w:color="auto"/>
              <w:bottom w:val="single" w:sz="4" w:space="0" w:color="auto"/>
            </w:tcBorders>
          </w:tcPr>
          <w:p w14:paraId="1556EE7D"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20,930</w:t>
            </w:r>
          </w:p>
        </w:tc>
        <w:tc>
          <w:tcPr>
            <w:tcW w:w="350" w:type="pct"/>
            <w:tcBorders>
              <w:top w:val="single" w:sz="4" w:space="0" w:color="auto"/>
              <w:bottom w:val="single" w:sz="4" w:space="0" w:color="auto"/>
            </w:tcBorders>
          </w:tcPr>
          <w:p w14:paraId="4307F2D3"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 xml:space="preserve">26,021 </w:t>
            </w:r>
          </w:p>
        </w:tc>
        <w:tc>
          <w:tcPr>
            <w:tcW w:w="421" w:type="pct"/>
            <w:tcBorders>
              <w:top w:val="single" w:sz="4" w:space="0" w:color="auto"/>
              <w:bottom w:val="single" w:sz="4" w:space="0" w:color="auto"/>
            </w:tcBorders>
          </w:tcPr>
          <w:p w14:paraId="22FB5216"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 xml:space="preserve">25,776 </w:t>
            </w:r>
          </w:p>
        </w:tc>
        <w:tc>
          <w:tcPr>
            <w:tcW w:w="469" w:type="pct"/>
            <w:tcBorders>
              <w:top w:val="single" w:sz="4" w:space="0" w:color="auto"/>
              <w:bottom w:val="single" w:sz="4" w:space="0" w:color="auto"/>
            </w:tcBorders>
          </w:tcPr>
          <w:p w14:paraId="00B151C1"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21,175</w:t>
            </w:r>
          </w:p>
        </w:tc>
        <w:tc>
          <w:tcPr>
            <w:tcW w:w="492" w:type="pct"/>
            <w:tcBorders>
              <w:top w:val="single" w:sz="4" w:space="0" w:color="auto"/>
              <w:bottom w:val="single" w:sz="4" w:space="0" w:color="auto"/>
            </w:tcBorders>
          </w:tcPr>
          <w:p w14:paraId="2D99FBA8"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14,554</w:t>
            </w:r>
          </w:p>
        </w:tc>
        <w:tc>
          <w:tcPr>
            <w:tcW w:w="486" w:type="pct"/>
            <w:tcBorders>
              <w:top w:val="single" w:sz="4" w:space="0" w:color="auto"/>
              <w:bottom w:val="single" w:sz="4" w:space="0" w:color="auto"/>
            </w:tcBorders>
          </w:tcPr>
          <w:p w14:paraId="07582BC3"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28,755</w:t>
            </w:r>
          </w:p>
        </w:tc>
        <w:tc>
          <w:tcPr>
            <w:tcW w:w="487" w:type="pct"/>
            <w:tcBorders>
              <w:top w:val="single" w:sz="4" w:space="0" w:color="auto"/>
              <w:bottom w:val="single" w:sz="4" w:space="0" w:color="auto"/>
            </w:tcBorders>
          </w:tcPr>
          <w:p w14:paraId="5C937AA5"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22,379</w:t>
            </w:r>
          </w:p>
        </w:tc>
        <w:tc>
          <w:tcPr>
            <w:tcW w:w="476" w:type="pct"/>
            <w:tcBorders>
              <w:top w:val="single" w:sz="4" w:space="0" w:color="auto"/>
              <w:bottom w:val="single" w:sz="4" w:space="0" w:color="auto"/>
            </w:tcBorders>
          </w:tcPr>
          <w:p w14:paraId="20D4E0E0" w14:textId="77777777" w:rsidR="00DA71E9" w:rsidRPr="006C3681" w:rsidRDefault="00DA71E9" w:rsidP="009C456B">
            <w:pPr>
              <w:pStyle w:val="TableText"/>
              <w:spacing w:line="228" w:lineRule="auto"/>
              <w:cnfStyle w:val="000000000000" w:firstRow="0" w:lastRow="0" w:firstColumn="0" w:lastColumn="0" w:oddVBand="0" w:evenVBand="0" w:oddHBand="0" w:evenHBand="0" w:firstRowFirstColumn="0" w:firstRowLastColumn="0" w:lastRowFirstColumn="0" w:lastRowLastColumn="0"/>
              <w:rPr>
                <w:rStyle w:val="Bold"/>
              </w:rPr>
            </w:pPr>
            <w:r w:rsidRPr="006C3681">
              <w:rPr>
                <w:rStyle w:val="Bold"/>
              </w:rPr>
              <w:t>20,930</w:t>
            </w:r>
          </w:p>
        </w:tc>
      </w:tr>
    </w:tbl>
    <w:p w14:paraId="300190BC" w14:textId="2B5B22C0" w:rsidR="007204BF" w:rsidRPr="00E93F72" w:rsidRDefault="006C3681" w:rsidP="00E93F72">
      <w:pPr>
        <w:pStyle w:val="NotesNumberedList"/>
        <w:numPr>
          <w:ilvl w:val="0"/>
          <w:numId w:val="45"/>
        </w:numPr>
      </w:pPr>
      <w:bookmarkStart w:id="403" w:name="Note73note1"/>
      <w:bookmarkEnd w:id="403"/>
      <w:r w:rsidRPr="00E93F72">
        <w:t>Prior year comparatives for Inter-Departmental Transfer Fund restated to more accurately reflect total receipts and total payments.</w:t>
      </w:r>
    </w:p>
    <w:tbl>
      <w:tblPr>
        <w:tblStyle w:val="AccessibleTableNumerical"/>
        <w:tblW w:w="5000" w:type="pct"/>
        <w:tblLook w:val="04A0" w:firstRow="1" w:lastRow="0" w:firstColumn="1" w:lastColumn="0" w:noHBand="0" w:noVBand="1"/>
      </w:tblPr>
      <w:tblGrid>
        <w:gridCol w:w="3830"/>
        <w:gridCol w:w="1556"/>
        <w:gridCol w:w="854"/>
        <w:gridCol w:w="1276"/>
        <w:gridCol w:w="1486"/>
        <w:gridCol w:w="1349"/>
        <w:gridCol w:w="1437"/>
        <w:gridCol w:w="1393"/>
        <w:gridCol w:w="1390"/>
      </w:tblGrid>
      <w:tr w:rsidR="006C3681" w:rsidRPr="004274C1" w14:paraId="68C45F6D" w14:textId="77777777" w:rsidTr="00930A29">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1314" w:type="pct"/>
          </w:tcPr>
          <w:p w14:paraId="273400C3" w14:textId="2095E064" w:rsidR="006C3681" w:rsidRPr="004274C1" w:rsidRDefault="006C3681" w:rsidP="006C3681">
            <w:pPr>
              <w:pStyle w:val="TableText"/>
            </w:pPr>
            <w:bookmarkStart w:id="404" w:name="ColumnTitle_87117"/>
            <w:r>
              <w:t>Administered Trusts</w:t>
            </w:r>
          </w:p>
        </w:tc>
        <w:tc>
          <w:tcPr>
            <w:tcW w:w="534" w:type="pct"/>
            <w:vAlign w:val="bottom"/>
          </w:tcPr>
          <w:p w14:paraId="110E12FB" w14:textId="0D126950"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Opening balance as at </w:t>
            </w:r>
            <w:r w:rsidR="00930A29">
              <w:br/>
            </w:r>
            <w:r w:rsidRPr="004274C1">
              <w:t>1-Jul-19</w:t>
            </w:r>
            <w:r w:rsidRPr="004274C1">
              <w:br/>
              <w:t>$'000</w:t>
            </w:r>
          </w:p>
        </w:tc>
        <w:tc>
          <w:tcPr>
            <w:tcW w:w="293" w:type="pct"/>
            <w:vAlign w:val="bottom"/>
          </w:tcPr>
          <w:p w14:paraId="63FAEE5D"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Total</w:t>
            </w:r>
            <w:r w:rsidRPr="004274C1">
              <w:br/>
              <w:t>receipts</w:t>
            </w:r>
            <w:r w:rsidRPr="004274C1">
              <w:br/>
              <w:t>$'000</w:t>
            </w:r>
          </w:p>
        </w:tc>
        <w:tc>
          <w:tcPr>
            <w:tcW w:w="438" w:type="pct"/>
            <w:vAlign w:val="bottom"/>
          </w:tcPr>
          <w:p w14:paraId="2C97550E"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Total</w:t>
            </w:r>
            <w:r w:rsidRPr="004274C1">
              <w:br/>
              <w:t>payments</w:t>
            </w:r>
            <w:r w:rsidRPr="004274C1">
              <w:br/>
              <w:t>$'000</w:t>
            </w:r>
          </w:p>
        </w:tc>
        <w:tc>
          <w:tcPr>
            <w:tcW w:w="510" w:type="pct"/>
            <w:vAlign w:val="bottom"/>
          </w:tcPr>
          <w:p w14:paraId="4D98EE3A"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Closing balance as at 30-Jun-20</w:t>
            </w:r>
            <w:r w:rsidRPr="004274C1">
              <w:br/>
              <w:t>$'000</w:t>
            </w:r>
          </w:p>
        </w:tc>
        <w:tc>
          <w:tcPr>
            <w:tcW w:w="463" w:type="pct"/>
            <w:vAlign w:val="bottom"/>
          </w:tcPr>
          <w:p w14:paraId="7EF813B6"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Opening balance as at 1-Jul-18</w:t>
            </w:r>
            <w:r w:rsidRPr="004274C1">
              <w:br/>
              <w:t>$'000</w:t>
            </w:r>
          </w:p>
        </w:tc>
        <w:tc>
          <w:tcPr>
            <w:tcW w:w="493" w:type="pct"/>
            <w:vAlign w:val="bottom"/>
          </w:tcPr>
          <w:p w14:paraId="0E193BDC"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Total</w:t>
            </w:r>
            <w:r w:rsidRPr="004274C1">
              <w:br/>
              <w:t>receipts</w:t>
            </w:r>
            <w:r w:rsidRPr="004274C1">
              <w:br/>
              <w:t>$'000</w:t>
            </w:r>
          </w:p>
        </w:tc>
        <w:tc>
          <w:tcPr>
            <w:tcW w:w="478" w:type="pct"/>
            <w:vAlign w:val="bottom"/>
          </w:tcPr>
          <w:p w14:paraId="791A1B72" w14:textId="77777777"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Total</w:t>
            </w:r>
            <w:r w:rsidRPr="004274C1">
              <w:br/>
              <w:t>payments</w:t>
            </w:r>
            <w:r w:rsidRPr="004274C1">
              <w:br/>
              <w:t>$'000</w:t>
            </w:r>
          </w:p>
        </w:tc>
        <w:tc>
          <w:tcPr>
            <w:tcW w:w="477" w:type="pct"/>
            <w:vAlign w:val="bottom"/>
          </w:tcPr>
          <w:p w14:paraId="799BCAEA" w14:textId="383DE178" w:rsidR="006C3681" w:rsidRPr="004274C1" w:rsidRDefault="006C3681" w:rsidP="006C3681">
            <w:pPr>
              <w:pStyle w:val="TableText"/>
              <w:cnfStyle w:val="100000000000" w:firstRow="1" w:lastRow="0" w:firstColumn="0" w:lastColumn="0" w:oddVBand="0" w:evenVBand="0" w:oddHBand="0" w:evenHBand="0" w:firstRowFirstColumn="0" w:firstRowLastColumn="0" w:lastRowFirstColumn="0" w:lastRowLastColumn="0"/>
            </w:pPr>
            <w:r w:rsidRPr="004274C1">
              <w:t>Closing balance</w:t>
            </w:r>
            <w:r w:rsidR="00930A29">
              <w:t xml:space="preserve"> </w:t>
            </w:r>
            <w:r w:rsidRPr="004274C1">
              <w:t>as at 30-Jun-19</w:t>
            </w:r>
            <w:r w:rsidRPr="004274C1">
              <w:br/>
              <w:t>$'000</w:t>
            </w:r>
          </w:p>
        </w:tc>
      </w:tr>
      <w:bookmarkEnd w:id="404"/>
      <w:tr w:rsidR="00AE4DC2" w:rsidRPr="004274C1" w14:paraId="1740EBFA"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4C9B0D68" w14:textId="77777777" w:rsidR="00AE4DC2" w:rsidRPr="003D7CF4" w:rsidRDefault="00AE4DC2" w:rsidP="00AE4DC2">
            <w:pPr>
              <w:pStyle w:val="TableText"/>
              <w:rPr>
                <w:rStyle w:val="Bold"/>
              </w:rPr>
            </w:pPr>
            <w:proofErr w:type="spellStart"/>
            <w:r w:rsidRPr="003D7CF4">
              <w:rPr>
                <w:rStyle w:val="Bold"/>
              </w:rPr>
              <w:t>Courtlink</w:t>
            </w:r>
            <w:proofErr w:type="spellEnd"/>
            <w:r w:rsidRPr="003D7CF4">
              <w:rPr>
                <w:rStyle w:val="Bold"/>
              </w:rPr>
              <w:t xml:space="preserve"> Trust Account</w:t>
            </w:r>
          </w:p>
        </w:tc>
        <w:tc>
          <w:tcPr>
            <w:tcW w:w="534" w:type="pct"/>
          </w:tcPr>
          <w:p w14:paraId="735E3F19" w14:textId="1426103E"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293" w:type="pct"/>
          </w:tcPr>
          <w:p w14:paraId="01A786A4" w14:textId="5C687A7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38" w:type="pct"/>
          </w:tcPr>
          <w:p w14:paraId="12E4EC11" w14:textId="342D672B"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510" w:type="pct"/>
          </w:tcPr>
          <w:p w14:paraId="1EF4B37E" w14:textId="5AA4657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63" w:type="pct"/>
          </w:tcPr>
          <w:p w14:paraId="2C9698CE" w14:textId="3659D7B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93" w:type="pct"/>
          </w:tcPr>
          <w:p w14:paraId="2870DADF" w14:textId="594698CA"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78" w:type="pct"/>
          </w:tcPr>
          <w:p w14:paraId="0C897428" w14:textId="30179B51"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77" w:type="pct"/>
          </w:tcPr>
          <w:p w14:paraId="1039DF87" w14:textId="25D96388"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r>
      <w:tr w:rsidR="00AE4DC2" w:rsidRPr="004274C1" w14:paraId="494562C2"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30A9968F" w14:textId="77777777" w:rsidR="00AE4DC2" w:rsidRPr="004274C1" w:rsidRDefault="00AE4DC2" w:rsidP="003D7CF4">
            <w:pPr>
              <w:pStyle w:val="TableTextBullet1"/>
            </w:pPr>
            <w:r w:rsidRPr="00E93F72">
              <w:rPr>
                <w:rStyle w:val="Italics"/>
              </w:rPr>
              <w:t>Financial Management Act 1994</w:t>
            </w:r>
            <w:r w:rsidRPr="004274C1">
              <w:t xml:space="preserve"> (No. 18/1994), Part 4</w:t>
            </w:r>
          </w:p>
        </w:tc>
        <w:tc>
          <w:tcPr>
            <w:tcW w:w="534" w:type="pct"/>
          </w:tcPr>
          <w:p w14:paraId="7501C363" w14:textId="1349E84D"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293" w:type="pct"/>
          </w:tcPr>
          <w:p w14:paraId="5FB1AC31" w14:textId="2F3038C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38" w:type="pct"/>
          </w:tcPr>
          <w:p w14:paraId="3E27BE20" w14:textId="4CDB9C7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510" w:type="pct"/>
          </w:tcPr>
          <w:p w14:paraId="740CF695" w14:textId="6FD5458B"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63" w:type="pct"/>
          </w:tcPr>
          <w:p w14:paraId="305CAC6A" w14:textId="2FB5442C"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93" w:type="pct"/>
          </w:tcPr>
          <w:p w14:paraId="6E4F22C4" w14:textId="0460535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78" w:type="pct"/>
          </w:tcPr>
          <w:p w14:paraId="6CF5A53F" w14:textId="14AE2D3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c>
          <w:tcPr>
            <w:tcW w:w="477" w:type="pct"/>
          </w:tcPr>
          <w:p w14:paraId="26D15F65" w14:textId="1FCC250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8B5E66">
              <w:t>N/A</w:t>
            </w:r>
          </w:p>
        </w:tc>
      </w:tr>
      <w:tr w:rsidR="006C3681" w:rsidRPr="004274C1" w14:paraId="080765FE"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05EA87BE" w14:textId="37AC33CB" w:rsidR="006C3681" w:rsidRPr="004274C1" w:rsidRDefault="006C3681" w:rsidP="003D7CF4">
            <w:pPr>
              <w:pStyle w:val="TableTextBullet1"/>
            </w:pPr>
            <w:r w:rsidRPr="004274C1">
              <w:t>Working account for the Magistrates' Courts court orders</w:t>
            </w:r>
            <w:hyperlink w:anchor="Note73note2" w:history="1">
              <w:r w:rsidR="00E93F72" w:rsidRPr="00E93F72">
                <w:rPr>
                  <w:vertAlign w:val="superscript"/>
                </w:rPr>
                <w:t>(1)</w:t>
              </w:r>
            </w:hyperlink>
          </w:p>
        </w:tc>
        <w:tc>
          <w:tcPr>
            <w:tcW w:w="534" w:type="pct"/>
          </w:tcPr>
          <w:p w14:paraId="116640A5"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187</w:t>
            </w:r>
          </w:p>
        </w:tc>
        <w:tc>
          <w:tcPr>
            <w:tcW w:w="293" w:type="pct"/>
          </w:tcPr>
          <w:p w14:paraId="1ACAAB6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9,138 </w:t>
            </w:r>
          </w:p>
        </w:tc>
        <w:tc>
          <w:tcPr>
            <w:tcW w:w="438" w:type="pct"/>
          </w:tcPr>
          <w:p w14:paraId="6C1E1708"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9,823 </w:t>
            </w:r>
          </w:p>
        </w:tc>
        <w:tc>
          <w:tcPr>
            <w:tcW w:w="510" w:type="pct"/>
          </w:tcPr>
          <w:p w14:paraId="4DC2C15D"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(498)</w:t>
            </w:r>
          </w:p>
        </w:tc>
        <w:tc>
          <w:tcPr>
            <w:tcW w:w="463" w:type="pct"/>
          </w:tcPr>
          <w:p w14:paraId="4380F8D5"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11</w:t>
            </w:r>
          </w:p>
        </w:tc>
        <w:tc>
          <w:tcPr>
            <w:tcW w:w="493" w:type="pct"/>
          </w:tcPr>
          <w:p w14:paraId="45D6DA5F"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11,605</w:t>
            </w:r>
          </w:p>
        </w:tc>
        <w:tc>
          <w:tcPr>
            <w:tcW w:w="478" w:type="pct"/>
          </w:tcPr>
          <w:p w14:paraId="5E8443EE"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11,428</w:t>
            </w:r>
          </w:p>
        </w:tc>
        <w:tc>
          <w:tcPr>
            <w:tcW w:w="477" w:type="pct"/>
          </w:tcPr>
          <w:p w14:paraId="132EDE0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187</w:t>
            </w:r>
          </w:p>
        </w:tc>
      </w:tr>
      <w:tr w:rsidR="00AE4DC2" w:rsidRPr="004274C1" w14:paraId="29470BFD"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1EE07966" w14:textId="77777777" w:rsidR="00AE4DC2" w:rsidRPr="003D7CF4" w:rsidRDefault="00AE4DC2" w:rsidP="00AE4DC2">
            <w:pPr>
              <w:pStyle w:val="TableText"/>
              <w:rPr>
                <w:rStyle w:val="Bold"/>
              </w:rPr>
            </w:pPr>
            <w:r w:rsidRPr="003D7CF4">
              <w:rPr>
                <w:rStyle w:val="Bold"/>
              </w:rPr>
              <w:t>Suspense Account</w:t>
            </w:r>
          </w:p>
        </w:tc>
        <w:tc>
          <w:tcPr>
            <w:tcW w:w="534" w:type="pct"/>
          </w:tcPr>
          <w:p w14:paraId="249DF368" w14:textId="46BB145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293" w:type="pct"/>
          </w:tcPr>
          <w:p w14:paraId="5A8F9CD8" w14:textId="4A06D69B"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38" w:type="pct"/>
          </w:tcPr>
          <w:p w14:paraId="5280EFEC" w14:textId="265F7A8A"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510" w:type="pct"/>
          </w:tcPr>
          <w:p w14:paraId="6C293EF4" w14:textId="138461DE"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63" w:type="pct"/>
          </w:tcPr>
          <w:p w14:paraId="0560F893" w14:textId="3A9504A2"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93" w:type="pct"/>
          </w:tcPr>
          <w:p w14:paraId="742CE276" w14:textId="7ACAEB49"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78" w:type="pct"/>
          </w:tcPr>
          <w:p w14:paraId="78F8B882" w14:textId="0F0CEC4C"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77" w:type="pct"/>
          </w:tcPr>
          <w:p w14:paraId="78CB45F0" w14:textId="7417B61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r>
      <w:tr w:rsidR="00AE4DC2" w:rsidRPr="004274C1" w14:paraId="73ED508E"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25A3AFDF" w14:textId="77777777" w:rsidR="00AE4DC2" w:rsidRPr="004274C1" w:rsidRDefault="00AE4DC2" w:rsidP="003D7CF4">
            <w:pPr>
              <w:pStyle w:val="TableTextBullet1"/>
            </w:pPr>
            <w:r w:rsidRPr="00E93F72">
              <w:rPr>
                <w:rStyle w:val="Italics"/>
              </w:rPr>
              <w:t>Financial Management Act 1994</w:t>
            </w:r>
            <w:r w:rsidRPr="004274C1">
              <w:t xml:space="preserve"> (No. 18/1994), Part 4</w:t>
            </w:r>
          </w:p>
        </w:tc>
        <w:tc>
          <w:tcPr>
            <w:tcW w:w="534" w:type="pct"/>
          </w:tcPr>
          <w:p w14:paraId="139EB204" w14:textId="1207A30D"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293" w:type="pct"/>
          </w:tcPr>
          <w:p w14:paraId="4A1FF92D" w14:textId="0363CA95"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38" w:type="pct"/>
          </w:tcPr>
          <w:p w14:paraId="47A71641" w14:textId="37ECD3C1"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510" w:type="pct"/>
          </w:tcPr>
          <w:p w14:paraId="52D26455" w14:textId="58AB317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63" w:type="pct"/>
          </w:tcPr>
          <w:p w14:paraId="6C5FE638" w14:textId="01DF9E5C"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93" w:type="pct"/>
          </w:tcPr>
          <w:p w14:paraId="360FEE47" w14:textId="55B154BE"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78" w:type="pct"/>
          </w:tcPr>
          <w:p w14:paraId="1C34DE0E" w14:textId="7DD1C8F7"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c>
          <w:tcPr>
            <w:tcW w:w="477" w:type="pct"/>
          </w:tcPr>
          <w:p w14:paraId="333784C5" w14:textId="4CB2AFFB"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F4B9A">
              <w:t>N/A</w:t>
            </w:r>
          </w:p>
        </w:tc>
      </w:tr>
      <w:tr w:rsidR="006C3681" w:rsidRPr="004274C1" w14:paraId="119B1A20"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238535D" w14:textId="2CA2C854" w:rsidR="006C3681" w:rsidRPr="004274C1" w:rsidRDefault="006C3681" w:rsidP="003D7CF4">
            <w:pPr>
              <w:pStyle w:val="TableTextBullet1"/>
            </w:pPr>
            <w:r w:rsidRPr="004274C1">
              <w:t xml:space="preserve">Working account for </w:t>
            </w:r>
            <w:r w:rsidR="009B1462">
              <w:t>Court Services Victoria</w:t>
            </w:r>
          </w:p>
        </w:tc>
        <w:tc>
          <w:tcPr>
            <w:tcW w:w="534" w:type="pct"/>
          </w:tcPr>
          <w:p w14:paraId="75E319AF"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588</w:t>
            </w:r>
          </w:p>
        </w:tc>
        <w:tc>
          <w:tcPr>
            <w:tcW w:w="293" w:type="pct"/>
          </w:tcPr>
          <w:p w14:paraId="245D3501"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0 </w:t>
            </w:r>
          </w:p>
        </w:tc>
        <w:tc>
          <w:tcPr>
            <w:tcW w:w="438" w:type="pct"/>
          </w:tcPr>
          <w:p w14:paraId="26C72688"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(17)</w:t>
            </w:r>
          </w:p>
        </w:tc>
        <w:tc>
          <w:tcPr>
            <w:tcW w:w="510" w:type="pct"/>
          </w:tcPr>
          <w:p w14:paraId="334AE1A1"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605</w:t>
            </w:r>
          </w:p>
        </w:tc>
        <w:tc>
          <w:tcPr>
            <w:tcW w:w="463" w:type="pct"/>
          </w:tcPr>
          <w:p w14:paraId="5ABE996E"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466</w:t>
            </w:r>
          </w:p>
        </w:tc>
        <w:tc>
          <w:tcPr>
            <w:tcW w:w="493" w:type="pct"/>
          </w:tcPr>
          <w:p w14:paraId="5D10F6C9"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27</w:t>
            </w:r>
          </w:p>
        </w:tc>
        <w:tc>
          <w:tcPr>
            <w:tcW w:w="478" w:type="pct"/>
          </w:tcPr>
          <w:p w14:paraId="6ED87773"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(96)</w:t>
            </w:r>
          </w:p>
        </w:tc>
        <w:tc>
          <w:tcPr>
            <w:tcW w:w="477" w:type="pct"/>
          </w:tcPr>
          <w:p w14:paraId="016B6F57"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588</w:t>
            </w:r>
          </w:p>
        </w:tc>
      </w:tr>
      <w:tr w:rsidR="00AE4DC2" w:rsidRPr="004274C1" w14:paraId="2E75B490"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0645F5FA" w14:textId="77777777" w:rsidR="00AE4DC2" w:rsidRPr="003D7CF4" w:rsidRDefault="00AE4DC2" w:rsidP="00AE4DC2">
            <w:pPr>
              <w:pStyle w:val="TableText"/>
              <w:rPr>
                <w:rStyle w:val="Bold"/>
              </w:rPr>
            </w:pPr>
            <w:r w:rsidRPr="003D7CF4">
              <w:rPr>
                <w:rStyle w:val="Bold"/>
              </w:rPr>
              <w:t>Public Service Commuter Club</w:t>
            </w:r>
          </w:p>
        </w:tc>
        <w:tc>
          <w:tcPr>
            <w:tcW w:w="534" w:type="pct"/>
          </w:tcPr>
          <w:p w14:paraId="44FA2736" w14:textId="4DF887AC"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293" w:type="pct"/>
          </w:tcPr>
          <w:p w14:paraId="4BBF2B54" w14:textId="241B1962"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38" w:type="pct"/>
          </w:tcPr>
          <w:p w14:paraId="7FEE1C77" w14:textId="07BAFA12"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510" w:type="pct"/>
          </w:tcPr>
          <w:p w14:paraId="271C2D44" w14:textId="59103B4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63" w:type="pct"/>
          </w:tcPr>
          <w:p w14:paraId="7F0153CE" w14:textId="0BF6DDC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93" w:type="pct"/>
          </w:tcPr>
          <w:p w14:paraId="70F8F853" w14:textId="3FEFE13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78" w:type="pct"/>
          </w:tcPr>
          <w:p w14:paraId="1A5B76F9" w14:textId="2DC2B11D"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77" w:type="pct"/>
          </w:tcPr>
          <w:p w14:paraId="41EFFACF" w14:textId="37D49199"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r>
      <w:tr w:rsidR="00AE4DC2" w:rsidRPr="004274C1" w14:paraId="393235B5"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749CB839" w14:textId="77777777" w:rsidR="00AE4DC2" w:rsidRPr="004274C1" w:rsidRDefault="00AE4DC2" w:rsidP="003D7CF4">
            <w:pPr>
              <w:pStyle w:val="TableTextBullet1"/>
            </w:pPr>
            <w:r w:rsidRPr="00E93F72">
              <w:rPr>
                <w:rStyle w:val="Italics"/>
              </w:rPr>
              <w:t>Financial Management Act</w:t>
            </w:r>
            <w:r w:rsidRPr="004274C1">
              <w:t xml:space="preserve"> 1994 (No. 18/1994), Part 4</w:t>
            </w:r>
          </w:p>
        </w:tc>
        <w:tc>
          <w:tcPr>
            <w:tcW w:w="534" w:type="pct"/>
          </w:tcPr>
          <w:p w14:paraId="3B546096" w14:textId="5279C22D"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293" w:type="pct"/>
          </w:tcPr>
          <w:p w14:paraId="2F0A3A54" w14:textId="3EA980B2"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38" w:type="pct"/>
          </w:tcPr>
          <w:p w14:paraId="366C6835" w14:textId="2B182A01"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510" w:type="pct"/>
          </w:tcPr>
          <w:p w14:paraId="602AB97B" w14:textId="5EC02275"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63" w:type="pct"/>
          </w:tcPr>
          <w:p w14:paraId="621A889C" w14:textId="18A653F7"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93" w:type="pct"/>
          </w:tcPr>
          <w:p w14:paraId="2EF7BC36" w14:textId="709F63C0"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78" w:type="pct"/>
          </w:tcPr>
          <w:p w14:paraId="70FC40E6" w14:textId="211182D3"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c>
          <w:tcPr>
            <w:tcW w:w="477" w:type="pct"/>
          </w:tcPr>
          <w:p w14:paraId="1852BD3B" w14:textId="70E27637"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9C0E13">
              <w:t>N/A</w:t>
            </w:r>
          </w:p>
        </w:tc>
      </w:tr>
      <w:tr w:rsidR="006C3681" w:rsidRPr="004274C1" w14:paraId="0DEC3475"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56434036" w14:textId="48B8A0A1" w:rsidR="006C3681" w:rsidRPr="004274C1" w:rsidRDefault="006C3681" w:rsidP="003D7CF4">
            <w:pPr>
              <w:pStyle w:val="TableTextBullet1"/>
            </w:pPr>
            <w:r w:rsidRPr="004274C1">
              <w:t>Working account for the Public Service Commuter Club</w:t>
            </w:r>
            <w:hyperlink w:anchor="Note73note3" w:history="1">
              <w:r w:rsidR="00E93F72" w:rsidRPr="00E93F72">
                <w:rPr>
                  <w:vertAlign w:val="superscript"/>
                </w:rPr>
                <w:t>(2)</w:t>
              </w:r>
            </w:hyperlink>
          </w:p>
        </w:tc>
        <w:tc>
          <w:tcPr>
            <w:tcW w:w="534" w:type="pct"/>
          </w:tcPr>
          <w:p w14:paraId="6D03413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(401)</w:t>
            </w:r>
          </w:p>
        </w:tc>
        <w:tc>
          <w:tcPr>
            <w:tcW w:w="293" w:type="pct"/>
          </w:tcPr>
          <w:p w14:paraId="30E8CC05"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1,011 </w:t>
            </w:r>
          </w:p>
        </w:tc>
        <w:tc>
          <w:tcPr>
            <w:tcW w:w="438" w:type="pct"/>
          </w:tcPr>
          <w:p w14:paraId="6DE79FC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894 </w:t>
            </w:r>
          </w:p>
        </w:tc>
        <w:tc>
          <w:tcPr>
            <w:tcW w:w="510" w:type="pct"/>
          </w:tcPr>
          <w:p w14:paraId="39E66DDB"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(284)</w:t>
            </w:r>
          </w:p>
        </w:tc>
        <w:tc>
          <w:tcPr>
            <w:tcW w:w="463" w:type="pct"/>
          </w:tcPr>
          <w:p w14:paraId="58114C6A"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(372)</w:t>
            </w:r>
          </w:p>
        </w:tc>
        <w:tc>
          <w:tcPr>
            <w:tcW w:w="493" w:type="pct"/>
          </w:tcPr>
          <w:p w14:paraId="2AAD60E4"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985</w:t>
            </w:r>
          </w:p>
        </w:tc>
        <w:tc>
          <w:tcPr>
            <w:tcW w:w="478" w:type="pct"/>
          </w:tcPr>
          <w:p w14:paraId="586AD142"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1,014</w:t>
            </w:r>
          </w:p>
        </w:tc>
        <w:tc>
          <w:tcPr>
            <w:tcW w:w="477" w:type="pct"/>
          </w:tcPr>
          <w:p w14:paraId="14EAC74B"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(401)</w:t>
            </w:r>
          </w:p>
        </w:tc>
      </w:tr>
      <w:tr w:rsidR="00AE4DC2" w:rsidRPr="004274C1" w14:paraId="309043F8"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39A5266D" w14:textId="77777777" w:rsidR="00AE4DC2" w:rsidRPr="003D7CF4" w:rsidRDefault="00AE4DC2" w:rsidP="00AE4DC2">
            <w:pPr>
              <w:pStyle w:val="TableText"/>
              <w:rPr>
                <w:rStyle w:val="Bold"/>
              </w:rPr>
            </w:pPr>
            <w:r w:rsidRPr="003D7CF4">
              <w:rPr>
                <w:rStyle w:val="Bold"/>
              </w:rPr>
              <w:t>Revenue Suspense</w:t>
            </w:r>
          </w:p>
        </w:tc>
        <w:tc>
          <w:tcPr>
            <w:tcW w:w="534" w:type="pct"/>
          </w:tcPr>
          <w:p w14:paraId="0FBFE6BD" w14:textId="08A1D7C9"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293" w:type="pct"/>
          </w:tcPr>
          <w:p w14:paraId="50038A8B" w14:textId="7F4562B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38" w:type="pct"/>
          </w:tcPr>
          <w:p w14:paraId="32E6E4F1" w14:textId="391A8E4A"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510" w:type="pct"/>
          </w:tcPr>
          <w:p w14:paraId="48AB5E54" w14:textId="64D0C5DE"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63" w:type="pct"/>
          </w:tcPr>
          <w:p w14:paraId="714EA50A" w14:textId="18D2730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93" w:type="pct"/>
          </w:tcPr>
          <w:p w14:paraId="711E5961" w14:textId="1DBBF586"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78" w:type="pct"/>
          </w:tcPr>
          <w:p w14:paraId="3457DC0B" w14:textId="3D339D47"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77" w:type="pct"/>
          </w:tcPr>
          <w:p w14:paraId="29A16AF0" w14:textId="3B545EE5"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r>
      <w:tr w:rsidR="00AE4DC2" w:rsidRPr="004274C1" w14:paraId="5036CF97"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298C3F36" w14:textId="77777777" w:rsidR="00AE4DC2" w:rsidRPr="004274C1" w:rsidRDefault="00AE4DC2" w:rsidP="003D7CF4">
            <w:pPr>
              <w:pStyle w:val="TableTextBullet1"/>
            </w:pPr>
            <w:r w:rsidRPr="00E93F72">
              <w:rPr>
                <w:rStyle w:val="Italics"/>
              </w:rPr>
              <w:t>Financial Management Act 1994</w:t>
            </w:r>
            <w:r w:rsidRPr="004274C1">
              <w:t xml:space="preserve"> (No. 18/1994), Part 4</w:t>
            </w:r>
          </w:p>
        </w:tc>
        <w:tc>
          <w:tcPr>
            <w:tcW w:w="534" w:type="pct"/>
          </w:tcPr>
          <w:p w14:paraId="0461C45A" w14:textId="43DFE447"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293" w:type="pct"/>
          </w:tcPr>
          <w:p w14:paraId="35B659FB" w14:textId="23E8E80A"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38" w:type="pct"/>
          </w:tcPr>
          <w:p w14:paraId="2FA6CF3F" w14:textId="4AD191BC"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510" w:type="pct"/>
          </w:tcPr>
          <w:p w14:paraId="40B8F4E2" w14:textId="3843B70E"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63" w:type="pct"/>
          </w:tcPr>
          <w:p w14:paraId="12976070" w14:textId="5C9365F9"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93" w:type="pct"/>
          </w:tcPr>
          <w:p w14:paraId="545B7676" w14:textId="4EC6D704"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78" w:type="pct"/>
          </w:tcPr>
          <w:p w14:paraId="53DC7B89" w14:textId="00258B0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c>
          <w:tcPr>
            <w:tcW w:w="477" w:type="pct"/>
          </w:tcPr>
          <w:p w14:paraId="4C7C1B79" w14:textId="2EC9439F" w:rsidR="00AE4DC2" w:rsidRPr="004274C1" w:rsidRDefault="00AE4DC2" w:rsidP="00AE4DC2">
            <w:pPr>
              <w:pStyle w:val="TableText"/>
              <w:cnfStyle w:val="000000000000" w:firstRow="0" w:lastRow="0" w:firstColumn="0" w:lastColumn="0" w:oddVBand="0" w:evenVBand="0" w:oddHBand="0" w:evenHBand="0" w:firstRowFirstColumn="0" w:firstRowLastColumn="0" w:lastRowFirstColumn="0" w:lastRowLastColumn="0"/>
            </w:pPr>
            <w:r w:rsidRPr="0012339F">
              <w:t>N/A</w:t>
            </w:r>
          </w:p>
        </w:tc>
      </w:tr>
      <w:tr w:rsidR="006C3681" w:rsidRPr="004274C1" w14:paraId="3D02DB24"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61C6BD81" w14:textId="77777777" w:rsidR="006C3681" w:rsidRPr="004274C1" w:rsidRDefault="006C3681" w:rsidP="003D7CF4">
            <w:pPr>
              <w:pStyle w:val="TableTextBullet1"/>
            </w:pPr>
            <w:r w:rsidRPr="004274C1">
              <w:t>Working account for the allocation of revenue</w:t>
            </w:r>
          </w:p>
        </w:tc>
        <w:tc>
          <w:tcPr>
            <w:tcW w:w="534" w:type="pct"/>
          </w:tcPr>
          <w:p w14:paraId="2060DC0D"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c>
          <w:tcPr>
            <w:tcW w:w="293" w:type="pct"/>
          </w:tcPr>
          <w:p w14:paraId="3EE69E9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8 </w:t>
            </w:r>
          </w:p>
        </w:tc>
        <w:tc>
          <w:tcPr>
            <w:tcW w:w="438" w:type="pct"/>
          </w:tcPr>
          <w:p w14:paraId="305DCADD"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0 </w:t>
            </w:r>
          </w:p>
        </w:tc>
        <w:tc>
          <w:tcPr>
            <w:tcW w:w="510" w:type="pct"/>
          </w:tcPr>
          <w:p w14:paraId="371EA00E"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8</w:t>
            </w:r>
          </w:p>
        </w:tc>
        <w:tc>
          <w:tcPr>
            <w:tcW w:w="463" w:type="pct"/>
          </w:tcPr>
          <w:p w14:paraId="2CEEFF38"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c>
          <w:tcPr>
            <w:tcW w:w="493" w:type="pct"/>
          </w:tcPr>
          <w:p w14:paraId="67C1E1C8"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c>
          <w:tcPr>
            <w:tcW w:w="478" w:type="pct"/>
          </w:tcPr>
          <w:p w14:paraId="13FF98B7"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c>
          <w:tcPr>
            <w:tcW w:w="477" w:type="pct"/>
          </w:tcPr>
          <w:p w14:paraId="4F925CE7"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r>
      <w:tr w:rsidR="003D7CF4" w:rsidRPr="004274C1" w14:paraId="2DBA34EA"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319DCA06" w14:textId="77777777" w:rsidR="003D7CF4" w:rsidRPr="003D7CF4" w:rsidRDefault="003D7CF4" w:rsidP="003D7CF4">
            <w:pPr>
              <w:pStyle w:val="TableText"/>
              <w:rPr>
                <w:rStyle w:val="Bold"/>
              </w:rPr>
            </w:pPr>
            <w:r w:rsidRPr="003D7CF4">
              <w:rPr>
                <w:rStyle w:val="Bold"/>
              </w:rPr>
              <w:t>Treasury Trust Fund</w:t>
            </w:r>
          </w:p>
        </w:tc>
        <w:tc>
          <w:tcPr>
            <w:tcW w:w="534" w:type="pct"/>
          </w:tcPr>
          <w:p w14:paraId="0D5C08C5" w14:textId="30186B63"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293" w:type="pct"/>
          </w:tcPr>
          <w:p w14:paraId="1EC93713" w14:textId="33DC91CD"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438" w:type="pct"/>
          </w:tcPr>
          <w:p w14:paraId="28528EA6" w14:textId="2FD24156"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510" w:type="pct"/>
          </w:tcPr>
          <w:p w14:paraId="1BA0946E" w14:textId="30214E3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463" w:type="pct"/>
          </w:tcPr>
          <w:p w14:paraId="7A6B0C2A" w14:textId="08C37DBD"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493" w:type="pct"/>
          </w:tcPr>
          <w:p w14:paraId="77BE8DAF" w14:textId="4EBB6DA3"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478" w:type="pct"/>
          </w:tcPr>
          <w:p w14:paraId="644E581A" w14:textId="0769E5F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c>
          <w:tcPr>
            <w:tcW w:w="477" w:type="pct"/>
          </w:tcPr>
          <w:p w14:paraId="2C96BC15" w14:textId="04A8608C"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850E85">
              <w:t>N/A</w:t>
            </w:r>
          </w:p>
        </w:tc>
      </w:tr>
      <w:tr w:rsidR="003D7CF4" w:rsidRPr="004274C1" w14:paraId="63392711"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5B8CD331" w14:textId="77777777" w:rsidR="003D7CF4" w:rsidRPr="004274C1" w:rsidRDefault="003D7CF4" w:rsidP="003D7CF4">
            <w:pPr>
              <w:pStyle w:val="TableTextBullet1"/>
            </w:pPr>
            <w:r w:rsidRPr="00E93F72">
              <w:rPr>
                <w:rStyle w:val="Italics"/>
              </w:rPr>
              <w:t>Financial Management Act 1994</w:t>
            </w:r>
            <w:r w:rsidRPr="004274C1">
              <w:t xml:space="preserve"> (No. 18/1994), Part 4</w:t>
            </w:r>
          </w:p>
        </w:tc>
        <w:tc>
          <w:tcPr>
            <w:tcW w:w="534" w:type="pct"/>
          </w:tcPr>
          <w:p w14:paraId="448EE501" w14:textId="0B7FBDB2"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293" w:type="pct"/>
          </w:tcPr>
          <w:p w14:paraId="38F427E9" w14:textId="3E9D1F78"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438" w:type="pct"/>
          </w:tcPr>
          <w:p w14:paraId="09ABF99A" w14:textId="2CCD1536"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510" w:type="pct"/>
          </w:tcPr>
          <w:p w14:paraId="1E47F87A" w14:textId="52B3918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463" w:type="pct"/>
          </w:tcPr>
          <w:p w14:paraId="4A141465" w14:textId="4DE3E5B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493" w:type="pct"/>
          </w:tcPr>
          <w:p w14:paraId="7F5F49BE" w14:textId="3AF0F50D"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478" w:type="pct"/>
          </w:tcPr>
          <w:p w14:paraId="059D032D" w14:textId="48F5BD74"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c>
          <w:tcPr>
            <w:tcW w:w="477" w:type="pct"/>
          </w:tcPr>
          <w:p w14:paraId="738F8047" w14:textId="1671DAC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40387E">
              <w:t>N/A</w:t>
            </w:r>
          </w:p>
        </w:tc>
      </w:tr>
      <w:tr w:rsidR="006C3681" w:rsidRPr="004274C1" w14:paraId="3130A24A"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229C9A02" w14:textId="275BD2AE" w:rsidR="006C3681" w:rsidRPr="004274C1" w:rsidRDefault="006C3681" w:rsidP="003D7CF4">
            <w:pPr>
              <w:pStyle w:val="TableTextBullet1"/>
            </w:pPr>
            <w:r w:rsidRPr="004274C1">
              <w:t xml:space="preserve">Working account for </w:t>
            </w:r>
            <w:r w:rsidR="009B1462">
              <w:t>Court Services Victoria</w:t>
            </w:r>
          </w:p>
        </w:tc>
        <w:tc>
          <w:tcPr>
            <w:tcW w:w="534" w:type="pct"/>
          </w:tcPr>
          <w:p w14:paraId="6CCD089A"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2,400</w:t>
            </w:r>
          </w:p>
        </w:tc>
        <w:tc>
          <w:tcPr>
            <w:tcW w:w="293" w:type="pct"/>
          </w:tcPr>
          <w:p w14:paraId="10CFFFE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4 </w:t>
            </w:r>
          </w:p>
        </w:tc>
        <w:tc>
          <w:tcPr>
            <w:tcW w:w="438" w:type="pct"/>
          </w:tcPr>
          <w:p w14:paraId="1698C917"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(67)</w:t>
            </w:r>
          </w:p>
        </w:tc>
        <w:tc>
          <w:tcPr>
            <w:tcW w:w="510" w:type="pct"/>
          </w:tcPr>
          <w:p w14:paraId="55BAEC5F"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2,470</w:t>
            </w:r>
          </w:p>
        </w:tc>
        <w:tc>
          <w:tcPr>
            <w:tcW w:w="463" w:type="pct"/>
          </w:tcPr>
          <w:p w14:paraId="7F0AD472"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1,743</w:t>
            </w:r>
          </w:p>
        </w:tc>
        <w:tc>
          <w:tcPr>
            <w:tcW w:w="493" w:type="pct"/>
          </w:tcPr>
          <w:p w14:paraId="5D8514BF"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11</w:t>
            </w:r>
          </w:p>
        </w:tc>
        <w:tc>
          <w:tcPr>
            <w:tcW w:w="478" w:type="pct"/>
          </w:tcPr>
          <w:p w14:paraId="5579BCA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(645)</w:t>
            </w:r>
          </w:p>
        </w:tc>
        <w:tc>
          <w:tcPr>
            <w:tcW w:w="477" w:type="pct"/>
          </w:tcPr>
          <w:p w14:paraId="3A462CC7"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2,400</w:t>
            </w:r>
          </w:p>
        </w:tc>
      </w:tr>
      <w:tr w:rsidR="003D7CF4" w:rsidRPr="004274C1" w14:paraId="4244B9C4"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31CEBC1D" w14:textId="77777777" w:rsidR="003D7CF4" w:rsidRPr="003D7CF4" w:rsidRDefault="003D7CF4" w:rsidP="003D7CF4">
            <w:pPr>
              <w:pStyle w:val="TableText"/>
              <w:rPr>
                <w:rStyle w:val="Bold"/>
              </w:rPr>
            </w:pPr>
            <w:r w:rsidRPr="003D7CF4">
              <w:rPr>
                <w:rStyle w:val="Bold"/>
              </w:rPr>
              <w:t>Security Account</w:t>
            </w:r>
          </w:p>
        </w:tc>
        <w:tc>
          <w:tcPr>
            <w:tcW w:w="534" w:type="pct"/>
          </w:tcPr>
          <w:p w14:paraId="63136618" w14:textId="40194017"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293" w:type="pct"/>
          </w:tcPr>
          <w:p w14:paraId="7A40A472" w14:textId="138649E6"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38" w:type="pct"/>
          </w:tcPr>
          <w:p w14:paraId="1CF1A1AD" w14:textId="6D11BB9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510" w:type="pct"/>
          </w:tcPr>
          <w:p w14:paraId="73896763" w14:textId="23D8630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63" w:type="pct"/>
          </w:tcPr>
          <w:p w14:paraId="79503015" w14:textId="55231122"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93" w:type="pct"/>
          </w:tcPr>
          <w:p w14:paraId="14517DDB" w14:textId="093522F6"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78" w:type="pct"/>
          </w:tcPr>
          <w:p w14:paraId="15560783" w14:textId="2D48B0A6"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77" w:type="pct"/>
          </w:tcPr>
          <w:p w14:paraId="206AF4F9" w14:textId="23981766" w:rsidR="003D7CF4" w:rsidRPr="004274C1" w:rsidRDefault="00371FE4" w:rsidP="003D7CF4">
            <w:pPr>
              <w:pStyle w:val="TableText"/>
              <w:cnfStyle w:val="000000000000" w:firstRow="0" w:lastRow="0" w:firstColumn="0" w:lastColumn="0" w:oddVBand="0" w:evenVBand="0" w:oddHBand="0" w:evenHBand="0" w:firstRowFirstColumn="0" w:firstRowLastColumn="0" w:lastRowFirstColumn="0" w:lastRowLastColumn="0"/>
            </w:pPr>
            <w:r>
              <w:t>N/A</w:t>
            </w:r>
          </w:p>
        </w:tc>
      </w:tr>
      <w:tr w:rsidR="003D7CF4" w:rsidRPr="004274C1" w14:paraId="0D2B9358"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61976EB7" w14:textId="77777777" w:rsidR="003D7CF4" w:rsidRPr="004274C1" w:rsidRDefault="003D7CF4" w:rsidP="003D7CF4">
            <w:pPr>
              <w:pStyle w:val="TableTextBullet1"/>
            </w:pPr>
            <w:r w:rsidRPr="00E93F72">
              <w:rPr>
                <w:rStyle w:val="Italics"/>
              </w:rPr>
              <w:t>Financial Management Act 1994</w:t>
            </w:r>
            <w:r w:rsidRPr="004274C1">
              <w:t xml:space="preserve"> (No. 18/1994), Part 4</w:t>
            </w:r>
          </w:p>
        </w:tc>
        <w:tc>
          <w:tcPr>
            <w:tcW w:w="534" w:type="pct"/>
          </w:tcPr>
          <w:p w14:paraId="097F4C82" w14:textId="23BC8D52"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293" w:type="pct"/>
          </w:tcPr>
          <w:p w14:paraId="73A6CB86" w14:textId="21CDBE7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38" w:type="pct"/>
          </w:tcPr>
          <w:p w14:paraId="60DACBA3" w14:textId="5C57800D"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510" w:type="pct"/>
          </w:tcPr>
          <w:p w14:paraId="0D722338" w14:textId="3F5C5B30"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63" w:type="pct"/>
          </w:tcPr>
          <w:p w14:paraId="6EBDE299" w14:textId="3D55373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93" w:type="pct"/>
          </w:tcPr>
          <w:p w14:paraId="05AAFDD3" w14:textId="568AFE40"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78" w:type="pct"/>
          </w:tcPr>
          <w:p w14:paraId="0BD82D0C" w14:textId="25DA0B40"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7A32EA">
              <w:t>N/A</w:t>
            </w:r>
          </w:p>
        </w:tc>
        <w:tc>
          <w:tcPr>
            <w:tcW w:w="477" w:type="pct"/>
          </w:tcPr>
          <w:p w14:paraId="7F44CAF8" w14:textId="2C63E4C4" w:rsidR="003D7CF4" w:rsidRPr="004274C1" w:rsidRDefault="00371FE4" w:rsidP="003D7CF4">
            <w:pPr>
              <w:pStyle w:val="TableText"/>
              <w:cnfStyle w:val="000000000000" w:firstRow="0" w:lastRow="0" w:firstColumn="0" w:lastColumn="0" w:oddVBand="0" w:evenVBand="0" w:oddHBand="0" w:evenHBand="0" w:firstRowFirstColumn="0" w:firstRowLastColumn="0" w:lastRowFirstColumn="0" w:lastRowLastColumn="0"/>
            </w:pPr>
            <w:r>
              <w:t>N/A</w:t>
            </w:r>
          </w:p>
        </w:tc>
      </w:tr>
      <w:tr w:rsidR="006C3681" w:rsidRPr="004274C1" w14:paraId="44F6203E"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5BC04533" w14:textId="77777777" w:rsidR="006C3681" w:rsidRPr="004274C1" w:rsidRDefault="006C3681" w:rsidP="003D7CF4">
            <w:pPr>
              <w:pStyle w:val="TableTextBullet1"/>
            </w:pPr>
            <w:r w:rsidRPr="004274C1">
              <w:t>Holds monies as security for good behaviour</w:t>
            </w:r>
          </w:p>
        </w:tc>
        <w:tc>
          <w:tcPr>
            <w:tcW w:w="534" w:type="pct"/>
          </w:tcPr>
          <w:p w14:paraId="7A2B9223"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160</w:t>
            </w:r>
          </w:p>
        </w:tc>
        <w:tc>
          <w:tcPr>
            <w:tcW w:w="293" w:type="pct"/>
          </w:tcPr>
          <w:p w14:paraId="74923608"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10 </w:t>
            </w:r>
          </w:p>
        </w:tc>
        <w:tc>
          <w:tcPr>
            <w:tcW w:w="438" w:type="pct"/>
          </w:tcPr>
          <w:p w14:paraId="282FD1B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0 </w:t>
            </w:r>
          </w:p>
        </w:tc>
        <w:tc>
          <w:tcPr>
            <w:tcW w:w="510" w:type="pct"/>
          </w:tcPr>
          <w:p w14:paraId="32DB96DB"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170</w:t>
            </w:r>
          </w:p>
        </w:tc>
        <w:tc>
          <w:tcPr>
            <w:tcW w:w="463" w:type="pct"/>
          </w:tcPr>
          <w:p w14:paraId="2D371CA9"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127</w:t>
            </w:r>
          </w:p>
        </w:tc>
        <w:tc>
          <w:tcPr>
            <w:tcW w:w="493" w:type="pct"/>
          </w:tcPr>
          <w:p w14:paraId="365355B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34</w:t>
            </w:r>
          </w:p>
        </w:tc>
        <w:tc>
          <w:tcPr>
            <w:tcW w:w="478" w:type="pct"/>
          </w:tcPr>
          <w:p w14:paraId="360C0A8C"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0</w:t>
            </w:r>
          </w:p>
        </w:tc>
        <w:tc>
          <w:tcPr>
            <w:tcW w:w="477" w:type="pct"/>
          </w:tcPr>
          <w:p w14:paraId="06FD782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160</w:t>
            </w:r>
          </w:p>
        </w:tc>
      </w:tr>
      <w:tr w:rsidR="003D7CF4" w:rsidRPr="004274C1" w14:paraId="1C2F025E"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313FC257" w14:textId="77777777" w:rsidR="003D7CF4" w:rsidRPr="003D7CF4" w:rsidRDefault="003D7CF4" w:rsidP="003D7CF4">
            <w:pPr>
              <w:pStyle w:val="TableText"/>
              <w:rPr>
                <w:rStyle w:val="Bold"/>
              </w:rPr>
            </w:pPr>
            <w:r w:rsidRPr="003D7CF4">
              <w:rPr>
                <w:rStyle w:val="Bold"/>
              </w:rPr>
              <w:t>Victorian Civil and Administrative Tribunal Trust Account</w:t>
            </w:r>
          </w:p>
        </w:tc>
        <w:tc>
          <w:tcPr>
            <w:tcW w:w="534" w:type="pct"/>
          </w:tcPr>
          <w:p w14:paraId="760F58F2" w14:textId="49B05C9F"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293" w:type="pct"/>
          </w:tcPr>
          <w:p w14:paraId="45D437D8" w14:textId="1FA816A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38" w:type="pct"/>
          </w:tcPr>
          <w:p w14:paraId="796F4417" w14:textId="065123F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510" w:type="pct"/>
          </w:tcPr>
          <w:p w14:paraId="1792D090" w14:textId="6E7F6890"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63" w:type="pct"/>
          </w:tcPr>
          <w:p w14:paraId="7657E14D" w14:textId="011495BE"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93" w:type="pct"/>
          </w:tcPr>
          <w:p w14:paraId="246B41A2" w14:textId="48D8BAED"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78" w:type="pct"/>
          </w:tcPr>
          <w:p w14:paraId="41C1A4AA" w14:textId="24EB364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77" w:type="pct"/>
          </w:tcPr>
          <w:p w14:paraId="3CD6EC2B" w14:textId="6E17601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r>
      <w:tr w:rsidR="003D7CF4" w:rsidRPr="004274C1" w14:paraId="23A36FFD" w14:textId="77777777" w:rsidTr="00930A29">
        <w:trPr>
          <w:trHeight w:val="60"/>
        </w:trPr>
        <w:tc>
          <w:tcPr>
            <w:cnfStyle w:val="001000000000" w:firstRow="0" w:lastRow="0" w:firstColumn="1" w:lastColumn="0" w:oddVBand="0" w:evenVBand="0" w:oddHBand="0" w:evenHBand="0" w:firstRowFirstColumn="0" w:firstRowLastColumn="0" w:lastRowFirstColumn="0" w:lastRowLastColumn="0"/>
            <w:tcW w:w="1314" w:type="pct"/>
          </w:tcPr>
          <w:p w14:paraId="527A9455" w14:textId="77777777" w:rsidR="003D7CF4" w:rsidRPr="004274C1" w:rsidRDefault="003D7CF4" w:rsidP="003D7CF4">
            <w:pPr>
              <w:pStyle w:val="TableTextBullet1"/>
            </w:pPr>
            <w:r w:rsidRPr="00E93F72">
              <w:rPr>
                <w:rStyle w:val="Italics"/>
              </w:rPr>
              <w:t>Financial Management Act 1994</w:t>
            </w:r>
            <w:r w:rsidRPr="004274C1">
              <w:t xml:space="preserve"> (No. 18/1994), Part 4</w:t>
            </w:r>
          </w:p>
        </w:tc>
        <w:tc>
          <w:tcPr>
            <w:tcW w:w="534" w:type="pct"/>
          </w:tcPr>
          <w:p w14:paraId="439965F5" w14:textId="0DDE2E6F"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293" w:type="pct"/>
          </w:tcPr>
          <w:p w14:paraId="6EE9431D" w14:textId="0E7A5665"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38" w:type="pct"/>
          </w:tcPr>
          <w:p w14:paraId="05C0AAF2" w14:textId="71DE0C01"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510" w:type="pct"/>
          </w:tcPr>
          <w:p w14:paraId="59487823" w14:textId="28DB533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63" w:type="pct"/>
          </w:tcPr>
          <w:p w14:paraId="4C35AF34" w14:textId="0DC139F2"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93" w:type="pct"/>
          </w:tcPr>
          <w:p w14:paraId="428F4B96" w14:textId="3D87FC6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78" w:type="pct"/>
          </w:tcPr>
          <w:p w14:paraId="0E539056" w14:textId="6E8E8F2B"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c>
          <w:tcPr>
            <w:tcW w:w="477" w:type="pct"/>
          </w:tcPr>
          <w:p w14:paraId="36D4FABA" w14:textId="11CEAC7A" w:rsidR="003D7CF4" w:rsidRPr="004274C1" w:rsidRDefault="003D7CF4" w:rsidP="003D7CF4">
            <w:pPr>
              <w:pStyle w:val="TableText"/>
              <w:cnfStyle w:val="000000000000" w:firstRow="0" w:lastRow="0" w:firstColumn="0" w:lastColumn="0" w:oddVBand="0" w:evenVBand="0" w:oddHBand="0" w:evenHBand="0" w:firstRowFirstColumn="0" w:firstRowLastColumn="0" w:lastRowFirstColumn="0" w:lastRowLastColumn="0"/>
            </w:pPr>
            <w:r w:rsidRPr="00EC7018">
              <w:t>N/A</w:t>
            </w:r>
          </w:p>
        </w:tc>
      </w:tr>
      <w:tr w:rsidR="006C3681" w:rsidRPr="004274C1" w14:paraId="15623625" w14:textId="77777777" w:rsidTr="00F1511A">
        <w:trPr>
          <w:trHeight w:val="60"/>
        </w:trPr>
        <w:tc>
          <w:tcPr>
            <w:cnfStyle w:val="001000000000" w:firstRow="0" w:lastRow="0" w:firstColumn="1" w:lastColumn="0" w:oddVBand="0" w:evenVBand="0" w:oddHBand="0" w:evenHBand="0" w:firstRowFirstColumn="0" w:firstRowLastColumn="0" w:lastRowFirstColumn="0" w:lastRowLastColumn="0"/>
            <w:tcW w:w="1314" w:type="pct"/>
            <w:tcBorders>
              <w:bottom w:val="single" w:sz="4" w:space="0" w:color="auto"/>
            </w:tcBorders>
          </w:tcPr>
          <w:p w14:paraId="500BFC26" w14:textId="77777777" w:rsidR="006C3681" w:rsidRPr="004274C1" w:rsidRDefault="006C3681" w:rsidP="003D7CF4">
            <w:pPr>
              <w:pStyle w:val="TableTextBullet1"/>
            </w:pPr>
            <w:r w:rsidRPr="004274C1">
              <w:t>Working account for the Owners Corporation, Domestic Building and Residential Tenancies disputes</w:t>
            </w:r>
          </w:p>
        </w:tc>
        <w:tc>
          <w:tcPr>
            <w:tcW w:w="534" w:type="pct"/>
            <w:tcBorders>
              <w:bottom w:val="single" w:sz="4" w:space="0" w:color="auto"/>
            </w:tcBorders>
          </w:tcPr>
          <w:p w14:paraId="76D52354"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233 </w:t>
            </w:r>
          </w:p>
        </w:tc>
        <w:tc>
          <w:tcPr>
            <w:tcW w:w="293" w:type="pct"/>
            <w:tcBorders>
              <w:bottom w:val="single" w:sz="4" w:space="0" w:color="auto"/>
            </w:tcBorders>
          </w:tcPr>
          <w:p w14:paraId="69B95270"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133 </w:t>
            </w:r>
          </w:p>
        </w:tc>
        <w:tc>
          <w:tcPr>
            <w:tcW w:w="438" w:type="pct"/>
            <w:tcBorders>
              <w:bottom w:val="single" w:sz="4" w:space="0" w:color="auto"/>
            </w:tcBorders>
          </w:tcPr>
          <w:p w14:paraId="059C7586"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(195)</w:t>
            </w:r>
          </w:p>
        </w:tc>
        <w:tc>
          <w:tcPr>
            <w:tcW w:w="510" w:type="pct"/>
            <w:tcBorders>
              <w:bottom w:val="single" w:sz="4" w:space="0" w:color="auto"/>
            </w:tcBorders>
          </w:tcPr>
          <w:p w14:paraId="068010C1"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562</w:t>
            </w:r>
          </w:p>
        </w:tc>
        <w:tc>
          <w:tcPr>
            <w:tcW w:w="463" w:type="pct"/>
            <w:tcBorders>
              <w:bottom w:val="single" w:sz="4" w:space="0" w:color="auto"/>
            </w:tcBorders>
          </w:tcPr>
          <w:p w14:paraId="7A0F6A91"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(75)</w:t>
            </w:r>
          </w:p>
        </w:tc>
        <w:tc>
          <w:tcPr>
            <w:tcW w:w="493" w:type="pct"/>
            <w:tcBorders>
              <w:bottom w:val="single" w:sz="4" w:space="0" w:color="auto"/>
            </w:tcBorders>
          </w:tcPr>
          <w:p w14:paraId="3C782E31"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(11)</w:t>
            </w:r>
          </w:p>
        </w:tc>
        <w:tc>
          <w:tcPr>
            <w:tcW w:w="478" w:type="pct"/>
            <w:tcBorders>
              <w:bottom w:val="single" w:sz="4" w:space="0" w:color="auto"/>
            </w:tcBorders>
          </w:tcPr>
          <w:p w14:paraId="6990EED5"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(319)</w:t>
            </w:r>
          </w:p>
        </w:tc>
        <w:tc>
          <w:tcPr>
            <w:tcW w:w="477" w:type="pct"/>
            <w:tcBorders>
              <w:bottom w:val="single" w:sz="4" w:space="0" w:color="auto"/>
            </w:tcBorders>
          </w:tcPr>
          <w:p w14:paraId="782743D5" w14:textId="77777777" w:rsidR="006C3681" w:rsidRPr="004274C1" w:rsidRDefault="006C3681" w:rsidP="006C3681">
            <w:pPr>
              <w:pStyle w:val="TableText"/>
              <w:cnfStyle w:val="000000000000" w:firstRow="0" w:lastRow="0" w:firstColumn="0" w:lastColumn="0" w:oddVBand="0" w:evenVBand="0" w:oddHBand="0" w:evenHBand="0" w:firstRowFirstColumn="0" w:firstRowLastColumn="0" w:lastRowFirstColumn="0" w:lastRowLastColumn="0"/>
            </w:pPr>
            <w:r w:rsidRPr="004274C1">
              <w:t xml:space="preserve">233 </w:t>
            </w:r>
          </w:p>
        </w:tc>
      </w:tr>
      <w:tr w:rsidR="006C3681" w:rsidRPr="003D7CF4" w14:paraId="569A3018" w14:textId="77777777" w:rsidTr="00F1511A">
        <w:trPr>
          <w:trHeight w:val="60"/>
        </w:trPr>
        <w:tc>
          <w:tcPr>
            <w:cnfStyle w:val="001000000000" w:firstRow="0" w:lastRow="0" w:firstColumn="1" w:lastColumn="0" w:oddVBand="0" w:evenVBand="0" w:oddHBand="0" w:evenHBand="0" w:firstRowFirstColumn="0" w:firstRowLastColumn="0" w:lastRowFirstColumn="0" w:lastRowLastColumn="0"/>
            <w:tcW w:w="1314" w:type="pct"/>
            <w:tcBorders>
              <w:top w:val="single" w:sz="4" w:space="0" w:color="auto"/>
              <w:bottom w:val="single" w:sz="4" w:space="0" w:color="auto"/>
            </w:tcBorders>
          </w:tcPr>
          <w:p w14:paraId="73C3F557" w14:textId="77777777" w:rsidR="006C3681" w:rsidRPr="003D7CF4" w:rsidRDefault="006C3681" w:rsidP="006C3681">
            <w:pPr>
              <w:pStyle w:val="TableText"/>
              <w:rPr>
                <w:rStyle w:val="Bold"/>
              </w:rPr>
            </w:pPr>
            <w:r w:rsidRPr="003D7CF4">
              <w:rPr>
                <w:rStyle w:val="Bold"/>
              </w:rPr>
              <w:t>Total administered trusts</w:t>
            </w:r>
          </w:p>
        </w:tc>
        <w:tc>
          <w:tcPr>
            <w:tcW w:w="534" w:type="pct"/>
            <w:tcBorders>
              <w:top w:val="single" w:sz="4" w:space="0" w:color="auto"/>
              <w:bottom w:val="single" w:sz="4" w:space="0" w:color="auto"/>
            </w:tcBorders>
          </w:tcPr>
          <w:p w14:paraId="3FA80AE2"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3,168</w:t>
            </w:r>
          </w:p>
        </w:tc>
        <w:tc>
          <w:tcPr>
            <w:tcW w:w="293" w:type="pct"/>
            <w:tcBorders>
              <w:top w:val="single" w:sz="4" w:space="0" w:color="auto"/>
              <w:bottom w:val="single" w:sz="4" w:space="0" w:color="auto"/>
            </w:tcBorders>
          </w:tcPr>
          <w:p w14:paraId="2CB658BE"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10,304</w:t>
            </w:r>
          </w:p>
        </w:tc>
        <w:tc>
          <w:tcPr>
            <w:tcW w:w="438" w:type="pct"/>
            <w:tcBorders>
              <w:top w:val="single" w:sz="4" w:space="0" w:color="auto"/>
              <w:bottom w:val="single" w:sz="4" w:space="0" w:color="auto"/>
            </w:tcBorders>
          </w:tcPr>
          <w:p w14:paraId="6A77464A"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10,439</w:t>
            </w:r>
          </w:p>
        </w:tc>
        <w:tc>
          <w:tcPr>
            <w:tcW w:w="510" w:type="pct"/>
            <w:tcBorders>
              <w:top w:val="single" w:sz="4" w:space="0" w:color="auto"/>
              <w:bottom w:val="single" w:sz="4" w:space="0" w:color="auto"/>
            </w:tcBorders>
          </w:tcPr>
          <w:p w14:paraId="64DF4210"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3,034</w:t>
            </w:r>
          </w:p>
        </w:tc>
        <w:tc>
          <w:tcPr>
            <w:tcW w:w="463" w:type="pct"/>
            <w:tcBorders>
              <w:top w:val="single" w:sz="4" w:space="0" w:color="auto"/>
              <w:bottom w:val="single" w:sz="4" w:space="0" w:color="auto"/>
            </w:tcBorders>
          </w:tcPr>
          <w:p w14:paraId="63F63D8C"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1,899</w:t>
            </w:r>
          </w:p>
        </w:tc>
        <w:tc>
          <w:tcPr>
            <w:tcW w:w="493" w:type="pct"/>
            <w:tcBorders>
              <w:top w:val="single" w:sz="4" w:space="0" w:color="auto"/>
              <w:bottom w:val="single" w:sz="4" w:space="0" w:color="auto"/>
            </w:tcBorders>
          </w:tcPr>
          <w:p w14:paraId="78A4069D"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12,651</w:t>
            </w:r>
          </w:p>
        </w:tc>
        <w:tc>
          <w:tcPr>
            <w:tcW w:w="478" w:type="pct"/>
            <w:tcBorders>
              <w:top w:val="single" w:sz="4" w:space="0" w:color="auto"/>
              <w:bottom w:val="single" w:sz="4" w:space="0" w:color="auto"/>
            </w:tcBorders>
          </w:tcPr>
          <w:p w14:paraId="479E9E4F"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11,382</w:t>
            </w:r>
          </w:p>
        </w:tc>
        <w:tc>
          <w:tcPr>
            <w:tcW w:w="477" w:type="pct"/>
            <w:tcBorders>
              <w:top w:val="single" w:sz="4" w:space="0" w:color="auto"/>
              <w:bottom w:val="single" w:sz="4" w:space="0" w:color="auto"/>
            </w:tcBorders>
          </w:tcPr>
          <w:p w14:paraId="2B2C1E7B" w14:textId="77777777" w:rsidR="006C3681" w:rsidRPr="003D7CF4" w:rsidRDefault="006C3681" w:rsidP="006C3681">
            <w:pPr>
              <w:pStyle w:val="TableText"/>
              <w:cnfStyle w:val="000000000000" w:firstRow="0" w:lastRow="0" w:firstColumn="0" w:lastColumn="0" w:oddVBand="0" w:evenVBand="0" w:oddHBand="0" w:evenHBand="0" w:firstRowFirstColumn="0" w:firstRowLastColumn="0" w:lastRowFirstColumn="0" w:lastRowLastColumn="0"/>
              <w:rPr>
                <w:rStyle w:val="Bold"/>
              </w:rPr>
            </w:pPr>
            <w:r w:rsidRPr="003D7CF4">
              <w:rPr>
                <w:rStyle w:val="Bold"/>
              </w:rPr>
              <w:t>3,168</w:t>
            </w:r>
          </w:p>
        </w:tc>
      </w:tr>
    </w:tbl>
    <w:p w14:paraId="430DC420" w14:textId="77777777" w:rsidR="00667145" w:rsidRDefault="00667145" w:rsidP="00667145">
      <w:pPr>
        <w:pStyle w:val="NotesText"/>
      </w:pPr>
      <w:r>
        <w:t>Notes:</w:t>
      </w:r>
    </w:p>
    <w:p w14:paraId="1CB902B0" w14:textId="72255CE6" w:rsidR="00667145" w:rsidRDefault="00667145" w:rsidP="00F110E7">
      <w:pPr>
        <w:pStyle w:val="NotesNumberedList"/>
        <w:numPr>
          <w:ilvl w:val="0"/>
          <w:numId w:val="46"/>
        </w:numPr>
      </w:pPr>
      <w:bookmarkStart w:id="405" w:name="Note73note2"/>
      <w:bookmarkEnd w:id="405"/>
      <w:r>
        <w:t xml:space="preserve">The Trust fund deficit is due to administrative issues between </w:t>
      </w:r>
      <w:r w:rsidR="009B1462">
        <w:t>Court Services Victoria</w:t>
      </w:r>
      <w:r>
        <w:t xml:space="preserve"> and Fines Victoria who collect monies on </w:t>
      </w:r>
      <w:r w:rsidR="009B1462">
        <w:t>Court Services Victoria</w:t>
      </w:r>
      <w:r>
        <w:t>’s behalf. These issues are being discussed with Fines Victoria and are expected to be resolved in the 2020-21 financial year.</w:t>
      </w:r>
    </w:p>
    <w:p w14:paraId="6E26D646" w14:textId="21DF50C7" w:rsidR="006C3681" w:rsidRDefault="00667145" w:rsidP="004B782F">
      <w:pPr>
        <w:pStyle w:val="NotesNumberedList"/>
      </w:pPr>
      <w:bookmarkStart w:id="406" w:name="Note73note3"/>
      <w:bookmarkEnd w:id="406"/>
      <w:r>
        <w:t>The Commuter Club is in deficit because yearly tickets are purchased in advance and reimbursed over the course of 12 months.</w:t>
      </w:r>
    </w:p>
    <w:p w14:paraId="580B9F8D" w14:textId="18AADE82" w:rsidR="006C3681" w:rsidRDefault="006C3681" w:rsidP="00417B1B">
      <w:pPr>
        <w:pStyle w:val="BodyText"/>
        <w:sectPr w:rsidR="006C3681" w:rsidSect="00AC0BBF">
          <w:pgSz w:w="16839" w:h="11907" w:orient="landscape" w:code="9"/>
          <w:pgMar w:top="1134" w:right="1134" w:bottom="1134" w:left="1134" w:header="567" w:footer="567" w:gutter="0"/>
          <w:cols w:space="720"/>
          <w:docGrid w:linePitch="299"/>
        </w:sectPr>
      </w:pPr>
    </w:p>
    <w:p w14:paraId="50F4C481" w14:textId="2C1A2414" w:rsidR="00417B1B" w:rsidRDefault="00DB7E45" w:rsidP="00417B1B">
      <w:pPr>
        <w:pStyle w:val="Heading4"/>
      </w:pPr>
      <w:r>
        <w:t>Third Party Funds u</w:t>
      </w:r>
      <w:r w:rsidR="00417B1B">
        <w:t>nder Management</w:t>
      </w:r>
    </w:p>
    <w:p w14:paraId="31D7A98B" w14:textId="19E11E14" w:rsidR="0085709E" w:rsidRDefault="0085709E" w:rsidP="0085709E">
      <w:pPr>
        <w:pStyle w:val="BodyText"/>
      </w:pPr>
      <w:r>
        <w:t>Third party funds under management include assets under management by Funds in Court, Bail Monies and the Court Investment Accounts.</w:t>
      </w:r>
    </w:p>
    <w:p w14:paraId="2FF6DB79" w14:textId="5BC70417" w:rsidR="0085709E" w:rsidRDefault="0085709E" w:rsidP="0085709E">
      <w:pPr>
        <w:pStyle w:val="BodyText"/>
      </w:pPr>
      <w:r>
        <w:t xml:space="preserve">Fund in Court (FIC) is an office of the Supreme Court of Victoria that is responsible for administering funds paid into the Court. Funds can be paid pursuant to orders of all Victorian Courts, awards of the Victims of Crime Assistance Tribunal (VOCAT) and pursuant to legislation such as the Trustee Act 1958. These funds under management are not consolidated within </w:t>
      </w:r>
      <w:r w:rsidR="009B1462">
        <w:t>Court Services Victoria</w:t>
      </w:r>
      <w:r>
        <w:t xml:space="preserve"> accounts as they are not used for government purposes.</w:t>
      </w:r>
    </w:p>
    <w:tbl>
      <w:tblPr>
        <w:tblStyle w:val="AccessibleTableNumerical"/>
        <w:tblW w:w="5000" w:type="pct"/>
        <w:tblLook w:val="04A0" w:firstRow="1" w:lastRow="0" w:firstColumn="1" w:lastColumn="0" w:noHBand="0" w:noVBand="1"/>
      </w:tblPr>
      <w:tblGrid>
        <w:gridCol w:w="6069"/>
        <w:gridCol w:w="1785"/>
        <w:gridCol w:w="1785"/>
      </w:tblGrid>
      <w:tr w:rsidR="00417B1B" w:rsidRPr="002F07CD" w14:paraId="456F2517" w14:textId="77777777" w:rsidTr="00DB7E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8" w:type="pct"/>
          </w:tcPr>
          <w:p w14:paraId="2244635A" w14:textId="3E7AEE2E" w:rsidR="00417B1B" w:rsidRPr="002F07CD" w:rsidRDefault="00AC0BBF" w:rsidP="002F07CD">
            <w:pPr>
              <w:pStyle w:val="TableText"/>
            </w:pPr>
            <w:bookmarkStart w:id="407" w:name="ColumnTitle_79"/>
            <w:r w:rsidRPr="002F07CD">
              <w:t>Item</w:t>
            </w:r>
          </w:p>
        </w:tc>
        <w:tc>
          <w:tcPr>
            <w:tcW w:w="926" w:type="pct"/>
            <w:vAlign w:val="bottom"/>
          </w:tcPr>
          <w:p w14:paraId="34A4437F" w14:textId="20DBC74D" w:rsidR="00417B1B" w:rsidRPr="002F07CD" w:rsidRDefault="00417B1B" w:rsidP="00DB7E45">
            <w:pPr>
              <w:pStyle w:val="TableText"/>
              <w:cnfStyle w:val="100000000000" w:firstRow="1" w:lastRow="0" w:firstColumn="0" w:lastColumn="0" w:oddVBand="0" w:evenVBand="0" w:oddHBand="0" w:evenHBand="0" w:firstRowFirstColumn="0" w:firstRowLastColumn="0" w:lastRowFirstColumn="0" w:lastRowLastColumn="0"/>
            </w:pPr>
            <w:r w:rsidRPr="002F07CD">
              <w:t>20</w:t>
            </w:r>
            <w:r w:rsidR="005436C2">
              <w:t>20</w:t>
            </w:r>
            <w:r w:rsidR="00366880">
              <w:br/>
            </w:r>
            <w:r w:rsidRPr="002F07CD">
              <w:t>$'000</w:t>
            </w:r>
          </w:p>
        </w:tc>
        <w:tc>
          <w:tcPr>
            <w:tcW w:w="926" w:type="pct"/>
            <w:vAlign w:val="bottom"/>
          </w:tcPr>
          <w:p w14:paraId="1CBE23C6" w14:textId="42DC1DD5" w:rsidR="00417B1B" w:rsidRPr="002F07CD" w:rsidRDefault="00417B1B" w:rsidP="00DB7E45">
            <w:pPr>
              <w:pStyle w:val="TableText"/>
              <w:cnfStyle w:val="100000000000" w:firstRow="1" w:lastRow="0" w:firstColumn="0" w:lastColumn="0" w:oddVBand="0" w:evenVBand="0" w:oddHBand="0" w:evenHBand="0" w:firstRowFirstColumn="0" w:firstRowLastColumn="0" w:lastRowFirstColumn="0" w:lastRowLastColumn="0"/>
            </w:pPr>
            <w:r w:rsidRPr="002F07CD">
              <w:t>201</w:t>
            </w:r>
            <w:r w:rsidR="005436C2">
              <w:t>9</w:t>
            </w:r>
            <w:r w:rsidRPr="002F07CD">
              <w:br/>
              <w:t>$'000</w:t>
            </w:r>
          </w:p>
        </w:tc>
      </w:tr>
      <w:bookmarkEnd w:id="407"/>
      <w:tr w:rsidR="00417B1B" w:rsidRPr="002F07CD" w14:paraId="562E55ED" w14:textId="77777777" w:rsidTr="00AC0BBF">
        <w:tc>
          <w:tcPr>
            <w:cnfStyle w:val="001000000000" w:firstRow="0" w:lastRow="0" w:firstColumn="1" w:lastColumn="0" w:oddVBand="0" w:evenVBand="0" w:oddHBand="0" w:evenHBand="0" w:firstRowFirstColumn="0" w:firstRowLastColumn="0" w:lastRowFirstColumn="0" w:lastRowLastColumn="0"/>
            <w:tcW w:w="3148" w:type="pct"/>
          </w:tcPr>
          <w:p w14:paraId="53EECC1B" w14:textId="77777777" w:rsidR="00417B1B" w:rsidRPr="00DB7E45" w:rsidRDefault="00417B1B" w:rsidP="002F07CD">
            <w:pPr>
              <w:pStyle w:val="TableText"/>
              <w:rPr>
                <w:rStyle w:val="Bold"/>
              </w:rPr>
            </w:pPr>
            <w:r w:rsidRPr="00DB7E45">
              <w:rPr>
                <w:rStyle w:val="Bold"/>
              </w:rPr>
              <w:t>Courts</w:t>
            </w:r>
          </w:p>
        </w:tc>
        <w:tc>
          <w:tcPr>
            <w:tcW w:w="926" w:type="pct"/>
          </w:tcPr>
          <w:p w14:paraId="0B18FF1B" w14:textId="43CFCAB5" w:rsidR="00417B1B" w:rsidRPr="002F07CD" w:rsidRDefault="00AC0BBF" w:rsidP="002F07CD">
            <w:pPr>
              <w:pStyle w:val="TableText"/>
              <w:cnfStyle w:val="000000000000" w:firstRow="0" w:lastRow="0" w:firstColumn="0" w:lastColumn="0" w:oddVBand="0" w:evenVBand="0" w:oddHBand="0" w:evenHBand="0" w:firstRowFirstColumn="0" w:firstRowLastColumn="0" w:lastRowFirstColumn="0" w:lastRowLastColumn="0"/>
            </w:pPr>
            <w:r w:rsidRPr="002F07CD">
              <w:t>N/A</w:t>
            </w:r>
          </w:p>
        </w:tc>
        <w:tc>
          <w:tcPr>
            <w:tcW w:w="926" w:type="pct"/>
          </w:tcPr>
          <w:p w14:paraId="58FF535F" w14:textId="15A06689" w:rsidR="00417B1B" w:rsidRPr="002F07CD" w:rsidRDefault="00AC0BBF" w:rsidP="002F07CD">
            <w:pPr>
              <w:pStyle w:val="TableText"/>
              <w:cnfStyle w:val="000000000000" w:firstRow="0" w:lastRow="0" w:firstColumn="0" w:lastColumn="0" w:oddVBand="0" w:evenVBand="0" w:oddHBand="0" w:evenHBand="0" w:firstRowFirstColumn="0" w:firstRowLastColumn="0" w:lastRowFirstColumn="0" w:lastRowLastColumn="0"/>
            </w:pPr>
            <w:r w:rsidRPr="002F07CD">
              <w:t>N/A</w:t>
            </w:r>
          </w:p>
        </w:tc>
      </w:tr>
      <w:tr w:rsidR="00417B1B" w:rsidRPr="002F07CD" w14:paraId="5D178C34" w14:textId="77777777" w:rsidTr="00AC0BBF">
        <w:tc>
          <w:tcPr>
            <w:cnfStyle w:val="001000000000" w:firstRow="0" w:lastRow="0" w:firstColumn="1" w:lastColumn="0" w:oddVBand="0" w:evenVBand="0" w:oddHBand="0" w:evenHBand="0" w:firstRowFirstColumn="0" w:firstRowLastColumn="0" w:lastRowFirstColumn="0" w:lastRowLastColumn="0"/>
            <w:tcW w:w="3148" w:type="pct"/>
          </w:tcPr>
          <w:p w14:paraId="4AA34CF3" w14:textId="77777777" w:rsidR="00417B1B" w:rsidRPr="002F07CD" w:rsidRDefault="00417B1B" w:rsidP="002F07CD">
            <w:pPr>
              <w:pStyle w:val="TableText"/>
            </w:pPr>
            <w:r w:rsidRPr="002F07CD">
              <w:t>Bail Monies</w:t>
            </w:r>
          </w:p>
        </w:tc>
        <w:tc>
          <w:tcPr>
            <w:tcW w:w="926" w:type="pct"/>
          </w:tcPr>
          <w:p w14:paraId="75CBD6AC" w14:textId="021A055D" w:rsidR="00417B1B" w:rsidRPr="002F07CD" w:rsidRDefault="005436C2" w:rsidP="002F07CD">
            <w:pPr>
              <w:pStyle w:val="TableText"/>
              <w:cnfStyle w:val="000000000000" w:firstRow="0" w:lastRow="0" w:firstColumn="0" w:lastColumn="0" w:oddVBand="0" w:evenVBand="0" w:oddHBand="0" w:evenHBand="0" w:firstRowFirstColumn="0" w:firstRowLastColumn="0" w:lastRowFirstColumn="0" w:lastRowLastColumn="0"/>
            </w:pPr>
            <w:r>
              <w:t>5,947</w:t>
            </w:r>
          </w:p>
        </w:tc>
        <w:tc>
          <w:tcPr>
            <w:tcW w:w="926" w:type="pct"/>
          </w:tcPr>
          <w:p w14:paraId="27F780DE" w14:textId="77307AAD" w:rsidR="00417B1B" w:rsidRPr="002F07CD" w:rsidRDefault="005436C2" w:rsidP="002F07CD">
            <w:pPr>
              <w:pStyle w:val="TableText"/>
              <w:cnfStyle w:val="000000000000" w:firstRow="0" w:lastRow="0" w:firstColumn="0" w:lastColumn="0" w:oddVBand="0" w:evenVBand="0" w:oddHBand="0" w:evenHBand="0" w:firstRowFirstColumn="0" w:firstRowLastColumn="0" w:lastRowFirstColumn="0" w:lastRowLastColumn="0"/>
            </w:pPr>
            <w:r>
              <w:t>5,265</w:t>
            </w:r>
          </w:p>
        </w:tc>
      </w:tr>
      <w:tr w:rsidR="00417B1B" w:rsidRPr="002F07CD" w14:paraId="3DDC4CD9" w14:textId="77777777" w:rsidTr="00F1511A">
        <w:tc>
          <w:tcPr>
            <w:cnfStyle w:val="001000000000" w:firstRow="0" w:lastRow="0" w:firstColumn="1" w:lastColumn="0" w:oddVBand="0" w:evenVBand="0" w:oddHBand="0" w:evenHBand="0" w:firstRowFirstColumn="0" w:firstRowLastColumn="0" w:lastRowFirstColumn="0" w:lastRowLastColumn="0"/>
            <w:tcW w:w="3148" w:type="pct"/>
            <w:tcBorders>
              <w:bottom w:val="single" w:sz="4" w:space="0" w:color="auto"/>
            </w:tcBorders>
          </w:tcPr>
          <w:p w14:paraId="4764FF64" w14:textId="2A799244" w:rsidR="00417B1B" w:rsidRPr="00774ADC" w:rsidRDefault="00417B1B" w:rsidP="00774ADC">
            <w:pPr>
              <w:pStyle w:val="TableText"/>
            </w:pPr>
            <w:r w:rsidRPr="00774ADC">
              <w:t xml:space="preserve">Assets under management by the Senior Master </w:t>
            </w:r>
            <w:r w:rsidRPr="00774ADC">
              <w:br/>
              <w:t>of the Supreme Court (Funds in Court)</w:t>
            </w:r>
            <w:r w:rsidR="00B74CD4">
              <w:rPr>
                <w:vertAlign w:val="superscript"/>
              </w:rPr>
              <w:t xml:space="preserve"> </w:t>
            </w:r>
            <w:hyperlink w:anchor="Note73ThirdParty" w:history="1">
              <w:r w:rsidR="00B74CD4" w:rsidRPr="00B74CD4">
                <w:rPr>
                  <w:vertAlign w:val="superscript"/>
                </w:rPr>
                <w:t>(1)</w:t>
              </w:r>
            </w:hyperlink>
          </w:p>
        </w:tc>
        <w:tc>
          <w:tcPr>
            <w:tcW w:w="926" w:type="pct"/>
            <w:tcBorders>
              <w:bottom w:val="single" w:sz="4" w:space="0" w:color="auto"/>
            </w:tcBorders>
          </w:tcPr>
          <w:p w14:paraId="08A686BC" w14:textId="722DAA62" w:rsidR="00417B1B" w:rsidRPr="00774ADC" w:rsidRDefault="005436C2" w:rsidP="002F07CD">
            <w:pPr>
              <w:pStyle w:val="TableText"/>
              <w:cnfStyle w:val="000000000000" w:firstRow="0" w:lastRow="0" w:firstColumn="0" w:lastColumn="0" w:oddVBand="0" w:evenVBand="0" w:oddHBand="0" w:evenHBand="0" w:firstRowFirstColumn="0" w:firstRowLastColumn="0" w:lastRowFirstColumn="0" w:lastRowLastColumn="0"/>
            </w:pPr>
            <w:r>
              <w:t>1,962,872</w:t>
            </w:r>
          </w:p>
        </w:tc>
        <w:tc>
          <w:tcPr>
            <w:tcW w:w="926" w:type="pct"/>
            <w:tcBorders>
              <w:bottom w:val="single" w:sz="4" w:space="0" w:color="auto"/>
            </w:tcBorders>
          </w:tcPr>
          <w:p w14:paraId="778B80E2" w14:textId="5C07CC1B" w:rsidR="00417B1B" w:rsidRPr="002F07CD" w:rsidRDefault="005436C2" w:rsidP="002F07CD">
            <w:pPr>
              <w:pStyle w:val="TableText"/>
              <w:cnfStyle w:val="000000000000" w:firstRow="0" w:lastRow="0" w:firstColumn="0" w:lastColumn="0" w:oddVBand="0" w:evenVBand="0" w:oddHBand="0" w:evenHBand="0" w:firstRowFirstColumn="0" w:firstRowLastColumn="0" w:lastRowFirstColumn="0" w:lastRowLastColumn="0"/>
            </w:pPr>
            <w:r>
              <w:t>2,024,471</w:t>
            </w:r>
          </w:p>
        </w:tc>
      </w:tr>
      <w:tr w:rsidR="00417B1B" w:rsidRPr="00DB7E45" w14:paraId="0A2349D0" w14:textId="77777777" w:rsidTr="00F1511A">
        <w:tc>
          <w:tcPr>
            <w:cnfStyle w:val="001000000000" w:firstRow="0" w:lastRow="0" w:firstColumn="1" w:lastColumn="0" w:oddVBand="0" w:evenVBand="0" w:oddHBand="0" w:evenHBand="0" w:firstRowFirstColumn="0" w:firstRowLastColumn="0" w:lastRowFirstColumn="0" w:lastRowLastColumn="0"/>
            <w:tcW w:w="3148" w:type="pct"/>
            <w:tcBorders>
              <w:top w:val="single" w:sz="4" w:space="0" w:color="auto"/>
              <w:bottom w:val="single" w:sz="4" w:space="0" w:color="auto"/>
            </w:tcBorders>
          </w:tcPr>
          <w:p w14:paraId="477CE64A" w14:textId="0372C4D6" w:rsidR="00417B1B" w:rsidRPr="00774ADC" w:rsidRDefault="00DB7E45" w:rsidP="00DB7E45">
            <w:pPr>
              <w:pStyle w:val="TableText"/>
              <w:rPr>
                <w:rStyle w:val="Bold"/>
              </w:rPr>
            </w:pPr>
            <w:r w:rsidRPr="00774ADC">
              <w:rPr>
                <w:rStyle w:val="Bold"/>
              </w:rPr>
              <w:t>Total</w:t>
            </w:r>
          </w:p>
        </w:tc>
        <w:tc>
          <w:tcPr>
            <w:tcW w:w="926" w:type="pct"/>
            <w:tcBorders>
              <w:top w:val="single" w:sz="4" w:space="0" w:color="auto"/>
              <w:bottom w:val="single" w:sz="4" w:space="0" w:color="auto"/>
            </w:tcBorders>
          </w:tcPr>
          <w:p w14:paraId="1D9B8D56" w14:textId="17E4FA60" w:rsidR="00417B1B" w:rsidRPr="00774ADC" w:rsidRDefault="005436C2" w:rsidP="002F07CD">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1,968,819</w:t>
            </w:r>
          </w:p>
        </w:tc>
        <w:tc>
          <w:tcPr>
            <w:tcW w:w="926" w:type="pct"/>
            <w:tcBorders>
              <w:top w:val="single" w:sz="4" w:space="0" w:color="auto"/>
              <w:bottom w:val="single" w:sz="4" w:space="0" w:color="auto"/>
            </w:tcBorders>
          </w:tcPr>
          <w:p w14:paraId="7389D7A8" w14:textId="47783A95" w:rsidR="00417B1B" w:rsidRPr="00DB7E45" w:rsidRDefault="005436C2" w:rsidP="002F07CD">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2,029,736</w:t>
            </w:r>
          </w:p>
        </w:tc>
      </w:tr>
    </w:tbl>
    <w:p w14:paraId="74673FAF" w14:textId="499E6AC2" w:rsidR="00417B1B" w:rsidRPr="00E93F72" w:rsidRDefault="00417B1B" w:rsidP="00F110E7">
      <w:pPr>
        <w:pStyle w:val="NotesNumberedList"/>
        <w:numPr>
          <w:ilvl w:val="0"/>
          <w:numId w:val="24"/>
        </w:numPr>
      </w:pPr>
      <w:bookmarkStart w:id="408" w:name="Note73ThirdParty"/>
      <w:r w:rsidRPr="00E93F72">
        <w:t>Further information about Funds in Court can be found at</w:t>
      </w:r>
      <w:r w:rsidR="00B74CD4">
        <w:t xml:space="preserve"> the </w:t>
      </w:r>
      <w:hyperlink r:id="rId44" w:history="1">
        <w:r w:rsidR="00B74CD4" w:rsidRPr="00B74CD4">
          <w:rPr>
            <w:rStyle w:val="Hyperlink"/>
          </w:rPr>
          <w:t>Supreme Court of Victoria website</w:t>
        </w:r>
      </w:hyperlink>
      <w:bookmarkEnd w:id="408"/>
      <w:r w:rsidR="00B74CD4">
        <w:rPr>
          <w:rStyle w:val="FootnoteReference"/>
        </w:rPr>
        <w:footnoteReference w:id="5"/>
      </w:r>
      <w:r w:rsidRPr="00E93F72">
        <w:t xml:space="preserve"> </w:t>
      </w:r>
    </w:p>
    <w:p w14:paraId="38031908" w14:textId="49AEDECD" w:rsidR="00417B1B" w:rsidRDefault="00DB7E45" w:rsidP="00417B1B">
      <w:pPr>
        <w:pStyle w:val="Heading3"/>
      </w:pPr>
      <w:bookmarkStart w:id="409" w:name="Note74"/>
      <w:bookmarkStart w:id="410" w:name="_Toc62808167"/>
      <w:r>
        <w:t xml:space="preserve">7.4 </w:t>
      </w:r>
      <w:bookmarkEnd w:id="409"/>
      <w:r>
        <w:t>Commitments f</w:t>
      </w:r>
      <w:r w:rsidR="00417B1B">
        <w:t>or Expenditure</w:t>
      </w:r>
      <w:bookmarkEnd w:id="410"/>
    </w:p>
    <w:p w14:paraId="539A38E3" w14:textId="11D27E95" w:rsidR="005436C2" w:rsidRDefault="005436C2" w:rsidP="005436C2">
      <w:pPr>
        <w:pStyle w:val="BodyText"/>
      </w:pPr>
      <w:r>
        <w:t>Commitments for future expenditure include operating and capital commitments arising from contracts. These commitments are recorded below at their nominal value and inclusive of GST. These future expenditures cease to be disclosed as commitments once the related liabilities are recognised in the balance sheet.</w:t>
      </w:r>
    </w:p>
    <w:p w14:paraId="6E404174" w14:textId="1A2D10E0" w:rsidR="00417B1B" w:rsidRDefault="00417B1B" w:rsidP="00417B1B">
      <w:pPr>
        <w:pStyle w:val="Heading4"/>
      </w:pPr>
      <w:bookmarkStart w:id="411" w:name="Note741"/>
      <w:r>
        <w:t>7.4.1</w:t>
      </w:r>
      <w:bookmarkEnd w:id="411"/>
      <w:r>
        <w:tab/>
        <w:t>Total Commitments Payable</w:t>
      </w:r>
    </w:p>
    <w:p w14:paraId="4DED2376" w14:textId="1750B4A0" w:rsidR="00D11FA5" w:rsidRPr="00D11FA5" w:rsidRDefault="00D11FA5" w:rsidP="00D11FA5">
      <w:pPr>
        <w:pStyle w:val="BodyText"/>
      </w:pPr>
      <w:r w:rsidRPr="00C864CC">
        <w:t>Nominal Amounts: 20</w:t>
      </w:r>
      <w:r w:rsidR="005436C2">
        <w:t>20</w:t>
      </w:r>
    </w:p>
    <w:tbl>
      <w:tblPr>
        <w:tblStyle w:val="AccessibleTableNumerical"/>
        <w:tblW w:w="5000" w:type="pct"/>
        <w:tblLook w:val="06E0" w:firstRow="1" w:lastRow="1" w:firstColumn="1" w:lastColumn="0" w:noHBand="1" w:noVBand="1"/>
      </w:tblPr>
      <w:tblGrid>
        <w:gridCol w:w="4360"/>
        <w:gridCol w:w="1320"/>
        <w:gridCol w:w="1319"/>
        <w:gridCol w:w="1321"/>
        <w:gridCol w:w="1319"/>
      </w:tblGrid>
      <w:tr w:rsidR="00D11FA5" w:rsidRPr="00C864CC" w14:paraId="4E921BA1" w14:textId="77777777" w:rsidTr="00DB7E45">
        <w:trPr>
          <w:cnfStyle w:val="100000000000" w:firstRow="1" w:lastRow="0" w:firstColumn="0" w:lastColumn="0" w:oddVBand="0" w:evenVBand="0" w:oddHBand="0" w:evenHBand="0" w:firstRowFirstColumn="0" w:firstRowLastColumn="0" w:lastRowFirstColumn="0" w:lastRowLastColumn="0"/>
          <w:trHeight w:val="990"/>
        </w:trPr>
        <w:tc>
          <w:tcPr>
            <w:cnfStyle w:val="001000000100" w:firstRow="0" w:lastRow="0" w:firstColumn="1" w:lastColumn="0" w:oddVBand="0" w:evenVBand="0" w:oddHBand="0" w:evenHBand="0" w:firstRowFirstColumn="1" w:firstRowLastColumn="0" w:lastRowFirstColumn="0" w:lastRowLastColumn="0"/>
            <w:tcW w:w="2262" w:type="pct"/>
          </w:tcPr>
          <w:p w14:paraId="321C033E" w14:textId="493951BB" w:rsidR="00D11FA5" w:rsidRPr="00C864CC" w:rsidRDefault="00D11FA5" w:rsidP="00D11FA5">
            <w:pPr>
              <w:pStyle w:val="TableText"/>
            </w:pPr>
            <w:bookmarkStart w:id="412" w:name="ColumnTitle_80"/>
            <w:r>
              <w:t>Item</w:t>
            </w:r>
          </w:p>
        </w:tc>
        <w:tc>
          <w:tcPr>
            <w:tcW w:w="685" w:type="pct"/>
            <w:vAlign w:val="bottom"/>
          </w:tcPr>
          <w:p w14:paraId="5E5B2A8F" w14:textId="0A3AEAAD" w:rsidR="00D11FA5" w:rsidRPr="00C864CC" w:rsidRDefault="00DB7E45" w:rsidP="00DB7E45">
            <w:pPr>
              <w:pStyle w:val="TableText"/>
              <w:cnfStyle w:val="100000000000" w:firstRow="1" w:lastRow="0" w:firstColumn="0" w:lastColumn="0" w:oddVBand="0" w:evenVBand="0" w:oddHBand="0" w:evenHBand="0" w:firstRowFirstColumn="0" w:firstRowLastColumn="0" w:lastRowFirstColumn="0" w:lastRowLastColumn="0"/>
            </w:pPr>
            <w:r>
              <w:t>Less than</w:t>
            </w:r>
            <w:r>
              <w:br/>
            </w:r>
            <w:r w:rsidR="00D11FA5" w:rsidRPr="00C864CC">
              <w:t>1</w:t>
            </w:r>
            <w:r w:rsidR="00D11FA5">
              <w:t xml:space="preserve"> </w:t>
            </w:r>
            <w:r w:rsidR="00D11FA5" w:rsidRPr="00C864CC">
              <w:t>year</w:t>
            </w:r>
          </w:p>
          <w:p w14:paraId="77B51DFD" w14:textId="6A7CA762"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84" w:type="pct"/>
            <w:vAlign w:val="bottom"/>
          </w:tcPr>
          <w:p w14:paraId="5D76D87F"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Between 1</w:t>
            </w:r>
            <w:r>
              <w:t xml:space="preserve"> </w:t>
            </w:r>
            <w:r w:rsidRPr="00C864CC">
              <w:t>and 5 years</w:t>
            </w:r>
          </w:p>
          <w:p w14:paraId="7A4C6326" w14:textId="335C5C4D"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85" w:type="pct"/>
            <w:vAlign w:val="bottom"/>
          </w:tcPr>
          <w:p w14:paraId="28341E63"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 xml:space="preserve">Over </w:t>
            </w:r>
            <w:r w:rsidRPr="00C864CC">
              <w:br/>
              <w:t>5 years</w:t>
            </w:r>
          </w:p>
          <w:p w14:paraId="5F84ACE7" w14:textId="727E767B"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84" w:type="pct"/>
            <w:vAlign w:val="bottom"/>
          </w:tcPr>
          <w:p w14:paraId="4C02ADC3"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Total</w:t>
            </w:r>
          </w:p>
          <w:p w14:paraId="7FE9FCBF" w14:textId="1DD0EE9A"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r>
      <w:bookmarkEnd w:id="412"/>
      <w:tr w:rsidR="00417B1B" w:rsidRPr="00C864CC" w14:paraId="72D42D24" w14:textId="77777777" w:rsidTr="00D11FA5">
        <w:tc>
          <w:tcPr>
            <w:cnfStyle w:val="001000000000" w:firstRow="0" w:lastRow="0" w:firstColumn="1" w:lastColumn="0" w:oddVBand="0" w:evenVBand="0" w:oddHBand="0" w:evenHBand="0" w:firstRowFirstColumn="0" w:firstRowLastColumn="0" w:lastRowFirstColumn="0" w:lastRowLastColumn="0"/>
            <w:tcW w:w="2262" w:type="pct"/>
          </w:tcPr>
          <w:p w14:paraId="6402D959" w14:textId="3D9E822E" w:rsidR="00417B1B" w:rsidRPr="00C864CC" w:rsidRDefault="00417B1B" w:rsidP="006A197A">
            <w:pPr>
              <w:pStyle w:val="TableText"/>
            </w:pPr>
            <w:r w:rsidRPr="00C864CC">
              <w:t>Public private partnership–operation and</w:t>
            </w:r>
            <w:r w:rsidR="006A197A">
              <w:t xml:space="preserve"> maintenance commitments</w:t>
            </w:r>
            <w:r w:rsidR="009F2D58">
              <w:t xml:space="preserve"> </w:t>
            </w:r>
            <w:hyperlink w:anchor="Note714f" w:history="1">
              <w:r w:rsidR="009F2D58" w:rsidRPr="009F2D58">
                <w:t>(7.1.4.f)</w:t>
              </w:r>
            </w:hyperlink>
          </w:p>
        </w:tc>
        <w:tc>
          <w:tcPr>
            <w:tcW w:w="685" w:type="pct"/>
          </w:tcPr>
          <w:p w14:paraId="5C592730" w14:textId="111B4DC5"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13,948</w:t>
            </w:r>
          </w:p>
        </w:tc>
        <w:tc>
          <w:tcPr>
            <w:tcW w:w="684" w:type="pct"/>
          </w:tcPr>
          <w:p w14:paraId="63413FF1" w14:textId="0325D20E"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14,259</w:t>
            </w:r>
          </w:p>
        </w:tc>
        <w:tc>
          <w:tcPr>
            <w:tcW w:w="685" w:type="pct"/>
          </w:tcPr>
          <w:p w14:paraId="593EE2C8" w14:textId="36D68959"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84" w:type="pct"/>
          </w:tcPr>
          <w:p w14:paraId="5C8EF184" w14:textId="35CDCEC2"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28,207</w:t>
            </w:r>
          </w:p>
        </w:tc>
      </w:tr>
      <w:tr w:rsidR="00417B1B" w:rsidRPr="00C864CC" w14:paraId="483F06AC" w14:textId="77777777" w:rsidTr="00D11FA5">
        <w:tc>
          <w:tcPr>
            <w:cnfStyle w:val="001000000000" w:firstRow="0" w:lastRow="0" w:firstColumn="1" w:lastColumn="0" w:oddVBand="0" w:evenVBand="0" w:oddHBand="0" w:evenHBand="0" w:firstRowFirstColumn="0" w:firstRowLastColumn="0" w:lastRowFirstColumn="0" w:lastRowLastColumn="0"/>
            <w:tcW w:w="2262" w:type="pct"/>
          </w:tcPr>
          <w:p w14:paraId="50D4B643" w14:textId="77777777" w:rsidR="00417B1B" w:rsidRPr="00C864CC" w:rsidRDefault="00417B1B" w:rsidP="00D11FA5">
            <w:pPr>
              <w:pStyle w:val="TableText"/>
            </w:pPr>
            <w:r w:rsidRPr="00C864CC">
              <w:t>Capital expenditure commitments payable</w:t>
            </w:r>
          </w:p>
        </w:tc>
        <w:tc>
          <w:tcPr>
            <w:tcW w:w="685" w:type="pct"/>
          </w:tcPr>
          <w:p w14:paraId="0B610FAB" w14:textId="7B3E55FD"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6,488</w:t>
            </w:r>
          </w:p>
        </w:tc>
        <w:tc>
          <w:tcPr>
            <w:tcW w:w="684" w:type="pct"/>
          </w:tcPr>
          <w:p w14:paraId="25A2D91B" w14:textId="379ABFE3"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12,308</w:t>
            </w:r>
          </w:p>
        </w:tc>
        <w:tc>
          <w:tcPr>
            <w:tcW w:w="685" w:type="pct"/>
          </w:tcPr>
          <w:p w14:paraId="736FAD4F" w14:textId="58C41CF0"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84" w:type="pct"/>
          </w:tcPr>
          <w:p w14:paraId="1E589B00" w14:textId="4FFA033E"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18,797</w:t>
            </w:r>
          </w:p>
        </w:tc>
      </w:tr>
      <w:tr w:rsidR="00417B1B" w:rsidRPr="00C864CC" w14:paraId="59EC4EAE" w14:textId="77777777" w:rsidTr="00D11FA5">
        <w:tc>
          <w:tcPr>
            <w:cnfStyle w:val="001000000000" w:firstRow="0" w:lastRow="0" w:firstColumn="1" w:lastColumn="0" w:oddVBand="0" w:evenVBand="0" w:oddHBand="0" w:evenHBand="0" w:firstRowFirstColumn="0" w:firstRowLastColumn="0" w:lastRowFirstColumn="0" w:lastRowLastColumn="0"/>
            <w:tcW w:w="2262" w:type="pct"/>
          </w:tcPr>
          <w:p w14:paraId="34EFCCC0" w14:textId="77777777" w:rsidR="00417B1B" w:rsidRPr="00C864CC" w:rsidRDefault="00417B1B" w:rsidP="00D11FA5">
            <w:pPr>
              <w:pStyle w:val="TableText"/>
            </w:pPr>
            <w:r w:rsidRPr="00C864CC">
              <w:t xml:space="preserve">Operating commitments payable </w:t>
            </w:r>
          </w:p>
        </w:tc>
        <w:tc>
          <w:tcPr>
            <w:tcW w:w="685" w:type="pct"/>
          </w:tcPr>
          <w:p w14:paraId="6E8EBA8A" w14:textId="63ECCD91"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28,065</w:t>
            </w:r>
          </w:p>
        </w:tc>
        <w:tc>
          <w:tcPr>
            <w:tcW w:w="684" w:type="pct"/>
          </w:tcPr>
          <w:p w14:paraId="74972356" w14:textId="761AB2D9"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45,336</w:t>
            </w:r>
          </w:p>
        </w:tc>
        <w:tc>
          <w:tcPr>
            <w:tcW w:w="685" w:type="pct"/>
          </w:tcPr>
          <w:p w14:paraId="653386F6" w14:textId="3E9E226E"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11,067</w:t>
            </w:r>
          </w:p>
        </w:tc>
        <w:tc>
          <w:tcPr>
            <w:tcW w:w="684" w:type="pct"/>
          </w:tcPr>
          <w:p w14:paraId="04CD7ACA" w14:textId="6D05E7EC"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84,467</w:t>
            </w:r>
          </w:p>
        </w:tc>
      </w:tr>
      <w:tr w:rsidR="00417B1B" w:rsidRPr="00C864CC" w14:paraId="2954C94E" w14:textId="77777777" w:rsidTr="00D11FA5">
        <w:tc>
          <w:tcPr>
            <w:cnfStyle w:val="001000000000" w:firstRow="0" w:lastRow="0" w:firstColumn="1" w:lastColumn="0" w:oddVBand="0" w:evenVBand="0" w:oddHBand="0" w:evenHBand="0" w:firstRowFirstColumn="0" w:firstRowLastColumn="0" w:lastRowFirstColumn="0" w:lastRowLastColumn="0"/>
            <w:tcW w:w="2262" w:type="pct"/>
            <w:tcBorders>
              <w:bottom w:val="single" w:sz="4" w:space="0" w:color="auto"/>
            </w:tcBorders>
          </w:tcPr>
          <w:p w14:paraId="01FCA4F8" w14:textId="77777777" w:rsidR="00417B1B" w:rsidRPr="00C864CC" w:rsidRDefault="00417B1B" w:rsidP="00D11FA5">
            <w:pPr>
              <w:pStyle w:val="TableText"/>
            </w:pPr>
            <w:r w:rsidRPr="00C864CC">
              <w:t>Other commitments payable</w:t>
            </w:r>
          </w:p>
        </w:tc>
        <w:tc>
          <w:tcPr>
            <w:tcW w:w="685" w:type="pct"/>
            <w:tcBorders>
              <w:bottom w:val="single" w:sz="4" w:space="0" w:color="auto"/>
            </w:tcBorders>
          </w:tcPr>
          <w:p w14:paraId="54516EB9" w14:textId="54A1A1FB"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80</w:t>
            </w:r>
          </w:p>
        </w:tc>
        <w:tc>
          <w:tcPr>
            <w:tcW w:w="684" w:type="pct"/>
            <w:tcBorders>
              <w:bottom w:val="single" w:sz="4" w:space="0" w:color="auto"/>
            </w:tcBorders>
          </w:tcPr>
          <w:p w14:paraId="531184A0" w14:textId="20F28598"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73</w:t>
            </w:r>
          </w:p>
        </w:tc>
        <w:tc>
          <w:tcPr>
            <w:tcW w:w="685" w:type="pct"/>
            <w:tcBorders>
              <w:bottom w:val="single" w:sz="4" w:space="0" w:color="auto"/>
            </w:tcBorders>
          </w:tcPr>
          <w:p w14:paraId="6219E1AA" w14:textId="6074A0D3"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84" w:type="pct"/>
            <w:tcBorders>
              <w:bottom w:val="single" w:sz="4" w:space="0" w:color="auto"/>
            </w:tcBorders>
          </w:tcPr>
          <w:p w14:paraId="15F3140C" w14:textId="5C441230"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153</w:t>
            </w:r>
          </w:p>
        </w:tc>
      </w:tr>
      <w:tr w:rsidR="00417B1B" w:rsidRPr="00D11FA5" w14:paraId="7350D36B" w14:textId="77777777" w:rsidTr="00D11FA5">
        <w:tc>
          <w:tcPr>
            <w:cnfStyle w:val="001000000000" w:firstRow="0" w:lastRow="0" w:firstColumn="1" w:lastColumn="0" w:oddVBand="0" w:evenVBand="0" w:oddHBand="0" w:evenHBand="0" w:firstRowFirstColumn="0" w:firstRowLastColumn="0" w:lastRowFirstColumn="0" w:lastRowLastColumn="0"/>
            <w:tcW w:w="2262" w:type="pct"/>
            <w:tcBorders>
              <w:top w:val="single" w:sz="4" w:space="0" w:color="auto"/>
              <w:bottom w:val="single" w:sz="4" w:space="0" w:color="auto"/>
            </w:tcBorders>
            <w:shd w:val="clear" w:color="auto" w:fill="auto"/>
          </w:tcPr>
          <w:p w14:paraId="34BB90F9" w14:textId="77777777" w:rsidR="00417B1B" w:rsidRPr="00D11FA5" w:rsidRDefault="00417B1B" w:rsidP="00D11FA5">
            <w:pPr>
              <w:pStyle w:val="TableText"/>
              <w:rPr>
                <w:rStyle w:val="Bold"/>
              </w:rPr>
            </w:pPr>
            <w:r w:rsidRPr="00D11FA5">
              <w:rPr>
                <w:rStyle w:val="Bold"/>
              </w:rPr>
              <w:t>Total commitments (inclusive of GST)</w:t>
            </w:r>
          </w:p>
        </w:tc>
        <w:tc>
          <w:tcPr>
            <w:tcW w:w="685" w:type="pct"/>
            <w:tcBorders>
              <w:top w:val="single" w:sz="4" w:space="0" w:color="auto"/>
              <w:bottom w:val="single" w:sz="4" w:space="0" w:color="auto"/>
            </w:tcBorders>
            <w:shd w:val="clear" w:color="auto" w:fill="auto"/>
          </w:tcPr>
          <w:p w14:paraId="1AB57FEB" w14:textId="286B881C" w:rsidR="00417B1B" w:rsidRPr="00D11FA5" w:rsidRDefault="005436C2"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48,581</w:t>
            </w:r>
          </w:p>
        </w:tc>
        <w:tc>
          <w:tcPr>
            <w:tcW w:w="684" w:type="pct"/>
            <w:tcBorders>
              <w:top w:val="single" w:sz="4" w:space="0" w:color="auto"/>
              <w:bottom w:val="single" w:sz="4" w:space="0" w:color="auto"/>
            </w:tcBorders>
            <w:shd w:val="clear" w:color="auto" w:fill="auto"/>
          </w:tcPr>
          <w:p w14:paraId="3FF91D95" w14:textId="0146863F" w:rsidR="00417B1B" w:rsidRPr="00D11FA5" w:rsidRDefault="005436C2"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71,975</w:t>
            </w:r>
          </w:p>
        </w:tc>
        <w:tc>
          <w:tcPr>
            <w:tcW w:w="685" w:type="pct"/>
            <w:tcBorders>
              <w:top w:val="single" w:sz="4" w:space="0" w:color="auto"/>
              <w:bottom w:val="single" w:sz="4" w:space="0" w:color="auto"/>
            </w:tcBorders>
            <w:shd w:val="clear" w:color="auto" w:fill="auto"/>
          </w:tcPr>
          <w:p w14:paraId="52F0B458" w14:textId="4EE9E561" w:rsidR="00417B1B" w:rsidRPr="00D11FA5" w:rsidRDefault="005436C2"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11,067</w:t>
            </w:r>
          </w:p>
        </w:tc>
        <w:tc>
          <w:tcPr>
            <w:tcW w:w="684" w:type="pct"/>
            <w:tcBorders>
              <w:top w:val="single" w:sz="4" w:space="0" w:color="auto"/>
              <w:bottom w:val="single" w:sz="4" w:space="0" w:color="auto"/>
            </w:tcBorders>
            <w:shd w:val="clear" w:color="auto" w:fill="auto"/>
          </w:tcPr>
          <w:p w14:paraId="77437E4A" w14:textId="48A6766E" w:rsidR="00417B1B" w:rsidRPr="00D11FA5" w:rsidRDefault="005436C2"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131,622</w:t>
            </w:r>
          </w:p>
        </w:tc>
      </w:tr>
      <w:tr w:rsidR="00417B1B" w:rsidRPr="00C864CC" w14:paraId="1C0D58DB" w14:textId="77777777" w:rsidTr="00D11FA5">
        <w:tc>
          <w:tcPr>
            <w:cnfStyle w:val="001000000000" w:firstRow="0" w:lastRow="0" w:firstColumn="1" w:lastColumn="0" w:oddVBand="0" w:evenVBand="0" w:oddHBand="0" w:evenHBand="0" w:firstRowFirstColumn="0" w:firstRowLastColumn="0" w:lastRowFirstColumn="0" w:lastRowLastColumn="0"/>
            <w:tcW w:w="2262" w:type="pct"/>
            <w:tcBorders>
              <w:top w:val="single" w:sz="4" w:space="0" w:color="auto"/>
              <w:bottom w:val="single" w:sz="4" w:space="0" w:color="auto"/>
            </w:tcBorders>
          </w:tcPr>
          <w:p w14:paraId="7ECB977E" w14:textId="77777777" w:rsidR="00417B1B" w:rsidRPr="00C864CC" w:rsidRDefault="00417B1B" w:rsidP="00D11FA5">
            <w:pPr>
              <w:pStyle w:val="TableText"/>
            </w:pPr>
            <w:r w:rsidRPr="00C864CC">
              <w:t>Less GST recoverable</w:t>
            </w:r>
          </w:p>
        </w:tc>
        <w:tc>
          <w:tcPr>
            <w:tcW w:w="685" w:type="pct"/>
            <w:tcBorders>
              <w:top w:val="single" w:sz="4" w:space="0" w:color="auto"/>
              <w:bottom w:val="single" w:sz="4" w:space="0" w:color="auto"/>
            </w:tcBorders>
          </w:tcPr>
          <w:p w14:paraId="637FC511" w14:textId="61197F08"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4,416</w:t>
            </w:r>
          </w:p>
        </w:tc>
        <w:tc>
          <w:tcPr>
            <w:tcW w:w="684" w:type="pct"/>
            <w:tcBorders>
              <w:top w:val="single" w:sz="4" w:space="0" w:color="auto"/>
              <w:bottom w:val="single" w:sz="4" w:space="0" w:color="auto"/>
            </w:tcBorders>
          </w:tcPr>
          <w:p w14:paraId="37B8069A" w14:textId="70A4061C"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6,543</w:t>
            </w:r>
          </w:p>
        </w:tc>
        <w:tc>
          <w:tcPr>
            <w:tcW w:w="685" w:type="pct"/>
            <w:tcBorders>
              <w:top w:val="single" w:sz="4" w:space="0" w:color="auto"/>
              <w:bottom w:val="single" w:sz="4" w:space="0" w:color="auto"/>
            </w:tcBorders>
          </w:tcPr>
          <w:p w14:paraId="29E20B3A" w14:textId="2E847FC9"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1,006</w:t>
            </w:r>
          </w:p>
        </w:tc>
        <w:tc>
          <w:tcPr>
            <w:tcW w:w="684" w:type="pct"/>
            <w:tcBorders>
              <w:top w:val="single" w:sz="4" w:space="0" w:color="auto"/>
              <w:bottom w:val="single" w:sz="4" w:space="0" w:color="auto"/>
            </w:tcBorders>
          </w:tcPr>
          <w:p w14:paraId="5FD57C45" w14:textId="05405947" w:rsidR="00417B1B" w:rsidRPr="00C864CC" w:rsidRDefault="005436C2" w:rsidP="00D11FA5">
            <w:pPr>
              <w:pStyle w:val="TableText"/>
              <w:cnfStyle w:val="000000000000" w:firstRow="0" w:lastRow="0" w:firstColumn="0" w:lastColumn="0" w:oddVBand="0" w:evenVBand="0" w:oddHBand="0" w:evenHBand="0" w:firstRowFirstColumn="0" w:firstRowLastColumn="0" w:lastRowFirstColumn="0" w:lastRowLastColumn="0"/>
            </w:pPr>
            <w:r>
              <w:t>11,966</w:t>
            </w:r>
          </w:p>
        </w:tc>
      </w:tr>
      <w:tr w:rsidR="00417B1B" w:rsidRPr="00D11FA5" w14:paraId="045E7485" w14:textId="77777777" w:rsidTr="00D11F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shd w:val="clear" w:color="auto" w:fill="auto"/>
          </w:tcPr>
          <w:p w14:paraId="471691B7" w14:textId="77777777" w:rsidR="00417B1B" w:rsidRPr="00D11FA5" w:rsidRDefault="00417B1B" w:rsidP="00D11FA5">
            <w:pPr>
              <w:pStyle w:val="TableText"/>
              <w:rPr>
                <w:rStyle w:val="Bold"/>
              </w:rPr>
            </w:pPr>
            <w:r w:rsidRPr="00D11FA5">
              <w:rPr>
                <w:rStyle w:val="Bold"/>
              </w:rPr>
              <w:t>Total commitments (exclusive of GST)</w:t>
            </w:r>
          </w:p>
        </w:tc>
        <w:tc>
          <w:tcPr>
            <w:tcW w:w="685" w:type="pct"/>
            <w:shd w:val="clear" w:color="auto" w:fill="auto"/>
          </w:tcPr>
          <w:p w14:paraId="47E0F03F" w14:textId="0F4039F4" w:rsidR="00417B1B" w:rsidRPr="00D11FA5" w:rsidRDefault="005436C2"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44,164</w:t>
            </w:r>
          </w:p>
        </w:tc>
        <w:tc>
          <w:tcPr>
            <w:tcW w:w="684" w:type="pct"/>
            <w:shd w:val="clear" w:color="auto" w:fill="auto"/>
          </w:tcPr>
          <w:p w14:paraId="1B6D87C4" w14:textId="33249E9A" w:rsidR="00417B1B" w:rsidRPr="00D11FA5" w:rsidRDefault="005436C2"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65,432</w:t>
            </w:r>
          </w:p>
        </w:tc>
        <w:tc>
          <w:tcPr>
            <w:tcW w:w="685" w:type="pct"/>
            <w:shd w:val="clear" w:color="auto" w:fill="auto"/>
          </w:tcPr>
          <w:p w14:paraId="53FE2CBD" w14:textId="18B15280" w:rsidR="00417B1B" w:rsidRPr="00D11FA5" w:rsidRDefault="005436C2"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10,060</w:t>
            </w:r>
          </w:p>
        </w:tc>
        <w:tc>
          <w:tcPr>
            <w:tcW w:w="684" w:type="pct"/>
            <w:shd w:val="clear" w:color="auto" w:fill="auto"/>
          </w:tcPr>
          <w:p w14:paraId="590733E3" w14:textId="470C0255" w:rsidR="00417B1B" w:rsidRPr="00D11FA5" w:rsidRDefault="005436C2"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119,657</w:t>
            </w:r>
          </w:p>
        </w:tc>
      </w:tr>
    </w:tbl>
    <w:p w14:paraId="36A8B8C1" w14:textId="204F8921" w:rsidR="00417B1B" w:rsidRDefault="00D11FA5" w:rsidP="00D11FA5">
      <w:pPr>
        <w:pStyle w:val="BodyText"/>
        <w:keepNext/>
      </w:pPr>
      <w:r w:rsidRPr="00C864CC">
        <w:t>Nominal Amounts: 201</w:t>
      </w:r>
      <w:r w:rsidR="00133FFF">
        <w:t>9</w:t>
      </w:r>
    </w:p>
    <w:tbl>
      <w:tblPr>
        <w:tblStyle w:val="AccessibleTableNumerical"/>
        <w:tblW w:w="5000" w:type="pct"/>
        <w:tblLook w:val="06E0" w:firstRow="1" w:lastRow="1" w:firstColumn="1" w:lastColumn="0" w:noHBand="1" w:noVBand="1"/>
      </w:tblPr>
      <w:tblGrid>
        <w:gridCol w:w="4399"/>
        <w:gridCol w:w="1311"/>
        <w:gridCol w:w="1313"/>
        <w:gridCol w:w="1311"/>
        <w:gridCol w:w="1305"/>
      </w:tblGrid>
      <w:tr w:rsidR="00D11FA5" w:rsidRPr="00C864CC" w14:paraId="2E171485" w14:textId="77777777" w:rsidTr="00DB7E45">
        <w:trPr>
          <w:cnfStyle w:val="100000000000" w:firstRow="1" w:lastRow="0" w:firstColumn="0" w:lastColumn="0" w:oddVBand="0" w:evenVBand="0" w:oddHBand="0" w:evenHBand="0" w:firstRowFirstColumn="0" w:firstRowLastColumn="0" w:lastRowFirstColumn="0" w:lastRowLastColumn="0"/>
          <w:trHeight w:val="990"/>
        </w:trPr>
        <w:tc>
          <w:tcPr>
            <w:cnfStyle w:val="001000000100" w:firstRow="0" w:lastRow="0" w:firstColumn="1" w:lastColumn="0" w:oddVBand="0" w:evenVBand="0" w:oddHBand="0" w:evenHBand="0" w:firstRowFirstColumn="1" w:firstRowLastColumn="0" w:lastRowFirstColumn="0" w:lastRowLastColumn="0"/>
            <w:tcW w:w="2282" w:type="pct"/>
          </w:tcPr>
          <w:p w14:paraId="01C4A4ED" w14:textId="7C6E22BD" w:rsidR="00D11FA5" w:rsidRPr="00C864CC" w:rsidRDefault="00D11FA5" w:rsidP="00D11FA5">
            <w:pPr>
              <w:pStyle w:val="TableText"/>
            </w:pPr>
            <w:bookmarkStart w:id="413" w:name="ColumnTitle_81"/>
            <w:r>
              <w:t>Item</w:t>
            </w:r>
          </w:p>
        </w:tc>
        <w:tc>
          <w:tcPr>
            <w:tcW w:w="680" w:type="pct"/>
            <w:vAlign w:val="bottom"/>
          </w:tcPr>
          <w:p w14:paraId="363B43CF" w14:textId="3CEB9D5A" w:rsidR="00D11FA5" w:rsidRPr="00C864CC" w:rsidRDefault="00DB7E45" w:rsidP="00DB7E45">
            <w:pPr>
              <w:pStyle w:val="TableText"/>
              <w:cnfStyle w:val="100000000000" w:firstRow="1" w:lastRow="0" w:firstColumn="0" w:lastColumn="0" w:oddVBand="0" w:evenVBand="0" w:oddHBand="0" w:evenHBand="0" w:firstRowFirstColumn="0" w:firstRowLastColumn="0" w:lastRowFirstColumn="0" w:lastRowLastColumn="0"/>
            </w:pPr>
            <w:r>
              <w:t>Less than</w:t>
            </w:r>
            <w:r>
              <w:br/>
            </w:r>
            <w:r w:rsidR="00D11FA5" w:rsidRPr="00C864CC">
              <w:t>1</w:t>
            </w:r>
            <w:r w:rsidR="00D11FA5">
              <w:t xml:space="preserve"> </w:t>
            </w:r>
            <w:r w:rsidR="00D11FA5" w:rsidRPr="00C864CC">
              <w:t>year</w:t>
            </w:r>
          </w:p>
          <w:p w14:paraId="6FF7BF48" w14:textId="1AA5360A"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81" w:type="pct"/>
            <w:vAlign w:val="bottom"/>
          </w:tcPr>
          <w:p w14:paraId="049846D4"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Between 1</w:t>
            </w:r>
            <w:r>
              <w:t xml:space="preserve"> </w:t>
            </w:r>
            <w:r w:rsidRPr="00C864CC">
              <w:t>and 5 years</w:t>
            </w:r>
          </w:p>
          <w:p w14:paraId="0E722D4A" w14:textId="60E1F0D4"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80" w:type="pct"/>
            <w:vAlign w:val="bottom"/>
          </w:tcPr>
          <w:p w14:paraId="45ACE9CE"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 xml:space="preserve">Over </w:t>
            </w:r>
            <w:r w:rsidRPr="00C864CC">
              <w:br/>
              <w:t>5 years</w:t>
            </w:r>
          </w:p>
          <w:p w14:paraId="4D402B4D" w14:textId="1592695E"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c>
          <w:tcPr>
            <w:tcW w:w="678" w:type="pct"/>
            <w:vAlign w:val="bottom"/>
          </w:tcPr>
          <w:p w14:paraId="4C7568C8" w14:textId="77777777"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Total</w:t>
            </w:r>
          </w:p>
          <w:p w14:paraId="31CA0463" w14:textId="4F418BE3" w:rsidR="00D11FA5" w:rsidRPr="00C864CC" w:rsidRDefault="00D11FA5" w:rsidP="00DB7E45">
            <w:pPr>
              <w:pStyle w:val="TableText"/>
              <w:cnfStyle w:val="100000000000" w:firstRow="1" w:lastRow="0" w:firstColumn="0" w:lastColumn="0" w:oddVBand="0" w:evenVBand="0" w:oddHBand="0" w:evenHBand="0" w:firstRowFirstColumn="0" w:firstRowLastColumn="0" w:lastRowFirstColumn="0" w:lastRowLastColumn="0"/>
            </w:pPr>
            <w:r w:rsidRPr="00C864CC">
              <w:t>$'000</w:t>
            </w:r>
          </w:p>
        </w:tc>
      </w:tr>
      <w:bookmarkEnd w:id="413"/>
      <w:tr w:rsidR="00417B1B" w:rsidRPr="00C864CC" w14:paraId="10350BE3" w14:textId="77777777" w:rsidTr="00D11FA5">
        <w:tc>
          <w:tcPr>
            <w:cnfStyle w:val="001000000000" w:firstRow="0" w:lastRow="0" w:firstColumn="1" w:lastColumn="0" w:oddVBand="0" w:evenVBand="0" w:oddHBand="0" w:evenHBand="0" w:firstRowFirstColumn="0" w:firstRowLastColumn="0" w:lastRowFirstColumn="0" w:lastRowLastColumn="0"/>
            <w:tcW w:w="2282" w:type="pct"/>
          </w:tcPr>
          <w:p w14:paraId="5A6AA2CE" w14:textId="57B9DA5B" w:rsidR="00417B1B" w:rsidRPr="00C864CC" w:rsidRDefault="00417B1B" w:rsidP="00774ADC">
            <w:pPr>
              <w:pStyle w:val="TableText"/>
            </w:pPr>
            <w:r w:rsidRPr="00C864CC">
              <w:t xml:space="preserve">Public private partnership–operation and </w:t>
            </w:r>
            <w:r w:rsidRPr="009F2D58">
              <w:t>maintenance commitments</w:t>
            </w:r>
          </w:p>
        </w:tc>
        <w:tc>
          <w:tcPr>
            <w:tcW w:w="680" w:type="pct"/>
          </w:tcPr>
          <w:p w14:paraId="47F4ADE0" w14:textId="428B0854"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13,948</w:t>
            </w:r>
          </w:p>
        </w:tc>
        <w:tc>
          <w:tcPr>
            <w:tcW w:w="681" w:type="pct"/>
          </w:tcPr>
          <w:p w14:paraId="10BF3994" w14:textId="1626367B"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28,207</w:t>
            </w:r>
          </w:p>
        </w:tc>
        <w:tc>
          <w:tcPr>
            <w:tcW w:w="680" w:type="pct"/>
          </w:tcPr>
          <w:p w14:paraId="13109605" w14:textId="7C128B1C"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78" w:type="pct"/>
          </w:tcPr>
          <w:p w14:paraId="7E57FA94" w14:textId="345FEC8E"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42,155</w:t>
            </w:r>
          </w:p>
        </w:tc>
      </w:tr>
      <w:tr w:rsidR="00417B1B" w:rsidRPr="00C864CC" w14:paraId="71A89509" w14:textId="77777777" w:rsidTr="00D11FA5">
        <w:tc>
          <w:tcPr>
            <w:cnfStyle w:val="001000000000" w:firstRow="0" w:lastRow="0" w:firstColumn="1" w:lastColumn="0" w:oddVBand="0" w:evenVBand="0" w:oddHBand="0" w:evenHBand="0" w:firstRowFirstColumn="0" w:firstRowLastColumn="0" w:lastRowFirstColumn="0" w:lastRowLastColumn="0"/>
            <w:tcW w:w="2282" w:type="pct"/>
          </w:tcPr>
          <w:p w14:paraId="5E15AA5A" w14:textId="77777777" w:rsidR="00417B1B" w:rsidRPr="00C864CC" w:rsidRDefault="00417B1B" w:rsidP="00D11FA5">
            <w:pPr>
              <w:pStyle w:val="TableText"/>
            </w:pPr>
            <w:r w:rsidRPr="00C864CC">
              <w:t>Capital expenditure commitments payable</w:t>
            </w:r>
          </w:p>
        </w:tc>
        <w:tc>
          <w:tcPr>
            <w:tcW w:w="680" w:type="pct"/>
          </w:tcPr>
          <w:p w14:paraId="003522F4" w14:textId="03102A57"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3,659</w:t>
            </w:r>
          </w:p>
        </w:tc>
        <w:tc>
          <w:tcPr>
            <w:tcW w:w="681" w:type="pct"/>
          </w:tcPr>
          <w:p w14:paraId="118A9F78" w14:textId="77632C81"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17,848</w:t>
            </w:r>
          </w:p>
        </w:tc>
        <w:tc>
          <w:tcPr>
            <w:tcW w:w="680" w:type="pct"/>
          </w:tcPr>
          <w:p w14:paraId="0E14743F" w14:textId="0BE53DFE"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78" w:type="pct"/>
          </w:tcPr>
          <w:p w14:paraId="41BC58D4" w14:textId="4E966031"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21,507</w:t>
            </w:r>
          </w:p>
        </w:tc>
      </w:tr>
      <w:tr w:rsidR="00417B1B" w:rsidRPr="00C864CC" w14:paraId="4538A213" w14:textId="77777777" w:rsidTr="00D11FA5">
        <w:tc>
          <w:tcPr>
            <w:cnfStyle w:val="001000000000" w:firstRow="0" w:lastRow="0" w:firstColumn="1" w:lastColumn="0" w:oddVBand="0" w:evenVBand="0" w:oddHBand="0" w:evenHBand="0" w:firstRowFirstColumn="0" w:firstRowLastColumn="0" w:lastRowFirstColumn="0" w:lastRowLastColumn="0"/>
            <w:tcW w:w="2282" w:type="pct"/>
          </w:tcPr>
          <w:p w14:paraId="6B6A6C62" w14:textId="360F8D6B" w:rsidR="00417B1B" w:rsidRPr="00C864CC" w:rsidRDefault="00417B1B" w:rsidP="00D11FA5">
            <w:pPr>
              <w:pStyle w:val="TableText"/>
            </w:pPr>
            <w:r w:rsidRPr="00C864CC">
              <w:t>Operating commitments payable</w:t>
            </w:r>
          </w:p>
        </w:tc>
        <w:tc>
          <w:tcPr>
            <w:tcW w:w="680" w:type="pct"/>
          </w:tcPr>
          <w:p w14:paraId="6CCCDE04" w14:textId="7AE58956"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19,363</w:t>
            </w:r>
          </w:p>
        </w:tc>
        <w:tc>
          <w:tcPr>
            <w:tcW w:w="681" w:type="pct"/>
          </w:tcPr>
          <w:p w14:paraId="0A6E2762" w14:textId="311285E9"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45,564</w:t>
            </w:r>
          </w:p>
        </w:tc>
        <w:tc>
          <w:tcPr>
            <w:tcW w:w="680" w:type="pct"/>
          </w:tcPr>
          <w:p w14:paraId="3EE98BAE" w14:textId="43B823D0"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13,085</w:t>
            </w:r>
          </w:p>
        </w:tc>
        <w:tc>
          <w:tcPr>
            <w:tcW w:w="678" w:type="pct"/>
          </w:tcPr>
          <w:p w14:paraId="20A06B14" w14:textId="423A5B10"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78,011</w:t>
            </w:r>
          </w:p>
        </w:tc>
      </w:tr>
      <w:tr w:rsidR="00417B1B" w:rsidRPr="00C864CC" w14:paraId="54254579" w14:textId="77777777" w:rsidTr="00D11FA5">
        <w:tc>
          <w:tcPr>
            <w:cnfStyle w:val="001000000000" w:firstRow="0" w:lastRow="0" w:firstColumn="1" w:lastColumn="0" w:oddVBand="0" w:evenVBand="0" w:oddHBand="0" w:evenHBand="0" w:firstRowFirstColumn="0" w:firstRowLastColumn="0" w:lastRowFirstColumn="0" w:lastRowLastColumn="0"/>
            <w:tcW w:w="2282" w:type="pct"/>
          </w:tcPr>
          <w:p w14:paraId="28AE9B81" w14:textId="0DB1083B" w:rsidR="00417B1B" w:rsidRPr="00C864CC" w:rsidRDefault="00417B1B" w:rsidP="00D11FA5">
            <w:pPr>
              <w:pStyle w:val="TableText"/>
            </w:pPr>
            <w:r w:rsidRPr="00C864CC">
              <w:t>Accommodation lease commitments payable</w:t>
            </w:r>
          </w:p>
        </w:tc>
        <w:tc>
          <w:tcPr>
            <w:tcW w:w="680" w:type="pct"/>
          </w:tcPr>
          <w:p w14:paraId="4D906D38" w14:textId="35E93F04"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10,299</w:t>
            </w:r>
          </w:p>
        </w:tc>
        <w:tc>
          <w:tcPr>
            <w:tcW w:w="681" w:type="pct"/>
          </w:tcPr>
          <w:p w14:paraId="38BAD084" w14:textId="32E1EFEC"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20,874</w:t>
            </w:r>
          </w:p>
        </w:tc>
        <w:tc>
          <w:tcPr>
            <w:tcW w:w="680" w:type="pct"/>
          </w:tcPr>
          <w:p w14:paraId="71DE2341" w14:textId="68B36881"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25,044</w:t>
            </w:r>
          </w:p>
        </w:tc>
        <w:tc>
          <w:tcPr>
            <w:tcW w:w="678" w:type="pct"/>
          </w:tcPr>
          <w:p w14:paraId="71FB6381" w14:textId="180BE4D7"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56,217</w:t>
            </w:r>
          </w:p>
        </w:tc>
      </w:tr>
      <w:tr w:rsidR="00417B1B" w:rsidRPr="00C864CC" w14:paraId="3B5E7B38" w14:textId="77777777" w:rsidTr="00D11FA5">
        <w:tc>
          <w:tcPr>
            <w:cnfStyle w:val="001000000000" w:firstRow="0" w:lastRow="0" w:firstColumn="1" w:lastColumn="0" w:oddVBand="0" w:evenVBand="0" w:oddHBand="0" w:evenHBand="0" w:firstRowFirstColumn="0" w:firstRowLastColumn="0" w:lastRowFirstColumn="0" w:lastRowLastColumn="0"/>
            <w:tcW w:w="2282" w:type="pct"/>
            <w:tcBorders>
              <w:bottom w:val="single" w:sz="4" w:space="0" w:color="auto"/>
            </w:tcBorders>
          </w:tcPr>
          <w:p w14:paraId="34E7054E" w14:textId="77777777" w:rsidR="00417B1B" w:rsidRPr="00C864CC" w:rsidRDefault="00417B1B" w:rsidP="00D11FA5">
            <w:pPr>
              <w:pStyle w:val="TableText"/>
            </w:pPr>
            <w:r w:rsidRPr="00C864CC">
              <w:t>Other commitments payable</w:t>
            </w:r>
          </w:p>
        </w:tc>
        <w:tc>
          <w:tcPr>
            <w:tcW w:w="680" w:type="pct"/>
            <w:tcBorders>
              <w:bottom w:val="single" w:sz="4" w:space="0" w:color="auto"/>
            </w:tcBorders>
          </w:tcPr>
          <w:p w14:paraId="1DC34CB7" w14:textId="5CDA16F7"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368</w:t>
            </w:r>
          </w:p>
        </w:tc>
        <w:tc>
          <w:tcPr>
            <w:tcW w:w="681" w:type="pct"/>
            <w:tcBorders>
              <w:bottom w:val="single" w:sz="4" w:space="0" w:color="auto"/>
            </w:tcBorders>
          </w:tcPr>
          <w:p w14:paraId="6862D7FA" w14:textId="457DBFA1"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153</w:t>
            </w:r>
          </w:p>
        </w:tc>
        <w:tc>
          <w:tcPr>
            <w:tcW w:w="680" w:type="pct"/>
            <w:tcBorders>
              <w:bottom w:val="single" w:sz="4" w:space="0" w:color="auto"/>
            </w:tcBorders>
          </w:tcPr>
          <w:p w14:paraId="3304874F" w14:textId="58BBCFB5"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0</w:t>
            </w:r>
          </w:p>
        </w:tc>
        <w:tc>
          <w:tcPr>
            <w:tcW w:w="678" w:type="pct"/>
            <w:tcBorders>
              <w:bottom w:val="single" w:sz="4" w:space="0" w:color="auto"/>
            </w:tcBorders>
          </w:tcPr>
          <w:p w14:paraId="4FC7B458" w14:textId="10B75DDA" w:rsidR="00417B1B" w:rsidRPr="00C864CC" w:rsidRDefault="00133FFF" w:rsidP="00D11FA5">
            <w:pPr>
              <w:pStyle w:val="TableText"/>
              <w:cnfStyle w:val="000000000000" w:firstRow="0" w:lastRow="0" w:firstColumn="0" w:lastColumn="0" w:oddVBand="0" w:evenVBand="0" w:oddHBand="0" w:evenHBand="0" w:firstRowFirstColumn="0" w:firstRowLastColumn="0" w:lastRowFirstColumn="0" w:lastRowLastColumn="0"/>
            </w:pPr>
            <w:r>
              <w:t>521</w:t>
            </w:r>
          </w:p>
        </w:tc>
      </w:tr>
      <w:tr w:rsidR="00417B1B" w:rsidRPr="00D11FA5" w14:paraId="41514D1C" w14:textId="77777777" w:rsidTr="00D11FA5">
        <w:tc>
          <w:tcPr>
            <w:cnfStyle w:val="001000000000" w:firstRow="0" w:lastRow="0" w:firstColumn="1" w:lastColumn="0" w:oddVBand="0" w:evenVBand="0" w:oddHBand="0" w:evenHBand="0" w:firstRowFirstColumn="0" w:firstRowLastColumn="0" w:lastRowFirstColumn="0" w:lastRowLastColumn="0"/>
            <w:tcW w:w="2282" w:type="pct"/>
            <w:tcBorders>
              <w:top w:val="single" w:sz="4" w:space="0" w:color="auto"/>
              <w:bottom w:val="single" w:sz="4" w:space="0" w:color="auto"/>
            </w:tcBorders>
            <w:shd w:val="clear" w:color="auto" w:fill="auto"/>
          </w:tcPr>
          <w:p w14:paraId="32A9F8B9" w14:textId="77777777" w:rsidR="00417B1B" w:rsidRPr="00D11FA5" w:rsidRDefault="00417B1B" w:rsidP="00D11FA5">
            <w:pPr>
              <w:pStyle w:val="TableText"/>
              <w:rPr>
                <w:rStyle w:val="Bold"/>
              </w:rPr>
            </w:pPr>
            <w:r w:rsidRPr="00D11FA5">
              <w:rPr>
                <w:rStyle w:val="Bold"/>
              </w:rPr>
              <w:t>Total commitments (inclusive of GST)</w:t>
            </w:r>
          </w:p>
        </w:tc>
        <w:tc>
          <w:tcPr>
            <w:tcW w:w="680" w:type="pct"/>
            <w:tcBorders>
              <w:top w:val="single" w:sz="4" w:space="0" w:color="auto"/>
              <w:bottom w:val="single" w:sz="4" w:space="0" w:color="auto"/>
            </w:tcBorders>
            <w:shd w:val="clear" w:color="auto" w:fill="auto"/>
          </w:tcPr>
          <w:p w14:paraId="3DB7A1D5" w14:textId="3D0A8782" w:rsidR="00417B1B" w:rsidRPr="00D11FA5" w:rsidRDefault="00E04EA9"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47,637</w:t>
            </w:r>
          </w:p>
        </w:tc>
        <w:tc>
          <w:tcPr>
            <w:tcW w:w="681" w:type="pct"/>
            <w:tcBorders>
              <w:top w:val="single" w:sz="4" w:space="0" w:color="auto"/>
              <w:bottom w:val="single" w:sz="4" w:space="0" w:color="auto"/>
            </w:tcBorders>
            <w:shd w:val="clear" w:color="auto" w:fill="auto"/>
          </w:tcPr>
          <w:p w14:paraId="48C82CF0" w14:textId="0FD36D2F" w:rsidR="00417B1B" w:rsidRPr="00D11FA5" w:rsidRDefault="00E04EA9"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112,645</w:t>
            </w:r>
          </w:p>
        </w:tc>
        <w:tc>
          <w:tcPr>
            <w:tcW w:w="680" w:type="pct"/>
            <w:tcBorders>
              <w:top w:val="single" w:sz="4" w:space="0" w:color="auto"/>
              <w:bottom w:val="single" w:sz="4" w:space="0" w:color="auto"/>
            </w:tcBorders>
            <w:shd w:val="clear" w:color="auto" w:fill="auto"/>
          </w:tcPr>
          <w:p w14:paraId="4270D4BF" w14:textId="1F2F1DCF" w:rsidR="00417B1B" w:rsidRPr="00D11FA5" w:rsidRDefault="00E04EA9"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38,129</w:t>
            </w:r>
          </w:p>
        </w:tc>
        <w:tc>
          <w:tcPr>
            <w:tcW w:w="678" w:type="pct"/>
            <w:tcBorders>
              <w:top w:val="single" w:sz="4" w:space="0" w:color="auto"/>
              <w:bottom w:val="single" w:sz="4" w:space="0" w:color="auto"/>
            </w:tcBorders>
            <w:shd w:val="clear" w:color="auto" w:fill="auto"/>
          </w:tcPr>
          <w:p w14:paraId="7D9E69E4" w14:textId="5E76D96A" w:rsidR="00417B1B" w:rsidRPr="00D11FA5" w:rsidRDefault="00E04EA9" w:rsidP="00D11F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198,411</w:t>
            </w:r>
          </w:p>
        </w:tc>
      </w:tr>
      <w:tr w:rsidR="00417B1B" w:rsidRPr="00C864CC" w14:paraId="51C91314" w14:textId="77777777" w:rsidTr="00D11FA5">
        <w:tc>
          <w:tcPr>
            <w:cnfStyle w:val="001000000000" w:firstRow="0" w:lastRow="0" w:firstColumn="1" w:lastColumn="0" w:oddVBand="0" w:evenVBand="0" w:oddHBand="0" w:evenHBand="0" w:firstRowFirstColumn="0" w:firstRowLastColumn="0" w:lastRowFirstColumn="0" w:lastRowLastColumn="0"/>
            <w:tcW w:w="2282" w:type="pct"/>
            <w:tcBorders>
              <w:top w:val="single" w:sz="4" w:space="0" w:color="auto"/>
              <w:bottom w:val="single" w:sz="4" w:space="0" w:color="auto"/>
            </w:tcBorders>
          </w:tcPr>
          <w:p w14:paraId="6707F99F" w14:textId="77777777" w:rsidR="00417B1B" w:rsidRPr="00C864CC" w:rsidRDefault="00417B1B" w:rsidP="00D11FA5">
            <w:pPr>
              <w:pStyle w:val="TableText"/>
            </w:pPr>
            <w:r w:rsidRPr="00C864CC">
              <w:t>Less GST recoverable</w:t>
            </w:r>
          </w:p>
        </w:tc>
        <w:tc>
          <w:tcPr>
            <w:tcW w:w="680" w:type="pct"/>
            <w:tcBorders>
              <w:top w:val="single" w:sz="4" w:space="0" w:color="auto"/>
              <w:bottom w:val="single" w:sz="4" w:space="0" w:color="auto"/>
            </w:tcBorders>
          </w:tcPr>
          <w:p w14:paraId="3800296C" w14:textId="731A6D16" w:rsidR="00417B1B" w:rsidRPr="00C864CC" w:rsidRDefault="00E04EA9" w:rsidP="00D11FA5">
            <w:pPr>
              <w:pStyle w:val="TableText"/>
              <w:cnfStyle w:val="000000000000" w:firstRow="0" w:lastRow="0" w:firstColumn="0" w:lastColumn="0" w:oddVBand="0" w:evenVBand="0" w:oddHBand="0" w:evenHBand="0" w:firstRowFirstColumn="0" w:firstRowLastColumn="0" w:lastRowFirstColumn="0" w:lastRowLastColumn="0"/>
            </w:pPr>
            <w:r>
              <w:t>4,331</w:t>
            </w:r>
          </w:p>
        </w:tc>
        <w:tc>
          <w:tcPr>
            <w:tcW w:w="681" w:type="pct"/>
            <w:tcBorders>
              <w:top w:val="single" w:sz="4" w:space="0" w:color="auto"/>
              <w:bottom w:val="single" w:sz="4" w:space="0" w:color="auto"/>
            </w:tcBorders>
          </w:tcPr>
          <w:p w14:paraId="7941D3D8" w14:textId="5F74B64E" w:rsidR="00417B1B" w:rsidRPr="00C864CC" w:rsidRDefault="00E04EA9" w:rsidP="00D11FA5">
            <w:pPr>
              <w:pStyle w:val="TableText"/>
              <w:cnfStyle w:val="000000000000" w:firstRow="0" w:lastRow="0" w:firstColumn="0" w:lastColumn="0" w:oddVBand="0" w:evenVBand="0" w:oddHBand="0" w:evenHBand="0" w:firstRowFirstColumn="0" w:firstRowLastColumn="0" w:lastRowFirstColumn="0" w:lastRowLastColumn="0"/>
            </w:pPr>
            <w:r>
              <w:t>10,240</w:t>
            </w:r>
          </w:p>
        </w:tc>
        <w:tc>
          <w:tcPr>
            <w:tcW w:w="680" w:type="pct"/>
            <w:tcBorders>
              <w:top w:val="single" w:sz="4" w:space="0" w:color="auto"/>
              <w:bottom w:val="single" w:sz="4" w:space="0" w:color="auto"/>
            </w:tcBorders>
          </w:tcPr>
          <w:p w14:paraId="6D690DD6" w14:textId="7A724FC0" w:rsidR="00417B1B" w:rsidRPr="00C864CC" w:rsidRDefault="00E04EA9" w:rsidP="00D11FA5">
            <w:pPr>
              <w:pStyle w:val="TableText"/>
              <w:cnfStyle w:val="000000000000" w:firstRow="0" w:lastRow="0" w:firstColumn="0" w:lastColumn="0" w:oddVBand="0" w:evenVBand="0" w:oddHBand="0" w:evenHBand="0" w:firstRowFirstColumn="0" w:firstRowLastColumn="0" w:lastRowFirstColumn="0" w:lastRowLastColumn="0"/>
            </w:pPr>
            <w:r>
              <w:t>3,466</w:t>
            </w:r>
          </w:p>
        </w:tc>
        <w:tc>
          <w:tcPr>
            <w:tcW w:w="678" w:type="pct"/>
            <w:tcBorders>
              <w:top w:val="single" w:sz="4" w:space="0" w:color="auto"/>
              <w:bottom w:val="single" w:sz="4" w:space="0" w:color="auto"/>
            </w:tcBorders>
          </w:tcPr>
          <w:p w14:paraId="7244BB0F" w14:textId="3364A29B" w:rsidR="00417B1B" w:rsidRPr="00C864CC" w:rsidRDefault="00E04EA9" w:rsidP="00D11FA5">
            <w:pPr>
              <w:pStyle w:val="TableText"/>
              <w:cnfStyle w:val="000000000000" w:firstRow="0" w:lastRow="0" w:firstColumn="0" w:lastColumn="0" w:oddVBand="0" w:evenVBand="0" w:oddHBand="0" w:evenHBand="0" w:firstRowFirstColumn="0" w:firstRowLastColumn="0" w:lastRowFirstColumn="0" w:lastRowLastColumn="0"/>
            </w:pPr>
            <w:r>
              <w:t>18,037</w:t>
            </w:r>
          </w:p>
        </w:tc>
      </w:tr>
      <w:tr w:rsidR="00417B1B" w:rsidRPr="00D11FA5" w14:paraId="49B5509F" w14:textId="77777777" w:rsidTr="00D11F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shd w:val="clear" w:color="auto" w:fill="auto"/>
          </w:tcPr>
          <w:p w14:paraId="29EDBE02" w14:textId="77777777" w:rsidR="00417B1B" w:rsidRPr="00D11FA5" w:rsidRDefault="00417B1B" w:rsidP="00D11FA5">
            <w:pPr>
              <w:pStyle w:val="TableText"/>
              <w:rPr>
                <w:rStyle w:val="Bold"/>
              </w:rPr>
            </w:pPr>
            <w:r w:rsidRPr="00D11FA5">
              <w:rPr>
                <w:rStyle w:val="Bold"/>
              </w:rPr>
              <w:t>Total commitments (exclusive of GST)</w:t>
            </w:r>
          </w:p>
        </w:tc>
        <w:tc>
          <w:tcPr>
            <w:tcW w:w="680" w:type="pct"/>
            <w:shd w:val="clear" w:color="auto" w:fill="auto"/>
          </w:tcPr>
          <w:p w14:paraId="209F211B" w14:textId="758D075B" w:rsidR="00417B1B" w:rsidRPr="00D11FA5" w:rsidRDefault="00E04EA9"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43,306</w:t>
            </w:r>
          </w:p>
        </w:tc>
        <w:tc>
          <w:tcPr>
            <w:tcW w:w="681" w:type="pct"/>
            <w:shd w:val="clear" w:color="auto" w:fill="auto"/>
          </w:tcPr>
          <w:p w14:paraId="13C5BC23" w14:textId="518544D2" w:rsidR="00417B1B" w:rsidRPr="00D11FA5" w:rsidRDefault="00E04EA9"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102,405</w:t>
            </w:r>
          </w:p>
        </w:tc>
        <w:tc>
          <w:tcPr>
            <w:tcW w:w="680" w:type="pct"/>
            <w:shd w:val="clear" w:color="auto" w:fill="auto"/>
          </w:tcPr>
          <w:p w14:paraId="23CF4E74" w14:textId="4501CFA9" w:rsidR="00417B1B" w:rsidRPr="00D11FA5" w:rsidRDefault="00E04EA9"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34,662</w:t>
            </w:r>
          </w:p>
        </w:tc>
        <w:tc>
          <w:tcPr>
            <w:tcW w:w="678" w:type="pct"/>
            <w:shd w:val="clear" w:color="auto" w:fill="auto"/>
          </w:tcPr>
          <w:p w14:paraId="63017368" w14:textId="2DFC52A3" w:rsidR="00417B1B" w:rsidRPr="00D11FA5" w:rsidRDefault="00E04EA9" w:rsidP="00D11FA5">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180,374</w:t>
            </w:r>
          </w:p>
        </w:tc>
      </w:tr>
    </w:tbl>
    <w:p w14:paraId="4AE13B11" w14:textId="26D15DC2" w:rsidR="00417B1B" w:rsidRDefault="00417B1B" w:rsidP="00C83676">
      <w:pPr>
        <w:pStyle w:val="Heading2"/>
      </w:pPr>
      <w:bookmarkStart w:id="414" w:name="_Note_8._Risks,"/>
      <w:bookmarkStart w:id="415" w:name="_Ref22644069"/>
      <w:bookmarkStart w:id="416" w:name="_Toc62808168"/>
      <w:bookmarkEnd w:id="414"/>
      <w:r>
        <w:t xml:space="preserve">Note </w:t>
      </w:r>
      <w:bookmarkStart w:id="417" w:name="Note8"/>
      <w:r>
        <w:t>8</w:t>
      </w:r>
      <w:bookmarkEnd w:id="417"/>
      <w:r>
        <w:t>.</w:t>
      </w:r>
      <w:r>
        <w:tab/>
        <w:t xml:space="preserve">Risks, Contingencies </w:t>
      </w:r>
      <w:r w:rsidR="00D45E5B">
        <w:t xml:space="preserve">and </w:t>
      </w:r>
      <w:r>
        <w:t>Valuation Judgements</w:t>
      </w:r>
      <w:bookmarkEnd w:id="415"/>
      <w:bookmarkEnd w:id="416"/>
    </w:p>
    <w:p w14:paraId="3DA3CC8C" w14:textId="360057AB" w:rsidR="00417B1B" w:rsidRDefault="00417B1B" w:rsidP="00417B1B">
      <w:pPr>
        <w:pStyle w:val="Heading3"/>
      </w:pPr>
      <w:bookmarkStart w:id="418" w:name="_Toc62808169"/>
      <w:r>
        <w:t>Introduction</w:t>
      </w:r>
      <w:bookmarkEnd w:id="418"/>
    </w:p>
    <w:p w14:paraId="4494E4DD" w14:textId="00EB686A" w:rsidR="001377AA" w:rsidRDefault="009B1462" w:rsidP="001377AA">
      <w:pPr>
        <w:pStyle w:val="BodyText"/>
      </w:pPr>
      <w:r>
        <w:t>Court Services Victoria</w:t>
      </w:r>
      <w:r w:rsidR="001377AA">
        <w:t xml:space="preserve"> is exposed to risk from 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 which for </w:t>
      </w:r>
      <w:r>
        <w:t>Court Services Victoria</w:t>
      </w:r>
      <w:r w:rsidR="001377AA">
        <w:t xml:space="preserve"> relate mainly to fair value determination. </w:t>
      </w:r>
    </w:p>
    <w:p w14:paraId="04A20360" w14:textId="3BFD45EC" w:rsidR="00417B1B" w:rsidRPr="00460432" w:rsidRDefault="00DB7E45" w:rsidP="00460432">
      <w:pPr>
        <w:pStyle w:val="BodyText"/>
        <w:rPr>
          <w:rStyle w:val="Bold"/>
        </w:rPr>
      </w:pPr>
      <w:r w:rsidRPr="00460432">
        <w:rPr>
          <w:rStyle w:val="Bold"/>
        </w:rPr>
        <w:t>Structure</w:t>
      </w:r>
    </w:p>
    <w:p w14:paraId="56681DC4" w14:textId="304695AA" w:rsidR="00417B1B" w:rsidRPr="00774ADC" w:rsidRDefault="00774ADC" w:rsidP="00AD3D23">
      <w:pPr>
        <w:pStyle w:val="NoSpacing"/>
      </w:pPr>
      <w:r>
        <w:fldChar w:fldCharType="begin"/>
      </w:r>
      <w:r>
        <w:instrText xml:space="preserve"> REF _Ref22653425 \h </w:instrText>
      </w:r>
      <w:r>
        <w:fldChar w:fldCharType="separate"/>
      </w:r>
      <w:r w:rsidR="00D46E6D">
        <w:t>8.1 Financial Instruments Specific Disclosures</w:t>
      </w:r>
      <w:r>
        <w:fldChar w:fldCharType="end"/>
      </w:r>
    </w:p>
    <w:p w14:paraId="734AC244" w14:textId="27D56887" w:rsidR="00417B1B" w:rsidRPr="00774ADC" w:rsidRDefault="00774ADC" w:rsidP="00AD3D23">
      <w:pPr>
        <w:pStyle w:val="NoSpacing"/>
      </w:pPr>
      <w:r>
        <w:fldChar w:fldCharType="begin"/>
      </w:r>
      <w:r>
        <w:instrText xml:space="preserve"> REF _Ref22653469 \h </w:instrText>
      </w:r>
      <w:r>
        <w:fldChar w:fldCharType="separate"/>
      </w:r>
      <w:r w:rsidR="00D46E6D">
        <w:t>8.2 Contingent Assets and Contingent Liabilities</w:t>
      </w:r>
      <w:r>
        <w:fldChar w:fldCharType="end"/>
      </w:r>
    </w:p>
    <w:p w14:paraId="160B9148" w14:textId="2A3379E0" w:rsidR="00417B1B" w:rsidRDefault="00774ADC" w:rsidP="00AD3D23">
      <w:pPr>
        <w:pStyle w:val="NoSpacing"/>
      </w:pPr>
      <w:r>
        <w:fldChar w:fldCharType="begin"/>
      </w:r>
      <w:r>
        <w:instrText xml:space="preserve"> REF _Ref22653482 \h </w:instrText>
      </w:r>
      <w:r>
        <w:fldChar w:fldCharType="separate"/>
      </w:r>
      <w:r w:rsidR="00D46E6D">
        <w:t>8.3 Fair Value Determination</w:t>
      </w:r>
      <w:r>
        <w:fldChar w:fldCharType="end"/>
      </w:r>
    </w:p>
    <w:p w14:paraId="54D14442" w14:textId="77777777" w:rsidR="00417B1B" w:rsidRDefault="00417B1B" w:rsidP="00417B1B">
      <w:pPr>
        <w:pStyle w:val="Heading3"/>
      </w:pPr>
      <w:bookmarkStart w:id="419" w:name="Note81"/>
      <w:bookmarkStart w:id="420" w:name="_Ref22653372"/>
      <w:bookmarkStart w:id="421" w:name="_Ref22653376"/>
      <w:bookmarkStart w:id="422" w:name="_Ref22653381"/>
      <w:bookmarkStart w:id="423" w:name="_Ref22653385"/>
      <w:bookmarkStart w:id="424" w:name="_Ref22653390"/>
      <w:bookmarkStart w:id="425" w:name="_Ref22653403"/>
      <w:bookmarkStart w:id="426" w:name="_Ref22653411"/>
      <w:bookmarkStart w:id="427" w:name="_Ref22653417"/>
      <w:bookmarkStart w:id="428" w:name="_Ref22653425"/>
      <w:bookmarkStart w:id="429" w:name="_Ref22653432"/>
      <w:bookmarkStart w:id="430" w:name="_Ref22653436"/>
      <w:bookmarkStart w:id="431" w:name="_Toc62808170"/>
      <w:r>
        <w:t xml:space="preserve">8.1 </w:t>
      </w:r>
      <w:bookmarkEnd w:id="419"/>
      <w:r>
        <w:t>Financial Instruments Specific Disclosures</w:t>
      </w:r>
      <w:bookmarkEnd w:id="420"/>
      <w:bookmarkEnd w:id="421"/>
      <w:bookmarkEnd w:id="422"/>
      <w:bookmarkEnd w:id="423"/>
      <w:bookmarkEnd w:id="424"/>
      <w:bookmarkEnd w:id="425"/>
      <w:bookmarkEnd w:id="426"/>
      <w:bookmarkEnd w:id="427"/>
      <w:bookmarkEnd w:id="428"/>
      <w:bookmarkEnd w:id="429"/>
      <w:bookmarkEnd w:id="430"/>
      <w:bookmarkEnd w:id="431"/>
    </w:p>
    <w:p w14:paraId="7B346E4A" w14:textId="77777777" w:rsidR="00417B1B" w:rsidRDefault="00417B1B" w:rsidP="00417B1B">
      <w:pPr>
        <w:pStyle w:val="Heading4"/>
      </w:pPr>
      <w:r>
        <w:t>Introduction</w:t>
      </w:r>
    </w:p>
    <w:p w14:paraId="4C334F43" w14:textId="4FF056FA" w:rsidR="007A2D15" w:rsidRDefault="007A2D15" w:rsidP="007A2D15">
      <w:pPr>
        <w:pStyle w:val="BodyText"/>
      </w:pPr>
      <w:r>
        <w:t xml:space="preserve">Financial instruments arise out of contractual agreements that give rise to a financial asset of one entity and a financial liability or equity instrument of another entity. Due to the nature of </w:t>
      </w:r>
      <w:r w:rsidR="009B1462">
        <w:t>Court Services Victoria</w:t>
      </w:r>
      <w:r>
        <w:t xml:space="preserve">’s activities, certain financial assets and financial liabilities arise under statute rather than a contract (for example taxes, fines and penalties). Such assets and liabilities do not meet the definition of financial instruments in </w:t>
      </w:r>
      <w:r w:rsidRPr="00845D24">
        <w:rPr>
          <w:rStyle w:val="Italics"/>
        </w:rPr>
        <w:t>AASB 132 Financial Instruments: Presentation</w:t>
      </w:r>
      <w:r>
        <w:t>.</w:t>
      </w:r>
    </w:p>
    <w:p w14:paraId="673CCA79" w14:textId="530E4917" w:rsidR="007A2D15" w:rsidRDefault="007A2D15" w:rsidP="007A2D15">
      <w:pPr>
        <w:pStyle w:val="BodyText"/>
      </w:pPr>
      <w:r>
        <w:t xml:space="preserve">Guarantees issues on behalf of </w:t>
      </w:r>
      <w:r w:rsidR="009B1462">
        <w:t>Court Services Victoria</w:t>
      </w:r>
      <w:r>
        <w:t xml:space="preserve"> are financial instruments because, although authorised under statute, terms and conditions for each financial guarantee may vary and are subject to an agreement.</w:t>
      </w:r>
    </w:p>
    <w:p w14:paraId="45A36E34" w14:textId="0925CB87" w:rsidR="007A2D15" w:rsidRDefault="007A2D15" w:rsidP="007A2D15">
      <w:pPr>
        <w:pStyle w:val="Heading4"/>
      </w:pPr>
      <w:r>
        <w:t>Financial Assets at Amortised Cost</w:t>
      </w:r>
    </w:p>
    <w:p w14:paraId="56358863" w14:textId="525ABC01" w:rsidR="007A2D15" w:rsidRDefault="007A2D15" w:rsidP="007A2D15">
      <w:pPr>
        <w:pStyle w:val="BodyText"/>
      </w:pPr>
      <w:r>
        <w:t>Financial assets are measured at amortised costs if both of the following criteria are met and the assets are not designated as fair value through net result:</w:t>
      </w:r>
    </w:p>
    <w:p w14:paraId="402ACE69" w14:textId="14B79917" w:rsidR="007A2D15" w:rsidRDefault="007A2D15" w:rsidP="001F0281">
      <w:pPr>
        <w:pStyle w:val="ListBullet"/>
      </w:pPr>
      <w:r>
        <w:t xml:space="preserve">the assets are held by </w:t>
      </w:r>
      <w:r w:rsidR="009B1462">
        <w:t>Court Services Victoria</w:t>
      </w:r>
      <w:r>
        <w:t xml:space="preserve"> to collect the contractual cash flows, and</w:t>
      </w:r>
    </w:p>
    <w:p w14:paraId="7936E9E6" w14:textId="5093DB13" w:rsidR="007A2D15" w:rsidRDefault="007A2D15" w:rsidP="001F0281">
      <w:pPr>
        <w:pStyle w:val="ListBullet"/>
      </w:pPr>
      <w:r>
        <w:t>the assets’ contractual terms give rise to cash flows that are solely payments of principal and interest.</w:t>
      </w:r>
    </w:p>
    <w:p w14:paraId="7837EF61" w14:textId="31AB3849" w:rsidR="007A2D15" w:rsidRDefault="007A2D15" w:rsidP="007A2D15">
      <w:pPr>
        <w:pStyle w:val="BodyText"/>
      </w:pPr>
      <w:r>
        <w:t>These assets are initially recognised at fair value plus any directly attributable transaction costs and subsequently measured at amortised cost using the effective interest method less any impairment.</w:t>
      </w:r>
    </w:p>
    <w:p w14:paraId="0845AA15" w14:textId="4BE97775" w:rsidR="007A2D15" w:rsidRDefault="009B1462" w:rsidP="007A2D15">
      <w:pPr>
        <w:pStyle w:val="BodyText"/>
      </w:pPr>
      <w:r>
        <w:t>Court Services Victoria</w:t>
      </w:r>
      <w:r w:rsidR="007A2D15">
        <w:t xml:space="preserve"> recognises the following assets in this category:</w:t>
      </w:r>
    </w:p>
    <w:p w14:paraId="739AA96A" w14:textId="5410E3AF" w:rsidR="007A2D15" w:rsidRDefault="007A2D15" w:rsidP="007A2D15">
      <w:pPr>
        <w:pStyle w:val="ListBullet"/>
      </w:pPr>
      <w:r>
        <w:t>cash and deposits; and</w:t>
      </w:r>
    </w:p>
    <w:p w14:paraId="0F5E60E5" w14:textId="148C49FA" w:rsidR="007A2D15" w:rsidRDefault="007A2D15" w:rsidP="007A2D15">
      <w:pPr>
        <w:pStyle w:val="ListBullet"/>
      </w:pPr>
      <w:r>
        <w:t>receivables (excluding statutory receivables).</w:t>
      </w:r>
    </w:p>
    <w:p w14:paraId="3761E306" w14:textId="308FEE3F" w:rsidR="00417B1B" w:rsidRDefault="00417B1B" w:rsidP="00895F89">
      <w:pPr>
        <w:pStyle w:val="Heading4"/>
      </w:pPr>
      <w:r>
        <w:t xml:space="preserve">Categories </w:t>
      </w:r>
      <w:r w:rsidR="00172429">
        <w:t>of</w:t>
      </w:r>
      <w:r w:rsidR="00DB7E45">
        <w:t xml:space="preserve"> Financial Assets </w:t>
      </w:r>
      <w:r w:rsidR="007A2D15">
        <w:t>Previously U</w:t>
      </w:r>
      <w:r>
        <w:t>nder AASB 9</w:t>
      </w:r>
    </w:p>
    <w:p w14:paraId="32FCB413" w14:textId="37ADEC95" w:rsidR="007A2D15" w:rsidRDefault="007A2D15" w:rsidP="00895F89">
      <w:pPr>
        <w:pStyle w:val="BodyText"/>
        <w:keepNext/>
      </w:pPr>
      <w:r>
        <w:t xml:space="preserve">AASB 139 requires </w:t>
      </w:r>
      <w:r w:rsidR="009B1462">
        <w:t>Court Services Victoria</w:t>
      </w:r>
      <w:r>
        <w:t xml:space="preserve"> to classify financial assets as loans and receivables, available for sale financial instrument assets, held to maturity investments or at fair value through profit and loss.</w:t>
      </w:r>
    </w:p>
    <w:p w14:paraId="33D37553" w14:textId="60245B47" w:rsidR="007A2D15" w:rsidRDefault="009B1462" w:rsidP="007A2D15">
      <w:pPr>
        <w:pStyle w:val="BodyText"/>
      </w:pPr>
      <w:r>
        <w:t>Court Services Victoria</w:t>
      </w:r>
      <w:r w:rsidR="007A2D15">
        <w:t xml:space="preserve"> has no financial assets classified as “available for sale financial assets” or “held to maturity investments” or “at fair value through profit and loss”.</w:t>
      </w:r>
    </w:p>
    <w:p w14:paraId="1BF60454" w14:textId="77777777" w:rsidR="007A2D15" w:rsidRDefault="007A2D15" w:rsidP="007A2D15">
      <w:pPr>
        <w:pStyle w:val="Heading5"/>
      </w:pPr>
      <w:r>
        <w:t>Loans and receivables</w:t>
      </w:r>
    </w:p>
    <w:p w14:paraId="62B54B0F" w14:textId="280453E1" w:rsidR="007A2D15" w:rsidRDefault="007A2D15" w:rsidP="007A2D15">
      <w:pPr>
        <w:pStyle w:val="BodyText"/>
      </w:pPr>
      <w:r>
        <w:t xml:space="preserve">Loans and receivables and cash are financial instrument assets with fixed and determinable payments that are not quoted on an active market. These assets and liabilities are initially recognised at fair value plus any directly attributable transaction costs. Subsequent to initial measurement, loans and receivables are measured at amortised cost using the effective interest method (and for assets, less any impairment). </w:t>
      </w:r>
      <w:r w:rsidR="009B1462">
        <w:t>Court Services Victoria</w:t>
      </w:r>
      <w:r>
        <w:t xml:space="preserve"> recognises the following assets in this category:</w:t>
      </w:r>
    </w:p>
    <w:p w14:paraId="600D670C" w14:textId="707AE105" w:rsidR="007A2D15" w:rsidRDefault="007A2D15" w:rsidP="007A2D15">
      <w:pPr>
        <w:pStyle w:val="ListBullet"/>
      </w:pPr>
      <w:r>
        <w:t>cash and deposits; and</w:t>
      </w:r>
    </w:p>
    <w:p w14:paraId="4D63E6A9" w14:textId="46DC2498" w:rsidR="007A2D15" w:rsidRDefault="007A2D15" w:rsidP="007A2D15">
      <w:pPr>
        <w:pStyle w:val="ListBullet"/>
      </w:pPr>
      <w:r>
        <w:t>receivables (excluding statutory receivables).</w:t>
      </w:r>
    </w:p>
    <w:p w14:paraId="60E70F96" w14:textId="73574F1C" w:rsidR="007A2D15" w:rsidRDefault="007A2D15" w:rsidP="007A2D15">
      <w:pPr>
        <w:pStyle w:val="Heading4"/>
      </w:pPr>
      <w:r>
        <w:t>Financial Liabilities at Fair Value</w:t>
      </w:r>
    </w:p>
    <w:p w14:paraId="2426C539" w14:textId="5A42BDCA" w:rsidR="007A2D15" w:rsidRDefault="007A2D15" w:rsidP="007A2D15">
      <w:pPr>
        <w:pStyle w:val="BodyText"/>
      </w:pPr>
      <w:r>
        <w:t xml:space="preserve">Financial liabilities are categorised at fair value through net result if they are designated as such upon initial recognition. Financial liabilities at fair value through net result are initially measured at fair value; attributable transaction costs are expensed as incurred. Subsequently, any changes in fair value are recognised in the net result as other economic flows unless the changes in fair value relate to changes in </w:t>
      </w:r>
      <w:r w:rsidR="009B1462">
        <w:t>Court Services Victoria</w:t>
      </w:r>
      <w:r>
        <w:t xml:space="preserve">’s own credit risk. In this case, the portion of the change attributable to changes in </w:t>
      </w:r>
      <w:r w:rsidR="009B1462">
        <w:t>Court Services Victoria</w:t>
      </w:r>
      <w:r>
        <w:t>’s own credit risk is recognised in other comprehensive income with no subsequent recycling to net result when the financial liability is derecognised.</w:t>
      </w:r>
    </w:p>
    <w:p w14:paraId="7E68E775" w14:textId="69A088F1" w:rsidR="007A2D15" w:rsidRDefault="007A2D15" w:rsidP="007A2D15">
      <w:pPr>
        <w:pStyle w:val="Heading4"/>
      </w:pPr>
      <w:r>
        <w:t>Derecognition of Financial Assets</w:t>
      </w:r>
    </w:p>
    <w:p w14:paraId="758F140E" w14:textId="77777777" w:rsidR="007A2D15" w:rsidRDefault="007A2D15" w:rsidP="007A2D15">
      <w:pPr>
        <w:pStyle w:val="BodyText"/>
      </w:pPr>
      <w:r>
        <w:t>A financial asset (or, where applicable, a part of a financial asset or part of a group of similar financial assets) is derecognised when:</w:t>
      </w:r>
    </w:p>
    <w:p w14:paraId="4581959C" w14:textId="5C374363" w:rsidR="007A2D15" w:rsidRDefault="007A2D15" w:rsidP="001F0281">
      <w:pPr>
        <w:pStyle w:val="ListBullet"/>
      </w:pPr>
      <w:r>
        <w:t>the rights to receive cash flows from the asset have expired; or</w:t>
      </w:r>
    </w:p>
    <w:p w14:paraId="5BE28A81" w14:textId="0A42C21C" w:rsidR="007A2D15" w:rsidRDefault="009B1462" w:rsidP="001F0281">
      <w:pPr>
        <w:pStyle w:val="ListBullet"/>
      </w:pPr>
      <w:r>
        <w:t>Court Services Victoria</w:t>
      </w:r>
      <w:r w:rsidR="007A2D15">
        <w:t xml:space="preserve"> retains the right to receive cash flows from the asset, but has assumed an obligation to pay them in full without material delay to a third party under a ‘pass through’ arrangement; or</w:t>
      </w:r>
    </w:p>
    <w:p w14:paraId="17DFD5E4" w14:textId="0AEAB273" w:rsidR="007A2D15" w:rsidRDefault="009B1462" w:rsidP="001F0281">
      <w:pPr>
        <w:pStyle w:val="ListBullet"/>
      </w:pPr>
      <w:r>
        <w:t>Court Services Victoria</w:t>
      </w:r>
      <w:r w:rsidR="007A2D15">
        <w:t xml:space="preserve"> has transferred its rights to receive cash flows from the asset and either: </w:t>
      </w:r>
    </w:p>
    <w:p w14:paraId="5E0BF73A" w14:textId="2BE7E3F7" w:rsidR="007A2D15" w:rsidRDefault="007A2D15" w:rsidP="001F0281">
      <w:pPr>
        <w:pStyle w:val="ListBullet"/>
      </w:pPr>
      <w:r>
        <w:t>has transferred substantially all the risks and rewards of the asset; or</w:t>
      </w:r>
    </w:p>
    <w:p w14:paraId="5A8EFC37" w14:textId="5D9544F0" w:rsidR="007A2D15" w:rsidRDefault="007A2D15" w:rsidP="001F0281">
      <w:pPr>
        <w:pStyle w:val="ListBullet"/>
      </w:pPr>
      <w:r>
        <w:t xml:space="preserve">has neither transferred nor retained substantially all the risks and rewards of the </w:t>
      </w:r>
      <w:proofErr w:type="gramStart"/>
      <w:r>
        <w:t>asset, but</w:t>
      </w:r>
      <w:proofErr w:type="gramEnd"/>
      <w:r>
        <w:t xml:space="preserve"> has transferred control of the asset. </w:t>
      </w:r>
    </w:p>
    <w:p w14:paraId="42470E4E" w14:textId="1C4731B5" w:rsidR="007A2D15" w:rsidRDefault="007A2D15" w:rsidP="007A2D15">
      <w:pPr>
        <w:pStyle w:val="BodyText"/>
      </w:pPr>
      <w:r>
        <w:t xml:space="preserve">Where </w:t>
      </w:r>
      <w:r w:rsidR="009B1462">
        <w:t>Court Services Victoria</w:t>
      </w:r>
      <w:r>
        <w:t xml:space="preserve"> has neither transferred nor retained substantially all the risks and rewards or transferred control, the asset is recognised to the extent of </w:t>
      </w:r>
      <w:r w:rsidR="009B1462">
        <w:t>Court Services Victoria</w:t>
      </w:r>
      <w:r>
        <w:t xml:space="preserve">’s continuing involvement in the asset. </w:t>
      </w:r>
    </w:p>
    <w:p w14:paraId="6FFDEEC3" w14:textId="088A394B" w:rsidR="007A2D15" w:rsidRDefault="007A2D15" w:rsidP="00895F89">
      <w:pPr>
        <w:pStyle w:val="Heading4"/>
      </w:pPr>
      <w:r>
        <w:t>Derecognition of Financial Liabilities</w:t>
      </w:r>
    </w:p>
    <w:p w14:paraId="394B4602" w14:textId="4CFB05C4" w:rsidR="007A2D15" w:rsidRDefault="007A2D15" w:rsidP="00895F89">
      <w:pPr>
        <w:pStyle w:val="BodyText"/>
        <w:keepNext/>
      </w:pPr>
      <w:r>
        <w:t>A financial liability is derecognised when the obligation under the liability is discharged, cancelled or expires.</w:t>
      </w:r>
    </w:p>
    <w:p w14:paraId="51071076" w14:textId="79E8D5C6" w:rsidR="007A2D15" w:rsidRDefault="007A2D15" w:rsidP="007A2D15">
      <w:pPr>
        <w:pStyle w:val="BodyText"/>
      </w:pPr>
      <w:r>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p>
    <w:p w14:paraId="43914081" w14:textId="7BD15FDB" w:rsidR="007A2D15" w:rsidRDefault="007A2D15" w:rsidP="007A2D15">
      <w:pPr>
        <w:pStyle w:val="Heading4"/>
      </w:pPr>
      <w:r>
        <w:t>Reclassification of Financial Instruments</w:t>
      </w:r>
    </w:p>
    <w:p w14:paraId="5C0D39DB" w14:textId="35369A7E" w:rsidR="007A2D15" w:rsidRDefault="007A2D15" w:rsidP="007A2D15">
      <w:pPr>
        <w:pStyle w:val="BodyText"/>
      </w:pPr>
      <w:r>
        <w:t xml:space="preserve">Subsequent to initial recognition reclassification of financial liabilities is not permitted. Financial assets are required to be reclassified between fair value through net result, fair value through other comprehensive income and amortised cost when and only when </w:t>
      </w:r>
      <w:r w:rsidR="009B1462">
        <w:t>Court Services Victoria</w:t>
      </w:r>
      <w:r>
        <w:t>’ business model for managing its financial assets has changes such that its previous model would no longer apply.</w:t>
      </w:r>
    </w:p>
    <w:p w14:paraId="4AB3A587" w14:textId="2823BB8A" w:rsidR="007A2D15" w:rsidRDefault="007A2D15" w:rsidP="007A2D15">
      <w:pPr>
        <w:pStyle w:val="BodyText"/>
      </w:pPr>
      <w:r>
        <w:t xml:space="preserve">However, </w:t>
      </w:r>
      <w:r w:rsidR="009B1462">
        <w:t>Court Services Victoria</w:t>
      </w:r>
      <w:r>
        <w:t xml:space="preserve"> is generally unable to change its business model because it is determined by the Performance Management Framework (PMF) and all Victorian government departments are required to apply the PMF under the Standing Directions of the Assistant Treasurer 2018.</w:t>
      </w:r>
    </w:p>
    <w:p w14:paraId="45198038" w14:textId="34673701" w:rsidR="007A2D15" w:rsidRDefault="007A2D15" w:rsidP="007A2D15">
      <w:pPr>
        <w:pStyle w:val="BodyText"/>
      </w:pPr>
      <w:r>
        <w:t>If under rare circumstances an asset is reclassified, the reclassification is applied prospectively from the reclassification date and previously recognised gains, losses or interest should not be restated. If the asset is reclassified to fair value, the fair value should be determined at the reclassification date and any gain or loss arising from a difference between the previous carrying amount and fair value is recognised in net result.</w:t>
      </w:r>
    </w:p>
    <w:p w14:paraId="30774D90" w14:textId="5218B667" w:rsidR="00417B1B" w:rsidRDefault="00417B1B" w:rsidP="00417B1B">
      <w:pPr>
        <w:pStyle w:val="Heading4"/>
      </w:pPr>
      <w:bookmarkStart w:id="432" w:name="Note811"/>
      <w:r>
        <w:t>8.1.1</w:t>
      </w:r>
      <w:bookmarkEnd w:id="432"/>
      <w:r w:rsidR="00092296">
        <w:tab/>
      </w:r>
      <w:r>
        <w:t>Financial Instruments: Categorisation</w:t>
      </w:r>
    </w:p>
    <w:tbl>
      <w:tblPr>
        <w:tblStyle w:val="AccessibleTableNumerical"/>
        <w:tblW w:w="5000" w:type="pct"/>
        <w:tblLook w:val="06A0" w:firstRow="1" w:lastRow="0" w:firstColumn="1" w:lastColumn="0" w:noHBand="1" w:noVBand="1"/>
      </w:tblPr>
      <w:tblGrid>
        <w:gridCol w:w="3401"/>
        <w:gridCol w:w="3543"/>
        <w:gridCol w:w="1276"/>
        <w:gridCol w:w="1419"/>
      </w:tblGrid>
      <w:tr w:rsidR="00417B1B" w:rsidRPr="00EA58D6" w14:paraId="1D0E32E7" w14:textId="77777777" w:rsidTr="00DB7E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4" w:type="pct"/>
          </w:tcPr>
          <w:p w14:paraId="6BE767D3" w14:textId="72808149" w:rsidR="00417B1B" w:rsidRPr="00EA58D6" w:rsidRDefault="00BC1B8F" w:rsidP="00BC1B8F">
            <w:pPr>
              <w:pStyle w:val="TableText"/>
              <w:keepNext/>
            </w:pPr>
            <w:bookmarkStart w:id="433" w:name="ColumnTitle_82"/>
            <w:r>
              <w:t>Item</w:t>
            </w:r>
          </w:p>
        </w:tc>
        <w:tc>
          <w:tcPr>
            <w:tcW w:w="1838" w:type="pct"/>
            <w:vAlign w:val="bottom"/>
          </w:tcPr>
          <w:p w14:paraId="2786F3AD" w14:textId="77777777" w:rsidR="00417B1B" w:rsidRPr="00EA58D6" w:rsidRDefault="00417B1B" w:rsidP="00BC1B8F">
            <w:pPr>
              <w:pStyle w:val="TableText"/>
              <w:keepNext/>
              <w:jc w:val="left"/>
              <w:cnfStyle w:val="100000000000" w:firstRow="1" w:lastRow="0" w:firstColumn="0" w:lastColumn="0" w:oddVBand="0" w:evenVBand="0" w:oddHBand="0" w:evenHBand="0" w:firstRowFirstColumn="0" w:firstRowLastColumn="0" w:lastRowFirstColumn="0" w:lastRowLastColumn="0"/>
            </w:pPr>
            <w:r w:rsidRPr="00EA58D6">
              <w:t>Category</w:t>
            </w:r>
          </w:p>
        </w:tc>
        <w:tc>
          <w:tcPr>
            <w:tcW w:w="662" w:type="pct"/>
            <w:vAlign w:val="bottom"/>
          </w:tcPr>
          <w:p w14:paraId="7F3F0E95" w14:textId="1FA8BF16" w:rsidR="00417B1B" w:rsidRPr="00EA58D6" w:rsidRDefault="00417B1B" w:rsidP="00DB7E45">
            <w:pPr>
              <w:pStyle w:val="TableText"/>
              <w:keepNext/>
              <w:cnfStyle w:val="100000000000" w:firstRow="1" w:lastRow="0" w:firstColumn="0" w:lastColumn="0" w:oddVBand="0" w:evenVBand="0" w:oddHBand="0" w:evenHBand="0" w:firstRowFirstColumn="0" w:firstRowLastColumn="0" w:lastRowFirstColumn="0" w:lastRowLastColumn="0"/>
            </w:pPr>
            <w:r w:rsidRPr="00EA58D6">
              <w:t>20</w:t>
            </w:r>
            <w:r w:rsidR="001F0281">
              <w:t>20</w:t>
            </w:r>
            <w:r w:rsidRPr="00EA58D6">
              <w:br/>
              <w:t>$’000</w:t>
            </w:r>
          </w:p>
        </w:tc>
        <w:tc>
          <w:tcPr>
            <w:tcW w:w="736" w:type="pct"/>
            <w:vAlign w:val="bottom"/>
          </w:tcPr>
          <w:p w14:paraId="311F690F" w14:textId="459C157A" w:rsidR="00417B1B" w:rsidRPr="00EA58D6" w:rsidRDefault="00417B1B" w:rsidP="00DB7E45">
            <w:pPr>
              <w:pStyle w:val="TableText"/>
              <w:keepNext/>
              <w:cnfStyle w:val="100000000000" w:firstRow="1" w:lastRow="0" w:firstColumn="0" w:lastColumn="0" w:oddVBand="0" w:evenVBand="0" w:oddHBand="0" w:evenHBand="0" w:firstRowFirstColumn="0" w:firstRowLastColumn="0" w:lastRowFirstColumn="0" w:lastRowLastColumn="0"/>
            </w:pPr>
            <w:r w:rsidRPr="00EA58D6">
              <w:t>201</w:t>
            </w:r>
            <w:r w:rsidR="001F0281">
              <w:t>9</w:t>
            </w:r>
            <w:r w:rsidRPr="00EA58D6">
              <w:br/>
              <w:t>$’000</w:t>
            </w:r>
          </w:p>
        </w:tc>
      </w:tr>
      <w:bookmarkEnd w:id="433"/>
      <w:tr w:rsidR="00BC1B8F" w:rsidRPr="00EA58D6" w14:paraId="070B3EE8"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5C59B392" w14:textId="289C9C2D" w:rsidR="00BC1B8F" w:rsidRPr="00DB7E45" w:rsidRDefault="00BC1B8F" w:rsidP="00BC1B8F">
            <w:pPr>
              <w:pStyle w:val="TableText"/>
              <w:keepNext/>
              <w:rPr>
                <w:rStyle w:val="Bold"/>
              </w:rPr>
            </w:pPr>
            <w:r w:rsidRPr="00DB7E45">
              <w:rPr>
                <w:rStyle w:val="Bold"/>
              </w:rPr>
              <w:t>Contractual financial assets</w:t>
            </w:r>
          </w:p>
        </w:tc>
        <w:tc>
          <w:tcPr>
            <w:tcW w:w="1838" w:type="pct"/>
          </w:tcPr>
          <w:p w14:paraId="784AC3E6" w14:textId="14DFA6A0" w:rsidR="00BC1B8F" w:rsidRPr="00EA58D6"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EA58D6">
              <w:t>Cash and deposits</w:t>
            </w:r>
          </w:p>
        </w:tc>
        <w:tc>
          <w:tcPr>
            <w:tcW w:w="662" w:type="pct"/>
          </w:tcPr>
          <w:p w14:paraId="674A59EB" w14:textId="61FCE806" w:rsidR="00BC1B8F" w:rsidRPr="00BC1B8F" w:rsidRDefault="00BC1B8F" w:rsidP="00BC1B8F">
            <w:pPr>
              <w:pStyle w:val="TableText"/>
              <w:keepNext/>
              <w:cnfStyle w:val="000000000000" w:firstRow="0" w:lastRow="0" w:firstColumn="0" w:lastColumn="0" w:oddVBand="0" w:evenVBand="0" w:oddHBand="0" w:evenHBand="0" w:firstRowFirstColumn="0" w:firstRowLastColumn="0" w:lastRowFirstColumn="0" w:lastRowLastColumn="0"/>
            </w:pPr>
            <w:r w:rsidRPr="00BC1B8F">
              <w:t>N/A</w:t>
            </w:r>
          </w:p>
        </w:tc>
        <w:tc>
          <w:tcPr>
            <w:tcW w:w="736" w:type="pct"/>
          </w:tcPr>
          <w:p w14:paraId="2A6886E1" w14:textId="3E5E22FE" w:rsidR="00BC1B8F" w:rsidRPr="00BC1B8F" w:rsidRDefault="00BC1B8F" w:rsidP="00BC1B8F">
            <w:pPr>
              <w:pStyle w:val="TableText"/>
              <w:keepNext/>
              <w:cnfStyle w:val="000000000000" w:firstRow="0" w:lastRow="0" w:firstColumn="0" w:lastColumn="0" w:oddVBand="0" w:evenVBand="0" w:oddHBand="0" w:evenHBand="0" w:firstRowFirstColumn="0" w:firstRowLastColumn="0" w:lastRowFirstColumn="0" w:lastRowLastColumn="0"/>
            </w:pPr>
            <w:r w:rsidRPr="00BC1B8F">
              <w:t>N/A</w:t>
            </w:r>
          </w:p>
        </w:tc>
      </w:tr>
      <w:tr w:rsidR="00BC1B8F" w:rsidRPr="00EA58D6" w14:paraId="2E93CAA1"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5418D81D" w14:textId="1B203654" w:rsidR="00BC1B8F" w:rsidRPr="00EA58D6" w:rsidRDefault="00BC1B8F" w:rsidP="00BC1B8F">
            <w:pPr>
              <w:pStyle w:val="TableText"/>
              <w:keepNext/>
            </w:pPr>
            <w:r w:rsidRPr="00EA58D6">
              <w:t>Cash and deposits/(overdrawn)</w:t>
            </w:r>
          </w:p>
        </w:tc>
        <w:tc>
          <w:tcPr>
            <w:tcW w:w="1838" w:type="pct"/>
          </w:tcPr>
          <w:p w14:paraId="5827AE7E" w14:textId="6307FBC0" w:rsidR="00BC1B8F" w:rsidRPr="00EA58D6"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EA58D6">
              <w:t>Cash and deposits</w:t>
            </w:r>
          </w:p>
        </w:tc>
        <w:tc>
          <w:tcPr>
            <w:tcW w:w="662" w:type="pct"/>
          </w:tcPr>
          <w:p w14:paraId="055E0F70" w14:textId="2FDA0C2D" w:rsidR="00BC1B8F" w:rsidRPr="00EA58D6" w:rsidRDefault="001F0281" w:rsidP="00BC1B8F">
            <w:pPr>
              <w:pStyle w:val="TableText"/>
              <w:keepNext/>
              <w:cnfStyle w:val="000000000000" w:firstRow="0" w:lastRow="0" w:firstColumn="0" w:lastColumn="0" w:oddVBand="0" w:evenVBand="0" w:oddHBand="0" w:evenHBand="0" w:firstRowFirstColumn="0" w:firstRowLastColumn="0" w:lastRowFirstColumn="0" w:lastRowLastColumn="0"/>
            </w:pPr>
            <w:r>
              <w:t>(1,288)</w:t>
            </w:r>
          </w:p>
        </w:tc>
        <w:tc>
          <w:tcPr>
            <w:tcW w:w="736" w:type="pct"/>
          </w:tcPr>
          <w:p w14:paraId="0482F23D" w14:textId="1FE1E248" w:rsidR="00BC1B8F" w:rsidRPr="00EA58D6" w:rsidRDefault="001F0281" w:rsidP="00BC1B8F">
            <w:pPr>
              <w:pStyle w:val="TableText"/>
              <w:keepNext/>
              <w:cnfStyle w:val="000000000000" w:firstRow="0" w:lastRow="0" w:firstColumn="0" w:lastColumn="0" w:oddVBand="0" w:evenVBand="0" w:oddHBand="0" w:evenHBand="0" w:firstRowFirstColumn="0" w:firstRowLastColumn="0" w:lastRowFirstColumn="0" w:lastRowLastColumn="0"/>
            </w:pPr>
            <w:r>
              <w:t>(3,031)</w:t>
            </w:r>
          </w:p>
        </w:tc>
      </w:tr>
      <w:tr w:rsidR="00BC1B8F" w:rsidRPr="00EA58D6" w14:paraId="1236AE7B"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bottom w:val="single" w:sz="4" w:space="0" w:color="auto"/>
            </w:tcBorders>
          </w:tcPr>
          <w:p w14:paraId="542E22D6" w14:textId="3DD0EF09" w:rsidR="00BC1B8F" w:rsidRPr="00EA58D6" w:rsidRDefault="00BC1B8F" w:rsidP="00BC1B8F">
            <w:pPr>
              <w:pStyle w:val="TableText"/>
              <w:keepNext/>
            </w:pPr>
            <w:r w:rsidRPr="00EA58D6">
              <w:t>Funds held in Trust</w:t>
            </w:r>
          </w:p>
        </w:tc>
        <w:tc>
          <w:tcPr>
            <w:tcW w:w="1838" w:type="pct"/>
            <w:tcBorders>
              <w:bottom w:val="single" w:sz="4" w:space="0" w:color="auto"/>
            </w:tcBorders>
          </w:tcPr>
          <w:p w14:paraId="08FB3F4A" w14:textId="4451D45C" w:rsidR="00BC1B8F" w:rsidRPr="00EA58D6"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EA58D6">
              <w:t>Cash and deposits</w:t>
            </w:r>
          </w:p>
        </w:tc>
        <w:tc>
          <w:tcPr>
            <w:tcW w:w="662" w:type="pct"/>
            <w:tcBorders>
              <w:bottom w:val="single" w:sz="4" w:space="0" w:color="auto"/>
            </w:tcBorders>
          </w:tcPr>
          <w:p w14:paraId="29B7C1AA" w14:textId="5B6387E4" w:rsidR="00BC1B8F" w:rsidRPr="00EA58D6" w:rsidRDefault="001F0281" w:rsidP="00BC1B8F">
            <w:pPr>
              <w:pStyle w:val="TableText"/>
              <w:keepNext/>
              <w:cnfStyle w:val="000000000000" w:firstRow="0" w:lastRow="0" w:firstColumn="0" w:lastColumn="0" w:oddVBand="0" w:evenVBand="0" w:oddHBand="0" w:evenHBand="0" w:firstRowFirstColumn="0" w:firstRowLastColumn="0" w:lastRowFirstColumn="0" w:lastRowLastColumn="0"/>
            </w:pPr>
            <w:r>
              <w:t>21,176</w:t>
            </w:r>
          </w:p>
        </w:tc>
        <w:tc>
          <w:tcPr>
            <w:tcW w:w="736" w:type="pct"/>
            <w:tcBorders>
              <w:bottom w:val="single" w:sz="4" w:space="0" w:color="auto"/>
            </w:tcBorders>
          </w:tcPr>
          <w:p w14:paraId="098D710D" w14:textId="15397EDD" w:rsidR="00BC1B8F" w:rsidRPr="00EA58D6" w:rsidRDefault="001F0281" w:rsidP="00BC1B8F">
            <w:pPr>
              <w:pStyle w:val="TableText"/>
              <w:keepNext/>
              <w:cnfStyle w:val="000000000000" w:firstRow="0" w:lastRow="0" w:firstColumn="0" w:lastColumn="0" w:oddVBand="0" w:evenVBand="0" w:oddHBand="0" w:evenHBand="0" w:firstRowFirstColumn="0" w:firstRowLastColumn="0" w:lastRowFirstColumn="0" w:lastRowLastColumn="0"/>
            </w:pPr>
            <w:r>
              <w:t>20,930</w:t>
            </w:r>
          </w:p>
        </w:tc>
      </w:tr>
      <w:tr w:rsidR="00BC1B8F" w:rsidRPr="00BC1B8F" w14:paraId="7F38729B"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bottom w:val="single" w:sz="4" w:space="0" w:color="auto"/>
            </w:tcBorders>
            <w:shd w:val="clear" w:color="auto" w:fill="auto"/>
          </w:tcPr>
          <w:p w14:paraId="649E44CC" w14:textId="77777777" w:rsidR="00BC1B8F" w:rsidRPr="00BC1B8F" w:rsidRDefault="00BC1B8F" w:rsidP="00BC1B8F">
            <w:pPr>
              <w:pStyle w:val="TableText"/>
              <w:keepNext/>
              <w:rPr>
                <w:rStyle w:val="Bold"/>
              </w:rPr>
            </w:pPr>
            <w:r w:rsidRPr="00BC1B8F">
              <w:rPr>
                <w:rStyle w:val="Bold"/>
              </w:rPr>
              <w:t>Total contractual cash and deposits</w:t>
            </w:r>
          </w:p>
        </w:tc>
        <w:tc>
          <w:tcPr>
            <w:tcW w:w="1838" w:type="pct"/>
            <w:tcBorders>
              <w:top w:val="single" w:sz="4" w:space="0" w:color="auto"/>
              <w:bottom w:val="single" w:sz="4" w:space="0" w:color="auto"/>
            </w:tcBorders>
            <w:shd w:val="clear" w:color="auto" w:fill="auto"/>
          </w:tcPr>
          <w:p w14:paraId="26C23754" w14:textId="3C714AEE" w:rsidR="00BC1B8F" w:rsidRPr="00BC1B8F"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BC1B8F">
              <w:t>N/A</w:t>
            </w:r>
          </w:p>
        </w:tc>
        <w:tc>
          <w:tcPr>
            <w:tcW w:w="662" w:type="pct"/>
            <w:tcBorders>
              <w:top w:val="single" w:sz="4" w:space="0" w:color="auto"/>
              <w:bottom w:val="single" w:sz="4" w:space="0" w:color="auto"/>
            </w:tcBorders>
            <w:shd w:val="clear" w:color="auto" w:fill="auto"/>
          </w:tcPr>
          <w:p w14:paraId="03D1569A" w14:textId="1BC37F41" w:rsidR="00BC1B8F" w:rsidRPr="00BC1B8F" w:rsidRDefault="00233880" w:rsidP="00BC1B8F">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19,888</w:t>
            </w:r>
          </w:p>
        </w:tc>
        <w:tc>
          <w:tcPr>
            <w:tcW w:w="736" w:type="pct"/>
            <w:tcBorders>
              <w:top w:val="single" w:sz="4" w:space="0" w:color="auto"/>
              <w:bottom w:val="single" w:sz="4" w:space="0" w:color="auto"/>
            </w:tcBorders>
            <w:shd w:val="clear" w:color="auto" w:fill="auto"/>
          </w:tcPr>
          <w:p w14:paraId="10F4178F" w14:textId="2111E7A5" w:rsidR="00BC1B8F" w:rsidRPr="00BC1B8F" w:rsidRDefault="00233880" w:rsidP="00BC1B8F">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17,899</w:t>
            </w:r>
          </w:p>
        </w:tc>
      </w:tr>
      <w:tr w:rsidR="00BC1B8F" w:rsidRPr="00EA58D6" w14:paraId="2B14889D"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tcBorders>
          </w:tcPr>
          <w:p w14:paraId="7B963AE7" w14:textId="792F0248" w:rsidR="00BC1B8F" w:rsidRPr="00DB7E45" w:rsidRDefault="00DB7E45" w:rsidP="00BC1B8F">
            <w:pPr>
              <w:pStyle w:val="TableText"/>
              <w:keepNext/>
              <w:rPr>
                <w:rStyle w:val="Bold"/>
              </w:rPr>
            </w:pPr>
            <w:r>
              <w:rPr>
                <w:rStyle w:val="Bold"/>
              </w:rPr>
              <w:t>Receivable</w:t>
            </w:r>
          </w:p>
        </w:tc>
        <w:tc>
          <w:tcPr>
            <w:tcW w:w="1838" w:type="pct"/>
            <w:tcBorders>
              <w:top w:val="single" w:sz="4" w:space="0" w:color="auto"/>
            </w:tcBorders>
          </w:tcPr>
          <w:p w14:paraId="4D5EA003" w14:textId="541AD7A1" w:rsidR="00BC1B8F" w:rsidRPr="00EA58D6"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EA58D6">
              <w:t>Financial assets at amortised cost</w:t>
            </w:r>
          </w:p>
        </w:tc>
        <w:tc>
          <w:tcPr>
            <w:tcW w:w="662" w:type="pct"/>
            <w:tcBorders>
              <w:top w:val="single" w:sz="4" w:space="0" w:color="auto"/>
            </w:tcBorders>
          </w:tcPr>
          <w:p w14:paraId="422D62BD" w14:textId="61547270" w:rsidR="00BC1B8F" w:rsidRPr="00BC1B8F" w:rsidRDefault="00BC1B8F" w:rsidP="00BC1B8F">
            <w:pPr>
              <w:pStyle w:val="TableText"/>
              <w:keepNext/>
              <w:cnfStyle w:val="000000000000" w:firstRow="0" w:lastRow="0" w:firstColumn="0" w:lastColumn="0" w:oddVBand="0" w:evenVBand="0" w:oddHBand="0" w:evenHBand="0" w:firstRowFirstColumn="0" w:firstRowLastColumn="0" w:lastRowFirstColumn="0" w:lastRowLastColumn="0"/>
            </w:pPr>
            <w:r w:rsidRPr="00BC1B8F">
              <w:t>N/A</w:t>
            </w:r>
          </w:p>
        </w:tc>
        <w:tc>
          <w:tcPr>
            <w:tcW w:w="736" w:type="pct"/>
            <w:tcBorders>
              <w:top w:val="single" w:sz="4" w:space="0" w:color="auto"/>
            </w:tcBorders>
          </w:tcPr>
          <w:p w14:paraId="6231C9B8" w14:textId="7FB714B1" w:rsidR="00BC1B8F" w:rsidRPr="00BC1B8F" w:rsidRDefault="00BC1B8F" w:rsidP="00BC1B8F">
            <w:pPr>
              <w:pStyle w:val="TableText"/>
              <w:keepNext/>
              <w:cnfStyle w:val="000000000000" w:firstRow="0" w:lastRow="0" w:firstColumn="0" w:lastColumn="0" w:oddVBand="0" w:evenVBand="0" w:oddHBand="0" w:evenHBand="0" w:firstRowFirstColumn="0" w:firstRowLastColumn="0" w:lastRowFirstColumn="0" w:lastRowLastColumn="0"/>
            </w:pPr>
            <w:r w:rsidRPr="00BC1B8F">
              <w:t>N/A</w:t>
            </w:r>
          </w:p>
        </w:tc>
      </w:tr>
      <w:tr w:rsidR="00BC1B8F" w:rsidRPr="00EA58D6" w14:paraId="408DB8F0"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bottom w:val="single" w:sz="4" w:space="0" w:color="auto"/>
            </w:tcBorders>
          </w:tcPr>
          <w:p w14:paraId="42ABC9E7" w14:textId="5801F6CB" w:rsidR="00BC1B8F" w:rsidRPr="00EA58D6" w:rsidRDefault="00BC1B8F" w:rsidP="00BC1B8F">
            <w:pPr>
              <w:pStyle w:val="TableText"/>
              <w:keepNext/>
            </w:pPr>
            <w:r w:rsidRPr="00EA58D6">
              <w:t>Other receivables</w:t>
            </w:r>
          </w:p>
        </w:tc>
        <w:tc>
          <w:tcPr>
            <w:tcW w:w="1838" w:type="pct"/>
            <w:tcBorders>
              <w:bottom w:val="single" w:sz="4" w:space="0" w:color="auto"/>
            </w:tcBorders>
          </w:tcPr>
          <w:p w14:paraId="536D75F0" w14:textId="24CF1F25" w:rsidR="00BC1B8F" w:rsidRPr="00EA58D6" w:rsidRDefault="00BC1B8F" w:rsidP="00BC1B8F">
            <w:pPr>
              <w:pStyle w:val="TableText"/>
              <w:keepNext/>
              <w:jc w:val="left"/>
              <w:cnfStyle w:val="000000000000" w:firstRow="0" w:lastRow="0" w:firstColumn="0" w:lastColumn="0" w:oddVBand="0" w:evenVBand="0" w:oddHBand="0" w:evenHBand="0" w:firstRowFirstColumn="0" w:firstRowLastColumn="0" w:lastRowFirstColumn="0" w:lastRowLastColumn="0"/>
            </w:pPr>
            <w:r w:rsidRPr="00EA58D6">
              <w:t>Financial assets at amortised cost</w:t>
            </w:r>
          </w:p>
        </w:tc>
        <w:tc>
          <w:tcPr>
            <w:tcW w:w="662" w:type="pct"/>
            <w:tcBorders>
              <w:bottom w:val="single" w:sz="4" w:space="0" w:color="auto"/>
            </w:tcBorders>
          </w:tcPr>
          <w:p w14:paraId="29525BEB" w14:textId="2E1D5B49" w:rsidR="00BC1B8F" w:rsidRPr="00EA58D6" w:rsidRDefault="00233880" w:rsidP="00BC1B8F">
            <w:pPr>
              <w:pStyle w:val="TableText"/>
              <w:keepNext/>
              <w:cnfStyle w:val="000000000000" w:firstRow="0" w:lastRow="0" w:firstColumn="0" w:lastColumn="0" w:oddVBand="0" w:evenVBand="0" w:oddHBand="0" w:evenHBand="0" w:firstRowFirstColumn="0" w:firstRowLastColumn="0" w:lastRowFirstColumn="0" w:lastRowLastColumn="0"/>
            </w:pPr>
            <w:r>
              <w:t>5,991</w:t>
            </w:r>
          </w:p>
        </w:tc>
        <w:tc>
          <w:tcPr>
            <w:tcW w:w="736" w:type="pct"/>
            <w:tcBorders>
              <w:bottom w:val="single" w:sz="4" w:space="0" w:color="auto"/>
            </w:tcBorders>
          </w:tcPr>
          <w:p w14:paraId="579D1725" w14:textId="5678CB1C" w:rsidR="00BC1B8F" w:rsidRPr="00EA58D6" w:rsidRDefault="00233880" w:rsidP="00BC1B8F">
            <w:pPr>
              <w:pStyle w:val="TableText"/>
              <w:keepNext/>
              <w:cnfStyle w:val="000000000000" w:firstRow="0" w:lastRow="0" w:firstColumn="0" w:lastColumn="0" w:oddVBand="0" w:evenVBand="0" w:oddHBand="0" w:evenHBand="0" w:firstRowFirstColumn="0" w:firstRowLastColumn="0" w:lastRowFirstColumn="0" w:lastRowLastColumn="0"/>
            </w:pPr>
            <w:r>
              <w:t>10,354</w:t>
            </w:r>
          </w:p>
        </w:tc>
      </w:tr>
      <w:tr w:rsidR="00BC1B8F" w:rsidRPr="00BC1B8F" w14:paraId="7D444853"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bottom w:val="single" w:sz="4" w:space="0" w:color="auto"/>
            </w:tcBorders>
            <w:shd w:val="clear" w:color="auto" w:fill="auto"/>
          </w:tcPr>
          <w:p w14:paraId="6621A884" w14:textId="5E65AE13" w:rsidR="00BC1B8F" w:rsidRPr="00BC1B8F" w:rsidRDefault="00BC1B8F" w:rsidP="00BC1B8F">
            <w:pPr>
              <w:pStyle w:val="TableText"/>
              <w:rPr>
                <w:rStyle w:val="Bold"/>
              </w:rPr>
            </w:pPr>
            <w:r w:rsidRPr="00BC1B8F">
              <w:rPr>
                <w:rStyle w:val="Bold"/>
              </w:rPr>
              <w:t>Total contractual financial assets</w:t>
            </w:r>
          </w:p>
        </w:tc>
        <w:tc>
          <w:tcPr>
            <w:tcW w:w="1838" w:type="pct"/>
            <w:tcBorders>
              <w:top w:val="single" w:sz="4" w:space="0" w:color="auto"/>
              <w:bottom w:val="single" w:sz="4" w:space="0" w:color="auto"/>
            </w:tcBorders>
            <w:shd w:val="clear" w:color="auto" w:fill="auto"/>
          </w:tcPr>
          <w:p w14:paraId="344ACEA8" w14:textId="664FC611" w:rsidR="00BC1B8F" w:rsidRPr="00BC1B8F" w:rsidRDefault="00D25956" w:rsidP="00BC1B8F">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t>N/A</w:t>
            </w:r>
          </w:p>
        </w:tc>
        <w:tc>
          <w:tcPr>
            <w:tcW w:w="662" w:type="pct"/>
            <w:tcBorders>
              <w:top w:val="single" w:sz="4" w:space="0" w:color="auto"/>
              <w:bottom w:val="single" w:sz="4" w:space="0" w:color="auto"/>
            </w:tcBorders>
            <w:shd w:val="clear" w:color="auto" w:fill="auto"/>
          </w:tcPr>
          <w:p w14:paraId="34E6E2CA" w14:textId="7E3D3722" w:rsidR="00BC1B8F" w:rsidRPr="00BC1B8F" w:rsidRDefault="00233880" w:rsidP="00BC1B8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25,879</w:t>
            </w:r>
          </w:p>
        </w:tc>
        <w:tc>
          <w:tcPr>
            <w:tcW w:w="736" w:type="pct"/>
            <w:tcBorders>
              <w:top w:val="single" w:sz="4" w:space="0" w:color="auto"/>
              <w:bottom w:val="single" w:sz="4" w:space="0" w:color="auto"/>
            </w:tcBorders>
            <w:shd w:val="clear" w:color="auto" w:fill="auto"/>
          </w:tcPr>
          <w:p w14:paraId="18973E78" w14:textId="3697CFE4" w:rsidR="00BC1B8F" w:rsidRPr="00BC1B8F" w:rsidRDefault="00233880" w:rsidP="00BC1B8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28,252</w:t>
            </w:r>
          </w:p>
        </w:tc>
      </w:tr>
      <w:tr w:rsidR="00BC1B8F" w:rsidRPr="00EA58D6" w14:paraId="3D9C7D60" w14:textId="77777777" w:rsidTr="00BC1B8F">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tcBorders>
          </w:tcPr>
          <w:p w14:paraId="5DD5897E" w14:textId="5329388A" w:rsidR="00BC1B8F" w:rsidRPr="00DB7E45" w:rsidRDefault="00BC1B8F" w:rsidP="00BC1B8F">
            <w:pPr>
              <w:pStyle w:val="TableText"/>
              <w:spacing w:before="120"/>
              <w:rPr>
                <w:rStyle w:val="Bold"/>
              </w:rPr>
            </w:pPr>
            <w:r w:rsidRPr="00DB7E45">
              <w:rPr>
                <w:rStyle w:val="Bold"/>
              </w:rPr>
              <w:t>Contractual financial liabilities</w:t>
            </w:r>
          </w:p>
        </w:tc>
        <w:tc>
          <w:tcPr>
            <w:tcW w:w="1838" w:type="pct"/>
            <w:tcBorders>
              <w:top w:val="single" w:sz="4" w:space="0" w:color="auto"/>
            </w:tcBorders>
          </w:tcPr>
          <w:p w14:paraId="64088901" w14:textId="579E74F9" w:rsidR="00BC1B8F" w:rsidRPr="00EA58D6" w:rsidRDefault="00BC1B8F" w:rsidP="00BC1B8F">
            <w:pPr>
              <w:pStyle w:val="TableText"/>
              <w:spacing w:before="120"/>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Borders>
              <w:top w:val="single" w:sz="4" w:space="0" w:color="auto"/>
            </w:tcBorders>
          </w:tcPr>
          <w:p w14:paraId="367CCA39" w14:textId="2DA1BA9F" w:rsidR="00BC1B8F" w:rsidRPr="00BC1B8F" w:rsidRDefault="00BC1B8F" w:rsidP="00BC1B8F">
            <w:pPr>
              <w:pStyle w:val="TableText"/>
              <w:spacing w:before="120"/>
              <w:cnfStyle w:val="000000000000" w:firstRow="0" w:lastRow="0" w:firstColumn="0" w:lastColumn="0" w:oddVBand="0" w:evenVBand="0" w:oddHBand="0" w:evenHBand="0" w:firstRowFirstColumn="0" w:firstRowLastColumn="0" w:lastRowFirstColumn="0" w:lastRowLastColumn="0"/>
            </w:pPr>
            <w:r w:rsidRPr="00BC1B8F">
              <w:t>N/A</w:t>
            </w:r>
          </w:p>
        </w:tc>
        <w:tc>
          <w:tcPr>
            <w:tcW w:w="736" w:type="pct"/>
            <w:tcBorders>
              <w:top w:val="single" w:sz="4" w:space="0" w:color="auto"/>
            </w:tcBorders>
          </w:tcPr>
          <w:p w14:paraId="6C66C4E5" w14:textId="30812407" w:rsidR="00BC1B8F" w:rsidRPr="00BC1B8F" w:rsidRDefault="00BC1B8F" w:rsidP="00BC1B8F">
            <w:pPr>
              <w:pStyle w:val="TableText"/>
              <w:spacing w:before="120"/>
              <w:cnfStyle w:val="000000000000" w:firstRow="0" w:lastRow="0" w:firstColumn="0" w:lastColumn="0" w:oddVBand="0" w:evenVBand="0" w:oddHBand="0" w:evenHBand="0" w:firstRowFirstColumn="0" w:firstRowLastColumn="0" w:lastRowFirstColumn="0" w:lastRowLastColumn="0"/>
            </w:pPr>
            <w:r w:rsidRPr="00BC1B8F">
              <w:t>N/A</w:t>
            </w:r>
          </w:p>
        </w:tc>
      </w:tr>
      <w:tr w:rsidR="00BC1B8F" w:rsidRPr="00EA58D6" w14:paraId="71A5EEFA"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033D20E5" w14:textId="1D6E5D76" w:rsidR="00BC1B8F" w:rsidRPr="00DB7E45" w:rsidRDefault="00BC1B8F" w:rsidP="00BC1B8F">
            <w:pPr>
              <w:pStyle w:val="TableText"/>
              <w:rPr>
                <w:rStyle w:val="Bold"/>
              </w:rPr>
            </w:pPr>
            <w:r w:rsidRPr="00DB7E45">
              <w:rPr>
                <w:rStyle w:val="Bold"/>
              </w:rPr>
              <w:t>Payable</w:t>
            </w:r>
          </w:p>
        </w:tc>
        <w:tc>
          <w:tcPr>
            <w:tcW w:w="1838" w:type="pct"/>
          </w:tcPr>
          <w:p w14:paraId="5B23A318" w14:textId="74FA6C44"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0134A884" w14:textId="654FF835" w:rsidR="00BC1B8F" w:rsidRPr="00BC1B8F" w:rsidRDefault="00BC1B8F" w:rsidP="00BC1B8F">
            <w:pPr>
              <w:pStyle w:val="TableText"/>
              <w:cnfStyle w:val="000000000000" w:firstRow="0" w:lastRow="0" w:firstColumn="0" w:lastColumn="0" w:oddVBand="0" w:evenVBand="0" w:oddHBand="0" w:evenHBand="0" w:firstRowFirstColumn="0" w:firstRowLastColumn="0" w:lastRowFirstColumn="0" w:lastRowLastColumn="0"/>
            </w:pPr>
            <w:r w:rsidRPr="00BC1B8F">
              <w:t>N/A</w:t>
            </w:r>
          </w:p>
        </w:tc>
        <w:tc>
          <w:tcPr>
            <w:tcW w:w="736" w:type="pct"/>
          </w:tcPr>
          <w:p w14:paraId="5C317D6F" w14:textId="47F1F706" w:rsidR="00BC1B8F" w:rsidRPr="00BC1B8F" w:rsidRDefault="00BC1B8F" w:rsidP="00BC1B8F">
            <w:pPr>
              <w:pStyle w:val="TableText"/>
              <w:cnfStyle w:val="000000000000" w:firstRow="0" w:lastRow="0" w:firstColumn="0" w:lastColumn="0" w:oddVBand="0" w:evenVBand="0" w:oddHBand="0" w:evenHBand="0" w:firstRowFirstColumn="0" w:firstRowLastColumn="0" w:lastRowFirstColumn="0" w:lastRowLastColumn="0"/>
            </w:pPr>
            <w:r w:rsidRPr="00BC1B8F">
              <w:t>N/A</w:t>
            </w:r>
          </w:p>
        </w:tc>
      </w:tr>
      <w:tr w:rsidR="00BC1B8F" w:rsidRPr="00EA58D6" w14:paraId="461A4C8B"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035248C1" w14:textId="64EC0DAD" w:rsidR="00BC1B8F" w:rsidRPr="00EA58D6" w:rsidRDefault="00BC1B8F" w:rsidP="00BC1B8F">
            <w:pPr>
              <w:pStyle w:val="TableText"/>
            </w:pPr>
            <w:r w:rsidRPr="00EA58D6">
              <w:t>Trade creditors and other payables</w:t>
            </w:r>
          </w:p>
        </w:tc>
        <w:tc>
          <w:tcPr>
            <w:tcW w:w="1838" w:type="pct"/>
          </w:tcPr>
          <w:p w14:paraId="06BDCFFC" w14:textId="4618578D"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3AE0AF0C" w14:textId="1835069F"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32,142</w:t>
            </w:r>
          </w:p>
        </w:tc>
        <w:tc>
          <w:tcPr>
            <w:tcW w:w="736" w:type="pct"/>
          </w:tcPr>
          <w:p w14:paraId="58A8282E" w14:textId="11E3749A"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33,146</w:t>
            </w:r>
          </w:p>
        </w:tc>
      </w:tr>
      <w:tr w:rsidR="00BC1B8F" w:rsidRPr="00EA58D6" w14:paraId="096A25B7"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5E9023F2" w14:textId="4ED58EE6" w:rsidR="00BC1B8F" w:rsidRPr="00EA58D6" w:rsidRDefault="00BC1B8F" w:rsidP="00BC1B8F">
            <w:pPr>
              <w:pStyle w:val="TableText"/>
            </w:pPr>
            <w:r w:rsidRPr="00EA58D6">
              <w:t>Accrued capital works</w:t>
            </w:r>
          </w:p>
        </w:tc>
        <w:tc>
          <w:tcPr>
            <w:tcW w:w="1838" w:type="pct"/>
          </w:tcPr>
          <w:p w14:paraId="5ABFD893" w14:textId="2EE396F6"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0CE45B31" w14:textId="28D57A49"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13,338</w:t>
            </w:r>
          </w:p>
        </w:tc>
        <w:tc>
          <w:tcPr>
            <w:tcW w:w="736" w:type="pct"/>
          </w:tcPr>
          <w:p w14:paraId="2F8B2DD6" w14:textId="6E744C96"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5,921</w:t>
            </w:r>
          </w:p>
        </w:tc>
      </w:tr>
      <w:tr w:rsidR="00BC1B8F" w:rsidRPr="00EA58D6" w14:paraId="39243590"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0CCD317F" w14:textId="71D7DA5A" w:rsidR="00BC1B8F" w:rsidRPr="00EA58D6" w:rsidRDefault="00BC1B8F" w:rsidP="00BC1B8F">
            <w:pPr>
              <w:pStyle w:val="TableText"/>
            </w:pPr>
            <w:r w:rsidRPr="00EA58D6">
              <w:t>Salary and wages</w:t>
            </w:r>
          </w:p>
        </w:tc>
        <w:tc>
          <w:tcPr>
            <w:tcW w:w="1838" w:type="pct"/>
          </w:tcPr>
          <w:p w14:paraId="36F08B29" w14:textId="6C2333EE"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45177C4F" w14:textId="357C71AA"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11,730</w:t>
            </w:r>
          </w:p>
        </w:tc>
        <w:tc>
          <w:tcPr>
            <w:tcW w:w="736" w:type="pct"/>
          </w:tcPr>
          <w:p w14:paraId="3108C96D" w14:textId="07D53546"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7,512</w:t>
            </w:r>
          </w:p>
        </w:tc>
      </w:tr>
      <w:tr w:rsidR="00BC1B8F" w:rsidRPr="00EA58D6" w14:paraId="51D958A5"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2C80AC4A" w14:textId="2E042A4C" w:rsidR="00BC1B8F" w:rsidRPr="00DB7E45" w:rsidRDefault="00BC1B8F" w:rsidP="00895F89">
            <w:pPr>
              <w:pStyle w:val="TableText"/>
              <w:keepNext/>
              <w:rPr>
                <w:rStyle w:val="Bold"/>
              </w:rPr>
            </w:pPr>
            <w:r w:rsidRPr="00DB7E45">
              <w:rPr>
                <w:rStyle w:val="Bold"/>
              </w:rPr>
              <w:t>Borrowings</w:t>
            </w:r>
          </w:p>
        </w:tc>
        <w:tc>
          <w:tcPr>
            <w:tcW w:w="1838" w:type="pct"/>
          </w:tcPr>
          <w:p w14:paraId="5F5E6980" w14:textId="1D8C2620"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440237F1" w14:textId="289E7EFE" w:rsidR="00BC1B8F" w:rsidRPr="00BC1B8F" w:rsidRDefault="00BC1B8F" w:rsidP="00BC1B8F">
            <w:pPr>
              <w:pStyle w:val="TableText"/>
              <w:cnfStyle w:val="000000000000" w:firstRow="0" w:lastRow="0" w:firstColumn="0" w:lastColumn="0" w:oddVBand="0" w:evenVBand="0" w:oddHBand="0" w:evenHBand="0" w:firstRowFirstColumn="0" w:firstRowLastColumn="0" w:lastRowFirstColumn="0" w:lastRowLastColumn="0"/>
            </w:pPr>
            <w:r w:rsidRPr="00BC1B8F">
              <w:t>N/A</w:t>
            </w:r>
          </w:p>
        </w:tc>
        <w:tc>
          <w:tcPr>
            <w:tcW w:w="736" w:type="pct"/>
          </w:tcPr>
          <w:p w14:paraId="2428F204" w14:textId="637A99A2" w:rsidR="00BC1B8F" w:rsidRPr="00BC1B8F" w:rsidRDefault="00BC1B8F" w:rsidP="00BC1B8F">
            <w:pPr>
              <w:pStyle w:val="TableText"/>
              <w:cnfStyle w:val="000000000000" w:firstRow="0" w:lastRow="0" w:firstColumn="0" w:lastColumn="0" w:oddVBand="0" w:evenVBand="0" w:oddHBand="0" w:evenHBand="0" w:firstRowFirstColumn="0" w:firstRowLastColumn="0" w:lastRowFirstColumn="0" w:lastRowLastColumn="0"/>
            </w:pPr>
            <w:r w:rsidRPr="00BC1B8F">
              <w:t>N/A</w:t>
            </w:r>
          </w:p>
        </w:tc>
      </w:tr>
      <w:tr w:rsidR="00BC1B8F" w:rsidRPr="00EA58D6" w14:paraId="43AF6AA2"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2F55F2FB" w14:textId="729A812D" w:rsidR="00BC1B8F" w:rsidRPr="00EA58D6" w:rsidRDefault="00233880" w:rsidP="00BC1B8F">
            <w:pPr>
              <w:pStyle w:val="TableText"/>
            </w:pPr>
            <w:r>
              <w:t>PPP related Right of Use lease liabilities</w:t>
            </w:r>
          </w:p>
        </w:tc>
        <w:tc>
          <w:tcPr>
            <w:tcW w:w="1838" w:type="pct"/>
          </w:tcPr>
          <w:p w14:paraId="0F575EC7" w14:textId="249F6C6C"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25DBB8BC" w14:textId="1666D7E1"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30,701</w:t>
            </w:r>
          </w:p>
        </w:tc>
        <w:tc>
          <w:tcPr>
            <w:tcW w:w="736" w:type="pct"/>
          </w:tcPr>
          <w:p w14:paraId="794ABFDD" w14:textId="5A094731"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44,808</w:t>
            </w:r>
          </w:p>
        </w:tc>
      </w:tr>
      <w:tr w:rsidR="00BC1B8F" w:rsidRPr="00EA58D6" w14:paraId="4739C916"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755099FF" w14:textId="23231B84" w:rsidR="00BC1B8F" w:rsidRPr="00EA58D6" w:rsidRDefault="00233880" w:rsidP="00BC1B8F">
            <w:pPr>
              <w:pStyle w:val="TableText"/>
            </w:pPr>
            <w:r>
              <w:t>Non-PPP related Right of Use lease liabilities</w:t>
            </w:r>
          </w:p>
        </w:tc>
        <w:tc>
          <w:tcPr>
            <w:tcW w:w="1838" w:type="pct"/>
          </w:tcPr>
          <w:p w14:paraId="3030D428" w14:textId="130F3A10" w:rsidR="00BC1B8F" w:rsidRPr="00EA58D6" w:rsidRDefault="00BC1B8F" w:rsidP="00BC1B8F">
            <w:pPr>
              <w:pStyle w:val="TableText"/>
              <w:jc w:val="left"/>
              <w:cnfStyle w:val="000000000000" w:firstRow="0" w:lastRow="0" w:firstColumn="0" w:lastColumn="0" w:oddVBand="0" w:evenVBand="0" w:oddHBand="0" w:evenHBand="0" w:firstRowFirstColumn="0" w:firstRowLastColumn="0" w:lastRowFirstColumn="0" w:lastRowLastColumn="0"/>
            </w:pPr>
            <w:r w:rsidRPr="00EA58D6">
              <w:t>Financial liabilities at amortised cost</w:t>
            </w:r>
          </w:p>
        </w:tc>
        <w:tc>
          <w:tcPr>
            <w:tcW w:w="662" w:type="pct"/>
          </w:tcPr>
          <w:p w14:paraId="5C47DA92" w14:textId="7EAA9B3A"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88,521</w:t>
            </w:r>
          </w:p>
        </w:tc>
        <w:tc>
          <w:tcPr>
            <w:tcW w:w="736" w:type="pct"/>
          </w:tcPr>
          <w:p w14:paraId="4B98FD49" w14:textId="0D7B6233" w:rsidR="00BC1B8F" w:rsidRPr="00EA58D6" w:rsidRDefault="00233880" w:rsidP="00BC1B8F">
            <w:pPr>
              <w:pStyle w:val="TableText"/>
              <w:cnfStyle w:val="000000000000" w:firstRow="0" w:lastRow="0" w:firstColumn="0" w:lastColumn="0" w:oddVBand="0" w:evenVBand="0" w:oddHBand="0" w:evenHBand="0" w:firstRowFirstColumn="0" w:firstRowLastColumn="0" w:lastRowFirstColumn="0" w:lastRowLastColumn="0"/>
            </w:pPr>
            <w:r>
              <w:t>10,109</w:t>
            </w:r>
          </w:p>
        </w:tc>
      </w:tr>
      <w:tr w:rsidR="00BC1B8F" w:rsidRPr="00DB7E45" w14:paraId="23B64D27" w14:textId="77777777" w:rsidTr="00BC1B8F">
        <w:tc>
          <w:tcPr>
            <w:cnfStyle w:val="001000000000" w:firstRow="0" w:lastRow="0" w:firstColumn="1" w:lastColumn="0" w:oddVBand="0" w:evenVBand="0" w:oddHBand="0" w:evenHBand="0" w:firstRowFirstColumn="0" w:firstRowLastColumn="0" w:lastRowFirstColumn="0" w:lastRowLastColumn="0"/>
            <w:tcW w:w="1764" w:type="pct"/>
          </w:tcPr>
          <w:p w14:paraId="5CD71B54" w14:textId="77777777" w:rsidR="00BC1B8F" w:rsidRPr="00DB7E45" w:rsidRDefault="00BC1B8F" w:rsidP="00BC1B8F">
            <w:pPr>
              <w:pStyle w:val="TableText"/>
              <w:rPr>
                <w:rStyle w:val="Bold"/>
              </w:rPr>
            </w:pPr>
            <w:r w:rsidRPr="00DB7E45">
              <w:rPr>
                <w:rStyle w:val="Bold"/>
              </w:rPr>
              <w:t>Total contractual financial liabilities</w:t>
            </w:r>
          </w:p>
        </w:tc>
        <w:tc>
          <w:tcPr>
            <w:tcW w:w="1838" w:type="pct"/>
          </w:tcPr>
          <w:p w14:paraId="43404413" w14:textId="5963323F" w:rsidR="00BC1B8F" w:rsidRPr="00DB7E45" w:rsidRDefault="00D25956" w:rsidP="00BC1B8F">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t>N/A</w:t>
            </w:r>
          </w:p>
        </w:tc>
        <w:tc>
          <w:tcPr>
            <w:tcW w:w="662" w:type="pct"/>
          </w:tcPr>
          <w:p w14:paraId="13806F96" w14:textId="6EBA9025" w:rsidR="00BC1B8F" w:rsidRPr="00DB7E45" w:rsidRDefault="00233880" w:rsidP="00BC1B8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176,432</w:t>
            </w:r>
          </w:p>
        </w:tc>
        <w:tc>
          <w:tcPr>
            <w:tcW w:w="736" w:type="pct"/>
          </w:tcPr>
          <w:p w14:paraId="4145896F" w14:textId="06FC0FC1" w:rsidR="00BC1B8F" w:rsidRPr="00DB7E45" w:rsidRDefault="00233880" w:rsidP="00BC1B8F">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101,497</w:t>
            </w:r>
          </w:p>
        </w:tc>
      </w:tr>
    </w:tbl>
    <w:p w14:paraId="4A61E75B" w14:textId="270908DB" w:rsidR="00417B1B" w:rsidRDefault="00417B1B" w:rsidP="00417B1B">
      <w:pPr>
        <w:pStyle w:val="Heading4"/>
      </w:pPr>
      <w:bookmarkStart w:id="434" w:name="Note812"/>
      <w:r w:rsidRPr="00EA58D6">
        <w:t>8.1.2</w:t>
      </w:r>
      <w:r w:rsidR="00092296">
        <w:tab/>
      </w:r>
      <w:bookmarkEnd w:id="434"/>
      <w:r w:rsidRPr="00EA58D6">
        <w:t>Financial Instru</w:t>
      </w:r>
      <w:r w:rsidR="00DB7E45">
        <w:t>ments: Net Holding Gain/(Loss) on Financial Instruments b</w:t>
      </w:r>
      <w:r w:rsidRPr="00EA58D6">
        <w:t>y</w:t>
      </w:r>
      <w:r w:rsidR="00D45E5B">
        <w:t xml:space="preserve"> </w:t>
      </w:r>
      <w:r w:rsidRPr="00EA58D6">
        <w:t>Category</w:t>
      </w:r>
    </w:p>
    <w:tbl>
      <w:tblPr>
        <w:tblStyle w:val="AccessibleTableNumerical"/>
        <w:tblW w:w="5000" w:type="pct"/>
        <w:tblLook w:val="04E0" w:firstRow="1" w:lastRow="1" w:firstColumn="1" w:lastColumn="0" w:noHBand="0" w:noVBand="1"/>
      </w:tblPr>
      <w:tblGrid>
        <w:gridCol w:w="6245"/>
        <w:gridCol w:w="1696"/>
        <w:gridCol w:w="1698"/>
      </w:tblGrid>
      <w:tr w:rsidR="00417B1B" w:rsidRPr="00683CE2" w14:paraId="7D5B9E35" w14:textId="77777777" w:rsidTr="00DB7E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9" w:type="pct"/>
          </w:tcPr>
          <w:p w14:paraId="28F571DD" w14:textId="5EDC554D" w:rsidR="00417B1B" w:rsidRPr="00683CE2" w:rsidRDefault="00AC0BBF" w:rsidP="00683CE2">
            <w:pPr>
              <w:pStyle w:val="TableText"/>
            </w:pPr>
            <w:bookmarkStart w:id="435" w:name="ColumnTitle_83"/>
            <w:r w:rsidRPr="00683CE2">
              <w:t>Item</w:t>
            </w:r>
          </w:p>
        </w:tc>
        <w:tc>
          <w:tcPr>
            <w:tcW w:w="880" w:type="pct"/>
            <w:vAlign w:val="bottom"/>
          </w:tcPr>
          <w:p w14:paraId="6B1E0306" w14:textId="5FF2A2CE" w:rsidR="00417B1B" w:rsidRPr="00683CE2" w:rsidRDefault="00417B1B" w:rsidP="00DB7E45">
            <w:pPr>
              <w:pStyle w:val="TableText"/>
              <w:cnfStyle w:val="100000000000" w:firstRow="1" w:lastRow="0" w:firstColumn="0" w:lastColumn="0" w:oddVBand="0" w:evenVBand="0" w:oddHBand="0" w:evenHBand="0" w:firstRowFirstColumn="0" w:firstRowLastColumn="0" w:lastRowFirstColumn="0" w:lastRowLastColumn="0"/>
            </w:pPr>
            <w:r w:rsidRPr="00683CE2">
              <w:t>20</w:t>
            </w:r>
            <w:r w:rsidR="00233880">
              <w:t>20</w:t>
            </w:r>
            <w:r w:rsidRPr="00683CE2">
              <w:br/>
              <w:t>Total expense</w:t>
            </w:r>
            <w:r w:rsidRPr="00683CE2">
              <w:br/>
              <w:t>$'000</w:t>
            </w:r>
          </w:p>
        </w:tc>
        <w:tc>
          <w:tcPr>
            <w:tcW w:w="881" w:type="pct"/>
            <w:vAlign w:val="bottom"/>
          </w:tcPr>
          <w:p w14:paraId="7966F1EA" w14:textId="5147D0E9" w:rsidR="00417B1B" w:rsidRPr="00683CE2" w:rsidRDefault="00417B1B" w:rsidP="00DB7E45">
            <w:pPr>
              <w:pStyle w:val="TableText"/>
              <w:cnfStyle w:val="100000000000" w:firstRow="1" w:lastRow="0" w:firstColumn="0" w:lastColumn="0" w:oddVBand="0" w:evenVBand="0" w:oddHBand="0" w:evenHBand="0" w:firstRowFirstColumn="0" w:firstRowLastColumn="0" w:lastRowFirstColumn="0" w:lastRowLastColumn="0"/>
            </w:pPr>
            <w:r w:rsidRPr="00683CE2">
              <w:t>201</w:t>
            </w:r>
            <w:r w:rsidR="00233880">
              <w:t>9</w:t>
            </w:r>
            <w:r w:rsidRPr="00683CE2">
              <w:br/>
              <w:t>Total expense</w:t>
            </w:r>
            <w:r w:rsidRPr="00683CE2">
              <w:br/>
              <w:t>$'000</w:t>
            </w:r>
          </w:p>
        </w:tc>
      </w:tr>
      <w:tr w:rsidR="00BD6A43" w:rsidRPr="00683CE2" w14:paraId="6B46B9DE" w14:textId="77777777" w:rsidTr="00683CE2">
        <w:tc>
          <w:tcPr>
            <w:cnfStyle w:val="001000000000" w:firstRow="0" w:lastRow="0" w:firstColumn="1" w:lastColumn="0" w:oddVBand="0" w:evenVBand="0" w:oddHBand="0" w:evenHBand="0" w:firstRowFirstColumn="0" w:firstRowLastColumn="0" w:lastRowFirstColumn="0" w:lastRowLastColumn="0"/>
            <w:tcW w:w="3239" w:type="pct"/>
          </w:tcPr>
          <w:p w14:paraId="716D27E1" w14:textId="5E6FF070" w:rsidR="00BD6A43" w:rsidRPr="00BD6A43" w:rsidRDefault="00BD6A43" w:rsidP="00683CE2">
            <w:pPr>
              <w:pStyle w:val="TableText"/>
              <w:rPr>
                <w:rStyle w:val="Bold"/>
              </w:rPr>
            </w:pPr>
            <w:r w:rsidRPr="00BD6A43">
              <w:rPr>
                <w:rStyle w:val="Bold"/>
              </w:rPr>
              <w:t>Financial liabilities at amortised cost</w:t>
            </w:r>
          </w:p>
        </w:tc>
        <w:tc>
          <w:tcPr>
            <w:tcW w:w="880" w:type="pct"/>
          </w:tcPr>
          <w:p w14:paraId="039FDA1A" w14:textId="4353D8CC" w:rsidR="00BD6A43" w:rsidRDefault="00BD6A43" w:rsidP="00683CE2">
            <w:pPr>
              <w:pStyle w:val="TableText"/>
              <w:cnfStyle w:val="000000000000" w:firstRow="0" w:lastRow="0" w:firstColumn="0" w:lastColumn="0" w:oddVBand="0" w:evenVBand="0" w:oddHBand="0" w:evenHBand="0" w:firstRowFirstColumn="0" w:firstRowLastColumn="0" w:lastRowFirstColumn="0" w:lastRowLastColumn="0"/>
            </w:pPr>
            <w:r>
              <w:t>N/A</w:t>
            </w:r>
          </w:p>
        </w:tc>
        <w:tc>
          <w:tcPr>
            <w:tcW w:w="881" w:type="pct"/>
          </w:tcPr>
          <w:p w14:paraId="267ED88F" w14:textId="4EFEB139" w:rsidR="00BD6A43" w:rsidRDefault="00BD6A43" w:rsidP="00683CE2">
            <w:pPr>
              <w:pStyle w:val="TableText"/>
              <w:cnfStyle w:val="000000000000" w:firstRow="0" w:lastRow="0" w:firstColumn="0" w:lastColumn="0" w:oddVBand="0" w:evenVBand="0" w:oddHBand="0" w:evenHBand="0" w:firstRowFirstColumn="0" w:firstRowLastColumn="0" w:lastRowFirstColumn="0" w:lastRowLastColumn="0"/>
            </w:pPr>
            <w:r>
              <w:t>N/A</w:t>
            </w:r>
          </w:p>
        </w:tc>
      </w:tr>
      <w:bookmarkEnd w:id="435"/>
      <w:tr w:rsidR="00417B1B" w:rsidRPr="00683CE2" w14:paraId="381AED07" w14:textId="77777777" w:rsidTr="00683CE2">
        <w:tc>
          <w:tcPr>
            <w:cnfStyle w:val="001000000000" w:firstRow="0" w:lastRow="0" w:firstColumn="1" w:lastColumn="0" w:oddVBand="0" w:evenVBand="0" w:oddHBand="0" w:evenHBand="0" w:firstRowFirstColumn="0" w:firstRowLastColumn="0" w:lastRowFirstColumn="0" w:lastRowLastColumn="0"/>
            <w:tcW w:w="3239" w:type="pct"/>
          </w:tcPr>
          <w:p w14:paraId="3ED14F5D" w14:textId="490F023C" w:rsidR="00417B1B" w:rsidRPr="00683CE2" w:rsidRDefault="00417B1B" w:rsidP="00683CE2">
            <w:pPr>
              <w:pStyle w:val="TableText"/>
            </w:pPr>
            <w:r w:rsidRPr="00683CE2">
              <w:t>Contractual financial liabilities under the PPP arrangement for</w:t>
            </w:r>
            <w:r w:rsidR="00D45E5B" w:rsidRPr="00683CE2">
              <w:t xml:space="preserve"> </w:t>
            </w:r>
            <w:r w:rsidRPr="00683CE2">
              <w:t>the</w:t>
            </w:r>
            <w:r w:rsidR="00D45E5B" w:rsidRPr="00683CE2">
              <w:t xml:space="preserve"> </w:t>
            </w:r>
            <w:r w:rsidRPr="00683CE2">
              <w:t>County Court Facility</w:t>
            </w:r>
          </w:p>
        </w:tc>
        <w:tc>
          <w:tcPr>
            <w:tcW w:w="880" w:type="pct"/>
          </w:tcPr>
          <w:p w14:paraId="7EDE8337" w14:textId="73C91F92" w:rsidR="00417B1B" w:rsidRPr="00683CE2" w:rsidRDefault="00233880" w:rsidP="00683CE2">
            <w:pPr>
              <w:pStyle w:val="TableText"/>
              <w:cnfStyle w:val="000000000000" w:firstRow="0" w:lastRow="0" w:firstColumn="0" w:lastColumn="0" w:oddVBand="0" w:evenVBand="0" w:oddHBand="0" w:evenHBand="0" w:firstRowFirstColumn="0" w:firstRowLastColumn="0" w:lastRowFirstColumn="0" w:lastRowLastColumn="0"/>
            </w:pPr>
            <w:r>
              <w:t>(4,515)</w:t>
            </w:r>
          </w:p>
        </w:tc>
        <w:tc>
          <w:tcPr>
            <w:tcW w:w="881" w:type="pct"/>
          </w:tcPr>
          <w:p w14:paraId="395CCC6B" w14:textId="5335318A" w:rsidR="00417B1B" w:rsidRPr="00683CE2" w:rsidRDefault="00233880" w:rsidP="00683CE2">
            <w:pPr>
              <w:pStyle w:val="TableText"/>
              <w:cnfStyle w:val="000000000000" w:firstRow="0" w:lastRow="0" w:firstColumn="0" w:lastColumn="0" w:oddVBand="0" w:evenVBand="0" w:oddHBand="0" w:evenHBand="0" w:firstRowFirstColumn="0" w:firstRowLastColumn="0" w:lastRowFirstColumn="0" w:lastRowLastColumn="0"/>
            </w:pPr>
            <w:r>
              <w:t>(4,753)</w:t>
            </w:r>
          </w:p>
        </w:tc>
      </w:tr>
      <w:tr w:rsidR="00417B1B" w:rsidRPr="00683CE2" w14:paraId="7055D012" w14:textId="77777777" w:rsidTr="00683CE2">
        <w:tc>
          <w:tcPr>
            <w:cnfStyle w:val="001000000000" w:firstRow="0" w:lastRow="0" w:firstColumn="1" w:lastColumn="0" w:oddVBand="0" w:evenVBand="0" w:oddHBand="0" w:evenHBand="0" w:firstRowFirstColumn="0" w:firstRowLastColumn="0" w:lastRowFirstColumn="0" w:lastRowLastColumn="0"/>
            <w:tcW w:w="3239" w:type="pct"/>
          </w:tcPr>
          <w:p w14:paraId="7C03FC4E" w14:textId="77777777" w:rsidR="00417B1B" w:rsidRPr="00683CE2" w:rsidRDefault="00417B1B" w:rsidP="00683CE2">
            <w:pPr>
              <w:pStyle w:val="TableText"/>
            </w:pPr>
            <w:r w:rsidRPr="00683CE2">
              <w:t xml:space="preserve">Contractual financial liabilities for </w:t>
            </w:r>
            <w:proofErr w:type="spellStart"/>
            <w:r w:rsidRPr="00683CE2">
              <w:t>VicFleet</w:t>
            </w:r>
            <w:proofErr w:type="spellEnd"/>
          </w:p>
        </w:tc>
        <w:tc>
          <w:tcPr>
            <w:tcW w:w="880" w:type="pct"/>
          </w:tcPr>
          <w:p w14:paraId="3FF34993" w14:textId="35825AB7" w:rsidR="00417B1B" w:rsidRPr="00683CE2" w:rsidRDefault="00233880" w:rsidP="00683CE2">
            <w:pPr>
              <w:pStyle w:val="TableText"/>
              <w:cnfStyle w:val="000000000000" w:firstRow="0" w:lastRow="0" w:firstColumn="0" w:lastColumn="0" w:oddVBand="0" w:evenVBand="0" w:oddHBand="0" w:evenHBand="0" w:firstRowFirstColumn="0" w:firstRowLastColumn="0" w:lastRowFirstColumn="0" w:lastRowLastColumn="0"/>
            </w:pPr>
            <w:r>
              <w:t>(293)</w:t>
            </w:r>
          </w:p>
        </w:tc>
        <w:tc>
          <w:tcPr>
            <w:tcW w:w="881" w:type="pct"/>
          </w:tcPr>
          <w:p w14:paraId="735A7560" w14:textId="1AE094D2" w:rsidR="00417B1B" w:rsidRPr="00683CE2" w:rsidRDefault="00233880" w:rsidP="00683CE2">
            <w:pPr>
              <w:pStyle w:val="TableText"/>
              <w:cnfStyle w:val="000000000000" w:firstRow="0" w:lastRow="0" w:firstColumn="0" w:lastColumn="0" w:oddVBand="0" w:evenVBand="0" w:oddHBand="0" w:evenHBand="0" w:firstRowFirstColumn="0" w:firstRowLastColumn="0" w:lastRowFirstColumn="0" w:lastRowLastColumn="0"/>
            </w:pPr>
            <w:r>
              <w:t>(231)</w:t>
            </w:r>
          </w:p>
        </w:tc>
      </w:tr>
      <w:tr w:rsidR="00417B1B" w:rsidRPr="00DB7E45" w14:paraId="563D598B" w14:textId="77777777" w:rsidTr="00683C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pct"/>
          </w:tcPr>
          <w:p w14:paraId="271C2778" w14:textId="6EB5EF1D" w:rsidR="00417B1B" w:rsidRPr="00DB7E45" w:rsidRDefault="00683CE2" w:rsidP="00683CE2">
            <w:pPr>
              <w:pStyle w:val="TableText"/>
              <w:rPr>
                <w:rStyle w:val="Bold"/>
              </w:rPr>
            </w:pPr>
            <w:r w:rsidRPr="00DB7E45">
              <w:rPr>
                <w:rStyle w:val="Bold"/>
              </w:rPr>
              <w:t>Total</w:t>
            </w:r>
          </w:p>
        </w:tc>
        <w:tc>
          <w:tcPr>
            <w:tcW w:w="880" w:type="pct"/>
          </w:tcPr>
          <w:p w14:paraId="7E22F3D7" w14:textId="3952DFA3" w:rsidR="00417B1B" w:rsidRPr="00DB7E45" w:rsidRDefault="00233880" w:rsidP="00683CE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(4,809)</w:t>
            </w:r>
          </w:p>
        </w:tc>
        <w:tc>
          <w:tcPr>
            <w:tcW w:w="881" w:type="pct"/>
          </w:tcPr>
          <w:p w14:paraId="1DF189BA" w14:textId="4CD96A8D" w:rsidR="00417B1B" w:rsidRPr="00DB7E45" w:rsidRDefault="00233880" w:rsidP="00683CE2">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(4,983)</w:t>
            </w:r>
          </w:p>
        </w:tc>
      </w:tr>
    </w:tbl>
    <w:p w14:paraId="6073D01B" w14:textId="069C7534" w:rsidR="00417B1B" w:rsidRDefault="00417B1B" w:rsidP="00417B1B">
      <w:pPr>
        <w:pStyle w:val="Heading4"/>
      </w:pPr>
      <w:bookmarkStart w:id="436" w:name="Note813"/>
      <w:r w:rsidRPr="00845D24">
        <w:t>8.1.3</w:t>
      </w:r>
      <w:bookmarkEnd w:id="436"/>
      <w:r w:rsidR="00092296">
        <w:tab/>
      </w:r>
      <w:r w:rsidRPr="00845D24">
        <w:t xml:space="preserve">Financial Risk Management Objectives </w:t>
      </w:r>
      <w:r w:rsidR="00D45E5B" w:rsidRPr="00845D24">
        <w:t xml:space="preserve">and </w:t>
      </w:r>
      <w:r w:rsidRPr="00845D24">
        <w:t>Policies</w:t>
      </w:r>
    </w:p>
    <w:p w14:paraId="4F547B0D" w14:textId="603663A3" w:rsidR="00845D24" w:rsidRPr="00845D24" w:rsidRDefault="00A26029" w:rsidP="00845D24">
      <w:r>
        <w:rPr>
          <w:noProof/>
        </w:rPr>
        <w:drawing>
          <wp:inline distT="0" distB="0" distL="0" distR="0" wp14:anchorId="21995DC0" wp14:editId="3197C304">
            <wp:extent cx="2682000" cy="1177200"/>
            <wp:effectExtent l="0" t="0" r="4445" b="4445"/>
            <wp:docPr id="9" name="Picture 9" descr="Diagram showing identified financial risks being credit risk and liquidity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howing identified financial risks being credit risk and liquidity risk."/>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682000" cy="1177200"/>
                    </a:xfrm>
                    <a:prstGeom prst="rect">
                      <a:avLst/>
                    </a:prstGeom>
                  </pic:spPr>
                </pic:pic>
              </a:graphicData>
            </a:graphic>
          </wp:inline>
        </w:drawing>
      </w:r>
    </w:p>
    <w:p w14:paraId="7DDCF078" w14:textId="55A77841" w:rsidR="009B0BDE" w:rsidRDefault="009B0BDE" w:rsidP="009B0BDE">
      <w:pPr>
        <w:pStyle w:val="BodyText"/>
      </w:pPr>
      <w:bookmarkStart w:id="437" w:name="PasteHere"/>
      <w:bookmarkStart w:id="438" w:name="PasteEndHere"/>
      <w:bookmarkEnd w:id="437"/>
      <w:bookmarkEnd w:id="438"/>
      <w:r>
        <w:t xml:space="preserve">As a whole, </w:t>
      </w:r>
      <w:r w:rsidR="009B1462">
        <w:t>Court Services Victoria</w:t>
      </w:r>
      <w:r>
        <w:t>’s financial risk management program seeks to manage these risks and the associated volatility of its financial performance.</w:t>
      </w:r>
    </w:p>
    <w:p w14:paraId="5329C252" w14:textId="22325E41" w:rsidR="009B0BDE" w:rsidRDefault="009B0BDE" w:rsidP="009B0BDE">
      <w:pPr>
        <w:pStyle w:val="BodyText"/>
      </w:pPr>
      <w:r>
        <w:t xml:space="preserve">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w:t>
      </w:r>
      <w:hyperlink w:anchor="Note83" w:history="1">
        <w:r w:rsidR="00B85F52" w:rsidRPr="00B85F52">
          <w:t>Note 8.3</w:t>
        </w:r>
      </w:hyperlink>
      <w:r>
        <w:t xml:space="preserve"> to the financial statements.</w:t>
      </w:r>
    </w:p>
    <w:p w14:paraId="480862C3" w14:textId="3C531E77" w:rsidR="009B0BDE" w:rsidRDefault="009B0BDE" w:rsidP="009B0BDE">
      <w:pPr>
        <w:pStyle w:val="BodyText"/>
      </w:pPr>
      <w:r>
        <w:t xml:space="preserve">The main purpose in holding financial instruments is to prudentially manage </w:t>
      </w:r>
      <w:r w:rsidR="009B1462">
        <w:t>Court Services Victoria</w:t>
      </w:r>
      <w:r>
        <w:t>’s financial risks within the government policy parameters.</w:t>
      </w:r>
    </w:p>
    <w:p w14:paraId="4CDCDCC9" w14:textId="70D39E34" w:rsidR="009B0BDE" w:rsidRDefault="009B1462" w:rsidP="009B0BDE">
      <w:pPr>
        <w:pStyle w:val="BodyText"/>
      </w:pPr>
      <w:r>
        <w:t>Court Services Victoria</w:t>
      </w:r>
      <w:r w:rsidR="009B0BDE">
        <w:t xml:space="preserve"> main financial risks include credit risk and liquidity risk. </w:t>
      </w:r>
      <w:r>
        <w:t>Court Services Victoria</w:t>
      </w:r>
      <w:r w:rsidR="009B0BDE">
        <w:t xml:space="preserve"> manages these financial risks in accordance with its financial risk management policy.</w:t>
      </w:r>
    </w:p>
    <w:p w14:paraId="0689BEF0" w14:textId="39CF0A00" w:rsidR="009B0BDE" w:rsidRDefault="009B1462" w:rsidP="009B0BDE">
      <w:pPr>
        <w:pStyle w:val="BodyText"/>
      </w:pPr>
      <w:r>
        <w:t>Court Services Victoria</w:t>
      </w:r>
      <w:r w:rsidR="009B0BDE">
        <w:t xml:space="preserve"> uses different methods to measure and manage the different risks to which it is exposed. Primary responsibility for the identification and management of financial risks rests with </w:t>
      </w:r>
      <w:r>
        <w:t>Court Services Victoria</w:t>
      </w:r>
      <w:r w:rsidR="009B0BDE">
        <w:t>’s Finance Portfolio Committee.</w:t>
      </w:r>
    </w:p>
    <w:p w14:paraId="7FAB6774" w14:textId="77777777" w:rsidR="00417B1B" w:rsidRDefault="00417B1B" w:rsidP="00DF32E7">
      <w:pPr>
        <w:pStyle w:val="Heading4"/>
      </w:pPr>
      <w:r>
        <w:t>Financial instruments: Credit Risk</w:t>
      </w:r>
    </w:p>
    <w:p w14:paraId="78D72067" w14:textId="62ADC8E6" w:rsidR="00110D7A" w:rsidRDefault="00110D7A" w:rsidP="00110D7A">
      <w:pPr>
        <w:pStyle w:val="BodyText"/>
      </w:pPr>
      <w:r>
        <w:t xml:space="preserve">Credit risk refers to the possibility that a debtor will default on its financial obligations as and when they fall due. </w:t>
      </w:r>
      <w:r w:rsidR="009B1462">
        <w:t>Court Services Victoria</w:t>
      </w:r>
      <w:r>
        <w:t xml:space="preserve">’s exposure to credit risk arises from the potential default of a counter party on their contractual obligations resulting in financial loss to </w:t>
      </w:r>
      <w:r w:rsidR="009B1462">
        <w:t>Court Services Victoria</w:t>
      </w:r>
      <w:r>
        <w:t>. Credit risk is measured at fair value and is monitored on a regular basis.</w:t>
      </w:r>
    </w:p>
    <w:p w14:paraId="300FBC13" w14:textId="3EBFBB59" w:rsidR="00110D7A" w:rsidRDefault="00110D7A" w:rsidP="00110D7A">
      <w:pPr>
        <w:pStyle w:val="BodyText"/>
      </w:pPr>
      <w:r>
        <w:t xml:space="preserve">Credit risk associated with </w:t>
      </w:r>
      <w:r w:rsidR="009B1462">
        <w:t>Court Services Victoria</w:t>
      </w:r>
      <w:r>
        <w:t xml:space="preserve">’s contractual financial assets is minimal as its main debtor is the Victorian Government. For debtors other than the Government, </w:t>
      </w:r>
      <w:r w:rsidR="009B1462">
        <w:t>Court Services Victoria</w:t>
      </w:r>
      <w:r>
        <w:t xml:space="preserve"> monitors outstanding debtors on a monthly basis.</w:t>
      </w:r>
    </w:p>
    <w:p w14:paraId="66A2FC2D" w14:textId="2CE83150" w:rsidR="00110D7A" w:rsidRDefault="00110D7A" w:rsidP="00110D7A">
      <w:pPr>
        <w:pStyle w:val="BodyText"/>
      </w:pPr>
      <w:r>
        <w:t xml:space="preserve">In addition, </w:t>
      </w:r>
      <w:r w:rsidR="009B1462">
        <w:t>Court Services Victoria</w:t>
      </w:r>
      <w:r>
        <w:t xml:space="preserve"> does not engage in hedging for its contractual financial assets and mainly obtains contractual financial assets that are on fixed interest, except for cash and deposits, which are mainly cash at bank.</w:t>
      </w:r>
    </w:p>
    <w:p w14:paraId="08EA364C" w14:textId="7B2AB81B" w:rsidR="00110D7A" w:rsidRDefault="00110D7A" w:rsidP="00110D7A">
      <w:pPr>
        <w:pStyle w:val="BodyText"/>
      </w:pPr>
      <w:r>
        <w:t xml:space="preserve">Provision of impairment for contractual financial assets is recognised when there is objective evidence that </w:t>
      </w:r>
      <w:r w:rsidR="009B1462">
        <w:t>Court Services Victoria</w:t>
      </w:r>
      <w:r>
        <w:t xml:space="preserve"> will not be able to collect a receivable. Objective evidence includes financial difficulties of the debtor, default payments, debts that are more than 60 days overdue, and changes in debtor credit ratings. </w:t>
      </w:r>
      <w:proofErr w:type="gramStart"/>
      <w:r>
        <w:t>At</w:t>
      </w:r>
      <w:proofErr w:type="gramEnd"/>
      <w:r>
        <w:t xml:space="preserve"> 30 June 2020 </w:t>
      </w:r>
      <w:r w:rsidR="009B1462">
        <w:t>Court Services Victoria</w:t>
      </w:r>
      <w:r>
        <w:t>’s contractual financial assets are neither past due nor impaired.</w:t>
      </w:r>
    </w:p>
    <w:p w14:paraId="704CB72F" w14:textId="60D52D4F" w:rsidR="00110D7A" w:rsidRDefault="00110D7A" w:rsidP="00110D7A">
      <w:pPr>
        <w:pStyle w:val="BodyText"/>
      </w:pPr>
      <w: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79A47D23" w14:textId="7B1BFEDB" w:rsidR="00110D7A" w:rsidRDefault="00110D7A" w:rsidP="00110D7A">
      <w:pPr>
        <w:pStyle w:val="BodyText"/>
      </w:pPr>
      <w:r>
        <w:t xml:space="preserve">Except as otherwise detailed in the following table, the carrying amount of contractual financial assets recorded in the financial statements, net of any allowances for losses, represents </w:t>
      </w:r>
      <w:r w:rsidR="009B1462">
        <w:t>Court Services Victoria</w:t>
      </w:r>
      <w:r>
        <w:t>’s maximum exposure to credit risk without taking account of the value of any collateral obtained.</w:t>
      </w:r>
    </w:p>
    <w:p w14:paraId="78A99C74" w14:textId="1BE855F0" w:rsidR="00110D7A" w:rsidRDefault="00110D7A" w:rsidP="00110D7A">
      <w:pPr>
        <w:pStyle w:val="BodyText"/>
      </w:pPr>
      <w:r>
        <w:t xml:space="preserve">There has been no material change to </w:t>
      </w:r>
      <w:r w:rsidR="009B1462">
        <w:t>Court Services Victoria</w:t>
      </w:r>
      <w:r>
        <w:t>’s credit risk profile in 2019-20.</w:t>
      </w:r>
    </w:p>
    <w:p w14:paraId="499DC43A" w14:textId="12C4CEB2" w:rsidR="00417B1B" w:rsidRDefault="00985A32" w:rsidP="00985A32">
      <w:pPr>
        <w:pStyle w:val="Heading5"/>
      </w:pPr>
      <w:r>
        <w:t>Cre</w:t>
      </w:r>
      <w:r w:rsidR="00417B1B" w:rsidRPr="000E0EBE">
        <w:t xml:space="preserve">dit Quality </w:t>
      </w:r>
      <w:r w:rsidR="00172429">
        <w:t>of</w:t>
      </w:r>
      <w:r w:rsidR="00417B1B" w:rsidRPr="000E0EBE">
        <w:t xml:space="preserve"> Financial Assets</w:t>
      </w:r>
    </w:p>
    <w:tbl>
      <w:tblPr>
        <w:tblStyle w:val="AccessibleTableNumerical"/>
        <w:tblW w:w="5000" w:type="pct"/>
        <w:tblLook w:val="04E0" w:firstRow="1" w:lastRow="1" w:firstColumn="1" w:lastColumn="0" w:noHBand="0" w:noVBand="1"/>
      </w:tblPr>
      <w:tblGrid>
        <w:gridCol w:w="3094"/>
        <w:gridCol w:w="1309"/>
        <w:gridCol w:w="1309"/>
        <w:gridCol w:w="1309"/>
        <w:gridCol w:w="1309"/>
        <w:gridCol w:w="1309"/>
      </w:tblGrid>
      <w:tr w:rsidR="00417B1B" w:rsidRPr="000E0EBE" w14:paraId="2FC24538" w14:textId="77777777" w:rsidTr="00301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pct"/>
          </w:tcPr>
          <w:p w14:paraId="29818641" w14:textId="037F2728" w:rsidR="00417B1B" w:rsidRPr="000E0EBE" w:rsidRDefault="00417B1B" w:rsidP="00895F89">
            <w:pPr>
              <w:pStyle w:val="TableText"/>
              <w:spacing w:before="50" w:after="50"/>
            </w:pPr>
            <w:bookmarkStart w:id="439" w:name="ColumnTitle_84"/>
            <w:r w:rsidRPr="000E0EBE">
              <w:t>20</w:t>
            </w:r>
            <w:r w:rsidR="00110D7A">
              <w:t>20</w:t>
            </w:r>
          </w:p>
        </w:tc>
        <w:tc>
          <w:tcPr>
            <w:tcW w:w="679" w:type="pct"/>
            <w:vAlign w:val="bottom"/>
          </w:tcPr>
          <w:p w14:paraId="7B82FA26" w14:textId="057549DA" w:rsidR="00417B1B" w:rsidRPr="000E0EBE" w:rsidRDefault="00417B1B" w:rsidP="00301ED6">
            <w:pPr>
              <w:pStyle w:val="TableText"/>
              <w:spacing w:before="50" w:after="50"/>
              <w:cnfStyle w:val="100000000000" w:firstRow="1" w:lastRow="0" w:firstColumn="0" w:lastColumn="0" w:oddVBand="0" w:evenVBand="0" w:oddHBand="0" w:evenHBand="0" w:firstRowFirstColumn="0" w:firstRowLastColumn="0" w:lastRowFirstColumn="0" w:lastRowLastColumn="0"/>
            </w:pPr>
            <w:r w:rsidRPr="000E0EBE">
              <w:t>Financial institution</w:t>
            </w:r>
            <w:r w:rsidRPr="000E0EBE">
              <w:br/>
              <w:t>(triple-A credit rating)</w:t>
            </w:r>
            <w:r w:rsidR="00301ED6">
              <w:br/>
            </w:r>
            <w:r w:rsidRPr="000E0EBE">
              <w:t>$’000</w:t>
            </w:r>
          </w:p>
        </w:tc>
        <w:tc>
          <w:tcPr>
            <w:tcW w:w="679" w:type="pct"/>
            <w:vAlign w:val="bottom"/>
          </w:tcPr>
          <w:p w14:paraId="68058568" w14:textId="681DB523" w:rsidR="00417B1B" w:rsidRPr="000E0EBE" w:rsidRDefault="00417B1B" w:rsidP="00301ED6">
            <w:pPr>
              <w:pStyle w:val="TableText"/>
              <w:spacing w:before="50" w:after="50"/>
              <w:cnfStyle w:val="100000000000" w:firstRow="1" w:lastRow="0" w:firstColumn="0" w:lastColumn="0" w:oddVBand="0" w:evenVBand="0" w:oddHBand="0" w:evenHBand="0" w:firstRowFirstColumn="0" w:firstRowLastColumn="0" w:lastRowFirstColumn="0" w:lastRowLastColumn="0"/>
            </w:pPr>
            <w:r w:rsidRPr="000E0EBE">
              <w:t>Government agencies</w:t>
            </w:r>
            <w:r w:rsidRPr="000E0EBE">
              <w:br/>
              <w:t>(triple-A credit rating)</w:t>
            </w:r>
            <w:r w:rsidR="00301ED6">
              <w:br/>
            </w:r>
            <w:r w:rsidRPr="000E0EBE">
              <w:t>$’000</w:t>
            </w:r>
          </w:p>
        </w:tc>
        <w:tc>
          <w:tcPr>
            <w:tcW w:w="679" w:type="pct"/>
            <w:vAlign w:val="bottom"/>
          </w:tcPr>
          <w:p w14:paraId="2BF451D6" w14:textId="18B38504" w:rsidR="00417B1B" w:rsidRPr="000E0EBE" w:rsidRDefault="00417B1B" w:rsidP="00301ED6">
            <w:pPr>
              <w:pStyle w:val="TableText"/>
              <w:spacing w:before="50" w:after="50"/>
              <w:cnfStyle w:val="100000000000" w:firstRow="1" w:lastRow="0" w:firstColumn="0" w:lastColumn="0" w:oddVBand="0" w:evenVBand="0" w:oddHBand="0" w:evenHBand="0" w:firstRowFirstColumn="0" w:firstRowLastColumn="0" w:lastRowFirstColumn="0" w:lastRowLastColumn="0"/>
            </w:pPr>
            <w:r w:rsidRPr="000E0EBE">
              <w:t>Government agencies</w:t>
            </w:r>
            <w:r w:rsidRPr="000E0EBE">
              <w:br/>
              <w:t>(triple-B credit rating)</w:t>
            </w:r>
            <w:r w:rsidR="00301ED6">
              <w:br/>
            </w:r>
            <w:r w:rsidRPr="000E0EBE">
              <w:t>$’000</w:t>
            </w:r>
          </w:p>
        </w:tc>
        <w:tc>
          <w:tcPr>
            <w:tcW w:w="679" w:type="pct"/>
            <w:vAlign w:val="bottom"/>
          </w:tcPr>
          <w:p w14:paraId="71F2379B" w14:textId="74751312" w:rsidR="00417B1B" w:rsidRPr="000E0EBE" w:rsidRDefault="00417B1B" w:rsidP="00301ED6">
            <w:pPr>
              <w:pStyle w:val="TableText"/>
              <w:spacing w:before="50" w:after="50"/>
              <w:cnfStyle w:val="100000000000" w:firstRow="1" w:lastRow="0" w:firstColumn="0" w:lastColumn="0" w:oddVBand="0" w:evenVBand="0" w:oddHBand="0" w:evenHBand="0" w:firstRowFirstColumn="0" w:firstRowLastColumn="0" w:lastRowFirstColumn="0" w:lastRowLastColumn="0"/>
            </w:pPr>
            <w:r w:rsidRPr="000E0EBE">
              <w:t>Other</w:t>
            </w:r>
            <w:r w:rsidRPr="000E0EBE">
              <w:br/>
              <w:t>(min triple-B credit rating)</w:t>
            </w:r>
            <w:r w:rsidR="00301ED6">
              <w:br/>
            </w:r>
            <w:r w:rsidRPr="000E0EBE">
              <w:t>$’000</w:t>
            </w:r>
          </w:p>
        </w:tc>
        <w:tc>
          <w:tcPr>
            <w:tcW w:w="679" w:type="pct"/>
            <w:vAlign w:val="bottom"/>
          </w:tcPr>
          <w:p w14:paraId="2AB65406" w14:textId="2370A83D" w:rsidR="00417B1B" w:rsidRPr="000E0EBE" w:rsidRDefault="00417B1B" w:rsidP="00301ED6">
            <w:pPr>
              <w:pStyle w:val="TableText"/>
              <w:spacing w:before="50" w:after="50"/>
              <w:cnfStyle w:val="100000000000" w:firstRow="1" w:lastRow="0" w:firstColumn="0" w:lastColumn="0" w:oddVBand="0" w:evenVBand="0" w:oddHBand="0" w:evenHBand="0" w:firstRowFirstColumn="0" w:firstRowLastColumn="0" w:lastRowFirstColumn="0" w:lastRowLastColumn="0"/>
            </w:pPr>
            <w:r w:rsidRPr="000E0EBE">
              <w:t>Total</w:t>
            </w:r>
            <w:r w:rsidR="00301ED6">
              <w:br/>
            </w:r>
            <w:r w:rsidRPr="000E0EBE">
              <w:t>$’000</w:t>
            </w:r>
          </w:p>
        </w:tc>
      </w:tr>
      <w:bookmarkEnd w:id="439"/>
      <w:tr w:rsidR="00417B1B" w:rsidRPr="000E0EBE" w14:paraId="38581B96"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4AE6436B" w14:textId="77777777" w:rsidR="00417B1B" w:rsidRPr="00DB7E45" w:rsidRDefault="00417B1B" w:rsidP="00895F89">
            <w:pPr>
              <w:pStyle w:val="TableText"/>
              <w:spacing w:before="50" w:after="50"/>
              <w:rPr>
                <w:rStyle w:val="Bold"/>
              </w:rPr>
            </w:pPr>
            <w:r w:rsidRPr="00DB7E45">
              <w:rPr>
                <w:rStyle w:val="Bold"/>
              </w:rPr>
              <w:t>Financial assets</w:t>
            </w:r>
          </w:p>
        </w:tc>
        <w:tc>
          <w:tcPr>
            <w:tcW w:w="679" w:type="pct"/>
          </w:tcPr>
          <w:p w14:paraId="7EB5440C" w14:textId="265C447D"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0B007AF2" w14:textId="1D4A79D2"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2C794FAF" w14:textId="4F67D732"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44F2C823" w14:textId="6236B9DC"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30F4BF35" w14:textId="68852149"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r>
      <w:tr w:rsidR="00417B1B" w:rsidRPr="000E0EBE" w14:paraId="2745855F"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27272056" w14:textId="77777777" w:rsidR="00417B1B" w:rsidRPr="00DB7E45" w:rsidRDefault="00417B1B" w:rsidP="00895F89">
            <w:pPr>
              <w:pStyle w:val="TableText"/>
              <w:spacing w:before="50" w:after="50"/>
              <w:rPr>
                <w:rStyle w:val="Bold"/>
              </w:rPr>
            </w:pPr>
            <w:r w:rsidRPr="00DB7E45">
              <w:t>Financial assets with loss allowance measured at 12-month expected credit loss</w:t>
            </w:r>
          </w:p>
        </w:tc>
        <w:tc>
          <w:tcPr>
            <w:tcW w:w="679" w:type="pct"/>
          </w:tcPr>
          <w:p w14:paraId="23104ABA" w14:textId="565ACABB"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430F7FFC" w14:textId="74204045"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44ADCC26" w14:textId="144E9D31"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5A7DB355" w14:textId="26F119AC"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2355A271" w14:textId="0A72B028"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r>
      <w:tr w:rsidR="00417B1B" w:rsidRPr="000E0EBE" w14:paraId="7FCAC267"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311A4975" w14:textId="16EFDC94" w:rsidR="00417B1B" w:rsidRPr="000E0EBE" w:rsidRDefault="00110D7A" w:rsidP="00895F89">
            <w:pPr>
              <w:pStyle w:val="TableText"/>
              <w:spacing w:before="50" w:after="50"/>
            </w:pPr>
            <w:r>
              <w:t>Cash and deposits</w:t>
            </w:r>
          </w:p>
        </w:tc>
        <w:tc>
          <w:tcPr>
            <w:tcW w:w="679" w:type="pct"/>
          </w:tcPr>
          <w:p w14:paraId="5880CCF8" w14:textId="735E5089"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(1,288)</w:t>
            </w:r>
          </w:p>
        </w:tc>
        <w:tc>
          <w:tcPr>
            <w:tcW w:w="679" w:type="pct"/>
          </w:tcPr>
          <w:p w14:paraId="60441A29" w14:textId="66DF6B0D"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21,176</w:t>
            </w:r>
          </w:p>
        </w:tc>
        <w:tc>
          <w:tcPr>
            <w:tcW w:w="679" w:type="pct"/>
          </w:tcPr>
          <w:p w14:paraId="2FAC8F75"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0A0838F3"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787D73A7" w14:textId="7CB493C1"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19,888</w:t>
            </w:r>
          </w:p>
        </w:tc>
      </w:tr>
      <w:tr w:rsidR="00417B1B" w:rsidRPr="000E0EBE" w14:paraId="7A64EC28"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2090E99F" w14:textId="77777777" w:rsidR="00417B1B" w:rsidRPr="000E0EBE" w:rsidRDefault="00417B1B" w:rsidP="00895F89">
            <w:pPr>
              <w:pStyle w:val="TableText"/>
              <w:spacing w:before="50" w:after="50"/>
            </w:pPr>
            <w:r w:rsidRPr="000E0EBE">
              <w:t>Statutory receivables (with no impairment loss recognised)</w:t>
            </w:r>
          </w:p>
        </w:tc>
        <w:tc>
          <w:tcPr>
            <w:tcW w:w="679" w:type="pct"/>
          </w:tcPr>
          <w:p w14:paraId="725F4A81"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4CBA3D95" w14:textId="15FCD7E5"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128,715</w:t>
            </w:r>
          </w:p>
        </w:tc>
        <w:tc>
          <w:tcPr>
            <w:tcW w:w="679" w:type="pct"/>
          </w:tcPr>
          <w:p w14:paraId="1FD96DC0"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73541273"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7B54AC5A" w14:textId="701DA721"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128,715</w:t>
            </w:r>
          </w:p>
        </w:tc>
      </w:tr>
      <w:tr w:rsidR="00417B1B" w:rsidRPr="000E0EBE" w14:paraId="4119C068"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0CC4B74A" w14:textId="77777777" w:rsidR="00417B1B" w:rsidRPr="00DB7E45" w:rsidRDefault="00417B1B" w:rsidP="00895F89">
            <w:pPr>
              <w:pStyle w:val="TableText"/>
              <w:spacing w:before="50" w:after="50"/>
              <w:rPr>
                <w:rStyle w:val="Bold"/>
              </w:rPr>
            </w:pPr>
            <w:r w:rsidRPr="00DB7E45">
              <w:t>Financial assets with loss allowance measured at lifetime expected credit loss:</w:t>
            </w:r>
          </w:p>
        </w:tc>
        <w:tc>
          <w:tcPr>
            <w:tcW w:w="679" w:type="pct"/>
          </w:tcPr>
          <w:p w14:paraId="71B855FD" w14:textId="6CDCABBF"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47C7CF62" w14:textId="68B5A795"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576BC1D6" w14:textId="1BEB003C"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5BF80369" w14:textId="2174B000"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c>
          <w:tcPr>
            <w:tcW w:w="679" w:type="pct"/>
          </w:tcPr>
          <w:p w14:paraId="54A7B6B9" w14:textId="1490BE4E" w:rsidR="00417B1B" w:rsidRPr="000E0EBE" w:rsidRDefault="00AC0BBF"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N/A</w:t>
            </w:r>
          </w:p>
        </w:tc>
      </w:tr>
      <w:tr w:rsidR="00417B1B" w:rsidRPr="000E0EBE" w14:paraId="2C3BE0A1"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13F73086" w14:textId="77777777" w:rsidR="00417B1B" w:rsidRPr="000E0EBE" w:rsidRDefault="00417B1B" w:rsidP="00895F89">
            <w:pPr>
              <w:pStyle w:val="TableText"/>
              <w:spacing w:before="50" w:after="50"/>
            </w:pPr>
            <w:r w:rsidRPr="000E0EBE">
              <w:t>Contractual receivables applying the simplified approach for impairment</w:t>
            </w:r>
          </w:p>
        </w:tc>
        <w:tc>
          <w:tcPr>
            <w:tcW w:w="679" w:type="pct"/>
          </w:tcPr>
          <w:p w14:paraId="0D0D36E3" w14:textId="77777777" w:rsidR="00417B1B" w:rsidRPr="000E0EBE" w:rsidRDefault="00417B1B"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rsidRPr="000E0EBE">
              <w:t>0</w:t>
            </w:r>
          </w:p>
        </w:tc>
        <w:tc>
          <w:tcPr>
            <w:tcW w:w="679" w:type="pct"/>
          </w:tcPr>
          <w:p w14:paraId="4EFF4A67" w14:textId="1D85AEA7"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3,272</w:t>
            </w:r>
          </w:p>
        </w:tc>
        <w:tc>
          <w:tcPr>
            <w:tcW w:w="679" w:type="pct"/>
          </w:tcPr>
          <w:p w14:paraId="32D62424" w14:textId="61A4C82C"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134</w:t>
            </w:r>
          </w:p>
        </w:tc>
        <w:tc>
          <w:tcPr>
            <w:tcW w:w="679" w:type="pct"/>
          </w:tcPr>
          <w:p w14:paraId="5C3540EF" w14:textId="27B89BA6"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2,640</w:t>
            </w:r>
          </w:p>
        </w:tc>
        <w:tc>
          <w:tcPr>
            <w:tcW w:w="679" w:type="pct"/>
          </w:tcPr>
          <w:p w14:paraId="0208F216" w14:textId="183D2576" w:rsidR="00417B1B" w:rsidRPr="000E0EBE" w:rsidRDefault="00110D7A" w:rsidP="00895F89">
            <w:pPr>
              <w:pStyle w:val="TableText"/>
              <w:spacing w:before="50" w:after="50"/>
              <w:cnfStyle w:val="000000000000" w:firstRow="0" w:lastRow="0" w:firstColumn="0" w:lastColumn="0" w:oddVBand="0" w:evenVBand="0" w:oddHBand="0" w:evenHBand="0" w:firstRowFirstColumn="0" w:firstRowLastColumn="0" w:lastRowFirstColumn="0" w:lastRowLastColumn="0"/>
            </w:pPr>
            <w:r>
              <w:t>6,046</w:t>
            </w:r>
          </w:p>
        </w:tc>
      </w:tr>
      <w:tr w:rsidR="00417B1B" w:rsidRPr="00DB7E45" w14:paraId="3E8D6C1A" w14:textId="77777777" w:rsidTr="00911A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10254188" w14:textId="77777777" w:rsidR="00417B1B" w:rsidRPr="00DB7E45" w:rsidRDefault="00417B1B" w:rsidP="00895F89">
            <w:pPr>
              <w:pStyle w:val="TableText"/>
              <w:spacing w:before="50" w:after="50"/>
              <w:rPr>
                <w:rStyle w:val="Bold"/>
              </w:rPr>
            </w:pPr>
            <w:r w:rsidRPr="00DB7E45">
              <w:rPr>
                <w:rStyle w:val="Bold"/>
              </w:rPr>
              <w:t>Total financial assets</w:t>
            </w:r>
          </w:p>
        </w:tc>
        <w:tc>
          <w:tcPr>
            <w:tcW w:w="679" w:type="pct"/>
          </w:tcPr>
          <w:p w14:paraId="004FBC00" w14:textId="642A6315" w:rsidR="00417B1B" w:rsidRPr="00DB7E45" w:rsidRDefault="00110D7A" w:rsidP="00895F89">
            <w:pPr>
              <w:pStyle w:val="TableText"/>
              <w:spacing w:before="50" w:after="50"/>
              <w:cnfStyle w:val="010000000000" w:firstRow="0" w:lastRow="1" w:firstColumn="0" w:lastColumn="0" w:oddVBand="0" w:evenVBand="0" w:oddHBand="0" w:evenHBand="0" w:firstRowFirstColumn="0" w:firstRowLastColumn="0" w:lastRowFirstColumn="0" w:lastRowLastColumn="0"/>
              <w:rPr>
                <w:rStyle w:val="Bold"/>
              </w:rPr>
            </w:pPr>
            <w:r>
              <w:rPr>
                <w:rStyle w:val="Bold"/>
              </w:rPr>
              <w:t>(1,288)</w:t>
            </w:r>
          </w:p>
        </w:tc>
        <w:tc>
          <w:tcPr>
            <w:tcW w:w="679" w:type="pct"/>
          </w:tcPr>
          <w:p w14:paraId="0DEC0B51" w14:textId="33E0E660" w:rsidR="00417B1B" w:rsidRPr="00DB7E45" w:rsidRDefault="00110D7A" w:rsidP="00895F89">
            <w:pPr>
              <w:pStyle w:val="TableText"/>
              <w:spacing w:before="50" w:after="50"/>
              <w:cnfStyle w:val="010000000000" w:firstRow="0" w:lastRow="1" w:firstColumn="0" w:lastColumn="0" w:oddVBand="0" w:evenVBand="0" w:oddHBand="0" w:evenHBand="0" w:firstRowFirstColumn="0" w:firstRowLastColumn="0" w:lastRowFirstColumn="0" w:lastRowLastColumn="0"/>
              <w:rPr>
                <w:rStyle w:val="Bold"/>
              </w:rPr>
            </w:pPr>
            <w:r>
              <w:rPr>
                <w:rStyle w:val="Bold"/>
              </w:rPr>
              <w:t>153,163</w:t>
            </w:r>
          </w:p>
        </w:tc>
        <w:tc>
          <w:tcPr>
            <w:tcW w:w="679" w:type="pct"/>
          </w:tcPr>
          <w:p w14:paraId="337AE890" w14:textId="12BB7D61" w:rsidR="00417B1B" w:rsidRPr="00DB7E45" w:rsidRDefault="00110D7A" w:rsidP="00895F89">
            <w:pPr>
              <w:pStyle w:val="TableText"/>
              <w:spacing w:before="50" w:after="50"/>
              <w:cnfStyle w:val="010000000000" w:firstRow="0" w:lastRow="1" w:firstColumn="0" w:lastColumn="0" w:oddVBand="0" w:evenVBand="0" w:oddHBand="0" w:evenHBand="0" w:firstRowFirstColumn="0" w:firstRowLastColumn="0" w:lastRowFirstColumn="0" w:lastRowLastColumn="0"/>
              <w:rPr>
                <w:rStyle w:val="Bold"/>
              </w:rPr>
            </w:pPr>
            <w:r>
              <w:rPr>
                <w:rStyle w:val="Bold"/>
              </w:rPr>
              <w:t>134</w:t>
            </w:r>
          </w:p>
        </w:tc>
        <w:tc>
          <w:tcPr>
            <w:tcW w:w="679" w:type="pct"/>
          </w:tcPr>
          <w:p w14:paraId="0D389EC2" w14:textId="0AB07159" w:rsidR="00417B1B" w:rsidRPr="00DB7E45" w:rsidRDefault="00110D7A" w:rsidP="00895F89">
            <w:pPr>
              <w:pStyle w:val="TableText"/>
              <w:spacing w:before="50" w:after="50"/>
              <w:cnfStyle w:val="010000000000" w:firstRow="0" w:lastRow="1" w:firstColumn="0" w:lastColumn="0" w:oddVBand="0" w:evenVBand="0" w:oddHBand="0" w:evenHBand="0" w:firstRowFirstColumn="0" w:firstRowLastColumn="0" w:lastRowFirstColumn="0" w:lastRowLastColumn="0"/>
              <w:rPr>
                <w:rStyle w:val="Bold"/>
              </w:rPr>
            </w:pPr>
            <w:r>
              <w:rPr>
                <w:rStyle w:val="Bold"/>
              </w:rPr>
              <w:t>2,640</w:t>
            </w:r>
          </w:p>
        </w:tc>
        <w:tc>
          <w:tcPr>
            <w:tcW w:w="679" w:type="pct"/>
          </w:tcPr>
          <w:p w14:paraId="502F383D" w14:textId="151F5EA9" w:rsidR="00417B1B" w:rsidRPr="00DB7E45" w:rsidRDefault="00110D7A" w:rsidP="00895F89">
            <w:pPr>
              <w:pStyle w:val="TableText"/>
              <w:spacing w:before="50" w:after="50"/>
              <w:cnfStyle w:val="010000000000" w:firstRow="0" w:lastRow="1" w:firstColumn="0" w:lastColumn="0" w:oddVBand="0" w:evenVBand="0" w:oddHBand="0" w:evenHBand="0" w:firstRowFirstColumn="0" w:firstRowLastColumn="0" w:lastRowFirstColumn="0" w:lastRowLastColumn="0"/>
              <w:rPr>
                <w:rStyle w:val="Bold"/>
              </w:rPr>
            </w:pPr>
            <w:r>
              <w:rPr>
                <w:rStyle w:val="Bold"/>
              </w:rPr>
              <w:t>154,649</w:t>
            </w:r>
          </w:p>
        </w:tc>
      </w:tr>
    </w:tbl>
    <w:p w14:paraId="7EFD00C1" w14:textId="77777777" w:rsidR="00110D7A" w:rsidRPr="00A26029" w:rsidRDefault="00110D7A" w:rsidP="00A26029"/>
    <w:tbl>
      <w:tblPr>
        <w:tblStyle w:val="AccessibleTableNumerical"/>
        <w:tblW w:w="5000" w:type="pct"/>
        <w:tblLook w:val="04E0" w:firstRow="1" w:lastRow="1" w:firstColumn="1" w:lastColumn="0" w:noHBand="0" w:noVBand="1"/>
      </w:tblPr>
      <w:tblGrid>
        <w:gridCol w:w="3094"/>
        <w:gridCol w:w="1309"/>
        <w:gridCol w:w="1309"/>
        <w:gridCol w:w="1309"/>
        <w:gridCol w:w="1309"/>
        <w:gridCol w:w="1309"/>
      </w:tblGrid>
      <w:tr w:rsidR="00417B1B" w:rsidRPr="00911A97" w14:paraId="0A689FFE" w14:textId="77777777" w:rsidTr="00301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pct"/>
          </w:tcPr>
          <w:p w14:paraId="2910556B" w14:textId="1AF7FB67" w:rsidR="00417B1B" w:rsidRPr="00911A97" w:rsidRDefault="00417B1B" w:rsidP="00911A97">
            <w:pPr>
              <w:pStyle w:val="TableText"/>
            </w:pPr>
            <w:bookmarkStart w:id="440" w:name="ColumnTitle_85"/>
            <w:r w:rsidRPr="00911A97">
              <w:t>201</w:t>
            </w:r>
            <w:r w:rsidR="0014424C">
              <w:t>9</w:t>
            </w:r>
          </w:p>
        </w:tc>
        <w:tc>
          <w:tcPr>
            <w:tcW w:w="679" w:type="pct"/>
            <w:vAlign w:val="bottom"/>
          </w:tcPr>
          <w:p w14:paraId="2069DBE3" w14:textId="396A1322" w:rsidR="00417B1B" w:rsidRPr="00911A97" w:rsidRDefault="00417B1B" w:rsidP="00301ED6">
            <w:pPr>
              <w:pStyle w:val="TableText"/>
              <w:cnfStyle w:val="100000000000" w:firstRow="1" w:lastRow="0" w:firstColumn="0" w:lastColumn="0" w:oddVBand="0" w:evenVBand="0" w:oddHBand="0" w:evenHBand="0" w:firstRowFirstColumn="0" w:firstRowLastColumn="0" w:lastRowFirstColumn="0" w:lastRowLastColumn="0"/>
            </w:pPr>
            <w:r w:rsidRPr="00911A97">
              <w:t>Financial institution</w:t>
            </w:r>
            <w:r w:rsidR="00301ED6">
              <w:t xml:space="preserve"> </w:t>
            </w:r>
            <w:r w:rsidR="00301ED6">
              <w:br/>
            </w:r>
            <w:r w:rsidRPr="00911A97">
              <w:t>(triple-A credit rating)</w:t>
            </w:r>
            <w:r w:rsidR="00301ED6">
              <w:br/>
            </w:r>
            <w:r w:rsidRPr="00911A97">
              <w:t>$’000</w:t>
            </w:r>
          </w:p>
        </w:tc>
        <w:tc>
          <w:tcPr>
            <w:tcW w:w="679" w:type="pct"/>
            <w:vAlign w:val="bottom"/>
          </w:tcPr>
          <w:p w14:paraId="1A0CAD05" w14:textId="2B652DE8" w:rsidR="00417B1B" w:rsidRPr="00911A97" w:rsidRDefault="00417B1B" w:rsidP="00301ED6">
            <w:pPr>
              <w:pStyle w:val="TableText"/>
              <w:cnfStyle w:val="100000000000" w:firstRow="1" w:lastRow="0" w:firstColumn="0" w:lastColumn="0" w:oddVBand="0" w:evenVBand="0" w:oddHBand="0" w:evenHBand="0" w:firstRowFirstColumn="0" w:firstRowLastColumn="0" w:lastRowFirstColumn="0" w:lastRowLastColumn="0"/>
            </w:pPr>
            <w:r w:rsidRPr="00911A97">
              <w:t>Government agencies</w:t>
            </w:r>
            <w:r w:rsidR="00301ED6">
              <w:br/>
            </w:r>
            <w:r w:rsidRPr="00911A97">
              <w:t>(triple-A credit rating)</w:t>
            </w:r>
            <w:r w:rsidR="00301ED6">
              <w:br/>
            </w:r>
            <w:r w:rsidRPr="00911A97">
              <w:t>$’000</w:t>
            </w:r>
          </w:p>
        </w:tc>
        <w:tc>
          <w:tcPr>
            <w:tcW w:w="679" w:type="pct"/>
            <w:vAlign w:val="bottom"/>
          </w:tcPr>
          <w:p w14:paraId="42DE4749" w14:textId="513BCCAE" w:rsidR="00417B1B" w:rsidRPr="00911A97" w:rsidRDefault="00417B1B" w:rsidP="00301ED6">
            <w:pPr>
              <w:pStyle w:val="TableText"/>
              <w:cnfStyle w:val="100000000000" w:firstRow="1" w:lastRow="0" w:firstColumn="0" w:lastColumn="0" w:oddVBand="0" w:evenVBand="0" w:oddHBand="0" w:evenHBand="0" w:firstRowFirstColumn="0" w:firstRowLastColumn="0" w:lastRowFirstColumn="0" w:lastRowLastColumn="0"/>
            </w:pPr>
            <w:r w:rsidRPr="00911A97">
              <w:t>Government agencies</w:t>
            </w:r>
            <w:r w:rsidR="00301ED6">
              <w:br/>
            </w:r>
            <w:r w:rsidRPr="00911A97">
              <w:t>(triple-B credit rating)</w:t>
            </w:r>
            <w:r w:rsidR="00301ED6">
              <w:br/>
            </w:r>
            <w:r w:rsidRPr="00911A97">
              <w:t>$’000</w:t>
            </w:r>
          </w:p>
        </w:tc>
        <w:tc>
          <w:tcPr>
            <w:tcW w:w="679" w:type="pct"/>
            <w:vAlign w:val="bottom"/>
          </w:tcPr>
          <w:p w14:paraId="20DFD697" w14:textId="7FAE9D70" w:rsidR="00417B1B" w:rsidRPr="00911A97" w:rsidRDefault="00417B1B" w:rsidP="00301ED6">
            <w:pPr>
              <w:pStyle w:val="TableText"/>
              <w:cnfStyle w:val="100000000000" w:firstRow="1" w:lastRow="0" w:firstColumn="0" w:lastColumn="0" w:oddVBand="0" w:evenVBand="0" w:oddHBand="0" w:evenHBand="0" w:firstRowFirstColumn="0" w:firstRowLastColumn="0" w:lastRowFirstColumn="0" w:lastRowLastColumn="0"/>
            </w:pPr>
            <w:r w:rsidRPr="00911A97">
              <w:t>Other</w:t>
            </w:r>
            <w:r w:rsidR="00301ED6">
              <w:t xml:space="preserve"> </w:t>
            </w:r>
            <w:r w:rsidR="00301ED6">
              <w:br/>
            </w:r>
            <w:r w:rsidRPr="00911A97">
              <w:t>(min triple-B credit rating)</w:t>
            </w:r>
            <w:r w:rsidR="00301ED6">
              <w:br/>
            </w:r>
            <w:r w:rsidRPr="00911A97">
              <w:t>$’000</w:t>
            </w:r>
          </w:p>
        </w:tc>
        <w:tc>
          <w:tcPr>
            <w:tcW w:w="679" w:type="pct"/>
            <w:vAlign w:val="bottom"/>
          </w:tcPr>
          <w:p w14:paraId="70691572" w14:textId="778C670D" w:rsidR="00417B1B" w:rsidRPr="00911A97" w:rsidRDefault="00417B1B" w:rsidP="00301ED6">
            <w:pPr>
              <w:pStyle w:val="TableText"/>
              <w:cnfStyle w:val="100000000000" w:firstRow="1" w:lastRow="0" w:firstColumn="0" w:lastColumn="0" w:oddVBand="0" w:evenVBand="0" w:oddHBand="0" w:evenHBand="0" w:firstRowFirstColumn="0" w:firstRowLastColumn="0" w:lastRowFirstColumn="0" w:lastRowLastColumn="0"/>
            </w:pPr>
            <w:r w:rsidRPr="00911A97">
              <w:t>Total</w:t>
            </w:r>
            <w:r w:rsidR="00301ED6">
              <w:br/>
            </w:r>
            <w:r w:rsidRPr="00911A97">
              <w:t>$’000</w:t>
            </w:r>
          </w:p>
        </w:tc>
      </w:tr>
      <w:bookmarkEnd w:id="440"/>
      <w:tr w:rsidR="00417B1B" w:rsidRPr="00911A97" w14:paraId="1078ABBF"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6ACE8433" w14:textId="77777777" w:rsidR="00417B1B" w:rsidRPr="00DB7E45" w:rsidRDefault="00417B1B" w:rsidP="00911A97">
            <w:pPr>
              <w:pStyle w:val="TableText"/>
              <w:rPr>
                <w:rStyle w:val="Bold"/>
              </w:rPr>
            </w:pPr>
            <w:r w:rsidRPr="00DB7E45">
              <w:rPr>
                <w:rStyle w:val="Bold"/>
              </w:rPr>
              <w:t>Financial assets</w:t>
            </w:r>
          </w:p>
        </w:tc>
        <w:tc>
          <w:tcPr>
            <w:tcW w:w="679" w:type="pct"/>
          </w:tcPr>
          <w:p w14:paraId="0FB289D2" w14:textId="54940E85" w:rsidR="00417B1B" w:rsidRPr="00911A97" w:rsidRDefault="00AC0BBF" w:rsidP="00911A97">
            <w:pPr>
              <w:pStyle w:val="TableText"/>
              <w:cnfStyle w:val="000000000000" w:firstRow="0" w:lastRow="0" w:firstColumn="0" w:lastColumn="0" w:oddVBand="0" w:evenVBand="0" w:oddHBand="0" w:evenHBand="0" w:firstRowFirstColumn="0" w:firstRowLastColumn="0" w:lastRowFirstColumn="0" w:lastRowLastColumn="0"/>
            </w:pPr>
            <w:r w:rsidRPr="00911A97">
              <w:t>N/A</w:t>
            </w:r>
          </w:p>
        </w:tc>
        <w:tc>
          <w:tcPr>
            <w:tcW w:w="679" w:type="pct"/>
          </w:tcPr>
          <w:p w14:paraId="4F5E0957" w14:textId="7D5D0965" w:rsidR="00417B1B" w:rsidRPr="00911A97" w:rsidRDefault="00AC0BBF" w:rsidP="00911A97">
            <w:pPr>
              <w:pStyle w:val="TableText"/>
              <w:cnfStyle w:val="000000000000" w:firstRow="0" w:lastRow="0" w:firstColumn="0" w:lastColumn="0" w:oddVBand="0" w:evenVBand="0" w:oddHBand="0" w:evenHBand="0" w:firstRowFirstColumn="0" w:firstRowLastColumn="0" w:lastRowFirstColumn="0" w:lastRowLastColumn="0"/>
            </w:pPr>
            <w:r w:rsidRPr="00911A97">
              <w:t>N/A</w:t>
            </w:r>
          </w:p>
        </w:tc>
        <w:tc>
          <w:tcPr>
            <w:tcW w:w="679" w:type="pct"/>
          </w:tcPr>
          <w:p w14:paraId="65993674" w14:textId="782CD674" w:rsidR="00417B1B" w:rsidRPr="00911A97" w:rsidRDefault="00AC0BBF" w:rsidP="00911A97">
            <w:pPr>
              <w:pStyle w:val="TableText"/>
              <w:cnfStyle w:val="000000000000" w:firstRow="0" w:lastRow="0" w:firstColumn="0" w:lastColumn="0" w:oddVBand="0" w:evenVBand="0" w:oddHBand="0" w:evenHBand="0" w:firstRowFirstColumn="0" w:firstRowLastColumn="0" w:lastRowFirstColumn="0" w:lastRowLastColumn="0"/>
            </w:pPr>
            <w:r w:rsidRPr="00911A97">
              <w:t>N/A</w:t>
            </w:r>
          </w:p>
        </w:tc>
        <w:tc>
          <w:tcPr>
            <w:tcW w:w="679" w:type="pct"/>
          </w:tcPr>
          <w:p w14:paraId="41CAF6E7" w14:textId="1446BFB9" w:rsidR="00417B1B" w:rsidRPr="00911A97" w:rsidRDefault="00AC0BBF" w:rsidP="00911A97">
            <w:pPr>
              <w:pStyle w:val="TableText"/>
              <w:cnfStyle w:val="000000000000" w:firstRow="0" w:lastRow="0" w:firstColumn="0" w:lastColumn="0" w:oddVBand="0" w:evenVBand="0" w:oddHBand="0" w:evenHBand="0" w:firstRowFirstColumn="0" w:firstRowLastColumn="0" w:lastRowFirstColumn="0" w:lastRowLastColumn="0"/>
            </w:pPr>
            <w:r w:rsidRPr="00911A97">
              <w:t>N/A</w:t>
            </w:r>
          </w:p>
        </w:tc>
        <w:tc>
          <w:tcPr>
            <w:tcW w:w="679" w:type="pct"/>
          </w:tcPr>
          <w:p w14:paraId="226ED1F0" w14:textId="20F7380A" w:rsidR="00417B1B" w:rsidRPr="00911A97" w:rsidRDefault="00AC0BBF" w:rsidP="00911A97">
            <w:pPr>
              <w:pStyle w:val="TableText"/>
              <w:cnfStyle w:val="000000000000" w:firstRow="0" w:lastRow="0" w:firstColumn="0" w:lastColumn="0" w:oddVBand="0" w:evenVBand="0" w:oddHBand="0" w:evenHBand="0" w:firstRowFirstColumn="0" w:firstRowLastColumn="0" w:lastRowFirstColumn="0" w:lastRowLastColumn="0"/>
            </w:pPr>
            <w:r w:rsidRPr="00911A97">
              <w:t>N/A</w:t>
            </w:r>
          </w:p>
        </w:tc>
      </w:tr>
      <w:tr w:rsidR="0014424C" w:rsidRPr="00911A97" w14:paraId="30881672"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2EF0925C" w14:textId="7273EB82" w:rsidR="0014424C" w:rsidRPr="00911A97" w:rsidRDefault="0014424C" w:rsidP="00911A97">
            <w:pPr>
              <w:pStyle w:val="TableText"/>
            </w:pPr>
            <w:r w:rsidRPr="00DB7E45">
              <w:t>Financial assets with loss allowance measured at 12-month expected credit loss</w:t>
            </w:r>
          </w:p>
        </w:tc>
        <w:tc>
          <w:tcPr>
            <w:tcW w:w="679" w:type="pct"/>
          </w:tcPr>
          <w:p w14:paraId="5E2B98CE" w14:textId="77BE3AE2" w:rsidR="0014424C"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4991F851" w14:textId="4E3E2FF6" w:rsidR="0014424C"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7FF02153" w14:textId="1948F00F" w:rsidR="0014424C"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3A3B6E8E" w14:textId="78812029" w:rsidR="0014424C"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150D0BBD" w14:textId="43BD0CB9" w:rsidR="0014424C"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911A97" w14:paraId="074742AE"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006183C6" w14:textId="77777777" w:rsidR="00417B1B" w:rsidRPr="00911A97" w:rsidRDefault="00417B1B" w:rsidP="00911A97">
            <w:pPr>
              <w:pStyle w:val="TableText"/>
            </w:pPr>
            <w:r w:rsidRPr="00911A97">
              <w:t>Cash and deposits</w:t>
            </w:r>
          </w:p>
        </w:tc>
        <w:tc>
          <w:tcPr>
            <w:tcW w:w="679" w:type="pct"/>
          </w:tcPr>
          <w:p w14:paraId="3808FE0D" w14:textId="342C3F97"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(3,031)</w:t>
            </w:r>
          </w:p>
        </w:tc>
        <w:tc>
          <w:tcPr>
            <w:tcW w:w="679" w:type="pct"/>
          </w:tcPr>
          <w:p w14:paraId="4C06F843" w14:textId="03352BBA"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20,930</w:t>
            </w:r>
          </w:p>
        </w:tc>
        <w:tc>
          <w:tcPr>
            <w:tcW w:w="679" w:type="pct"/>
          </w:tcPr>
          <w:p w14:paraId="426F0BC4" w14:textId="77777777" w:rsidR="00417B1B" w:rsidRPr="00911A97" w:rsidRDefault="00417B1B" w:rsidP="00911A97">
            <w:pPr>
              <w:pStyle w:val="TableText"/>
              <w:cnfStyle w:val="000000000000" w:firstRow="0" w:lastRow="0" w:firstColumn="0" w:lastColumn="0" w:oddVBand="0" w:evenVBand="0" w:oddHBand="0" w:evenHBand="0" w:firstRowFirstColumn="0" w:firstRowLastColumn="0" w:lastRowFirstColumn="0" w:lastRowLastColumn="0"/>
            </w:pPr>
            <w:r w:rsidRPr="00911A97">
              <w:t>0</w:t>
            </w:r>
          </w:p>
        </w:tc>
        <w:tc>
          <w:tcPr>
            <w:tcW w:w="679" w:type="pct"/>
          </w:tcPr>
          <w:p w14:paraId="3923277C" w14:textId="77777777" w:rsidR="00417B1B" w:rsidRPr="00911A97" w:rsidRDefault="00417B1B" w:rsidP="00911A97">
            <w:pPr>
              <w:pStyle w:val="TableText"/>
              <w:cnfStyle w:val="000000000000" w:firstRow="0" w:lastRow="0" w:firstColumn="0" w:lastColumn="0" w:oddVBand="0" w:evenVBand="0" w:oddHBand="0" w:evenHBand="0" w:firstRowFirstColumn="0" w:firstRowLastColumn="0" w:lastRowFirstColumn="0" w:lastRowLastColumn="0"/>
            </w:pPr>
            <w:r w:rsidRPr="00911A97">
              <w:t>0</w:t>
            </w:r>
          </w:p>
        </w:tc>
        <w:tc>
          <w:tcPr>
            <w:tcW w:w="679" w:type="pct"/>
          </w:tcPr>
          <w:p w14:paraId="14AE8C40" w14:textId="5EE00DC2"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17,898</w:t>
            </w:r>
          </w:p>
        </w:tc>
      </w:tr>
      <w:tr w:rsidR="00417B1B" w:rsidRPr="00911A97" w14:paraId="70032D47"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53D5AF01" w14:textId="56668CAC" w:rsidR="00417B1B" w:rsidRPr="00911A97" w:rsidRDefault="00250B5D" w:rsidP="00911A97">
            <w:pPr>
              <w:pStyle w:val="TableText"/>
            </w:pPr>
            <w:r>
              <w:t>Statutory receivables (with no impairment loss recognised)</w:t>
            </w:r>
          </w:p>
        </w:tc>
        <w:tc>
          <w:tcPr>
            <w:tcW w:w="679" w:type="pct"/>
          </w:tcPr>
          <w:p w14:paraId="47A79021" w14:textId="77777777" w:rsidR="00417B1B" w:rsidRPr="00911A97" w:rsidRDefault="00417B1B" w:rsidP="00911A97">
            <w:pPr>
              <w:pStyle w:val="TableText"/>
              <w:cnfStyle w:val="000000000000" w:firstRow="0" w:lastRow="0" w:firstColumn="0" w:lastColumn="0" w:oddVBand="0" w:evenVBand="0" w:oddHBand="0" w:evenHBand="0" w:firstRowFirstColumn="0" w:firstRowLastColumn="0" w:lastRowFirstColumn="0" w:lastRowLastColumn="0"/>
            </w:pPr>
            <w:r w:rsidRPr="00911A97">
              <w:t>0</w:t>
            </w:r>
          </w:p>
        </w:tc>
        <w:tc>
          <w:tcPr>
            <w:tcW w:w="679" w:type="pct"/>
          </w:tcPr>
          <w:p w14:paraId="025128DE" w14:textId="2DDE89D1"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89,571</w:t>
            </w:r>
          </w:p>
        </w:tc>
        <w:tc>
          <w:tcPr>
            <w:tcW w:w="679" w:type="pct"/>
          </w:tcPr>
          <w:p w14:paraId="7E998F2E" w14:textId="0A477DA6"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0</w:t>
            </w:r>
          </w:p>
        </w:tc>
        <w:tc>
          <w:tcPr>
            <w:tcW w:w="679" w:type="pct"/>
          </w:tcPr>
          <w:p w14:paraId="6416E34E" w14:textId="0E2024C2"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0</w:t>
            </w:r>
          </w:p>
        </w:tc>
        <w:tc>
          <w:tcPr>
            <w:tcW w:w="679" w:type="pct"/>
          </w:tcPr>
          <w:p w14:paraId="5D1B0106" w14:textId="00C20DD1" w:rsidR="00417B1B"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89,571</w:t>
            </w:r>
          </w:p>
        </w:tc>
      </w:tr>
      <w:tr w:rsidR="00250B5D" w:rsidRPr="00911A97" w14:paraId="51033D02"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6E83C7A9" w14:textId="5500E646" w:rsidR="00250B5D" w:rsidRPr="00250B5D" w:rsidRDefault="00250B5D" w:rsidP="00911A97">
            <w:pPr>
              <w:pStyle w:val="TableText"/>
              <w:rPr>
                <w:rStyle w:val="Bold"/>
              </w:rPr>
            </w:pPr>
            <w:r w:rsidRPr="00250B5D">
              <w:t>Financial assets with loss allowance measured at lifetime expected credit loss:</w:t>
            </w:r>
          </w:p>
        </w:tc>
        <w:tc>
          <w:tcPr>
            <w:tcW w:w="679" w:type="pct"/>
          </w:tcPr>
          <w:p w14:paraId="508F8293" w14:textId="4499C0E7" w:rsidR="00250B5D"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2C9115B3" w14:textId="1E669539"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54FA34C4" w14:textId="359E91E3"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1DC71AA6" w14:textId="2E51549C"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c>
          <w:tcPr>
            <w:tcW w:w="679" w:type="pct"/>
          </w:tcPr>
          <w:p w14:paraId="7A5604CE" w14:textId="01676331"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N/A</w:t>
            </w:r>
          </w:p>
        </w:tc>
      </w:tr>
      <w:tr w:rsidR="00250B5D" w:rsidRPr="00911A97" w14:paraId="22154556" w14:textId="77777777" w:rsidTr="00911A97">
        <w:tc>
          <w:tcPr>
            <w:cnfStyle w:val="001000000000" w:firstRow="0" w:lastRow="0" w:firstColumn="1" w:lastColumn="0" w:oddVBand="0" w:evenVBand="0" w:oddHBand="0" w:evenHBand="0" w:firstRowFirstColumn="0" w:firstRowLastColumn="0" w:lastRowFirstColumn="0" w:lastRowLastColumn="0"/>
            <w:tcW w:w="1605" w:type="pct"/>
          </w:tcPr>
          <w:p w14:paraId="6BEA3BFC" w14:textId="4D87683C" w:rsidR="00250B5D" w:rsidRDefault="00250B5D" w:rsidP="00911A97">
            <w:pPr>
              <w:pStyle w:val="TableText"/>
            </w:pPr>
            <w:r>
              <w:t>Contractual receivables applying the simplified approach for impairment</w:t>
            </w:r>
          </w:p>
        </w:tc>
        <w:tc>
          <w:tcPr>
            <w:tcW w:w="679" w:type="pct"/>
          </w:tcPr>
          <w:p w14:paraId="140C3214" w14:textId="5EB6A571" w:rsidR="00250B5D" w:rsidRPr="00911A97"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0</w:t>
            </w:r>
          </w:p>
        </w:tc>
        <w:tc>
          <w:tcPr>
            <w:tcW w:w="679" w:type="pct"/>
          </w:tcPr>
          <w:p w14:paraId="32E9E2BD" w14:textId="08075C97"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10,189</w:t>
            </w:r>
          </w:p>
        </w:tc>
        <w:tc>
          <w:tcPr>
            <w:tcW w:w="679" w:type="pct"/>
          </w:tcPr>
          <w:p w14:paraId="51AC2C59" w14:textId="52D352E6"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216</w:t>
            </w:r>
          </w:p>
        </w:tc>
        <w:tc>
          <w:tcPr>
            <w:tcW w:w="679" w:type="pct"/>
          </w:tcPr>
          <w:p w14:paraId="552E3B4E" w14:textId="35F3C68A"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195</w:t>
            </w:r>
          </w:p>
        </w:tc>
        <w:tc>
          <w:tcPr>
            <w:tcW w:w="679" w:type="pct"/>
          </w:tcPr>
          <w:p w14:paraId="69A60B88" w14:textId="0813D039" w:rsidR="00250B5D" w:rsidRDefault="00250B5D" w:rsidP="00911A97">
            <w:pPr>
              <w:pStyle w:val="TableText"/>
              <w:cnfStyle w:val="000000000000" w:firstRow="0" w:lastRow="0" w:firstColumn="0" w:lastColumn="0" w:oddVBand="0" w:evenVBand="0" w:oddHBand="0" w:evenHBand="0" w:firstRowFirstColumn="0" w:firstRowLastColumn="0" w:lastRowFirstColumn="0" w:lastRowLastColumn="0"/>
            </w:pPr>
            <w:r>
              <w:t>10,600</w:t>
            </w:r>
          </w:p>
        </w:tc>
      </w:tr>
      <w:tr w:rsidR="00417B1B" w:rsidRPr="00DB7E45" w14:paraId="3855F109" w14:textId="77777777" w:rsidTr="00911A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44ECDE6D" w14:textId="77777777" w:rsidR="00417B1B" w:rsidRPr="00DB7E45" w:rsidRDefault="00417B1B" w:rsidP="00911A97">
            <w:pPr>
              <w:pStyle w:val="TableText"/>
              <w:rPr>
                <w:rStyle w:val="Bold"/>
              </w:rPr>
            </w:pPr>
            <w:r w:rsidRPr="00DB7E45">
              <w:rPr>
                <w:rStyle w:val="Bold"/>
              </w:rPr>
              <w:t>Total financial assets</w:t>
            </w:r>
          </w:p>
        </w:tc>
        <w:tc>
          <w:tcPr>
            <w:tcW w:w="679" w:type="pct"/>
          </w:tcPr>
          <w:p w14:paraId="4E1DC926" w14:textId="2449F602" w:rsidR="00417B1B" w:rsidRPr="00DB7E45" w:rsidRDefault="00250B5D" w:rsidP="00911A97">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(3,031)</w:t>
            </w:r>
          </w:p>
        </w:tc>
        <w:tc>
          <w:tcPr>
            <w:tcW w:w="679" w:type="pct"/>
          </w:tcPr>
          <w:p w14:paraId="67BA9091" w14:textId="280BC761" w:rsidR="00417B1B" w:rsidRPr="00DB7E45" w:rsidRDefault="00250B5D" w:rsidP="00911A97">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120,690</w:t>
            </w:r>
          </w:p>
        </w:tc>
        <w:tc>
          <w:tcPr>
            <w:tcW w:w="679" w:type="pct"/>
          </w:tcPr>
          <w:p w14:paraId="7B48FBBD" w14:textId="2259FA9E" w:rsidR="00417B1B" w:rsidRPr="00DB7E45" w:rsidRDefault="00250B5D" w:rsidP="00911A97">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216</w:t>
            </w:r>
          </w:p>
        </w:tc>
        <w:tc>
          <w:tcPr>
            <w:tcW w:w="679" w:type="pct"/>
          </w:tcPr>
          <w:p w14:paraId="39EE8589" w14:textId="5D8A9BDB" w:rsidR="00417B1B" w:rsidRPr="00DB7E45" w:rsidRDefault="00250B5D" w:rsidP="00911A97">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195</w:t>
            </w:r>
          </w:p>
        </w:tc>
        <w:tc>
          <w:tcPr>
            <w:tcW w:w="679" w:type="pct"/>
          </w:tcPr>
          <w:p w14:paraId="0E85A6A0" w14:textId="1D29243D" w:rsidR="00417B1B" w:rsidRPr="00DB7E45" w:rsidRDefault="00250B5D" w:rsidP="00911A97">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118,069</w:t>
            </w:r>
          </w:p>
        </w:tc>
      </w:tr>
    </w:tbl>
    <w:p w14:paraId="09357835" w14:textId="2D988DA8" w:rsidR="00417B1B" w:rsidRDefault="00417B1B" w:rsidP="00DF32E7">
      <w:pPr>
        <w:pStyle w:val="Heading4"/>
      </w:pPr>
      <w:r>
        <w:t xml:space="preserve">Impairment </w:t>
      </w:r>
      <w:r w:rsidR="00172429">
        <w:t>of</w:t>
      </w:r>
      <w:r w:rsidR="00C0469D">
        <w:t xml:space="preserve"> Financial Assets under AASB 9</w:t>
      </w:r>
    </w:p>
    <w:p w14:paraId="0D1A3EB1" w14:textId="1509479F" w:rsidR="00F73802" w:rsidRDefault="009B1462" w:rsidP="00F73802">
      <w:pPr>
        <w:pStyle w:val="BodyText"/>
      </w:pPr>
      <w:r>
        <w:t>Court Services Victoria</w:t>
      </w:r>
      <w:r w:rsidR="00F73802">
        <w:t xml:space="preserve"> records an allowance for expected credit loss for the relevant financial instruments applying AASB 9’s Expected Credit Loss approach. Subject to AASB 9 impairment assessment include </w:t>
      </w:r>
      <w:r>
        <w:t>Court Services Victoria</w:t>
      </w:r>
      <w:r w:rsidR="00F73802">
        <w:t>’s contractual receivables, statutory receivables and its investment in debt instruments.</w:t>
      </w:r>
    </w:p>
    <w:p w14:paraId="09E95ACF" w14:textId="6872A266" w:rsidR="00F73802" w:rsidRDefault="00F73802" w:rsidP="00F73802">
      <w:pPr>
        <w:pStyle w:val="BodyText"/>
      </w:pPr>
      <w:r>
        <w:t xml:space="preserve">Equity instruments are not subject to impairment under AASB 9. Other financial assets mandatorily measured or designated at fair value through net result are not subject to impairment assessment under AASB 9. While cash and cash equivalents are also subject to the impairment requirements of AASB 9, the identified impairment loss was immaterial. </w:t>
      </w:r>
    </w:p>
    <w:p w14:paraId="661420C4" w14:textId="1EF4B52F" w:rsidR="00417B1B" w:rsidRDefault="00417B1B" w:rsidP="00DF32E7">
      <w:pPr>
        <w:pStyle w:val="Heading4"/>
      </w:pPr>
      <w:r>
        <w:t xml:space="preserve">Contractual Receivables </w:t>
      </w:r>
      <w:r w:rsidR="00C0469D">
        <w:t>a</w:t>
      </w:r>
      <w:r>
        <w:t>t Amortised Cost</w:t>
      </w:r>
    </w:p>
    <w:p w14:paraId="5E5D14CD" w14:textId="5E2D40B7" w:rsidR="00F73802" w:rsidRDefault="009B1462" w:rsidP="00F73802">
      <w:pPr>
        <w:pStyle w:val="BodyText"/>
      </w:pPr>
      <w:r>
        <w:t>Court Services Victoria</w:t>
      </w:r>
      <w:r w:rsidR="00F73802">
        <w:t xml:space="preserve"> applies AASB 9’s simplified approach for all contractual receivables to measure expected credit losses using a lifetime expected loss allowance based on the assumptions about risk of default and expected loss rates. </w:t>
      </w:r>
      <w:r>
        <w:t>Court Services Victoria</w:t>
      </w:r>
      <w:r w:rsidR="00F73802">
        <w:t xml:space="preserve"> has grouped contractual receivables on shared credit risk characteristics and days past due and select the expected credit loss rate based on </w:t>
      </w:r>
      <w:r>
        <w:t>Court Services Victoria</w:t>
      </w:r>
      <w:r w:rsidR="00F73802">
        <w:t>’s past history, existing market conditions, as well as forward looking estimates at the end of the financial year.</w:t>
      </w:r>
    </w:p>
    <w:p w14:paraId="46FFAE22" w14:textId="0F7AEBB8" w:rsidR="00F73802" w:rsidRDefault="00F73802" w:rsidP="00F73802">
      <w:pPr>
        <w:pStyle w:val="BodyText"/>
      </w:pPr>
      <w:r>
        <w:t xml:space="preserve">On this basis, </w:t>
      </w:r>
      <w:r w:rsidR="009B1462">
        <w:t>Court Services Victoria</w:t>
      </w:r>
      <w:r>
        <w:t xml:space="preserve"> determines the opening loss allowance on initial application date of AASB 9 and the closing loss allowance at end of the financial year as follows:</w:t>
      </w:r>
    </w:p>
    <w:p w14:paraId="66148B8C" w14:textId="6D4B7DDB" w:rsidR="00AE57A5" w:rsidRDefault="00CB3886" w:rsidP="00895F89">
      <w:pPr>
        <w:pStyle w:val="BodyText"/>
        <w:keepNext/>
      </w:pPr>
      <w:r>
        <w:t>30 June 2020:</w:t>
      </w:r>
    </w:p>
    <w:tbl>
      <w:tblPr>
        <w:tblStyle w:val="AccessibleTableNumerical"/>
        <w:tblW w:w="5000" w:type="pct"/>
        <w:tblLook w:val="04A0" w:firstRow="1" w:lastRow="0" w:firstColumn="1" w:lastColumn="0" w:noHBand="0" w:noVBand="1"/>
      </w:tblPr>
      <w:tblGrid>
        <w:gridCol w:w="2889"/>
        <w:gridCol w:w="1126"/>
        <w:gridCol w:w="1128"/>
        <w:gridCol w:w="1126"/>
        <w:gridCol w:w="1128"/>
        <w:gridCol w:w="1126"/>
        <w:gridCol w:w="1116"/>
      </w:tblGrid>
      <w:tr w:rsidR="00AE57A5" w:rsidRPr="000E0EBE" w14:paraId="1C9E5BFD" w14:textId="77777777" w:rsidTr="00C0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9" w:type="pct"/>
          </w:tcPr>
          <w:p w14:paraId="1BC75EC9" w14:textId="409828DD" w:rsidR="00AE57A5" w:rsidRPr="000E0EBE" w:rsidRDefault="00AE57A5" w:rsidP="00AE57A5">
            <w:pPr>
              <w:pStyle w:val="TableText"/>
            </w:pPr>
            <w:bookmarkStart w:id="441" w:name="ColumnTitle_86"/>
            <w:r w:rsidRPr="000E0EBE">
              <w:t>Expected loss rate</w:t>
            </w:r>
          </w:p>
        </w:tc>
        <w:tc>
          <w:tcPr>
            <w:tcW w:w="584" w:type="pct"/>
            <w:vAlign w:val="bottom"/>
          </w:tcPr>
          <w:p w14:paraId="4A8BFFD7" w14:textId="6A50AF6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Current</w:t>
            </w:r>
            <w:r w:rsidRPr="000E0EBE">
              <w:br/>
            </w:r>
            <w:r w:rsidR="00325098">
              <w:t>1</w:t>
            </w:r>
            <w:r w:rsidRPr="000E0EBE">
              <w:t>%</w:t>
            </w:r>
            <w:r w:rsidRPr="000E0EBE">
              <w:br/>
              <w:t>$’000</w:t>
            </w:r>
          </w:p>
        </w:tc>
        <w:tc>
          <w:tcPr>
            <w:tcW w:w="585" w:type="pct"/>
            <w:vAlign w:val="bottom"/>
          </w:tcPr>
          <w:p w14:paraId="77E2A522" w14:textId="07F3B7B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Less than 1 month</w:t>
            </w:r>
            <w:r w:rsidRPr="000E0EBE">
              <w:br/>
            </w:r>
            <w:r w:rsidR="00325098">
              <w:t>1</w:t>
            </w:r>
            <w:r w:rsidRPr="000E0EBE">
              <w:t>%</w:t>
            </w:r>
            <w:r w:rsidRPr="000E0EBE">
              <w:br/>
              <w:t>$’000</w:t>
            </w:r>
          </w:p>
        </w:tc>
        <w:tc>
          <w:tcPr>
            <w:tcW w:w="584" w:type="pct"/>
            <w:vAlign w:val="bottom"/>
          </w:tcPr>
          <w:p w14:paraId="4CE5F4E0" w14:textId="20FD0FE3"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1–3 months</w:t>
            </w:r>
            <w:r w:rsidRPr="000E0EBE">
              <w:br/>
            </w:r>
            <w:r w:rsidR="00325098">
              <w:t>1</w:t>
            </w:r>
            <w:r w:rsidRPr="000E0EBE">
              <w:t>%</w:t>
            </w:r>
            <w:r w:rsidRPr="000E0EBE">
              <w:br/>
              <w:t>$’000</w:t>
            </w:r>
          </w:p>
        </w:tc>
        <w:tc>
          <w:tcPr>
            <w:tcW w:w="585" w:type="pct"/>
            <w:vAlign w:val="bottom"/>
          </w:tcPr>
          <w:p w14:paraId="2CF00207" w14:textId="34C41815"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3 month</w:t>
            </w:r>
            <w:r w:rsidR="00325098">
              <w:t>s</w:t>
            </w:r>
            <w:r w:rsidRPr="000E0EBE">
              <w:t>–1 year</w:t>
            </w:r>
            <w:r w:rsidRPr="000E0EBE">
              <w:br/>
              <w:t>1%</w:t>
            </w:r>
            <w:r w:rsidRPr="000E0EBE">
              <w:br/>
              <w:t>$’000</w:t>
            </w:r>
          </w:p>
        </w:tc>
        <w:tc>
          <w:tcPr>
            <w:tcW w:w="584" w:type="pct"/>
            <w:vAlign w:val="bottom"/>
          </w:tcPr>
          <w:p w14:paraId="0E8A996B" w14:textId="4771FFCE"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 xml:space="preserve">1–5 </w:t>
            </w:r>
            <w:r w:rsidRPr="000E0EBE">
              <w:br/>
              <w:t>years</w:t>
            </w:r>
            <w:r w:rsidRPr="000E0EBE">
              <w:br/>
            </w:r>
            <w:r w:rsidR="00325098">
              <w:t>1</w:t>
            </w:r>
            <w:r w:rsidRPr="000E0EBE">
              <w:t>%</w:t>
            </w:r>
            <w:r w:rsidRPr="000E0EBE">
              <w:br/>
              <w:t>$’000</w:t>
            </w:r>
          </w:p>
        </w:tc>
        <w:tc>
          <w:tcPr>
            <w:tcW w:w="580" w:type="pct"/>
            <w:vAlign w:val="bottom"/>
          </w:tcPr>
          <w:p w14:paraId="762C4D4C"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Total</w:t>
            </w:r>
            <w:r w:rsidRPr="000E0EBE">
              <w:br/>
              <w:t>$’000</w:t>
            </w:r>
          </w:p>
        </w:tc>
      </w:tr>
      <w:bookmarkEnd w:id="441"/>
      <w:tr w:rsidR="00AE57A5" w:rsidRPr="000E0EBE" w14:paraId="1CF72990" w14:textId="77777777" w:rsidTr="00C0469D">
        <w:tc>
          <w:tcPr>
            <w:cnfStyle w:val="001000000000" w:firstRow="0" w:lastRow="0" w:firstColumn="1" w:lastColumn="0" w:oddVBand="0" w:evenVBand="0" w:oddHBand="0" w:evenHBand="0" w:firstRowFirstColumn="0" w:firstRowLastColumn="0" w:lastRowFirstColumn="0" w:lastRowLastColumn="0"/>
            <w:tcW w:w="1499" w:type="pct"/>
          </w:tcPr>
          <w:p w14:paraId="548CA395" w14:textId="77777777" w:rsidR="00AE57A5" w:rsidRPr="000E0EBE" w:rsidRDefault="00AE57A5" w:rsidP="00AE57A5">
            <w:pPr>
              <w:pStyle w:val="TableText"/>
            </w:pPr>
            <w:r w:rsidRPr="000E0EBE">
              <w:t xml:space="preserve">Gross carrying </w:t>
            </w:r>
            <w:proofErr w:type="gramStart"/>
            <w:r w:rsidRPr="000E0EBE">
              <w:t>amount</w:t>
            </w:r>
            <w:proofErr w:type="gramEnd"/>
            <w:r w:rsidRPr="000E0EBE">
              <w:t xml:space="preserve"> of contractual receivables</w:t>
            </w:r>
          </w:p>
        </w:tc>
        <w:tc>
          <w:tcPr>
            <w:tcW w:w="584" w:type="pct"/>
          </w:tcPr>
          <w:p w14:paraId="326C6771" w14:textId="4FCD74C4"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3,242</w:t>
            </w:r>
          </w:p>
        </w:tc>
        <w:tc>
          <w:tcPr>
            <w:tcW w:w="585" w:type="pct"/>
          </w:tcPr>
          <w:p w14:paraId="03C92B80" w14:textId="57F14EF4"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216</w:t>
            </w:r>
          </w:p>
        </w:tc>
        <w:tc>
          <w:tcPr>
            <w:tcW w:w="584" w:type="pct"/>
          </w:tcPr>
          <w:p w14:paraId="579691FC" w14:textId="6BA6FA76"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243</w:t>
            </w:r>
          </w:p>
        </w:tc>
        <w:tc>
          <w:tcPr>
            <w:tcW w:w="585" w:type="pct"/>
          </w:tcPr>
          <w:p w14:paraId="466B4B23" w14:textId="2CD512C4"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1,627</w:t>
            </w:r>
          </w:p>
        </w:tc>
        <w:tc>
          <w:tcPr>
            <w:tcW w:w="584" w:type="pct"/>
          </w:tcPr>
          <w:p w14:paraId="1D2E4859" w14:textId="3789770E"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717</w:t>
            </w:r>
          </w:p>
        </w:tc>
        <w:tc>
          <w:tcPr>
            <w:tcW w:w="580" w:type="pct"/>
          </w:tcPr>
          <w:p w14:paraId="139A2E84" w14:textId="70243889" w:rsidR="00AE57A5" w:rsidRPr="000E0EBE"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6,046</w:t>
            </w:r>
          </w:p>
        </w:tc>
      </w:tr>
      <w:tr w:rsidR="00AE57A5" w:rsidRPr="00C0469D" w14:paraId="3A5969D5" w14:textId="77777777" w:rsidTr="00C0469D">
        <w:tc>
          <w:tcPr>
            <w:cnfStyle w:val="001000000000" w:firstRow="0" w:lastRow="0" w:firstColumn="1" w:lastColumn="0" w:oddVBand="0" w:evenVBand="0" w:oddHBand="0" w:evenHBand="0" w:firstRowFirstColumn="0" w:firstRowLastColumn="0" w:lastRowFirstColumn="0" w:lastRowLastColumn="0"/>
            <w:tcW w:w="1499" w:type="pct"/>
          </w:tcPr>
          <w:p w14:paraId="51024836" w14:textId="77777777" w:rsidR="00AE57A5" w:rsidRPr="00C0469D" w:rsidRDefault="00AE57A5" w:rsidP="00AE57A5">
            <w:pPr>
              <w:pStyle w:val="TableText"/>
              <w:rPr>
                <w:rStyle w:val="Bold"/>
              </w:rPr>
            </w:pPr>
            <w:r w:rsidRPr="00C0469D">
              <w:rPr>
                <w:rStyle w:val="Bold"/>
              </w:rPr>
              <w:t>Loss allowance</w:t>
            </w:r>
          </w:p>
        </w:tc>
        <w:tc>
          <w:tcPr>
            <w:tcW w:w="584" w:type="pct"/>
          </w:tcPr>
          <w:p w14:paraId="5F9923B8" w14:textId="2D7D2590"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w:t>
            </w:r>
          </w:p>
        </w:tc>
        <w:tc>
          <w:tcPr>
            <w:tcW w:w="585" w:type="pct"/>
          </w:tcPr>
          <w:p w14:paraId="10FC3D76" w14:textId="4673A6C3"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w:t>
            </w:r>
          </w:p>
        </w:tc>
        <w:tc>
          <w:tcPr>
            <w:tcW w:w="584" w:type="pct"/>
          </w:tcPr>
          <w:p w14:paraId="37CE95C2" w14:textId="430F750C"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w:t>
            </w:r>
          </w:p>
        </w:tc>
        <w:tc>
          <w:tcPr>
            <w:tcW w:w="585" w:type="pct"/>
          </w:tcPr>
          <w:p w14:paraId="0B540EAB" w14:textId="766115A0"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22</w:t>
            </w:r>
          </w:p>
        </w:tc>
        <w:tc>
          <w:tcPr>
            <w:tcW w:w="584" w:type="pct"/>
          </w:tcPr>
          <w:p w14:paraId="32C36BC5" w14:textId="13DB11F2"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w:t>
            </w:r>
          </w:p>
        </w:tc>
        <w:tc>
          <w:tcPr>
            <w:tcW w:w="580" w:type="pct"/>
          </w:tcPr>
          <w:p w14:paraId="0E0A4082" w14:textId="52F4039E" w:rsidR="00AE57A5"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55</w:t>
            </w:r>
          </w:p>
        </w:tc>
      </w:tr>
    </w:tbl>
    <w:p w14:paraId="52FD1B28" w14:textId="517669D0" w:rsidR="00AE57A5" w:rsidRDefault="00AE57A5">
      <w:r w:rsidRPr="000E0EBE">
        <w:t>30 June 2019</w:t>
      </w:r>
      <w:r>
        <w:t>:</w:t>
      </w:r>
    </w:p>
    <w:tbl>
      <w:tblPr>
        <w:tblStyle w:val="AccessibleTableNumerical"/>
        <w:tblW w:w="5000" w:type="pct"/>
        <w:tblLook w:val="04A0" w:firstRow="1" w:lastRow="0" w:firstColumn="1" w:lastColumn="0" w:noHBand="0" w:noVBand="1"/>
      </w:tblPr>
      <w:tblGrid>
        <w:gridCol w:w="2885"/>
        <w:gridCol w:w="1126"/>
        <w:gridCol w:w="1128"/>
        <w:gridCol w:w="1126"/>
        <w:gridCol w:w="1128"/>
        <w:gridCol w:w="1126"/>
        <w:gridCol w:w="1120"/>
      </w:tblGrid>
      <w:tr w:rsidR="00AE57A5" w:rsidRPr="000E0EBE" w14:paraId="315672EF" w14:textId="77777777" w:rsidTr="00C0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7" w:type="pct"/>
          </w:tcPr>
          <w:p w14:paraId="077157AB" w14:textId="20133635" w:rsidR="00AE57A5" w:rsidRPr="000E0EBE" w:rsidRDefault="00AE57A5" w:rsidP="00AE57A5">
            <w:pPr>
              <w:pStyle w:val="TableText"/>
            </w:pPr>
            <w:bookmarkStart w:id="442" w:name="ColumnTitle_87"/>
            <w:r w:rsidRPr="000E0EBE">
              <w:t>Expected loss rate</w:t>
            </w:r>
          </w:p>
        </w:tc>
        <w:tc>
          <w:tcPr>
            <w:tcW w:w="584" w:type="pct"/>
            <w:vAlign w:val="bottom"/>
          </w:tcPr>
          <w:p w14:paraId="223CF545"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Current</w:t>
            </w:r>
            <w:r w:rsidRPr="000E0EBE">
              <w:br/>
              <w:t>0%</w:t>
            </w:r>
            <w:r w:rsidRPr="000E0EBE">
              <w:br/>
              <w:t>$’000</w:t>
            </w:r>
          </w:p>
        </w:tc>
        <w:tc>
          <w:tcPr>
            <w:tcW w:w="585" w:type="pct"/>
            <w:vAlign w:val="bottom"/>
          </w:tcPr>
          <w:p w14:paraId="179A09BF"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Less than 1 month</w:t>
            </w:r>
            <w:r w:rsidRPr="000E0EBE">
              <w:br/>
              <w:t>0%</w:t>
            </w:r>
            <w:r w:rsidRPr="000E0EBE">
              <w:br/>
              <w:t>$’000</w:t>
            </w:r>
          </w:p>
        </w:tc>
        <w:tc>
          <w:tcPr>
            <w:tcW w:w="584" w:type="pct"/>
            <w:vAlign w:val="bottom"/>
          </w:tcPr>
          <w:p w14:paraId="0B74A846"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1–3 months</w:t>
            </w:r>
            <w:r w:rsidRPr="000E0EBE">
              <w:br/>
              <w:t>0%</w:t>
            </w:r>
            <w:r w:rsidRPr="000E0EBE">
              <w:br/>
              <w:t>$’000</w:t>
            </w:r>
          </w:p>
        </w:tc>
        <w:tc>
          <w:tcPr>
            <w:tcW w:w="585" w:type="pct"/>
            <w:vAlign w:val="bottom"/>
          </w:tcPr>
          <w:p w14:paraId="15684EA3" w14:textId="61DCB19F"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3 months–1 year</w:t>
            </w:r>
            <w:r w:rsidRPr="000E0EBE">
              <w:br/>
              <w:t>6%</w:t>
            </w:r>
            <w:r w:rsidRPr="000E0EBE">
              <w:br/>
              <w:t>$’000</w:t>
            </w:r>
          </w:p>
        </w:tc>
        <w:tc>
          <w:tcPr>
            <w:tcW w:w="584" w:type="pct"/>
            <w:vAlign w:val="bottom"/>
          </w:tcPr>
          <w:p w14:paraId="5D9D8872"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 xml:space="preserve">1–5 </w:t>
            </w:r>
            <w:r w:rsidRPr="000E0EBE">
              <w:br/>
              <w:t>years</w:t>
            </w:r>
            <w:r w:rsidRPr="000E0EBE">
              <w:br/>
              <w:t>11%</w:t>
            </w:r>
            <w:r w:rsidRPr="000E0EBE">
              <w:br/>
              <w:t>$’000</w:t>
            </w:r>
          </w:p>
        </w:tc>
        <w:tc>
          <w:tcPr>
            <w:tcW w:w="582" w:type="pct"/>
            <w:vAlign w:val="bottom"/>
          </w:tcPr>
          <w:p w14:paraId="7F887752" w14:textId="77777777" w:rsidR="00AE57A5" w:rsidRPr="000E0EBE" w:rsidRDefault="00AE57A5" w:rsidP="00C0469D">
            <w:pPr>
              <w:pStyle w:val="TableText"/>
              <w:cnfStyle w:val="100000000000" w:firstRow="1" w:lastRow="0" w:firstColumn="0" w:lastColumn="0" w:oddVBand="0" w:evenVBand="0" w:oddHBand="0" w:evenHBand="0" w:firstRowFirstColumn="0" w:firstRowLastColumn="0" w:lastRowFirstColumn="0" w:lastRowLastColumn="0"/>
            </w:pPr>
            <w:r w:rsidRPr="000E0EBE">
              <w:t>Total</w:t>
            </w:r>
            <w:r w:rsidRPr="000E0EBE">
              <w:br/>
              <w:t>$’000</w:t>
            </w:r>
          </w:p>
        </w:tc>
      </w:tr>
      <w:bookmarkEnd w:id="442"/>
      <w:tr w:rsidR="00AE57A5" w:rsidRPr="000E0EBE" w14:paraId="2EACC236" w14:textId="77777777" w:rsidTr="00AE57A5">
        <w:tc>
          <w:tcPr>
            <w:cnfStyle w:val="001000000000" w:firstRow="0" w:lastRow="0" w:firstColumn="1" w:lastColumn="0" w:oddVBand="0" w:evenVBand="0" w:oddHBand="0" w:evenHBand="0" w:firstRowFirstColumn="0" w:firstRowLastColumn="0" w:lastRowFirstColumn="0" w:lastRowLastColumn="0"/>
            <w:tcW w:w="1497" w:type="pct"/>
          </w:tcPr>
          <w:p w14:paraId="19DE71AB" w14:textId="77777777" w:rsidR="00AE57A5" w:rsidRPr="000E0EBE" w:rsidRDefault="00AE57A5" w:rsidP="00AE57A5">
            <w:pPr>
              <w:pStyle w:val="TableText"/>
            </w:pPr>
            <w:r w:rsidRPr="000E0EBE">
              <w:t xml:space="preserve">Gross carrying </w:t>
            </w:r>
            <w:proofErr w:type="gramStart"/>
            <w:r w:rsidRPr="000E0EBE">
              <w:t>amount</w:t>
            </w:r>
            <w:proofErr w:type="gramEnd"/>
            <w:r w:rsidRPr="000E0EBE">
              <w:t xml:space="preserve"> of contractual receivables</w:t>
            </w:r>
          </w:p>
        </w:tc>
        <w:tc>
          <w:tcPr>
            <w:tcW w:w="584" w:type="pct"/>
          </w:tcPr>
          <w:p w14:paraId="05BB6AA4"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3,925</w:t>
            </w:r>
          </w:p>
        </w:tc>
        <w:tc>
          <w:tcPr>
            <w:tcW w:w="585" w:type="pct"/>
          </w:tcPr>
          <w:p w14:paraId="01F6CDEE"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1,983</w:t>
            </w:r>
          </w:p>
        </w:tc>
        <w:tc>
          <w:tcPr>
            <w:tcW w:w="584" w:type="pct"/>
          </w:tcPr>
          <w:p w14:paraId="7446C759"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758</w:t>
            </w:r>
          </w:p>
        </w:tc>
        <w:tc>
          <w:tcPr>
            <w:tcW w:w="585" w:type="pct"/>
          </w:tcPr>
          <w:p w14:paraId="5A5AA1C3"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3,715</w:t>
            </w:r>
          </w:p>
        </w:tc>
        <w:tc>
          <w:tcPr>
            <w:tcW w:w="584" w:type="pct"/>
          </w:tcPr>
          <w:p w14:paraId="61FC8D21"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219</w:t>
            </w:r>
          </w:p>
        </w:tc>
        <w:tc>
          <w:tcPr>
            <w:tcW w:w="582" w:type="pct"/>
          </w:tcPr>
          <w:p w14:paraId="30BF1C48" w14:textId="77777777" w:rsidR="00AE57A5" w:rsidRPr="000E0EBE" w:rsidRDefault="00AE57A5" w:rsidP="00AE57A5">
            <w:pPr>
              <w:pStyle w:val="TableText"/>
              <w:cnfStyle w:val="000000000000" w:firstRow="0" w:lastRow="0" w:firstColumn="0" w:lastColumn="0" w:oddVBand="0" w:evenVBand="0" w:oddHBand="0" w:evenHBand="0" w:firstRowFirstColumn="0" w:firstRowLastColumn="0" w:lastRowFirstColumn="0" w:lastRowLastColumn="0"/>
            </w:pPr>
            <w:r w:rsidRPr="000E0EBE">
              <w:t>10,600</w:t>
            </w:r>
          </w:p>
        </w:tc>
      </w:tr>
      <w:tr w:rsidR="00AE57A5" w:rsidRPr="00C0469D" w14:paraId="461A90FF" w14:textId="77777777" w:rsidTr="00AE57A5">
        <w:tc>
          <w:tcPr>
            <w:cnfStyle w:val="001000000000" w:firstRow="0" w:lastRow="0" w:firstColumn="1" w:lastColumn="0" w:oddVBand="0" w:evenVBand="0" w:oddHBand="0" w:evenHBand="0" w:firstRowFirstColumn="0" w:firstRowLastColumn="0" w:lastRowFirstColumn="0" w:lastRowLastColumn="0"/>
            <w:tcW w:w="1497" w:type="pct"/>
          </w:tcPr>
          <w:p w14:paraId="34A3531B" w14:textId="77777777" w:rsidR="00AE57A5" w:rsidRPr="00C0469D" w:rsidRDefault="00AE57A5" w:rsidP="00AE57A5">
            <w:pPr>
              <w:pStyle w:val="TableText"/>
              <w:rPr>
                <w:rStyle w:val="Bold"/>
              </w:rPr>
            </w:pPr>
            <w:r w:rsidRPr="00C0469D">
              <w:rPr>
                <w:rStyle w:val="Bold"/>
              </w:rPr>
              <w:t>Loss allowance</w:t>
            </w:r>
          </w:p>
        </w:tc>
        <w:tc>
          <w:tcPr>
            <w:tcW w:w="584" w:type="pct"/>
          </w:tcPr>
          <w:p w14:paraId="78B80334"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0</w:t>
            </w:r>
          </w:p>
        </w:tc>
        <w:tc>
          <w:tcPr>
            <w:tcW w:w="585" w:type="pct"/>
          </w:tcPr>
          <w:p w14:paraId="465FDE46"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0</w:t>
            </w:r>
          </w:p>
        </w:tc>
        <w:tc>
          <w:tcPr>
            <w:tcW w:w="584" w:type="pct"/>
          </w:tcPr>
          <w:p w14:paraId="66DEEAFC"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0</w:t>
            </w:r>
          </w:p>
        </w:tc>
        <w:tc>
          <w:tcPr>
            <w:tcW w:w="585" w:type="pct"/>
          </w:tcPr>
          <w:p w14:paraId="10E9B14C"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223</w:t>
            </w:r>
          </w:p>
        </w:tc>
        <w:tc>
          <w:tcPr>
            <w:tcW w:w="584" w:type="pct"/>
          </w:tcPr>
          <w:p w14:paraId="70436BBA"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23</w:t>
            </w:r>
          </w:p>
        </w:tc>
        <w:tc>
          <w:tcPr>
            <w:tcW w:w="582" w:type="pct"/>
          </w:tcPr>
          <w:p w14:paraId="6588A479" w14:textId="77777777" w:rsidR="00AE57A5" w:rsidRPr="00C0469D" w:rsidRDefault="00AE57A5"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246</w:t>
            </w:r>
          </w:p>
        </w:tc>
      </w:tr>
    </w:tbl>
    <w:p w14:paraId="2673AE4C" w14:textId="77777777" w:rsidR="00417B1B" w:rsidRDefault="00417B1B" w:rsidP="00417B1B">
      <w:pPr>
        <w:pStyle w:val="BodyText"/>
      </w:pPr>
      <w:r w:rsidRPr="000E0EBE">
        <w:t>Reconciliation of the movement in the loss allowance for contractual receivables is shown as follows:</w:t>
      </w:r>
    </w:p>
    <w:tbl>
      <w:tblPr>
        <w:tblStyle w:val="AccessibleTableNumerical"/>
        <w:tblW w:w="5000" w:type="pct"/>
        <w:tblLook w:val="04A0" w:firstRow="1" w:lastRow="0" w:firstColumn="1" w:lastColumn="0" w:noHBand="0" w:noVBand="1"/>
      </w:tblPr>
      <w:tblGrid>
        <w:gridCol w:w="6649"/>
        <w:gridCol w:w="1496"/>
        <w:gridCol w:w="1494"/>
      </w:tblGrid>
      <w:tr w:rsidR="00417B1B" w:rsidRPr="00AE57A5" w14:paraId="0F88D5CB" w14:textId="77777777" w:rsidTr="00C0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9" w:type="pct"/>
          </w:tcPr>
          <w:p w14:paraId="3EF26DD4" w14:textId="7EA49448" w:rsidR="00417B1B" w:rsidRPr="00AE57A5" w:rsidRDefault="00AC0BBF" w:rsidP="00AE57A5">
            <w:pPr>
              <w:pStyle w:val="TableText"/>
            </w:pPr>
            <w:bookmarkStart w:id="443" w:name="ColumnTitle_88"/>
            <w:r w:rsidRPr="00AE57A5">
              <w:t>Item</w:t>
            </w:r>
          </w:p>
        </w:tc>
        <w:tc>
          <w:tcPr>
            <w:tcW w:w="776" w:type="pct"/>
            <w:vAlign w:val="bottom"/>
          </w:tcPr>
          <w:p w14:paraId="756C3E25" w14:textId="3955C0E3" w:rsidR="00417B1B" w:rsidRPr="00AE57A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AE57A5">
              <w:t>20</w:t>
            </w:r>
            <w:r w:rsidR="00325098">
              <w:t>20</w:t>
            </w:r>
            <w:r w:rsidRPr="00AE57A5">
              <w:br/>
              <w:t>$’000</w:t>
            </w:r>
          </w:p>
        </w:tc>
        <w:tc>
          <w:tcPr>
            <w:tcW w:w="775" w:type="pct"/>
            <w:vAlign w:val="bottom"/>
          </w:tcPr>
          <w:p w14:paraId="5499135E" w14:textId="49A590B9" w:rsidR="00417B1B" w:rsidRPr="00AE57A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AE57A5">
              <w:t>201</w:t>
            </w:r>
            <w:r w:rsidR="00325098">
              <w:t>9</w:t>
            </w:r>
            <w:r w:rsidRPr="00AE57A5">
              <w:br/>
              <w:t>$’000</w:t>
            </w:r>
          </w:p>
        </w:tc>
      </w:tr>
      <w:bookmarkEnd w:id="443"/>
      <w:tr w:rsidR="00417B1B" w:rsidRPr="00C0469D" w14:paraId="099E285A"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0F7E7BA8" w14:textId="77777777" w:rsidR="00417B1B" w:rsidRPr="00C0469D" w:rsidRDefault="00417B1B" w:rsidP="00AE57A5">
            <w:pPr>
              <w:pStyle w:val="TableText"/>
              <w:rPr>
                <w:rStyle w:val="Bold"/>
              </w:rPr>
            </w:pPr>
            <w:r w:rsidRPr="00C0469D">
              <w:rPr>
                <w:rStyle w:val="Bold"/>
              </w:rPr>
              <w:t>Balance at beginning of the year</w:t>
            </w:r>
          </w:p>
        </w:tc>
        <w:tc>
          <w:tcPr>
            <w:tcW w:w="776" w:type="pct"/>
          </w:tcPr>
          <w:p w14:paraId="025A8446" w14:textId="5742FF0A"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(246)</w:t>
            </w:r>
          </w:p>
        </w:tc>
        <w:tc>
          <w:tcPr>
            <w:tcW w:w="775" w:type="pct"/>
          </w:tcPr>
          <w:p w14:paraId="6591134C" w14:textId="24A82CB5"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(627)</w:t>
            </w:r>
          </w:p>
        </w:tc>
      </w:tr>
      <w:tr w:rsidR="00417B1B" w:rsidRPr="00AE57A5" w14:paraId="782A4318"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137EB1BB" w14:textId="77777777" w:rsidR="00417B1B" w:rsidRPr="00AE57A5" w:rsidRDefault="00417B1B" w:rsidP="00AE57A5">
            <w:pPr>
              <w:pStyle w:val="TableText"/>
            </w:pPr>
            <w:r w:rsidRPr="00AE57A5">
              <w:t>Opening retained earnings adjustment on adoption of AASB 9</w:t>
            </w:r>
          </w:p>
        </w:tc>
        <w:tc>
          <w:tcPr>
            <w:tcW w:w="776" w:type="pct"/>
          </w:tcPr>
          <w:p w14:paraId="7E750CC6" w14:textId="77777777" w:rsidR="00417B1B" w:rsidRPr="00AE57A5" w:rsidRDefault="00417B1B" w:rsidP="00AE57A5">
            <w:pPr>
              <w:pStyle w:val="TableText"/>
              <w:cnfStyle w:val="000000000000" w:firstRow="0" w:lastRow="0" w:firstColumn="0" w:lastColumn="0" w:oddVBand="0" w:evenVBand="0" w:oddHBand="0" w:evenHBand="0" w:firstRowFirstColumn="0" w:firstRowLastColumn="0" w:lastRowFirstColumn="0" w:lastRowLastColumn="0"/>
            </w:pPr>
            <w:r w:rsidRPr="00AE57A5">
              <w:t>0</w:t>
            </w:r>
          </w:p>
        </w:tc>
        <w:tc>
          <w:tcPr>
            <w:tcW w:w="775" w:type="pct"/>
          </w:tcPr>
          <w:p w14:paraId="6B7810D2" w14:textId="77777777" w:rsidR="00417B1B" w:rsidRPr="00AE57A5" w:rsidRDefault="00417B1B" w:rsidP="00AE57A5">
            <w:pPr>
              <w:pStyle w:val="TableText"/>
              <w:cnfStyle w:val="000000000000" w:firstRow="0" w:lastRow="0" w:firstColumn="0" w:lastColumn="0" w:oddVBand="0" w:evenVBand="0" w:oddHBand="0" w:evenHBand="0" w:firstRowFirstColumn="0" w:firstRowLastColumn="0" w:lastRowFirstColumn="0" w:lastRowLastColumn="0"/>
            </w:pPr>
            <w:r w:rsidRPr="00AE57A5">
              <w:t>0</w:t>
            </w:r>
          </w:p>
        </w:tc>
      </w:tr>
      <w:tr w:rsidR="00417B1B" w:rsidRPr="00C0469D" w14:paraId="711A573D"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085CE4D6" w14:textId="77777777" w:rsidR="00417B1B" w:rsidRPr="00C0469D" w:rsidRDefault="00417B1B" w:rsidP="00AE57A5">
            <w:pPr>
              <w:pStyle w:val="TableText"/>
              <w:rPr>
                <w:rStyle w:val="Bold"/>
              </w:rPr>
            </w:pPr>
            <w:r w:rsidRPr="00C0469D">
              <w:rPr>
                <w:rStyle w:val="Bold"/>
              </w:rPr>
              <w:t xml:space="preserve">Opening Loss Allowance </w:t>
            </w:r>
          </w:p>
        </w:tc>
        <w:tc>
          <w:tcPr>
            <w:tcW w:w="776" w:type="pct"/>
          </w:tcPr>
          <w:p w14:paraId="6EC3959E" w14:textId="2C694B1A"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(246)</w:t>
            </w:r>
          </w:p>
        </w:tc>
        <w:tc>
          <w:tcPr>
            <w:tcW w:w="775" w:type="pct"/>
          </w:tcPr>
          <w:p w14:paraId="604FD139" w14:textId="0D9FC26B"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(627)</w:t>
            </w:r>
          </w:p>
        </w:tc>
      </w:tr>
      <w:tr w:rsidR="00417B1B" w:rsidRPr="00AE57A5" w14:paraId="796CF9D1"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1A91AFB4" w14:textId="77777777" w:rsidR="00417B1B" w:rsidRPr="00AE57A5" w:rsidRDefault="00417B1B" w:rsidP="00AE57A5">
            <w:pPr>
              <w:pStyle w:val="TableText"/>
            </w:pPr>
            <w:r w:rsidRPr="00AE57A5">
              <w:t>Increase in provision recognised in the net result</w:t>
            </w:r>
          </w:p>
        </w:tc>
        <w:tc>
          <w:tcPr>
            <w:tcW w:w="776" w:type="pct"/>
          </w:tcPr>
          <w:p w14:paraId="620E5FA2" w14:textId="23C44E8C" w:rsidR="00417B1B" w:rsidRPr="00AE57A5"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N/A</w:t>
            </w:r>
          </w:p>
        </w:tc>
        <w:tc>
          <w:tcPr>
            <w:tcW w:w="775" w:type="pct"/>
          </w:tcPr>
          <w:p w14:paraId="5C77C27C" w14:textId="4BF55741" w:rsidR="00417B1B" w:rsidRPr="00AE57A5"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N/A</w:t>
            </w:r>
          </w:p>
        </w:tc>
      </w:tr>
      <w:tr w:rsidR="00325098" w:rsidRPr="00AE57A5" w14:paraId="17A06EEB"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79BB79EE" w14:textId="7F4A086B" w:rsidR="00325098" w:rsidRPr="00AE57A5" w:rsidRDefault="00325098" w:rsidP="00AE57A5">
            <w:pPr>
              <w:pStyle w:val="TableText"/>
            </w:pPr>
            <w:r>
              <w:t>Reversal of unused provision recognised in the net result</w:t>
            </w:r>
          </w:p>
        </w:tc>
        <w:tc>
          <w:tcPr>
            <w:tcW w:w="776" w:type="pct"/>
          </w:tcPr>
          <w:p w14:paraId="284188A9" w14:textId="35C31B12" w:rsidR="00325098"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191</w:t>
            </w:r>
          </w:p>
        </w:tc>
        <w:tc>
          <w:tcPr>
            <w:tcW w:w="775" w:type="pct"/>
          </w:tcPr>
          <w:p w14:paraId="75249621" w14:textId="6BF3E908" w:rsidR="00325098" w:rsidRDefault="00325098" w:rsidP="00AE57A5">
            <w:pPr>
              <w:pStyle w:val="TableText"/>
              <w:cnfStyle w:val="000000000000" w:firstRow="0" w:lastRow="0" w:firstColumn="0" w:lastColumn="0" w:oddVBand="0" w:evenVBand="0" w:oddHBand="0" w:evenHBand="0" w:firstRowFirstColumn="0" w:firstRowLastColumn="0" w:lastRowFirstColumn="0" w:lastRowLastColumn="0"/>
            </w:pPr>
            <w:r>
              <w:t>381</w:t>
            </w:r>
          </w:p>
        </w:tc>
      </w:tr>
      <w:tr w:rsidR="00417B1B" w:rsidRPr="00C0469D" w14:paraId="43CFE66A" w14:textId="77777777" w:rsidTr="00AC0BBF">
        <w:tc>
          <w:tcPr>
            <w:cnfStyle w:val="001000000000" w:firstRow="0" w:lastRow="0" w:firstColumn="1" w:lastColumn="0" w:oddVBand="0" w:evenVBand="0" w:oddHBand="0" w:evenHBand="0" w:firstRowFirstColumn="0" w:firstRowLastColumn="0" w:lastRowFirstColumn="0" w:lastRowLastColumn="0"/>
            <w:tcW w:w="3449" w:type="pct"/>
          </w:tcPr>
          <w:p w14:paraId="64B8C0E8" w14:textId="77777777" w:rsidR="00417B1B" w:rsidRPr="00C0469D" w:rsidRDefault="00417B1B" w:rsidP="00AE57A5">
            <w:pPr>
              <w:pStyle w:val="TableText"/>
              <w:rPr>
                <w:rStyle w:val="Bold"/>
              </w:rPr>
            </w:pPr>
            <w:r w:rsidRPr="00C0469D">
              <w:rPr>
                <w:rStyle w:val="Bold"/>
              </w:rPr>
              <w:t>Balance at end of the year</w:t>
            </w:r>
          </w:p>
        </w:tc>
        <w:tc>
          <w:tcPr>
            <w:tcW w:w="776" w:type="pct"/>
          </w:tcPr>
          <w:p w14:paraId="1ECD7966" w14:textId="69849B5C"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(55)</w:t>
            </w:r>
          </w:p>
        </w:tc>
        <w:tc>
          <w:tcPr>
            <w:tcW w:w="775" w:type="pct"/>
          </w:tcPr>
          <w:p w14:paraId="4BB6EDDC" w14:textId="087E9E5F" w:rsidR="00417B1B" w:rsidRPr="00C0469D" w:rsidRDefault="00325098"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(246)</w:t>
            </w:r>
          </w:p>
        </w:tc>
      </w:tr>
    </w:tbl>
    <w:p w14:paraId="7F892DDE" w14:textId="568C8A24" w:rsidR="00325098" w:rsidRDefault="00325098" w:rsidP="00325098">
      <w:pPr>
        <w:pStyle w:val="BodyText"/>
      </w:pPr>
      <w:r>
        <w:t>Credit loss allowance is classified as other economic flows in the net result. Contractual receivables are written off when there is no reasonable expectation of recovery and impairment losses are classified as a transaction expense. Subsequent recoveries of amounts previously written off are credited against the same line item.</w:t>
      </w:r>
    </w:p>
    <w:p w14:paraId="7E1ABED5" w14:textId="46B28A82" w:rsidR="00325098" w:rsidRDefault="00325098" w:rsidP="00325098">
      <w:pPr>
        <w:pStyle w:val="BodyText"/>
      </w:pPr>
      <w:r>
        <w:t xml:space="preserve">In prior years, a provision for doubtful debts is recognised when there is objective evidence that the debts may not be </w:t>
      </w:r>
      <w:proofErr w:type="gramStart"/>
      <w:r>
        <w:t>collected</w:t>
      </w:r>
      <w:proofErr w:type="gramEnd"/>
      <w:r>
        <w:t xml:space="preserve"> and bad debts are written off when identified. A provision is made for estimated irrecoverable amounts from the sale of goods when there is objective evidence that an individual receivable is impaired. Bad debts considered as written off by mutual consent.</w:t>
      </w:r>
    </w:p>
    <w:p w14:paraId="3AED3C7E" w14:textId="1A17E742" w:rsidR="00417B1B" w:rsidRDefault="00C0469D" w:rsidP="00DF32E7">
      <w:pPr>
        <w:pStyle w:val="Heading4"/>
      </w:pPr>
      <w:r>
        <w:t>Statutory Receivables a</w:t>
      </w:r>
      <w:r w:rsidR="00417B1B">
        <w:t>t Amortised</w:t>
      </w:r>
      <w:r w:rsidR="00D45E5B">
        <w:t xml:space="preserve"> </w:t>
      </w:r>
      <w:r w:rsidR="00417B1B">
        <w:t xml:space="preserve">Cost </w:t>
      </w:r>
    </w:p>
    <w:p w14:paraId="4E0DEBD4" w14:textId="30BDF9D7" w:rsidR="00FD067F" w:rsidRDefault="009B1462" w:rsidP="00895F89">
      <w:pPr>
        <w:pStyle w:val="BodyText"/>
        <w:keepNext/>
      </w:pPr>
      <w:r>
        <w:t>Court Services Victoria</w:t>
      </w:r>
      <w:r w:rsidR="00FD067F">
        <w:t>’s non-contractual receivables arising from statutory requirements are not financial instruments. However, they are nevertheless recognised and measured in accordance with AASB 9 requirements as if those receivables are financial instruments.</w:t>
      </w:r>
    </w:p>
    <w:p w14:paraId="7ED4A938" w14:textId="0BB429AE" w:rsidR="00FD067F" w:rsidRDefault="00FD067F" w:rsidP="00FD067F">
      <w:pPr>
        <w:pStyle w:val="BodyText"/>
      </w:pPr>
      <w:r>
        <w:t xml:space="preserve">Statutory receivables are considered to have low credit risk, taking into account the counterparty’s credit rating, risk of default and capacity to meet contractual cash flow obligations in the near term. As the result, the loss allowance recognised for these financial assets during the period was limited to 12 months expected losses. No loss allowance recognised </w:t>
      </w:r>
      <w:proofErr w:type="gramStart"/>
      <w:r>
        <w:t>at</w:t>
      </w:r>
      <w:proofErr w:type="gramEnd"/>
      <w:r>
        <w:t xml:space="preserve"> 30 June 2018 under AASB 139. No additional loss allowance required upon transition into AASB 9 on 1 July 2018.</w:t>
      </w:r>
    </w:p>
    <w:p w14:paraId="7E53DC26" w14:textId="77777777" w:rsidR="00417B1B" w:rsidRDefault="00417B1B" w:rsidP="00DF32E7">
      <w:pPr>
        <w:pStyle w:val="Heading4"/>
      </w:pPr>
      <w:r>
        <w:t>Financial Instruments: Liquidity Risk</w:t>
      </w:r>
    </w:p>
    <w:p w14:paraId="6D2C5EEF" w14:textId="75566323" w:rsidR="00FD067F" w:rsidRDefault="00FD067F" w:rsidP="00FD067F">
      <w:pPr>
        <w:pStyle w:val="BodyText"/>
      </w:pPr>
      <w:r>
        <w:t xml:space="preserve">Liquidity risk arises from being unable to meet financial obligations as they fall due. </w:t>
      </w:r>
      <w:r w:rsidR="009B1462">
        <w:t>Court Services Victoria</w:t>
      </w:r>
      <w:r>
        <w:t xml:space="preserve"> operates under the Government fair payments policy of settling financial obligations within 30 days and in the event of a dispute, making payments within 30 days from the date of resolution.</w:t>
      </w:r>
    </w:p>
    <w:p w14:paraId="59BB9870" w14:textId="7A95D274" w:rsidR="00FD067F" w:rsidRDefault="009B1462" w:rsidP="00FD067F">
      <w:pPr>
        <w:pStyle w:val="BodyText"/>
      </w:pPr>
      <w:r>
        <w:t>Court Services Victoria</w:t>
      </w:r>
      <w:r w:rsidR="00FD067F">
        <w:t xml:space="preserve"> is exposed to liquidity risk mainly through the financial liabilities as disclosed in the face of the balance sheet and the amounts related to financial guarantees. </w:t>
      </w:r>
      <w:r>
        <w:t>Court Services Victoria</w:t>
      </w:r>
      <w:r w:rsidR="00FD067F">
        <w:t xml:space="preserve"> manages its liquidity risk by:</w:t>
      </w:r>
    </w:p>
    <w:p w14:paraId="1975D64D" w14:textId="1629AC35" w:rsidR="00FD067F" w:rsidRDefault="00FD067F" w:rsidP="00172440">
      <w:pPr>
        <w:pStyle w:val="ListBullet"/>
      </w:pPr>
      <w:r>
        <w:t xml:space="preserve">close monitoring of its short-term and long-term borrowings by senior management, including monthly reviews on current and future borrowing levels and </w:t>
      </w:r>
      <w:proofErr w:type="gramStart"/>
      <w:r>
        <w:t>requirements;</w:t>
      </w:r>
      <w:proofErr w:type="gramEnd"/>
    </w:p>
    <w:p w14:paraId="39B66B14" w14:textId="59B63F06" w:rsidR="00FD067F" w:rsidRDefault="00FD067F" w:rsidP="00172440">
      <w:pPr>
        <w:pStyle w:val="ListBullet"/>
      </w:pPr>
      <w:r>
        <w:t xml:space="preserve">maintaining an adequate level of uncommitted funds that can be drawn at short notice to meet its short-term </w:t>
      </w:r>
      <w:proofErr w:type="gramStart"/>
      <w:r>
        <w:t>obligations;</w:t>
      </w:r>
      <w:proofErr w:type="gramEnd"/>
    </w:p>
    <w:p w14:paraId="260D29B2" w14:textId="2BCBE37B" w:rsidR="00FD067F" w:rsidRDefault="00FD067F" w:rsidP="00172440">
      <w:pPr>
        <w:pStyle w:val="ListBullet"/>
      </w:pPr>
      <w:r>
        <w:t xml:space="preserve">holding investments and other contractual financial assets that are readily tradeable in the financial </w:t>
      </w:r>
      <w:proofErr w:type="gramStart"/>
      <w:r>
        <w:t>markets;</w:t>
      </w:r>
      <w:proofErr w:type="gramEnd"/>
    </w:p>
    <w:p w14:paraId="6DDA8038" w14:textId="233EA421" w:rsidR="00FD067F" w:rsidRDefault="00FD067F" w:rsidP="00172440">
      <w:pPr>
        <w:pStyle w:val="ListBullet"/>
      </w:pPr>
      <w:r>
        <w:t>careful maturity planning of its financial obligations based on forecasts of future cash flows; and</w:t>
      </w:r>
    </w:p>
    <w:p w14:paraId="4EB2D685" w14:textId="06ED720F" w:rsidR="00FD067F" w:rsidRDefault="00FD067F" w:rsidP="00172440">
      <w:pPr>
        <w:pStyle w:val="ListBullet"/>
      </w:pPr>
      <w:r>
        <w:t xml:space="preserve">a high credit rating for the State of Victoria (Moody’s Investor Services and Standard &amp; Poor’s </w:t>
      </w:r>
      <w:proofErr w:type="gramStart"/>
      <w:r>
        <w:t>triple-A</w:t>
      </w:r>
      <w:proofErr w:type="gramEnd"/>
      <w:r>
        <w:t>, which assists in accessing debt market at a lower interest rate).</w:t>
      </w:r>
    </w:p>
    <w:p w14:paraId="3154CAE4" w14:textId="7F3F1606" w:rsidR="00FD067F" w:rsidRDefault="009B1462" w:rsidP="00FD067F">
      <w:pPr>
        <w:pStyle w:val="BodyText"/>
      </w:pPr>
      <w:r>
        <w:t>Court Services Victoria</w:t>
      </w:r>
      <w:r w:rsidR="00FD067F">
        <w:t>’s exposure to liquidity risk is deemed insignificant based on prior periods’ data and current assessment of risk. Cash for unexpected events is generally sourced from liquidation of available-for-sale financial investments.</w:t>
      </w:r>
    </w:p>
    <w:p w14:paraId="30AD934B" w14:textId="5A04FFA1" w:rsidR="00417B1B" w:rsidRDefault="00417B1B" w:rsidP="00417B1B">
      <w:pPr>
        <w:pStyle w:val="Heading3"/>
      </w:pPr>
      <w:bookmarkStart w:id="444" w:name="Note82"/>
      <w:bookmarkStart w:id="445" w:name="_Ref22653465"/>
      <w:bookmarkStart w:id="446" w:name="_Ref22653469"/>
      <w:bookmarkStart w:id="447" w:name="_Toc62808171"/>
      <w:r>
        <w:t xml:space="preserve">8.2 </w:t>
      </w:r>
      <w:bookmarkEnd w:id="444"/>
      <w:r>
        <w:t xml:space="preserve">Contingent Assets </w:t>
      </w:r>
      <w:r w:rsidR="00D45E5B">
        <w:t xml:space="preserve">and </w:t>
      </w:r>
      <w:r>
        <w:t>Contingent Liabilities</w:t>
      </w:r>
      <w:bookmarkEnd w:id="445"/>
      <w:bookmarkEnd w:id="446"/>
      <w:bookmarkEnd w:id="447"/>
    </w:p>
    <w:p w14:paraId="13732A09" w14:textId="77777777" w:rsidR="00172440" w:rsidRDefault="00172440" w:rsidP="00172440">
      <w:pPr>
        <w:pStyle w:val="BodyText"/>
      </w:pPr>
      <w:r>
        <w:t>Contingent assets and contingent liabilities are not recognised in the balance sheet but are disclosed and, if quantifiable, are measured at nominal value.</w:t>
      </w:r>
    </w:p>
    <w:p w14:paraId="1CAAD6BD" w14:textId="382CA175" w:rsidR="00172440" w:rsidRDefault="00172440" w:rsidP="00172440">
      <w:pPr>
        <w:pStyle w:val="BodyText"/>
      </w:pPr>
      <w:r>
        <w:t>Contingent assets and liabilities are presented inclusive of GST receivable or payable respectively.</w:t>
      </w:r>
    </w:p>
    <w:p w14:paraId="08AD78BD" w14:textId="2F9072E3" w:rsidR="00417B1B" w:rsidRDefault="00417B1B" w:rsidP="00417B1B">
      <w:pPr>
        <w:pStyle w:val="Heading4"/>
      </w:pPr>
      <w:r>
        <w:t>Quantifia</w:t>
      </w:r>
      <w:r w:rsidR="00C0469D">
        <w:t xml:space="preserve">ble Contingent </w:t>
      </w:r>
      <w:r w:rsidR="00A32E3B">
        <w:t>Liabilities</w:t>
      </w:r>
      <w:r w:rsidR="00C0469D">
        <w:t xml:space="preserve"> (Arising f</w:t>
      </w:r>
      <w:r>
        <w:t xml:space="preserve">rom Outside </w:t>
      </w:r>
      <w:r w:rsidR="00C0469D">
        <w:t>o</w:t>
      </w:r>
      <w:r w:rsidR="00172429">
        <w:t>f</w:t>
      </w:r>
      <w:r>
        <w:t xml:space="preserve"> Government)</w:t>
      </w:r>
    </w:p>
    <w:p w14:paraId="01FD9F90" w14:textId="1151FA4A" w:rsidR="00417B1B" w:rsidRDefault="00417B1B" w:rsidP="00417B1B">
      <w:pPr>
        <w:pStyle w:val="Heading5"/>
      </w:pPr>
      <w:r>
        <w:t xml:space="preserve">Contingent </w:t>
      </w:r>
      <w:r w:rsidR="00A32E3B">
        <w:t>Liabilities</w:t>
      </w:r>
    </w:p>
    <w:p w14:paraId="1CE2FC9F" w14:textId="6E7900B1" w:rsidR="00A32E3B" w:rsidRDefault="00A32E3B" w:rsidP="00A32E3B">
      <w:pPr>
        <w:pStyle w:val="BodyText"/>
      </w:pPr>
      <w:r>
        <w:t>Contingent liabilities are:</w:t>
      </w:r>
    </w:p>
    <w:p w14:paraId="23255F01" w14:textId="1FDBCB7A" w:rsidR="00A32E3B" w:rsidRDefault="00A32E3B" w:rsidP="00B96918">
      <w:pPr>
        <w:pStyle w:val="ListBullet"/>
      </w:pPr>
      <w:r>
        <w:t>possible obligations that arise from past events, the existence of which will be confirmed only by the occurrence or non-occurrence of one or more uncertain future events not wholly within the control of the entity; or</w:t>
      </w:r>
    </w:p>
    <w:p w14:paraId="1089F483" w14:textId="72028A82" w:rsidR="00A32E3B" w:rsidRDefault="00A32E3B" w:rsidP="00B96918">
      <w:pPr>
        <w:pStyle w:val="ListBullet"/>
      </w:pPr>
      <w:r>
        <w:t>present obligations that arise from past events but are not recognised because:</w:t>
      </w:r>
    </w:p>
    <w:p w14:paraId="534F57DF" w14:textId="154C682E" w:rsidR="00A32E3B" w:rsidRDefault="00A32E3B" w:rsidP="00B96918">
      <w:pPr>
        <w:pStyle w:val="ListBullet2"/>
      </w:pPr>
      <w:r>
        <w:t>it is not probable that an outflow of resources embodying economic benefits will be required to settle the obligations; or</w:t>
      </w:r>
    </w:p>
    <w:p w14:paraId="3EE53C81" w14:textId="10DFAD30" w:rsidR="00A32E3B" w:rsidRDefault="00A32E3B" w:rsidP="00B96918">
      <w:pPr>
        <w:pStyle w:val="ListBullet2"/>
      </w:pPr>
      <w:r>
        <w:t>the amount of the obligations cannot be measured with sufficient reliability.</w:t>
      </w:r>
    </w:p>
    <w:p w14:paraId="50187D51" w14:textId="7F0881CF" w:rsidR="00A32E3B" w:rsidRDefault="00A32E3B" w:rsidP="00A32E3B">
      <w:pPr>
        <w:pStyle w:val="BodyText"/>
      </w:pPr>
      <w:r>
        <w:t>Contingent liabilities are also classified as either quantifiable or non-quantifiable.</w:t>
      </w:r>
    </w:p>
    <w:tbl>
      <w:tblPr>
        <w:tblStyle w:val="AccessibleTableNumerical"/>
        <w:tblW w:w="5000" w:type="pct"/>
        <w:tblLook w:val="04A0" w:firstRow="1" w:lastRow="0" w:firstColumn="1" w:lastColumn="0" w:noHBand="0" w:noVBand="1"/>
      </w:tblPr>
      <w:tblGrid>
        <w:gridCol w:w="5953"/>
        <w:gridCol w:w="1845"/>
        <w:gridCol w:w="1841"/>
      </w:tblGrid>
      <w:tr w:rsidR="00417B1B" w:rsidRPr="00AE57A5" w14:paraId="02E414F2" w14:textId="77777777" w:rsidTr="005B70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8" w:type="pct"/>
          </w:tcPr>
          <w:p w14:paraId="3D2FB537" w14:textId="23205489" w:rsidR="00417B1B" w:rsidRPr="00AE57A5" w:rsidRDefault="00AE57A5" w:rsidP="00AE57A5">
            <w:pPr>
              <w:pStyle w:val="TableText"/>
            </w:pPr>
            <w:bookmarkStart w:id="448" w:name="ColumnTitle_89"/>
            <w:r w:rsidRPr="00AE57A5">
              <w:t xml:space="preserve">Contingent </w:t>
            </w:r>
            <w:r w:rsidR="00671FCB">
              <w:t>liabilities</w:t>
            </w:r>
          </w:p>
        </w:tc>
        <w:tc>
          <w:tcPr>
            <w:tcW w:w="957" w:type="pct"/>
            <w:vAlign w:val="bottom"/>
          </w:tcPr>
          <w:p w14:paraId="6A47D286" w14:textId="6A32C83C" w:rsidR="00417B1B" w:rsidRPr="00AE57A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AE57A5">
              <w:t>20</w:t>
            </w:r>
            <w:r w:rsidR="00671FCB">
              <w:t>20</w:t>
            </w:r>
            <w:r w:rsidRPr="00AE57A5">
              <w:br/>
              <w:t>$'000</w:t>
            </w:r>
          </w:p>
        </w:tc>
        <w:tc>
          <w:tcPr>
            <w:tcW w:w="955" w:type="pct"/>
            <w:vAlign w:val="bottom"/>
          </w:tcPr>
          <w:p w14:paraId="60644CD3" w14:textId="4B063989" w:rsidR="00417B1B" w:rsidRPr="00AE57A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AE57A5">
              <w:t>201</w:t>
            </w:r>
            <w:r w:rsidR="00671FCB">
              <w:t>9</w:t>
            </w:r>
            <w:r w:rsidRPr="00AE57A5">
              <w:br/>
              <w:t>$'000</w:t>
            </w:r>
          </w:p>
        </w:tc>
      </w:tr>
      <w:bookmarkEnd w:id="448"/>
      <w:tr w:rsidR="00417B1B" w:rsidRPr="00AE57A5" w14:paraId="1837AA93" w14:textId="77777777" w:rsidTr="005B700E">
        <w:tc>
          <w:tcPr>
            <w:cnfStyle w:val="001000000000" w:firstRow="0" w:lastRow="0" w:firstColumn="1" w:lastColumn="0" w:oddVBand="0" w:evenVBand="0" w:oddHBand="0" w:evenHBand="0" w:firstRowFirstColumn="0" w:firstRowLastColumn="0" w:lastRowFirstColumn="0" w:lastRowLastColumn="0"/>
            <w:tcW w:w="3088" w:type="pct"/>
          </w:tcPr>
          <w:p w14:paraId="5F251314" w14:textId="213F34AE" w:rsidR="00417B1B" w:rsidRPr="00AE57A5" w:rsidRDefault="00671FCB" w:rsidP="00AE57A5">
            <w:pPr>
              <w:pStyle w:val="TableText"/>
            </w:pPr>
            <w:r>
              <w:t>Liabilities pending the outcome of legal action</w:t>
            </w:r>
          </w:p>
        </w:tc>
        <w:tc>
          <w:tcPr>
            <w:tcW w:w="957" w:type="pct"/>
          </w:tcPr>
          <w:p w14:paraId="2C59DE9A" w14:textId="5A0A9126" w:rsidR="00417B1B" w:rsidRPr="00AE57A5"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595</w:t>
            </w:r>
          </w:p>
        </w:tc>
        <w:tc>
          <w:tcPr>
            <w:tcW w:w="955" w:type="pct"/>
          </w:tcPr>
          <w:p w14:paraId="0EBD88D9" w14:textId="5F14AB65" w:rsidR="00417B1B" w:rsidRPr="00AE57A5"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250</w:t>
            </w:r>
          </w:p>
        </w:tc>
      </w:tr>
      <w:tr w:rsidR="00671FCB" w:rsidRPr="00AE57A5" w14:paraId="58973433" w14:textId="77777777" w:rsidTr="005B700E">
        <w:tc>
          <w:tcPr>
            <w:cnfStyle w:val="001000000000" w:firstRow="0" w:lastRow="0" w:firstColumn="1" w:lastColumn="0" w:oddVBand="0" w:evenVBand="0" w:oddHBand="0" w:evenHBand="0" w:firstRowFirstColumn="0" w:firstRowLastColumn="0" w:lastRowFirstColumn="0" w:lastRowLastColumn="0"/>
            <w:tcW w:w="3088" w:type="pct"/>
          </w:tcPr>
          <w:p w14:paraId="336F3F94" w14:textId="5B37A763" w:rsidR="00671FCB" w:rsidRDefault="00671FCB" w:rsidP="00AE57A5">
            <w:pPr>
              <w:pStyle w:val="TableText"/>
            </w:pPr>
            <w:r>
              <w:t>Remediation of combustible aluminium composite panels</w:t>
            </w:r>
          </w:p>
        </w:tc>
        <w:tc>
          <w:tcPr>
            <w:tcW w:w="957" w:type="pct"/>
          </w:tcPr>
          <w:p w14:paraId="4DE6F266" w14:textId="666E7554" w:rsidR="00671FCB"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1,500</w:t>
            </w:r>
          </w:p>
        </w:tc>
        <w:tc>
          <w:tcPr>
            <w:tcW w:w="955" w:type="pct"/>
          </w:tcPr>
          <w:p w14:paraId="2FEE0088" w14:textId="717454B6" w:rsidR="00671FCB"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7,020</w:t>
            </w:r>
          </w:p>
        </w:tc>
      </w:tr>
      <w:tr w:rsidR="00671FCB" w:rsidRPr="00AE57A5" w14:paraId="76F79C34" w14:textId="77777777" w:rsidTr="00F1511A">
        <w:tc>
          <w:tcPr>
            <w:cnfStyle w:val="001000000000" w:firstRow="0" w:lastRow="0" w:firstColumn="1" w:lastColumn="0" w:oddVBand="0" w:evenVBand="0" w:oddHBand="0" w:evenHBand="0" w:firstRowFirstColumn="0" w:firstRowLastColumn="0" w:lastRowFirstColumn="0" w:lastRowLastColumn="0"/>
            <w:tcW w:w="3088" w:type="pct"/>
            <w:tcBorders>
              <w:bottom w:val="single" w:sz="4" w:space="0" w:color="auto"/>
            </w:tcBorders>
          </w:tcPr>
          <w:p w14:paraId="4CF2F198" w14:textId="5007843A" w:rsidR="00671FCB" w:rsidRDefault="00671FCB" w:rsidP="00AE57A5">
            <w:pPr>
              <w:pStyle w:val="TableText"/>
            </w:pPr>
            <w:r>
              <w:t>Make good requirements under leases of premises</w:t>
            </w:r>
          </w:p>
        </w:tc>
        <w:tc>
          <w:tcPr>
            <w:tcW w:w="957" w:type="pct"/>
            <w:tcBorders>
              <w:bottom w:val="single" w:sz="4" w:space="0" w:color="auto"/>
            </w:tcBorders>
          </w:tcPr>
          <w:p w14:paraId="1F2B40DE" w14:textId="7D7A2D2C" w:rsidR="00671FCB"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3,915</w:t>
            </w:r>
          </w:p>
        </w:tc>
        <w:tc>
          <w:tcPr>
            <w:tcW w:w="955" w:type="pct"/>
            <w:tcBorders>
              <w:bottom w:val="single" w:sz="4" w:space="0" w:color="auto"/>
            </w:tcBorders>
          </w:tcPr>
          <w:p w14:paraId="596446A9" w14:textId="6028A9E7" w:rsidR="00671FCB" w:rsidRDefault="00671FCB" w:rsidP="00AE57A5">
            <w:pPr>
              <w:pStyle w:val="TableText"/>
              <w:cnfStyle w:val="000000000000" w:firstRow="0" w:lastRow="0" w:firstColumn="0" w:lastColumn="0" w:oddVBand="0" w:evenVBand="0" w:oddHBand="0" w:evenHBand="0" w:firstRowFirstColumn="0" w:firstRowLastColumn="0" w:lastRowFirstColumn="0" w:lastRowLastColumn="0"/>
            </w:pPr>
            <w:r>
              <w:t>3,353</w:t>
            </w:r>
          </w:p>
        </w:tc>
      </w:tr>
      <w:tr w:rsidR="00417B1B" w:rsidRPr="00C0469D" w14:paraId="6CB139BE" w14:textId="77777777" w:rsidTr="00F1511A">
        <w:tc>
          <w:tcPr>
            <w:cnfStyle w:val="001000000000" w:firstRow="0" w:lastRow="0" w:firstColumn="1" w:lastColumn="0" w:oddVBand="0" w:evenVBand="0" w:oddHBand="0" w:evenHBand="0" w:firstRowFirstColumn="0" w:firstRowLastColumn="0" w:lastRowFirstColumn="0" w:lastRowLastColumn="0"/>
            <w:tcW w:w="3088" w:type="pct"/>
            <w:tcBorders>
              <w:top w:val="single" w:sz="4" w:space="0" w:color="auto"/>
              <w:bottom w:val="single" w:sz="4" w:space="0" w:color="auto"/>
            </w:tcBorders>
          </w:tcPr>
          <w:p w14:paraId="2A9796A8" w14:textId="6919BE62" w:rsidR="00417B1B" w:rsidRPr="00C0469D" w:rsidRDefault="00417B1B" w:rsidP="00AE57A5">
            <w:pPr>
              <w:pStyle w:val="TableText"/>
              <w:rPr>
                <w:rStyle w:val="Bold"/>
              </w:rPr>
            </w:pPr>
            <w:r w:rsidRPr="00C0469D">
              <w:rPr>
                <w:rStyle w:val="Bold"/>
              </w:rPr>
              <w:t xml:space="preserve">Total contingent </w:t>
            </w:r>
            <w:r w:rsidR="00671FCB">
              <w:rPr>
                <w:rStyle w:val="Bold"/>
              </w:rPr>
              <w:t>liabilities</w:t>
            </w:r>
          </w:p>
        </w:tc>
        <w:tc>
          <w:tcPr>
            <w:tcW w:w="957" w:type="pct"/>
            <w:tcBorders>
              <w:top w:val="single" w:sz="4" w:space="0" w:color="auto"/>
              <w:bottom w:val="single" w:sz="4" w:space="0" w:color="auto"/>
            </w:tcBorders>
          </w:tcPr>
          <w:p w14:paraId="147B68ED" w14:textId="3BFEFC36" w:rsidR="00417B1B" w:rsidRPr="00C0469D" w:rsidRDefault="00671FCB"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6,010</w:t>
            </w:r>
          </w:p>
        </w:tc>
        <w:tc>
          <w:tcPr>
            <w:tcW w:w="955" w:type="pct"/>
            <w:tcBorders>
              <w:top w:val="single" w:sz="4" w:space="0" w:color="auto"/>
              <w:bottom w:val="single" w:sz="4" w:space="0" w:color="auto"/>
            </w:tcBorders>
          </w:tcPr>
          <w:p w14:paraId="5D7500EC" w14:textId="0D7F9166" w:rsidR="00417B1B" w:rsidRPr="00C0469D" w:rsidRDefault="00671FCB" w:rsidP="00AE57A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10,623</w:t>
            </w:r>
          </w:p>
        </w:tc>
      </w:tr>
    </w:tbl>
    <w:p w14:paraId="536CC30D" w14:textId="2403E9FA" w:rsidR="00671FCB" w:rsidRDefault="009B1462" w:rsidP="00671FCB">
      <w:pPr>
        <w:pStyle w:val="BodyText"/>
      </w:pPr>
      <w:r>
        <w:t>Court Services Victoria</w:t>
      </w:r>
      <w:r w:rsidR="00671FCB">
        <w:t xml:space="preserve"> has received information from Department of Environment, Land, Water and Planning (DELWP) regarding the risk arising from the use of combustible aluminium composite panels in seven </w:t>
      </w:r>
      <w:r>
        <w:t>Court Services Victoria</w:t>
      </w:r>
      <w:r w:rsidR="00671FCB">
        <w:t xml:space="preserve"> owned buildings. During 2019-20 audits of these building determined that the majority were of low risk and removed from the program for rectification. The current estimated cost of remediation ($1.5m), which is based on that information, may increase or decrease as the nature and extent of remediation is determined. </w:t>
      </w:r>
      <w:r>
        <w:t>Court Services Victoria</w:t>
      </w:r>
      <w:r w:rsidR="00671FCB">
        <w:t xml:space="preserve"> expects funding will be provided to meet the cost of remediation. This funding has not been reflected in the estimated cost of remediation.</w:t>
      </w:r>
    </w:p>
    <w:p w14:paraId="6AEFFF70" w14:textId="7108D83E" w:rsidR="00671FCB" w:rsidRDefault="009B1462" w:rsidP="00671FCB">
      <w:pPr>
        <w:pStyle w:val="BodyText"/>
      </w:pPr>
      <w:r>
        <w:t>Court Services Victoria</w:t>
      </w:r>
      <w:r w:rsidR="00671FCB" w:rsidRPr="00A26029">
        <w:t>’s ‘make good’ obligations under leases of premises comprise:</w:t>
      </w:r>
    </w:p>
    <w:p w14:paraId="14FD34A5" w14:textId="2EBE814E" w:rsidR="00671FCB" w:rsidRDefault="00671FCB" w:rsidP="00F110E7">
      <w:pPr>
        <w:pStyle w:val="ListNumber"/>
        <w:numPr>
          <w:ilvl w:val="0"/>
          <w:numId w:val="33"/>
        </w:numPr>
      </w:pPr>
      <w:r>
        <w:t xml:space="preserve">The removal of leasehold improvements and the return of the premises to a “warm shell” state which might require the installation of new carpet, repair of ceilings and reinstating air-conditioner. </w:t>
      </w:r>
      <w:r w:rsidR="009B1462">
        <w:t>Court Services Victoria</w:t>
      </w:r>
      <w:r>
        <w:t xml:space="preserve"> has recognised a make good provision of $0.16 million (2019: $0.34 million) on the Balance Sheet in respect of these costs.</w:t>
      </w:r>
    </w:p>
    <w:p w14:paraId="433BEB0F" w14:textId="2C086087" w:rsidR="00A9256E" w:rsidRDefault="00A9256E" w:rsidP="00F110E7">
      <w:pPr>
        <w:pStyle w:val="ListNumber"/>
        <w:numPr>
          <w:ilvl w:val="0"/>
          <w:numId w:val="33"/>
        </w:numPr>
      </w:pPr>
      <w:r>
        <w:t>T</w:t>
      </w:r>
      <w:r w:rsidR="00671FCB">
        <w:t xml:space="preserve">he repair of any damage (other than damage attributed to fair wear and tear) and the removal of any chattels and other loose items from the tenancy. These obligations will only be confirmed on termination of the lease and following negotiations with the lessor. The quantified contingent liability of $3.90 million (2019: $3.35 million) is the estimated maximum amount </w:t>
      </w:r>
      <w:r w:rsidR="009B1462">
        <w:t>Court Services Victoria</w:t>
      </w:r>
      <w:r w:rsidR="00671FCB">
        <w:t xml:space="preserve"> might incur in meeting those obligations.</w:t>
      </w:r>
    </w:p>
    <w:p w14:paraId="2D2C55E0" w14:textId="7FF3B38B" w:rsidR="00671FCB" w:rsidRDefault="00671FCB" w:rsidP="00A9256E">
      <w:pPr>
        <w:pStyle w:val="BodyText"/>
      </w:pPr>
      <w:r>
        <w:t>Contingent liabilities are also classified as either quantifiable or non-quantifiable.</w:t>
      </w:r>
    </w:p>
    <w:p w14:paraId="79221127" w14:textId="0E9AEFF5" w:rsidR="00671FCB" w:rsidRDefault="00FF2FD4" w:rsidP="00FF2FD4">
      <w:pPr>
        <w:pStyle w:val="Heading4"/>
      </w:pPr>
      <w:r>
        <w:t>Non-Quantifiable Contingent Liabilities</w:t>
      </w:r>
    </w:p>
    <w:p w14:paraId="2F1ED5F3" w14:textId="3BAD8CAD" w:rsidR="00671FCB" w:rsidRDefault="009B1462" w:rsidP="00671FCB">
      <w:pPr>
        <w:pStyle w:val="BodyText"/>
      </w:pPr>
      <w:r>
        <w:t>Court Services Victoria</w:t>
      </w:r>
      <w:r w:rsidR="00671FCB">
        <w:t xml:space="preserve"> has no non-quantifiable contingent liabilities arising at this time from:</w:t>
      </w:r>
    </w:p>
    <w:p w14:paraId="2ECD5A97" w14:textId="3369C105" w:rsidR="00671FCB" w:rsidRDefault="00671FCB" w:rsidP="00B96918">
      <w:pPr>
        <w:pStyle w:val="ListBullet"/>
      </w:pPr>
      <w:r>
        <w:t xml:space="preserve">indemnities provided in relation to transactions, including financial arrangements and consultancy services, as well as for directors and </w:t>
      </w:r>
      <w:proofErr w:type="gramStart"/>
      <w:r>
        <w:t>administrators;</w:t>
      </w:r>
      <w:proofErr w:type="gramEnd"/>
    </w:p>
    <w:p w14:paraId="370351D1" w14:textId="2612850F" w:rsidR="00671FCB" w:rsidRDefault="00671FCB" w:rsidP="00B96918">
      <w:pPr>
        <w:pStyle w:val="ListBullet"/>
      </w:pPr>
      <w:r>
        <w:t xml:space="preserve">performance guarantees, warranties, letters of comfort and the </w:t>
      </w:r>
      <w:proofErr w:type="gramStart"/>
      <w:r>
        <w:t>like;</w:t>
      </w:r>
      <w:proofErr w:type="gramEnd"/>
    </w:p>
    <w:p w14:paraId="15669B8A" w14:textId="58592FD3" w:rsidR="00671FCB" w:rsidRDefault="00671FCB" w:rsidP="00FF2FD4">
      <w:pPr>
        <w:pStyle w:val="ListBullet"/>
      </w:pPr>
      <w:r>
        <w:t>deeds in respect of certain obligations; and</w:t>
      </w:r>
    </w:p>
    <w:p w14:paraId="7FB88F5E" w14:textId="2C4D1BD0" w:rsidR="00671FCB" w:rsidRDefault="00671FCB" w:rsidP="00B96918">
      <w:pPr>
        <w:pStyle w:val="ListBullet"/>
      </w:pPr>
      <w:r>
        <w:t>unclaimed monies, which may be subject to future claims by the general public against the State.</w:t>
      </w:r>
    </w:p>
    <w:p w14:paraId="55881F2C" w14:textId="77777777" w:rsidR="00417B1B" w:rsidRDefault="00417B1B" w:rsidP="00417B1B">
      <w:pPr>
        <w:pStyle w:val="Heading3"/>
      </w:pPr>
      <w:bookmarkStart w:id="449" w:name="Note83"/>
      <w:bookmarkStart w:id="450" w:name="_Ref22653482"/>
      <w:bookmarkStart w:id="451" w:name="_Toc62808172"/>
      <w:r>
        <w:t xml:space="preserve">8.3 </w:t>
      </w:r>
      <w:bookmarkEnd w:id="449"/>
      <w:r>
        <w:t>Fair Value Determination</w:t>
      </w:r>
      <w:bookmarkEnd w:id="450"/>
      <w:bookmarkEnd w:id="451"/>
    </w:p>
    <w:p w14:paraId="6220BE7D" w14:textId="1423ED92" w:rsidR="00417B1B" w:rsidRDefault="00417B1B" w:rsidP="00417B1B">
      <w:pPr>
        <w:pStyle w:val="Heading4"/>
      </w:pPr>
      <w:r>
        <w:t xml:space="preserve">Significant Judgement: Fair Value Measurements </w:t>
      </w:r>
      <w:r w:rsidR="00172429">
        <w:t>of</w:t>
      </w:r>
      <w:r>
        <w:t xml:space="preserve"> Assets </w:t>
      </w:r>
      <w:r w:rsidR="00D45E5B">
        <w:t xml:space="preserve">and </w:t>
      </w:r>
      <w:r>
        <w:t>Liabilities</w:t>
      </w:r>
    </w:p>
    <w:p w14:paraId="21D3350A" w14:textId="2AB5BACC" w:rsidR="00B96918" w:rsidRDefault="00B96918" w:rsidP="00B96918">
      <w:pPr>
        <w:pStyle w:val="BodyText"/>
      </w:pPr>
      <w:r>
        <w:t xml:space="preserve">Fair value determination requires judgement and the use of assumptions. This section discloses the most significant assumptions used in determining fair values. Changes to assumptions could have a material impact on the results and financial position of </w:t>
      </w:r>
      <w:r w:rsidR="009B1462">
        <w:t>Court Services Victoria</w:t>
      </w:r>
      <w:r>
        <w:t>.</w:t>
      </w:r>
    </w:p>
    <w:p w14:paraId="7C24CE91" w14:textId="64FCA365" w:rsidR="00B96918" w:rsidRDefault="00B96918" w:rsidP="00B96918">
      <w:pPr>
        <w:pStyle w:val="BodyText"/>
      </w:pPr>
      <w:r>
        <w:t xml:space="preserve">This section sets out information on how </w:t>
      </w:r>
      <w:r w:rsidR="009B1462">
        <w:t>Court Services Victoria</w:t>
      </w:r>
      <w:r>
        <w:t xml:space="preserve"> determined fair value for financial reporting purposes. Fair value is the price that would be received to sell an asset or paid to transfer a liability in an orderly transaction between market participants at the measurement date.</w:t>
      </w:r>
    </w:p>
    <w:p w14:paraId="734A5197" w14:textId="74E81C99" w:rsidR="00B96918" w:rsidRDefault="00B96918" w:rsidP="00B96918">
      <w:pPr>
        <w:pStyle w:val="BodyText"/>
      </w:pPr>
      <w:r>
        <w:t>The following assets and liabilities are carried at fair value:</w:t>
      </w:r>
    </w:p>
    <w:p w14:paraId="137D423B" w14:textId="2F12F976" w:rsidR="00B96918" w:rsidRDefault="00B96918" w:rsidP="00B96918">
      <w:pPr>
        <w:pStyle w:val="ListBullet"/>
      </w:pPr>
      <w:r>
        <w:t xml:space="preserve">Financial assets and liabilities at fair value through operating </w:t>
      </w:r>
      <w:proofErr w:type="gramStart"/>
      <w:r>
        <w:t>result;</w:t>
      </w:r>
      <w:proofErr w:type="gramEnd"/>
    </w:p>
    <w:p w14:paraId="47628B21" w14:textId="7599BA98" w:rsidR="00B96918" w:rsidRDefault="00B96918" w:rsidP="00B96918">
      <w:pPr>
        <w:pStyle w:val="ListBullet"/>
      </w:pPr>
      <w:r>
        <w:t>Available for sale financial assets; and</w:t>
      </w:r>
    </w:p>
    <w:p w14:paraId="2A804595" w14:textId="500A0187" w:rsidR="00B96918" w:rsidRDefault="00B96918" w:rsidP="00B96918">
      <w:pPr>
        <w:pStyle w:val="ListBullet"/>
      </w:pPr>
      <w:r>
        <w:t>Land, buildings, plant and equipment.</w:t>
      </w:r>
    </w:p>
    <w:p w14:paraId="1B02638D" w14:textId="0B6BCBC8" w:rsidR="00B96918" w:rsidRDefault="009B1462" w:rsidP="00B96918">
      <w:pPr>
        <w:pStyle w:val="BodyText"/>
      </w:pPr>
      <w:r>
        <w:t>Court Services Victoria</w:t>
      </w:r>
      <w:r w:rsidR="00B96918">
        <w:t xml:space="preserve"> determines the policies and procedures for determining fair values for both financial and non-financial assets and liabilities as required.</w:t>
      </w:r>
    </w:p>
    <w:p w14:paraId="45B1CDF2" w14:textId="54CE06A4" w:rsidR="00B96918" w:rsidRDefault="00B96918" w:rsidP="00B96918">
      <w:pPr>
        <w:pStyle w:val="Heading4"/>
      </w:pPr>
      <w:r>
        <w:t>Fair Value Hierarchy</w:t>
      </w:r>
    </w:p>
    <w:p w14:paraId="5732D4E9" w14:textId="7875A0EF" w:rsidR="00B96918" w:rsidRDefault="00B96918" w:rsidP="00B96918">
      <w:pPr>
        <w:pStyle w:val="BodyText"/>
      </w:pPr>
      <w:r>
        <w:t>In determining fair values, a number of inputs are used. To increase consistency and comparability in the financial statements, these inputs are categorised into three levels, also known as the fair value hierarchy. The levels are as follows:</w:t>
      </w:r>
    </w:p>
    <w:p w14:paraId="3FB863C8" w14:textId="7A7DCBA4" w:rsidR="00B96918" w:rsidRDefault="00B96918" w:rsidP="00B96918">
      <w:pPr>
        <w:pStyle w:val="ListBullet"/>
      </w:pPr>
      <w:r>
        <w:t xml:space="preserve">Level 1 – Quoted (unadjusted) market prices in active markets for identical assets or </w:t>
      </w:r>
      <w:proofErr w:type="gramStart"/>
      <w:r>
        <w:t>liabilities;</w:t>
      </w:r>
      <w:proofErr w:type="gramEnd"/>
    </w:p>
    <w:p w14:paraId="7DFD64BD" w14:textId="4F3D3C66" w:rsidR="00B96918" w:rsidRDefault="00B96918" w:rsidP="00B96918">
      <w:pPr>
        <w:pStyle w:val="ListBullet"/>
      </w:pPr>
      <w:r>
        <w:t>Level 2 – Valuation techniques for which the lowest level input that is significant to the fair value measurement is directly or indirectly observable; and</w:t>
      </w:r>
    </w:p>
    <w:p w14:paraId="1E285F3C" w14:textId="29BF85E2" w:rsidR="00B96918" w:rsidRDefault="00B96918" w:rsidP="00B96918">
      <w:pPr>
        <w:pStyle w:val="ListBullet"/>
      </w:pPr>
      <w:r>
        <w:t>Level 3 – Valuation techniques for which the lowest level input that is significant to the fair value measurement is unobservable.</w:t>
      </w:r>
    </w:p>
    <w:p w14:paraId="28FE753D" w14:textId="53A9A5D9" w:rsidR="00B96918" w:rsidRDefault="009B1462" w:rsidP="00B96918">
      <w:pPr>
        <w:pStyle w:val="BodyText"/>
      </w:pPr>
      <w:r>
        <w:t>Court Services Victoria</w:t>
      </w:r>
      <w:r w:rsidR="00B96918">
        <w:t xml:space="preserve"> determines whether transfers have occurred between levels in the hierarchy by reassessing categorisation (based on the lowest level input that is significant to the fair value measurement as a whole) at the end of each reporting period.</w:t>
      </w:r>
    </w:p>
    <w:p w14:paraId="2336986E" w14:textId="5CE746B2" w:rsidR="00CB36F4" w:rsidRDefault="00CB36F4" w:rsidP="00CB36F4">
      <w:pPr>
        <w:pStyle w:val="Heading4"/>
      </w:pPr>
      <w:r>
        <w:t>How this Section is Structured</w:t>
      </w:r>
    </w:p>
    <w:p w14:paraId="53016CC9" w14:textId="69603964" w:rsidR="00CB36F4" w:rsidRDefault="00CB36F4" w:rsidP="00CB36F4">
      <w:pPr>
        <w:pStyle w:val="BodyText"/>
      </w:pPr>
      <w:r>
        <w:t>For those assets and liabilities for which fair values are determined, the following disclosures are provided:</w:t>
      </w:r>
    </w:p>
    <w:p w14:paraId="2CE47FB2" w14:textId="423CDA3A" w:rsidR="00CB36F4" w:rsidRDefault="00CB36F4" w:rsidP="00EA276F">
      <w:pPr>
        <w:pStyle w:val="ListBullet"/>
      </w:pPr>
      <w:r>
        <w:t>carrying amount and the fair value (which would be the same for those assets measured at fair value</w:t>
      </w:r>
      <w:proofErr w:type="gramStart"/>
      <w:r>
        <w:t>);</w:t>
      </w:r>
      <w:proofErr w:type="gramEnd"/>
    </w:p>
    <w:p w14:paraId="0700BD42" w14:textId="60F011BD" w:rsidR="00CB36F4" w:rsidRDefault="00CB36F4" w:rsidP="00EA276F">
      <w:pPr>
        <w:pStyle w:val="ListBullet"/>
      </w:pPr>
      <w:r>
        <w:t>the level of the fair value hierarchy that was used to determine the fair value; and</w:t>
      </w:r>
    </w:p>
    <w:p w14:paraId="59286757" w14:textId="2EF81159" w:rsidR="00CB36F4" w:rsidRDefault="00CB36F4" w:rsidP="00EA276F">
      <w:pPr>
        <w:pStyle w:val="ListBullet"/>
      </w:pPr>
      <w:r>
        <w:t>in respect of those assets and liabilities subject to fair value determination using Level 3 inputs:</w:t>
      </w:r>
    </w:p>
    <w:p w14:paraId="70D190C1" w14:textId="75BFBE5F" w:rsidR="00CB36F4" w:rsidRDefault="00CB36F4" w:rsidP="00EA276F">
      <w:pPr>
        <w:pStyle w:val="ListBullet2"/>
      </w:pPr>
      <w:r>
        <w:t>a reconciliation of the movements in fair values from the beginning of the year to the end; and</w:t>
      </w:r>
    </w:p>
    <w:p w14:paraId="4FE7B7D1" w14:textId="64B1F69F" w:rsidR="00CB36F4" w:rsidRDefault="00CB36F4" w:rsidP="00EA276F">
      <w:pPr>
        <w:pStyle w:val="ListBullet2"/>
      </w:pPr>
      <w:r>
        <w:t>details of significant unobservable inputs used in the fair value determination.</w:t>
      </w:r>
    </w:p>
    <w:p w14:paraId="05F59B03" w14:textId="78FE1BE3" w:rsidR="00CB36F4" w:rsidRDefault="00CB36F4" w:rsidP="00CB36F4">
      <w:pPr>
        <w:pStyle w:val="Heading4"/>
      </w:pPr>
      <w:r>
        <w:t>8.3.1</w:t>
      </w:r>
      <w:r w:rsidR="00092296">
        <w:tab/>
      </w:r>
      <w:r>
        <w:t>Fair Value Determination of Financial Assets and Liabilities</w:t>
      </w:r>
    </w:p>
    <w:p w14:paraId="522D1779" w14:textId="67FC2C6A" w:rsidR="00CB36F4" w:rsidRDefault="00CB36F4" w:rsidP="00CB36F4">
      <w:pPr>
        <w:pStyle w:val="BodyText"/>
      </w:pPr>
      <w:r>
        <w:t>The fair values and net fair values of financial assets and liabilities are determined using Level 3 valuation techniques. This involves the determination of fair value in accordance with generally accepted accounting pricing models based on discounted cash flow analysis using unobservable market inputs.</w:t>
      </w:r>
    </w:p>
    <w:p w14:paraId="673664B0" w14:textId="3F461A6B" w:rsidR="00CB36F4" w:rsidRDefault="009B1462" w:rsidP="00CB36F4">
      <w:pPr>
        <w:pStyle w:val="BodyText"/>
      </w:pPr>
      <w:r>
        <w:t>Court Services Victoria</w:t>
      </w:r>
      <w:r w:rsidR="00CB36F4">
        <w:t xml:space="preserve"> currently holds a range of financial instruments that are recorded in the financial statements where the carrying amounts are a reasonable approximation of fair value, either due to their short-term nature or with the expectation that they will be paid in full by the end of the 2019-20 reporting period.</w:t>
      </w:r>
    </w:p>
    <w:p w14:paraId="1AE59D39" w14:textId="77777777" w:rsidR="00417B1B" w:rsidRDefault="00417B1B" w:rsidP="00417B1B">
      <w:pPr>
        <w:pStyle w:val="Heading4"/>
      </w:pPr>
      <w:bookmarkStart w:id="452" w:name="Note832"/>
      <w:bookmarkEnd w:id="452"/>
      <w:r>
        <w:t>8.3.2</w:t>
      </w:r>
      <w:r>
        <w:tab/>
        <w:t>Fair Value Determination: Non</w:t>
      </w:r>
      <w:r>
        <w:rPr>
          <w:rFonts w:ascii="MS Gothic" w:hAnsi="MS Gothic" w:cs="MS Gothic"/>
        </w:rPr>
        <w:t>‑</w:t>
      </w:r>
      <w:r>
        <w:t>Financial Physical Assets</w:t>
      </w:r>
    </w:p>
    <w:p w14:paraId="75CD5D5C" w14:textId="77777777" w:rsidR="00417B1B" w:rsidRDefault="00417B1B" w:rsidP="00934E45">
      <w:pPr>
        <w:pStyle w:val="Heading5"/>
      </w:pPr>
      <w:r>
        <w:t>Fair Value Measurement Hierarchy</w:t>
      </w:r>
    </w:p>
    <w:p w14:paraId="602BB494" w14:textId="11803209" w:rsidR="00CB36F4" w:rsidRDefault="009B1462" w:rsidP="00CB36F4">
      <w:pPr>
        <w:pStyle w:val="BodyText"/>
      </w:pPr>
      <w:r>
        <w:t>Court Services Victoria</w:t>
      </w:r>
      <w:r w:rsidR="00CB36F4">
        <w:t xml:space="preserve"> has applied Level 3 of the fair value hierarchy to determine the non-financial physical assets valuation which is consistent with the previous financial year. There were no changes in valuation techniques throughout the period to 30 June 2020. For all assets measured at fair value, the current use is considered the highest and best use. Movements in Level 3 fair values of non-financial physical assets are shown at </w:t>
      </w:r>
      <w:hyperlink w:anchor="Note513" w:history="1">
        <w:r w:rsidR="00B85F52" w:rsidRPr="00B85F52">
          <w:t>Note 5.1.3</w:t>
        </w:r>
      </w:hyperlink>
      <w:r w:rsidR="00CB36F4">
        <w:t>.</w:t>
      </w:r>
    </w:p>
    <w:p w14:paraId="266C861A" w14:textId="340F5B88" w:rsidR="00CB36F4" w:rsidRDefault="00CB36F4" w:rsidP="00CB36F4">
      <w:pPr>
        <w:pStyle w:val="BodyText"/>
      </w:pPr>
      <w:r>
        <w:t xml:space="preserve">There are uncertainties inherent in the land and building indices in the COVID-19 environment. They are however the best available indicator of the change in value in </w:t>
      </w:r>
      <w:r w:rsidR="009B1462">
        <w:t>Court Services Victoria</w:t>
      </w:r>
      <w:r>
        <w:t xml:space="preserve"> assets </w:t>
      </w:r>
      <w:proofErr w:type="gramStart"/>
      <w:r>
        <w:t>at</w:t>
      </w:r>
      <w:proofErr w:type="gramEnd"/>
      <w:r>
        <w:t xml:space="preserve"> June 30, 2020. Whilst it is difficult to estimate with a degree of certainty the resulting impact (financial and operational) the pandemic will have on </w:t>
      </w:r>
      <w:r w:rsidR="009B1462">
        <w:t>Court Services Victoria</w:t>
      </w:r>
      <w:r>
        <w:t xml:space="preserve">, its operations, its future results and financial position, </w:t>
      </w:r>
      <w:r w:rsidR="009B1462">
        <w:t>Court Services Victoria</w:t>
      </w:r>
      <w:r>
        <w:t xml:space="preserve"> does not expect pandemic to have a material impact on the </w:t>
      </w:r>
      <w:r w:rsidR="009B1462">
        <w:t>Court Services Victoria</w:t>
      </w:r>
      <w:r>
        <w:t xml:space="preserve">’s future results and financial position. As required by FRD 103H, </w:t>
      </w:r>
      <w:r w:rsidR="009B1462">
        <w:t>Court Services Victoria</w:t>
      </w:r>
      <w:r>
        <w:t xml:space="preserve"> will be undertaking its 5-yearly independent valuation of non-financial physical assets during 2020-21 which will assist in the identification of any impacts on </w:t>
      </w:r>
      <w:r w:rsidR="009B1462">
        <w:t>Court Services Victoria</w:t>
      </w:r>
      <w:r>
        <w:t>’s future results and financial position.</w:t>
      </w:r>
    </w:p>
    <w:p w14:paraId="049AABA4" w14:textId="29A0D5F9" w:rsidR="00CB36F4" w:rsidRDefault="00CB36F4" w:rsidP="00CB36F4">
      <w:pPr>
        <w:pStyle w:val="BodyText"/>
      </w:pPr>
      <w:r>
        <w:t>Specialised land and specialised buildings:</w:t>
      </w:r>
      <w:r w:rsidR="00934E45">
        <w:t xml:space="preserve"> </w:t>
      </w:r>
      <w:r>
        <w:t xml:space="preserve">The market approach is a used for specialised land, although it is adjusted for the community service obligation (CSO) to reflect the specialised nature of the land being valued. </w:t>
      </w:r>
    </w:p>
    <w:p w14:paraId="01D4EFF8" w14:textId="65EE871F" w:rsidR="00CB36F4" w:rsidRDefault="00CB36F4" w:rsidP="00CB36F4">
      <w:pPr>
        <w:pStyle w:val="BodyText"/>
      </w:pPr>
      <w:r>
        <w:t xml:space="preserve">The CSO adjustment is a reflection of the valuer’s assessment of the impact of restrictions associated with an asset to the extent that is also equally applicable to market participants. This approach is in light of the highest and best use consideration required for fair value </w:t>
      </w:r>
      <w:proofErr w:type="gramStart"/>
      <w:r>
        <w:t>measurement, and</w:t>
      </w:r>
      <w:proofErr w:type="gramEnd"/>
      <w:r>
        <w:t xml:space="preserve"> takes into account the use of the asset that is physically possible, legally permissible, and financially feasible. As adjustments of CSO are considered significant unobservable inputs, specialised land would be classified as Level 3 assets.</w:t>
      </w:r>
    </w:p>
    <w:p w14:paraId="2E6E9671" w14:textId="0072E133" w:rsidR="00CB36F4" w:rsidRDefault="00CB36F4" w:rsidP="00CB36F4">
      <w:pPr>
        <w:pStyle w:val="BodyText"/>
      </w:pPr>
      <w:r>
        <w:t xml:space="preserve">For the majority of </w:t>
      </w:r>
      <w:r w:rsidR="009B1462">
        <w:t>Court Services Victoria</w:t>
      </w:r>
      <w:r>
        <w:t>’s specialised buildings, the current replacement cost method is used, adjusting for the associated depreciation. As depreciation adjustments are considered significant, unobservable inputs in nature, specialised buildings are classified as Level 3 fair value measurements.</w:t>
      </w:r>
    </w:p>
    <w:p w14:paraId="0F87D773" w14:textId="00F00C1C" w:rsidR="00CB36F4" w:rsidRDefault="00CB36F4" w:rsidP="00CB36F4">
      <w:pPr>
        <w:pStyle w:val="BodyText"/>
      </w:pPr>
      <w:r>
        <w:t xml:space="preserve">An independent valuation of </w:t>
      </w:r>
      <w:r w:rsidR="009B1462">
        <w:t>Court Services Victoria</w:t>
      </w:r>
      <w:r>
        <w:t>’s specialised land and specialised buildings was performed by the Valuer-General of Victoria using the market approach adjusted for CSO effective 30 June 2016.</w:t>
      </w:r>
    </w:p>
    <w:p w14:paraId="1552C74C" w14:textId="5BEE2CB2" w:rsidR="00CB36F4" w:rsidRDefault="00CB36F4" w:rsidP="00CB36F4">
      <w:pPr>
        <w:pStyle w:val="BodyText"/>
      </w:pPr>
      <w:r>
        <w:t xml:space="preserve">In accordance with FRD 103H, </w:t>
      </w:r>
      <w:r w:rsidR="009B1462">
        <w:t>Court Services Victoria</w:t>
      </w:r>
      <w:r>
        <w:t xml:space="preserve"> has reviewed the difference between the fair value and the carrying amount of all categories of assets based on the Valuer-General of Victoria indices for 2019-20 (as </w:t>
      </w:r>
      <w:proofErr w:type="gramStart"/>
      <w:r>
        <w:t>at</w:t>
      </w:r>
      <w:proofErr w:type="gramEnd"/>
      <w:r>
        <w:t xml:space="preserve"> 30 June 2020). Since the last managerial revaluation, the review indicates that during the year ended 30 June 2020:</w:t>
      </w:r>
    </w:p>
    <w:p w14:paraId="1C999204" w14:textId="1B328677" w:rsidR="00CB36F4" w:rsidRDefault="00CB36F4" w:rsidP="00EA276F">
      <w:pPr>
        <w:pStyle w:val="ListBullet"/>
      </w:pPr>
      <w:r>
        <w:t>The movement in the fair value of specialised buildings is not material and therefore no adjustment to the assets carrying value is required.</w:t>
      </w:r>
    </w:p>
    <w:p w14:paraId="57ADEE5A" w14:textId="5F5281F2" w:rsidR="00CB36F4" w:rsidRDefault="00CB36F4" w:rsidP="00EA276F">
      <w:pPr>
        <w:pStyle w:val="ListBullet"/>
      </w:pPr>
      <w:r>
        <w:t>The movement in the fair value of specialised land is material and therefore an adjustment to the assets carrying value is required. An increase in the physical assets revaluation surplus of $44.3 million has therefore been recognised.</w:t>
      </w:r>
    </w:p>
    <w:p w14:paraId="2934B35D" w14:textId="70CA26CA" w:rsidR="00CB36F4" w:rsidRDefault="00CB36F4" w:rsidP="00CB36F4">
      <w:pPr>
        <w:pStyle w:val="BodyText"/>
      </w:pPr>
      <w:r>
        <w:t xml:space="preserve">Leasehold buildings are valued using the current replacement value. An Independent valuation of </w:t>
      </w:r>
      <w:r w:rsidR="009B1462">
        <w:t>Court Services Victoria</w:t>
      </w:r>
      <w:r>
        <w:t xml:space="preserve"> leasehold buildings was performed by the Valuer-General Victoria as </w:t>
      </w:r>
      <w:proofErr w:type="gramStart"/>
      <w:r>
        <w:t>at</w:t>
      </w:r>
      <w:proofErr w:type="gramEnd"/>
      <w:r>
        <w:t xml:space="preserve"> 30 June 2016. In light of the COVID-19 Pandemic </w:t>
      </w:r>
      <w:r w:rsidR="009B1462">
        <w:t>Court Services Victoria</w:t>
      </w:r>
      <w:r>
        <w:t xml:space="preserve"> reviewed its leases and determined that no rent relief has been received or is expected.</w:t>
      </w:r>
    </w:p>
    <w:p w14:paraId="56032713" w14:textId="0C0A7CD0" w:rsidR="00CB36F4" w:rsidRDefault="00CB36F4" w:rsidP="00CB36F4">
      <w:pPr>
        <w:pStyle w:val="BodyText"/>
      </w:pPr>
      <w:r>
        <w:t xml:space="preserve">Heritage assets: </w:t>
      </w:r>
      <w:r w:rsidR="009B1462">
        <w:t>Court Services Victoria</w:t>
      </w:r>
      <w:r>
        <w:t xml:space="preserve"> holds heritage assets with a carrying value of $104.7 million. These heritage assets can neither be modified or not disposed of without formal ministerial approval. Heritage assets are valued using the current replacement cost method. This cost generally represents the replacement cost of the building/component after applying depreciation rates on a useful life basis. However, for some heritage and iconic assets, the cost may be the reproduction cost rather than the replacement cost if those assets’ service potential could only be replaced by reproducing them with the same materials.</w:t>
      </w:r>
    </w:p>
    <w:p w14:paraId="6C55F89C" w14:textId="0CFAB23C" w:rsidR="00CB36F4" w:rsidRDefault="00CB36F4" w:rsidP="00CB36F4">
      <w:pPr>
        <w:pStyle w:val="BodyText"/>
      </w:pPr>
      <w:r>
        <w:t>Where it has not been possible to examine hidden works such as structural frames and floors, the use of reasonable materials and methods of construction have been assumed bearing in mind the age and nature of the building. The estimated cost of reconstruction including structure services and finishes, also factors in any heritage classifications as applicable.</w:t>
      </w:r>
    </w:p>
    <w:p w14:paraId="680052E3" w14:textId="338F086B" w:rsidR="00CB36F4" w:rsidRDefault="00CB36F4" w:rsidP="00CB36F4">
      <w:pPr>
        <w:pStyle w:val="BodyText"/>
      </w:pPr>
      <w:r>
        <w:t xml:space="preserve">An independent valuation of </w:t>
      </w:r>
      <w:r w:rsidR="009B1462">
        <w:t>Court Services Victoria</w:t>
      </w:r>
      <w:r>
        <w:t>’s heritage assets was performed by the Valuer-General of Victoria. The valuation was performed based on the depreciated replacement cost of the assets. The effective date of the valuation is 30 June 2016.</w:t>
      </w:r>
    </w:p>
    <w:p w14:paraId="2D3311E8" w14:textId="4728BF2A" w:rsidR="00CB36F4" w:rsidRDefault="00CB36F4" w:rsidP="00CB36F4">
      <w:pPr>
        <w:pStyle w:val="BodyText"/>
      </w:pPr>
      <w:r>
        <w:t xml:space="preserve">Vehicles are valued using the current replacement cost method. </w:t>
      </w:r>
      <w:r w:rsidR="009B1462">
        <w:t>Court Services Victoria</w:t>
      </w:r>
      <w:r>
        <w:t xml:space="preserve"> acquires new vehicles and at times disposes of them before the end of their economic life. </w:t>
      </w:r>
      <w:proofErr w:type="gramStart"/>
      <w:r>
        <w:t>The process of acquisition,</w:t>
      </w:r>
      <w:proofErr w:type="gramEnd"/>
      <w:r>
        <w:t xml:space="preserve"> use and disposal in the market is managed by </w:t>
      </w:r>
      <w:proofErr w:type="spellStart"/>
      <w:r>
        <w:t>VicFleet</w:t>
      </w:r>
      <w:proofErr w:type="spellEnd"/>
      <w:r>
        <w:t xml:space="preserve"> who set relevant depreciation rates during use to reflect the utilisation of the vehicles.</w:t>
      </w:r>
    </w:p>
    <w:p w14:paraId="614E09AF" w14:textId="43672607" w:rsidR="00CB36F4" w:rsidRDefault="00CB36F4" w:rsidP="00CB36F4">
      <w:pPr>
        <w:pStyle w:val="BodyText"/>
      </w:pPr>
      <w:r>
        <w:t xml:space="preserve">Plant and equipment </w:t>
      </w:r>
      <w:proofErr w:type="gramStart"/>
      <w:r>
        <w:t>is</w:t>
      </w:r>
      <w:proofErr w:type="gramEnd"/>
      <w:r>
        <w:t xml:space="preserve"> held at fair value. When plant and equipment is specialised in use, such that it is rarely sold other than as part of a going concern, fair value is determined using the current replacement cost method.</w:t>
      </w:r>
    </w:p>
    <w:p w14:paraId="04C6EBEE" w14:textId="42F40A22" w:rsidR="00CB36F4" w:rsidRDefault="00CB36F4" w:rsidP="00CB36F4">
      <w:pPr>
        <w:pStyle w:val="BodyText"/>
      </w:pPr>
      <w:r>
        <w:t>There were no changes in valuation techniques throughout the period to 30 June 2020.</w:t>
      </w:r>
    </w:p>
    <w:p w14:paraId="29F4F2CB" w14:textId="77777777" w:rsidR="00417B1B" w:rsidRDefault="00417B1B" w:rsidP="00895F89">
      <w:pPr>
        <w:pStyle w:val="Heading2"/>
      </w:pPr>
      <w:bookmarkStart w:id="453" w:name="_Note_9._Other"/>
      <w:bookmarkStart w:id="454" w:name="_Ref22644077"/>
      <w:bookmarkStart w:id="455" w:name="_Toc62808173"/>
      <w:bookmarkEnd w:id="453"/>
      <w:r>
        <w:t xml:space="preserve">Note </w:t>
      </w:r>
      <w:bookmarkStart w:id="456" w:name="Note9"/>
      <w:r>
        <w:t>9</w:t>
      </w:r>
      <w:bookmarkEnd w:id="456"/>
      <w:r>
        <w:t>.</w:t>
      </w:r>
      <w:r>
        <w:tab/>
        <w:t>Other Disclosures</w:t>
      </w:r>
      <w:bookmarkEnd w:id="454"/>
      <w:bookmarkEnd w:id="455"/>
    </w:p>
    <w:p w14:paraId="35132087" w14:textId="77777777" w:rsidR="00417B1B" w:rsidRDefault="00417B1B" w:rsidP="00895F89">
      <w:pPr>
        <w:pStyle w:val="Heading3"/>
      </w:pPr>
      <w:bookmarkStart w:id="457" w:name="_Toc62808174"/>
      <w:r>
        <w:t>Introduction</w:t>
      </w:r>
      <w:bookmarkEnd w:id="457"/>
    </w:p>
    <w:p w14:paraId="79238F1B" w14:textId="47483EED" w:rsidR="00EA276F" w:rsidRDefault="00EA276F" w:rsidP="00895F89">
      <w:pPr>
        <w:pStyle w:val="BodyText"/>
        <w:keepNext/>
      </w:pPr>
      <w:r>
        <w:t>This section includes additional material disclosures required by accounting standards or otherwise, for the understanding of this financial report.</w:t>
      </w:r>
    </w:p>
    <w:p w14:paraId="05A783A1" w14:textId="77777777" w:rsidR="00417B1B" w:rsidRPr="00460432" w:rsidRDefault="00417B1B" w:rsidP="00895F89">
      <w:pPr>
        <w:pStyle w:val="BodyText"/>
        <w:keepNext/>
        <w:rPr>
          <w:rStyle w:val="Bold"/>
        </w:rPr>
      </w:pPr>
      <w:r w:rsidRPr="00460432">
        <w:rPr>
          <w:rStyle w:val="Bold"/>
        </w:rPr>
        <w:t>Structure</w:t>
      </w:r>
    </w:p>
    <w:p w14:paraId="067160C7" w14:textId="352785DD" w:rsidR="00417B1B" w:rsidRDefault="00C9062D" w:rsidP="00895F89">
      <w:pPr>
        <w:pStyle w:val="NoSpacing"/>
        <w:keepNext/>
      </w:pPr>
      <w:hyperlink w:anchor="Note91" w:history="1">
        <w:r w:rsidR="004353BF" w:rsidRPr="004353BF">
          <w:t>9.1</w:t>
        </w:r>
      </w:hyperlink>
      <w:r w:rsidR="00417B1B">
        <w:tab/>
        <w:t>Other economic flows included in net result</w:t>
      </w:r>
    </w:p>
    <w:p w14:paraId="469A68FE" w14:textId="01D0345E" w:rsidR="00417B1B" w:rsidRDefault="00C9062D" w:rsidP="00895F89">
      <w:pPr>
        <w:pStyle w:val="NoSpacing"/>
        <w:keepNext/>
      </w:pPr>
      <w:hyperlink w:anchor="Note92" w:history="1">
        <w:r w:rsidR="004353BF" w:rsidRPr="004353BF">
          <w:t>9.2</w:t>
        </w:r>
      </w:hyperlink>
      <w:r w:rsidR="00417B1B">
        <w:tab/>
      </w:r>
      <w:r w:rsidR="00EA276F">
        <w:t>Ex-gratia expenses</w:t>
      </w:r>
    </w:p>
    <w:p w14:paraId="2CBAA2AE" w14:textId="40575405" w:rsidR="00417B1B" w:rsidRDefault="00C9062D" w:rsidP="00895F89">
      <w:pPr>
        <w:pStyle w:val="NoSpacing"/>
        <w:keepNext/>
      </w:pPr>
      <w:hyperlink w:anchor="Note93" w:history="1">
        <w:r w:rsidR="004353BF" w:rsidRPr="004353BF">
          <w:t>9.3</w:t>
        </w:r>
      </w:hyperlink>
      <w:r w:rsidR="00417B1B">
        <w:tab/>
      </w:r>
      <w:r w:rsidR="00EA276F">
        <w:t>Responsible persons</w:t>
      </w:r>
    </w:p>
    <w:p w14:paraId="0EFFAEDA" w14:textId="32E3D0A1" w:rsidR="00417B1B" w:rsidRDefault="00C9062D" w:rsidP="00895F89">
      <w:pPr>
        <w:pStyle w:val="NoSpacing"/>
        <w:keepNext/>
      </w:pPr>
      <w:hyperlink w:anchor="Note94" w:history="1">
        <w:r w:rsidR="004353BF" w:rsidRPr="004353BF">
          <w:t>9.4</w:t>
        </w:r>
      </w:hyperlink>
      <w:r w:rsidR="00417B1B">
        <w:tab/>
      </w:r>
      <w:r w:rsidR="00EA276F">
        <w:t>Remuneration of executives</w:t>
      </w:r>
    </w:p>
    <w:p w14:paraId="01E3992C" w14:textId="0CFFC0E9" w:rsidR="00417B1B" w:rsidRDefault="00C9062D" w:rsidP="00895F89">
      <w:pPr>
        <w:pStyle w:val="NoSpacing"/>
        <w:keepNext/>
      </w:pPr>
      <w:hyperlink w:anchor="Note95" w:history="1">
        <w:r w:rsidR="0049527E" w:rsidRPr="0049527E">
          <w:t>9.5</w:t>
        </w:r>
      </w:hyperlink>
      <w:r w:rsidR="00417B1B">
        <w:tab/>
      </w:r>
      <w:r w:rsidR="00EA276F">
        <w:t>Key management personnel</w:t>
      </w:r>
    </w:p>
    <w:p w14:paraId="1377D466" w14:textId="499B30AF" w:rsidR="00417B1B" w:rsidRDefault="00C9062D" w:rsidP="00895F89">
      <w:pPr>
        <w:pStyle w:val="NoSpacing"/>
        <w:keepNext/>
      </w:pPr>
      <w:hyperlink w:anchor="Note96" w:history="1">
        <w:r w:rsidR="0049527E" w:rsidRPr="0049527E">
          <w:t>9.6</w:t>
        </w:r>
      </w:hyperlink>
      <w:r w:rsidR="00417B1B">
        <w:tab/>
      </w:r>
      <w:r w:rsidR="00EA276F">
        <w:t>Remuneration of auditors</w:t>
      </w:r>
    </w:p>
    <w:p w14:paraId="771C155C" w14:textId="792094EC" w:rsidR="00417B1B" w:rsidRDefault="00C9062D" w:rsidP="007D74F0">
      <w:pPr>
        <w:pStyle w:val="NoSpacing"/>
      </w:pPr>
      <w:hyperlink w:anchor="Note97" w:history="1">
        <w:r w:rsidR="0049527E" w:rsidRPr="0049527E">
          <w:t>9.7</w:t>
        </w:r>
      </w:hyperlink>
      <w:r w:rsidR="00417B1B">
        <w:tab/>
      </w:r>
      <w:r w:rsidR="00EA276F">
        <w:t>Subsequent events</w:t>
      </w:r>
    </w:p>
    <w:p w14:paraId="0B6C6622" w14:textId="0102D790" w:rsidR="00417B1B" w:rsidRDefault="00C9062D" w:rsidP="007D74F0">
      <w:pPr>
        <w:pStyle w:val="NoSpacing"/>
      </w:pPr>
      <w:hyperlink w:anchor="Note98" w:history="1">
        <w:r w:rsidR="0049527E" w:rsidRPr="0049527E">
          <w:t>9.8</w:t>
        </w:r>
      </w:hyperlink>
      <w:r w:rsidR="00417B1B">
        <w:tab/>
      </w:r>
      <w:r w:rsidR="00EA276F">
        <w:t>Other accounting policies</w:t>
      </w:r>
    </w:p>
    <w:p w14:paraId="796C2AE1" w14:textId="53BB73AC" w:rsidR="00EA276F" w:rsidRDefault="00C9062D" w:rsidP="007D74F0">
      <w:pPr>
        <w:pStyle w:val="NoSpacing"/>
      </w:pPr>
      <w:hyperlink w:anchor="Note99" w:history="1">
        <w:r w:rsidR="0049527E" w:rsidRPr="0049527E">
          <w:t>9.9</w:t>
        </w:r>
      </w:hyperlink>
      <w:r w:rsidR="00EA276F">
        <w:tab/>
        <w:t>Change in accounting policies</w:t>
      </w:r>
    </w:p>
    <w:p w14:paraId="150DAE0C" w14:textId="11789968" w:rsidR="00EA276F" w:rsidRDefault="00C9062D" w:rsidP="007D74F0">
      <w:pPr>
        <w:pStyle w:val="NoSpacing"/>
      </w:pPr>
      <w:hyperlink w:anchor="Note910" w:history="1">
        <w:r w:rsidR="0049527E" w:rsidRPr="0049527E">
          <w:t>9.10</w:t>
        </w:r>
      </w:hyperlink>
      <w:r w:rsidR="00EA276F">
        <w:tab/>
        <w:t>Australian accounting standards issued that are not yet effective</w:t>
      </w:r>
    </w:p>
    <w:p w14:paraId="5896D5A1" w14:textId="530EA8EA" w:rsidR="00417B1B" w:rsidRDefault="00417B1B" w:rsidP="00417B1B">
      <w:pPr>
        <w:pStyle w:val="Heading3"/>
      </w:pPr>
      <w:bookmarkStart w:id="458" w:name="Note91"/>
      <w:bookmarkStart w:id="459" w:name="_Toc62808175"/>
      <w:r>
        <w:t>9.1</w:t>
      </w:r>
      <w:bookmarkEnd w:id="458"/>
      <w:r w:rsidR="00C0469D">
        <w:t xml:space="preserve"> Other Economic Flows Included i</w:t>
      </w:r>
      <w:r>
        <w:t>n Net Result</w:t>
      </w:r>
      <w:bookmarkEnd w:id="459"/>
    </w:p>
    <w:p w14:paraId="1561F3B2" w14:textId="6F47FFB5" w:rsidR="00DC2573" w:rsidRDefault="00DC2573" w:rsidP="00DC2573">
      <w:pPr>
        <w:pStyle w:val="BodyText"/>
      </w:pPr>
      <w:r>
        <w:t>Other economic flows are changes in the volume or value of an asset or liability that do not result from transactions. Other gains/(losses) from other economic flows include the gains or losses from the revaluation of the present value of the long service leave liability due to changes in the bond interest rates.</w:t>
      </w:r>
    </w:p>
    <w:tbl>
      <w:tblPr>
        <w:tblStyle w:val="AccessibleTableNumerical"/>
        <w:tblW w:w="5000" w:type="pct"/>
        <w:tblLook w:val="04A0" w:firstRow="1" w:lastRow="0" w:firstColumn="1" w:lastColumn="0" w:noHBand="0" w:noVBand="1"/>
      </w:tblPr>
      <w:tblGrid>
        <w:gridCol w:w="993"/>
        <w:gridCol w:w="6240"/>
        <w:gridCol w:w="1203"/>
        <w:gridCol w:w="1203"/>
      </w:tblGrid>
      <w:tr w:rsidR="00417B1B" w:rsidRPr="00F90AB2" w14:paraId="1224854D" w14:textId="77777777" w:rsidTr="002232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 w:type="pct"/>
          </w:tcPr>
          <w:p w14:paraId="4CDBEE73" w14:textId="170A4ECA" w:rsidR="00417B1B" w:rsidRPr="00F90AB2" w:rsidRDefault="00AC0BBF" w:rsidP="007D74F0">
            <w:pPr>
              <w:pStyle w:val="TableText"/>
            </w:pPr>
            <w:bookmarkStart w:id="460" w:name="ColumnTitle_91"/>
            <w:r>
              <w:t>Item</w:t>
            </w:r>
          </w:p>
        </w:tc>
        <w:tc>
          <w:tcPr>
            <w:tcW w:w="3237" w:type="pct"/>
            <w:vAlign w:val="bottom"/>
          </w:tcPr>
          <w:p w14:paraId="2C579163" w14:textId="3DBB6FBA" w:rsidR="00417B1B" w:rsidRPr="00F90AB2" w:rsidRDefault="00AC0BBF" w:rsidP="0022326C">
            <w:pPr>
              <w:pStyle w:val="TableText"/>
              <w:jc w:val="left"/>
              <w:cnfStyle w:val="100000000000" w:firstRow="1" w:lastRow="0" w:firstColumn="0" w:lastColumn="0" w:oddVBand="0" w:evenVBand="0" w:oddHBand="0" w:evenHBand="0" w:firstRowFirstColumn="0" w:firstRowLastColumn="0" w:lastRowFirstColumn="0" w:lastRowLastColumn="0"/>
            </w:pPr>
            <w:r>
              <w:t>N/A</w:t>
            </w:r>
          </w:p>
        </w:tc>
        <w:tc>
          <w:tcPr>
            <w:tcW w:w="624" w:type="pct"/>
            <w:vAlign w:val="bottom"/>
          </w:tcPr>
          <w:p w14:paraId="3671541D" w14:textId="76721869" w:rsidR="00417B1B" w:rsidRPr="00F90AB2"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F90AB2">
              <w:t>20</w:t>
            </w:r>
            <w:r w:rsidR="00DC2573">
              <w:t>20</w:t>
            </w:r>
            <w:r w:rsidRPr="00F90AB2">
              <w:br/>
              <w:t>$'000</w:t>
            </w:r>
          </w:p>
        </w:tc>
        <w:tc>
          <w:tcPr>
            <w:tcW w:w="624" w:type="pct"/>
            <w:vAlign w:val="bottom"/>
          </w:tcPr>
          <w:p w14:paraId="34B4AB83" w14:textId="5B469182" w:rsidR="00417B1B" w:rsidRPr="00F90AB2"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F90AB2">
              <w:t>201</w:t>
            </w:r>
            <w:r w:rsidR="00DC2573">
              <w:t>9</w:t>
            </w:r>
            <w:r w:rsidRPr="00F90AB2">
              <w:br/>
              <w:t>$'000</w:t>
            </w:r>
          </w:p>
        </w:tc>
      </w:tr>
      <w:bookmarkEnd w:id="460"/>
      <w:tr w:rsidR="00417B1B" w:rsidRPr="00F90AB2" w14:paraId="2ECBC0F8" w14:textId="77777777" w:rsidTr="007D74F0">
        <w:tc>
          <w:tcPr>
            <w:cnfStyle w:val="001000000000" w:firstRow="0" w:lastRow="0" w:firstColumn="1" w:lastColumn="0" w:oddVBand="0" w:evenVBand="0" w:oddHBand="0" w:evenHBand="0" w:firstRowFirstColumn="0" w:firstRowLastColumn="0" w:lastRowFirstColumn="0" w:lastRowLastColumn="0"/>
            <w:tcW w:w="515" w:type="pct"/>
          </w:tcPr>
          <w:p w14:paraId="1E1AA41B" w14:textId="77777777" w:rsidR="00417B1B" w:rsidRPr="00C0469D" w:rsidRDefault="00417B1B" w:rsidP="007D74F0">
            <w:pPr>
              <w:pStyle w:val="TableText"/>
              <w:rPr>
                <w:rStyle w:val="Bold"/>
              </w:rPr>
            </w:pPr>
            <w:r w:rsidRPr="00C0469D">
              <w:rPr>
                <w:rStyle w:val="Bold"/>
              </w:rPr>
              <w:t>(a)</w:t>
            </w:r>
          </w:p>
        </w:tc>
        <w:tc>
          <w:tcPr>
            <w:tcW w:w="3237" w:type="pct"/>
          </w:tcPr>
          <w:p w14:paraId="7F165E12" w14:textId="77777777" w:rsidR="00417B1B" w:rsidRPr="00C0469D"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Net gain/(loss) on non-financial assets</w:t>
            </w:r>
          </w:p>
        </w:tc>
        <w:tc>
          <w:tcPr>
            <w:tcW w:w="624" w:type="pct"/>
          </w:tcPr>
          <w:p w14:paraId="1823D692" w14:textId="5AB9F52E"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Pr>
          <w:p w14:paraId="31EB6699" w14:textId="2AFFD1E9"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F90AB2" w14:paraId="272680AF"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bottom w:val="single" w:sz="4" w:space="0" w:color="auto"/>
            </w:tcBorders>
          </w:tcPr>
          <w:p w14:paraId="59B6A536" w14:textId="33249636" w:rsidR="00417B1B" w:rsidRPr="00F90AB2" w:rsidRDefault="00AC0BBF" w:rsidP="007D74F0">
            <w:pPr>
              <w:pStyle w:val="TableText"/>
            </w:pPr>
            <w:r>
              <w:t>N/A</w:t>
            </w:r>
          </w:p>
        </w:tc>
        <w:tc>
          <w:tcPr>
            <w:tcW w:w="3237" w:type="pct"/>
            <w:tcBorders>
              <w:bottom w:val="single" w:sz="4" w:space="0" w:color="auto"/>
            </w:tcBorders>
          </w:tcPr>
          <w:p w14:paraId="4EECEE85" w14:textId="77777777" w:rsidR="00417B1B" w:rsidRPr="00F90AB2"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pPr>
            <w:r w:rsidRPr="00F90AB2">
              <w:t>Net gain/(loss) on disposal of property, plant and equipment</w:t>
            </w:r>
          </w:p>
        </w:tc>
        <w:tc>
          <w:tcPr>
            <w:tcW w:w="624" w:type="pct"/>
            <w:tcBorders>
              <w:bottom w:val="single" w:sz="4" w:space="0" w:color="auto"/>
            </w:tcBorders>
          </w:tcPr>
          <w:p w14:paraId="72873F5A" w14:textId="1143E4B3" w:rsidR="00417B1B" w:rsidRPr="00F90AB2"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346</w:t>
            </w:r>
          </w:p>
        </w:tc>
        <w:tc>
          <w:tcPr>
            <w:tcW w:w="624" w:type="pct"/>
            <w:tcBorders>
              <w:bottom w:val="single" w:sz="4" w:space="0" w:color="auto"/>
            </w:tcBorders>
          </w:tcPr>
          <w:p w14:paraId="49965422" w14:textId="7E7235D5" w:rsidR="00417B1B" w:rsidRPr="00F90AB2"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468</w:t>
            </w:r>
          </w:p>
        </w:tc>
      </w:tr>
      <w:tr w:rsidR="00417B1B" w:rsidRPr="007D74F0" w14:paraId="38FDF345"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top w:val="single" w:sz="4" w:space="0" w:color="auto"/>
              <w:bottom w:val="single" w:sz="4" w:space="0" w:color="auto"/>
            </w:tcBorders>
            <w:shd w:val="clear" w:color="auto" w:fill="auto"/>
          </w:tcPr>
          <w:p w14:paraId="0B23755F" w14:textId="1DA362CC" w:rsidR="00417B1B" w:rsidRPr="007D74F0" w:rsidRDefault="00AC0BBF" w:rsidP="007D74F0">
            <w:pPr>
              <w:pStyle w:val="TableText"/>
            </w:pPr>
            <w:r w:rsidRPr="007D74F0">
              <w:t>N/A</w:t>
            </w:r>
          </w:p>
        </w:tc>
        <w:tc>
          <w:tcPr>
            <w:tcW w:w="3237" w:type="pct"/>
            <w:tcBorders>
              <w:top w:val="single" w:sz="4" w:space="0" w:color="auto"/>
              <w:bottom w:val="single" w:sz="4" w:space="0" w:color="auto"/>
            </w:tcBorders>
            <w:shd w:val="clear" w:color="auto" w:fill="auto"/>
          </w:tcPr>
          <w:p w14:paraId="6A5A6F09" w14:textId="77777777" w:rsidR="00417B1B" w:rsidRPr="0022326C"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Total net gain/(loss) on non-financial assets</w:t>
            </w:r>
          </w:p>
        </w:tc>
        <w:tc>
          <w:tcPr>
            <w:tcW w:w="624" w:type="pct"/>
            <w:tcBorders>
              <w:top w:val="single" w:sz="4" w:space="0" w:color="auto"/>
              <w:bottom w:val="single" w:sz="4" w:space="0" w:color="auto"/>
            </w:tcBorders>
            <w:shd w:val="clear" w:color="auto" w:fill="auto"/>
          </w:tcPr>
          <w:p w14:paraId="2A62AEF2" w14:textId="4BDA8222"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346</w:t>
            </w:r>
            <w:r w:rsidR="00417B1B" w:rsidRPr="0022326C">
              <w:rPr>
                <w:rStyle w:val="Bold"/>
              </w:rPr>
              <w:t xml:space="preserve"> </w:t>
            </w:r>
          </w:p>
        </w:tc>
        <w:tc>
          <w:tcPr>
            <w:tcW w:w="624" w:type="pct"/>
            <w:tcBorders>
              <w:top w:val="single" w:sz="4" w:space="0" w:color="auto"/>
              <w:bottom w:val="single" w:sz="4" w:space="0" w:color="auto"/>
            </w:tcBorders>
            <w:shd w:val="clear" w:color="auto" w:fill="auto"/>
          </w:tcPr>
          <w:p w14:paraId="26DE4B5D" w14:textId="4542E715"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468</w:t>
            </w:r>
          </w:p>
        </w:tc>
      </w:tr>
      <w:tr w:rsidR="00417B1B" w:rsidRPr="00F90AB2" w14:paraId="138480C0"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top w:val="single" w:sz="4" w:space="0" w:color="auto"/>
            </w:tcBorders>
          </w:tcPr>
          <w:p w14:paraId="016A78A9" w14:textId="77777777" w:rsidR="00417B1B" w:rsidRPr="00C0469D" w:rsidRDefault="00417B1B" w:rsidP="007D74F0">
            <w:pPr>
              <w:pStyle w:val="TableText"/>
              <w:rPr>
                <w:rStyle w:val="Bold"/>
              </w:rPr>
            </w:pPr>
            <w:r w:rsidRPr="00C0469D">
              <w:rPr>
                <w:rStyle w:val="Bold"/>
              </w:rPr>
              <w:t>(b)</w:t>
            </w:r>
          </w:p>
        </w:tc>
        <w:tc>
          <w:tcPr>
            <w:tcW w:w="3237" w:type="pct"/>
            <w:tcBorders>
              <w:top w:val="single" w:sz="4" w:space="0" w:color="auto"/>
            </w:tcBorders>
          </w:tcPr>
          <w:p w14:paraId="6CA38FA8" w14:textId="77777777" w:rsidR="00417B1B" w:rsidRPr="00C0469D"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Net gain/(loss) on financial instruments</w:t>
            </w:r>
          </w:p>
        </w:tc>
        <w:tc>
          <w:tcPr>
            <w:tcW w:w="624" w:type="pct"/>
            <w:tcBorders>
              <w:top w:val="single" w:sz="4" w:space="0" w:color="auto"/>
            </w:tcBorders>
          </w:tcPr>
          <w:p w14:paraId="59CB1CF0" w14:textId="2011E309"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Borders>
              <w:top w:val="single" w:sz="4" w:space="0" w:color="auto"/>
            </w:tcBorders>
          </w:tcPr>
          <w:p w14:paraId="602200C5" w14:textId="693F8936"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F90AB2" w14:paraId="3F6AF5A7"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bottom w:val="single" w:sz="4" w:space="0" w:color="auto"/>
            </w:tcBorders>
          </w:tcPr>
          <w:p w14:paraId="5D4C10E7" w14:textId="457FDE9E" w:rsidR="00417B1B" w:rsidRPr="00F90AB2" w:rsidRDefault="00AC0BBF" w:rsidP="007D74F0">
            <w:pPr>
              <w:pStyle w:val="TableText"/>
            </w:pPr>
            <w:r>
              <w:t>N/A</w:t>
            </w:r>
          </w:p>
        </w:tc>
        <w:tc>
          <w:tcPr>
            <w:tcW w:w="3237" w:type="pct"/>
            <w:tcBorders>
              <w:bottom w:val="single" w:sz="4" w:space="0" w:color="auto"/>
            </w:tcBorders>
          </w:tcPr>
          <w:p w14:paraId="4A314EE0" w14:textId="77777777" w:rsidR="00417B1B" w:rsidRPr="00F90AB2"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pPr>
            <w:r w:rsidRPr="00F90AB2">
              <w:t>Bad debts written off</w:t>
            </w:r>
          </w:p>
        </w:tc>
        <w:tc>
          <w:tcPr>
            <w:tcW w:w="624" w:type="pct"/>
            <w:tcBorders>
              <w:bottom w:val="single" w:sz="4" w:space="0" w:color="auto"/>
            </w:tcBorders>
          </w:tcPr>
          <w:p w14:paraId="60ABC2DC" w14:textId="66ABA77B" w:rsidR="00417B1B" w:rsidRPr="00F90AB2"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190</w:t>
            </w:r>
          </w:p>
        </w:tc>
        <w:tc>
          <w:tcPr>
            <w:tcW w:w="624" w:type="pct"/>
            <w:tcBorders>
              <w:bottom w:val="single" w:sz="4" w:space="0" w:color="auto"/>
            </w:tcBorders>
          </w:tcPr>
          <w:p w14:paraId="385F69CF" w14:textId="74022940" w:rsidR="00417B1B" w:rsidRPr="00F90AB2"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381</w:t>
            </w:r>
          </w:p>
        </w:tc>
      </w:tr>
      <w:tr w:rsidR="00417B1B" w:rsidRPr="007D74F0" w14:paraId="267FDC3B"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top w:val="single" w:sz="4" w:space="0" w:color="auto"/>
              <w:bottom w:val="single" w:sz="4" w:space="0" w:color="auto"/>
            </w:tcBorders>
            <w:shd w:val="clear" w:color="auto" w:fill="auto"/>
          </w:tcPr>
          <w:p w14:paraId="055EDE24" w14:textId="558C32DB" w:rsidR="00417B1B" w:rsidRPr="007D74F0" w:rsidRDefault="00AC0BBF" w:rsidP="007D74F0">
            <w:pPr>
              <w:pStyle w:val="TableText"/>
            </w:pPr>
            <w:r w:rsidRPr="007D74F0">
              <w:t>N/A</w:t>
            </w:r>
          </w:p>
        </w:tc>
        <w:tc>
          <w:tcPr>
            <w:tcW w:w="3237" w:type="pct"/>
            <w:tcBorders>
              <w:top w:val="single" w:sz="4" w:space="0" w:color="auto"/>
              <w:bottom w:val="single" w:sz="4" w:space="0" w:color="auto"/>
            </w:tcBorders>
            <w:shd w:val="clear" w:color="auto" w:fill="auto"/>
          </w:tcPr>
          <w:p w14:paraId="237CAFB8" w14:textId="77777777" w:rsidR="00417B1B" w:rsidRPr="0022326C"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Total net gain/(loss) on financial instruments</w:t>
            </w:r>
          </w:p>
        </w:tc>
        <w:tc>
          <w:tcPr>
            <w:tcW w:w="624" w:type="pct"/>
            <w:tcBorders>
              <w:top w:val="single" w:sz="4" w:space="0" w:color="auto"/>
              <w:bottom w:val="single" w:sz="4" w:space="0" w:color="auto"/>
            </w:tcBorders>
            <w:shd w:val="clear" w:color="auto" w:fill="auto"/>
          </w:tcPr>
          <w:p w14:paraId="016DF8DE" w14:textId="3A41A358"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190</w:t>
            </w:r>
          </w:p>
        </w:tc>
        <w:tc>
          <w:tcPr>
            <w:tcW w:w="624" w:type="pct"/>
            <w:tcBorders>
              <w:top w:val="single" w:sz="4" w:space="0" w:color="auto"/>
              <w:bottom w:val="single" w:sz="4" w:space="0" w:color="auto"/>
            </w:tcBorders>
            <w:shd w:val="clear" w:color="auto" w:fill="auto"/>
          </w:tcPr>
          <w:p w14:paraId="72F11A03" w14:textId="38320D02"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381</w:t>
            </w:r>
          </w:p>
        </w:tc>
      </w:tr>
      <w:tr w:rsidR="00417B1B" w:rsidRPr="00F90AB2" w14:paraId="168C3E96"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top w:val="single" w:sz="4" w:space="0" w:color="auto"/>
            </w:tcBorders>
          </w:tcPr>
          <w:p w14:paraId="12307B1C" w14:textId="77777777" w:rsidR="00417B1B" w:rsidRPr="00C0469D" w:rsidRDefault="00417B1B" w:rsidP="007D74F0">
            <w:pPr>
              <w:pStyle w:val="TableText"/>
              <w:rPr>
                <w:rStyle w:val="Bold"/>
              </w:rPr>
            </w:pPr>
            <w:r w:rsidRPr="00C0469D">
              <w:rPr>
                <w:rStyle w:val="Bold"/>
              </w:rPr>
              <w:t>(c)</w:t>
            </w:r>
          </w:p>
        </w:tc>
        <w:tc>
          <w:tcPr>
            <w:tcW w:w="3237" w:type="pct"/>
            <w:tcBorders>
              <w:top w:val="single" w:sz="4" w:space="0" w:color="auto"/>
            </w:tcBorders>
          </w:tcPr>
          <w:p w14:paraId="68EF9312" w14:textId="77777777" w:rsidR="00417B1B" w:rsidRPr="00C0469D"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C0469D">
              <w:rPr>
                <w:rStyle w:val="Bold"/>
              </w:rPr>
              <w:t>Other gains/(losses) from other economic flows</w:t>
            </w:r>
          </w:p>
        </w:tc>
        <w:tc>
          <w:tcPr>
            <w:tcW w:w="624" w:type="pct"/>
            <w:tcBorders>
              <w:top w:val="single" w:sz="4" w:space="0" w:color="auto"/>
            </w:tcBorders>
          </w:tcPr>
          <w:p w14:paraId="49EA18B1" w14:textId="7E87E521"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Borders>
              <w:top w:val="single" w:sz="4" w:space="0" w:color="auto"/>
            </w:tcBorders>
          </w:tcPr>
          <w:p w14:paraId="34C22182" w14:textId="3E6E2092" w:rsidR="00417B1B" w:rsidRPr="00F90AB2" w:rsidRDefault="00AC0BBF" w:rsidP="007D74F0">
            <w:pPr>
              <w:pStyle w:val="TableText"/>
              <w:cnfStyle w:val="000000000000" w:firstRow="0" w:lastRow="0" w:firstColumn="0" w:lastColumn="0" w:oddVBand="0" w:evenVBand="0" w:oddHBand="0" w:evenHBand="0" w:firstRowFirstColumn="0" w:firstRowLastColumn="0" w:lastRowFirstColumn="0" w:lastRowLastColumn="0"/>
            </w:pPr>
            <w:r>
              <w:t>N/A</w:t>
            </w:r>
          </w:p>
        </w:tc>
      </w:tr>
      <w:tr w:rsidR="00417B1B" w:rsidRPr="00774ADC" w14:paraId="5A3A7724"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bottom w:val="single" w:sz="4" w:space="0" w:color="auto"/>
            </w:tcBorders>
          </w:tcPr>
          <w:p w14:paraId="1D49C97A" w14:textId="21E44500" w:rsidR="00417B1B" w:rsidRPr="00774ADC" w:rsidRDefault="00AC0BBF" w:rsidP="007D74F0">
            <w:pPr>
              <w:pStyle w:val="TableText"/>
            </w:pPr>
            <w:r w:rsidRPr="00774ADC">
              <w:t>N/A</w:t>
            </w:r>
          </w:p>
        </w:tc>
        <w:tc>
          <w:tcPr>
            <w:tcW w:w="3237" w:type="pct"/>
            <w:tcBorders>
              <w:bottom w:val="single" w:sz="4" w:space="0" w:color="auto"/>
            </w:tcBorders>
          </w:tcPr>
          <w:p w14:paraId="32C2FDA6" w14:textId="3BB682BB" w:rsidR="00417B1B" w:rsidRPr="00774ADC" w:rsidRDefault="00417B1B" w:rsidP="00774ADC">
            <w:pPr>
              <w:pStyle w:val="TableText"/>
              <w:jc w:val="left"/>
              <w:cnfStyle w:val="000000000000" w:firstRow="0" w:lastRow="0" w:firstColumn="0" w:lastColumn="0" w:oddVBand="0" w:evenVBand="0" w:oddHBand="0" w:evenHBand="0" w:firstRowFirstColumn="0" w:firstRowLastColumn="0" w:lastRowFirstColumn="0" w:lastRowLastColumn="0"/>
            </w:pPr>
            <w:r w:rsidRPr="00774ADC">
              <w:t>Net gain</w:t>
            </w:r>
            <w:r w:rsidRPr="00686306">
              <w:t>/(loss) arising from revaluation of long service leave liabilit</w:t>
            </w:r>
            <w:r w:rsidR="00774ADC" w:rsidRPr="00686306">
              <w:t>y</w:t>
            </w:r>
            <w:hyperlink w:anchor="Note91note1" w:history="1">
              <w:r w:rsidR="00686306" w:rsidRPr="00686306">
                <w:rPr>
                  <w:vertAlign w:val="superscript"/>
                </w:rPr>
                <w:t>(1)</w:t>
              </w:r>
            </w:hyperlink>
          </w:p>
        </w:tc>
        <w:tc>
          <w:tcPr>
            <w:tcW w:w="624" w:type="pct"/>
            <w:tcBorders>
              <w:bottom w:val="single" w:sz="4" w:space="0" w:color="auto"/>
            </w:tcBorders>
          </w:tcPr>
          <w:p w14:paraId="7D89A936" w14:textId="2350556A" w:rsidR="00417B1B" w:rsidRPr="00774ADC"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(1,916)</w:t>
            </w:r>
          </w:p>
        </w:tc>
        <w:tc>
          <w:tcPr>
            <w:tcW w:w="624" w:type="pct"/>
            <w:tcBorders>
              <w:bottom w:val="single" w:sz="4" w:space="0" w:color="auto"/>
            </w:tcBorders>
          </w:tcPr>
          <w:p w14:paraId="252D69A4" w14:textId="08FF4DD7" w:rsidR="00417B1B" w:rsidRPr="00774ADC" w:rsidRDefault="00DC2573" w:rsidP="007D74F0">
            <w:pPr>
              <w:pStyle w:val="TableText"/>
              <w:cnfStyle w:val="000000000000" w:firstRow="0" w:lastRow="0" w:firstColumn="0" w:lastColumn="0" w:oddVBand="0" w:evenVBand="0" w:oddHBand="0" w:evenHBand="0" w:firstRowFirstColumn="0" w:firstRowLastColumn="0" w:lastRowFirstColumn="0" w:lastRowLastColumn="0"/>
            </w:pPr>
            <w:r>
              <w:t>(7,663)</w:t>
            </w:r>
          </w:p>
        </w:tc>
      </w:tr>
      <w:tr w:rsidR="00417B1B" w:rsidRPr="00774ADC" w14:paraId="276EF41F" w14:textId="77777777" w:rsidTr="007D74F0">
        <w:tc>
          <w:tcPr>
            <w:cnfStyle w:val="001000000000" w:firstRow="0" w:lastRow="0" w:firstColumn="1" w:lastColumn="0" w:oddVBand="0" w:evenVBand="0" w:oddHBand="0" w:evenHBand="0" w:firstRowFirstColumn="0" w:firstRowLastColumn="0" w:lastRowFirstColumn="0" w:lastRowLastColumn="0"/>
            <w:tcW w:w="515" w:type="pct"/>
            <w:tcBorders>
              <w:top w:val="single" w:sz="4" w:space="0" w:color="auto"/>
              <w:bottom w:val="single" w:sz="4" w:space="0" w:color="auto"/>
            </w:tcBorders>
            <w:shd w:val="clear" w:color="auto" w:fill="auto"/>
          </w:tcPr>
          <w:p w14:paraId="0FF9939F" w14:textId="4D37E12C" w:rsidR="00417B1B" w:rsidRPr="00774ADC" w:rsidRDefault="00AC0BBF" w:rsidP="007D74F0">
            <w:pPr>
              <w:pStyle w:val="TableText"/>
            </w:pPr>
            <w:r w:rsidRPr="00774ADC">
              <w:t>N/A</w:t>
            </w:r>
          </w:p>
        </w:tc>
        <w:tc>
          <w:tcPr>
            <w:tcW w:w="3237" w:type="pct"/>
            <w:tcBorders>
              <w:top w:val="single" w:sz="4" w:space="0" w:color="auto"/>
              <w:bottom w:val="single" w:sz="4" w:space="0" w:color="auto"/>
            </w:tcBorders>
            <w:shd w:val="clear" w:color="auto" w:fill="auto"/>
          </w:tcPr>
          <w:p w14:paraId="74A0F1AE" w14:textId="77777777" w:rsidR="00417B1B" w:rsidRPr="0022326C" w:rsidRDefault="00417B1B" w:rsidP="007D74F0">
            <w:pPr>
              <w:pStyle w:val="TableText"/>
              <w:jc w:val="lef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Total other gains/(losses) from other economic flows</w:t>
            </w:r>
          </w:p>
        </w:tc>
        <w:tc>
          <w:tcPr>
            <w:tcW w:w="624" w:type="pct"/>
            <w:tcBorders>
              <w:top w:val="single" w:sz="4" w:space="0" w:color="auto"/>
              <w:bottom w:val="single" w:sz="4" w:space="0" w:color="auto"/>
            </w:tcBorders>
            <w:shd w:val="clear" w:color="auto" w:fill="auto"/>
          </w:tcPr>
          <w:p w14:paraId="5D64A5E2" w14:textId="2A7EF1DE"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(1,916)</w:t>
            </w:r>
          </w:p>
        </w:tc>
        <w:tc>
          <w:tcPr>
            <w:tcW w:w="624" w:type="pct"/>
            <w:tcBorders>
              <w:top w:val="single" w:sz="4" w:space="0" w:color="auto"/>
              <w:bottom w:val="single" w:sz="4" w:space="0" w:color="auto"/>
            </w:tcBorders>
            <w:shd w:val="clear" w:color="auto" w:fill="auto"/>
          </w:tcPr>
          <w:p w14:paraId="793CAABC" w14:textId="080D0732" w:rsidR="00417B1B" w:rsidRPr="0022326C" w:rsidRDefault="00DC2573" w:rsidP="007D74F0">
            <w:pPr>
              <w:pStyle w:val="TableText"/>
              <w:cnfStyle w:val="000000000000" w:firstRow="0" w:lastRow="0" w:firstColumn="0" w:lastColumn="0" w:oddVBand="0" w:evenVBand="0" w:oddHBand="0" w:evenHBand="0" w:firstRowFirstColumn="0" w:firstRowLastColumn="0" w:lastRowFirstColumn="0" w:lastRowLastColumn="0"/>
              <w:rPr>
                <w:rStyle w:val="Bold"/>
              </w:rPr>
            </w:pPr>
            <w:r w:rsidRPr="0022326C">
              <w:rPr>
                <w:rStyle w:val="Bold"/>
              </w:rPr>
              <w:t>(7,663)</w:t>
            </w:r>
          </w:p>
        </w:tc>
      </w:tr>
    </w:tbl>
    <w:p w14:paraId="451BBC0D" w14:textId="155CD88B" w:rsidR="00686306" w:rsidRDefault="00686306" w:rsidP="005104C0">
      <w:pPr>
        <w:pStyle w:val="NotesNumberedList"/>
        <w:numPr>
          <w:ilvl w:val="0"/>
          <w:numId w:val="25"/>
        </w:numPr>
      </w:pPr>
      <w:bookmarkStart w:id="461" w:name="Note91note1"/>
      <w:bookmarkStart w:id="462" w:name="Note91tablenote1"/>
      <w:bookmarkEnd w:id="461"/>
      <w:r>
        <w:t>Revaluation of the long service leave liability includes wages inflation decrease from 4.33% (2019) to 4.25% (2020) and lower discount rate from 1.32% (2019) to 0.872% (2020) contributing to an increase to the present value of long service leave liabilities.</w:t>
      </w:r>
    </w:p>
    <w:p w14:paraId="2E5EAE49" w14:textId="27DBA615" w:rsidR="00643315" w:rsidRDefault="00417B1B" w:rsidP="001B4ACB">
      <w:pPr>
        <w:pStyle w:val="Heading3"/>
      </w:pPr>
      <w:bookmarkStart w:id="463" w:name="Note92"/>
      <w:bookmarkStart w:id="464" w:name="_Ref61896947"/>
      <w:bookmarkStart w:id="465" w:name="_Ref22643408"/>
      <w:bookmarkStart w:id="466" w:name="_Toc62808176"/>
      <w:bookmarkEnd w:id="462"/>
      <w:r>
        <w:t xml:space="preserve">9.2 </w:t>
      </w:r>
      <w:bookmarkEnd w:id="463"/>
      <w:r w:rsidR="00643315">
        <w:t>Ex-gratia Expenses</w:t>
      </w:r>
      <w:bookmarkEnd w:id="464"/>
      <w:bookmarkEnd w:id="466"/>
    </w:p>
    <w:tbl>
      <w:tblPr>
        <w:tblStyle w:val="AccessibleTableNumerical"/>
        <w:tblW w:w="5000" w:type="pct"/>
        <w:tblLook w:val="04A0" w:firstRow="1" w:lastRow="0" w:firstColumn="1" w:lastColumn="0" w:noHBand="0" w:noVBand="1"/>
      </w:tblPr>
      <w:tblGrid>
        <w:gridCol w:w="6957"/>
        <w:gridCol w:w="1342"/>
        <w:gridCol w:w="1340"/>
      </w:tblGrid>
      <w:tr w:rsidR="00643315" w:rsidRPr="00F90AB2" w14:paraId="7E31C4FC" w14:textId="77777777" w:rsidTr="006433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9" w:type="pct"/>
          </w:tcPr>
          <w:p w14:paraId="5D8CEB62" w14:textId="03D31449" w:rsidR="00643315" w:rsidRPr="00F90AB2" w:rsidRDefault="00643315" w:rsidP="001B4ACB">
            <w:pPr>
              <w:pStyle w:val="TableText"/>
              <w:keepNext/>
            </w:pPr>
            <w:bookmarkStart w:id="467" w:name="ColumnTitle_100117"/>
            <w:r>
              <w:t>Item</w:t>
            </w:r>
          </w:p>
        </w:tc>
        <w:tc>
          <w:tcPr>
            <w:tcW w:w="696" w:type="pct"/>
            <w:vAlign w:val="bottom"/>
          </w:tcPr>
          <w:p w14:paraId="022F0238" w14:textId="77777777" w:rsidR="00643315" w:rsidRPr="00F90AB2" w:rsidRDefault="00643315" w:rsidP="001B4ACB">
            <w:pPr>
              <w:pStyle w:val="TableText"/>
              <w:keepNext/>
              <w:cnfStyle w:val="100000000000" w:firstRow="1" w:lastRow="0" w:firstColumn="0" w:lastColumn="0" w:oddVBand="0" w:evenVBand="0" w:oddHBand="0" w:evenHBand="0" w:firstRowFirstColumn="0" w:firstRowLastColumn="0" w:lastRowFirstColumn="0" w:lastRowLastColumn="0"/>
            </w:pPr>
            <w:r w:rsidRPr="00F90AB2">
              <w:t>20</w:t>
            </w:r>
            <w:r>
              <w:t>20</w:t>
            </w:r>
            <w:r w:rsidRPr="00F90AB2">
              <w:br/>
              <w:t>$'000</w:t>
            </w:r>
          </w:p>
        </w:tc>
        <w:tc>
          <w:tcPr>
            <w:tcW w:w="695" w:type="pct"/>
            <w:vAlign w:val="bottom"/>
          </w:tcPr>
          <w:p w14:paraId="6074DC3C" w14:textId="77777777" w:rsidR="00643315" w:rsidRPr="00F90AB2" w:rsidRDefault="00643315" w:rsidP="001B4ACB">
            <w:pPr>
              <w:pStyle w:val="TableText"/>
              <w:keepNext/>
              <w:cnfStyle w:val="100000000000" w:firstRow="1" w:lastRow="0" w:firstColumn="0" w:lastColumn="0" w:oddVBand="0" w:evenVBand="0" w:oddHBand="0" w:evenHBand="0" w:firstRowFirstColumn="0" w:firstRowLastColumn="0" w:lastRowFirstColumn="0" w:lastRowLastColumn="0"/>
            </w:pPr>
            <w:r w:rsidRPr="00F90AB2">
              <w:t>201</w:t>
            </w:r>
            <w:r>
              <w:t>9</w:t>
            </w:r>
            <w:r w:rsidRPr="00F90AB2">
              <w:br/>
              <w:t>$'000</w:t>
            </w:r>
          </w:p>
        </w:tc>
      </w:tr>
      <w:bookmarkEnd w:id="467"/>
      <w:tr w:rsidR="00643315" w:rsidRPr="00F90AB2" w14:paraId="40A47355" w14:textId="77777777" w:rsidTr="00643315">
        <w:tc>
          <w:tcPr>
            <w:cnfStyle w:val="001000000000" w:firstRow="0" w:lastRow="0" w:firstColumn="1" w:lastColumn="0" w:oddVBand="0" w:evenVBand="0" w:oddHBand="0" w:evenHBand="0" w:firstRowFirstColumn="0" w:firstRowLastColumn="0" w:lastRowFirstColumn="0" w:lastRowLastColumn="0"/>
            <w:tcW w:w="3609" w:type="pct"/>
            <w:tcBorders>
              <w:bottom w:val="single" w:sz="4" w:space="0" w:color="auto"/>
            </w:tcBorders>
          </w:tcPr>
          <w:p w14:paraId="254761B8" w14:textId="64A8BE51" w:rsidR="00643315" w:rsidRPr="00F90AB2" w:rsidRDefault="00643315" w:rsidP="001B4ACB">
            <w:pPr>
              <w:pStyle w:val="TableText"/>
              <w:keepNext/>
            </w:pPr>
            <w:r>
              <w:t>Compensation for breach of privacy</w:t>
            </w:r>
          </w:p>
        </w:tc>
        <w:tc>
          <w:tcPr>
            <w:tcW w:w="696" w:type="pct"/>
            <w:tcBorders>
              <w:bottom w:val="single" w:sz="4" w:space="0" w:color="auto"/>
            </w:tcBorders>
          </w:tcPr>
          <w:p w14:paraId="3E7C9DFF" w14:textId="0D05399F" w:rsidR="00643315" w:rsidRPr="00F90AB2" w:rsidRDefault="00643315" w:rsidP="001B4ACB">
            <w:pPr>
              <w:pStyle w:val="TableText"/>
              <w:keepNext/>
              <w:cnfStyle w:val="000000000000" w:firstRow="0" w:lastRow="0" w:firstColumn="0" w:lastColumn="0" w:oddVBand="0" w:evenVBand="0" w:oddHBand="0" w:evenHBand="0" w:firstRowFirstColumn="0" w:firstRowLastColumn="0" w:lastRowFirstColumn="0" w:lastRowLastColumn="0"/>
            </w:pPr>
            <w:r>
              <w:t>6</w:t>
            </w:r>
          </w:p>
        </w:tc>
        <w:tc>
          <w:tcPr>
            <w:tcW w:w="695" w:type="pct"/>
            <w:tcBorders>
              <w:bottom w:val="single" w:sz="4" w:space="0" w:color="auto"/>
            </w:tcBorders>
          </w:tcPr>
          <w:p w14:paraId="4DC6046C" w14:textId="7EBEDFE3" w:rsidR="00643315" w:rsidRPr="00F90AB2" w:rsidRDefault="00643315" w:rsidP="001B4ACB">
            <w:pPr>
              <w:pStyle w:val="TableText"/>
              <w:keepNext/>
              <w:cnfStyle w:val="000000000000" w:firstRow="0" w:lastRow="0" w:firstColumn="0" w:lastColumn="0" w:oddVBand="0" w:evenVBand="0" w:oddHBand="0" w:evenHBand="0" w:firstRowFirstColumn="0" w:firstRowLastColumn="0" w:lastRowFirstColumn="0" w:lastRowLastColumn="0"/>
            </w:pPr>
            <w:r>
              <w:t>0</w:t>
            </w:r>
          </w:p>
        </w:tc>
      </w:tr>
      <w:tr w:rsidR="00643315" w:rsidRPr="007D74F0" w14:paraId="01C023A7" w14:textId="77777777" w:rsidTr="00643315">
        <w:tc>
          <w:tcPr>
            <w:cnfStyle w:val="001000000000" w:firstRow="0" w:lastRow="0" w:firstColumn="1" w:lastColumn="0" w:oddVBand="0" w:evenVBand="0" w:oddHBand="0" w:evenHBand="0" w:firstRowFirstColumn="0" w:firstRowLastColumn="0" w:lastRowFirstColumn="0" w:lastRowLastColumn="0"/>
            <w:tcW w:w="3609" w:type="pct"/>
            <w:tcBorders>
              <w:top w:val="single" w:sz="4" w:space="0" w:color="auto"/>
              <w:bottom w:val="single" w:sz="4" w:space="0" w:color="auto"/>
            </w:tcBorders>
            <w:shd w:val="clear" w:color="auto" w:fill="auto"/>
          </w:tcPr>
          <w:p w14:paraId="37BD0202" w14:textId="3F03F102" w:rsidR="00643315" w:rsidRPr="007D74F0" w:rsidRDefault="00643315" w:rsidP="001B4ACB">
            <w:pPr>
              <w:pStyle w:val="TableText"/>
              <w:keepNext/>
              <w:rPr>
                <w:rStyle w:val="Bold"/>
              </w:rPr>
            </w:pPr>
            <w:r>
              <w:rPr>
                <w:rStyle w:val="Bold"/>
              </w:rPr>
              <w:t>Total ex-gratia expenses</w:t>
            </w:r>
            <w:hyperlink w:anchor="Note92note1" w:history="1">
              <w:r w:rsidR="00686306" w:rsidRPr="00686306">
                <w:rPr>
                  <w:rFonts w:ascii="Arial Bold" w:hAnsi="Arial Bold"/>
                  <w:vertAlign w:val="superscript"/>
                </w:rPr>
                <w:t>(1)</w:t>
              </w:r>
            </w:hyperlink>
          </w:p>
        </w:tc>
        <w:tc>
          <w:tcPr>
            <w:tcW w:w="696" w:type="pct"/>
            <w:tcBorders>
              <w:top w:val="single" w:sz="4" w:space="0" w:color="auto"/>
              <w:bottom w:val="single" w:sz="4" w:space="0" w:color="auto"/>
            </w:tcBorders>
            <w:shd w:val="clear" w:color="auto" w:fill="auto"/>
          </w:tcPr>
          <w:p w14:paraId="6902CAAF" w14:textId="1C2E6AE9" w:rsidR="00643315" w:rsidRPr="007D74F0" w:rsidRDefault="00643315"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6</w:t>
            </w:r>
          </w:p>
        </w:tc>
        <w:tc>
          <w:tcPr>
            <w:tcW w:w="695" w:type="pct"/>
            <w:tcBorders>
              <w:top w:val="single" w:sz="4" w:space="0" w:color="auto"/>
              <w:bottom w:val="single" w:sz="4" w:space="0" w:color="auto"/>
            </w:tcBorders>
            <w:shd w:val="clear" w:color="auto" w:fill="auto"/>
          </w:tcPr>
          <w:p w14:paraId="2B26921D" w14:textId="07CFD393" w:rsidR="00643315" w:rsidRPr="007D74F0" w:rsidRDefault="00643315"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0</w:t>
            </w:r>
          </w:p>
        </w:tc>
      </w:tr>
    </w:tbl>
    <w:p w14:paraId="612F72FC" w14:textId="5656A6B7" w:rsidR="00643315" w:rsidRPr="00686306" w:rsidRDefault="00643315" w:rsidP="00F110E7">
      <w:pPr>
        <w:pStyle w:val="NotesNumberedList"/>
        <w:numPr>
          <w:ilvl w:val="0"/>
          <w:numId w:val="34"/>
        </w:numPr>
      </w:pPr>
      <w:bookmarkStart w:id="468" w:name="Note92note1"/>
      <w:bookmarkEnd w:id="468"/>
      <w:r w:rsidRPr="00686306">
        <w:t>Expenditure for security upgrade on an individual’s residence.</w:t>
      </w:r>
    </w:p>
    <w:p w14:paraId="722914EA" w14:textId="45D487FF" w:rsidR="00417B1B" w:rsidRDefault="006047F4" w:rsidP="006047F4">
      <w:pPr>
        <w:pStyle w:val="Heading3"/>
      </w:pPr>
      <w:bookmarkStart w:id="469" w:name="Note93"/>
      <w:bookmarkStart w:id="470" w:name="_Ref61897029"/>
      <w:bookmarkStart w:id="471" w:name="_Toc62808177"/>
      <w:r>
        <w:t xml:space="preserve">9.3 </w:t>
      </w:r>
      <w:bookmarkEnd w:id="469"/>
      <w:r w:rsidR="00417B1B" w:rsidRPr="006047F4">
        <w:t>Responsible</w:t>
      </w:r>
      <w:r w:rsidR="00417B1B">
        <w:t xml:space="preserve"> Persons</w:t>
      </w:r>
      <w:bookmarkEnd w:id="465"/>
      <w:bookmarkEnd w:id="470"/>
      <w:bookmarkEnd w:id="471"/>
    </w:p>
    <w:p w14:paraId="1E79AC60" w14:textId="327C8AC5" w:rsidR="006047F4" w:rsidRDefault="006047F4" w:rsidP="006047F4">
      <w:pPr>
        <w:pStyle w:val="BodyText"/>
        <w:keepNext/>
      </w:pPr>
      <w:r>
        <w:t xml:space="preserve">In accordance with the Ministerial Directions issued by the Assistant Treasurer under the </w:t>
      </w:r>
      <w:r w:rsidRPr="00686306">
        <w:rPr>
          <w:rStyle w:val="Italics"/>
        </w:rPr>
        <w:t>Financial Management Act 1994</w:t>
      </w:r>
      <w:r>
        <w:t>, the following disclosures are made regarding responsible persons for the reporting period.</w:t>
      </w:r>
    </w:p>
    <w:p w14:paraId="74730520" w14:textId="7B98A0F2" w:rsidR="00C0469D" w:rsidRDefault="00C0469D" w:rsidP="00C0469D">
      <w:pPr>
        <w:pStyle w:val="Heading4"/>
      </w:pPr>
      <w:r>
        <w:t>Names</w:t>
      </w:r>
    </w:p>
    <w:p w14:paraId="328E206C" w14:textId="3DB4D68E" w:rsidR="00A67691" w:rsidRDefault="00A67691" w:rsidP="00A67691">
      <w:pPr>
        <w:pStyle w:val="BodyText"/>
        <w:keepNext/>
      </w:pPr>
      <w:r>
        <w:t>The</w:t>
      </w:r>
      <w:r w:rsidRPr="002B2AF1">
        <w:t xml:space="preserve"> persons who held the positions of Minister and Accountable Officer in </w:t>
      </w:r>
      <w:r w:rsidR="009B1462">
        <w:t>Court Services Victoria</w:t>
      </w:r>
      <w:r w:rsidR="003E56C2">
        <w:t xml:space="preserve"> </w:t>
      </w:r>
      <w:r w:rsidRPr="002B2AF1">
        <w:t>are as follows:</w:t>
      </w:r>
    </w:p>
    <w:p w14:paraId="1F60F27D" w14:textId="0A9C674E" w:rsidR="00A67691" w:rsidRPr="002B2AF1" w:rsidRDefault="00A67691" w:rsidP="00A67691">
      <w:pPr>
        <w:pStyle w:val="BodyText"/>
        <w:keepNext/>
      </w:pPr>
      <w:r>
        <w:t>Responsible Minister:</w:t>
      </w:r>
    </w:p>
    <w:tbl>
      <w:tblPr>
        <w:tblStyle w:val="TableGrid"/>
        <w:tblW w:w="5000" w:type="pct"/>
        <w:tblLook w:val="04A0" w:firstRow="1" w:lastRow="0" w:firstColumn="1" w:lastColumn="0" w:noHBand="0" w:noVBand="1"/>
      </w:tblPr>
      <w:tblGrid>
        <w:gridCol w:w="5647"/>
        <w:gridCol w:w="3992"/>
      </w:tblGrid>
      <w:tr w:rsidR="00417B1B" w:rsidRPr="002B2AF1" w14:paraId="66E9BF55" w14:textId="77777777" w:rsidTr="00F17B89">
        <w:trPr>
          <w:cnfStyle w:val="100000000000" w:firstRow="1" w:lastRow="0" w:firstColumn="0" w:lastColumn="0" w:oddVBand="0" w:evenVBand="0" w:oddHBand="0" w:evenHBand="0" w:firstRowFirstColumn="0" w:firstRowLastColumn="0" w:lastRowFirstColumn="0" w:lastRowLastColumn="0"/>
        </w:trPr>
        <w:tc>
          <w:tcPr>
            <w:tcW w:w="2929" w:type="pct"/>
            <w:vAlign w:val="bottom"/>
          </w:tcPr>
          <w:p w14:paraId="08B0B7A7" w14:textId="1633605D" w:rsidR="00417B1B" w:rsidRPr="002B2AF1" w:rsidRDefault="00A67691" w:rsidP="00F17B89">
            <w:pPr>
              <w:pStyle w:val="TableText"/>
            </w:pPr>
            <w:bookmarkStart w:id="472" w:name="ColumnTitle_92"/>
            <w:r>
              <w:t>Name</w:t>
            </w:r>
          </w:p>
        </w:tc>
        <w:tc>
          <w:tcPr>
            <w:tcW w:w="2071" w:type="pct"/>
            <w:vAlign w:val="bottom"/>
          </w:tcPr>
          <w:p w14:paraId="7E8246F9" w14:textId="77777777" w:rsidR="00417B1B" w:rsidRPr="002B2AF1" w:rsidRDefault="00417B1B" w:rsidP="00F17B89">
            <w:pPr>
              <w:pStyle w:val="TableText"/>
            </w:pPr>
            <w:r w:rsidRPr="002B2AF1">
              <w:t>Period</w:t>
            </w:r>
          </w:p>
        </w:tc>
      </w:tr>
      <w:bookmarkEnd w:id="472"/>
      <w:tr w:rsidR="00417B1B" w:rsidRPr="002B2AF1" w14:paraId="24ABCEBA" w14:textId="77777777" w:rsidTr="00A67691">
        <w:tc>
          <w:tcPr>
            <w:tcW w:w="2929" w:type="pct"/>
          </w:tcPr>
          <w:p w14:paraId="305E09E7" w14:textId="7B76C021" w:rsidR="00417B1B" w:rsidRPr="002B2AF1" w:rsidRDefault="00417B1B" w:rsidP="00A67691">
            <w:pPr>
              <w:pStyle w:val="TableText"/>
            </w:pPr>
            <w:r w:rsidRPr="002B2AF1">
              <w:t xml:space="preserve">Attorney-General, </w:t>
            </w:r>
            <w:r w:rsidR="003E56C2">
              <w:t xml:space="preserve">The </w:t>
            </w:r>
            <w:r w:rsidRPr="002B2AF1">
              <w:t xml:space="preserve">Hon. </w:t>
            </w:r>
            <w:r w:rsidR="003E56C2">
              <w:t>Jill Hennessy MP</w:t>
            </w:r>
          </w:p>
        </w:tc>
        <w:tc>
          <w:tcPr>
            <w:tcW w:w="2071" w:type="pct"/>
          </w:tcPr>
          <w:p w14:paraId="22AEBD95" w14:textId="16900788" w:rsidR="00417B1B" w:rsidRPr="002B2AF1" w:rsidRDefault="003E56C2" w:rsidP="00A67691">
            <w:pPr>
              <w:pStyle w:val="TableText"/>
            </w:pPr>
            <w:r>
              <w:t>1 July 2019 to 30 June 2020</w:t>
            </w:r>
          </w:p>
        </w:tc>
      </w:tr>
      <w:tr w:rsidR="00417B1B" w:rsidRPr="002B2AF1" w14:paraId="3117B837" w14:textId="77777777" w:rsidTr="00A67691">
        <w:tc>
          <w:tcPr>
            <w:tcW w:w="2929" w:type="pct"/>
          </w:tcPr>
          <w:p w14:paraId="6E2687FD" w14:textId="02EB715E" w:rsidR="00417B1B" w:rsidRPr="002B2AF1" w:rsidRDefault="003E56C2" w:rsidP="00A67691">
            <w:pPr>
              <w:pStyle w:val="TableText"/>
            </w:pPr>
            <w:r>
              <w:t xml:space="preserve">Acting </w:t>
            </w:r>
            <w:r w:rsidR="00417B1B" w:rsidRPr="002B2AF1">
              <w:t xml:space="preserve">Attorney-General, </w:t>
            </w:r>
            <w:r>
              <w:t xml:space="preserve">The </w:t>
            </w:r>
            <w:r w:rsidR="00417B1B" w:rsidRPr="002B2AF1">
              <w:t>Hon.</w:t>
            </w:r>
            <w:r>
              <w:t xml:space="preserve"> Benjamin Carroll MP</w:t>
            </w:r>
          </w:p>
        </w:tc>
        <w:tc>
          <w:tcPr>
            <w:tcW w:w="2071" w:type="pct"/>
          </w:tcPr>
          <w:p w14:paraId="573BED9E" w14:textId="16A997C8" w:rsidR="00417B1B" w:rsidRPr="002B2AF1" w:rsidRDefault="003E56C2" w:rsidP="00A67691">
            <w:pPr>
              <w:pStyle w:val="TableText"/>
            </w:pPr>
            <w:r>
              <w:t>1 July 2019 to 5 July 2019</w:t>
            </w:r>
          </w:p>
        </w:tc>
      </w:tr>
      <w:tr w:rsidR="00417B1B" w:rsidRPr="002B2AF1" w14:paraId="4E7E45C0" w14:textId="77777777" w:rsidTr="00A67691">
        <w:tc>
          <w:tcPr>
            <w:tcW w:w="2929" w:type="pct"/>
          </w:tcPr>
          <w:p w14:paraId="7602EC72" w14:textId="1A1DC69E" w:rsidR="00417B1B" w:rsidRPr="002B2AF1" w:rsidRDefault="00417B1B" w:rsidP="00A67691">
            <w:pPr>
              <w:pStyle w:val="TableText"/>
            </w:pPr>
            <w:r w:rsidRPr="002B2AF1">
              <w:t xml:space="preserve">Acting Attorney-General, </w:t>
            </w:r>
            <w:r w:rsidR="003E56C2">
              <w:t xml:space="preserve">The </w:t>
            </w:r>
            <w:r w:rsidRPr="002B2AF1">
              <w:t xml:space="preserve">Hon. </w:t>
            </w:r>
            <w:r w:rsidR="003E56C2">
              <w:t>Gavin Jennings MP</w:t>
            </w:r>
          </w:p>
        </w:tc>
        <w:tc>
          <w:tcPr>
            <w:tcW w:w="2071" w:type="pct"/>
          </w:tcPr>
          <w:p w14:paraId="6935C2C7" w14:textId="3E80E14A" w:rsidR="00417B1B" w:rsidRPr="002B2AF1" w:rsidRDefault="003E56C2" w:rsidP="00A67691">
            <w:pPr>
              <w:pStyle w:val="TableText"/>
            </w:pPr>
            <w:r>
              <w:t>6 July 2019 to 13 July 2019</w:t>
            </w:r>
          </w:p>
        </w:tc>
      </w:tr>
      <w:tr w:rsidR="003E56C2" w:rsidRPr="002B2AF1" w14:paraId="735E57E9" w14:textId="77777777" w:rsidTr="00A67691">
        <w:tc>
          <w:tcPr>
            <w:tcW w:w="2929" w:type="pct"/>
          </w:tcPr>
          <w:p w14:paraId="55361626" w14:textId="588E43A5" w:rsidR="003E56C2" w:rsidRPr="002B2AF1" w:rsidRDefault="003E56C2" w:rsidP="00A67691">
            <w:pPr>
              <w:pStyle w:val="TableText"/>
            </w:pPr>
            <w:r>
              <w:t>Acting Attorney-General, The Hon. Benjamin Carroll MP</w:t>
            </w:r>
          </w:p>
        </w:tc>
        <w:tc>
          <w:tcPr>
            <w:tcW w:w="2071" w:type="pct"/>
          </w:tcPr>
          <w:p w14:paraId="16FC97F5" w14:textId="1A584D2F" w:rsidR="003E56C2" w:rsidRDefault="003E56C2" w:rsidP="00A67691">
            <w:pPr>
              <w:pStyle w:val="TableText"/>
            </w:pPr>
            <w:r>
              <w:t>14 July 2019 to 20 July 2019</w:t>
            </w:r>
          </w:p>
        </w:tc>
      </w:tr>
      <w:tr w:rsidR="003E56C2" w:rsidRPr="002B2AF1" w14:paraId="3141D914" w14:textId="77777777" w:rsidTr="00A67691">
        <w:tc>
          <w:tcPr>
            <w:tcW w:w="2929" w:type="pct"/>
          </w:tcPr>
          <w:p w14:paraId="4D69A2E8" w14:textId="60778F71" w:rsidR="003E56C2" w:rsidRDefault="003E56C2" w:rsidP="00A67691">
            <w:pPr>
              <w:pStyle w:val="TableText"/>
            </w:pPr>
            <w:r>
              <w:t>Acting Attorney-General, The Hon. Gavin Jennings MP</w:t>
            </w:r>
          </w:p>
        </w:tc>
        <w:tc>
          <w:tcPr>
            <w:tcW w:w="2071" w:type="pct"/>
          </w:tcPr>
          <w:p w14:paraId="689B84C8" w14:textId="75A6CF43" w:rsidR="003E56C2" w:rsidRDefault="003E56C2" w:rsidP="00A67691">
            <w:pPr>
              <w:pStyle w:val="TableText"/>
            </w:pPr>
            <w:r>
              <w:t>1 August 2019 to 10 August 2019</w:t>
            </w:r>
          </w:p>
        </w:tc>
      </w:tr>
      <w:tr w:rsidR="003E56C2" w:rsidRPr="002B2AF1" w14:paraId="3ACBF704" w14:textId="77777777" w:rsidTr="00A67691">
        <w:tc>
          <w:tcPr>
            <w:tcW w:w="2929" w:type="pct"/>
          </w:tcPr>
          <w:p w14:paraId="7C0F4E41" w14:textId="322D2826" w:rsidR="003E56C2" w:rsidRDefault="003E56C2" w:rsidP="00A67691">
            <w:pPr>
              <w:pStyle w:val="TableText"/>
            </w:pPr>
            <w:r>
              <w:t>Acting Attorney-General, The Hon. Benjamin Carroll MP</w:t>
            </w:r>
          </w:p>
        </w:tc>
        <w:tc>
          <w:tcPr>
            <w:tcW w:w="2071" w:type="pct"/>
          </w:tcPr>
          <w:p w14:paraId="723A1F34" w14:textId="745A2E9C" w:rsidR="003E56C2" w:rsidRDefault="003E56C2" w:rsidP="00A67691">
            <w:pPr>
              <w:pStyle w:val="TableText"/>
            </w:pPr>
            <w:r>
              <w:t>20 December 2019 to 12 January 2020</w:t>
            </w:r>
          </w:p>
        </w:tc>
      </w:tr>
    </w:tbl>
    <w:p w14:paraId="1A38B2E9" w14:textId="54EDC5E9" w:rsidR="00A67691" w:rsidRDefault="00A67691">
      <w:r>
        <w:t>Accountable Officer</w:t>
      </w:r>
    </w:p>
    <w:tbl>
      <w:tblPr>
        <w:tblStyle w:val="TableGrid"/>
        <w:tblW w:w="5000" w:type="pct"/>
        <w:tblLook w:val="04A0" w:firstRow="1" w:lastRow="0" w:firstColumn="1" w:lastColumn="0" w:noHBand="0" w:noVBand="1"/>
      </w:tblPr>
      <w:tblGrid>
        <w:gridCol w:w="5647"/>
        <w:gridCol w:w="3992"/>
      </w:tblGrid>
      <w:tr w:rsidR="00417B1B" w:rsidRPr="002B2AF1" w14:paraId="6240BFD4" w14:textId="77777777" w:rsidTr="00F17B89">
        <w:trPr>
          <w:cnfStyle w:val="100000000000" w:firstRow="1" w:lastRow="0" w:firstColumn="0" w:lastColumn="0" w:oddVBand="0" w:evenVBand="0" w:oddHBand="0" w:evenHBand="0" w:firstRowFirstColumn="0" w:firstRowLastColumn="0" w:lastRowFirstColumn="0" w:lastRowLastColumn="0"/>
        </w:trPr>
        <w:tc>
          <w:tcPr>
            <w:tcW w:w="2929" w:type="pct"/>
            <w:vAlign w:val="bottom"/>
          </w:tcPr>
          <w:p w14:paraId="5D46C172" w14:textId="4FB3B7E2" w:rsidR="00417B1B" w:rsidRPr="002B2AF1" w:rsidRDefault="00A67691" w:rsidP="00F17B89">
            <w:pPr>
              <w:pStyle w:val="TableText"/>
            </w:pPr>
            <w:bookmarkStart w:id="473" w:name="ColumnTitle_93"/>
            <w:r>
              <w:t>Name</w:t>
            </w:r>
          </w:p>
        </w:tc>
        <w:tc>
          <w:tcPr>
            <w:tcW w:w="2071" w:type="pct"/>
            <w:vAlign w:val="bottom"/>
          </w:tcPr>
          <w:p w14:paraId="7E78256D" w14:textId="77777777" w:rsidR="00417B1B" w:rsidRPr="002B2AF1" w:rsidRDefault="00417B1B" w:rsidP="00F17B89">
            <w:pPr>
              <w:pStyle w:val="TableText"/>
            </w:pPr>
            <w:r w:rsidRPr="002B2AF1">
              <w:t>Period</w:t>
            </w:r>
          </w:p>
        </w:tc>
      </w:tr>
      <w:bookmarkEnd w:id="473"/>
      <w:tr w:rsidR="00417B1B" w:rsidRPr="002B2AF1" w14:paraId="7D8BF686" w14:textId="77777777" w:rsidTr="00A67691">
        <w:tc>
          <w:tcPr>
            <w:tcW w:w="2929" w:type="pct"/>
          </w:tcPr>
          <w:p w14:paraId="690C2452" w14:textId="0A628FBE" w:rsidR="00417B1B" w:rsidRPr="002B2AF1" w:rsidRDefault="00417B1B" w:rsidP="00A67691">
            <w:pPr>
              <w:pStyle w:val="TableText"/>
            </w:pPr>
            <w:r w:rsidRPr="002B2AF1">
              <w:t xml:space="preserve">Chief Executive Officer, </w:t>
            </w:r>
            <w:r w:rsidR="003E56C2">
              <w:t>Louise Anderson</w:t>
            </w:r>
          </w:p>
        </w:tc>
        <w:tc>
          <w:tcPr>
            <w:tcW w:w="2071" w:type="pct"/>
          </w:tcPr>
          <w:p w14:paraId="11DA44BE" w14:textId="3C596862" w:rsidR="00417B1B" w:rsidRPr="002B2AF1" w:rsidRDefault="003E56C2" w:rsidP="00A67691">
            <w:pPr>
              <w:pStyle w:val="TableText"/>
            </w:pPr>
            <w:r>
              <w:t>1 July 2019 to 30 June 2020</w:t>
            </w:r>
          </w:p>
        </w:tc>
      </w:tr>
      <w:tr w:rsidR="00417B1B" w:rsidRPr="002B2AF1" w14:paraId="6470B9C9" w14:textId="77777777" w:rsidTr="00A67691">
        <w:tc>
          <w:tcPr>
            <w:tcW w:w="2929" w:type="pct"/>
          </w:tcPr>
          <w:p w14:paraId="7D7D7A26" w14:textId="57116667" w:rsidR="00417B1B" w:rsidRPr="002B2AF1" w:rsidRDefault="003E56C2" w:rsidP="00A67691">
            <w:pPr>
              <w:pStyle w:val="TableText"/>
            </w:pPr>
            <w:r>
              <w:t>Acting Chief Executive Officer, Fiona Chamberlain</w:t>
            </w:r>
          </w:p>
        </w:tc>
        <w:tc>
          <w:tcPr>
            <w:tcW w:w="2071" w:type="pct"/>
          </w:tcPr>
          <w:p w14:paraId="51C3ED3A" w14:textId="0CDE5312" w:rsidR="00417B1B" w:rsidRPr="002B2AF1" w:rsidRDefault="003E56C2" w:rsidP="00A67691">
            <w:pPr>
              <w:pStyle w:val="TableText"/>
            </w:pPr>
            <w:r>
              <w:t>3 July 2019 to 26 July 2019</w:t>
            </w:r>
          </w:p>
        </w:tc>
      </w:tr>
    </w:tbl>
    <w:p w14:paraId="050DBE86" w14:textId="77777777" w:rsidR="00A67691" w:rsidRDefault="00A67691" w:rsidP="00A67691">
      <w:pPr>
        <w:pStyle w:val="BodyText"/>
      </w:pPr>
      <w:r w:rsidRPr="002B2AF1">
        <w:t>Governing Body</w:t>
      </w:r>
    </w:p>
    <w:p w14:paraId="7B52BDAB" w14:textId="2751CB00" w:rsidR="00A67691" w:rsidRPr="002B2AF1" w:rsidRDefault="00A67691" w:rsidP="00A67691">
      <w:pPr>
        <w:pStyle w:val="BodyText"/>
      </w:pPr>
      <w:r>
        <w:t>The</w:t>
      </w:r>
      <w:r w:rsidRPr="002B2AF1">
        <w:t xml:space="preserve"> persons who held membership of the Courts Council in </w:t>
      </w:r>
      <w:r w:rsidR="009B1462">
        <w:t>Court Services Victoria</w:t>
      </w:r>
      <w:r w:rsidRPr="002B2AF1">
        <w:t xml:space="preserve"> are as follows:</w:t>
      </w:r>
    </w:p>
    <w:tbl>
      <w:tblPr>
        <w:tblStyle w:val="TableGrid"/>
        <w:tblW w:w="5000" w:type="pct"/>
        <w:tblLook w:val="04A0" w:firstRow="1" w:lastRow="0" w:firstColumn="1" w:lastColumn="0" w:noHBand="0" w:noVBand="1"/>
      </w:tblPr>
      <w:tblGrid>
        <w:gridCol w:w="5647"/>
        <w:gridCol w:w="3992"/>
      </w:tblGrid>
      <w:tr w:rsidR="00417B1B" w:rsidRPr="002B2AF1" w14:paraId="5BE8F044" w14:textId="77777777" w:rsidTr="00F17B89">
        <w:trPr>
          <w:cnfStyle w:val="100000000000" w:firstRow="1" w:lastRow="0" w:firstColumn="0" w:lastColumn="0" w:oddVBand="0" w:evenVBand="0" w:oddHBand="0" w:evenHBand="0" w:firstRowFirstColumn="0" w:firstRowLastColumn="0" w:lastRowFirstColumn="0" w:lastRowLastColumn="0"/>
        </w:trPr>
        <w:tc>
          <w:tcPr>
            <w:tcW w:w="2929" w:type="pct"/>
            <w:vAlign w:val="bottom"/>
          </w:tcPr>
          <w:p w14:paraId="3D23C411" w14:textId="77777777" w:rsidR="00417B1B" w:rsidRPr="002B2AF1" w:rsidRDefault="00417B1B" w:rsidP="00F17B89">
            <w:pPr>
              <w:pStyle w:val="TableText"/>
            </w:pPr>
            <w:bookmarkStart w:id="474" w:name="ColumnTitle_94"/>
            <w:r w:rsidRPr="002B2AF1">
              <w:t>Member Names</w:t>
            </w:r>
          </w:p>
        </w:tc>
        <w:tc>
          <w:tcPr>
            <w:tcW w:w="2071" w:type="pct"/>
            <w:vAlign w:val="bottom"/>
          </w:tcPr>
          <w:p w14:paraId="20258EED" w14:textId="77777777" w:rsidR="00417B1B" w:rsidRPr="002B2AF1" w:rsidRDefault="00417B1B" w:rsidP="00F17B89">
            <w:pPr>
              <w:pStyle w:val="TableText"/>
            </w:pPr>
            <w:r w:rsidRPr="002B2AF1">
              <w:t>Period</w:t>
            </w:r>
          </w:p>
        </w:tc>
      </w:tr>
      <w:bookmarkEnd w:id="474"/>
      <w:tr w:rsidR="00417B1B" w:rsidRPr="002B2AF1" w14:paraId="4D82255A" w14:textId="77777777" w:rsidTr="00A67691">
        <w:tc>
          <w:tcPr>
            <w:tcW w:w="2929" w:type="pct"/>
          </w:tcPr>
          <w:p w14:paraId="12563633" w14:textId="35B5E626" w:rsidR="00417B1B" w:rsidRPr="002B2AF1" w:rsidRDefault="003E56C2" w:rsidP="00A67691">
            <w:pPr>
              <w:pStyle w:val="TableText"/>
            </w:pPr>
            <w:r>
              <w:t xml:space="preserve">The </w:t>
            </w:r>
            <w:r w:rsidR="00417B1B" w:rsidRPr="002B2AF1">
              <w:t>Honourable Chief Justice Mary Anne Ferguson, Chair</w:t>
            </w:r>
          </w:p>
        </w:tc>
        <w:tc>
          <w:tcPr>
            <w:tcW w:w="2071" w:type="pct"/>
          </w:tcPr>
          <w:p w14:paraId="1069FFAC" w14:textId="6B6395A1" w:rsidR="00417B1B" w:rsidRPr="002B2AF1" w:rsidRDefault="003E56C2" w:rsidP="00A67691">
            <w:pPr>
              <w:pStyle w:val="TableText"/>
            </w:pPr>
            <w:r>
              <w:t>1 July 2019 to 30 June 2020</w:t>
            </w:r>
          </w:p>
        </w:tc>
      </w:tr>
      <w:tr w:rsidR="00417B1B" w:rsidRPr="002B2AF1" w14:paraId="587D131D" w14:textId="77777777" w:rsidTr="00A67691">
        <w:tc>
          <w:tcPr>
            <w:tcW w:w="2929" w:type="pct"/>
          </w:tcPr>
          <w:p w14:paraId="14DFCC8F" w14:textId="61892217" w:rsidR="00417B1B" w:rsidRPr="002B2AF1" w:rsidRDefault="003E56C2" w:rsidP="00A67691">
            <w:pPr>
              <w:pStyle w:val="TableText"/>
            </w:pPr>
            <w:r>
              <w:t>T</w:t>
            </w:r>
            <w:r w:rsidR="00E952AB">
              <w:t>he</w:t>
            </w:r>
            <w:r w:rsidR="00417B1B" w:rsidRPr="002B2AF1">
              <w:t xml:space="preserve"> Honourable Chief Judge Peter Kidd</w:t>
            </w:r>
          </w:p>
        </w:tc>
        <w:tc>
          <w:tcPr>
            <w:tcW w:w="2071" w:type="pct"/>
          </w:tcPr>
          <w:p w14:paraId="68B73BC6" w14:textId="3D04BEC8" w:rsidR="00417B1B" w:rsidRPr="002B2AF1" w:rsidRDefault="003E56C2" w:rsidP="00A67691">
            <w:pPr>
              <w:pStyle w:val="TableText"/>
            </w:pPr>
            <w:r>
              <w:t>1 July 2019 to 30 June 2020</w:t>
            </w:r>
          </w:p>
        </w:tc>
      </w:tr>
      <w:tr w:rsidR="00417B1B" w:rsidRPr="002B2AF1" w14:paraId="61F1CD91" w14:textId="77777777" w:rsidTr="00A67691">
        <w:tc>
          <w:tcPr>
            <w:tcW w:w="2929" w:type="pct"/>
          </w:tcPr>
          <w:p w14:paraId="515326DC" w14:textId="77777777" w:rsidR="00417B1B" w:rsidRPr="002B2AF1" w:rsidRDefault="00417B1B" w:rsidP="00A67691">
            <w:pPr>
              <w:pStyle w:val="TableText"/>
            </w:pPr>
            <w:r w:rsidRPr="002B2AF1">
              <w:t xml:space="preserve">His Honour Chief Magistrate Peter Lauritsen </w:t>
            </w:r>
          </w:p>
        </w:tc>
        <w:tc>
          <w:tcPr>
            <w:tcW w:w="2071" w:type="pct"/>
          </w:tcPr>
          <w:p w14:paraId="7E06B244" w14:textId="433C6018" w:rsidR="00417B1B" w:rsidRPr="002B2AF1" w:rsidRDefault="003E56C2" w:rsidP="00A67691">
            <w:pPr>
              <w:pStyle w:val="TableText"/>
            </w:pPr>
            <w:r>
              <w:t xml:space="preserve">1 July 2019 to </w:t>
            </w:r>
            <w:r w:rsidR="0073245D">
              <w:t>16 November 2019</w:t>
            </w:r>
          </w:p>
        </w:tc>
      </w:tr>
      <w:tr w:rsidR="00417B1B" w:rsidRPr="002B2AF1" w14:paraId="235A67EF" w14:textId="77777777" w:rsidTr="00A67691">
        <w:tc>
          <w:tcPr>
            <w:tcW w:w="2929" w:type="pct"/>
          </w:tcPr>
          <w:p w14:paraId="14681F0D" w14:textId="0126D997" w:rsidR="00417B1B" w:rsidRPr="002B2AF1" w:rsidRDefault="00417B1B" w:rsidP="00A67691">
            <w:pPr>
              <w:pStyle w:val="TableText"/>
            </w:pPr>
            <w:r w:rsidRPr="002B2AF1">
              <w:t xml:space="preserve">Her Honour </w:t>
            </w:r>
            <w:r w:rsidR="0073245D">
              <w:t>Chief Magistrate Lisa Hannan</w:t>
            </w:r>
          </w:p>
        </w:tc>
        <w:tc>
          <w:tcPr>
            <w:tcW w:w="2071" w:type="pct"/>
          </w:tcPr>
          <w:p w14:paraId="797BF45C" w14:textId="234256FF" w:rsidR="00417B1B" w:rsidRPr="002B2AF1" w:rsidRDefault="0073245D" w:rsidP="00A67691">
            <w:pPr>
              <w:pStyle w:val="TableText"/>
            </w:pPr>
            <w:r>
              <w:t>17 November 2019 to 30 June 2020</w:t>
            </w:r>
          </w:p>
        </w:tc>
      </w:tr>
      <w:tr w:rsidR="00417B1B" w:rsidRPr="002B2AF1" w14:paraId="7B14FA34" w14:textId="77777777" w:rsidTr="00A67691">
        <w:tc>
          <w:tcPr>
            <w:tcW w:w="2929" w:type="pct"/>
          </w:tcPr>
          <w:p w14:paraId="5E51EEB3" w14:textId="57A7EA40" w:rsidR="00417B1B" w:rsidRPr="002B2AF1" w:rsidRDefault="0073245D" w:rsidP="00A67691">
            <w:pPr>
              <w:pStyle w:val="TableText"/>
            </w:pPr>
            <w:r>
              <w:t>Her Honour Judge Amanda Chambers</w:t>
            </w:r>
          </w:p>
        </w:tc>
        <w:tc>
          <w:tcPr>
            <w:tcW w:w="2071" w:type="pct"/>
          </w:tcPr>
          <w:p w14:paraId="083F2FAF" w14:textId="08831D36" w:rsidR="00417B1B" w:rsidRPr="002B2AF1" w:rsidRDefault="0073245D" w:rsidP="00A67691">
            <w:pPr>
              <w:pStyle w:val="TableText"/>
            </w:pPr>
            <w:r>
              <w:t>1 July 2019 to 30 June 2020</w:t>
            </w:r>
          </w:p>
        </w:tc>
      </w:tr>
      <w:tr w:rsidR="00417B1B" w:rsidRPr="002B2AF1" w14:paraId="4B16F41D" w14:textId="77777777" w:rsidTr="00A67691">
        <w:tc>
          <w:tcPr>
            <w:tcW w:w="2929" w:type="pct"/>
          </w:tcPr>
          <w:p w14:paraId="6ECF8E7B" w14:textId="0D38761E" w:rsidR="00417B1B" w:rsidRPr="002B2AF1" w:rsidRDefault="0073245D" w:rsidP="00A67691">
            <w:pPr>
              <w:pStyle w:val="TableText"/>
            </w:pPr>
            <w:r>
              <w:t>Acting State Coroner Caitlin English</w:t>
            </w:r>
          </w:p>
        </w:tc>
        <w:tc>
          <w:tcPr>
            <w:tcW w:w="2071" w:type="pct"/>
          </w:tcPr>
          <w:p w14:paraId="2B99EC9C" w14:textId="5772F5B1" w:rsidR="00417B1B" w:rsidRPr="002B2AF1" w:rsidRDefault="0073245D" w:rsidP="00A67691">
            <w:pPr>
              <w:pStyle w:val="TableText"/>
            </w:pPr>
            <w:r>
              <w:t>1 July 2019 to 30 November 2019</w:t>
            </w:r>
          </w:p>
        </w:tc>
      </w:tr>
      <w:tr w:rsidR="00417B1B" w:rsidRPr="002B2AF1" w14:paraId="26A55DAC" w14:textId="77777777" w:rsidTr="00A67691">
        <w:tc>
          <w:tcPr>
            <w:tcW w:w="2929" w:type="pct"/>
          </w:tcPr>
          <w:p w14:paraId="4A9FD566" w14:textId="17F9CBCB" w:rsidR="00417B1B" w:rsidRPr="002B2AF1" w:rsidRDefault="0073245D" w:rsidP="00A67691">
            <w:pPr>
              <w:pStyle w:val="TableText"/>
            </w:pPr>
            <w:r>
              <w:t>His Honour State Coroner Judge John Cain</w:t>
            </w:r>
          </w:p>
        </w:tc>
        <w:tc>
          <w:tcPr>
            <w:tcW w:w="2071" w:type="pct"/>
          </w:tcPr>
          <w:p w14:paraId="70CA943A" w14:textId="1E473F78" w:rsidR="00417B1B" w:rsidRPr="002B2AF1" w:rsidRDefault="0073245D" w:rsidP="00A67691">
            <w:pPr>
              <w:pStyle w:val="TableText"/>
            </w:pPr>
            <w:r>
              <w:t>1 December 2019 to 30 June 2020</w:t>
            </w:r>
          </w:p>
        </w:tc>
      </w:tr>
      <w:tr w:rsidR="00417B1B" w:rsidRPr="002B2AF1" w14:paraId="3CD28619" w14:textId="77777777" w:rsidTr="00A67691">
        <w:tc>
          <w:tcPr>
            <w:tcW w:w="2929" w:type="pct"/>
          </w:tcPr>
          <w:p w14:paraId="310758D7" w14:textId="60609D38" w:rsidR="00417B1B" w:rsidRPr="002B2AF1" w:rsidRDefault="0073245D" w:rsidP="00A67691">
            <w:pPr>
              <w:pStyle w:val="TableText"/>
            </w:pPr>
            <w:r>
              <w:t>The Honourable Justice Michelle Quigley</w:t>
            </w:r>
          </w:p>
        </w:tc>
        <w:tc>
          <w:tcPr>
            <w:tcW w:w="2071" w:type="pct"/>
          </w:tcPr>
          <w:p w14:paraId="01E80348" w14:textId="00F18661" w:rsidR="00417B1B" w:rsidRPr="002B2AF1" w:rsidRDefault="0073245D" w:rsidP="00A67691">
            <w:pPr>
              <w:pStyle w:val="TableText"/>
            </w:pPr>
            <w:r>
              <w:t>1 July 2019 to 30 June 2020</w:t>
            </w:r>
          </w:p>
        </w:tc>
      </w:tr>
      <w:tr w:rsidR="00417B1B" w:rsidRPr="002B2AF1" w14:paraId="278C63E0" w14:textId="77777777" w:rsidTr="00A67691">
        <w:tc>
          <w:tcPr>
            <w:tcW w:w="2929" w:type="pct"/>
          </w:tcPr>
          <w:p w14:paraId="736F359D" w14:textId="227957EC" w:rsidR="00417B1B" w:rsidRPr="002B2AF1" w:rsidRDefault="0073245D" w:rsidP="00A67691">
            <w:pPr>
              <w:pStyle w:val="TableText"/>
            </w:pPr>
            <w:r>
              <w:t>Dr Philip Williams AM</w:t>
            </w:r>
          </w:p>
        </w:tc>
        <w:tc>
          <w:tcPr>
            <w:tcW w:w="2071" w:type="pct"/>
          </w:tcPr>
          <w:p w14:paraId="0C68B249" w14:textId="500AA339" w:rsidR="00417B1B" w:rsidRPr="002B2AF1" w:rsidRDefault="0073245D" w:rsidP="00A67691">
            <w:pPr>
              <w:pStyle w:val="TableText"/>
            </w:pPr>
            <w:r>
              <w:t>1 July 2019 to 30 June 2020</w:t>
            </w:r>
          </w:p>
        </w:tc>
      </w:tr>
    </w:tbl>
    <w:p w14:paraId="6D24D529" w14:textId="77777777" w:rsidR="00417B1B" w:rsidRDefault="00417B1B" w:rsidP="00A67691">
      <w:pPr>
        <w:pStyle w:val="Heading4"/>
      </w:pPr>
      <w:r w:rsidRPr="002B2AF1">
        <w:t>Remuneration: Accountable Officer</w:t>
      </w:r>
    </w:p>
    <w:tbl>
      <w:tblPr>
        <w:tblStyle w:val="AccessibleTableNumerical"/>
        <w:tblW w:w="5000" w:type="pct"/>
        <w:tblLook w:val="04A0" w:firstRow="1" w:lastRow="0" w:firstColumn="1" w:lastColumn="0" w:noHBand="0" w:noVBand="1"/>
      </w:tblPr>
      <w:tblGrid>
        <w:gridCol w:w="5649"/>
        <w:gridCol w:w="1995"/>
        <w:gridCol w:w="1995"/>
      </w:tblGrid>
      <w:tr w:rsidR="00417B1B" w:rsidRPr="00A67691" w14:paraId="250C0340" w14:textId="77777777" w:rsidTr="00A664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0" w:type="pct"/>
          </w:tcPr>
          <w:p w14:paraId="391274CA" w14:textId="7555DEC7" w:rsidR="00417B1B" w:rsidRPr="00A67691" w:rsidRDefault="00AC0BBF" w:rsidP="00A67691">
            <w:pPr>
              <w:pStyle w:val="TableText"/>
              <w:keepNext/>
            </w:pPr>
            <w:bookmarkStart w:id="475" w:name="ColumnTitle_95"/>
            <w:r w:rsidRPr="00A67691">
              <w:t>Item</w:t>
            </w:r>
          </w:p>
        </w:tc>
        <w:tc>
          <w:tcPr>
            <w:tcW w:w="1035" w:type="pct"/>
            <w:vAlign w:val="bottom"/>
          </w:tcPr>
          <w:p w14:paraId="14173CA2" w14:textId="4A2570E5" w:rsidR="00417B1B" w:rsidRPr="00A67691" w:rsidRDefault="00417B1B" w:rsidP="00C0469D">
            <w:pPr>
              <w:pStyle w:val="TableText"/>
              <w:keepNext/>
              <w:cnfStyle w:val="100000000000" w:firstRow="1" w:lastRow="0" w:firstColumn="0" w:lastColumn="0" w:oddVBand="0" w:evenVBand="0" w:oddHBand="0" w:evenHBand="0" w:firstRowFirstColumn="0" w:firstRowLastColumn="0" w:lastRowFirstColumn="0" w:lastRowLastColumn="0"/>
            </w:pPr>
            <w:r w:rsidRPr="00A67691">
              <w:t>20</w:t>
            </w:r>
            <w:r w:rsidR="0073245D">
              <w:t>20</w:t>
            </w:r>
            <w:r w:rsidRPr="00A67691">
              <w:br/>
              <w:t>No.</w:t>
            </w:r>
          </w:p>
        </w:tc>
        <w:tc>
          <w:tcPr>
            <w:tcW w:w="1035" w:type="pct"/>
            <w:vAlign w:val="bottom"/>
          </w:tcPr>
          <w:p w14:paraId="5A7DBEC2" w14:textId="61E786B0" w:rsidR="00417B1B" w:rsidRPr="00A67691" w:rsidRDefault="00417B1B" w:rsidP="00C0469D">
            <w:pPr>
              <w:pStyle w:val="TableText"/>
              <w:keepNext/>
              <w:cnfStyle w:val="100000000000" w:firstRow="1" w:lastRow="0" w:firstColumn="0" w:lastColumn="0" w:oddVBand="0" w:evenVBand="0" w:oddHBand="0" w:evenHBand="0" w:firstRowFirstColumn="0" w:firstRowLastColumn="0" w:lastRowFirstColumn="0" w:lastRowLastColumn="0"/>
            </w:pPr>
            <w:r w:rsidRPr="00A67691">
              <w:t>201</w:t>
            </w:r>
            <w:r w:rsidR="0073245D">
              <w:t>9</w:t>
            </w:r>
            <w:r w:rsidRPr="00A67691">
              <w:br/>
              <w:t>No.</w:t>
            </w:r>
          </w:p>
        </w:tc>
      </w:tr>
      <w:bookmarkEnd w:id="475"/>
      <w:tr w:rsidR="00417B1B" w:rsidRPr="00A67691" w14:paraId="1231DB5F"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58E581DE" w14:textId="02A20CE6" w:rsidR="00417B1B" w:rsidRPr="00A67691" w:rsidRDefault="0073245D" w:rsidP="00A67691">
            <w:pPr>
              <w:pStyle w:val="TableText"/>
              <w:keepNext/>
            </w:pPr>
            <w:r>
              <w:t>$20,000 - $89,999</w:t>
            </w:r>
          </w:p>
        </w:tc>
        <w:tc>
          <w:tcPr>
            <w:tcW w:w="1035" w:type="pct"/>
          </w:tcPr>
          <w:p w14:paraId="77B416C2" w14:textId="77777777" w:rsidR="00417B1B" w:rsidRPr="00A67691" w:rsidRDefault="00417B1B" w:rsidP="00A67691">
            <w:pPr>
              <w:pStyle w:val="TableText"/>
              <w:keepNext/>
              <w:cnfStyle w:val="000000000000" w:firstRow="0" w:lastRow="0" w:firstColumn="0" w:lastColumn="0" w:oddVBand="0" w:evenVBand="0" w:oddHBand="0" w:evenHBand="0" w:firstRowFirstColumn="0" w:firstRowLastColumn="0" w:lastRowFirstColumn="0" w:lastRowLastColumn="0"/>
            </w:pPr>
            <w:r w:rsidRPr="00A67691">
              <w:t>1</w:t>
            </w:r>
          </w:p>
        </w:tc>
        <w:tc>
          <w:tcPr>
            <w:tcW w:w="1035" w:type="pct"/>
          </w:tcPr>
          <w:p w14:paraId="52DA0D02" w14:textId="77777777" w:rsidR="00417B1B" w:rsidRPr="00A67691" w:rsidRDefault="00417B1B" w:rsidP="00A67691">
            <w:pPr>
              <w:pStyle w:val="TableText"/>
              <w:keepNext/>
              <w:cnfStyle w:val="000000000000" w:firstRow="0" w:lastRow="0" w:firstColumn="0" w:lastColumn="0" w:oddVBand="0" w:evenVBand="0" w:oddHBand="0" w:evenHBand="0" w:firstRowFirstColumn="0" w:firstRowLastColumn="0" w:lastRowFirstColumn="0" w:lastRowLastColumn="0"/>
            </w:pPr>
            <w:r w:rsidRPr="00A67691">
              <w:t>0</w:t>
            </w:r>
          </w:p>
        </w:tc>
      </w:tr>
      <w:tr w:rsidR="00417B1B" w:rsidRPr="00A67691" w14:paraId="6B700E69"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1DB99698" w14:textId="193C234D" w:rsidR="00417B1B" w:rsidRPr="00A67691" w:rsidRDefault="0073245D" w:rsidP="00A67691">
            <w:pPr>
              <w:pStyle w:val="TableText"/>
              <w:keepNext/>
            </w:pPr>
            <w:r>
              <w:t>$90,000 - $99,999</w:t>
            </w:r>
          </w:p>
        </w:tc>
        <w:tc>
          <w:tcPr>
            <w:tcW w:w="1035" w:type="pct"/>
          </w:tcPr>
          <w:p w14:paraId="73D2F8D7" w14:textId="61E89057"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c>
          <w:tcPr>
            <w:tcW w:w="1035" w:type="pct"/>
          </w:tcPr>
          <w:p w14:paraId="7FA15613" w14:textId="4FEF0DC1"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1</w:t>
            </w:r>
          </w:p>
        </w:tc>
      </w:tr>
      <w:tr w:rsidR="00417B1B" w:rsidRPr="00A67691" w14:paraId="59B42C08"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44E5C78F" w14:textId="2C35060B" w:rsidR="00417B1B" w:rsidRPr="00A67691" w:rsidRDefault="0073245D" w:rsidP="00A67691">
            <w:pPr>
              <w:pStyle w:val="TableText"/>
              <w:keepNext/>
            </w:pPr>
            <w:r>
              <w:t>$220,000 - $229,999</w:t>
            </w:r>
          </w:p>
        </w:tc>
        <w:tc>
          <w:tcPr>
            <w:tcW w:w="1035" w:type="pct"/>
          </w:tcPr>
          <w:p w14:paraId="3E2584B4" w14:textId="6B12DFA5"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c>
          <w:tcPr>
            <w:tcW w:w="1035" w:type="pct"/>
          </w:tcPr>
          <w:p w14:paraId="4060B95E" w14:textId="70F6FBB5"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1</w:t>
            </w:r>
          </w:p>
        </w:tc>
      </w:tr>
      <w:tr w:rsidR="00417B1B" w:rsidRPr="00A67691" w14:paraId="1C7A40CF"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700A036C" w14:textId="0EDE5C6D" w:rsidR="00417B1B" w:rsidRPr="00A67691" w:rsidRDefault="0073245D" w:rsidP="00A67691">
            <w:pPr>
              <w:pStyle w:val="TableText"/>
              <w:keepNext/>
            </w:pPr>
            <w:r>
              <w:t>$230,000 - $239,999</w:t>
            </w:r>
          </w:p>
        </w:tc>
        <w:tc>
          <w:tcPr>
            <w:tcW w:w="1035" w:type="pct"/>
          </w:tcPr>
          <w:p w14:paraId="4B32423E" w14:textId="3E51AD20"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c>
          <w:tcPr>
            <w:tcW w:w="1035" w:type="pct"/>
          </w:tcPr>
          <w:p w14:paraId="62240FAD" w14:textId="5E779A89" w:rsidR="00417B1B" w:rsidRPr="00A67691"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1</w:t>
            </w:r>
          </w:p>
        </w:tc>
      </w:tr>
      <w:tr w:rsidR="0073245D" w:rsidRPr="00A67691" w14:paraId="66402C8E"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0C5A89E4" w14:textId="7706533A" w:rsidR="0073245D" w:rsidRDefault="0073245D" w:rsidP="00A67691">
            <w:pPr>
              <w:pStyle w:val="TableText"/>
              <w:keepNext/>
            </w:pPr>
            <w:r>
              <w:t>$240,000 - $299,999</w:t>
            </w:r>
          </w:p>
        </w:tc>
        <w:tc>
          <w:tcPr>
            <w:tcW w:w="1035" w:type="pct"/>
          </w:tcPr>
          <w:p w14:paraId="0868A7CE" w14:textId="48B3CD42"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c>
          <w:tcPr>
            <w:tcW w:w="1035" w:type="pct"/>
          </w:tcPr>
          <w:p w14:paraId="31FA3140" w14:textId="34D63A1D"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r>
      <w:tr w:rsidR="0073245D" w:rsidRPr="00A67691" w14:paraId="2E8A4E4A"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5B1D6421" w14:textId="31B81D51" w:rsidR="0073245D" w:rsidRDefault="0073245D" w:rsidP="00A67691">
            <w:pPr>
              <w:pStyle w:val="TableText"/>
              <w:keepNext/>
            </w:pPr>
            <w:r>
              <w:t>$300,000 - $349,999</w:t>
            </w:r>
          </w:p>
        </w:tc>
        <w:tc>
          <w:tcPr>
            <w:tcW w:w="1035" w:type="pct"/>
          </w:tcPr>
          <w:p w14:paraId="11972C32" w14:textId="3116919A"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c>
          <w:tcPr>
            <w:tcW w:w="1035" w:type="pct"/>
          </w:tcPr>
          <w:p w14:paraId="6F872459" w14:textId="49DC95EA"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r>
      <w:tr w:rsidR="0073245D" w:rsidRPr="00A67691" w14:paraId="03BF1569"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018DDDD8" w14:textId="3E65532C" w:rsidR="0073245D" w:rsidRDefault="0073245D" w:rsidP="00A67691">
            <w:pPr>
              <w:pStyle w:val="TableText"/>
              <w:keepNext/>
            </w:pPr>
            <w:r>
              <w:t>$350,000 - $399,999</w:t>
            </w:r>
          </w:p>
        </w:tc>
        <w:tc>
          <w:tcPr>
            <w:tcW w:w="1035" w:type="pct"/>
          </w:tcPr>
          <w:p w14:paraId="3A8458D9" w14:textId="5034A530"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1</w:t>
            </w:r>
          </w:p>
        </w:tc>
        <w:tc>
          <w:tcPr>
            <w:tcW w:w="1035" w:type="pct"/>
          </w:tcPr>
          <w:p w14:paraId="02514B36" w14:textId="0EB1F2FD" w:rsidR="0073245D" w:rsidRDefault="0073245D" w:rsidP="00A67691">
            <w:pPr>
              <w:pStyle w:val="TableText"/>
              <w:keepNext/>
              <w:cnfStyle w:val="000000000000" w:firstRow="0" w:lastRow="0" w:firstColumn="0" w:lastColumn="0" w:oddVBand="0" w:evenVBand="0" w:oddHBand="0" w:evenHBand="0" w:firstRowFirstColumn="0" w:firstRowLastColumn="0" w:lastRowFirstColumn="0" w:lastRowLastColumn="0"/>
            </w:pPr>
            <w:r>
              <w:t>0</w:t>
            </w:r>
          </w:p>
        </w:tc>
      </w:tr>
      <w:tr w:rsidR="00417B1B" w:rsidRPr="00C0469D" w14:paraId="11032371" w14:textId="77777777" w:rsidTr="00A66463">
        <w:tc>
          <w:tcPr>
            <w:cnfStyle w:val="001000000000" w:firstRow="0" w:lastRow="0" w:firstColumn="1" w:lastColumn="0" w:oddVBand="0" w:evenVBand="0" w:oddHBand="0" w:evenHBand="0" w:firstRowFirstColumn="0" w:firstRowLastColumn="0" w:lastRowFirstColumn="0" w:lastRowLastColumn="0"/>
            <w:tcW w:w="2930" w:type="pct"/>
          </w:tcPr>
          <w:p w14:paraId="1914FA53" w14:textId="422DEFB8" w:rsidR="00417B1B" w:rsidRPr="00C0469D" w:rsidRDefault="00A67691" w:rsidP="00A67691">
            <w:pPr>
              <w:pStyle w:val="TableText"/>
              <w:rPr>
                <w:rStyle w:val="Bold"/>
              </w:rPr>
            </w:pPr>
            <w:r w:rsidRPr="00C0469D">
              <w:rPr>
                <w:rStyle w:val="Bold"/>
              </w:rPr>
              <w:t>Total</w:t>
            </w:r>
          </w:p>
        </w:tc>
        <w:tc>
          <w:tcPr>
            <w:tcW w:w="1035" w:type="pct"/>
          </w:tcPr>
          <w:p w14:paraId="54D413AC" w14:textId="78B1C12D" w:rsidR="00417B1B" w:rsidRPr="00C0469D" w:rsidRDefault="0073245D" w:rsidP="00A6769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w:t>
            </w:r>
          </w:p>
        </w:tc>
        <w:tc>
          <w:tcPr>
            <w:tcW w:w="1035" w:type="pct"/>
          </w:tcPr>
          <w:p w14:paraId="67039F4C" w14:textId="5A9B83E8" w:rsidR="00417B1B" w:rsidRPr="00C0469D" w:rsidRDefault="0073245D" w:rsidP="00A67691">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w:t>
            </w:r>
          </w:p>
        </w:tc>
      </w:tr>
    </w:tbl>
    <w:p w14:paraId="7969DBF5" w14:textId="0CEC4A45" w:rsidR="00A66463" w:rsidRDefault="00A66463" w:rsidP="00A66463">
      <w:pPr>
        <w:pStyle w:val="BodyText"/>
      </w:pPr>
      <w:r>
        <w:t>Remuneration received or receivable by the independent member during the reporting period was in the range: $20,000-$29,999 ($20,000-$29,999 in 2018-19).</w:t>
      </w:r>
    </w:p>
    <w:p w14:paraId="1B012F7E" w14:textId="76356257" w:rsidR="00A66463" w:rsidRDefault="00A66463" w:rsidP="00A66463">
      <w:pPr>
        <w:pStyle w:val="BodyText"/>
      </w:pPr>
      <w:r>
        <w:t xml:space="preserve">Judicial members of the responsible body are remunerated under the </w:t>
      </w:r>
      <w:r w:rsidRPr="00686306">
        <w:rPr>
          <w:rStyle w:val="Italics"/>
        </w:rPr>
        <w:t>Judicial Entitlements Act 2015</w:t>
      </w:r>
      <w:r>
        <w:t xml:space="preserve"> as holders of judicial positions defined by the respective acts of law that create the Victorian judiciary, namely the </w:t>
      </w:r>
      <w:r w:rsidRPr="00686306">
        <w:rPr>
          <w:rStyle w:val="Italics"/>
        </w:rPr>
        <w:t>Constitution Act 1975</w:t>
      </w:r>
      <w:r>
        <w:t xml:space="preserve"> s 82, County Court Act 1958 s.10, </w:t>
      </w:r>
      <w:r w:rsidRPr="00686306">
        <w:rPr>
          <w:rStyle w:val="Italics"/>
        </w:rPr>
        <w:t>Magistrates Court Act</w:t>
      </w:r>
      <w:r>
        <w:t xml:space="preserve"> shc.1 Pt1 cl.10 and </w:t>
      </w:r>
      <w:r w:rsidRPr="00686306">
        <w:rPr>
          <w:rStyle w:val="Italics"/>
        </w:rPr>
        <w:t>Victorian Civil and Administrative Tribunal Act. 1998</w:t>
      </w:r>
      <w:r>
        <w:t xml:space="preserve"> s.17AA. The Judicial members receive no additional remuneration in their capacity as members of the Courts Council.</w:t>
      </w:r>
    </w:p>
    <w:p w14:paraId="4CDE477B" w14:textId="484DD46A" w:rsidR="00E952AB" w:rsidRDefault="00417B1B" w:rsidP="00417B1B">
      <w:pPr>
        <w:pStyle w:val="Heading3"/>
      </w:pPr>
      <w:bookmarkStart w:id="476" w:name="Note94"/>
      <w:bookmarkStart w:id="477" w:name="_Ref61897040"/>
      <w:bookmarkStart w:id="478" w:name="_Toc62808178"/>
      <w:r>
        <w:t>9.</w:t>
      </w:r>
      <w:r w:rsidR="00A66463">
        <w:t>4</w:t>
      </w:r>
      <w:r>
        <w:t xml:space="preserve"> </w:t>
      </w:r>
      <w:bookmarkEnd w:id="476"/>
      <w:r>
        <w:t xml:space="preserve">Remuneration </w:t>
      </w:r>
      <w:r w:rsidR="00172429">
        <w:t>of</w:t>
      </w:r>
      <w:r>
        <w:t xml:space="preserve"> Executives</w:t>
      </w:r>
      <w:bookmarkEnd w:id="477"/>
      <w:bookmarkEnd w:id="478"/>
    </w:p>
    <w:p w14:paraId="21BC2FA0" w14:textId="3CBBC79F" w:rsidR="00A66463" w:rsidRDefault="00A66463" w:rsidP="00A66463">
      <w:pPr>
        <w:pStyle w:val="BodyText"/>
      </w:pPr>
      <w:r>
        <w:t xml:space="preserve">The number of executive officers, other than Ministers, members of the Governing Body and Accountable Officer, and their total remuneration during the reporting period are shown in the table below. Total annualised employee equivalents </w:t>
      </w:r>
      <w:proofErr w:type="gramStart"/>
      <w:r>
        <w:t>provides</w:t>
      </w:r>
      <w:proofErr w:type="gramEnd"/>
      <w:r>
        <w:t xml:space="preserve"> a measure of full time equivalent executive officers over the reporting period.</w:t>
      </w:r>
    </w:p>
    <w:p w14:paraId="6CDAB927" w14:textId="6E04D5CC" w:rsidR="00A66463" w:rsidRDefault="00A66463" w:rsidP="00A66463">
      <w:pPr>
        <w:pStyle w:val="BodyText"/>
      </w:pPr>
      <w:r>
        <w:t>Remuneration comprises employee benefits (as defined in AASB 119 Employee Benefits) in all forms of consideration paid, payable or provided by the entity, or on behalf of the entity, in exchange for services rendered. Accordingly, remuneration is determined on an accrual basis, and is disclosed in the following categories.</w:t>
      </w:r>
    </w:p>
    <w:p w14:paraId="5BFC5E26" w14:textId="0A43215F" w:rsidR="00A66463" w:rsidRDefault="00A66463" w:rsidP="00A66463">
      <w:pPr>
        <w:pStyle w:val="BodyText"/>
      </w:pPr>
      <w:r>
        <w:t>Short-term employee benefits include amounts such as wages, salaries, annual leave or sick leave that are usually paid or payable on a regular basis, as well as non-monetary benefits such as allowances and free or subsidised goods or services.</w:t>
      </w:r>
    </w:p>
    <w:p w14:paraId="403DE545" w14:textId="3ABC4961" w:rsidR="00A66463" w:rsidRDefault="00A66463" w:rsidP="00A66463">
      <w:pPr>
        <w:pStyle w:val="BodyText"/>
      </w:pPr>
      <w:r>
        <w:t>Post-employment benefits include pensions and other retirement benefits paid or payable on a discrete basis when employment has ceased.</w:t>
      </w:r>
    </w:p>
    <w:p w14:paraId="74E186A3" w14:textId="768CC1DF" w:rsidR="00A66463" w:rsidRDefault="00A66463" w:rsidP="00A66463">
      <w:pPr>
        <w:pStyle w:val="BodyText"/>
      </w:pPr>
      <w:r>
        <w:t>Other long-term benefits include long service leave, other long service benefit or deferred compensation.</w:t>
      </w:r>
    </w:p>
    <w:p w14:paraId="550C34E1" w14:textId="63E5B28F" w:rsidR="00A66463" w:rsidRDefault="00A66463" w:rsidP="00A66463">
      <w:pPr>
        <w:pStyle w:val="BodyText"/>
      </w:pPr>
      <w:r>
        <w:t>Termination benefits include termination of employment payments, such as severance packages.</w:t>
      </w:r>
    </w:p>
    <w:p w14:paraId="6BFAEFBB" w14:textId="543420E8" w:rsidR="00417B1B" w:rsidRDefault="00417B1B" w:rsidP="00417B1B">
      <w:pPr>
        <w:pStyle w:val="Heading4"/>
      </w:pPr>
      <w:r w:rsidRPr="002B2AF1">
        <w:t xml:space="preserve">Remuneration </w:t>
      </w:r>
      <w:r w:rsidR="00172429">
        <w:t>of</w:t>
      </w:r>
      <w:r w:rsidRPr="002B2AF1">
        <w:t xml:space="preserve"> Executive Officers</w:t>
      </w:r>
    </w:p>
    <w:tbl>
      <w:tblPr>
        <w:tblStyle w:val="AccessibleTableNumerical"/>
        <w:tblW w:w="5000" w:type="pct"/>
        <w:tblLook w:val="04A0" w:firstRow="1" w:lastRow="0" w:firstColumn="1" w:lastColumn="0" w:noHBand="0" w:noVBand="1"/>
      </w:tblPr>
      <w:tblGrid>
        <w:gridCol w:w="4983"/>
        <w:gridCol w:w="2329"/>
        <w:gridCol w:w="2327"/>
      </w:tblGrid>
      <w:tr w:rsidR="00417B1B" w:rsidRPr="00974AB5" w14:paraId="0F3F010C" w14:textId="77777777" w:rsidTr="00C0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5" w:type="pct"/>
          </w:tcPr>
          <w:p w14:paraId="14CBCD3A" w14:textId="14328D6E" w:rsidR="00417B1B" w:rsidRPr="00974AB5" w:rsidRDefault="00AC0BBF" w:rsidP="00974AB5">
            <w:pPr>
              <w:pStyle w:val="TableText"/>
            </w:pPr>
            <w:bookmarkStart w:id="479" w:name="ColumnTitle_96"/>
            <w:r w:rsidRPr="00974AB5">
              <w:t>Item</w:t>
            </w:r>
          </w:p>
        </w:tc>
        <w:tc>
          <w:tcPr>
            <w:tcW w:w="1208" w:type="pct"/>
            <w:vAlign w:val="bottom"/>
          </w:tcPr>
          <w:p w14:paraId="698CD9F3" w14:textId="6907B614" w:rsidR="00417B1B" w:rsidRPr="00974AB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974AB5">
              <w:t>20</w:t>
            </w:r>
            <w:r w:rsidR="00A66463">
              <w:t>20</w:t>
            </w:r>
            <w:r w:rsidRPr="00974AB5">
              <w:br/>
              <w:t>$'000</w:t>
            </w:r>
          </w:p>
        </w:tc>
        <w:tc>
          <w:tcPr>
            <w:tcW w:w="1207" w:type="pct"/>
            <w:vAlign w:val="bottom"/>
          </w:tcPr>
          <w:p w14:paraId="5B921BBD" w14:textId="3F0F7A7A" w:rsidR="00417B1B" w:rsidRPr="00974AB5" w:rsidRDefault="00417B1B" w:rsidP="00C0469D">
            <w:pPr>
              <w:pStyle w:val="TableText"/>
              <w:cnfStyle w:val="100000000000" w:firstRow="1" w:lastRow="0" w:firstColumn="0" w:lastColumn="0" w:oddVBand="0" w:evenVBand="0" w:oddHBand="0" w:evenHBand="0" w:firstRowFirstColumn="0" w:firstRowLastColumn="0" w:lastRowFirstColumn="0" w:lastRowLastColumn="0"/>
            </w:pPr>
            <w:r w:rsidRPr="00974AB5">
              <w:t>201</w:t>
            </w:r>
            <w:r w:rsidR="00A66463">
              <w:t>9</w:t>
            </w:r>
            <w:r w:rsidRPr="00974AB5">
              <w:br/>
              <w:t>$'000</w:t>
            </w:r>
          </w:p>
        </w:tc>
      </w:tr>
      <w:bookmarkEnd w:id="479"/>
      <w:tr w:rsidR="00417B1B" w:rsidRPr="00974AB5" w14:paraId="04714361"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7F17E599" w14:textId="77777777" w:rsidR="00417B1B" w:rsidRPr="00974AB5" w:rsidRDefault="00417B1B" w:rsidP="00974AB5">
            <w:pPr>
              <w:pStyle w:val="TableText"/>
            </w:pPr>
            <w:r w:rsidRPr="00974AB5">
              <w:t>Short-term employee benefits</w:t>
            </w:r>
          </w:p>
        </w:tc>
        <w:tc>
          <w:tcPr>
            <w:tcW w:w="1208" w:type="pct"/>
          </w:tcPr>
          <w:p w14:paraId="52D02048" w14:textId="74E1F38F"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4,041</w:t>
            </w:r>
          </w:p>
        </w:tc>
        <w:tc>
          <w:tcPr>
            <w:tcW w:w="1207" w:type="pct"/>
          </w:tcPr>
          <w:p w14:paraId="1573542F" w14:textId="114B59F3"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3,349</w:t>
            </w:r>
          </w:p>
        </w:tc>
      </w:tr>
      <w:tr w:rsidR="00417B1B" w:rsidRPr="00974AB5" w14:paraId="6B9B9FDE"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08328B7A" w14:textId="63C21A5F" w:rsidR="00417B1B" w:rsidRPr="00974AB5" w:rsidRDefault="00417B1B" w:rsidP="00974AB5">
            <w:pPr>
              <w:pStyle w:val="TableText"/>
            </w:pPr>
            <w:r w:rsidRPr="00974AB5">
              <w:t>Post-employment benefits</w:t>
            </w:r>
          </w:p>
        </w:tc>
        <w:tc>
          <w:tcPr>
            <w:tcW w:w="1208" w:type="pct"/>
          </w:tcPr>
          <w:p w14:paraId="161D7362" w14:textId="52AB37B6"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353</w:t>
            </w:r>
          </w:p>
        </w:tc>
        <w:tc>
          <w:tcPr>
            <w:tcW w:w="1207" w:type="pct"/>
          </w:tcPr>
          <w:p w14:paraId="02E02297" w14:textId="7F8A2DA0"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288</w:t>
            </w:r>
          </w:p>
        </w:tc>
      </w:tr>
      <w:tr w:rsidR="00417B1B" w:rsidRPr="00974AB5" w14:paraId="49E0734F"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4C50FD83" w14:textId="287A9192" w:rsidR="00417B1B" w:rsidRPr="00974AB5" w:rsidRDefault="00417B1B" w:rsidP="00974AB5">
            <w:pPr>
              <w:pStyle w:val="TableText"/>
            </w:pPr>
            <w:r w:rsidRPr="00974AB5">
              <w:t>Other long-term benefits</w:t>
            </w:r>
          </w:p>
        </w:tc>
        <w:tc>
          <w:tcPr>
            <w:tcW w:w="1208" w:type="pct"/>
          </w:tcPr>
          <w:p w14:paraId="5A1A70B7" w14:textId="15C13504"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98</w:t>
            </w:r>
          </w:p>
        </w:tc>
        <w:tc>
          <w:tcPr>
            <w:tcW w:w="1207" w:type="pct"/>
          </w:tcPr>
          <w:p w14:paraId="43630C6C" w14:textId="71505465"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84</w:t>
            </w:r>
          </w:p>
        </w:tc>
      </w:tr>
      <w:tr w:rsidR="00417B1B" w:rsidRPr="00974AB5" w14:paraId="18715052" w14:textId="77777777" w:rsidTr="00974AB5">
        <w:tc>
          <w:tcPr>
            <w:cnfStyle w:val="001000000000" w:firstRow="0" w:lastRow="0" w:firstColumn="1" w:lastColumn="0" w:oddVBand="0" w:evenVBand="0" w:oddHBand="0" w:evenHBand="0" w:firstRowFirstColumn="0" w:firstRowLastColumn="0" w:lastRowFirstColumn="0" w:lastRowLastColumn="0"/>
            <w:tcW w:w="2585" w:type="pct"/>
            <w:tcBorders>
              <w:bottom w:val="single" w:sz="4" w:space="0" w:color="auto"/>
            </w:tcBorders>
          </w:tcPr>
          <w:p w14:paraId="42B48301" w14:textId="012F4677" w:rsidR="00417B1B" w:rsidRPr="00974AB5" w:rsidRDefault="00417B1B" w:rsidP="00974AB5">
            <w:pPr>
              <w:pStyle w:val="TableText"/>
            </w:pPr>
            <w:r w:rsidRPr="00974AB5">
              <w:t>Termination benefits</w:t>
            </w:r>
          </w:p>
        </w:tc>
        <w:tc>
          <w:tcPr>
            <w:tcW w:w="1208" w:type="pct"/>
            <w:tcBorders>
              <w:bottom w:val="single" w:sz="4" w:space="0" w:color="auto"/>
            </w:tcBorders>
          </w:tcPr>
          <w:p w14:paraId="22128705" w14:textId="7DAAA75F"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333</w:t>
            </w:r>
          </w:p>
        </w:tc>
        <w:tc>
          <w:tcPr>
            <w:tcW w:w="1207" w:type="pct"/>
            <w:tcBorders>
              <w:bottom w:val="single" w:sz="4" w:space="0" w:color="auto"/>
            </w:tcBorders>
          </w:tcPr>
          <w:p w14:paraId="3BD2937F" w14:textId="7F9E4AA7"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pPr>
            <w:r>
              <w:t>116</w:t>
            </w:r>
          </w:p>
        </w:tc>
      </w:tr>
      <w:tr w:rsidR="00417B1B" w:rsidRPr="00974AB5" w14:paraId="3EFFEAF6" w14:textId="77777777" w:rsidTr="00974AB5">
        <w:tc>
          <w:tcPr>
            <w:cnfStyle w:val="001000000000" w:firstRow="0" w:lastRow="0" w:firstColumn="1" w:lastColumn="0" w:oddVBand="0" w:evenVBand="0" w:oddHBand="0" w:evenHBand="0" w:firstRowFirstColumn="0" w:firstRowLastColumn="0" w:lastRowFirstColumn="0" w:lastRowLastColumn="0"/>
            <w:tcW w:w="2585" w:type="pct"/>
            <w:tcBorders>
              <w:top w:val="single" w:sz="4" w:space="0" w:color="auto"/>
              <w:bottom w:val="single" w:sz="4" w:space="0" w:color="auto"/>
            </w:tcBorders>
            <w:shd w:val="clear" w:color="auto" w:fill="auto"/>
          </w:tcPr>
          <w:p w14:paraId="4E2323D1" w14:textId="77777777" w:rsidR="00417B1B" w:rsidRPr="00974AB5" w:rsidRDefault="00417B1B" w:rsidP="00974AB5">
            <w:pPr>
              <w:pStyle w:val="TableText"/>
              <w:rPr>
                <w:rStyle w:val="Bold"/>
              </w:rPr>
            </w:pPr>
            <w:r w:rsidRPr="00974AB5">
              <w:rPr>
                <w:rStyle w:val="Bold"/>
              </w:rPr>
              <w:t>Total remuneration</w:t>
            </w:r>
          </w:p>
        </w:tc>
        <w:tc>
          <w:tcPr>
            <w:tcW w:w="1208" w:type="pct"/>
            <w:tcBorders>
              <w:top w:val="single" w:sz="4" w:space="0" w:color="auto"/>
              <w:bottom w:val="single" w:sz="4" w:space="0" w:color="auto"/>
            </w:tcBorders>
            <w:shd w:val="clear" w:color="auto" w:fill="auto"/>
          </w:tcPr>
          <w:p w14:paraId="3521F473" w14:textId="6DE5288D"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4,825</w:t>
            </w:r>
          </w:p>
        </w:tc>
        <w:tc>
          <w:tcPr>
            <w:tcW w:w="1207" w:type="pct"/>
            <w:tcBorders>
              <w:top w:val="single" w:sz="4" w:space="0" w:color="auto"/>
              <w:bottom w:val="single" w:sz="4" w:space="0" w:color="auto"/>
            </w:tcBorders>
            <w:shd w:val="clear" w:color="auto" w:fill="auto"/>
          </w:tcPr>
          <w:p w14:paraId="72ABAC5A" w14:textId="61421EC1"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3,836</w:t>
            </w:r>
          </w:p>
        </w:tc>
      </w:tr>
      <w:tr w:rsidR="00417B1B" w:rsidRPr="00974AB5" w14:paraId="5EA2E20A" w14:textId="77777777" w:rsidTr="00974AB5">
        <w:tc>
          <w:tcPr>
            <w:cnfStyle w:val="001000000000" w:firstRow="0" w:lastRow="0" w:firstColumn="1" w:lastColumn="0" w:oddVBand="0" w:evenVBand="0" w:oddHBand="0" w:evenHBand="0" w:firstRowFirstColumn="0" w:firstRowLastColumn="0" w:lastRowFirstColumn="0" w:lastRowLastColumn="0"/>
            <w:tcW w:w="2585" w:type="pct"/>
            <w:tcBorders>
              <w:top w:val="single" w:sz="4" w:space="0" w:color="auto"/>
              <w:bottom w:val="single" w:sz="4" w:space="0" w:color="auto"/>
            </w:tcBorders>
            <w:shd w:val="clear" w:color="auto" w:fill="auto"/>
          </w:tcPr>
          <w:p w14:paraId="7AE5B95A" w14:textId="77777777" w:rsidR="00417B1B" w:rsidRPr="00974AB5" w:rsidRDefault="00417B1B" w:rsidP="00974AB5">
            <w:pPr>
              <w:pStyle w:val="TableText"/>
              <w:rPr>
                <w:rStyle w:val="Bold"/>
              </w:rPr>
            </w:pPr>
            <w:r w:rsidRPr="00974AB5">
              <w:rPr>
                <w:rStyle w:val="Bold"/>
              </w:rPr>
              <w:t>Total number of executives</w:t>
            </w:r>
          </w:p>
        </w:tc>
        <w:tc>
          <w:tcPr>
            <w:tcW w:w="1208" w:type="pct"/>
            <w:tcBorders>
              <w:top w:val="single" w:sz="4" w:space="0" w:color="auto"/>
              <w:bottom w:val="single" w:sz="4" w:space="0" w:color="auto"/>
            </w:tcBorders>
            <w:shd w:val="clear" w:color="auto" w:fill="auto"/>
          </w:tcPr>
          <w:p w14:paraId="5A04B7AA" w14:textId="25E036F0"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22</w:t>
            </w:r>
          </w:p>
        </w:tc>
        <w:tc>
          <w:tcPr>
            <w:tcW w:w="1207" w:type="pct"/>
            <w:tcBorders>
              <w:top w:val="single" w:sz="4" w:space="0" w:color="auto"/>
              <w:bottom w:val="single" w:sz="4" w:space="0" w:color="auto"/>
            </w:tcBorders>
            <w:shd w:val="clear" w:color="auto" w:fill="auto"/>
          </w:tcPr>
          <w:p w14:paraId="0206EC46" w14:textId="7F4458BD" w:rsidR="00417B1B" w:rsidRPr="00974AB5"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w:t>
            </w:r>
          </w:p>
        </w:tc>
      </w:tr>
      <w:tr w:rsidR="00417B1B" w:rsidRPr="008F485C" w14:paraId="3F001009" w14:textId="77777777" w:rsidTr="00974AB5">
        <w:tc>
          <w:tcPr>
            <w:cnfStyle w:val="001000000000" w:firstRow="0" w:lastRow="0" w:firstColumn="1" w:lastColumn="0" w:oddVBand="0" w:evenVBand="0" w:oddHBand="0" w:evenHBand="0" w:firstRowFirstColumn="0" w:firstRowLastColumn="0" w:lastRowFirstColumn="0" w:lastRowLastColumn="0"/>
            <w:tcW w:w="2585" w:type="pct"/>
            <w:tcBorders>
              <w:top w:val="single" w:sz="4" w:space="0" w:color="auto"/>
              <w:bottom w:val="single" w:sz="4" w:space="0" w:color="auto"/>
            </w:tcBorders>
            <w:shd w:val="clear" w:color="auto" w:fill="auto"/>
          </w:tcPr>
          <w:p w14:paraId="29C684B6" w14:textId="48EEEB83" w:rsidR="00417B1B" w:rsidRPr="008F485C" w:rsidRDefault="00417B1B" w:rsidP="004F4F99">
            <w:pPr>
              <w:pStyle w:val="TableText"/>
              <w:rPr>
                <w:rStyle w:val="Bold"/>
              </w:rPr>
            </w:pPr>
            <w:r w:rsidRPr="008F485C">
              <w:rPr>
                <w:rStyle w:val="Bold"/>
              </w:rPr>
              <w:t>Total annualised employee equivalents</w:t>
            </w:r>
            <w:r w:rsidR="004F4F99" w:rsidRPr="008F485C">
              <w:rPr>
                <w:rStyle w:val="Bold"/>
                <w:vertAlign w:val="superscript"/>
              </w:rPr>
              <w:fldChar w:fldCharType="begin"/>
            </w:r>
            <w:r w:rsidR="004F4F99" w:rsidRPr="008F485C">
              <w:rPr>
                <w:rStyle w:val="Bold"/>
                <w:vertAlign w:val="superscript"/>
              </w:rPr>
              <w:instrText xml:space="preserve"> REF Note93tablenote1 \r \h  \* MERGEFORMAT </w:instrText>
            </w:r>
            <w:r w:rsidR="004F4F99" w:rsidRPr="008F485C">
              <w:rPr>
                <w:rStyle w:val="Bold"/>
                <w:vertAlign w:val="superscript"/>
              </w:rPr>
            </w:r>
            <w:r w:rsidR="004F4F99" w:rsidRPr="008F485C">
              <w:rPr>
                <w:rStyle w:val="Bold"/>
                <w:vertAlign w:val="superscript"/>
              </w:rPr>
              <w:fldChar w:fldCharType="separate"/>
            </w:r>
            <w:r w:rsidR="00D46E6D">
              <w:rPr>
                <w:rStyle w:val="Bold"/>
                <w:vertAlign w:val="superscript"/>
              </w:rPr>
              <w:t>(1)</w:t>
            </w:r>
            <w:r w:rsidR="004F4F99" w:rsidRPr="008F485C">
              <w:rPr>
                <w:rStyle w:val="Bold"/>
                <w:vertAlign w:val="superscript"/>
              </w:rPr>
              <w:fldChar w:fldCharType="end"/>
            </w:r>
          </w:p>
        </w:tc>
        <w:tc>
          <w:tcPr>
            <w:tcW w:w="1208" w:type="pct"/>
            <w:tcBorders>
              <w:top w:val="single" w:sz="4" w:space="0" w:color="auto"/>
              <w:bottom w:val="single" w:sz="4" w:space="0" w:color="auto"/>
            </w:tcBorders>
            <w:shd w:val="clear" w:color="auto" w:fill="auto"/>
          </w:tcPr>
          <w:p w14:paraId="3FDDF3E3" w14:textId="4157D6F2" w:rsidR="00417B1B" w:rsidRPr="008F485C"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sidRPr="008F485C">
              <w:rPr>
                <w:rStyle w:val="Bold"/>
              </w:rPr>
              <w:t>15.5</w:t>
            </w:r>
          </w:p>
        </w:tc>
        <w:tc>
          <w:tcPr>
            <w:tcW w:w="1207" w:type="pct"/>
            <w:tcBorders>
              <w:top w:val="single" w:sz="4" w:space="0" w:color="auto"/>
              <w:bottom w:val="single" w:sz="4" w:space="0" w:color="auto"/>
            </w:tcBorders>
            <w:shd w:val="clear" w:color="auto" w:fill="auto"/>
          </w:tcPr>
          <w:p w14:paraId="40E22707" w14:textId="45A4D45E" w:rsidR="00417B1B" w:rsidRPr="008F485C" w:rsidRDefault="00A66463"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sidRPr="008F485C">
              <w:rPr>
                <w:rStyle w:val="Bold"/>
              </w:rPr>
              <w:t>19</w:t>
            </w:r>
          </w:p>
        </w:tc>
      </w:tr>
    </w:tbl>
    <w:p w14:paraId="7AE21AC9" w14:textId="77777777" w:rsidR="00417B1B" w:rsidRPr="008F485C" w:rsidRDefault="00417B1B" w:rsidP="00417B1B">
      <w:pPr>
        <w:pStyle w:val="NotesText"/>
      </w:pPr>
      <w:r w:rsidRPr="008F485C">
        <w:t>Note</w:t>
      </w:r>
    </w:p>
    <w:p w14:paraId="41503406" w14:textId="0623BFC0" w:rsidR="00A66463" w:rsidRPr="008F485C" w:rsidRDefault="00A66463" w:rsidP="00F110E7">
      <w:pPr>
        <w:pStyle w:val="NotesNumberedList"/>
        <w:numPr>
          <w:ilvl w:val="0"/>
          <w:numId w:val="26"/>
        </w:numPr>
      </w:pPr>
      <w:bookmarkStart w:id="480" w:name="Note94note1"/>
      <w:bookmarkStart w:id="481" w:name="Note93tablenote1"/>
      <w:bookmarkEnd w:id="480"/>
      <w:r w:rsidRPr="008F485C">
        <w:t>Annualised employee equivalent is calculated by dividing the total number of days that an employee is engaged to work during the week by the total number of full-time working days per week.</w:t>
      </w:r>
    </w:p>
    <w:p w14:paraId="5A55FC7F" w14:textId="12D1B6D4" w:rsidR="00417B1B" w:rsidRDefault="00417B1B" w:rsidP="00417B1B">
      <w:pPr>
        <w:pStyle w:val="Heading3"/>
      </w:pPr>
      <w:bookmarkStart w:id="482" w:name="Note95"/>
      <w:bookmarkStart w:id="483" w:name="_Toc62808179"/>
      <w:bookmarkEnd w:id="481"/>
      <w:r>
        <w:t>9.</w:t>
      </w:r>
      <w:r w:rsidR="002B1602">
        <w:t>5</w:t>
      </w:r>
      <w:r>
        <w:t xml:space="preserve"> </w:t>
      </w:r>
      <w:bookmarkEnd w:id="482"/>
      <w:r>
        <w:t>Key Management Personnel</w:t>
      </w:r>
      <w:bookmarkEnd w:id="483"/>
    </w:p>
    <w:p w14:paraId="16DE2215" w14:textId="0368419C" w:rsidR="002B1602" w:rsidRDefault="002B1602" w:rsidP="002B1602">
      <w:pPr>
        <w:pStyle w:val="BodyText"/>
      </w:pPr>
      <w:r>
        <w:t xml:space="preserve">Key management personnel of </w:t>
      </w:r>
      <w:r w:rsidR="009B1462">
        <w:t>Court Services Victoria</w:t>
      </w:r>
      <w:r>
        <w:t xml:space="preserve"> </w:t>
      </w:r>
      <w:proofErr w:type="gramStart"/>
      <w:r>
        <w:t>includes</w:t>
      </w:r>
      <w:proofErr w:type="gramEnd"/>
      <w:r>
        <w:t xml:space="preserve"> the responsible Minister, members of the Governing Body, and Accountable Officer. </w:t>
      </w:r>
      <w:r w:rsidR="009B1462">
        <w:t>Court Services Victoria</w:t>
      </w:r>
      <w:r>
        <w:t xml:space="preserve"> has determined that the executive officers, whose remuneration is reported in </w:t>
      </w:r>
      <w:hyperlink w:anchor="Note93" w:history="1">
        <w:r w:rsidR="00B85F52" w:rsidRPr="00B85F52">
          <w:t>Note 9.3</w:t>
        </w:r>
      </w:hyperlink>
      <w:r>
        <w:t>, are not Key Management Personnel.</w:t>
      </w:r>
    </w:p>
    <w:p w14:paraId="02A3187F" w14:textId="33CCED64" w:rsidR="002B1602" w:rsidRDefault="002B1602" w:rsidP="002B1602">
      <w:pPr>
        <w:pStyle w:val="BodyText"/>
      </w:pPr>
      <w:r>
        <w:t xml:space="preserve">Remuneration of key management personnel comprises employee benefits (as defined in AASB 119 </w:t>
      </w:r>
      <w:r w:rsidRPr="008F485C">
        <w:rPr>
          <w:rStyle w:val="Italics"/>
        </w:rPr>
        <w:t>Employee Benefits</w:t>
      </w:r>
      <w:r>
        <w:t>) in all forms of consideration paid, payable or provided by the entity, or on behalf of the entity, in exchange for services rendered. Accordingly, remuneration is determined on an accrual basis, and is disclosed in the following categories.</w:t>
      </w:r>
    </w:p>
    <w:p w14:paraId="780072BC" w14:textId="568FF982" w:rsidR="002B1602" w:rsidRDefault="002B1602" w:rsidP="002B1602">
      <w:pPr>
        <w:pStyle w:val="BodyText"/>
      </w:pPr>
      <w:r>
        <w:t>Short-term employee benefits include amounts such as wages, salaries, annual leave or sick leave that are usually paid or payable on a regular basis, as well as non-monetary benefits such as allowances and free or subsidised goods or services.</w:t>
      </w:r>
    </w:p>
    <w:p w14:paraId="510C44F9" w14:textId="416A8AE1" w:rsidR="002B1602" w:rsidRDefault="002B1602" w:rsidP="002B1602">
      <w:pPr>
        <w:pStyle w:val="BodyText"/>
      </w:pPr>
      <w:r>
        <w:t>Post-employment benefits include pensions and other retirement benefits paid or payable on a discrete basis when employment has ceased.</w:t>
      </w:r>
    </w:p>
    <w:p w14:paraId="15FD7731" w14:textId="498A7EDF" w:rsidR="002B1602" w:rsidRDefault="002B1602" w:rsidP="002B1602">
      <w:pPr>
        <w:pStyle w:val="BodyText"/>
      </w:pPr>
      <w:r>
        <w:t>Other long-term benefits include long service leave, other long service benefits or deferred compensation.</w:t>
      </w:r>
    </w:p>
    <w:p w14:paraId="7E8A5FC7" w14:textId="78BF04AD" w:rsidR="002B1602" w:rsidRDefault="002B1602" w:rsidP="002B1602">
      <w:pPr>
        <w:pStyle w:val="BodyText"/>
      </w:pPr>
      <w:r>
        <w:t>Termination benefits include termination of employment payments, such as severance packages.</w:t>
      </w:r>
    </w:p>
    <w:p w14:paraId="1A2E579F" w14:textId="07056E6D" w:rsidR="002B1602" w:rsidRDefault="002B1602" w:rsidP="002B1602">
      <w:pPr>
        <w:pStyle w:val="BodyText"/>
      </w:pPr>
      <w:r>
        <w:t xml:space="preserve">The remuneration detailed below excludes the salaries and benefits the Minister receives. The Minister’s remuneration and allowances is set by the </w:t>
      </w:r>
      <w:r w:rsidRPr="008F485C">
        <w:rPr>
          <w:rStyle w:val="Italics"/>
        </w:rPr>
        <w:t>Parliamentary Salaries and Superannuation Act 1968</w:t>
      </w:r>
      <w:r>
        <w:t xml:space="preserve"> and is reported within the Department of Parliamentary Services’ Financial Report.</w:t>
      </w:r>
    </w:p>
    <w:p w14:paraId="307C7A1C" w14:textId="00EBDD4D" w:rsidR="002B1602" w:rsidRDefault="002B1602" w:rsidP="002B1602">
      <w:pPr>
        <w:pStyle w:val="BodyText"/>
      </w:pPr>
      <w:r>
        <w:t>The remuneration of the Judicial members of the responsible body receive in their capacity as holders of judicial positions is also excluded. The Judicial members receive no additional remuneration in their capacity as members of the Courts Council.</w:t>
      </w:r>
    </w:p>
    <w:p w14:paraId="54CEF3CE" w14:textId="07954376" w:rsidR="00417B1B" w:rsidRDefault="00417B1B" w:rsidP="00417B1B">
      <w:pPr>
        <w:pStyle w:val="Heading4"/>
      </w:pPr>
      <w:r w:rsidRPr="002B2AF1">
        <w:t xml:space="preserve">Remuneration </w:t>
      </w:r>
      <w:r w:rsidR="00172429">
        <w:t>of</w:t>
      </w:r>
      <w:r w:rsidRPr="002B2AF1">
        <w:t xml:space="preserve"> Key Management Personnel</w:t>
      </w:r>
    </w:p>
    <w:tbl>
      <w:tblPr>
        <w:tblStyle w:val="AccessibleTableNumerical"/>
        <w:tblW w:w="5000" w:type="pct"/>
        <w:tblLook w:val="04A0" w:firstRow="1" w:lastRow="0" w:firstColumn="1" w:lastColumn="0" w:noHBand="0" w:noVBand="1"/>
      </w:tblPr>
      <w:tblGrid>
        <w:gridCol w:w="4977"/>
        <w:gridCol w:w="2331"/>
        <w:gridCol w:w="2331"/>
      </w:tblGrid>
      <w:tr w:rsidR="00417B1B" w:rsidRPr="00974AB5" w14:paraId="1AB02057" w14:textId="77777777" w:rsidTr="00C0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pct"/>
          </w:tcPr>
          <w:p w14:paraId="226BF929" w14:textId="34E0F277" w:rsidR="00417B1B" w:rsidRPr="00974AB5" w:rsidRDefault="00AC0BBF" w:rsidP="00974AB5">
            <w:pPr>
              <w:pStyle w:val="TableText"/>
              <w:keepNext/>
            </w:pPr>
            <w:bookmarkStart w:id="484" w:name="ColumnTitle_97"/>
            <w:r w:rsidRPr="00974AB5">
              <w:t>Item</w:t>
            </w:r>
          </w:p>
        </w:tc>
        <w:tc>
          <w:tcPr>
            <w:tcW w:w="1209" w:type="pct"/>
            <w:vAlign w:val="bottom"/>
          </w:tcPr>
          <w:p w14:paraId="23424CC6" w14:textId="62FFEEEA" w:rsidR="00417B1B" w:rsidRPr="00974AB5" w:rsidRDefault="00417B1B" w:rsidP="00C0469D">
            <w:pPr>
              <w:pStyle w:val="TableText"/>
              <w:keepNext/>
              <w:cnfStyle w:val="100000000000" w:firstRow="1" w:lastRow="0" w:firstColumn="0" w:lastColumn="0" w:oddVBand="0" w:evenVBand="0" w:oddHBand="0" w:evenHBand="0" w:firstRowFirstColumn="0" w:firstRowLastColumn="0" w:lastRowFirstColumn="0" w:lastRowLastColumn="0"/>
            </w:pPr>
            <w:r w:rsidRPr="00974AB5">
              <w:t>20</w:t>
            </w:r>
            <w:r w:rsidR="009B76AE">
              <w:t>20</w:t>
            </w:r>
            <w:r w:rsidRPr="00974AB5">
              <w:br/>
              <w:t xml:space="preserve">$'000 </w:t>
            </w:r>
          </w:p>
        </w:tc>
        <w:tc>
          <w:tcPr>
            <w:tcW w:w="1209" w:type="pct"/>
            <w:vAlign w:val="bottom"/>
          </w:tcPr>
          <w:p w14:paraId="41880838" w14:textId="57EAD726" w:rsidR="00417B1B" w:rsidRPr="00974AB5" w:rsidRDefault="00417B1B" w:rsidP="00C0469D">
            <w:pPr>
              <w:pStyle w:val="TableText"/>
              <w:keepNext/>
              <w:cnfStyle w:val="100000000000" w:firstRow="1" w:lastRow="0" w:firstColumn="0" w:lastColumn="0" w:oddVBand="0" w:evenVBand="0" w:oddHBand="0" w:evenHBand="0" w:firstRowFirstColumn="0" w:firstRowLastColumn="0" w:lastRowFirstColumn="0" w:lastRowLastColumn="0"/>
            </w:pPr>
            <w:r w:rsidRPr="00974AB5">
              <w:t>201</w:t>
            </w:r>
            <w:r w:rsidR="009B76AE">
              <w:t>9</w:t>
            </w:r>
            <w:r w:rsidRPr="00974AB5">
              <w:br/>
              <w:t xml:space="preserve">$'000 </w:t>
            </w:r>
          </w:p>
        </w:tc>
      </w:tr>
      <w:bookmarkEnd w:id="484"/>
      <w:tr w:rsidR="00417B1B" w:rsidRPr="00974AB5" w14:paraId="09E1A529" w14:textId="77777777" w:rsidTr="00AC0BBF">
        <w:tc>
          <w:tcPr>
            <w:cnfStyle w:val="001000000000" w:firstRow="0" w:lastRow="0" w:firstColumn="1" w:lastColumn="0" w:oddVBand="0" w:evenVBand="0" w:oddHBand="0" w:evenHBand="0" w:firstRowFirstColumn="0" w:firstRowLastColumn="0" w:lastRowFirstColumn="0" w:lastRowLastColumn="0"/>
            <w:tcW w:w="2581" w:type="pct"/>
          </w:tcPr>
          <w:p w14:paraId="71D574D5" w14:textId="77777777" w:rsidR="00417B1B" w:rsidRPr="00974AB5" w:rsidRDefault="00417B1B" w:rsidP="00974AB5">
            <w:pPr>
              <w:pStyle w:val="TableText"/>
              <w:keepNext/>
            </w:pPr>
            <w:r w:rsidRPr="00974AB5">
              <w:t>Short-term employee benefits</w:t>
            </w:r>
          </w:p>
        </w:tc>
        <w:tc>
          <w:tcPr>
            <w:tcW w:w="1209" w:type="pct"/>
          </w:tcPr>
          <w:p w14:paraId="24EFF74E" w14:textId="4A0CAB5E"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413</w:t>
            </w:r>
          </w:p>
        </w:tc>
        <w:tc>
          <w:tcPr>
            <w:tcW w:w="1209" w:type="pct"/>
          </w:tcPr>
          <w:p w14:paraId="24EF42C7" w14:textId="1CEBC876"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529</w:t>
            </w:r>
          </w:p>
        </w:tc>
      </w:tr>
      <w:tr w:rsidR="00417B1B" w:rsidRPr="00974AB5" w14:paraId="2A79AEA9" w14:textId="77777777" w:rsidTr="00AC0BBF">
        <w:tc>
          <w:tcPr>
            <w:cnfStyle w:val="001000000000" w:firstRow="0" w:lastRow="0" w:firstColumn="1" w:lastColumn="0" w:oddVBand="0" w:evenVBand="0" w:oddHBand="0" w:evenHBand="0" w:firstRowFirstColumn="0" w:firstRowLastColumn="0" w:lastRowFirstColumn="0" w:lastRowLastColumn="0"/>
            <w:tcW w:w="2581" w:type="pct"/>
          </w:tcPr>
          <w:p w14:paraId="3089D9B5" w14:textId="0DAEEE18" w:rsidR="00417B1B" w:rsidRPr="00974AB5" w:rsidRDefault="00417B1B" w:rsidP="00974AB5">
            <w:pPr>
              <w:pStyle w:val="TableText"/>
              <w:keepNext/>
            </w:pPr>
            <w:r w:rsidRPr="00974AB5">
              <w:t>Post-employment benefits</w:t>
            </w:r>
          </w:p>
        </w:tc>
        <w:tc>
          <w:tcPr>
            <w:tcW w:w="1209" w:type="pct"/>
          </w:tcPr>
          <w:p w14:paraId="3371B6FE" w14:textId="0E438A52"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24</w:t>
            </w:r>
          </w:p>
        </w:tc>
        <w:tc>
          <w:tcPr>
            <w:tcW w:w="1209" w:type="pct"/>
          </w:tcPr>
          <w:p w14:paraId="2C85F7A1" w14:textId="336A51D7"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37</w:t>
            </w:r>
          </w:p>
        </w:tc>
      </w:tr>
      <w:tr w:rsidR="00417B1B" w:rsidRPr="00974AB5" w14:paraId="2C3B4470" w14:textId="77777777" w:rsidTr="00F1511A">
        <w:tc>
          <w:tcPr>
            <w:cnfStyle w:val="001000000000" w:firstRow="0" w:lastRow="0" w:firstColumn="1" w:lastColumn="0" w:oddVBand="0" w:evenVBand="0" w:oddHBand="0" w:evenHBand="0" w:firstRowFirstColumn="0" w:firstRowLastColumn="0" w:lastRowFirstColumn="0" w:lastRowLastColumn="0"/>
            <w:tcW w:w="2581" w:type="pct"/>
            <w:tcBorders>
              <w:bottom w:val="single" w:sz="4" w:space="0" w:color="auto"/>
            </w:tcBorders>
          </w:tcPr>
          <w:p w14:paraId="192E54B3" w14:textId="0AF0BE4E" w:rsidR="00417B1B" w:rsidRPr="00974AB5" w:rsidRDefault="00417B1B" w:rsidP="00974AB5">
            <w:pPr>
              <w:pStyle w:val="TableText"/>
              <w:keepNext/>
            </w:pPr>
            <w:r w:rsidRPr="00974AB5">
              <w:t>Other long-term benefits</w:t>
            </w:r>
          </w:p>
        </w:tc>
        <w:tc>
          <w:tcPr>
            <w:tcW w:w="1209" w:type="pct"/>
            <w:tcBorders>
              <w:bottom w:val="single" w:sz="4" w:space="0" w:color="auto"/>
            </w:tcBorders>
          </w:tcPr>
          <w:p w14:paraId="21741F8F" w14:textId="4DD984A5"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10</w:t>
            </w:r>
          </w:p>
        </w:tc>
        <w:tc>
          <w:tcPr>
            <w:tcW w:w="1209" w:type="pct"/>
            <w:tcBorders>
              <w:bottom w:val="single" w:sz="4" w:space="0" w:color="auto"/>
            </w:tcBorders>
          </w:tcPr>
          <w:p w14:paraId="7EEB8431" w14:textId="08217879" w:rsidR="00417B1B" w:rsidRPr="00974AB5" w:rsidRDefault="009B76AE" w:rsidP="00974AB5">
            <w:pPr>
              <w:pStyle w:val="TableText"/>
              <w:keepNext/>
              <w:cnfStyle w:val="000000000000" w:firstRow="0" w:lastRow="0" w:firstColumn="0" w:lastColumn="0" w:oddVBand="0" w:evenVBand="0" w:oddHBand="0" w:evenHBand="0" w:firstRowFirstColumn="0" w:firstRowLastColumn="0" w:lastRowFirstColumn="0" w:lastRowLastColumn="0"/>
            </w:pPr>
            <w:r>
              <w:t>12</w:t>
            </w:r>
          </w:p>
        </w:tc>
      </w:tr>
      <w:tr w:rsidR="00417B1B" w:rsidRPr="00C0469D" w14:paraId="1A1B2A65" w14:textId="77777777" w:rsidTr="00F1511A">
        <w:tc>
          <w:tcPr>
            <w:cnfStyle w:val="001000000000" w:firstRow="0" w:lastRow="0" w:firstColumn="1" w:lastColumn="0" w:oddVBand="0" w:evenVBand="0" w:oddHBand="0" w:evenHBand="0" w:firstRowFirstColumn="0" w:firstRowLastColumn="0" w:lastRowFirstColumn="0" w:lastRowLastColumn="0"/>
            <w:tcW w:w="2581" w:type="pct"/>
            <w:tcBorders>
              <w:top w:val="single" w:sz="4" w:space="0" w:color="auto"/>
              <w:bottom w:val="single" w:sz="4" w:space="0" w:color="auto"/>
            </w:tcBorders>
          </w:tcPr>
          <w:p w14:paraId="78BD413E" w14:textId="77777777" w:rsidR="00417B1B" w:rsidRPr="00C0469D" w:rsidRDefault="00417B1B" w:rsidP="00974AB5">
            <w:pPr>
              <w:pStyle w:val="TableText"/>
              <w:rPr>
                <w:rStyle w:val="Bold"/>
              </w:rPr>
            </w:pPr>
            <w:r w:rsidRPr="00C0469D">
              <w:rPr>
                <w:rStyle w:val="Bold"/>
              </w:rPr>
              <w:t>Total remuneration</w:t>
            </w:r>
          </w:p>
        </w:tc>
        <w:tc>
          <w:tcPr>
            <w:tcW w:w="1209" w:type="pct"/>
            <w:tcBorders>
              <w:top w:val="single" w:sz="4" w:space="0" w:color="auto"/>
              <w:bottom w:val="single" w:sz="4" w:space="0" w:color="auto"/>
            </w:tcBorders>
          </w:tcPr>
          <w:p w14:paraId="0F7CEF72" w14:textId="705FCB64" w:rsidR="00417B1B" w:rsidRPr="00C0469D" w:rsidRDefault="009B76AE"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446</w:t>
            </w:r>
          </w:p>
        </w:tc>
        <w:tc>
          <w:tcPr>
            <w:tcW w:w="1209" w:type="pct"/>
            <w:tcBorders>
              <w:top w:val="single" w:sz="4" w:space="0" w:color="auto"/>
              <w:bottom w:val="single" w:sz="4" w:space="0" w:color="auto"/>
            </w:tcBorders>
          </w:tcPr>
          <w:p w14:paraId="46FAAF12" w14:textId="12DD37E5" w:rsidR="00417B1B" w:rsidRPr="00C0469D" w:rsidRDefault="009B76AE" w:rsidP="00974AB5">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578</w:t>
            </w:r>
          </w:p>
        </w:tc>
      </w:tr>
    </w:tbl>
    <w:p w14:paraId="5D149F34" w14:textId="353C4DBF" w:rsidR="00417B1B" w:rsidRDefault="00417B1B" w:rsidP="00417B1B">
      <w:pPr>
        <w:pStyle w:val="Heading4"/>
      </w:pPr>
      <w:bookmarkStart w:id="485" w:name="Note941"/>
      <w:r>
        <w:t>9.</w:t>
      </w:r>
      <w:r w:rsidR="009B76AE">
        <w:t>5</w:t>
      </w:r>
      <w:r>
        <w:t>.1</w:t>
      </w:r>
      <w:r w:rsidR="00092296">
        <w:tab/>
      </w:r>
      <w:bookmarkEnd w:id="485"/>
      <w:r>
        <w:t xml:space="preserve">Transactions </w:t>
      </w:r>
      <w:r w:rsidR="00D45E5B">
        <w:t xml:space="preserve">and </w:t>
      </w:r>
      <w:r w:rsidR="00C0469D">
        <w:t>Balances w</w:t>
      </w:r>
      <w:r>
        <w:t>ith Key Management Personnel</w:t>
      </w:r>
    </w:p>
    <w:p w14:paraId="0A11A84A" w14:textId="541B349F" w:rsidR="009B76AE" w:rsidRDefault="009B76AE" w:rsidP="009B76AE">
      <w:pPr>
        <w:pStyle w:val="BodyText"/>
      </w:pPr>
      <w:r>
        <w:t xml:space="preserve">Given the breadth and depth of State government activities, related parties transact with the Victorian public sector in a manner consistent with other members of the public </w:t>
      </w:r>
      <w:proofErr w:type="gramStart"/>
      <w:r>
        <w:t>e.g.</w:t>
      </w:r>
      <w:proofErr w:type="gramEnd"/>
      <w:r>
        <w:t xml:space="preserve"> stamp duty and other government fees and charges. Further employment of processes within the Victorian public sector </w:t>
      </w:r>
      <w:proofErr w:type="gramStart"/>
      <w:r>
        <w:t>occur</w:t>
      </w:r>
      <w:proofErr w:type="gramEnd"/>
      <w:r>
        <w:t xml:space="preserve"> on terms and conditions consistent with the </w:t>
      </w:r>
      <w:r w:rsidRPr="00BC1972">
        <w:rPr>
          <w:i/>
          <w:iCs/>
        </w:rPr>
        <w:t>Public Administration Act 2004</w:t>
      </w:r>
      <w:r>
        <w:t xml:space="preserve"> and Codes of Conduct and Standards issued by the Victorian Public Sector Commission. Procurement processes occur on terms and conditions consistent with the Victorian Government Purchasing Board requirements.</w:t>
      </w:r>
    </w:p>
    <w:p w14:paraId="3BA21708" w14:textId="76540C98" w:rsidR="009B76AE" w:rsidRDefault="009B76AE" w:rsidP="009B76AE">
      <w:pPr>
        <w:pStyle w:val="BodyText"/>
      </w:pPr>
      <w:r>
        <w:t xml:space="preserve">During period 1 July 2019 to 30 June 2020, there were no related party transactions that involved key management personnel of </w:t>
      </w:r>
      <w:r w:rsidR="009B1462">
        <w:t>Court Services Victoria</w:t>
      </w:r>
      <w:r>
        <w:t>.</w:t>
      </w:r>
    </w:p>
    <w:p w14:paraId="33A54B56" w14:textId="5964B535" w:rsidR="00417B1B" w:rsidRDefault="00417B1B" w:rsidP="00417B1B">
      <w:pPr>
        <w:pStyle w:val="Heading3"/>
      </w:pPr>
      <w:bookmarkStart w:id="486" w:name="Note96"/>
      <w:bookmarkStart w:id="487" w:name="_Toc62808180"/>
      <w:r w:rsidRPr="002B2AF1">
        <w:t>9.</w:t>
      </w:r>
      <w:r w:rsidR="009B76AE">
        <w:t>6</w:t>
      </w:r>
      <w:r w:rsidRPr="002B2AF1">
        <w:t xml:space="preserve"> </w:t>
      </w:r>
      <w:bookmarkEnd w:id="486"/>
      <w:r w:rsidRPr="002B2AF1">
        <w:t xml:space="preserve">Remuneration </w:t>
      </w:r>
      <w:r w:rsidR="00172429">
        <w:t>of</w:t>
      </w:r>
      <w:r w:rsidRPr="002B2AF1">
        <w:t xml:space="preserve"> Auditors</w:t>
      </w:r>
      <w:bookmarkEnd w:id="487"/>
    </w:p>
    <w:tbl>
      <w:tblPr>
        <w:tblStyle w:val="AccessibleTableNumerical"/>
        <w:tblW w:w="5000" w:type="pct"/>
        <w:tblLook w:val="04A0" w:firstRow="1" w:lastRow="0" w:firstColumn="1" w:lastColumn="0" w:noHBand="0" w:noVBand="1"/>
      </w:tblPr>
      <w:tblGrid>
        <w:gridCol w:w="4983"/>
        <w:gridCol w:w="2329"/>
        <w:gridCol w:w="2327"/>
      </w:tblGrid>
      <w:tr w:rsidR="00417B1B" w:rsidRPr="00580397" w14:paraId="366DC581" w14:textId="77777777" w:rsidTr="006716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5" w:type="pct"/>
          </w:tcPr>
          <w:p w14:paraId="67480406" w14:textId="5368AD06" w:rsidR="00417B1B" w:rsidRPr="00580397" w:rsidRDefault="00AC0BBF" w:rsidP="00580397">
            <w:pPr>
              <w:pStyle w:val="TableText"/>
            </w:pPr>
            <w:bookmarkStart w:id="488" w:name="ColumnTitle_98"/>
            <w:r w:rsidRPr="00580397">
              <w:t>Item</w:t>
            </w:r>
          </w:p>
        </w:tc>
        <w:tc>
          <w:tcPr>
            <w:tcW w:w="1208" w:type="pct"/>
            <w:vAlign w:val="bottom"/>
          </w:tcPr>
          <w:p w14:paraId="50CF3597" w14:textId="5F09BCD0" w:rsidR="00417B1B" w:rsidRPr="00580397" w:rsidRDefault="00417B1B" w:rsidP="006716C9">
            <w:pPr>
              <w:pStyle w:val="TableText"/>
              <w:cnfStyle w:val="100000000000" w:firstRow="1" w:lastRow="0" w:firstColumn="0" w:lastColumn="0" w:oddVBand="0" w:evenVBand="0" w:oddHBand="0" w:evenHBand="0" w:firstRowFirstColumn="0" w:firstRowLastColumn="0" w:lastRowFirstColumn="0" w:lastRowLastColumn="0"/>
            </w:pPr>
            <w:r w:rsidRPr="00580397">
              <w:t>20</w:t>
            </w:r>
            <w:r w:rsidR="007439AE">
              <w:t>20</w:t>
            </w:r>
            <w:r w:rsidRPr="00580397">
              <w:br/>
              <w:t>$'000</w:t>
            </w:r>
          </w:p>
        </w:tc>
        <w:tc>
          <w:tcPr>
            <w:tcW w:w="1207" w:type="pct"/>
            <w:vAlign w:val="bottom"/>
          </w:tcPr>
          <w:p w14:paraId="3847D2C6" w14:textId="14C4740B" w:rsidR="00417B1B" w:rsidRPr="00580397" w:rsidRDefault="00417B1B" w:rsidP="006716C9">
            <w:pPr>
              <w:pStyle w:val="TableText"/>
              <w:cnfStyle w:val="100000000000" w:firstRow="1" w:lastRow="0" w:firstColumn="0" w:lastColumn="0" w:oddVBand="0" w:evenVBand="0" w:oddHBand="0" w:evenHBand="0" w:firstRowFirstColumn="0" w:firstRowLastColumn="0" w:lastRowFirstColumn="0" w:lastRowLastColumn="0"/>
            </w:pPr>
            <w:r w:rsidRPr="00580397">
              <w:t>201</w:t>
            </w:r>
            <w:r w:rsidR="007439AE">
              <w:t>9</w:t>
            </w:r>
            <w:r w:rsidRPr="00580397">
              <w:br/>
              <w:t>$'000</w:t>
            </w:r>
          </w:p>
        </w:tc>
      </w:tr>
      <w:bookmarkEnd w:id="488"/>
      <w:tr w:rsidR="00417B1B" w:rsidRPr="00580397" w14:paraId="059FF00E"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2C3EBBF5" w14:textId="77777777" w:rsidR="00417B1B" w:rsidRPr="006716C9" w:rsidRDefault="00417B1B" w:rsidP="00580397">
            <w:pPr>
              <w:pStyle w:val="TableText"/>
              <w:rPr>
                <w:rStyle w:val="Bold"/>
              </w:rPr>
            </w:pPr>
            <w:r w:rsidRPr="006716C9">
              <w:rPr>
                <w:rStyle w:val="Bold"/>
              </w:rPr>
              <w:t>Victorian Auditor-General's Office</w:t>
            </w:r>
          </w:p>
        </w:tc>
        <w:tc>
          <w:tcPr>
            <w:tcW w:w="1208" w:type="pct"/>
          </w:tcPr>
          <w:p w14:paraId="7DBD7486" w14:textId="28743958" w:rsidR="00417B1B" w:rsidRPr="00580397" w:rsidRDefault="00AC0BBF" w:rsidP="00580397">
            <w:pPr>
              <w:pStyle w:val="TableText"/>
              <w:cnfStyle w:val="000000000000" w:firstRow="0" w:lastRow="0" w:firstColumn="0" w:lastColumn="0" w:oddVBand="0" w:evenVBand="0" w:oddHBand="0" w:evenHBand="0" w:firstRowFirstColumn="0" w:firstRowLastColumn="0" w:lastRowFirstColumn="0" w:lastRowLastColumn="0"/>
            </w:pPr>
            <w:r w:rsidRPr="00580397">
              <w:t>N/A</w:t>
            </w:r>
          </w:p>
        </w:tc>
        <w:tc>
          <w:tcPr>
            <w:tcW w:w="1207" w:type="pct"/>
          </w:tcPr>
          <w:p w14:paraId="682C46AB" w14:textId="0DC89C1F" w:rsidR="00417B1B" w:rsidRPr="00580397" w:rsidRDefault="00AC0BBF" w:rsidP="00580397">
            <w:pPr>
              <w:pStyle w:val="TableText"/>
              <w:cnfStyle w:val="000000000000" w:firstRow="0" w:lastRow="0" w:firstColumn="0" w:lastColumn="0" w:oddVBand="0" w:evenVBand="0" w:oddHBand="0" w:evenHBand="0" w:firstRowFirstColumn="0" w:firstRowLastColumn="0" w:lastRowFirstColumn="0" w:lastRowLastColumn="0"/>
            </w:pPr>
            <w:r w:rsidRPr="00580397">
              <w:t>N/A</w:t>
            </w:r>
          </w:p>
        </w:tc>
      </w:tr>
      <w:tr w:rsidR="00417B1B" w:rsidRPr="00580397" w14:paraId="63CF8462"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63C90C12" w14:textId="77777777" w:rsidR="00417B1B" w:rsidRPr="00580397" w:rsidRDefault="00417B1B" w:rsidP="00580397">
            <w:pPr>
              <w:pStyle w:val="TableText"/>
            </w:pPr>
            <w:r w:rsidRPr="00580397">
              <w:t>Audit of the financial statements</w:t>
            </w:r>
          </w:p>
        </w:tc>
        <w:tc>
          <w:tcPr>
            <w:tcW w:w="1208" w:type="pct"/>
          </w:tcPr>
          <w:p w14:paraId="32E0F737" w14:textId="0669EFBE" w:rsidR="00417B1B" w:rsidRPr="00580397" w:rsidRDefault="007439AE" w:rsidP="00580397">
            <w:pPr>
              <w:pStyle w:val="TableText"/>
              <w:cnfStyle w:val="000000000000" w:firstRow="0" w:lastRow="0" w:firstColumn="0" w:lastColumn="0" w:oddVBand="0" w:evenVBand="0" w:oddHBand="0" w:evenHBand="0" w:firstRowFirstColumn="0" w:firstRowLastColumn="0" w:lastRowFirstColumn="0" w:lastRowLastColumn="0"/>
            </w:pPr>
            <w:r>
              <w:t>215</w:t>
            </w:r>
          </w:p>
        </w:tc>
        <w:tc>
          <w:tcPr>
            <w:tcW w:w="1207" w:type="pct"/>
          </w:tcPr>
          <w:p w14:paraId="7B78C94D" w14:textId="3B135578" w:rsidR="00417B1B" w:rsidRPr="00580397" w:rsidRDefault="007439AE" w:rsidP="00580397">
            <w:pPr>
              <w:pStyle w:val="TableText"/>
              <w:cnfStyle w:val="000000000000" w:firstRow="0" w:lastRow="0" w:firstColumn="0" w:lastColumn="0" w:oddVBand="0" w:evenVBand="0" w:oddHBand="0" w:evenHBand="0" w:firstRowFirstColumn="0" w:firstRowLastColumn="0" w:lastRowFirstColumn="0" w:lastRowLastColumn="0"/>
            </w:pPr>
            <w:r>
              <w:t>205</w:t>
            </w:r>
          </w:p>
        </w:tc>
      </w:tr>
      <w:tr w:rsidR="00417B1B" w:rsidRPr="006716C9" w14:paraId="1C567882" w14:textId="77777777" w:rsidTr="00AC0BBF">
        <w:tc>
          <w:tcPr>
            <w:cnfStyle w:val="001000000000" w:firstRow="0" w:lastRow="0" w:firstColumn="1" w:lastColumn="0" w:oddVBand="0" w:evenVBand="0" w:oddHBand="0" w:evenHBand="0" w:firstRowFirstColumn="0" w:firstRowLastColumn="0" w:lastRowFirstColumn="0" w:lastRowLastColumn="0"/>
            <w:tcW w:w="2585" w:type="pct"/>
          </w:tcPr>
          <w:p w14:paraId="2B1695B8" w14:textId="77777777" w:rsidR="00417B1B" w:rsidRPr="006716C9" w:rsidRDefault="00417B1B" w:rsidP="00580397">
            <w:pPr>
              <w:pStyle w:val="TableText"/>
              <w:rPr>
                <w:rStyle w:val="Bold"/>
              </w:rPr>
            </w:pPr>
            <w:r w:rsidRPr="006716C9">
              <w:rPr>
                <w:rStyle w:val="Bold"/>
              </w:rPr>
              <w:t>Total remuneration of auditors</w:t>
            </w:r>
          </w:p>
        </w:tc>
        <w:tc>
          <w:tcPr>
            <w:tcW w:w="1208" w:type="pct"/>
          </w:tcPr>
          <w:p w14:paraId="1C7A7FD3" w14:textId="6D12B715" w:rsidR="00417B1B" w:rsidRPr="006716C9" w:rsidRDefault="007439AE" w:rsidP="00580397">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215</w:t>
            </w:r>
          </w:p>
        </w:tc>
        <w:tc>
          <w:tcPr>
            <w:tcW w:w="1207" w:type="pct"/>
          </w:tcPr>
          <w:p w14:paraId="22867C2C" w14:textId="53054569" w:rsidR="00417B1B" w:rsidRPr="006716C9" w:rsidRDefault="007439AE" w:rsidP="00580397">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205</w:t>
            </w:r>
          </w:p>
        </w:tc>
      </w:tr>
    </w:tbl>
    <w:p w14:paraId="24E94A54" w14:textId="400EEB7F" w:rsidR="00417B1B" w:rsidRDefault="00417B1B" w:rsidP="00417B1B">
      <w:pPr>
        <w:pStyle w:val="Heading3"/>
      </w:pPr>
      <w:bookmarkStart w:id="489" w:name="Note97"/>
      <w:bookmarkStart w:id="490" w:name="_Ref22640025"/>
      <w:bookmarkStart w:id="491" w:name="_Toc62808181"/>
      <w:r>
        <w:t>9.</w:t>
      </w:r>
      <w:r w:rsidR="007439AE">
        <w:t>7</w:t>
      </w:r>
      <w:bookmarkEnd w:id="489"/>
      <w:r>
        <w:t xml:space="preserve"> Subsequent Events</w:t>
      </w:r>
      <w:bookmarkEnd w:id="490"/>
      <w:bookmarkEnd w:id="491"/>
    </w:p>
    <w:p w14:paraId="0E037C66" w14:textId="77777777" w:rsidR="007439AE" w:rsidRDefault="007439AE" w:rsidP="007439AE">
      <w:pPr>
        <w:pStyle w:val="BodyText"/>
      </w:pPr>
      <w:r>
        <w:t>Negotiations are underway to consider exercising the option to extend the G4S security contract for a further 2 years at an estimated cost of $29 Million.</w:t>
      </w:r>
    </w:p>
    <w:p w14:paraId="5499518B" w14:textId="0DA31E46" w:rsidR="007439AE" w:rsidRDefault="007439AE" w:rsidP="007439AE">
      <w:pPr>
        <w:pStyle w:val="BodyText"/>
      </w:pPr>
      <w:r>
        <w:t xml:space="preserve">The COVID-19 pandemic created significant uncertainty up to October 27, 2020, when restrictions effectively eased. There is a possibility that restrictions may be re-introduced due to future outbreaks, which may in turn impact the future operations, financial results and financial position of </w:t>
      </w:r>
      <w:r w:rsidR="009B1462">
        <w:t>Court Services Victoria</w:t>
      </w:r>
      <w:r>
        <w:t xml:space="preserve">. However, as at the date of this report, </w:t>
      </w:r>
      <w:r w:rsidR="009B1462">
        <w:t>Court Services Victoria</w:t>
      </w:r>
      <w:r>
        <w:t xml:space="preserve"> is not aware of any significant impact of the pandemic on the 30 June 2020 annual financial statements.</w:t>
      </w:r>
    </w:p>
    <w:p w14:paraId="4103A72D" w14:textId="4C21CB44" w:rsidR="00417B1B" w:rsidRDefault="00417B1B" w:rsidP="00417B1B">
      <w:pPr>
        <w:pStyle w:val="Heading3"/>
      </w:pPr>
      <w:bookmarkStart w:id="492" w:name="Note98"/>
      <w:bookmarkStart w:id="493" w:name="_Toc62808182"/>
      <w:r>
        <w:t>9.</w:t>
      </w:r>
      <w:r w:rsidR="007439AE">
        <w:t>8</w:t>
      </w:r>
      <w:bookmarkEnd w:id="492"/>
      <w:r>
        <w:t xml:space="preserve"> Other Accounting Policies</w:t>
      </w:r>
      <w:bookmarkEnd w:id="493"/>
    </w:p>
    <w:p w14:paraId="4431327A" w14:textId="64E95144" w:rsidR="00417B1B" w:rsidRDefault="007439AE" w:rsidP="00417B1B">
      <w:pPr>
        <w:pStyle w:val="Heading4"/>
      </w:pPr>
      <w:r>
        <w:t>9.8.1</w:t>
      </w:r>
      <w:r w:rsidR="00092296">
        <w:tab/>
      </w:r>
      <w:r w:rsidR="006716C9">
        <w:t>Contributions b</w:t>
      </w:r>
      <w:r w:rsidR="00417B1B">
        <w:t>y Owners</w:t>
      </w:r>
    </w:p>
    <w:p w14:paraId="3E8832D0" w14:textId="65FD8A95" w:rsidR="007439AE" w:rsidRDefault="007439AE" w:rsidP="007439AE">
      <w:pPr>
        <w:pStyle w:val="BodyText"/>
      </w:pPr>
      <w:r>
        <w:t xml:space="preserve">Consistent with the requirements of AASB 1004 Contributions, contributions by owners (that is, contributed capital and its repayment) are treated as equity transactions and, therefore, do not form part of the income and expenses of </w:t>
      </w:r>
      <w:r w:rsidR="009B1462">
        <w:t>Court Services Victoria</w:t>
      </w:r>
      <w:r>
        <w:t>.</w:t>
      </w:r>
    </w:p>
    <w:p w14:paraId="7758B9E5" w14:textId="1DBDB8BE" w:rsidR="007439AE" w:rsidRDefault="007439AE" w:rsidP="007439AE">
      <w:pPr>
        <w:pStyle w:val="BodyText"/>
      </w:pPr>
      <w:r>
        <w:t>Additions to net assets that have been designated as contributions by owners are recognised as contributed capital. Other transfers that are in the nature of contributions to or distributions by owners have also been designated as contributions by owners.</w:t>
      </w:r>
    </w:p>
    <w:p w14:paraId="41EBC00A" w14:textId="17C8564E" w:rsidR="00E952AB" w:rsidRDefault="00417B1B" w:rsidP="00417B1B">
      <w:pPr>
        <w:pStyle w:val="Heading3"/>
      </w:pPr>
      <w:bookmarkStart w:id="494" w:name="Note99"/>
      <w:bookmarkStart w:id="495" w:name="_Ref61895733"/>
      <w:bookmarkStart w:id="496" w:name="_Toc62808183"/>
      <w:r>
        <w:t>9.</w:t>
      </w:r>
      <w:r w:rsidR="00B71730">
        <w:t>9</w:t>
      </w:r>
      <w:r>
        <w:t xml:space="preserve"> </w:t>
      </w:r>
      <w:bookmarkEnd w:id="494"/>
      <w:r w:rsidR="00B71730">
        <w:t>Change in Accounting Policies</w:t>
      </w:r>
      <w:bookmarkEnd w:id="495"/>
      <w:bookmarkEnd w:id="496"/>
    </w:p>
    <w:p w14:paraId="2CFC8190" w14:textId="4D46CFA3" w:rsidR="00417B1B" w:rsidRDefault="00B71730" w:rsidP="00417B1B">
      <w:pPr>
        <w:pStyle w:val="Heading4"/>
      </w:pPr>
      <w:r>
        <w:t>9.9.1</w:t>
      </w:r>
      <w:r w:rsidR="00092296">
        <w:tab/>
      </w:r>
      <w:r w:rsidR="00417B1B">
        <w:t>Leases</w:t>
      </w:r>
    </w:p>
    <w:p w14:paraId="29B2F3C6" w14:textId="6D211AA5" w:rsidR="00B71730" w:rsidRDefault="00B71730" w:rsidP="00B71730">
      <w:pPr>
        <w:pStyle w:val="BodyText"/>
      </w:pPr>
      <w:r>
        <w:t xml:space="preserve">This note explains the impact of the adoption of AASB 16 Leases on </w:t>
      </w:r>
      <w:r w:rsidR="009B1462">
        <w:t>Court Services Victoria</w:t>
      </w:r>
      <w:r>
        <w:t>’s financial statements.</w:t>
      </w:r>
    </w:p>
    <w:p w14:paraId="6DE13A2A" w14:textId="14D4CD29" w:rsidR="00B71730" w:rsidRDefault="009B1462" w:rsidP="00B71730">
      <w:pPr>
        <w:pStyle w:val="BodyText"/>
      </w:pPr>
      <w:r>
        <w:t>Court Services Victoria</w:t>
      </w:r>
      <w:r w:rsidR="00B71730">
        <w:t xml:space="preserve"> has applied AASB 16 with a date of initial application of 1 July 2019.</w:t>
      </w:r>
    </w:p>
    <w:p w14:paraId="17716019" w14:textId="2A1D70E5" w:rsidR="00B71730" w:rsidRDefault="009B1462" w:rsidP="00B71730">
      <w:pPr>
        <w:pStyle w:val="BodyText"/>
      </w:pPr>
      <w:r>
        <w:t>Court Services Victoria</w:t>
      </w:r>
      <w:r w:rsidR="00B71730">
        <w:t xml:space="preserve"> has elected to apply AASB 16 using the modified retrospective approach, as per the transitional provisions of AASB 16 for all leases for which it is a lessee. The cumulative effect of initial application is recognised in retained earnings as </w:t>
      </w:r>
      <w:proofErr w:type="gramStart"/>
      <w:r w:rsidR="00B71730">
        <w:t>at</w:t>
      </w:r>
      <w:proofErr w:type="gramEnd"/>
      <w:r w:rsidR="00B71730">
        <w:t xml:space="preserve"> 1 July 2019. Accordingly, the comparative information presented is not restated and is reported under AASB 117 and related interpretations.</w:t>
      </w:r>
    </w:p>
    <w:p w14:paraId="07E0E782" w14:textId="5F3D845C" w:rsidR="00B71730" w:rsidRDefault="00B71730" w:rsidP="00B71730">
      <w:pPr>
        <w:pStyle w:val="BodyText"/>
      </w:pPr>
      <w:r>
        <w:t xml:space="preserve">Previously, </w:t>
      </w:r>
      <w:r w:rsidR="009B1462">
        <w:t>Court Services Victoria</w:t>
      </w:r>
      <w:r>
        <w:t xml:space="preserve"> determined at contract inception whether an arrangement is or contains a lease under AASB 117 and Interpretation 4 determining whether an arrangement contains a lease. Under AASB 16, </w:t>
      </w:r>
      <w:r w:rsidR="009B1462">
        <w:t>Court Services Victoria</w:t>
      </w:r>
      <w:r>
        <w:t xml:space="preserve"> assesses whether a contract is or contains a lease based on the definition of a lease as explained in</w:t>
      </w:r>
      <w:r w:rsidR="00B85F52">
        <w:t xml:space="preserve"> </w:t>
      </w:r>
      <w:hyperlink w:anchor="Note71" w:history="1">
        <w:r w:rsidR="00B85F52" w:rsidRPr="00B85F52">
          <w:t>Note 7.1</w:t>
        </w:r>
      </w:hyperlink>
      <w:r>
        <w:t>.</w:t>
      </w:r>
    </w:p>
    <w:p w14:paraId="76942906" w14:textId="16940D0E" w:rsidR="00B71730" w:rsidRDefault="00B71730" w:rsidP="00B71730">
      <w:pPr>
        <w:pStyle w:val="BodyText"/>
      </w:pPr>
      <w:r>
        <w:t xml:space="preserve">On transition to AASB 16, </w:t>
      </w:r>
      <w:r w:rsidR="009B1462">
        <w:t>Court Services Victoria</w:t>
      </w:r>
      <w:r>
        <w:t xml:space="preserve"> has elected to apply the practical expedient to grandfather the assessment of which transactions are leases. It applied AASB 16 only to contracts that were previously identified as leases. Contracts that were not identified as leases under AASB 117 and Interpretation 4 were not reassessed for whether there is a lease. Therefore, the definition of a lease under AASB 16 was applied to contracts entered into or changed on or after 1 July 2019.</w:t>
      </w:r>
    </w:p>
    <w:p w14:paraId="11A90E94" w14:textId="0BE18256" w:rsidR="00B71730" w:rsidRDefault="00B71730" w:rsidP="00B71730">
      <w:pPr>
        <w:pStyle w:val="Heading5"/>
      </w:pPr>
      <w:r>
        <w:t>Leases classified as operating leases under AASB 117</w:t>
      </w:r>
    </w:p>
    <w:p w14:paraId="46E964AF" w14:textId="6CC845FA" w:rsidR="00B71730" w:rsidRDefault="00B71730" w:rsidP="00B71730">
      <w:pPr>
        <w:pStyle w:val="BodyText"/>
      </w:pPr>
      <w:r>
        <w:t xml:space="preserve">As a lessee, </w:t>
      </w:r>
      <w:r w:rsidR="009B1462">
        <w:t>Court Services Victoria</w:t>
      </w:r>
      <w:r>
        <w:t xml:space="preserve"> previously classified leases as </w:t>
      </w:r>
      <w:proofErr w:type="gramStart"/>
      <w:r>
        <w:t>operating</w:t>
      </w:r>
      <w:proofErr w:type="gramEnd"/>
      <w:r>
        <w:t xml:space="preserve"> or finance leases based on its assessment of whether the lease transferred significantly all of the risks and rewards incidental to ownership of the underlying asset to </w:t>
      </w:r>
      <w:r w:rsidR="009B1462">
        <w:t>Court Services Victoria</w:t>
      </w:r>
      <w:r>
        <w:t xml:space="preserve">. Under AASB 16, </w:t>
      </w:r>
      <w:r w:rsidR="009B1462">
        <w:t>Court Services Victoria</w:t>
      </w:r>
      <w:r>
        <w:t xml:space="preserve"> recognises right-of-use assets and lease liabilities for all leases except where exemption is availed in respect of short-term and low value leases.</w:t>
      </w:r>
    </w:p>
    <w:p w14:paraId="5AC11E39" w14:textId="50BAE88F" w:rsidR="00B71730" w:rsidRDefault="00B71730" w:rsidP="00B71730">
      <w:pPr>
        <w:pStyle w:val="BodyText"/>
      </w:pPr>
      <w:r>
        <w:t xml:space="preserve">On adoption of AASB 16, </w:t>
      </w:r>
      <w:r w:rsidR="009B1462">
        <w:t>Court Services Victoria</w:t>
      </w:r>
      <w:r>
        <w:t xml:space="preserve"> recognised lease liabilities in relation to leases which had previously been classified as operating leases under the principles of AASB 117. These liabilities were measured at the present value of the remaining lease payments, discounted using </w:t>
      </w:r>
      <w:r w:rsidR="009B1462">
        <w:t>Court Services Victoria</w:t>
      </w:r>
      <w:r>
        <w:t>’s incremental borrowing rate as of 1 July 2019.</w:t>
      </w:r>
    </w:p>
    <w:p w14:paraId="79D3E27D" w14:textId="264F56E4" w:rsidR="00B71730" w:rsidRDefault="00B71730" w:rsidP="00B71730">
      <w:pPr>
        <w:pStyle w:val="BodyText"/>
      </w:pPr>
      <w:r>
        <w:t xml:space="preserve">On transition, right-of-use assets are measured at the amount equal to the lease liability, adjusted by the amount of any prepaid or accrued lease payments relating to that lease recognised on the balance sheet as </w:t>
      </w:r>
      <w:proofErr w:type="gramStart"/>
      <w:r>
        <w:t>at</w:t>
      </w:r>
      <w:proofErr w:type="gramEnd"/>
      <w:r>
        <w:t xml:space="preserve"> 30 June 2019.</w:t>
      </w:r>
    </w:p>
    <w:p w14:paraId="0C5CB752" w14:textId="03623EE1" w:rsidR="00B71730" w:rsidRDefault="009B1462" w:rsidP="00B71730">
      <w:pPr>
        <w:pStyle w:val="BodyText"/>
      </w:pPr>
      <w:r>
        <w:t>Court Services Victoria</w:t>
      </w:r>
      <w:r w:rsidR="00B71730">
        <w:t xml:space="preserve"> has elected to apply the following practical expedients when applying AASB 16 to leases previously classified as operating leases under AASB 117:</w:t>
      </w:r>
    </w:p>
    <w:p w14:paraId="590D00F8" w14:textId="1B2805C2" w:rsidR="00B71730" w:rsidRDefault="00B71730" w:rsidP="00936CC0">
      <w:pPr>
        <w:pStyle w:val="ListBullet"/>
      </w:pPr>
      <w:r>
        <w:t xml:space="preserve">Applied a single discount rate to a portfolio of leases with similar </w:t>
      </w:r>
      <w:proofErr w:type="gramStart"/>
      <w:r>
        <w:t>characteristics;</w:t>
      </w:r>
      <w:proofErr w:type="gramEnd"/>
    </w:p>
    <w:p w14:paraId="6612E7BA" w14:textId="267B864C" w:rsidR="00B71730" w:rsidRDefault="00B71730" w:rsidP="00936CC0">
      <w:pPr>
        <w:pStyle w:val="ListBullet"/>
      </w:pPr>
      <w:r>
        <w:t xml:space="preserve">Adjusted the right-of-use assets by the amount of AASB 137 onerous contracts provision immediately before the date of initial application, as an alternative to an impairment </w:t>
      </w:r>
      <w:proofErr w:type="gramStart"/>
      <w:r>
        <w:t>review;</w:t>
      </w:r>
      <w:proofErr w:type="gramEnd"/>
    </w:p>
    <w:p w14:paraId="7ABC93E7" w14:textId="69EE0AF8" w:rsidR="00B71730" w:rsidRDefault="00B71730" w:rsidP="00936CC0">
      <w:pPr>
        <w:pStyle w:val="ListBullet"/>
      </w:pPr>
      <w:r>
        <w:t>Applied the exemption not to recognise right</w:t>
      </w:r>
      <w:r w:rsidR="001242F5">
        <w:t>-</w:t>
      </w:r>
      <w:r>
        <w:t xml:space="preserve">of-use assets and liabilities for leases with less than 12 months of lease </w:t>
      </w:r>
      <w:proofErr w:type="gramStart"/>
      <w:r>
        <w:t>term;</w:t>
      </w:r>
      <w:proofErr w:type="gramEnd"/>
    </w:p>
    <w:p w14:paraId="6B44B92C" w14:textId="46365EF5" w:rsidR="00B71730" w:rsidRDefault="00B71730" w:rsidP="00936CC0">
      <w:pPr>
        <w:pStyle w:val="ListBullet"/>
      </w:pPr>
      <w:r>
        <w:t xml:space="preserve">Excluded initial direct costs from measuring the right-of-use asset at the date of initial application </w:t>
      </w:r>
      <w:proofErr w:type="gramStart"/>
      <w:r>
        <w:t>and;</w:t>
      </w:r>
      <w:proofErr w:type="gramEnd"/>
    </w:p>
    <w:p w14:paraId="0490D6DF" w14:textId="4BCB764F" w:rsidR="00B71730" w:rsidRDefault="00B71730" w:rsidP="00936CC0">
      <w:pPr>
        <w:pStyle w:val="ListBullet"/>
      </w:pPr>
      <w:r>
        <w:t>Used hindsight when determining the lease term if the contract contains options to extend or terminate the lease.</w:t>
      </w:r>
    </w:p>
    <w:p w14:paraId="6BF82E6E" w14:textId="6BFF59AB" w:rsidR="00B71730" w:rsidRDefault="00B71730" w:rsidP="00B71730">
      <w:pPr>
        <w:pStyle w:val="BodyText"/>
      </w:pPr>
      <w:r>
        <w:t xml:space="preserve">For leases that were classified as finance leases under AASB 117, the carrying amount of the right-of-use asset and lease liability </w:t>
      </w:r>
      <w:proofErr w:type="gramStart"/>
      <w:r>
        <w:t>at</w:t>
      </w:r>
      <w:proofErr w:type="gramEnd"/>
      <w:r>
        <w:t xml:space="preserve"> 1 July 2019 are determined as the carrying amount of the lease asset and lease liability under AASB 117 immediately before that date.</w:t>
      </w:r>
    </w:p>
    <w:p w14:paraId="2B1A18CD" w14:textId="77777777" w:rsidR="00B71730" w:rsidRDefault="00B71730" w:rsidP="00B71730">
      <w:pPr>
        <w:pStyle w:val="Heading5"/>
      </w:pPr>
      <w:r>
        <w:t>Impacts on financial statements</w:t>
      </w:r>
    </w:p>
    <w:p w14:paraId="5B6833DF" w14:textId="525D69E6" w:rsidR="00B71730" w:rsidRDefault="00B71730" w:rsidP="00B71730">
      <w:pPr>
        <w:pStyle w:val="BodyText"/>
      </w:pPr>
      <w:r>
        <w:t xml:space="preserve">On transition to AASB 16, </w:t>
      </w:r>
      <w:r w:rsidR="009B1462">
        <w:t>Court Services Victoria</w:t>
      </w:r>
      <w:r>
        <w:t xml:space="preserve"> recognised $138.04 </w:t>
      </w:r>
      <w:proofErr w:type="spellStart"/>
      <w:r>
        <w:t>million</w:t>
      </w:r>
      <w:proofErr w:type="spellEnd"/>
      <w:r>
        <w:t xml:space="preserve"> of right-of-use assets (see </w:t>
      </w:r>
      <w:hyperlink w:anchor="Note51a" w:history="1">
        <w:r w:rsidR="009D72B1" w:rsidRPr="009D72B1">
          <w:t>Note 5.1(a)</w:t>
        </w:r>
      </w:hyperlink>
      <w:r>
        <w:t xml:space="preserve">) and $133.3 </w:t>
      </w:r>
      <w:proofErr w:type="spellStart"/>
      <w:r>
        <w:t>million</w:t>
      </w:r>
      <w:proofErr w:type="spellEnd"/>
      <w:r>
        <w:t xml:space="preserve"> of lease liabilities.</w:t>
      </w:r>
    </w:p>
    <w:p w14:paraId="12BBE90F" w14:textId="56A3DEA2" w:rsidR="00B71730" w:rsidRDefault="00B71730" w:rsidP="00B71730">
      <w:pPr>
        <w:pStyle w:val="BodyText"/>
      </w:pPr>
      <w:r>
        <w:t xml:space="preserve">On adoption of AASB 16, </w:t>
      </w:r>
      <w:r w:rsidR="009B1462">
        <w:t>Court Services Victoria</w:t>
      </w:r>
      <w:r>
        <w:t xml:space="preserve"> recognised lease liabilities in relation to leases which had previously been classified as operating leases under the principles of AASB 117. These liabilities were measured at the present value of the remaining lease payments, discounted using </w:t>
      </w:r>
      <w:r w:rsidR="009B1462">
        <w:t>Court Services Victoria</w:t>
      </w:r>
      <w:r>
        <w:t xml:space="preserve">’s incremental borrowing rate as of 1 July 2019. On transition, right-of-use assets are measured at the amount equal to the lease liability, adjusted by the amount of any prepaid or accrued lease payments relating to that lease recognised in the balance sheet as </w:t>
      </w:r>
      <w:proofErr w:type="gramStart"/>
      <w:r>
        <w:t>at</w:t>
      </w:r>
      <w:proofErr w:type="gramEnd"/>
      <w:r>
        <w:t xml:space="preserve"> 30 June 2019.</w:t>
      </w:r>
    </w:p>
    <w:tbl>
      <w:tblPr>
        <w:tblStyle w:val="AccessibleTableNumerical"/>
        <w:tblW w:w="5000" w:type="pct"/>
        <w:tblLook w:val="04A0" w:firstRow="1" w:lastRow="0" w:firstColumn="1" w:lastColumn="0" w:noHBand="0" w:noVBand="1"/>
      </w:tblPr>
      <w:tblGrid>
        <w:gridCol w:w="6570"/>
        <w:gridCol w:w="3069"/>
      </w:tblGrid>
      <w:tr w:rsidR="00B71730" w:rsidRPr="00580397" w14:paraId="5CB6241D" w14:textId="77777777" w:rsidTr="00B717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pct"/>
          </w:tcPr>
          <w:p w14:paraId="60AB23AF" w14:textId="77777777" w:rsidR="00B71730" w:rsidRPr="00580397" w:rsidRDefault="00B71730" w:rsidP="00936CC0">
            <w:pPr>
              <w:pStyle w:val="TableText"/>
            </w:pPr>
            <w:bookmarkStart w:id="497" w:name="ColumnTitle_108"/>
            <w:r w:rsidRPr="00580397">
              <w:t>Item</w:t>
            </w:r>
          </w:p>
        </w:tc>
        <w:tc>
          <w:tcPr>
            <w:tcW w:w="1592" w:type="pct"/>
            <w:vAlign w:val="bottom"/>
          </w:tcPr>
          <w:p w14:paraId="20F47195" w14:textId="1047ACB5" w:rsidR="00B71730" w:rsidRPr="00580397" w:rsidRDefault="00936CC0" w:rsidP="00936CC0">
            <w:pPr>
              <w:pStyle w:val="TableText"/>
              <w:cnfStyle w:val="100000000000" w:firstRow="1" w:lastRow="0" w:firstColumn="0" w:lastColumn="0" w:oddVBand="0" w:evenVBand="0" w:oddHBand="0" w:evenHBand="0" w:firstRowFirstColumn="0" w:firstRowLastColumn="0" w:lastRowFirstColumn="0" w:lastRowLastColumn="0"/>
            </w:pPr>
            <w:r>
              <w:t xml:space="preserve">1 July </w:t>
            </w:r>
            <w:r w:rsidR="00B71730" w:rsidRPr="00580397">
              <w:t>201</w:t>
            </w:r>
            <w:r w:rsidR="00B71730">
              <w:t>9</w:t>
            </w:r>
            <w:r w:rsidR="00B71730" w:rsidRPr="00580397">
              <w:br/>
              <w:t>$'000</w:t>
            </w:r>
          </w:p>
        </w:tc>
      </w:tr>
      <w:bookmarkEnd w:id="497"/>
      <w:tr w:rsidR="00B71730" w:rsidRPr="00580397" w14:paraId="5833A39F"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52945536" w14:textId="0565D540" w:rsidR="00B71730" w:rsidRPr="006716C9" w:rsidRDefault="00936CC0" w:rsidP="00936CC0">
            <w:pPr>
              <w:pStyle w:val="TableText"/>
              <w:rPr>
                <w:rStyle w:val="Bold"/>
              </w:rPr>
            </w:pPr>
            <w:r>
              <w:rPr>
                <w:rStyle w:val="Bold"/>
              </w:rPr>
              <w:t xml:space="preserve">Total operating lease commitments disclosed </w:t>
            </w:r>
            <w:proofErr w:type="gramStart"/>
            <w:r>
              <w:rPr>
                <w:rStyle w:val="Bold"/>
              </w:rPr>
              <w:t>at</w:t>
            </w:r>
            <w:proofErr w:type="gramEnd"/>
            <w:r>
              <w:rPr>
                <w:rStyle w:val="Bold"/>
              </w:rPr>
              <w:t xml:space="preserve"> 30 June 2019</w:t>
            </w:r>
          </w:p>
        </w:tc>
        <w:tc>
          <w:tcPr>
            <w:tcW w:w="1592" w:type="pct"/>
          </w:tcPr>
          <w:p w14:paraId="504A9499" w14:textId="080D7BEF" w:rsidR="00B71730" w:rsidRPr="00580397"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56,217</w:t>
            </w:r>
          </w:p>
        </w:tc>
      </w:tr>
      <w:tr w:rsidR="00B71730" w:rsidRPr="00580397" w14:paraId="7FF1520D"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5018F622" w14:textId="0043204E" w:rsidR="00B71730" w:rsidRPr="00580397" w:rsidRDefault="00936CC0" w:rsidP="00936CC0">
            <w:pPr>
              <w:pStyle w:val="TableText"/>
            </w:pPr>
            <w:r>
              <w:t>Less: GST (not included in lease payments considered for lease liability under AASB 16)</w:t>
            </w:r>
          </w:p>
        </w:tc>
        <w:tc>
          <w:tcPr>
            <w:tcW w:w="1592" w:type="pct"/>
          </w:tcPr>
          <w:p w14:paraId="77688633" w14:textId="5C9A6F91" w:rsidR="00B71730" w:rsidRPr="00580397"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(5,111)</w:t>
            </w:r>
          </w:p>
        </w:tc>
      </w:tr>
      <w:tr w:rsidR="00B71730" w:rsidRPr="006716C9" w14:paraId="22B98E7E"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67E5C2EB" w14:textId="42B3D61D" w:rsidR="00B71730" w:rsidRPr="006716C9" w:rsidRDefault="00936CC0" w:rsidP="00936CC0">
            <w:pPr>
              <w:pStyle w:val="TableText"/>
              <w:rPr>
                <w:rStyle w:val="Bold"/>
              </w:rPr>
            </w:pPr>
            <w:r>
              <w:rPr>
                <w:rStyle w:val="Bold"/>
              </w:rPr>
              <w:t>Total operating lease commitments excluding GST</w:t>
            </w:r>
          </w:p>
        </w:tc>
        <w:tc>
          <w:tcPr>
            <w:tcW w:w="1592" w:type="pct"/>
          </w:tcPr>
          <w:p w14:paraId="1187D315" w14:textId="455172CB" w:rsidR="00B71730" w:rsidRPr="006716C9" w:rsidRDefault="00936CC0" w:rsidP="00936CC0">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51,107</w:t>
            </w:r>
          </w:p>
        </w:tc>
      </w:tr>
      <w:tr w:rsidR="00936CC0" w:rsidRPr="006716C9" w14:paraId="3B0549C6"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1B0505EA" w14:textId="43FD96D1" w:rsidR="00936CC0" w:rsidRDefault="00936CC0" w:rsidP="00936CC0">
            <w:pPr>
              <w:pStyle w:val="TableText"/>
            </w:pPr>
            <w:r>
              <w:t>Add: Impact of assessing lease term considered reasonably certain renewal options under AASB 16</w:t>
            </w:r>
          </w:p>
        </w:tc>
        <w:tc>
          <w:tcPr>
            <w:tcW w:w="1592" w:type="pct"/>
          </w:tcPr>
          <w:p w14:paraId="2AC0A1A0" w14:textId="21ACF4A6" w:rsidR="00936CC0"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26,933</w:t>
            </w:r>
          </w:p>
        </w:tc>
      </w:tr>
      <w:tr w:rsidR="00936CC0" w:rsidRPr="006716C9" w14:paraId="3FC1A1E1"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1093B65C" w14:textId="4479F401" w:rsidR="00936CC0" w:rsidRDefault="00936CC0" w:rsidP="00936CC0">
            <w:pPr>
              <w:pStyle w:val="TableText"/>
            </w:pPr>
            <w:r>
              <w:t>Add: Impact of assessing lease payments for determining lease liability under AASB 16</w:t>
            </w:r>
          </w:p>
        </w:tc>
        <w:tc>
          <w:tcPr>
            <w:tcW w:w="1592" w:type="pct"/>
          </w:tcPr>
          <w:p w14:paraId="0DC7A996" w14:textId="723338B3" w:rsidR="00936CC0"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6,028</w:t>
            </w:r>
          </w:p>
        </w:tc>
      </w:tr>
      <w:tr w:rsidR="00936CC0" w:rsidRPr="006716C9" w14:paraId="1A7299DF"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12DD3548" w14:textId="3CF28D4A" w:rsidR="00936CC0" w:rsidRDefault="00936CC0" w:rsidP="00936CC0">
            <w:pPr>
              <w:pStyle w:val="TableText"/>
            </w:pPr>
            <w:r>
              <w:t>Less: Impact of payments for non-lease components not considered in measurement of lease liability</w:t>
            </w:r>
          </w:p>
        </w:tc>
        <w:tc>
          <w:tcPr>
            <w:tcW w:w="1592" w:type="pct"/>
          </w:tcPr>
          <w:p w14:paraId="4B51C154" w14:textId="29B3CD12" w:rsidR="00936CC0"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(342)</w:t>
            </w:r>
          </w:p>
        </w:tc>
      </w:tr>
      <w:tr w:rsidR="00936CC0" w:rsidRPr="003A5185" w14:paraId="642942F3"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0CEC5665" w14:textId="33A1F8A8" w:rsidR="00936CC0" w:rsidRPr="003A5185" w:rsidRDefault="00936CC0" w:rsidP="00936CC0">
            <w:pPr>
              <w:pStyle w:val="TableText"/>
              <w:rPr>
                <w:rStyle w:val="Bold"/>
              </w:rPr>
            </w:pPr>
            <w:r w:rsidRPr="003A5185">
              <w:rPr>
                <w:rStyle w:val="Bold"/>
              </w:rPr>
              <w:t>Total</w:t>
            </w:r>
          </w:p>
        </w:tc>
        <w:tc>
          <w:tcPr>
            <w:tcW w:w="1592" w:type="pct"/>
          </w:tcPr>
          <w:p w14:paraId="61BB2938" w14:textId="603C930C" w:rsidR="00936CC0" w:rsidRPr="003A5185" w:rsidRDefault="00936CC0" w:rsidP="00936CC0">
            <w:pPr>
              <w:pStyle w:val="TableText"/>
              <w:cnfStyle w:val="000000000000" w:firstRow="0" w:lastRow="0" w:firstColumn="0" w:lastColumn="0" w:oddVBand="0" w:evenVBand="0" w:oddHBand="0" w:evenHBand="0" w:firstRowFirstColumn="0" w:firstRowLastColumn="0" w:lastRowFirstColumn="0" w:lastRowLastColumn="0"/>
              <w:rPr>
                <w:rStyle w:val="Bold"/>
              </w:rPr>
            </w:pPr>
            <w:r w:rsidRPr="003A5185">
              <w:rPr>
                <w:rStyle w:val="Bold"/>
              </w:rPr>
              <w:t>83,726</w:t>
            </w:r>
          </w:p>
        </w:tc>
      </w:tr>
      <w:tr w:rsidR="00936CC0" w:rsidRPr="006716C9" w14:paraId="56F8AC43"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1ED59A1F" w14:textId="7B71CEA8" w:rsidR="00936CC0" w:rsidRDefault="00936CC0" w:rsidP="00936CC0">
            <w:pPr>
              <w:pStyle w:val="TableText"/>
            </w:pPr>
            <w:r>
              <w:t>Impact of discounting</w:t>
            </w:r>
          </w:p>
        </w:tc>
        <w:tc>
          <w:tcPr>
            <w:tcW w:w="1592" w:type="pct"/>
          </w:tcPr>
          <w:p w14:paraId="03866C62" w14:textId="1AFFD89E" w:rsidR="00936CC0"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(5,306)</w:t>
            </w:r>
          </w:p>
        </w:tc>
      </w:tr>
      <w:tr w:rsidR="00936CC0" w:rsidRPr="003A5185" w14:paraId="43FFDB0D"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50E2DC50" w14:textId="505C2345" w:rsidR="00936CC0" w:rsidRPr="003A5185" w:rsidRDefault="00936CC0" w:rsidP="00936CC0">
            <w:pPr>
              <w:pStyle w:val="TableText"/>
              <w:rPr>
                <w:rStyle w:val="Bold"/>
              </w:rPr>
            </w:pPr>
            <w:r w:rsidRPr="003A5185">
              <w:rPr>
                <w:rStyle w:val="Bold"/>
              </w:rPr>
              <w:t xml:space="preserve">Lease payments discounted using the incremental borrowing rate as </w:t>
            </w:r>
            <w:proofErr w:type="gramStart"/>
            <w:r w:rsidRPr="003A5185">
              <w:rPr>
                <w:rStyle w:val="Bold"/>
              </w:rPr>
              <w:t>at</w:t>
            </w:r>
            <w:proofErr w:type="gramEnd"/>
            <w:r w:rsidRPr="003A5185">
              <w:rPr>
                <w:rStyle w:val="Bold"/>
              </w:rPr>
              <w:t xml:space="preserve"> 1 July 2019</w:t>
            </w:r>
          </w:p>
        </w:tc>
        <w:tc>
          <w:tcPr>
            <w:tcW w:w="1592" w:type="pct"/>
          </w:tcPr>
          <w:p w14:paraId="2A2AB8CA" w14:textId="40683731" w:rsidR="00936CC0" w:rsidRPr="003A5185" w:rsidRDefault="00936CC0" w:rsidP="00936CC0">
            <w:pPr>
              <w:pStyle w:val="TableText"/>
              <w:cnfStyle w:val="000000000000" w:firstRow="0" w:lastRow="0" w:firstColumn="0" w:lastColumn="0" w:oddVBand="0" w:evenVBand="0" w:oddHBand="0" w:evenHBand="0" w:firstRowFirstColumn="0" w:firstRowLastColumn="0" w:lastRowFirstColumn="0" w:lastRowLastColumn="0"/>
              <w:rPr>
                <w:rStyle w:val="Bold"/>
              </w:rPr>
            </w:pPr>
            <w:r w:rsidRPr="003A5185">
              <w:rPr>
                <w:rStyle w:val="Bold"/>
              </w:rPr>
              <w:t>78,420</w:t>
            </w:r>
          </w:p>
        </w:tc>
      </w:tr>
      <w:tr w:rsidR="00936CC0" w:rsidRPr="006716C9" w14:paraId="33FAA144"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7B74FF0D" w14:textId="5998CC3E" w:rsidR="00936CC0" w:rsidRDefault="00936CC0" w:rsidP="00936CC0">
            <w:pPr>
              <w:pStyle w:val="TableText"/>
            </w:pPr>
            <w:r>
              <w:t xml:space="preserve">Add: Finance Lease Liabilities previously recognised separately at </w:t>
            </w:r>
            <w:r>
              <w:br/>
              <w:t>June 2019</w:t>
            </w:r>
          </w:p>
        </w:tc>
        <w:tc>
          <w:tcPr>
            <w:tcW w:w="1592" w:type="pct"/>
          </w:tcPr>
          <w:p w14:paraId="52697D59" w14:textId="1961D799" w:rsidR="00936CC0" w:rsidRDefault="00936CC0" w:rsidP="00936CC0">
            <w:pPr>
              <w:pStyle w:val="TableText"/>
              <w:cnfStyle w:val="000000000000" w:firstRow="0" w:lastRow="0" w:firstColumn="0" w:lastColumn="0" w:oddVBand="0" w:evenVBand="0" w:oddHBand="0" w:evenHBand="0" w:firstRowFirstColumn="0" w:firstRowLastColumn="0" w:lastRowFirstColumn="0" w:lastRowLastColumn="0"/>
            </w:pPr>
            <w:r>
              <w:t>54,917</w:t>
            </w:r>
          </w:p>
        </w:tc>
      </w:tr>
      <w:tr w:rsidR="00936CC0" w:rsidRPr="003A5185" w14:paraId="315786AF" w14:textId="77777777" w:rsidTr="00B71730">
        <w:tc>
          <w:tcPr>
            <w:cnfStyle w:val="001000000000" w:firstRow="0" w:lastRow="0" w:firstColumn="1" w:lastColumn="0" w:oddVBand="0" w:evenVBand="0" w:oddHBand="0" w:evenHBand="0" w:firstRowFirstColumn="0" w:firstRowLastColumn="0" w:lastRowFirstColumn="0" w:lastRowLastColumn="0"/>
            <w:tcW w:w="3408" w:type="pct"/>
          </w:tcPr>
          <w:p w14:paraId="65D54BB0" w14:textId="76116A6B" w:rsidR="00936CC0" w:rsidRPr="003A5185" w:rsidRDefault="00936CC0" w:rsidP="00936CC0">
            <w:pPr>
              <w:pStyle w:val="TableText"/>
              <w:rPr>
                <w:rStyle w:val="Bold"/>
              </w:rPr>
            </w:pPr>
            <w:r w:rsidRPr="003A5185">
              <w:rPr>
                <w:rStyle w:val="Bold"/>
              </w:rPr>
              <w:t xml:space="preserve">Lease liabilities recognised as </w:t>
            </w:r>
            <w:proofErr w:type="gramStart"/>
            <w:r w:rsidRPr="003A5185">
              <w:rPr>
                <w:rStyle w:val="Bold"/>
              </w:rPr>
              <w:t>at</w:t>
            </w:r>
            <w:proofErr w:type="gramEnd"/>
            <w:r w:rsidRPr="003A5185">
              <w:rPr>
                <w:rStyle w:val="Bold"/>
              </w:rPr>
              <w:t xml:space="preserve"> 1 July 2019</w:t>
            </w:r>
          </w:p>
        </w:tc>
        <w:tc>
          <w:tcPr>
            <w:tcW w:w="1592" w:type="pct"/>
          </w:tcPr>
          <w:p w14:paraId="42C597A6" w14:textId="1372B594" w:rsidR="00936CC0" w:rsidRPr="003A5185" w:rsidRDefault="00936CC0" w:rsidP="00936CC0">
            <w:pPr>
              <w:pStyle w:val="TableText"/>
              <w:cnfStyle w:val="000000000000" w:firstRow="0" w:lastRow="0" w:firstColumn="0" w:lastColumn="0" w:oddVBand="0" w:evenVBand="0" w:oddHBand="0" w:evenHBand="0" w:firstRowFirstColumn="0" w:firstRowLastColumn="0" w:lastRowFirstColumn="0" w:lastRowLastColumn="0"/>
              <w:rPr>
                <w:rStyle w:val="Bold"/>
              </w:rPr>
            </w:pPr>
            <w:r w:rsidRPr="003A5185">
              <w:rPr>
                <w:rStyle w:val="Bold"/>
              </w:rPr>
              <w:t>133,337</w:t>
            </w:r>
          </w:p>
        </w:tc>
      </w:tr>
    </w:tbl>
    <w:p w14:paraId="351871CF" w14:textId="6BA30BBF" w:rsidR="00810A4C" w:rsidRDefault="00810A4C" w:rsidP="00810A4C">
      <w:pPr>
        <w:pStyle w:val="Heading4"/>
      </w:pPr>
      <w:bookmarkStart w:id="498" w:name="Note993"/>
      <w:r w:rsidRPr="008F485C">
        <w:t>9.9.3</w:t>
      </w:r>
      <w:bookmarkEnd w:id="498"/>
      <w:r w:rsidR="00274B0C">
        <w:tab/>
      </w:r>
      <w:r w:rsidRPr="008F485C">
        <w:t>Revenue from Contracts with Customers/Income of Not-For-Profit Entities</w:t>
      </w:r>
    </w:p>
    <w:p w14:paraId="6CFAC6C3" w14:textId="23BD6321" w:rsidR="00810A4C" w:rsidRDefault="00810A4C" w:rsidP="00810A4C">
      <w:pPr>
        <w:pStyle w:val="BodyText"/>
      </w:pPr>
      <w:r>
        <w:t>AASB 15 provides guidance under appendix F to assist not-for-profit (“NFP”) entities to determine whether particular transactions or other events, or components thereof, are within scope. In particular, identifying a contract and identifying performance obligations. If a transaction is outside the scope of AASB 15, the recognition and measurement of income arising from the transaction is recognised under AASB 1058.</w:t>
      </w:r>
    </w:p>
    <w:p w14:paraId="198E073C" w14:textId="1FFB8E91" w:rsidR="00B71730" w:rsidRDefault="00810A4C" w:rsidP="00810A4C">
      <w:pPr>
        <w:pStyle w:val="BodyText"/>
      </w:pPr>
      <w:r>
        <w:t xml:space="preserve">After considering the requirements of AASB 15 and AASB 1058, </w:t>
      </w:r>
      <w:r w:rsidR="009B1462">
        <w:t>Court Services Victoria</w:t>
      </w:r>
      <w:r>
        <w:t xml:space="preserve"> has determined that revenue from grants and parliamentary appropriations are not enforceable and do not have sufficiently specific performance obligations and are therefore recognised under AASB 1058.</w:t>
      </w:r>
    </w:p>
    <w:p w14:paraId="60A74B27" w14:textId="651BE6E6" w:rsidR="00810A4C" w:rsidRDefault="00810A4C" w:rsidP="00810A4C">
      <w:pPr>
        <w:pStyle w:val="Heading4"/>
      </w:pPr>
      <w:r w:rsidRPr="00274B0C">
        <w:t>9.9.4</w:t>
      </w:r>
      <w:r w:rsidR="00274B0C">
        <w:tab/>
      </w:r>
      <w:r w:rsidRPr="00274B0C">
        <w:t>Service Concession Arrangements: Grantors</w:t>
      </w:r>
    </w:p>
    <w:p w14:paraId="18B32E27" w14:textId="5C6319C2" w:rsidR="00810A4C" w:rsidRDefault="009B1462" w:rsidP="00810A4C">
      <w:pPr>
        <w:pStyle w:val="BodyText"/>
      </w:pPr>
      <w:r>
        <w:t>Court Services Victoria</w:t>
      </w:r>
      <w:r w:rsidR="00810A4C">
        <w:t xml:space="preserve"> has reviewed all of its arrangements to assess whether AASB 1059 applies and made the judgment that no arrangements are within the scope of AASB 1059 due to no operator providing public services or managing at least some of those services under its own direction.</w:t>
      </w:r>
    </w:p>
    <w:p w14:paraId="4F68B58A" w14:textId="551CD4E6" w:rsidR="00B71730" w:rsidRDefault="007E14B4" w:rsidP="007E14B4">
      <w:pPr>
        <w:pStyle w:val="Heading3"/>
      </w:pPr>
      <w:bookmarkStart w:id="499" w:name="Note910"/>
      <w:bookmarkStart w:id="500" w:name="_Toc62808184"/>
      <w:r>
        <w:t xml:space="preserve">9.10 </w:t>
      </w:r>
      <w:bookmarkEnd w:id="499"/>
      <w:r>
        <w:t>Australian Accounting Standards Issued That Are Not Yet Effective</w:t>
      </w:r>
      <w:bookmarkEnd w:id="500"/>
    </w:p>
    <w:p w14:paraId="71A26331" w14:textId="3B065C02" w:rsidR="007E14B4" w:rsidRDefault="007E14B4" w:rsidP="007E14B4">
      <w:pPr>
        <w:pStyle w:val="BodyText"/>
      </w:pPr>
      <w:r>
        <w:t xml:space="preserve">Certain new and revised accounting standards have been issued but are not effective for the 2019-20 reporting period. These accounting standards have not been applied to the </w:t>
      </w:r>
      <w:r w:rsidR="009B1462">
        <w:t>Court Services Victoria</w:t>
      </w:r>
      <w:r>
        <w:t xml:space="preserve"> Annual Financial Statements. </w:t>
      </w:r>
      <w:r w:rsidR="009B1462">
        <w:t>Court Services Victoria</w:t>
      </w:r>
      <w:r>
        <w:t xml:space="preserve"> is reviewing its existing policies and assessing the potential implications of these accounting standards which includes:</w:t>
      </w:r>
    </w:p>
    <w:p w14:paraId="7028BEE5" w14:textId="3AB0AD0A" w:rsidR="007E14B4" w:rsidRPr="00132EB3" w:rsidRDefault="007E14B4" w:rsidP="001E5BB8">
      <w:pPr>
        <w:pStyle w:val="ListBullet"/>
      </w:pPr>
      <w:r w:rsidRPr="00132EB3">
        <w:t xml:space="preserve">AASB 2018-7 </w:t>
      </w:r>
      <w:r w:rsidRPr="00132EB3">
        <w:rPr>
          <w:rStyle w:val="Italics"/>
        </w:rPr>
        <w:t>Amendments to Australian Accounting Standards</w:t>
      </w:r>
      <w:r w:rsidRPr="00132EB3">
        <w:t xml:space="preserve"> – Definition of Material</w:t>
      </w:r>
    </w:p>
    <w:p w14:paraId="2395EFC2" w14:textId="0F5B0327" w:rsidR="007E14B4" w:rsidRDefault="007E14B4" w:rsidP="00132EB3">
      <w:pPr>
        <w:pStyle w:val="ListBulletContinue"/>
      </w:pPr>
      <w:r>
        <w:t xml:space="preserve">This Standard principally amends AASB 101 Presentation of Financial Statements and AASB 108 Accounting Policies, Changes in Accounting Estimates and Errors. It applies to reporting periods beginning on or after 1 January 2020 with earlier application permitted. </w:t>
      </w:r>
      <w:r w:rsidR="009B1462">
        <w:t>Court Services Victoria</w:t>
      </w:r>
      <w:r>
        <w:t xml:space="preserve"> has not earlier adopted the Standard.</w:t>
      </w:r>
    </w:p>
    <w:p w14:paraId="605C6732" w14:textId="70113561" w:rsidR="007E14B4" w:rsidRDefault="007E14B4" w:rsidP="00132EB3">
      <w:pPr>
        <w:pStyle w:val="ListBulletContinue"/>
      </w:pPr>
      <w:r>
        <w:t>The amendments refine and clarify the definition of material in AASB 101 and its application by improving the wording and aligning the definition across AASB Standards and other publications. The amendments also include some supporting requirements in AASB 101 in the definition to give it more prominence and clarify the explanation accompanying the definition of material.</w:t>
      </w:r>
    </w:p>
    <w:p w14:paraId="34A15D77" w14:textId="31C83C3B" w:rsidR="007E14B4" w:rsidRDefault="009B1462" w:rsidP="00132EB3">
      <w:pPr>
        <w:pStyle w:val="ListBulletContinue"/>
      </w:pPr>
      <w:r>
        <w:t>Court Services Victoria</w:t>
      </w:r>
      <w:r w:rsidR="007E14B4">
        <w:t xml:space="preserve"> is in the process of analysing the impacts of this Standard. However, it is not anticipated to have a material impact.</w:t>
      </w:r>
    </w:p>
    <w:p w14:paraId="5A4D46F0" w14:textId="72BEBC93" w:rsidR="007E14B4" w:rsidRDefault="007E14B4" w:rsidP="001E5BB8">
      <w:pPr>
        <w:pStyle w:val="ListBullet"/>
      </w:pPr>
      <w:r>
        <w:t xml:space="preserve">AASB 2020-1 </w:t>
      </w:r>
      <w:r w:rsidRPr="00132EB3">
        <w:rPr>
          <w:rStyle w:val="Italics"/>
        </w:rPr>
        <w:t>Amendments to Australian Accounting Standards</w:t>
      </w:r>
      <w:r>
        <w:t xml:space="preserve"> – Classification of Liabilities as Current or Non-Current</w:t>
      </w:r>
    </w:p>
    <w:p w14:paraId="64F6A2E6" w14:textId="4C1BF037" w:rsidR="007E14B4" w:rsidRDefault="007E14B4" w:rsidP="00132EB3">
      <w:pPr>
        <w:pStyle w:val="ListBulletContinue"/>
      </w:pPr>
      <w:r>
        <w:t xml:space="preserve">This Standard amends AASB 101 to clarify requirements for the presentation of liabilities in the statement of financial position as current or non-current. It initially applied to annual reporting periods beginning on or after 1 January 2022 with earlier application permitted however the AASB has recently issued ED 301 Classification of Liabilities as Current or Non-Current – Deferral of Effective Date with the intention to defer the application by 1 year to periods beginning on or after 1 January 2023. The Department will not early </w:t>
      </w:r>
      <w:proofErr w:type="gramStart"/>
      <w:r>
        <w:t>adopted</w:t>
      </w:r>
      <w:proofErr w:type="gramEnd"/>
      <w:r>
        <w:t xml:space="preserve"> the Standard.</w:t>
      </w:r>
    </w:p>
    <w:p w14:paraId="230A235A" w14:textId="568891B5" w:rsidR="007E14B4" w:rsidRDefault="009B1462" w:rsidP="00132EB3">
      <w:pPr>
        <w:pStyle w:val="ListBulletContinue"/>
      </w:pPr>
      <w:r>
        <w:t>Court Services Victoria</w:t>
      </w:r>
      <w:r w:rsidR="007E14B4">
        <w:t xml:space="preserve"> is in the process of analysing the impacts of this Standard. However, it is not anticipated to have a material impact.</w:t>
      </w:r>
    </w:p>
    <w:p w14:paraId="084CA47B" w14:textId="5C6155D1" w:rsidR="007E14B4" w:rsidRDefault="007E14B4" w:rsidP="007E14B4">
      <w:pPr>
        <w:pStyle w:val="BodyText"/>
      </w:pPr>
      <w:r>
        <w:t xml:space="preserve">Several other amending standards and AASB interpretations have been issued that apply to future reporting </w:t>
      </w:r>
      <w:proofErr w:type="gramStart"/>
      <w:r>
        <w:t>periods, but</w:t>
      </w:r>
      <w:proofErr w:type="gramEnd"/>
      <w:r>
        <w:t xml:space="preserve"> are considered to have limited impact on </w:t>
      </w:r>
      <w:r w:rsidR="009B1462">
        <w:t>Court Services Victoria</w:t>
      </w:r>
      <w:r>
        <w:t>’s reporting.</w:t>
      </w:r>
    </w:p>
    <w:p w14:paraId="7F4EA6F2" w14:textId="6C873B01" w:rsidR="007E14B4" w:rsidRPr="00132EB3" w:rsidRDefault="007E14B4" w:rsidP="007E14B4">
      <w:pPr>
        <w:pStyle w:val="ListBullet"/>
        <w:rPr>
          <w:rStyle w:val="Italics"/>
        </w:rPr>
      </w:pPr>
      <w:r>
        <w:t xml:space="preserve">AASB 17 </w:t>
      </w:r>
      <w:r w:rsidRPr="00132EB3">
        <w:rPr>
          <w:rStyle w:val="Italics"/>
        </w:rPr>
        <w:t>Insurance Contracts.</w:t>
      </w:r>
    </w:p>
    <w:p w14:paraId="193D2728" w14:textId="041B70C1" w:rsidR="007E14B4" w:rsidRDefault="007E14B4" w:rsidP="001E5BB8">
      <w:pPr>
        <w:pStyle w:val="ListBullet"/>
      </w:pPr>
      <w:r>
        <w:t xml:space="preserve">AASB 1060 </w:t>
      </w:r>
      <w:r w:rsidRPr="00132EB3">
        <w:rPr>
          <w:rStyle w:val="Italics"/>
        </w:rPr>
        <w:t>General Purpose Financial Statements – Simplified Disclosures for For-Profit and Not-for-Profit Tier 2 Entities</w:t>
      </w:r>
      <w:r>
        <w:t xml:space="preserve"> (Appendix C).</w:t>
      </w:r>
    </w:p>
    <w:p w14:paraId="7E13E948" w14:textId="7D203738" w:rsidR="007E14B4" w:rsidRDefault="007E14B4" w:rsidP="001E5BB8">
      <w:pPr>
        <w:pStyle w:val="ListBullet"/>
      </w:pPr>
      <w:r>
        <w:t xml:space="preserve">AASB 2018-6 </w:t>
      </w:r>
      <w:r w:rsidRPr="00132EB3">
        <w:rPr>
          <w:rStyle w:val="Italics"/>
        </w:rPr>
        <w:t>Amendments to Australian Accounting Standards – Definition of a Business</w:t>
      </w:r>
      <w:r>
        <w:t>.</w:t>
      </w:r>
    </w:p>
    <w:p w14:paraId="44D51E13" w14:textId="5DEEA013" w:rsidR="007E14B4" w:rsidRDefault="007E14B4" w:rsidP="001E5BB8">
      <w:pPr>
        <w:pStyle w:val="ListBullet"/>
      </w:pPr>
      <w:r>
        <w:t xml:space="preserve">AASB 2019-1 </w:t>
      </w:r>
      <w:r w:rsidRPr="00132EB3">
        <w:rPr>
          <w:rStyle w:val="Italics"/>
        </w:rPr>
        <w:t>Amendments to Australian Accounting Standards – References to the Conceptual Framework.</w:t>
      </w:r>
    </w:p>
    <w:p w14:paraId="2B6D09CB" w14:textId="1EDC9F18" w:rsidR="007E14B4" w:rsidRPr="00132EB3" w:rsidRDefault="007E14B4" w:rsidP="001E5BB8">
      <w:pPr>
        <w:pStyle w:val="ListBullet"/>
        <w:rPr>
          <w:rStyle w:val="Italics"/>
        </w:rPr>
      </w:pPr>
      <w:r>
        <w:t xml:space="preserve">AASB 2019-3 </w:t>
      </w:r>
      <w:r w:rsidRPr="00132EB3">
        <w:rPr>
          <w:rStyle w:val="Italics"/>
        </w:rPr>
        <w:t>Amendments to Australian Accounting Standards – Interest Rate Benchmark Reform.</w:t>
      </w:r>
    </w:p>
    <w:p w14:paraId="0F55D993" w14:textId="4B0EC086" w:rsidR="007E14B4" w:rsidRDefault="007E14B4" w:rsidP="001E5BB8">
      <w:pPr>
        <w:pStyle w:val="ListBullet"/>
      </w:pPr>
      <w:r>
        <w:t xml:space="preserve">AASB 2019-5 </w:t>
      </w:r>
      <w:r w:rsidRPr="00132EB3">
        <w:rPr>
          <w:rStyle w:val="Italics"/>
        </w:rPr>
        <w:t>Amendments to Australian Accounting Standards – Disclosure of the Effect of New IFRS Standards Not Yet Issued in Australia</w:t>
      </w:r>
      <w:r>
        <w:t>.</w:t>
      </w:r>
    </w:p>
    <w:p w14:paraId="79F9A792" w14:textId="2AF3CD0A" w:rsidR="007E14B4" w:rsidRPr="00132EB3" w:rsidRDefault="007E14B4" w:rsidP="001E5BB8">
      <w:pPr>
        <w:pStyle w:val="ListBullet"/>
        <w:rPr>
          <w:rStyle w:val="Italics"/>
        </w:rPr>
      </w:pPr>
      <w:r>
        <w:t xml:space="preserve">AASB 2020-2 </w:t>
      </w:r>
      <w:r w:rsidRPr="00132EB3">
        <w:rPr>
          <w:rStyle w:val="Italics"/>
        </w:rPr>
        <w:t>Amendments to Australian Accounting Standards – Removal of Special Purpose Financial Statements for Certain For-Profit Private Sector Entities.</w:t>
      </w:r>
    </w:p>
    <w:p w14:paraId="54C6E4B2" w14:textId="77777777" w:rsidR="008D549D" w:rsidRDefault="008D549D" w:rsidP="008D549D">
      <w:pPr>
        <w:pStyle w:val="Heading2"/>
      </w:pPr>
      <w:bookmarkStart w:id="501" w:name="Note10text"/>
      <w:bookmarkStart w:id="502" w:name="Note10"/>
      <w:bookmarkStart w:id="503" w:name="_Ref22644085"/>
      <w:bookmarkStart w:id="504" w:name="_Toc62808185"/>
      <w:r>
        <w:t>Note 10</w:t>
      </w:r>
      <w:bookmarkEnd w:id="501"/>
      <w:r>
        <w:t>.</w:t>
      </w:r>
      <w:r>
        <w:tab/>
        <w:t>Correction of a Prior Period Error</w:t>
      </w:r>
      <w:bookmarkEnd w:id="504"/>
    </w:p>
    <w:bookmarkEnd w:id="502"/>
    <w:p w14:paraId="68BDF283" w14:textId="2CDA4F60" w:rsidR="008D549D" w:rsidRDefault="009B1462" w:rsidP="008D549D">
      <w:pPr>
        <w:pStyle w:val="BodyText"/>
      </w:pPr>
      <w:r>
        <w:t>Court Services Victoria</w:t>
      </w:r>
      <w:r w:rsidR="008D549D">
        <w:t xml:space="preserve"> has identified one prior period error in relation to the depreciation of the County Court Public Private Partnership lease. In accordance with AASB 108 (Accounting Policies, Changes in Accounting Estimates and Errors), </w:t>
      </w:r>
      <w:r>
        <w:t>Court Services Victoria</w:t>
      </w:r>
      <w:r w:rsidR="008D549D">
        <w:t xml:space="preserve"> is required to correct material prior period errors retrospectively in the first set of financial statements authorised for issue after their discovery. The error occurred before the earliest prior period presented, hence the opening balances of assets, liabilities and equity for 2019 have been restated. Sections </w:t>
      </w:r>
      <w:hyperlink w:anchor="Section101" w:history="1">
        <w:r w:rsidR="00546B78" w:rsidRPr="00546B78">
          <w:t>10.1</w:t>
        </w:r>
      </w:hyperlink>
      <w:r w:rsidR="008D549D">
        <w:t xml:space="preserve"> and </w:t>
      </w:r>
      <w:hyperlink w:anchor="Section102" w:history="1">
        <w:r w:rsidR="00546B78" w:rsidRPr="00546B78">
          <w:t>10.2</w:t>
        </w:r>
      </w:hyperlink>
      <w:r w:rsidR="008D549D">
        <w:t xml:space="preserve"> include the restated tables for the comprehensive operating statement and balance sheet respectively.</w:t>
      </w:r>
    </w:p>
    <w:p w14:paraId="4A536622" w14:textId="5A7A9231" w:rsidR="008D549D" w:rsidRDefault="008D549D" w:rsidP="008D549D">
      <w:pPr>
        <w:pStyle w:val="Heading3"/>
      </w:pPr>
      <w:bookmarkStart w:id="505" w:name="_Toc62808186"/>
      <w:r>
        <w:t>Depreciation of the County Court Public Private Partnership (PPP) Asset</w:t>
      </w:r>
      <w:bookmarkEnd w:id="505"/>
    </w:p>
    <w:p w14:paraId="5B359D81" w14:textId="62A6ED5B" w:rsidR="008D549D" w:rsidRDefault="008D549D" w:rsidP="008D549D">
      <w:pPr>
        <w:pStyle w:val="BodyText"/>
      </w:pPr>
      <w:r>
        <w:t>Prior to 1 July 2019, the PPP was accounted for as a finance lease under AASB 117, and the underlying asset was depreciated over the useful life of the asset, estimated to be 43 years.</w:t>
      </w:r>
    </w:p>
    <w:p w14:paraId="229300DD" w14:textId="518DF81C" w:rsidR="008D549D" w:rsidRDefault="008D549D" w:rsidP="008D549D">
      <w:pPr>
        <w:pStyle w:val="BodyText"/>
      </w:pPr>
      <w:r>
        <w:t xml:space="preserve">Under the requirements of AASB 117, the asset should have been depreciated over the shorter of the lease term (20 years) and the asset’s useful life, as there was no reasonable certainty that </w:t>
      </w:r>
      <w:r w:rsidR="009B1462">
        <w:t>Court Services Victoria</w:t>
      </w:r>
      <w:r>
        <w:t xml:space="preserve"> would obtain ownership of the leased asset at the end of the lease term.</w:t>
      </w:r>
    </w:p>
    <w:p w14:paraId="6D77539B" w14:textId="4D0B3E37" w:rsidR="008D549D" w:rsidRDefault="008D549D" w:rsidP="008D549D">
      <w:pPr>
        <w:pStyle w:val="BodyText"/>
      </w:pPr>
      <w:r>
        <w:t>This error had the effect of overstating the opening balance sheet balances at the beginning of the preceding period for: property, plant and equipment by $139.8m; accumulated surplus/(deficit) by $36.3m; and physical asset revaluation reserve by $103.4m. This error also had the effect of understating the comprehensive operating statement at the end of the preceding period for depreciation and amortisation by $8.6m.</w:t>
      </w:r>
    </w:p>
    <w:p w14:paraId="5641A5DA" w14:textId="549B6AEE" w:rsidR="008D549D" w:rsidRDefault="008D549D" w:rsidP="008D549D">
      <w:pPr>
        <w:pStyle w:val="BodyText"/>
      </w:pPr>
      <w:r>
        <w:t>The impact of restatement on each of the affected financial statement line item for the prior periods is presented as follows:</w:t>
      </w:r>
    </w:p>
    <w:p w14:paraId="69620819" w14:textId="5853EA4D" w:rsidR="008D549D" w:rsidRDefault="008D549D" w:rsidP="008D549D">
      <w:pPr>
        <w:pStyle w:val="Heading3"/>
      </w:pPr>
      <w:bookmarkStart w:id="506" w:name="Section101"/>
      <w:bookmarkStart w:id="507" w:name="_Toc62808187"/>
      <w:r>
        <w:t>10.1</w:t>
      </w:r>
      <w:bookmarkEnd w:id="506"/>
      <w:r>
        <w:t xml:space="preserve"> Impact of Correction of an Error on the Comprehensive Operating Statement</w:t>
      </w:r>
      <w:bookmarkEnd w:id="507"/>
    </w:p>
    <w:tbl>
      <w:tblPr>
        <w:tblStyle w:val="AccessibleTableNumerical"/>
        <w:tblW w:w="5000" w:type="pct"/>
        <w:tblLook w:val="04A0" w:firstRow="1" w:lastRow="0" w:firstColumn="1" w:lastColumn="0" w:noHBand="0" w:noVBand="1"/>
      </w:tblPr>
      <w:tblGrid>
        <w:gridCol w:w="4019"/>
        <w:gridCol w:w="1876"/>
        <w:gridCol w:w="1874"/>
        <w:gridCol w:w="1870"/>
      </w:tblGrid>
      <w:tr w:rsidR="00EB5162" w:rsidRPr="00580397" w14:paraId="2FAC957A" w14:textId="77777777" w:rsidTr="00D951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5" w:type="pct"/>
          </w:tcPr>
          <w:p w14:paraId="0167DD62" w14:textId="77777777" w:rsidR="00EB5162" w:rsidRPr="00580397" w:rsidRDefault="00EB5162" w:rsidP="001E5BB8">
            <w:pPr>
              <w:pStyle w:val="TableText"/>
            </w:pPr>
            <w:bookmarkStart w:id="508" w:name="ColumnTitle_109"/>
            <w:r w:rsidRPr="00580397">
              <w:t>Item</w:t>
            </w:r>
          </w:p>
        </w:tc>
        <w:tc>
          <w:tcPr>
            <w:tcW w:w="973" w:type="pct"/>
            <w:vAlign w:val="bottom"/>
          </w:tcPr>
          <w:p w14:paraId="731FA137" w14:textId="63B9E760" w:rsidR="00F8258C" w:rsidRDefault="00F8258C" w:rsidP="00D951D4">
            <w:pPr>
              <w:pStyle w:val="TableText"/>
              <w:cnfStyle w:val="100000000000" w:firstRow="1" w:lastRow="0" w:firstColumn="0" w:lastColumn="0" w:oddVBand="0" w:evenVBand="0" w:oddHBand="0" w:evenHBand="0" w:firstRowFirstColumn="0" w:firstRowLastColumn="0" w:lastRowFirstColumn="0" w:lastRowLastColumn="0"/>
            </w:pPr>
            <w:r>
              <w:t>For the period ended 30 June 2019 as previously presented</w:t>
            </w:r>
            <w:r>
              <w:br/>
              <w:t>$’000</w:t>
            </w:r>
          </w:p>
        </w:tc>
        <w:tc>
          <w:tcPr>
            <w:tcW w:w="972" w:type="pct"/>
            <w:vAlign w:val="bottom"/>
          </w:tcPr>
          <w:p w14:paraId="23236D89" w14:textId="6DFB3BC4" w:rsidR="00EB5162" w:rsidRDefault="00F8258C" w:rsidP="00D951D4">
            <w:pPr>
              <w:pStyle w:val="TableText"/>
              <w:cnfStyle w:val="100000000000" w:firstRow="1" w:lastRow="0" w:firstColumn="0" w:lastColumn="0" w:oddVBand="0" w:evenVBand="0" w:oddHBand="0" w:evenHBand="0" w:firstRowFirstColumn="0" w:firstRowLastColumn="0" w:lastRowFirstColumn="0" w:lastRowLastColumn="0"/>
            </w:pPr>
            <w:r>
              <w:t>Prior period adjustments PPP – County Court</w:t>
            </w:r>
            <w:r>
              <w:br/>
              <w:t>$’000</w:t>
            </w:r>
          </w:p>
        </w:tc>
        <w:tc>
          <w:tcPr>
            <w:tcW w:w="970" w:type="pct"/>
            <w:vAlign w:val="bottom"/>
          </w:tcPr>
          <w:p w14:paraId="08A4A723" w14:textId="7C09B671" w:rsidR="00EB5162" w:rsidRPr="00580397" w:rsidRDefault="00F8258C" w:rsidP="00D951D4">
            <w:pPr>
              <w:pStyle w:val="TableText"/>
              <w:cnfStyle w:val="100000000000" w:firstRow="1" w:lastRow="0" w:firstColumn="0" w:lastColumn="0" w:oddVBand="0" w:evenVBand="0" w:oddHBand="0" w:evenHBand="0" w:firstRowFirstColumn="0" w:firstRowLastColumn="0" w:lastRowFirstColumn="0" w:lastRowLastColumn="0"/>
            </w:pPr>
            <w:r>
              <w:t>For the period ended 30 June 2019 (Restated)</w:t>
            </w:r>
            <w:r>
              <w:br/>
              <w:t>$’000</w:t>
            </w:r>
          </w:p>
        </w:tc>
      </w:tr>
      <w:bookmarkEnd w:id="508"/>
      <w:tr w:rsidR="00EB5162" w:rsidRPr="00580397" w14:paraId="4641CEE4" w14:textId="77777777" w:rsidTr="00D951D4">
        <w:tc>
          <w:tcPr>
            <w:cnfStyle w:val="001000000000" w:firstRow="0" w:lastRow="0" w:firstColumn="1" w:lastColumn="0" w:oddVBand="0" w:evenVBand="0" w:oddHBand="0" w:evenHBand="0" w:firstRowFirstColumn="0" w:firstRowLastColumn="0" w:lastRowFirstColumn="0" w:lastRowLastColumn="0"/>
            <w:tcW w:w="2085" w:type="pct"/>
          </w:tcPr>
          <w:p w14:paraId="0AEF2B4C" w14:textId="399B8F95" w:rsidR="00EB5162" w:rsidRPr="006716C9" w:rsidRDefault="00D951D4" w:rsidP="001E5BB8">
            <w:pPr>
              <w:pStyle w:val="TableText"/>
              <w:rPr>
                <w:rStyle w:val="Bold"/>
              </w:rPr>
            </w:pPr>
            <w:r>
              <w:rPr>
                <w:rStyle w:val="Bold"/>
              </w:rPr>
              <w:t>Expenses from transactions</w:t>
            </w:r>
          </w:p>
        </w:tc>
        <w:tc>
          <w:tcPr>
            <w:tcW w:w="973" w:type="pct"/>
          </w:tcPr>
          <w:p w14:paraId="589D37A8" w14:textId="1AFFAE04"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972" w:type="pct"/>
          </w:tcPr>
          <w:p w14:paraId="53CD7A32" w14:textId="11DE7ACE"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970" w:type="pct"/>
          </w:tcPr>
          <w:p w14:paraId="145CC6C2" w14:textId="65AD2D29" w:rsidR="00EB5162" w:rsidRPr="00580397"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N/A</w:t>
            </w:r>
          </w:p>
        </w:tc>
      </w:tr>
      <w:tr w:rsidR="00EB5162" w:rsidRPr="00580397" w14:paraId="2DD19054" w14:textId="77777777" w:rsidTr="00D951D4">
        <w:tc>
          <w:tcPr>
            <w:cnfStyle w:val="001000000000" w:firstRow="0" w:lastRow="0" w:firstColumn="1" w:lastColumn="0" w:oddVBand="0" w:evenVBand="0" w:oddHBand="0" w:evenHBand="0" w:firstRowFirstColumn="0" w:firstRowLastColumn="0" w:lastRowFirstColumn="0" w:lastRowLastColumn="0"/>
            <w:tcW w:w="2085" w:type="pct"/>
          </w:tcPr>
          <w:p w14:paraId="65AACAD1" w14:textId="564750AD" w:rsidR="00EB5162" w:rsidRPr="00580397" w:rsidRDefault="00D951D4" w:rsidP="001E5BB8">
            <w:pPr>
              <w:pStyle w:val="TableText"/>
            </w:pPr>
            <w:r>
              <w:t>Depreciation and amortisation</w:t>
            </w:r>
          </w:p>
        </w:tc>
        <w:tc>
          <w:tcPr>
            <w:tcW w:w="973" w:type="pct"/>
          </w:tcPr>
          <w:p w14:paraId="2DB2947F" w14:textId="6C2838D9"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53,488</w:t>
            </w:r>
          </w:p>
        </w:tc>
        <w:tc>
          <w:tcPr>
            <w:tcW w:w="972" w:type="pct"/>
          </w:tcPr>
          <w:p w14:paraId="1C7B5CB1" w14:textId="32AE6270"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8,621</w:t>
            </w:r>
          </w:p>
        </w:tc>
        <w:tc>
          <w:tcPr>
            <w:tcW w:w="970" w:type="pct"/>
          </w:tcPr>
          <w:p w14:paraId="6433AF1B" w14:textId="6E9FCD2D" w:rsidR="00EB5162" w:rsidRPr="00580397"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62,109</w:t>
            </w:r>
          </w:p>
        </w:tc>
      </w:tr>
      <w:tr w:rsidR="00EB5162" w:rsidRPr="006716C9" w14:paraId="2C8B46EB" w14:textId="77777777" w:rsidTr="00D951D4">
        <w:tc>
          <w:tcPr>
            <w:cnfStyle w:val="001000000000" w:firstRow="0" w:lastRow="0" w:firstColumn="1" w:lastColumn="0" w:oddVBand="0" w:evenVBand="0" w:oddHBand="0" w:evenHBand="0" w:firstRowFirstColumn="0" w:firstRowLastColumn="0" w:lastRowFirstColumn="0" w:lastRowLastColumn="0"/>
            <w:tcW w:w="2085" w:type="pct"/>
          </w:tcPr>
          <w:p w14:paraId="5B9AA11C" w14:textId="6AD9C53A" w:rsidR="00EB5162" w:rsidRPr="006716C9" w:rsidRDefault="00D951D4" w:rsidP="001E5BB8">
            <w:pPr>
              <w:pStyle w:val="TableText"/>
              <w:rPr>
                <w:rStyle w:val="Bold"/>
              </w:rPr>
            </w:pPr>
            <w:r>
              <w:rPr>
                <w:rStyle w:val="Bold"/>
              </w:rPr>
              <w:t>Total expenses from transactions</w:t>
            </w:r>
          </w:p>
        </w:tc>
        <w:tc>
          <w:tcPr>
            <w:tcW w:w="973" w:type="pct"/>
          </w:tcPr>
          <w:p w14:paraId="23E5DDB5" w14:textId="49F8DADD"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53,488</w:t>
            </w:r>
          </w:p>
        </w:tc>
        <w:tc>
          <w:tcPr>
            <w:tcW w:w="972" w:type="pct"/>
          </w:tcPr>
          <w:p w14:paraId="0D428268" w14:textId="24ACDFCE" w:rsidR="00EB5162"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8,621</w:t>
            </w:r>
          </w:p>
        </w:tc>
        <w:tc>
          <w:tcPr>
            <w:tcW w:w="970" w:type="pct"/>
          </w:tcPr>
          <w:p w14:paraId="56238AA9" w14:textId="4AF189B2" w:rsidR="00EB5162" w:rsidRPr="006716C9"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62,109</w:t>
            </w:r>
          </w:p>
        </w:tc>
      </w:tr>
      <w:tr w:rsidR="00EB5162" w:rsidRPr="00D951D4" w14:paraId="3B29E16A" w14:textId="77777777" w:rsidTr="00D951D4">
        <w:tc>
          <w:tcPr>
            <w:cnfStyle w:val="001000000000" w:firstRow="0" w:lastRow="0" w:firstColumn="1" w:lastColumn="0" w:oddVBand="0" w:evenVBand="0" w:oddHBand="0" w:evenHBand="0" w:firstRowFirstColumn="0" w:firstRowLastColumn="0" w:lastRowFirstColumn="0" w:lastRowLastColumn="0"/>
            <w:tcW w:w="2085" w:type="pct"/>
          </w:tcPr>
          <w:p w14:paraId="762C70D2" w14:textId="2384DC5D" w:rsidR="00EB5162" w:rsidRPr="00D951D4" w:rsidRDefault="00D951D4" w:rsidP="001E5BB8">
            <w:pPr>
              <w:pStyle w:val="TableText"/>
              <w:rPr>
                <w:rStyle w:val="Bold"/>
              </w:rPr>
            </w:pPr>
            <w:r w:rsidRPr="00D951D4">
              <w:rPr>
                <w:rStyle w:val="Bold"/>
              </w:rPr>
              <w:t>Net result from transactions (net operating balance)</w:t>
            </w:r>
          </w:p>
        </w:tc>
        <w:tc>
          <w:tcPr>
            <w:tcW w:w="973" w:type="pct"/>
          </w:tcPr>
          <w:p w14:paraId="24156673" w14:textId="6CDF4699"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10,849</w:t>
            </w:r>
          </w:p>
        </w:tc>
        <w:tc>
          <w:tcPr>
            <w:tcW w:w="972" w:type="pct"/>
          </w:tcPr>
          <w:p w14:paraId="616E14A9" w14:textId="7234C4EE"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8,621</w:t>
            </w:r>
          </w:p>
        </w:tc>
        <w:tc>
          <w:tcPr>
            <w:tcW w:w="970" w:type="pct"/>
          </w:tcPr>
          <w:p w14:paraId="21F1251F" w14:textId="57E75E41"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2,228</w:t>
            </w:r>
          </w:p>
        </w:tc>
      </w:tr>
      <w:tr w:rsidR="00EB5162" w:rsidRPr="00D951D4" w14:paraId="5893D45D" w14:textId="77777777" w:rsidTr="00D951D4">
        <w:tc>
          <w:tcPr>
            <w:cnfStyle w:val="001000000000" w:firstRow="0" w:lastRow="0" w:firstColumn="1" w:lastColumn="0" w:oddVBand="0" w:evenVBand="0" w:oddHBand="0" w:evenHBand="0" w:firstRowFirstColumn="0" w:firstRowLastColumn="0" w:lastRowFirstColumn="0" w:lastRowLastColumn="0"/>
            <w:tcW w:w="2085" w:type="pct"/>
          </w:tcPr>
          <w:p w14:paraId="50B98077" w14:textId="5F758450" w:rsidR="00EB5162" w:rsidRPr="00D951D4" w:rsidRDefault="00D951D4" w:rsidP="001E5BB8">
            <w:pPr>
              <w:pStyle w:val="TableText"/>
              <w:rPr>
                <w:rStyle w:val="Bold"/>
              </w:rPr>
            </w:pPr>
            <w:r w:rsidRPr="00D951D4">
              <w:rPr>
                <w:rStyle w:val="Bold"/>
              </w:rPr>
              <w:t>Comprehensive result</w:t>
            </w:r>
          </w:p>
        </w:tc>
        <w:tc>
          <w:tcPr>
            <w:tcW w:w="973" w:type="pct"/>
          </w:tcPr>
          <w:p w14:paraId="2978FA05" w14:textId="529B65C3"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57,880</w:t>
            </w:r>
          </w:p>
        </w:tc>
        <w:tc>
          <w:tcPr>
            <w:tcW w:w="972" w:type="pct"/>
          </w:tcPr>
          <w:p w14:paraId="4086724A" w14:textId="59433E4A"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8,621</w:t>
            </w:r>
          </w:p>
        </w:tc>
        <w:tc>
          <w:tcPr>
            <w:tcW w:w="970" w:type="pct"/>
          </w:tcPr>
          <w:p w14:paraId="778230B7" w14:textId="622EEB93" w:rsidR="00EB5162" w:rsidRP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D951D4">
              <w:rPr>
                <w:rStyle w:val="Bold"/>
              </w:rPr>
              <w:t>49,258</w:t>
            </w:r>
          </w:p>
        </w:tc>
      </w:tr>
    </w:tbl>
    <w:p w14:paraId="01EB3307" w14:textId="784E3E32" w:rsidR="00D951D4" w:rsidRDefault="00D951D4" w:rsidP="00D951D4">
      <w:pPr>
        <w:pStyle w:val="Heading3"/>
      </w:pPr>
      <w:bookmarkStart w:id="509" w:name="Section102"/>
      <w:bookmarkStart w:id="510" w:name="_Toc62808188"/>
      <w:r>
        <w:t xml:space="preserve">10.2 </w:t>
      </w:r>
      <w:bookmarkEnd w:id="509"/>
      <w:r>
        <w:t>Impact of Correction of an Error on the Balance Sheet</w:t>
      </w:r>
      <w:bookmarkEnd w:id="510"/>
    </w:p>
    <w:tbl>
      <w:tblPr>
        <w:tblStyle w:val="AccessibleTableNumerical"/>
        <w:tblW w:w="5000" w:type="pct"/>
        <w:tblLayout w:type="fixed"/>
        <w:tblLook w:val="04A0" w:firstRow="1" w:lastRow="0" w:firstColumn="1" w:lastColumn="0" w:noHBand="0" w:noVBand="1"/>
      </w:tblPr>
      <w:tblGrid>
        <w:gridCol w:w="1843"/>
        <w:gridCol w:w="1276"/>
        <w:gridCol w:w="1417"/>
        <w:gridCol w:w="1276"/>
        <w:gridCol w:w="1276"/>
        <w:gridCol w:w="1417"/>
        <w:gridCol w:w="1134"/>
      </w:tblGrid>
      <w:tr w:rsidR="002273C5" w:rsidRPr="00580397" w14:paraId="4CB52FCC" w14:textId="297FBBAC" w:rsidTr="002273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 w:type="pct"/>
          </w:tcPr>
          <w:p w14:paraId="3711333D" w14:textId="4111B4FE" w:rsidR="00D951D4" w:rsidRPr="00580397" w:rsidRDefault="00D951D4" w:rsidP="001E5BB8">
            <w:pPr>
              <w:pStyle w:val="TableText"/>
            </w:pPr>
            <w:bookmarkStart w:id="511" w:name="ColumnTitle_110"/>
            <w:r>
              <w:t>Assets</w:t>
            </w:r>
          </w:p>
        </w:tc>
        <w:tc>
          <w:tcPr>
            <w:tcW w:w="662" w:type="pct"/>
            <w:vAlign w:val="bottom"/>
          </w:tcPr>
          <w:p w14:paraId="29E77EA2" w14:textId="6A71909B" w:rsidR="00D951D4"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 xml:space="preserve">As at </w:t>
            </w:r>
            <w:r w:rsidR="002273C5">
              <w:br/>
            </w:r>
            <w:r>
              <w:t>30 June 2018 (as previously presented)</w:t>
            </w:r>
            <w:r>
              <w:br/>
              <w:t>$’000</w:t>
            </w:r>
          </w:p>
        </w:tc>
        <w:tc>
          <w:tcPr>
            <w:tcW w:w="735" w:type="pct"/>
            <w:vAlign w:val="bottom"/>
          </w:tcPr>
          <w:p w14:paraId="30F1E4AB" w14:textId="7BF9CC50" w:rsidR="00D951D4"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Prior period adjustments PPP – County Court</w:t>
            </w:r>
            <w:r>
              <w:br/>
              <w:t>$’000</w:t>
            </w:r>
          </w:p>
        </w:tc>
        <w:tc>
          <w:tcPr>
            <w:tcW w:w="662" w:type="pct"/>
            <w:vAlign w:val="bottom"/>
          </w:tcPr>
          <w:p w14:paraId="4ADE4977" w14:textId="3E2437DF" w:rsidR="00D951D4" w:rsidRPr="00580397"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 xml:space="preserve">As at </w:t>
            </w:r>
            <w:r w:rsidR="002273C5">
              <w:br/>
            </w:r>
            <w:r>
              <w:t>1 July 2018 (restated)</w:t>
            </w:r>
            <w:r>
              <w:br/>
              <w:t>$’000</w:t>
            </w:r>
          </w:p>
        </w:tc>
        <w:tc>
          <w:tcPr>
            <w:tcW w:w="662" w:type="pct"/>
            <w:vAlign w:val="bottom"/>
          </w:tcPr>
          <w:p w14:paraId="7E713B1B" w14:textId="0E8048B2" w:rsidR="00D951D4"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 xml:space="preserve">As at </w:t>
            </w:r>
            <w:r w:rsidR="002273C5">
              <w:br/>
            </w:r>
            <w:r>
              <w:t>30 June 2019 (as previously presented)</w:t>
            </w:r>
            <w:r>
              <w:br/>
              <w:t>$’000</w:t>
            </w:r>
          </w:p>
        </w:tc>
        <w:tc>
          <w:tcPr>
            <w:tcW w:w="735" w:type="pct"/>
            <w:vAlign w:val="bottom"/>
          </w:tcPr>
          <w:p w14:paraId="547D5BD8" w14:textId="4E517E8C" w:rsidR="00D951D4"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Prior period adjustments PPP – County Court</w:t>
            </w:r>
            <w:r>
              <w:br/>
              <w:t>$’000</w:t>
            </w:r>
          </w:p>
        </w:tc>
        <w:tc>
          <w:tcPr>
            <w:tcW w:w="588" w:type="pct"/>
            <w:vAlign w:val="bottom"/>
          </w:tcPr>
          <w:p w14:paraId="244F9180" w14:textId="21C57023" w:rsidR="00D951D4" w:rsidRDefault="00D951D4" w:rsidP="0087003F">
            <w:pPr>
              <w:pStyle w:val="TableText"/>
              <w:cnfStyle w:val="100000000000" w:firstRow="1" w:lastRow="0" w:firstColumn="0" w:lastColumn="0" w:oddVBand="0" w:evenVBand="0" w:oddHBand="0" w:evenHBand="0" w:firstRowFirstColumn="0" w:firstRowLastColumn="0" w:lastRowFirstColumn="0" w:lastRowLastColumn="0"/>
            </w:pPr>
            <w:r>
              <w:t xml:space="preserve">As at </w:t>
            </w:r>
            <w:r w:rsidR="002273C5">
              <w:br/>
            </w:r>
            <w:r>
              <w:t>30 June 2019 (restated)</w:t>
            </w:r>
            <w:r>
              <w:br/>
              <w:t>$’000</w:t>
            </w:r>
          </w:p>
        </w:tc>
      </w:tr>
      <w:bookmarkEnd w:id="511"/>
      <w:tr w:rsidR="002273C5" w:rsidRPr="00580397" w14:paraId="4AD45BF2" w14:textId="37FA7452" w:rsidTr="002273C5">
        <w:tc>
          <w:tcPr>
            <w:cnfStyle w:val="001000000000" w:firstRow="0" w:lastRow="0" w:firstColumn="1" w:lastColumn="0" w:oddVBand="0" w:evenVBand="0" w:oddHBand="0" w:evenHBand="0" w:firstRowFirstColumn="0" w:firstRowLastColumn="0" w:lastRowFirstColumn="0" w:lastRowLastColumn="0"/>
            <w:tcW w:w="956" w:type="pct"/>
          </w:tcPr>
          <w:p w14:paraId="5DF78F95" w14:textId="2AE80452" w:rsidR="00D951D4" w:rsidRPr="006716C9" w:rsidRDefault="0087003F" w:rsidP="001E5BB8">
            <w:pPr>
              <w:pStyle w:val="TableText"/>
              <w:rPr>
                <w:rStyle w:val="Bold"/>
              </w:rPr>
            </w:pPr>
            <w:r>
              <w:rPr>
                <w:rStyle w:val="Bold"/>
              </w:rPr>
              <w:t>Finance assets</w:t>
            </w:r>
          </w:p>
        </w:tc>
        <w:tc>
          <w:tcPr>
            <w:tcW w:w="662" w:type="pct"/>
          </w:tcPr>
          <w:p w14:paraId="7D4C253C" w14:textId="340F912D"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735" w:type="pct"/>
          </w:tcPr>
          <w:p w14:paraId="6D3D7464" w14:textId="77777777" w:rsidR="00D951D4"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662" w:type="pct"/>
          </w:tcPr>
          <w:p w14:paraId="69A71B6F" w14:textId="77777777" w:rsidR="00D951D4" w:rsidRPr="00580397" w:rsidRDefault="00D951D4"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662" w:type="pct"/>
          </w:tcPr>
          <w:p w14:paraId="4CACE505" w14:textId="07863BE1"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735" w:type="pct"/>
          </w:tcPr>
          <w:p w14:paraId="76E2C65F" w14:textId="10A11DA7"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N/A</w:t>
            </w:r>
          </w:p>
        </w:tc>
        <w:tc>
          <w:tcPr>
            <w:tcW w:w="588" w:type="pct"/>
          </w:tcPr>
          <w:p w14:paraId="1E4D334A" w14:textId="06B863DB"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N/A</w:t>
            </w:r>
          </w:p>
        </w:tc>
      </w:tr>
      <w:tr w:rsidR="002273C5" w:rsidRPr="00580397" w14:paraId="251EEE02" w14:textId="6CC625BF" w:rsidTr="002273C5">
        <w:tc>
          <w:tcPr>
            <w:cnfStyle w:val="001000000000" w:firstRow="0" w:lastRow="0" w:firstColumn="1" w:lastColumn="0" w:oddVBand="0" w:evenVBand="0" w:oddHBand="0" w:evenHBand="0" w:firstRowFirstColumn="0" w:firstRowLastColumn="0" w:lastRowFirstColumn="0" w:lastRowLastColumn="0"/>
            <w:tcW w:w="956" w:type="pct"/>
          </w:tcPr>
          <w:p w14:paraId="4FD83EF6" w14:textId="5DF84CAC" w:rsidR="00D951D4" w:rsidRPr="00580397" w:rsidRDefault="0087003F" w:rsidP="001E5BB8">
            <w:pPr>
              <w:pStyle w:val="TableText"/>
            </w:pPr>
            <w:r>
              <w:t>Property, plant and equipment</w:t>
            </w:r>
          </w:p>
        </w:tc>
        <w:tc>
          <w:tcPr>
            <w:tcW w:w="662" w:type="pct"/>
          </w:tcPr>
          <w:p w14:paraId="35F43A5C" w14:textId="15C206A7"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1,066,249</w:t>
            </w:r>
          </w:p>
        </w:tc>
        <w:tc>
          <w:tcPr>
            <w:tcW w:w="735" w:type="pct"/>
          </w:tcPr>
          <w:p w14:paraId="756FB0D6" w14:textId="3CCCAB9D"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(139,841)</w:t>
            </w:r>
          </w:p>
        </w:tc>
        <w:tc>
          <w:tcPr>
            <w:tcW w:w="662" w:type="pct"/>
          </w:tcPr>
          <w:p w14:paraId="58E004A4" w14:textId="182C3084" w:rsidR="00D951D4" w:rsidRPr="00580397"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926,408</w:t>
            </w:r>
          </w:p>
        </w:tc>
        <w:tc>
          <w:tcPr>
            <w:tcW w:w="662" w:type="pct"/>
          </w:tcPr>
          <w:p w14:paraId="2BE386C3" w14:textId="0C79582E"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1,128,160</w:t>
            </w:r>
          </w:p>
        </w:tc>
        <w:tc>
          <w:tcPr>
            <w:tcW w:w="735" w:type="pct"/>
          </w:tcPr>
          <w:p w14:paraId="1B64ADF8" w14:textId="432A6737"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(148,462)</w:t>
            </w:r>
          </w:p>
        </w:tc>
        <w:tc>
          <w:tcPr>
            <w:tcW w:w="588" w:type="pct"/>
          </w:tcPr>
          <w:p w14:paraId="08A2FF5C" w14:textId="2A55F85A"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979,698</w:t>
            </w:r>
          </w:p>
        </w:tc>
      </w:tr>
      <w:tr w:rsidR="002273C5" w:rsidRPr="006716C9" w14:paraId="4D532158" w14:textId="1E7DE1CE" w:rsidTr="002273C5">
        <w:tc>
          <w:tcPr>
            <w:cnfStyle w:val="001000000000" w:firstRow="0" w:lastRow="0" w:firstColumn="1" w:lastColumn="0" w:oddVBand="0" w:evenVBand="0" w:oddHBand="0" w:evenHBand="0" w:firstRowFirstColumn="0" w:firstRowLastColumn="0" w:lastRowFirstColumn="0" w:lastRowLastColumn="0"/>
            <w:tcW w:w="956" w:type="pct"/>
          </w:tcPr>
          <w:p w14:paraId="2E9D81D1" w14:textId="6FCB0963" w:rsidR="00D951D4" w:rsidRPr="006716C9" w:rsidRDefault="0087003F" w:rsidP="001E5BB8">
            <w:pPr>
              <w:pStyle w:val="TableText"/>
              <w:rPr>
                <w:rStyle w:val="Bold"/>
              </w:rPr>
            </w:pPr>
            <w:r>
              <w:rPr>
                <w:rStyle w:val="Bold"/>
              </w:rPr>
              <w:t>Total non-financial assets</w:t>
            </w:r>
          </w:p>
        </w:tc>
        <w:tc>
          <w:tcPr>
            <w:tcW w:w="662" w:type="pct"/>
          </w:tcPr>
          <w:p w14:paraId="6B8A0684" w14:textId="4CDFFDAA"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1,086,391</w:t>
            </w:r>
          </w:p>
        </w:tc>
        <w:tc>
          <w:tcPr>
            <w:tcW w:w="735" w:type="pct"/>
          </w:tcPr>
          <w:p w14:paraId="2928DCC2" w14:textId="01D5DEFA"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(139,841)</w:t>
            </w:r>
          </w:p>
        </w:tc>
        <w:tc>
          <w:tcPr>
            <w:tcW w:w="662" w:type="pct"/>
          </w:tcPr>
          <w:p w14:paraId="1FA9BA0C" w14:textId="56588605" w:rsidR="00D951D4" w:rsidRPr="006716C9"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946,550</w:t>
            </w:r>
          </w:p>
        </w:tc>
        <w:tc>
          <w:tcPr>
            <w:tcW w:w="662" w:type="pct"/>
          </w:tcPr>
          <w:p w14:paraId="38333BF5" w14:textId="2586F78C"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1,158,640</w:t>
            </w:r>
          </w:p>
        </w:tc>
        <w:tc>
          <w:tcPr>
            <w:tcW w:w="735" w:type="pct"/>
          </w:tcPr>
          <w:p w14:paraId="45C02663" w14:textId="5F938FB2"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(148,462)</w:t>
            </w:r>
          </w:p>
        </w:tc>
        <w:tc>
          <w:tcPr>
            <w:tcW w:w="588" w:type="pct"/>
          </w:tcPr>
          <w:p w14:paraId="5E4C6C4F" w14:textId="2C11E148" w:rsid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1,010,178</w:t>
            </w:r>
          </w:p>
        </w:tc>
      </w:tr>
      <w:tr w:rsidR="002273C5" w:rsidRPr="00D951D4" w14:paraId="7480B9C1" w14:textId="66EE86A2" w:rsidTr="002273C5">
        <w:tc>
          <w:tcPr>
            <w:cnfStyle w:val="001000000000" w:firstRow="0" w:lastRow="0" w:firstColumn="1" w:lastColumn="0" w:oddVBand="0" w:evenVBand="0" w:oddHBand="0" w:evenHBand="0" w:firstRowFirstColumn="0" w:firstRowLastColumn="0" w:lastRowFirstColumn="0" w:lastRowLastColumn="0"/>
            <w:tcW w:w="956" w:type="pct"/>
          </w:tcPr>
          <w:p w14:paraId="093315A6" w14:textId="25814AC9" w:rsidR="00D951D4" w:rsidRPr="00D951D4" w:rsidRDefault="0087003F" w:rsidP="001E5BB8">
            <w:pPr>
              <w:pStyle w:val="TableText"/>
              <w:rPr>
                <w:rStyle w:val="Bold"/>
              </w:rPr>
            </w:pPr>
            <w:r>
              <w:rPr>
                <w:rStyle w:val="Bold"/>
              </w:rPr>
              <w:t>Total assets</w:t>
            </w:r>
          </w:p>
        </w:tc>
        <w:tc>
          <w:tcPr>
            <w:tcW w:w="662" w:type="pct"/>
          </w:tcPr>
          <w:p w14:paraId="07D22B45" w14:textId="4EC1DF07"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1,196,741</w:t>
            </w:r>
          </w:p>
        </w:tc>
        <w:tc>
          <w:tcPr>
            <w:tcW w:w="735" w:type="pct"/>
          </w:tcPr>
          <w:p w14:paraId="24D29EC1" w14:textId="738D5313"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(139,841)</w:t>
            </w:r>
          </w:p>
        </w:tc>
        <w:tc>
          <w:tcPr>
            <w:tcW w:w="662" w:type="pct"/>
          </w:tcPr>
          <w:p w14:paraId="3F211DCB" w14:textId="5A024D80"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1,056,900</w:t>
            </w:r>
          </w:p>
        </w:tc>
        <w:tc>
          <w:tcPr>
            <w:tcW w:w="662" w:type="pct"/>
          </w:tcPr>
          <w:p w14:paraId="08638BD6" w14:textId="36483450"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1,276,833</w:t>
            </w:r>
          </w:p>
        </w:tc>
        <w:tc>
          <w:tcPr>
            <w:tcW w:w="735" w:type="pct"/>
          </w:tcPr>
          <w:p w14:paraId="638915D2" w14:textId="45F18A96"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(148,462)</w:t>
            </w:r>
          </w:p>
        </w:tc>
        <w:tc>
          <w:tcPr>
            <w:tcW w:w="588" w:type="pct"/>
          </w:tcPr>
          <w:p w14:paraId="67AFD2CF" w14:textId="5F464D14"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1,128,001</w:t>
            </w:r>
          </w:p>
        </w:tc>
      </w:tr>
      <w:tr w:rsidR="002273C5" w:rsidRPr="00D951D4" w14:paraId="3138B5F5" w14:textId="135EC836" w:rsidTr="002273C5">
        <w:tc>
          <w:tcPr>
            <w:cnfStyle w:val="001000000000" w:firstRow="0" w:lastRow="0" w:firstColumn="1" w:lastColumn="0" w:oddVBand="0" w:evenVBand="0" w:oddHBand="0" w:evenHBand="0" w:firstRowFirstColumn="0" w:firstRowLastColumn="0" w:lastRowFirstColumn="0" w:lastRowLastColumn="0"/>
            <w:tcW w:w="956" w:type="pct"/>
          </w:tcPr>
          <w:p w14:paraId="0963061F" w14:textId="79F733DF" w:rsidR="00D951D4" w:rsidRPr="00D951D4" w:rsidRDefault="0087003F" w:rsidP="001E5BB8">
            <w:pPr>
              <w:pStyle w:val="TableText"/>
              <w:rPr>
                <w:rStyle w:val="Bold"/>
              </w:rPr>
            </w:pPr>
            <w:r>
              <w:rPr>
                <w:rStyle w:val="Bold"/>
              </w:rPr>
              <w:t>Net assets</w:t>
            </w:r>
          </w:p>
        </w:tc>
        <w:tc>
          <w:tcPr>
            <w:tcW w:w="662" w:type="pct"/>
          </w:tcPr>
          <w:p w14:paraId="36EE810B" w14:textId="2A4293FD"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1,005,384</w:t>
            </w:r>
          </w:p>
        </w:tc>
        <w:tc>
          <w:tcPr>
            <w:tcW w:w="735" w:type="pct"/>
          </w:tcPr>
          <w:p w14:paraId="76D95C28" w14:textId="4BCC45D7"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(139,841)</w:t>
            </w:r>
          </w:p>
        </w:tc>
        <w:tc>
          <w:tcPr>
            <w:tcW w:w="662" w:type="pct"/>
          </w:tcPr>
          <w:p w14:paraId="0BB17095" w14:textId="231B8AF6"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865,543</w:t>
            </w:r>
          </w:p>
        </w:tc>
        <w:tc>
          <w:tcPr>
            <w:tcW w:w="662" w:type="pct"/>
          </w:tcPr>
          <w:p w14:paraId="744E82F1" w14:textId="21AFAA83"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1,076,833</w:t>
            </w:r>
          </w:p>
        </w:tc>
        <w:tc>
          <w:tcPr>
            <w:tcW w:w="735" w:type="pct"/>
          </w:tcPr>
          <w:p w14:paraId="08FB771F" w14:textId="29CFA744"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(148,462)</w:t>
            </w:r>
          </w:p>
        </w:tc>
        <w:tc>
          <w:tcPr>
            <w:tcW w:w="588" w:type="pct"/>
          </w:tcPr>
          <w:p w14:paraId="3633897F" w14:textId="0D91F068" w:rsidR="00D951D4" w:rsidRPr="00D951D4"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928,371</w:t>
            </w:r>
          </w:p>
        </w:tc>
      </w:tr>
      <w:tr w:rsidR="002273C5" w:rsidRPr="00D951D4" w14:paraId="21D8E9B8" w14:textId="77777777" w:rsidTr="002273C5">
        <w:tc>
          <w:tcPr>
            <w:cnfStyle w:val="001000000000" w:firstRow="0" w:lastRow="0" w:firstColumn="1" w:lastColumn="0" w:oddVBand="0" w:evenVBand="0" w:oddHBand="0" w:evenHBand="0" w:firstRowFirstColumn="0" w:firstRowLastColumn="0" w:lastRowFirstColumn="0" w:lastRowLastColumn="0"/>
            <w:tcW w:w="956" w:type="pct"/>
          </w:tcPr>
          <w:p w14:paraId="54330BD9" w14:textId="05516CC6" w:rsidR="0087003F" w:rsidRPr="0087003F" w:rsidRDefault="0087003F" w:rsidP="0087003F">
            <w:pPr>
              <w:pStyle w:val="TableText"/>
              <w:rPr>
                <w:rStyle w:val="Bold"/>
              </w:rPr>
            </w:pPr>
            <w:r w:rsidRPr="0087003F">
              <w:rPr>
                <w:rStyle w:val="Bold"/>
              </w:rPr>
              <w:t>Equity</w:t>
            </w:r>
          </w:p>
        </w:tc>
        <w:tc>
          <w:tcPr>
            <w:tcW w:w="662" w:type="pct"/>
          </w:tcPr>
          <w:p w14:paraId="455A5B93" w14:textId="5275A0AE"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c>
          <w:tcPr>
            <w:tcW w:w="735" w:type="pct"/>
          </w:tcPr>
          <w:p w14:paraId="3677E4C7" w14:textId="05A211A0"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c>
          <w:tcPr>
            <w:tcW w:w="662" w:type="pct"/>
          </w:tcPr>
          <w:p w14:paraId="30907FFC" w14:textId="358AD582"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c>
          <w:tcPr>
            <w:tcW w:w="662" w:type="pct"/>
          </w:tcPr>
          <w:p w14:paraId="328AAA48" w14:textId="2A2DA06A"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c>
          <w:tcPr>
            <w:tcW w:w="735" w:type="pct"/>
          </w:tcPr>
          <w:p w14:paraId="0CB36DCB" w14:textId="336FC139"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c>
          <w:tcPr>
            <w:tcW w:w="588" w:type="pct"/>
          </w:tcPr>
          <w:p w14:paraId="5A87ABDB" w14:textId="615482D1" w:rsidR="0087003F" w:rsidRDefault="0087003F" w:rsidP="0087003F">
            <w:pPr>
              <w:pStyle w:val="TableText"/>
              <w:cnfStyle w:val="000000000000" w:firstRow="0" w:lastRow="0" w:firstColumn="0" w:lastColumn="0" w:oddVBand="0" w:evenVBand="0" w:oddHBand="0" w:evenHBand="0" w:firstRowFirstColumn="0" w:firstRowLastColumn="0" w:lastRowFirstColumn="0" w:lastRowLastColumn="0"/>
            </w:pPr>
            <w:r w:rsidRPr="008B2EBD">
              <w:t>N/A</w:t>
            </w:r>
          </w:p>
        </w:tc>
      </w:tr>
      <w:tr w:rsidR="002273C5" w:rsidRPr="00D951D4" w14:paraId="2B26CB12" w14:textId="77777777" w:rsidTr="002273C5">
        <w:tc>
          <w:tcPr>
            <w:cnfStyle w:val="001000000000" w:firstRow="0" w:lastRow="0" w:firstColumn="1" w:lastColumn="0" w:oddVBand="0" w:evenVBand="0" w:oddHBand="0" w:evenHBand="0" w:firstRowFirstColumn="0" w:firstRowLastColumn="0" w:lastRowFirstColumn="0" w:lastRowLastColumn="0"/>
            <w:tcW w:w="956" w:type="pct"/>
          </w:tcPr>
          <w:p w14:paraId="7C61EB93" w14:textId="2DF38979" w:rsidR="0087003F" w:rsidRDefault="0087003F" w:rsidP="001E5BB8">
            <w:pPr>
              <w:pStyle w:val="TableText"/>
            </w:pPr>
            <w:r>
              <w:t>Accumulated surplus/(deficit)</w:t>
            </w:r>
          </w:p>
        </w:tc>
        <w:tc>
          <w:tcPr>
            <w:tcW w:w="662" w:type="pct"/>
          </w:tcPr>
          <w:p w14:paraId="53975C1D" w14:textId="2110CBF5"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7,717</w:t>
            </w:r>
          </w:p>
        </w:tc>
        <w:tc>
          <w:tcPr>
            <w:tcW w:w="735" w:type="pct"/>
          </w:tcPr>
          <w:p w14:paraId="70B5AC29" w14:textId="2217AC94"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(36,386)</w:t>
            </w:r>
          </w:p>
        </w:tc>
        <w:tc>
          <w:tcPr>
            <w:tcW w:w="662" w:type="pct"/>
          </w:tcPr>
          <w:p w14:paraId="049A82C1" w14:textId="2971BD9E"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28,669</w:t>
            </w:r>
          </w:p>
        </w:tc>
        <w:tc>
          <w:tcPr>
            <w:tcW w:w="662" w:type="pct"/>
          </w:tcPr>
          <w:p w14:paraId="3696E248" w14:textId="2FDDFB27"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11,752</w:t>
            </w:r>
          </w:p>
        </w:tc>
        <w:tc>
          <w:tcPr>
            <w:tcW w:w="735" w:type="pct"/>
          </w:tcPr>
          <w:p w14:paraId="5573B886" w14:textId="457FEA0C"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(45,007)</w:t>
            </w:r>
          </w:p>
        </w:tc>
        <w:tc>
          <w:tcPr>
            <w:tcW w:w="588" w:type="pct"/>
          </w:tcPr>
          <w:p w14:paraId="537ADAC0" w14:textId="05C06E99"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(33,255)</w:t>
            </w:r>
          </w:p>
        </w:tc>
      </w:tr>
      <w:tr w:rsidR="002273C5" w:rsidRPr="00D951D4" w14:paraId="3EEB7640" w14:textId="77777777" w:rsidTr="00F1511A">
        <w:tc>
          <w:tcPr>
            <w:cnfStyle w:val="001000000000" w:firstRow="0" w:lastRow="0" w:firstColumn="1" w:lastColumn="0" w:oddVBand="0" w:evenVBand="0" w:oddHBand="0" w:evenHBand="0" w:firstRowFirstColumn="0" w:firstRowLastColumn="0" w:lastRowFirstColumn="0" w:lastRowLastColumn="0"/>
            <w:tcW w:w="956" w:type="pct"/>
            <w:tcBorders>
              <w:bottom w:val="single" w:sz="4" w:space="0" w:color="auto"/>
            </w:tcBorders>
          </w:tcPr>
          <w:p w14:paraId="19727969" w14:textId="16785D05" w:rsidR="0087003F" w:rsidRDefault="0087003F" w:rsidP="001E5BB8">
            <w:pPr>
              <w:pStyle w:val="TableText"/>
            </w:pPr>
            <w:r>
              <w:t>Physical asset revaluation surplus</w:t>
            </w:r>
          </w:p>
        </w:tc>
        <w:tc>
          <w:tcPr>
            <w:tcW w:w="662" w:type="pct"/>
            <w:tcBorders>
              <w:bottom w:val="single" w:sz="4" w:space="0" w:color="auto"/>
            </w:tcBorders>
          </w:tcPr>
          <w:p w14:paraId="57A87939" w14:textId="3CE458CA"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250,137</w:t>
            </w:r>
          </w:p>
        </w:tc>
        <w:tc>
          <w:tcPr>
            <w:tcW w:w="735" w:type="pct"/>
            <w:tcBorders>
              <w:bottom w:val="single" w:sz="4" w:space="0" w:color="auto"/>
            </w:tcBorders>
          </w:tcPr>
          <w:p w14:paraId="753F75DE" w14:textId="3EEE0489"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(103,455)</w:t>
            </w:r>
          </w:p>
        </w:tc>
        <w:tc>
          <w:tcPr>
            <w:tcW w:w="662" w:type="pct"/>
            <w:tcBorders>
              <w:bottom w:val="single" w:sz="4" w:space="0" w:color="auto"/>
            </w:tcBorders>
          </w:tcPr>
          <w:p w14:paraId="1E99B0A6" w14:textId="1E09242C"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146,682</w:t>
            </w:r>
          </w:p>
        </w:tc>
        <w:tc>
          <w:tcPr>
            <w:tcW w:w="662" w:type="pct"/>
            <w:tcBorders>
              <w:bottom w:val="single" w:sz="4" w:space="0" w:color="auto"/>
            </w:tcBorders>
          </w:tcPr>
          <w:p w14:paraId="091A9278" w14:textId="539B788D"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303,982</w:t>
            </w:r>
          </w:p>
        </w:tc>
        <w:tc>
          <w:tcPr>
            <w:tcW w:w="735" w:type="pct"/>
            <w:tcBorders>
              <w:bottom w:val="single" w:sz="4" w:space="0" w:color="auto"/>
            </w:tcBorders>
          </w:tcPr>
          <w:p w14:paraId="5B71C7FB" w14:textId="477C419A"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(103,455)</w:t>
            </w:r>
          </w:p>
        </w:tc>
        <w:tc>
          <w:tcPr>
            <w:tcW w:w="588" w:type="pct"/>
            <w:tcBorders>
              <w:bottom w:val="single" w:sz="4" w:space="0" w:color="auto"/>
            </w:tcBorders>
          </w:tcPr>
          <w:p w14:paraId="3711BF7A" w14:textId="5ADB728A" w:rsid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pPr>
            <w:r>
              <w:t>200,527</w:t>
            </w:r>
          </w:p>
        </w:tc>
      </w:tr>
      <w:tr w:rsidR="002273C5" w:rsidRPr="0087003F" w14:paraId="24965A51" w14:textId="77777777" w:rsidTr="00F1511A">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bottom w:val="single" w:sz="4" w:space="0" w:color="auto"/>
            </w:tcBorders>
          </w:tcPr>
          <w:p w14:paraId="3B7338FD" w14:textId="52E54DEA" w:rsidR="0087003F" w:rsidRPr="0087003F" w:rsidRDefault="0087003F" w:rsidP="001E5BB8">
            <w:pPr>
              <w:pStyle w:val="TableText"/>
              <w:rPr>
                <w:rStyle w:val="Bold"/>
              </w:rPr>
            </w:pPr>
            <w:r w:rsidRPr="0087003F">
              <w:rPr>
                <w:rStyle w:val="Bold"/>
              </w:rPr>
              <w:t>Net worth</w:t>
            </w:r>
          </w:p>
        </w:tc>
        <w:tc>
          <w:tcPr>
            <w:tcW w:w="662" w:type="pct"/>
            <w:tcBorders>
              <w:top w:val="single" w:sz="4" w:space="0" w:color="auto"/>
              <w:bottom w:val="single" w:sz="4" w:space="0" w:color="auto"/>
            </w:tcBorders>
          </w:tcPr>
          <w:p w14:paraId="4E5E0A71" w14:textId="1DC4777F"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1,005,384</w:t>
            </w:r>
          </w:p>
        </w:tc>
        <w:tc>
          <w:tcPr>
            <w:tcW w:w="735" w:type="pct"/>
            <w:tcBorders>
              <w:top w:val="single" w:sz="4" w:space="0" w:color="auto"/>
              <w:bottom w:val="single" w:sz="4" w:space="0" w:color="auto"/>
            </w:tcBorders>
          </w:tcPr>
          <w:p w14:paraId="08C3644D" w14:textId="2FCBC73B"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(139,841)</w:t>
            </w:r>
          </w:p>
        </w:tc>
        <w:tc>
          <w:tcPr>
            <w:tcW w:w="662" w:type="pct"/>
            <w:tcBorders>
              <w:top w:val="single" w:sz="4" w:space="0" w:color="auto"/>
              <w:bottom w:val="single" w:sz="4" w:space="0" w:color="auto"/>
            </w:tcBorders>
          </w:tcPr>
          <w:p w14:paraId="4AEB89E1" w14:textId="259AD2F6"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865,543</w:t>
            </w:r>
          </w:p>
        </w:tc>
        <w:tc>
          <w:tcPr>
            <w:tcW w:w="662" w:type="pct"/>
            <w:tcBorders>
              <w:top w:val="single" w:sz="4" w:space="0" w:color="auto"/>
              <w:bottom w:val="single" w:sz="4" w:space="0" w:color="auto"/>
            </w:tcBorders>
          </w:tcPr>
          <w:p w14:paraId="49156783" w14:textId="40FDE75D"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1,076,833</w:t>
            </w:r>
          </w:p>
        </w:tc>
        <w:tc>
          <w:tcPr>
            <w:tcW w:w="735" w:type="pct"/>
            <w:tcBorders>
              <w:top w:val="single" w:sz="4" w:space="0" w:color="auto"/>
              <w:bottom w:val="single" w:sz="4" w:space="0" w:color="auto"/>
            </w:tcBorders>
          </w:tcPr>
          <w:p w14:paraId="5530E035" w14:textId="2E4DF491"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(148,462)</w:t>
            </w:r>
          </w:p>
        </w:tc>
        <w:tc>
          <w:tcPr>
            <w:tcW w:w="588" w:type="pct"/>
            <w:tcBorders>
              <w:top w:val="single" w:sz="4" w:space="0" w:color="auto"/>
              <w:bottom w:val="single" w:sz="4" w:space="0" w:color="auto"/>
            </w:tcBorders>
          </w:tcPr>
          <w:p w14:paraId="4F16465E" w14:textId="1CF962E7" w:rsidR="0087003F" w:rsidRPr="0087003F" w:rsidRDefault="0087003F" w:rsidP="001E5BB8">
            <w:pPr>
              <w:pStyle w:val="TableText"/>
              <w:cnfStyle w:val="000000000000" w:firstRow="0" w:lastRow="0" w:firstColumn="0" w:lastColumn="0" w:oddVBand="0" w:evenVBand="0" w:oddHBand="0" w:evenHBand="0" w:firstRowFirstColumn="0" w:firstRowLastColumn="0" w:lastRowFirstColumn="0" w:lastRowLastColumn="0"/>
              <w:rPr>
                <w:rStyle w:val="Bold"/>
              </w:rPr>
            </w:pPr>
            <w:r w:rsidRPr="0087003F">
              <w:rPr>
                <w:rStyle w:val="Bold"/>
              </w:rPr>
              <w:t>928,371</w:t>
            </w:r>
          </w:p>
        </w:tc>
      </w:tr>
    </w:tbl>
    <w:p w14:paraId="14C7225F" w14:textId="63AC26F9" w:rsidR="008D549D" w:rsidRPr="00D951D4" w:rsidRDefault="00252961" w:rsidP="00252961">
      <w:pPr>
        <w:pStyle w:val="Heading2"/>
      </w:pPr>
      <w:bookmarkStart w:id="512" w:name="Note11"/>
      <w:bookmarkStart w:id="513" w:name="_Toc62808189"/>
      <w:r>
        <w:t>Note 11</w:t>
      </w:r>
      <w:bookmarkEnd w:id="512"/>
      <w:r>
        <w:t>.</w:t>
      </w:r>
      <w:r w:rsidR="00092296">
        <w:tab/>
      </w:r>
      <w:r>
        <w:t>Glossary of Technical Terms and Style Conventions</w:t>
      </w:r>
      <w:bookmarkEnd w:id="513"/>
    </w:p>
    <w:p w14:paraId="6B7A7FDB" w14:textId="1DBC10D4" w:rsidR="005353C2" w:rsidRDefault="005353C2" w:rsidP="005353C2">
      <w:pPr>
        <w:pStyle w:val="BodyText"/>
      </w:pPr>
      <w:r>
        <w:t>Comprehensive result is the amount included in the operating statement representing total change in net worth other than transactions with owners as owners.</w:t>
      </w:r>
    </w:p>
    <w:p w14:paraId="454A7307" w14:textId="5A28C6A8" w:rsidR="001E5BB8" w:rsidRDefault="005353C2" w:rsidP="005353C2">
      <w:pPr>
        <w:pStyle w:val="BodyText"/>
      </w:pPr>
      <w:r>
        <w:t xml:space="preserve">Controlled item generally refers to the capacity of </w:t>
      </w:r>
      <w:r w:rsidR="009B1462">
        <w:t>Court Services Victoria</w:t>
      </w:r>
      <w:r>
        <w:t xml:space="preserve"> to benefit from that item in the pursuit of the entity’s objectives and to deny or regulate the access of others to that benefit.</w:t>
      </w:r>
    </w:p>
    <w:p w14:paraId="29A9D624" w14:textId="0B948D20" w:rsidR="005353C2" w:rsidRDefault="005353C2" w:rsidP="005353C2">
      <w:pPr>
        <w:pStyle w:val="BodyText"/>
      </w:pPr>
      <w:r>
        <w:t>Current grants are amounts payable or receivable for current purposes for which no economic benefits of equal value are receivable or payable in return.</w:t>
      </w:r>
    </w:p>
    <w:p w14:paraId="4EB457E0" w14:textId="77777777" w:rsidR="001E5BB8" w:rsidRDefault="005353C2" w:rsidP="005353C2">
      <w:pPr>
        <w:pStyle w:val="BodyText"/>
      </w:pPr>
      <w:r>
        <w:t>Community Service Obligation (CSO) is an allowance made to reflect the difference between unrestricted freehold land and assets held by the Public Sector which may be affected by social and economic restraints. This may arise because the land is Crown land and in a public use zone or it is considered an iconic property that would be difficult to sell.</w:t>
      </w:r>
    </w:p>
    <w:p w14:paraId="2064913F" w14:textId="0023AE59" w:rsidR="005353C2" w:rsidRDefault="005353C2" w:rsidP="005353C2">
      <w:pPr>
        <w:pStyle w:val="BodyText"/>
      </w:pPr>
      <w:r>
        <w:t>Depreciation is an expense that arises from the consumption through wear or time of a produced physical or intangible asset. This expense is classified as a ‘transaction’ and so reduces the ‘net result from transaction’.</w:t>
      </w:r>
    </w:p>
    <w:p w14:paraId="313F90D1" w14:textId="02446219" w:rsidR="005353C2" w:rsidRDefault="005353C2" w:rsidP="005353C2">
      <w:pPr>
        <w:pStyle w:val="BodyText"/>
      </w:pPr>
      <w:r>
        <w:t>Effective interest method is the method used to calculate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14:paraId="3FFA6C64" w14:textId="77777777" w:rsidR="001E5BB8" w:rsidRDefault="005353C2" w:rsidP="005353C2">
      <w:pPr>
        <w:pStyle w:val="BodyText"/>
      </w:pPr>
      <w:r>
        <w:t>Employee benefits expenses include all costs related to employment including wages and salaries, fringe benefits tax, leave entitlements, redundancy payments, defined benefits superannuation plans, and defined contribution superannuation plans.</w:t>
      </w:r>
    </w:p>
    <w:p w14:paraId="67D2E1D8" w14:textId="7B2E847D" w:rsidR="005353C2" w:rsidRDefault="005353C2" w:rsidP="005353C2">
      <w:pPr>
        <w:pStyle w:val="BodyText"/>
      </w:pPr>
      <w:r>
        <w:t>Ex-gratia expenses mean the voluntary payment of money or other non-monetary benefit (</w:t>
      </w:r>
      <w:proofErr w:type="gramStart"/>
      <w:r>
        <w:t>e.g.</w:t>
      </w:r>
      <w:proofErr w:type="gramEnd"/>
      <w:r>
        <w:t xml:space="preserve"> a write-off) that is not made either to acquire goods, services or other benefits for the entity or to meet a legal liability, or to settle or resolve a possible legal liability or claim against the entity.</w:t>
      </w:r>
    </w:p>
    <w:p w14:paraId="202EF802" w14:textId="65AF25F8" w:rsidR="005353C2" w:rsidRDefault="005353C2" w:rsidP="005353C2">
      <w:pPr>
        <w:pStyle w:val="BodyText"/>
      </w:pPr>
      <w:r>
        <w:t>Financial asset is any asset that is:</w:t>
      </w:r>
    </w:p>
    <w:p w14:paraId="44ED24B7" w14:textId="22623A45" w:rsidR="005353C2" w:rsidRDefault="005353C2" w:rsidP="00F110E7">
      <w:pPr>
        <w:pStyle w:val="ListAlpha1"/>
        <w:numPr>
          <w:ilvl w:val="0"/>
          <w:numId w:val="35"/>
        </w:numPr>
      </w:pPr>
      <w:proofErr w:type="gramStart"/>
      <w:r>
        <w:t>cash;</w:t>
      </w:r>
      <w:proofErr w:type="gramEnd"/>
    </w:p>
    <w:p w14:paraId="58A65EF7" w14:textId="65B268E0" w:rsidR="005353C2" w:rsidRDefault="005353C2" w:rsidP="001E5BB8">
      <w:pPr>
        <w:pStyle w:val="ListAlpha1"/>
      </w:pPr>
      <w:r>
        <w:t xml:space="preserve">an equity instrument of another </w:t>
      </w:r>
      <w:proofErr w:type="gramStart"/>
      <w:r>
        <w:t>entity;</w:t>
      </w:r>
      <w:proofErr w:type="gramEnd"/>
    </w:p>
    <w:p w14:paraId="01960572" w14:textId="6B9A7B0C" w:rsidR="005353C2" w:rsidRDefault="005353C2" w:rsidP="001E5BB8">
      <w:pPr>
        <w:pStyle w:val="ListAlpha1"/>
      </w:pPr>
      <w:r>
        <w:t>a contractual right:</w:t>
      </w:r>
    </w:p>
    <w:p w14:paraId="1E0E7BC7" w14:textId="004F4725" w:rsidR="005353C2" w:rsidRDefault="005353C2" w:rsidP="00716F56">
      <w:pPr>
        <w:pStyle w:val="ListAlpha2"/>
      </w:pPr>
      <w:r>
        <w:t>to receive cash or another financial asset from another entity; or</w:t>
      </w:r>
    </w:p>
    <w:p w14:paraId="6770B6FD" w14:textId="265C978E" w:rsidR="005353C2" w:rsidRDefault="005353C2" w:rsidP="00716F56">
      <w:pPr>
        <w:pStyle w:val="ListAlpha2"/>
      </w:pPr>
      <w:r>
        <w:t>to exchange financial assets or financial liabilities with another entity under conditions that are potentially favourable to the entity; or</w:t>
      </w:r>
    </w:p>
    <w:p w14:paraId="42A1F849" w14:textId="4214767D" w:rsidR="005353C2" w:rsidRDefault="005353C2" w:rsidP="00716F56">
      <w:pPr>
        <w:pStyle w:val="ListAlpha1"/>
      </w:pPr>
      <w:r>
        <w:t>a contract that will or may be settled in the entity’s own equity instruments and is:</w:t>
      </w:r>
    </w:p>
    <w:p w14:paraId="60B00F07" w14:textId="42813BE6" w:rsidR="005353C2" w:rsidRDefault="005353C2" w:rsidP="00716F56">
      <w:pPr>
        <w:pStyle w:val="ListAlpha2"/>
      </w:pPr>
      <w:r>
        <w:t>a non-derivative for which the entity is or may be obliged to receive a variable number of the entity’s own equity instruments; or</w:t>
      </w:r>
    </w:p>
    <w:p w14:paraId="2CB8262B" w14:textId="71BAD328" w:rsidR="005353C2" w:rsidRDefault="005353C2" w:rsidP="00716F56">
      <w:pPr>
        <w:pStyle w:val="ListAlpha2"/>
      </w:pPr>
      <w:r>
        <w:t>a derivative that will or may be settled other than by the exchange of a fixed amount of cash or another financial asset for a fixed number of the entity’s own equity instruments.</w:t>
      </w:r>
    </w:p>
    <w:p w14:paraId="3E222354" w14:textId="3212CC3D" w:rsidR="008D549D" w:rsidRDefault="005353C2" w:rsidP="005353C2">
      <w:pPr>
        <w:pStyle w:val="BodyText"/>
      </w:pPr>
      <w:r>
        <w:t xml:space="preserve">Financial instrument is any contract that gives rise to a financial asset of one entity and a financial liability or equity instrument of another entity. </w:t>
      </w:r>
    </w:p>
    <w:p w14:paraId="7864A92D" w14:textId="4917293B" w:rsidR="00716F56" w:rsidRDefault="00716F56" w:rsidP="00716F56">
      <w:pPr>
        <w:pStyle w:val="BodyText"/>
      </w:pPr>
      <w:r>
        <w:t>Financial liability is any liability that is:</w:t>
      </w:r>
    </w:p>
    <w:p w14:paraId="48BB2DD1" w14:textId="4350F8F2" w:rsidR="00716F56" w:rsidRDefault="00716F56" w:rsidP="00F110E7">
      <w:pPr>
        <w:pStyle w:val="ListAlpha1"/>
        <w:numPr>
          <w:ilvl w:val="0"/>
          <w:numId w:val="36"/>
        </w:numPr>
      </w:pPr>
      <w:r>
        <w:t>a contractual obligation:</w:t>
      </w:r>
    </w:p>
    <w:p w14:paraId="64E43A9A" w14:textId="756B1154" w:rsidR="00716F56" w:rsidRDefault="00716F56" w:rsidP="00716F56">
      <w:pPr>
        <w:pStyle w:val="ListAlpha2"/>
      </w:pPr>
      <w:r>
        <w:t>to deliver cash or another financial asset to another entity; or</w:t>
      </w:r>
    </w:p>
    <w:p w14:paraId="0557E62E" w14:textId="3329E6E2" w:rsidR="00716F56" w:rsidRDefault="00716F56" w:rsidP="00716F56">
      <w:pPr>
        <w:pStyle w:val="ListAlpha2"/>
      </w:pPr>
      <w:r>
        <w:t>to exchange financial assets or financial liabilities with another entity under conditions that are potentially unfavourable to the entity; or</w:t>
      </w:r>
    </w:p>
    <w:p w14:paraId="0A771268" w14:textId="1EF1803B" w:rsidR="00716F56" w:rsidRDefault="00716F56" w:rsidP="00716F56">
      <w:pPr>
        <w:pStyle w:val="ListAlpha1"/>
      </w:pPr>
      <w:r>
        <w:t>a contract that will or may be settled in the entity’s own equity instruments and is:</w:t>
      </w:r>
    </w:p>
    <w:p w14:paraId="4C8E6232" w14:textId="6F02AD17" w:rsidR="00716F56" w:rsidRDefault="00716F56" w:rsidP="00716F56">
      <w:pPr>
        <w:pStyle w:val="ListAlpha2"/>
      </w:pPr>
      <w:r>
        <w:t xml:space="preserve">a </w:t>
      </w:r>
      <w:proofErr w:type="spellStart"/>
      <w:r>
        <w:t>non derivative</w:t>
      </w:r>
      <w:proofErr w:type="spellEnd"/>
      <w:r>
        <w:t xml:space="preserve"> for which the entity is or may be obliged to deliver a variable number of the entity’s own equity instruments; or</w:t>
      </w:r>
    </w:p>
    <w:p w14:paraId="7CE3739C" w14:textId="66799942" w:rsidR="00716F56" w:rsidRDefault="00716F56" w:rsidP="00716F56">
      <w:pPr>
        <w:pStyle w:val="ListAlpha2"/>
      </w:pPr>
      <w:r>
        <w:t>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14:paraId="3CD72FD1" w14:textId="096C68B5" w:rsidR="00716F56" w:rsidRDefault="00716F56" w:rsidP="00716F56">
      <w:pPr>
        <w:pStyle w:val="BodyText"/>
      </w:pPr>
      <w:r w:rsidRPr="00132EB3">
        <w:t>Financial statements in this report comprises:</w:t>
      </w:r>
    </w:p>
    <w:p w14:paraId="2652406A" w14:textId="7F0F69AE" w:rsidR="00716F56" w:rsidRDefault="00716F56" w:rsidP="00F110E7">
      <w:pPr>
        <w:pStyle w:val="ListAlpha1"/>
        <w:numPr>
          <w:ilvl w:val="0"/>
          <w:numId w:val="37"/>
        </w:numPr>
      </w:pPr>
      <w:r>
        <w:t xml:space="preserve">balance sheet as at the end of the </w:t>
      </w:r>
      <w:proofErr w:type="gramStart"/>
      <w:r>
        <w:t>period;</w:t>
      </w:r>
      <w:proofErr w:type="gramEnd"/>
    </w:p>
    <w:p w14:paraId="4707A25C" w14:textId="3F4EE948" w:rsidR="00716F56" w:rsidRDefault="00716F56" w:rsidP="00716F56">
      <w:pPr>
        <w:pStyle w:val="ListAlpha1"/>
      </w:pPr>
      <w:r>
        <w:t xml:space="preserve">a comprehensive operating statement for the </w:t>
      </w:r>
      <w:proofErr w:type="gramStart"/>
      <w:r>
        <w:t>period;</w:t>
      </w:r>
      <w:proofErr w:type="gramEnd"/>
    </w:p>
    <w:p w14:paraId="0AEC79E5" w14:textId="6A5896DD" w:rsidR="00716F56" w:rsidRDefault="00716F56" w:rsidP="00716F56">
      <w:pPr>
        <w:pStyle w:val="ListAlpha1"/>
      </w:pPr>
      <w:r>
        <w:t xml:space="preserve">a statement of changes in equity for the </w:t>
      </w:r>
      <w:proofErr w:type="gramStart"/>
      <w:r>
        <w:t>period;</w:t>
      </w:r>
      <w:proofErr w:type="gramEnd"/>
    </w:p>
    <w:p w14:paraId="2D0CEAD5" w14:textId="321ACBF1" w:rsidR="00716F56" w:rsidRDefault="00716F56" w:rsidP="00716F56">
      <w:pPr>
        <w:pStyle w:val="ListAlpha1"/>
      </w:pPr>
      <w:r>
        <w:t xml:space="preserve">a cash flow statement for the </w:t>
      </w:r>
      <w:proofErr w:type="gramStart"/>
      <w:r>
        <w:t>period;</w:t>
      </w:r>
      <w:proofErr w:type="gramEnd"/>
    </w:p>
    <w:p w14:paraId="1966ABCB" w14:textId="36EC71A9" w:rsidR="00716F56" w:rsidRDefault="00716F56" w:rsidP="00716F56">
      <w:pPr>
        <w:pStyle w:val="ListAlpha1"/>
      </w:pPr>
      <w:r>
        <w:t xml:space="preserve">notes, comprising a summary of significant accounting policies and other explanatory </w:t>
      </w:r>
      <w:proofErr w:type="gramStart"/>
      <w:r>
        <w:t>information;</w:t>
      </w:r>
      <w:proofErr w:type="gramEnd"/>
    </w:p>
    <w:p w14:paraId="376CAEA9" w14:textId="59D893A2" w:rsidR="00716F56" w:rsidRDefault="00716F56" w:rsidP="00716F56">
      <w:pPr>
        <w:pStyle w:val="ListAlpha1"/>
      </w:pPr>
      <w:r>
        <w:t xml:space="preserve">comparative information in respect of the preceding period as specified in paragraph 38 of AASB 101 Presentation of Financial </w:t>
      </w:r>
      <w:proofErr w:type="gramStart"/>
      <w:r>
        <w:t>Statements;</w:t>
      </w:r>
      <w:proofErr w:type="gramEnd"/>
      <w:r>
        <w:t xml:space="preserve"> and</w:t>
      </w:r>
    </w:p>
    <w:p w14:paraId="51E4D384" w14:textId="7EDBB5C4" w:rsidR="008D549D" w:rsidRDefault="00716F56" w:rsidP="00716F56">
      <w:pPr>
        <w:pStyle w:val="ListAlpha1"/>
      </w:pPr>
      <w:r>
        <w:t>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14:paraId="055FF526" w14:textId="77777777" w:rsidR="00716F56" w:rsidRDefault="00716F56" w:rsidP="00716F56">
      <w:pPr>
        <w:pStyle w:val="BodyText"/>
      </w:pPr>
      <w:r>
        <w:t>Grant expenses and other transfers are transactions in which one unit provides goods, services, assets (or extinguishes a liability) or labour to another unit without receiving approximately equal value in return. Grants can either be operating or capital in nature.</w:t>
      </w:r>
    </w:p>
    <w:p w14:paraId="0034AE4D" w14:textId="26EB4FAF" w:rsidR="00716F56" w:rsidRDefault="00716F56" w:rsidP="00716F56">
      <w:pPr>
        <w:pStyle w:val="BodyText"/>
      </w:pPr>
      <w:r>
        <w:t xml:space="preserve">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w:t>
      </w:r>
      <w:proofErr w:type="gramStart"/>
      <w:r>
        <w:t>non reciprocal</w:t>
      </w:r>
      <w:proofErr w:type="gramEnd"/>
      <w:r>
        <w:t xml:space="preserve"> transfers. Receipt and sacrifice of approximately equal value may occur, but only by coincidence. For example, governments are not obliged to provide commensurate benefits, in the form of goods or services, to particular taxpayers in return for their taxes.</w:t>
      </w:r>
    </w:p>
    <w:p w14:paraId="1187A2E2" w14:textId="6B6E6399" w:rsidR="00716F56" w:rsidRDefault="00716F56" w:rsidP="00716F56">
      <w:pPr>
        <w:pStyle w:val="BodyText"/>
      </w:pPr>
      <w:r>
        <w:t xml:space="preserve">Grants can be paid as </w:t>
      </w:r>
      <w:proofErr w:type="gramStart"/>
      <w:r>
        <w:t>general purpose</w:t>
      </w:r>
      <w:proofErr w:type="gramEnd"/>
      <w:r>
        <w:t xml:space="preserve"> grants, which refer to grants that are not subject to conditions regarding their use. Alternatively, they may be paid as specific purpose grants, which are paid for a particular purpose and/or have conditions attached regarding their use.</w:t>
      </w:r>
    </w:p>
    <w:p w14:paraId="262DADBF" w14:textId="47D27692" w:rsidR="00716F56" w:rsidRDefault="00716F56" w:rsidP="00716F56">
      <w:pPr>
        <w:pStyle w:val="BodyText"/>
      </w:pPr>
      <w:r>
        <w:t>General government sector comprises all government departments, offices and other bodies engaged in providing services free of charge or at prices significantly below their cost of production. General government services include those that are mainly non-market in nature, those that are largely for collective consumption by the community and those that involve the transfer or redistribution of income. These services are financed mainly through taxes, or other compulsory levies and user charges.</w:t>
      </w:r>
    </w:p>
    <w:p w14:paraId="31823F93" w14:textId="146B27C8" w:rsidR="00716F56" w:rsidRDefault="00716F56" w:rsidP="00716F56">
      <w:pPr>
        <w:pStyle w:val="BodyText"/>
      </w:pPr>
      <w:r>
        <w:t>Interest expense represents costs incurred in connection with borrowings. It includes interest on advances, loans, overdrafts, bonds and bills, deposits, interest components of finance lease repayments, and amortisation of discounts or premiums in relation to borrowings.</w:t>
      </w:r>
    </w:p>
    <w:p w14:paraId="60FD6C71" w14:textId="6CBC0BD9" w:rsidR="00716F56" w:rsidRDefault="00716F56" w:rsidP="00716F56">
      <w:pPr>
        <w:pStyle w:val="BodyText"/>
      </w:pPr>
      <w:r>
        <w:t>Leases are rights conveyed in a contract, or part of a contract, the right to use an asset (the underlying asset) for a period of time in exchange for consideration.</w:t>
      </w:r>
    </w:p>
    <w:p w14:paraId="1ECE452E" w14:textId="77AF5AA4" w:rsidR="00716F56" w:rsidRDefault="00716F56" w:rsidP="00716F56">
      <w:pPr>
        <w:pStyle w:val="BodyText"/>
      </w:pPr>
      <w:r>
        <w:t xml:space="preserve">Net financial worth is equal to financial assets minus liabilities. It is a broader measure than net debt as it incorporates provisions made (such as </w:t>
      </w:r>
      <w:proofErr w:type="gramStart"/>
      <w:r>
        <w:t>superannuation, but</w:t>
      </w:r>
      <w:proofErr w:type="gramEnd"/>
      <w:r>
        <w:t xml:space="preserve"> excluding depreciation and bad debts) as well as holdings of equity. Net financial worth includes all classes of financial assets and liabilities, only some of which are included in net debt.</w:t>
      </w:r>
    </w:p>
    <w:p w14:paraId="7692E221" w14:textId="349FD1EE" w:rsidR="00716F56" w:rsidRDefault="00716F56" w:rsidP="00716F56">
      <w:pPr>
        <w:pStyle w:val="BodyText"/>
      </w:pPr>
      <w:r>
        <w:t>Net operating balance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717B4560" w14:textId="3FE3C20E" w:rsidR="00716F56" w:rsidRDefault="00716F56" w:rsidP="00716F56">
      <w:pPr>
        <w:pStyle w:val="BodyText"/>
      </w:pPr>
      <w:r>
        <w:t>Net result is a measure of financial performance of the operations for the period. It is the net result of items of revenue, gains and expenses (including losses) recognised for the period, excluding those classified as ‘other non-owner movements in equity’.</w:t>
      </w:r>
    </w:p>
    <w:p w14:paraId="6D15CAD5" w14:textId="77777777" w:rsidR="00716F56" w:rsidRDefault="00716F56" w:rsidP="00716F56">
      <w:pPr>
        <w:pStyle w:val="BodyText"/>
      </w:pPr>
      <w:r>
        <w:t>Net worth is calculated as assets less liabilities, which is an economic measure of wealth.</w:t>
      </w:r>
    </w:p>
    <w:p w14:paraId="7FFAEB19" w14:textId="318A5691" w:rsidR="00716F56" w:rsidRDefault="00716F56" w:rsidP="00716F56">
      <w:pPr>
        <w:pStyle w:val="BodyText"/>
      </w:pPr>
      <w:r>
        <w:t>Non-financial assets are all assets that are not financial assets. It includes land, buildings, plant and equipment, cultural and heritage assets and intangibles.</w:t>
      </w:r>
    </w:p>
    <w:p w14:paraId="6DE1D807" w14:textId="4556A6B8" w:rsidR="00716F56" w:rsidRDefault="00716F56" w:rsidP="00716F56">
      <w:pPr>
        <w:pStyle w:val="BodyText"/>
      </w:pPr>
      <w:r>
        <w:t>Operating result is a measure of financial performance of the operations for the period. It is the net result of items of revenue, gains and expenses (including losses) recognised for the period, excluding those that are classified as ‘other non-owner movements in equity’. Refer also ‘net result’.</w:t>
      </w:r>
    </w:p>
    <w:p w14:paraId="53E20871" w14:textId="256162AD" w:rsidR="00716F56" w:rsidRDefault="00716F56" w:rsidP="00716F56">
      <w:pPr>
        <w:pStyle w:val="BodyText"/>
      </w:pPr>
      <w:r>
        <w:t>Other economic flows included in net result are changes in the volume or value of an asset or liability that do not result from transactions. In simple terms, other economic flows are changes arising from market remeasurements. They include gains and losses from disposals, revaluations and impairments of non-current physical and intangible assets; fair value changes of financial instruments and agricultural assets; and depletion of natural assets (non-produced) from their use or removal.</w:t>
      </w:r>
    </w:p>
    <w:p w14:paraId="2AFC9BFA" w14:textId="77777777" w:rsidR="00716F56" w:rsidRDefault="00716F56" w:rsidP="00716F56">
      <w:pPr>
        <w:pStyle w:val="BodyText"/>
      </w:pPr>
      <w:r>
        <w:t>Other economic flows – other comprehensive income comprises items (including reclassification adjustments) that are not recognised in net result as required or permitted by other Australian Accounting Standards. They include changes in physical asset revaluation surplus and gains and losses on remeasuring available-for-sale financial assets.</w:t>
      </w:r>
    </w:p>
    <w:p w14:paraId="057C166F" w14:textId="7A2EDF19" w:rsidR="00716F56" w:rsidRDefault="00716F56" w:rsidP="00716F56">
      <w:pPr>
        <w:pStyle w:val="BodyText"/>
      </w:pPr>
      <w:r>
        <w:t>Payables includes short and long-term trade debt and accounts payable, grants, taxes and interest payable.</w:t>
      </w:r>
    </w:p>
    <w:p w14:paraId="076C446F" w14:textId="74FA99C4" w:rsidR="00716F56" w:rsidRDefault="00716F56" w:rsidP="00716F56">
      <w:pPr>
        <w:pStyle w:val="BodyText"/>
      </w:pPr>
      <w:r>
        <w:t>Present value is a financial calculation that measures the worth of future amount of money in today’s dollars adjusted for interest and inflation.</w:t>
      </w:r>
    </w:p>
    <w:p w14:paraId="324E88BD" w14:textId="7514939C" w:rsidR="00716F56" w:rsidRDefault="00716F56" w:rsidP="00716F56">
      <w:pPr>
        <w:pStyle w:val="BodyText"/>
      </w:pPr>
      <w:r>
        <w:t>Produced assets include buildings, plant and equipment, inventories, cultivated assets and certain intangible assets. Intangible produced assets may include computer software and research and development costs (not including the start-up costs associated with capital projects).</w:t>
      </w:r>
    </w:p>
    <w:p w14:paraId="1999A0E4" w14:textId="77777777" w:rsidR="00716F56" w:rsidRDefault="00716F56" w:rsidP="00716F56">
      <w:pPr>
        <w:pStyle w:val="BodyText"/>
      </w:pPr>
      <w:r>
        <w:t>Receivables include amounts owing from government through appropriation receivable, short and long-term trade credit and accounts receivable, accrued investment income, grants, taxes and interest receivable.</w:t>
      </w:r>
    </w:p>
    <w:p w14:paraId="54075E5C" w14:textId="502AA2D6" w:rsidR="00716F56" w:rsidRDefault="00716F56" w:rsidP="00716F56">
      <w:pPr>
        <w:pStyle w:val="BodyText"/>
      </w:pPr>
      <w:r>
        <w:t>Sales of goods and services refers to income from the direct provision of goods and services and includes fees and charges for services rendered, sales of goods and services, fees from regulatory services and work done as an agent for private enterprises. It also includes rental income under operating leases and on produced assets, such as buildings and entertainment, but excludes rent income from the use of non-produced assets, such as land. User charges includes sale of goods and services income.</w:t>
      </w:r>
    </w:p>
    <w:p w14:paraId="4E90AB67" w14:textId="3AC9240C" w:rsidR="00716F56" w:rsidRDefault="00716F56" w:rsidP="00716F56">
      <w:pPr>
        <w:pStyle w:val="BodyText"/>
      </w:pPr>
      <w:r>
        <w:t xml:space="preserve">Supplies and services generally represent cost of goods sold and the day to day running costs, including maintenance costs, incurred in the normal operations of </w:t>
      </w:r>
      <w:r w:rsidR="009B1462">
        <w:t>Court Services Victoria</w:t>
      </w:r>
      <w:r>
        <w:t>.</w:t>
      </w:r>
    </w:p>
    <w:p w14:paraId="3004FFA3" w14:textId="3A232EA0" w:rsidR="00716F56" w:rsidRDefault="00716F56" w:rsidP="00716F56">
      <w:pPr>
        <w:pStyle w:val="BodyText"/>
      </w:pPr>
      <w:r>
        <w:t>Transactions are those economic flows that are considered to arise as a result of policy decisions, usually an interaction between two entities by mutual agreement. They also include flows into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w:t>
      </w:r>
      <w:proofErr w:type="gramStart"/>
      <w:r>
        <w:t>e.g.</w:t>
      </w:r>
      <w:proofErr w:type="gramEnd"/>
      <w:r>
        <w:t xml:space="preserve"> assets provided/given free of charge or for nominal consideration) or where the final consideration is cash. In simple terms, transactions arise from the policy decisions of the Government.</w:t>
      </w:r>
    </w:p>
    <w:p w14:paraId="47EB0FFB" w14:textId="77777777" w:rsidR="00716F56" w:rsidRDefault="00716F56" w:rsidP="00716F56">
      <w:pPr>
        <w:pStyle w:val="Heading3"/>
      </w:pPr>
      <w:bookmarkStart w:id="514" w:name="_Toc62808190"/>
      <w:r>
        <w:t>Style conventions</w:t>
      </w:r>
      <w:bookmarkEnd w:id="514"/>
    </w:p>
    <w:p w14:paraId="011A3CC4" w14:textId="3A0F3ED9" w:rsidR="00716F56" w:rsidRDefault="00716F56" w:rsidP="00716F56">
      <w:pPr>
        <w:pStyle w:val="BodyText"/>
      </w:pPr>
      <w:r>
        <w:t>Figures in the tables and in the text have been rounded. Discrepancies in tables between totals and sums of components reflect rounding. Percentage variations in all tables are based on the underlying unrounded amounts.</w:t>
      </w:r>
    </w:p>
    <w:p w14:paraId="6699CDBE" w14:textId="4E3265AF" w:rsidR="00716F56" w:rsidRDefault="00716F56" w:rsidP="00716F56">
      <w:pPr>
        <w:pStyle w:val="BodyText"/>
      </w:pPr>
      <w:r>
        <w:t>The notation used in the tables is as follows:</w:t>
      </w:r>
    </w:p>
    <w:p w14:paraId="5159CB4C" w14:textId="77777777" w:rsidR="00716F56" w:rsidRDefault="00716F56" w:rsidP="00716F56">
      <w:pPr>
        <w:pStyle w:val="NoSpacing"/>
        <w:tabs>
          <w:tab w:val="left" w:pos="1134"/>
        </w:tabs>
      </w:pPr>
      <w:r>
        <w:t>Hyphen</w:t>
      </w:r>
      <w:r>
        <w:tab/>
        <w:t>zero, or rounded to zero</w:t>
      </w:r>
    </w:p>
    <w:p w14:paraId="7CD90942" w14:textId="77777777" w:rsidR="00716F56" w:rsidRDefault="00716F56" w:rsidP="00716F56">
      <w:pPr>
        <w:pStyle w:val="NoSpacing"/>
        <w:tabs>
          <w:tab w:val="left" w:pos="1134"/>
        </w:tabs>
      </w:pPr>
      <w:r>
        <w:t>(xxx)</w:t>
      </w:r>
      <w:r>
        <w:tab/>
        <w:t>negative numbers</w:t>
      </w:r>
    </w:p>
    <w:p w14:paraId="2D452ECD" w14:textId="77777777" w:rsidR="00716F56" w:rsidRDefault="00716F56" w:rsidP="00716F56">
      <w:pPr>
        <w:pStyle w:val="NoSpacing"/>
        <w:tabs>
          <w:tab w:val="left" w:pos="1134"/>
        </w:tabs>
      </w:pPr>
      <w:r>
        <w:t>200x</w:t>
      </w:r>
      <w:r>
        <w:tab/>
        <w:t>year period</w:t>
      </w:r>
    </w:p>
    <w:p w14:paraId="522131D5" w14:textId="77777777" w:rsidR="00716F56" w:rsidRDefault="00716F56" w:rsidP="00716F56">
      <w:pPr>
        <w:pStyle w:val="NoSpacing"/>
        <w:tabs>
          <w:tab w:val="left" w:pos="1134"/>
        </w:tabs>
      </w:pPr>
      <w:r>
        <w:t>200x 0x</w:t>
      </w:r>
      <w:r>
        <w:tab/>
        <w:t>year period</w:t>
      </w:r>
    </w:p>
    <w:p w14:paraId="4BE0E4D2" w14:textId="1E4A16B0" w:rsidR="00716F56" w:rsidRDefault="00716F56" w:rsidP="00716F56">
      <w:pPr>
        <w:pStyle w:val="BodyText"/>
      </w:pPr>
      <w:r>
        <w:t xml:space="preserve">The financial statements and notes are presented based on the illustration for a government department in the 2019-20 Model Report for Victorian Government Departments. The presentation of other disclosures is generally consistent with the other disclosures made in earlier publications of the </w:t>
      </w:r>
      <w:r w:rsidR="009B1462">
        <w:t>Court Services Victoria</w:t>
      </w:r>
      <w:r>
        <w:t>’s annual reports.</w:t>
      </w:r>
    </w:p>
    <w:p w14:paraId="71282EE0" w14:textId="618D2031" w:rsidR="00387D16" w:rsidRDefault="00387D16" w:rsidP="00387D16">
      <w:pPr>
        <w:pStyle w:val="Heading2"/>
      </w:pPr>
      <w:bookmarkStart w:id="515" w:name="_Ref22644089"/>
      <w:bookmarkStart w:id="516" w:name="_Toc62808191"/>
      <w:r w:rsidRPr="00987281">
        <w:t>Budgetary Reporting</w:t>
      </w:r>
      <w:bookmarkEnd w:id="515"/>
      <w:r w:rsidR="0012501C" w:rsidRPr="00987281">
        <w:t xml:space="preserve"> (BR)</w:t>
      </w:r>
      <w:bookmarkEnd w:id="516"/>
    </w:p>
    <w:p w14:paraId="2D9B2E8D" w14:textId="77777777" w:rsidR="00387D16" w:rsidRDefault="00387D16" w:rsidP="00387D16">
      <w:pPr>
        <w:pStyle w:val="Heading3"/>
      </w:pPr>
      <w:bookmarkStart w:id="517" w:name="_Toc62808192"/>
      <w:r>
        <w:t>Introduction</w:t>
      </w:r>
      <w:bookmarkEnd w:id="517"/>
    </w:p>
    <w:p w14:paraId="1E371850" w14:textId="29A69FE3" w:rsidR="0012501C" w:rsidRDefault="0012501C" w:rsidP="0012501C">
      <w:pPr>
        <w:pStyle w:val="BodyText"/>
      </w:pPr>
      <w:r>
        <w:t xml:space="preserve">In accordance with AASB 1055 Budgetary Reporting, </w:t>
      </w:r>
      <w:r w:rsidR="009B1462">
        <w:t>Court Services Victoria</w:t>
      </w:r>
      <w:r>
        <w:t xml:space="preserve"> provides comparisons between the actual financial statements and the forecast financial information (initial budget estimates) published in Budget Paper No. 5 Statement of Finances (BP5). The comparisons comprise the comprehensive operating statement, balance sheet, cash flow </w:t>
      </w:r>
      <w:proofErr w:type="gramStart"/>
      <w:r>
        <w:t>statement ,</w:t>
      </w:r>
      <w:proofErr w:type="gramEnd"/>
      <w:r>
        <w:t xml:space="preserve"> statements of changes in equity and administered item statements.</w:t>
      </w:r>
    </w:p>
    <w:p w14:paraId="3428BC78" w14:textId="6FFD1AA3" w:rsidR="00387D16" w:rsidRPr="00460432" w:rsidRDefault="00387D16" w:rsidP="00387D16">
      <w:pPr>
        <w:pStyle w:val="BodyText"/>
        <w:rPr>
          <w:rStyle w:val="Bold"/>
        </w:rPr>
      </w:pPr>
      <w:r w:rsidRPr="00987281">
        <w:rPr>
          <w:rStyle w:val="Bold"/>
        </w:rPr>
        <w:t>Structure</w:t>
      </w:r>
    </w:p>
    <w:p w14:paraId="19D307A9" w14:textId="385A1A39" w:rsidR="00387D16" w:rsidRPr="008200B8" w:rsidRDefault="00C9062D" w:rsidP="00387D16">
      <w:pPr>
        <w:pStyle w:val="NoSpacing"/>
      </w:pPr>
      <w:hyperlink w:anchor="BR1" w:history="1">
        <w:r w:rsidR="0012501C" w:rsidRPr="00CE5A69">
          <w:t>BR1</w:t>
        </w:r>
      </w:hyperlink>
      <w:r w:rsidR="0012501C" w:rsidRPr="008200B8">
        <w:tab/>
        <w:t>C</w:t>
      </w:r>
      <w:r w:rsidR="00387D16" w:rsidRPr="008200B8">
        <w:t>omprehensive operating statement</w:t>
      </w:r>
    </w:p>
    <w:p w14:paraId="4FD99D7C" w14:textId="21D704E0" w:rsidR="00387D16" w:rsidRPr="008200B8" w:rsidRDefault="00C9062D" w:rsidP="00387D16">
      <w:pPr>
        <w:pStyle w:val="NoSpacing"/>
      </w:pPr>
      <w:hyperlink w:anchor="BR2" w:history="1">
        <w:r w:rsidR="00CE5A69" w:rsidRPr="00CE5A69">
          <w:t>BR2</w:t>
        </w:r>
      </w:hyperlink>
      <w:r w:rsidR="0012501C" w:rsidRPr="008200B8">
        <w:tab/>
      </w:r>
      <w:r w:rsidR="00387D16" w:rsidRPr="008200B8">
        <w:t>Balance sheet</w:t>
      </w:r>
    </w:p>
    <w:p w14:paraId="6A7B75A3" w14:textId="23BF8A69" w:rsidR="00387D16" w:rsidRPr="008200B8" w:rsidRDefault="00C9062D" w:rsidP="00387D16">
      <w:pPr>
        <w:pStyle w:val="NoSpacing"/>
      </w:pPr>
      <w:hyperlink w:anchor="BR3" w:history="1">
        <w:r w:rsidR="00CE5A69" w:rsidRPr="00CE5A69">
          <w:t>BR3</w:t>
        </w:r>
      </w:hyperlink>
      <w:r w:rsidR="0012501C" w:rsidRPr="008200B8">
        <w:tab/>
      </w:r>
      <w:r w:rsidR="00387D16" w:rsidRPr="008200B8">
        <w:t>Cash flow statement</w:t>
      </w:r>
    </w:p>
    <w:p w14:paraId="1D5CD505" w14:textId="7FE116D1" w:rsidR="00387D16" w:rsidRPr="008200B8" w:rsidRDefault="00C9062D" w:rsidP="00387D16">
      <w:pPr>
        <w:pStyle w:val="NoSpacing"/>
      </w:pPr>
      <w:hyperlink w:anchor="BR4" w:history="1">
        <w:r w:rsidR="00CE5A69" w:rsidRPr="00CE5A69">
          <w:t>BR4</w:t>
        </w:r>
      </w:hyperlink>
      <w:r w:rsidR="0012501C" w:rsidRPr="008200B8">
        <w:tab/>
      </w:r>
      <w:r w:rsidR="00387D16" w:rsidRPr="008200B8">
        <w:t>Statement of changes in equity</w:t>
      </w:r>
    </w:p>
    <w:p w14:paraId="0D64DC63" w14:textId="4862892F" w:rsidR="00387D16" w:rsidRPr="004F4F99" w:rsidRDefault="00C9062D" w:rsidP="00387D16">
      <w:pPr>
        <w:pStyle w:val="NoSpacing"/>
      </w:pPr>
      <w:hyperlink w:anchor="BR5" w:history="1">
        <w:r w:rsidR="00CE5A69" w:rsidRPr="00CE5A69">
          <w:t>BR5</w:t>
        </w:r>
      </w:hyperlink>
      <w:r w:rsidR="0012501C" w:rsidRPr="008200B8">
        <w:tab/>
      </w:r>
      <w:r w:rsidR="00387D16" w:rsidRPr="008200B8">
        <w:t>Administered items</w:t>
      </w:r>
    </w:p>
    <w:p w14:paraId="716784F3" w14:textId="6B707C6D" w:rsidR="00387D16" w:rsidRDefault="009243AC" w:rsidP="001B4ACB">
      <w:pPr>
        <w:pStyle w:val="Heading3"/>
      </w:pPr>
      <w:bookmarkStart w:id="518" w:name="BR1"/>
      <w:bookmarkStart w:id="519" w:name="Note111"/>
      <w:bookmarkStart w:id="520" w:name="_Ref22653804"/>
      <w:bookmarkStart w:id="521" w:name="_Ref22653809"/>
      <w:bookmarkStart w:id="522" w:name="_Ref22653812"/>
      <w:bookmarkStart w:id="523" w:name="_Ref22653818"/>
      <w:bookmarkStart w:id="524" w:name="_Toc62808193"/>
      <w:r w:rsidRPr="00BE6600">
        <w:t>BR1</w:t>
      </w:r>
      <w:bookmarkEnd w:id="518"/>
      <w:r w:rsidR="00387D16" w:rsidRPr="00BE6600">
        <w:t xml:space="preserve"> </w:t>
      </w:r>
      <w:bookmarkEnd w:id="519"/>
      <w:r w:rsidR="00387D16" w:rsidRPr="00BE6600">
        <w:t xml:space="preserve">Comprehensive Operating Statement </w:t>
      </w:r>
      <w:r w:rsidR="00BE6600">
        <w:br/>
      </w:r>
      <w:r w:rsidR="00387D16" w:rsidRPr="00BE6600">
        <w:t>for the Financial Year Ended 30 June 20</w:t>
      </w:r>
      <w:bookmarkEnd w:id="520"/>
      <w:bookmarkEnd w:id="521"/>
      <w:bookmarkEnd w:id="522"/>
      <w:bookmarkEnd w:id="523"/>
      <w:r w:rsidR="006C5F89" w:rsidRPr="00BE6600">
        <w:t>20</w:t>
      </w:r>
      <w:bookmarkEnd w:id="524"/>
    </w:p>
    <w:tbl>
      <w:tblPr>
        <w:tblStyle w:val="AccessibleTableNumerical"/>
        <w:tblW w:w="5000" w:type="pct"/>
        <w:tblLook w:val="04E0" w:firstRow="1" w:lastRow="1" w:firstColumn="1" w:lastColumn="0" w:noHBand="0" w:noVBand="1"/>
      </w:tblPr>
      <w:tblGrid>
        <w:gridCol w:w="5163"/>
        <w:gridCol w:w="1120"/>
        <w:gridCol w:w="1118"/>
        <w:gridCol w:w="1120"/>
        <w:gridCol w:w="1118"/>
      </w:tblGrid>
      <w:tr w:rsidR="00387D16" w:rsidRPr="003A36C2" w14:paraId="6A76879F" w14:textId="77777777" w:rsidTr="00195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8" w:type="pct"/>
          </w:tcPr>
          <w:p w14:paraId="2B6446F4" w14:textId="77777777" w:rsidR="00387D16" w:rsidRPr="003A36C2" w:rsidRDefault="00387D16" w:rsidP="001B4ACB">
            <w:pPr>
              <w:pStyle w:val="TableText"/>
              <w:keepNext/>
            </w:pPr>
            <w:bookmarkStart w:id="525" w:name="ColumnTitle_100"/>
            <w:r>
              <w:t>Item</w:t>
            </w:r>
          </w:p>
        </w:tc>
        <w:tc>
          <w:tcPr>
            <w:tcW w:w="581" w:type="pct"/>
            <w:vAlign w:val="bottom"/>
          </w:tcPr>
          <w:p w14:paraId="4102CF0A" w14:textId="40E87C95" w:rsidR="00387D16" w:rsidRPr="003A36C2" w:rsidRDefault="00387D16" w:rsidP="001B4ACB">
            <w:pPr>
              <w:pStyle w:val="TableText"/>
              <w:keepNext/>
              <w:cnfStyle w:val="100000000000" w:firstRow="1" w:lastRow="0" w:firstColumn="0" w:lastColumn="0" w:oddVBand="0" w:evenVBand="0" w:oddHBand="0" w:evenHBand="0" w:firstRowFirstColumn="0" w:firstRowLastColumn="0" w:lastRowFirstColumn="0" w:lastRowLastColumn="0"/>
            </w:pPr>
            <w:proofErr w:type="gramStart"/>
            <w:r w:rsidRPr="003A36C2">
              <w:t>Variance</w:t>
            </w:r>
            <w:proofErr w:type="gramEnd"/>
            <w:r w:rsidR="0070106A">
              <w:t xml:space="preserve"> </w:t>
            </w:r>
            <w:r w:rsidRPr="003A36C2">
              <w:t>note</w:t>
            </w:r>
          </w:p>
        </w:tc>
        <w:tc>
          <w:tcPr>
            <w:tcW w:w="580" w:type="pct"/>
            <w:vAlign w:val="bottom"/>
          </w:tcPr>
          <w:p w14:paraId="23CD88A7" w14:textId="1879E089" w:rsidR="00387D16" w:rsidRPr="003A36C2" w:rsidRDefault="00387D16" w:rsidP="001B4ACB">
            <w:pPr>
              <w:pStyle w:val="TableText"/>
              <w:keepNext/>
              <w:cnfStyle w:val="100000000000" w:firstRow="1" w:lastRow="0" w:firstColumn="0" w:lastColumn="0" w:oddVBand="0" w:evenVBand="0" w:oddHBand="0" w:evenHBand="0" w:firstRowFirstColumn="0" w:firstRowLastColumn="0" w:lastRowFirstColumn="0" w:lastRowLastColumn="0"/>
            </w:pPr>
            <w:r w:rsidRPr="003A36C2">
              <w:t>Budget 20</w:t>
            </w:r>
            <w:r w:rsidR="006C5F89">
              <w:t>20</w:t>
            </w:r>
            <w:r w:rsidRPr="003A36C2">
              <w:br/>
              <w:t>$'</w:t>
            </w:r>
            <w:r w:rsidR="006C5F89">
              <w:t>000</w:t>
            </w:r>
          </w:p>
        </w:tc>
        <w:tc>
          <w:tcPr>
            <w:tcW w:w="581" w:type="pct"/>
            <w:vAlign w:val="bottom"/>
          </w:tcPr>
          <w:p w14:paraId="1F00363A" w14:textId="40996685" w:rsidR="00387D16" w:rsidRPr="003A36C2" w:rsidRDefault="00387D16" w:rsidP="001B4ACB">
            <w:pPr>
              <w:pStyle w:val="TableText"/>
              <w:keepNext/>
              <w:cnfStyle w:val="100000000000" w:firstRow="1" w:lastRow="0" w:firstColumn="0" w:lastColumn="0" w:oddVBand="0" w:evenVBand="0" w:oddHBand="0" w:evenHBand="0" w:firstRowFirstColumn="0" w:firstRowLastColumn="0" w:lastRowFirstColumn="0" w:lastRowLastColumn="0"/>
            </w:pPr>
            <w:r w:rsidRPr="003A36C2">
              <w:t>Actual 20</w:t>
            </w:r>
            <w:r w:rsidR="006C5F89">
              <w:t>20</w:t>
            </w:r>
            <w:r w:rsidRPr="003A36C2">
              <w:br/>
              <w:t>$'</w:t>
            </w:r>
            <w:r w:rsidR="006C5F89">
              <w:t>000</w:t>
            </w:r>
          </w:p>
        </w:tc>
        <w:tc>
          <w:tcPr>
            <w:tcW w:w="580" w:type="pct"/>
            <w:vAlign w:val="bottom"/>
          </w:tcPr>
          <w:p w14:paraId="662D1474" w14:textId="4AE7F3F2" w:rsidR="00387D16" w:rsidRPr="003A36C2" w:rsidRDefault="00387D16" w:rsidP="001B4ACB">
            <w:pPr>
              <w:pStyle w:val="TableText"/>
              <w:keepNext/>
              <w:cnfStyle w:val="100000000000" w:firstRow="1" w:lastRow="0" w:firstColumn="0" w:lastColumn="0" w:oddVBand="0" w:evenVBand="0" w:oddHBand="0" w:evenHBand="0" w:firstRowFirstColumn="0" w:firstRowLastColumn="0" w:lastRowFirstColumn="0" w:lastRowLastColumn="0"/>
            </w:pPr>
            <w:r w:rsidRPr="003A36C2">
              <w:t>Variance</w:t>
            </w:r>
            <w:r w:rsidRPr="003A36C2">
              <w:br/>
              <w:t>$'</w:t>
            </w:r>
            <w:r w:rsidR="006C5F89">
              <w:t>000</w:t>
            </w:r>
          </w:p>
        </w:tc>
      </w:tr>
      <w:bookmarkEnd w:id="525"/>
      <w:tr w:rsidR="00387D16" w:rsidRPr="003A36C2" w14:paraId="650D0783"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603DC4AA" w14:textId="77777777" w:rsidR="00387D16" w:rsidRPr="006716C9" w:rsidRDefault="00387D16" w:rsidP="001B4ACB">
            <w:pPr>
              <w:pStyle w:val="TableText"/>
              <w:keepNext/>
              <w:rPr>
                <w:rStyle w:val="Bold"/>
              </w:rPr>
            </w:pPr>
            <w:r w:rsidRPr="006716C9">
              <w:rPr>
                <w:rStyle w:val="Bold"/>
              </w:rPr>
              <w:t>Continuing operations</w:t>
            </w:r>
          </w:p>
        </w:tc>
        <w:tc>
          <w:tcPr>
            <w:tcW w:w="581" w:type="pct"/>
          </w:tcPr>
          <w:p w14:paraId="3CAE88CC"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0EC2C830"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1" w:type="pct"/>
          </w:tcPr>
          <w:p w14:paraId="61869740"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03656CD6"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3FFCB3B0"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3FE60827" w14:textId="77777777" w:rsidR="00387D16" w:rsidRPr="006716C9" w:rsidRDefault="00387D16" w:rsidP="001B4ACB">
            <w:pPr>
              <w:pStyle w:val="TableText"/>
              <w:keepNext/>
              <w:rPr>
                <w:rStyle w:val="Bold"/>
              </w:rPr>
            </w:pPr>
            <w:r w:rsidRPr="006716C9">
              <w:rPr>
                <w:rStyle w:val="Bold"/>
              </w:rPr>
              <w:t>Income from transactions</w:t>
            </w:r>
          </w:p>
        </w:tc>
        <w:tc>
          <w:tcPr>
            <w:tcW w:w="581" w:type="pct"/>
          </w:tcPr>
          <w:p w14:paraId="76D398A8"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2E9452BA"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1" w:type="pct"/>
          </w:tcPr>
          <w:p w14:paraId="0B36806A"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44E929FD"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r>
      <w:tr w:rsidR="00387D16" w:rsidRPr="003A561C" w14:paraId="1233F96C"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5C864C8A" w14:textId="77777777" w:rsidR="00387D16" w:rsidRPr="003A561C" w:rsidRDefault="00387D16" w:rsidP="001B4ACB">
            <w:pPr>
              <w:pStyle w:val="TableText"/>
              <w:keepNext/>
            </w:pPr>
            <w:r w:rsidRPr="003A561C">
              <w:t>Output appropriations</w:t>
            </w:r>
          </w:p>
        </w:tc>
        <w:tc>
          <w:tcPr>
            <w:tcW w:w="581" w:type="pct"/>
          </w:tcPr>
          <w:p w14:paraId="27332FAA" w14:textId="182D8288" w:rsidR="00387D16" w:rsidRPr="003A561C" w:rsidRDefault="008C26A2"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71B844F4" w14:textId="0A56758B"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481.0</w:t>
            </w:r>
          </w:p>
        </w:tc>
        <w:tc>
          <w:tcPr>
            <w:tcW w:w="581" w:type="pct"/>
          </w:tcPr>
          <w:p w14:paraId="453A2752" w14:textId="751A41EF"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480.2</w:t>
            </w:r>
          </w:p>
        </w:tc>
        <w:tc>
          <w:tcPr>
            <w:tcW w:w="580" w:type="pct"/>
          </w:tcPr>
          <w:p w14:paraId="6303572B" w14:textId="1A98995B"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(0.9)</w:t>
            </w:r>
          </w:p>
        </w:tc>
      </w:tr>
      <w:tr w:rsidR="00387D16" w:rsidRPr="003A561C" w14:paraId="0B92B0FF"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6EF44DD1" w14:textId="77777777" w:rsidR="00387D16" w:rsidRPr="003A561C" w:rsidRDefault="00387D16" w:rsidP="001B4ACB">
            <w:pPr>
              <w:pStyle w:val="TableText"/>
              <w:keepNext/>
            </w:pPr>
            <w:r w:rsidRPr="003A561C">
              <w:t>Special appropriations</w:t>
            </w:r>
          </w:p>
        </w:tc>
        <w:tc>
          <w:tcPr>
            <w:tcW w:w="581" w:type="pct"/>
          </w:tcPr>
          <w:p w14:paraId="2D5A43DD" w14:textId="18E32579" w:rsidR="00387D16" w:rsidRPr="003A561C" w:rsidRDefault="00C9062D" w:rsidP="001B4ACB">
            <w:pPr>
              <w:pStyle w:val="TableText"/>
              <w:keepNext/>
              <w:cnfStyle w:val="000000000000" w:firstRow="0" w:lastRow="0" w:firstColumn="0" w:lastColumn="0" w:oddVBand="0" w:evenVBand="0" w:oddHBand="0" w:evenHBand="0" w:firstRowFirstColumn="0" w:firstRowLastColumn="0" w:lastRowFirstColumn="0" w:lastRowLastColumn="0"/>
            </w:pPr>
            <w:hyperlink w:anchor="NoteBR1note1" w:history="1">
              <w:r w:rsidR="008C26A2" w:rsidRPr="00BE6600">
                <w:t>1</w:t>
              </w:r>
            </w:hyperlink>
          </w:p>
        </w:tc>
        <w:tc>
          <w:tcPr>
            <w:tcW w:w="580" w:type="pct"/>
          </w:tcPr>
          <w:p w14:paraId="7AEA2F5A" w14:textId="78EB6B24"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183.0</w:t>
            </w:r>
          </w:p>
        </w:tc>
        <w:tc>
          <w:tcPr>
            <w:tcW w:w="581" w:type="pct"/>
          </w:tcPr>
          <w:p w14:paraId="05278723" w14:textId="175A288B"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167.7</w:t>
            </w:r>
          </w:p>
        </w:tc>
        <w:tc>
          <w:tcPr>
            <w:tcW w:w="580" w:type="pct"/>
          </w:tcPr>
          <w:p w14:paraId="5877EB82" w14:textId="169E77AD"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(15.3)</w:t>
            </w:r>
          </w:p>
        </w:tc>
      </w:tr>
      <w:tr w:rsidR="00387D16" w:rsidRPr="003A36C2" w14:paraId="61F6A792"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159CE727" w14:textId="77777777" w:rsidR="00387D16" w:rsidRPr="003A561C" w:rsidRDefault="00387D16" w:rsidP="001B4ACB">
            <w:pPr>
              <w:pStyle w:val="TableText"/>
              <w:keepNext/>
            </w:pPr>
            <w:r w:rsidRPr="003A561C">
              <w:t>Grants</w:t>
            </w:r>
          </w:p>
        </w:tc>
        <w:tc>
          <w:tcPr>
            <w:tcW w:w="581" w:type="pct"/>
          </w:tcPr>
          <w:p w14:paraId="3F5C85B4" w14:textId="26919143" w:rsidR="00387D16" w:rsidRPr="003A561C" w:rsidRDefault="003A561C"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5B822F9E" w14:textId="0DCACB6E"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24.9</w:t>
            </w:r>
          </w:p>
        </w:tc>
        <w:tc>
          <w:tcPr>
            <w:tcW w:w="581" w:type="pct"/>
          </w:tcPr>
          <w:p w14:paraId="2C69A973" w14:textId="564E7975" w:rsidR="00387D16" w:rsidRPr="003A561C"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25.6</w:t>
            </w:r>
          </w:p>
        </w:tc>
        <w:tc>
          <w:tcPr>
            <w:tcW w:w="580" w:type="pct"/>
          </w:tcPr>
          <w:p w14:paraId="6C966D94" w14:textId="2C48AABC" w:rsidR="00387D16" w:rsidRPr="003A36C2"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rsidRPr="003A561C">
              <w:t>0.8</w:t>
            </w:r>
          </w:p>
        </w:tc>
      </w:tr>
      <w:tr w:rsidR="00387D16" w:rsidRPr="003A36C2" w14:paraId="4A7775BF"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bottom w:val="single" w:sz="4" w:space="0" w:color="auto"/>
            </w:tcBorders>
          </w:tcPr>
          <w:p w14:paraId="4E877FF4" w14:textId="77777777" w:rsidR="00387D16" w:rsidRPr="003A36C2" w:rsidRDefault="00387D16" w:rsidP="001B4ACB">
            <w:pPr>
              <w:pStyle w:val="TableText"/>
              <w:keepNext/>
            </w:pPr>
            <w:r w:rsidRPr="003A36C2">
              <w:t>Other income</w:t>
            </w:r>
          </w:p>
        </w:tc>
        <w:tc>
          <w:tcPr>
            <w:tcW w:w="581" w:type="pct"/>
            <w:tcBorders>
              <w:bottom w:val="single" w:sz="4" w:space="0" w:color="auto"/>
            </w:tcBorders>
          </w:tcPr>
          <w:p w14:paraId="3F448D68" w14:textId="77777777" w:rsidR="00387D16" w:rsidRPr="003A36C2"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80" w:type="pct"/>
            <w:tcBorders>
              <w:bottom w:val="single" w:sz="4" w:space="0" w:color="auto"/>
            </w:tcBorders>
          </w:tcPr>
          <w:p w14:paraId="43F1997C" w14:textId="65047658" w:rsidR="00387D16" w:rsidRPr="003A36C2"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t>0.0</w:t>
            </w:r>
          </w:p>
        </w:tc>
        <w:tc>
          <w:tcPr>
            <w:tcW w:w="581" w:type="pct"/>
            <w:tcBorders>
              <w:bottom w:val="single" w:sz="4" w:space="0" w:color="auto"/>
            </w:tcBorders>
          </w:tcPr>
          <w:p w14:paraId="269A078F" w14:textId="07EB0152" w:rsidR="00387D16" w:rsidRPr="003A36C2"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t>0.0</w:t>
            </w:r>
          </w:p>
        </w:tc>
        <w:tc>
          <w:tcPr>
            <w:tcW w:w="580" w:type="pct"/>
            <w:tcBorders>
              <w:bottom w:val="single" w:sz="4" w:space="0" w:color="auto"/>
            </w:tcBorders>
          </w:tcPr>
          <w:p w14:paraId="7E20C6CC" w14:textId="5F94B4D8" w:rsidR="00387D16" w:rsidRPr="003A36C2"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pPr>
            <w:r>
              <w:t>0.0</w:t>
            </w:r>
          </w:p>
        </w:tc>
      </w:tr>
      <w:tr w:rsidR="00387D16" w:rsidRPr="0070727E" w14:paraId="39AE4018"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bottom w:val="single" w:sz="4" w:space="0" w:color="auto"/>
            </w:tcBorders>
            <w:shd w:val="clear" w:color="auto" w:fill="auto"/>
          </w:tcPr>
          <w:p w14:paraId="63ED011E" w14:textId="77777777" w:rsidR="00387D16" w:rsidRPr="0070727E" w:rsidRDefault="00387D16" w:rsidP="001B4ACB">
            <w:pPr>
              <w:pStyle w:val="TableText"/>
              <w:keepNext/>
              <w:rPr>
                <w:rStyle w:val="Bold"/>
              </w:rPr>
            </w:pPr>
            <w:r w:rsidRPr="0070727E">
              <w:rPr>
                <w:rStyle w:val="Bold"/>
              </w:rPr>
              <w:t>Total income from transactions</w:t>
            </w:r>
          </w:p>
        </w:tc>
        <w:tc>
          <w:tcPr>
            <w:tcW w:w="581" w:type="pct"/>
            <w:tcBorders>
              <w:top w:val="single" w:sz="4" w:space="0" w:color="auto"/>
              <w:bottom w:val="single" w:sz="4" w:space="0" w:color="auto"/>
            </w:tcBorders>
            <w:shd w:val="clear" w:color="auto" w:fill="auto"/>
          </w:tcPr>
          <w:p w14:paraId="1650C8D9" w14:textId="77777777" w:rsidR="00387D16" w:rsidRPr="0070727E" w:rsidRDefault="00387D16"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sidRPr="0070727E">
              <w:t>N/A</w:t>
            </w:r>
          </w:p>
        </w:tc>
        <w:tc>
          <w:tcPr>
            <w:tcW w:w="580" w:type="pct"/>
            <w:tcBorders>
              <w:top w:val="single" w:sz="4" w:space="0" w:color="auto"/>
              <w:bottom w:val="single" w:sz="4" w:space="0" w:color="auto"/>
            </w:tcBorders>
            <w:shd w:val="clear" w:color="auto" w:fill="auto"/>
          </w:tcPr>
          <w:p w14:paraId="3435E45B" w14:textId="1BE967B1" w:rsidR="00387D16" w:rsidRPr="0070727E"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688.9</w:t>
            </w:r>
          </w:p>
        </w:tc>
        <w:tc>
          <w:tcPr>
            <w:tcW w:w="581" w:type="pct"/>
            <w:tcBorders>
              <w:top w:val="single" w:sz="4" w:space="0" w:color="auto"/>
              <w:bottom w:val="single" w:sz="4" w:space="0" w:color="auto"/>
            </w:tcBorders>
            <w:shd w:val="clear" w:color="auto" w:fill="auto"/>
          </w:tcPr>
          <w:p w14:paraId="12864164" w14:textId="57DE93E9" w:rsidR="00387D16" w:rsidRPr="0070727E"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673.5</w:t>
            </w:r>
          </w:p>
        </w:tc>
        <w:tc>
          <w:tcPr>
            <w:tcW w:w="580" w:type="pct"/>
            <w:tcBorders>
              <w:top w:val="single" w:sz="4" w:space="0" w:color="auto"/>
              <w:bottom w:val="single" w:sz="4" w:space="0" w:color="auto"/>
            </w:tcBorders>
            <w:shd w:val="clear" w:color="auto" w:fill="auto"/>
          </w:tcPr>
          <w:p w14:paraId="438753FF" w14:textId="1EFA4D8C" w:rsidR="00387D16" w:rsidRPr="0070727E" w:rsidRDefault="007A31BE" w:rsidP="001B4ACB">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(15.4)</w:t>
            </w:r>
          </w:p>
        </w:tc>
      </w:tr>
      <w:tr w:rsidR="00387D16" w:rsidRPr="003A36C2" w14:paraId="2FA3A4AA"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tcBorders>
          </w:tcPr>
          <w:p w14:paraId="6CDDA61E" w14:textId="77777777" w:rsidR="00387D16" w:rsidRPr="006716C9" w:rsidRDefault="00387D16" w:rsidP="001B4ACB">
            <w:pPr>
              <w:pStyle w:val="TableText"/>
              <w:keepNext/>
              <w:spacing w:before="120"/>
              <w:rPr>
                <w:rStyle w:val="Bold"/>
              </w:rPr>
            </w:pPr>
            <w:r w:rsidRPr="006716C9">
              <w:rPr>
                <w:rStyle w:val="Bold"/>
              </w:rPr>
              <w:t>Expenses from transactions</w:t>
            </w:r>
          </w:p>
        </w:tc>
        <w:tc>
          <w:tcPr>
            <w:tcW w:w="581" w:type="pct"/>
            <w:tcBorders>
              <w:top w:val="single" w:sz="4" w:space="0" w:color="auto"/>
            </w:tcBorders>
          </w:tcPr>
          <w:p w14:paraId="0E3ABF18" w14:textId="77777777" w:rsidR="00387D16" w:rsidRPr="003A36C2" w:rsidRDefault="00387D16" w:rsidP="001B4ACB">
            <w:pPr>
              <w:pStyle w:val="TableText"/>
              <w:keepNext/>
              <w:spacing w:before="120"/>
              <w:cnfStyle w:val="000000000000" w:firstRow="0" w:lastRow="0" w:firstColumn="0" w:lastColumn="0" w:oddVBand="0" w:evenVBand="0" w:oddHBand="0" w:evenHBand="0" w:firstRowFirstColumn="0" w:firstRowLastColumn="0" w:lastRowFirstColumn="0" w:lastRowLastColumn="0"/>
            </w:pPr>
            <w:r>
              <w:t>N/A</w:t>
            </w:r>
          </w:p>
        </w:tc>
        <w:tc>
          <w:tcPr>
            <w:tcW w:w="580" w:type="pct"/>
            <w:tcBorders>
              <w:top w:val="single" w:sz="4" w:space="0" w:color="auto"/>
            </w:tcBorders>
          </w:tcPr>
          <w:p w14:paraId="7EC1A84C" w14:textId="77777777" w:rsidR="00387D16" w:rsidRPr="003A36C2" w:rsidRDefault="00387D16" w:rsidP="001B4ACB">
            <w:pPr>
              <w:pStyle w:val="TableText"/>
              <w:keepNext/>
              <w:spacing w:before="120"/>
              <w:cnfStyle w:val="000000000000" w:firstRow="0" w:lastRow="0" w:firstColumn="0" w:lastColumn="0" w:oddVBand="0" w:evenVBand="0" w:oddHBand="0" w:evenHBand="0" w:firstRowFirstColumn="0" w:firstRowLastColumn="0" w:lastRowFirstColumn="0" w:lastRowLastColumn="0"/>
            </w:pPr>
            <w:r>
              <w:t>N/A</w:t>
            </w:r>
          </w:p>
        </w:tc>
        <w:tc>
          <w:tcPr>
            <w:tcW w:w="581" w:type="pct"/>
            <w:tcBorders>
              <w:top w:val="single" w:sz="4" w:space="0" w:color="auto"/>
            </w:tcBorders>
          </w:tcPr>
          <w:p w14:paraId="66626EBB" w14:textId="77777777" w:rsidR="00387D16" w:rsidRPr="003A36C2" w:rsidRDefault="00387D16" w:rsidP="001B4ACB">
            <w:pPr>
              <w:pStyle w:val="TableText"/>
              <w:keepNext/>
              <w:spacing w:before="120"/>
              <w:cnfStyle w:val="000000000000" w:firstRow="0" w:lastRow="0" w:firstColumn="0" w:lastColumn="0" w:oddVBand="0" w:evenVBand="0" w:oddHBand="0" w:evenHBand="0" w:firstRowFirstColumn="0" w:firstRowLastColumn="0" w:lastRowFirstColumn="0" w:lastRowLastColumn="0"/>
            </w:pPr>
            <w:r>
              <w:t>N/A</w:t>
            </w:r>
          </w:p>
        </w:tc>
        <w:tc>
          <w:tcPr>
            <w:tcW w:w="580" w:type="pct"/>
            <w:tcBorders>
              <w:top w:val="single" w:sz="4" w:space="0" w:color="auto"/>
            </w:tcBorders>
          </w:tcPr>
          <w:p w14:paraId="693EF757" w14:textId="77777777" w:rsidR="00387D16" w:rsidRPr="003A36C2" w:rsidRDefault="00387D16" w:rsidP="001B4ACB">
            <w:pPr>
              <w:pStyle w:val="TableText"/>
              <w:keepN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547E6E33"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33F0E25A" w14:textId="77777777" w:rsidR="00387D16" w:rsidRPr="003A36C2" w:rsidRDefault="00387D16" w:rsidP="0019520B">
            <w:pPr>
              <w:pStyle w:val="TableText"/>
            </w:pPr>
            <w:r w:rsidRPr="003A36C2">
              <w:t>Employee expenses</w:t>
            </w:r>
          </w:p>
        </w:tc>
        <w:tc>
          <w:tcPr>
            <w:tcW w:w="581" w:type="pct"/>
          </w:tcPr>
          <w:p w14:paraId="3B28734F" w14:textId="3ED95249" w:rsidR="00387D16" w:rsidRPr="003A36C2"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1note2" w:history="1">
              <w:r w:rsidR="003A561C" w:rsidRPr="003A561C">
                <w:t>2</w:t>
              </w:r>
            </w:hyperlink>
          </w:p>
        </w:tc>
        <w:tc>
          <w:tcPr>
            <w:tcW w:w="580" w:type="pct"/>
          </w:tcPr>
          <w:p w14:paraId="19DC64A9" w14:textId="4B0D8968"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405.5</w:t>
            </w:r>
          </w:p>
        </w:tc>
        <w:tc>
          <w:tcPr>
            <w:tcW w:w="581" w:type="pct"/>
          </w:tcPr>
          <w:p w14:paraId="370E5B65" w14:textId="5CD6CDAD"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374.6</w:t>
            </w:r>
          </w:p>
        </w:tc>
        <w:tc>
          <w:tcPr>
            <w:tcW w:w="580" w:type="pct"/>
          </w:tcPr>
          <w:p w14:paraId="3CD50DC7" w14:textId="1F56BC2B"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30.8</w:t>
            </w:r>
          </w:p>
        </w:tc>
      </w:tr>
      <w:tr w:rsidR="00387D16" w:rsidRPr="003A36C2" w14:paraId="6DCF5B54"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11566B61" w14:textId="77777777" w:rsidR="00387D16" w:rsidRPr="003A36C2" w:rsidRDefault="00387D16" w:rsidP="0019520B">
            <w:pPr>
              <w:pStyle w:val="TableText"/>
            </w:pPr>
            <w:r w:rsidRPr="003A36C2">
              <w:t>Depreciation and amortisation</w:t>
            </w:r>
          </w:p>
        </w:tc>
        <w:tc>
          <w:tcPr>
            <w:tcW w:w="581" w:type="pct"/>
          </w:tcPr>
          <w:p w14:paraId="3B621B57" w14:textId="6DCD7650"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3DBFADCD" w14:textId="6F761C8A"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69.7</w:t>
            </w:r>
          </w:p>
        </w:tc>
        <w:tc>
          <w:tcPr>
            <w:tcW w:w="581" w:type="pct"/>
          </w:tcPr>
          <w:p w14:paraId="7D7B591A" w14:textId="48CAD25A"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72.9</w:t>
            </w:r>
          </w:p>
        </w:tc>
        <w:tc>
          <w:tcPr>
            <w:tcW w:w="580" w:type="pct"/>
          </w:tcPr>
          <w:p w14:paraId="00162D2A" w14:textId="5B81C83B"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(3.2)</w:t>
            </w:r>
          </w:p>
        </w:tc>
      </w:tr>
      <w:tr w:rsidR="00387D16" w:rsidRPr="003A36C2" w14:paraId="18862CEB"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46EF92C3" w14:textId="77777777" w:rsidR="00387D16" w:rsidRPr="003A36C2" w:rsidRDefault="00387D16" w:rsidP="0019520B">
            <w:pPr>
              <w:pStyle w:val="TableText"/>
            </w:pPr>
            <w:r w:rsidRPr="003A36C2">
              <w:t>Interest expense</w:t>
            </w:r>
          </w:p>
        </w:tc>
        <w:tc>
          <w:tcPr>
            <w:tcW w:w="581" w:type="pct"/>
          </w:tcPr>
          <w:p w14:paraId="6FDE2405"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3818C436" w14:textId="76569754"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8.3</w:t>
            </w:r>
          </w:p>
        </w:tc>
        <w:tc>
          <w:tcPr>
            <w:tcW w:w="581" w:type="pct"/>
          </w:tcPr>
          <w:p w14:paraId="292C10C7" w14:textId="3F8F05CD"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4.8</w:t>
            </w:r>
          </w:p>
        </w:tc>
        <w:tc>
          <w:tcPr>
            <w:tcW w:w="580" w:type="pct"/>
          </w:tcPr>
          <w:p w14:paraId="1A8C6EDF" w14:textId="6D85EE8E"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3.5</w:t>
            </w:r>
          </w:p>
        </w:tc>
      </w:tr>
      <w:tr w:rsidR="00387D16" w:rsidRPr="003A36C2" w14:paraId="023AB204"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6E75E6EB" w14:textId="77777777" w:rsidR="00387D16" w:rsidRPr="003A36C2" w:rsidRDefault="00387D16" w:rsidP="0019520B">
            <w:pPr>
              <w:pStyle w:val="TableText"/>
            </w:pPr>
            <w:r w:rsidRPr="003A36C2">
              <w:t>Grants and other transfers</w:t>
            </w:r>
          </w:p>
        </w:tc>
        <w:tc>
          <w:tcPr>
            <w:tcW w:w="581" w:type="pct"/>
          </w:tcPr>
          <w:p w14:paraId="3C28C460"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03026C39" w14:textId="5ED3FB74"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14.3</w:t>
            </w:r>
          </w:p>
        </w:tc>
        <w:tc>
          <w:tcPr>
            <w:tcW w:w="581" w:type="pct"/>
          </w:tcPr>
          <w:p w14:paraId="0EFE75EA" w14:textId="238F5D99"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15.1</w:t>
            </w:r>
          </w:p>
        </w:tc>
        <w:tc>
          <w:tcPr>
            <w:tcW w:w="580" w:type="pct"/>
          </w:tcPr>
          <w:p w14:paraId="52FE561F" w14:textId="3CB13CD4"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(0.8)</w:t>
            </w:r>
          </w:p>
        </w:tc>
      </w:tr>
      <w:tr w:rsidR="00387D16" w:rsidRPr="003A36C2" w14:paraId="604176EA"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20CBF342" w14:textId="77777777" w:rsidR="00387D16" w:rsidRPr="003A36C2" w:rsidRDefault="00387D16" w:rsidP="0019520B">
            <w:pPr>
              <w:pStyle w:val="TableText"/>
            </w:pPr>
            <w:r w:rsidRPr="003A36C2">
              <w:t>Capital asset charge</w:t>
            </w:r>
          </w:p>
        </w:tc>
        <w:tc>
          <w:tcPr>
            <w:tcW w:w="581" w:type="pct"/>
          </w:tcPr>
          <w:p w14:paraId="4B400079"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80" w:type="pct"/>
          </w:tcPr>
          <w:p w14:paraId="715EF619" w14:textId="3B6A6BDE"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46.4</w:t>
            </w:r>
          </w:p>
        </w:tc>
        <w:tc>
          <w:tcPr>
            <w:tcW w:w="581" w:type="pct"/>
          </w:tcPr>
          <w:p w14:paraId="63141C9C" w14:textId="5E9DFF5B"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46.4</w:t>
            </w:r>
          </w:p>
        </w:tc>
        <w:tc>
          <w:tcPr>
            <w:tcW w:w="580" w:type="pct"/>
          </w:tcPr>
          <w:p w14:paraId="159A6C82" w14:textId="119BD38A"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561C" w14:paraId="76A30CFF"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bottom w:val="single" w:sz="4" w:space="0" w:color="auto"/>
            </w:tcBorders>
          </w:tcPr>
          <w:p w14:paraId="4A7BD7FB" w14:textId="77777777" w:rsidR="00387D16" w:rsidRPr="003A561C" w:rsidRDefault="00387D16" w:rsidP="0019520B">
            <w:pPr>
              <w:pStyle w:val="TableText"/>
            </w:pPr>
            <w:r w:rsidRPr="003A561C">
              <w:t>Supplies and services</w:t>
            </w:r>
          </w:p>
        </w:tc>
        <w:tc>
          <w:tcPr>
            <w:tcW w:w="581" w:type="pct"/>
            <w:tcBorders>
              <w:bottom w:val="single" w:sz="4" w:space="0" w:color="auto"/>
            </w:tcBorders>
          </w:tcPr>
          <w:p w14:paraId="0C19A462" w14:textId="079E57EE" w:rsidR="00387D16" w:rsidRPr="003A561C"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1note3" w:history="1">
              <w:r w:rsidR="003A561C" w:rsidRPr="003A561C">
                <w:t>3</w:t>
              </w:r>
            </w:hyperlink>
          </w:p>
        </w:tc>
        <w:tc>
          <w:tcPr>
            <w:tcW w:w="580" w:type="pct"/>
            <w:tcBorders>
              <w:bottom w:val="single" w:sz="4" w:space="0" w:color="auto"/>
            </w:tcBorders>
          </w:tcPr>
          <w:p w14:paraId="4EC4022B" w14:textId="2C224DAA"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145.3</w:t>
            </w:r>
          </w:p>
        </w:tc>
        <w:tc>
          <w:tcPr>
            <w:tcW w:w="581" w:type="pct"/>
            <w:tcBorders>
              <w:bottom w:val="single" w:sz="4" w:space="0" w:color="auto"/>
            </w:tcBorders>
          </w:tcPr>
          <w:p w14:paraId="5093F8CC" w14:textId="6AF315B1"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155.2</w:t>
            </w:r>
          </w:p>
        </w:tc>
        <w:tc>
          <w:tcPr>
            <w:tcW w:w="580" w:type="pct"/>
            <w:tcBorders>
              <w:bottom w:val="single" w:sz="4" w:space="0" w:color="auto"/>
            </w:tcBorders>
          </w:tcPr>
          <w:p w14:paraId="57BC8765" w14:textId="7B6B4031"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(9.9)</w:t>
            </w:r>
          </w:p>
        </w:tc>
      </w:tr>
      <w:tr w:rsidR="00387D16" w:rsidRPr="003A561C" w14:paraId="2110E72C"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bottom w:val="single" w:sz="4" w:space="0" w:color="auto"/>
            </w:tcBorders>
            <w:shd w:val="clear" w:color="auto" w:fill="auto"/>
          </w:tcPr>
          <w:p w14:paraId="683694A3" w14:textId="77777777" w:rsidR="00387D16" w:rsidRPr="006F38E1" w:rsidRDefault="00387D16" w:rsidP="0019520B">
            <w:pPr>
              <w:pStyle w:val="TableText"/>
              <w:rPr>
                <w:rStyle w:val="Bold"/>
              </w:rPr>
            </w:pPr>
            <w:r w:rsidRPr="006F38E1">
              <w:rPr>
                <w:rStyle w:val="Bold"/>
              </w:rPr>
              <w:t>Total expenses from transactions</w:t>
            </w:r>
          </w:p>
        </w:tc>
        <w:tc>
          <w:tcPr>
            <w:tcW w:w="581" w:type="pct"/>
            <w:tcBorders>
              <w:top w:val="single" w:sz="4" w:space="0" w:color="auto"/>
              <w:bottom w:val="single" w:sz="4" w:space="0" w:color="auto"/>
            </w:tcBorders>
            <w:shd w:val="clear" w:color="auto" w:fill="auto"/>
          </w:tcPr>
          <w:p w14:paraId="10F110C0"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bottom w:val="single" w:sz="4" w:space="0" w:color="auto"/>
            </w:tcBorders>
            <w:shd w:val="clear" w:color="auto" w:fill="auto"/>
          </w:tcPr>
          <w:p w14:paraId="0B1C5FEF" w14:textId="0DBEEBDF"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689.3</w:t>
            </w:r>
          </w:p>
        </w:tc>
        <w:tc>
          <w:tcPr>
            <w:tcW w:w="581" w:type="pct"/>
            <w:tcBorders>
              <w:top w:val="single" w:sz="4" w:space="0" w:color="auto"/>
              <w:bottom w:val="single" w:sz="4" w:space="0" w:color="auto"/>
            </w:tcBorders>
            <w:shd w:val="clear" w:color="auto" w:fill="auto"/>
          </w:tcPr>
          <w:p w14:paraId="5A99008E" w14:textId="249EDD9D"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669.0</w:t>
            </w:r>
          </w:p>
        </w:tc>
        <w:tc>
          <w:tcPr>
            <w:tcW w:w="580" w:type="pct"/>
            <w:tcBorders>
              <w:top w:val="single" w:sz="4" w:space="0" w:color="auto"/>
              <w:bottom w:val="single" w:sz="4" w:space="0" w:color="auto"/>
            </w:tcBorders>
            <w:shd w:val="clear" w:color="auto" w:fill="auto"/>
          </w:tcPr>
          <w:p w14:paraId="3AB73249" w14:textId="15F885E2"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20</w:t>
            </w:r>
          </w:p>
        </w:tc>
      </w:tr>
      <w:tr w:rsidR="00387D16" w:rsidRPr="003A561C" w14:paraId="528D8A0B"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bottom w:val="single" w:sz="4" w:space="0" w:color="auto"/>
            </w:tcBorders>
            <w:shd w:val="clear" w:color="auto" w:fill="auto"/>
          </w:tcPr>
          <w:p w14:paraId="208155DB" w14:textId="77777777" w:rsidR="00387D16" w:rsidRPr="006F38E1" w:rsidRDefault="00387D16" w:rsidP="0019520B">
            <w:pPr>
              <w:pStyle w:val="TableText"/>
              <w:rPr>
                <w:rStyle w:val="Bold"/>
              </w:rPr>
            </w:pPr>
            <w:r w:rsidRPr="006F38E1">
              <w:rPr>
                <w:rStyle w:val="Bold"/>
              </w:rPr>
              <w:t>Net result from transactions (net operating balance)</w:t>
            </w:r>
          </w:p>
        </w:tc>
        <w:tc>
          <w:tcPr>
            <w:tcW w:w="581" w:type="pct"/>
            <w:tcBorders>
              <w:top w:val="single" w:sz="4" w:space="0" w:color="auto"/>
              <w:bottom w:val="single" w:sz="4" w:space="0" w:color="auto"/>
            </w:tcBorders>
            <w:shd w:val="clear" w:color="auto" w:fill="auto"/>
          </w:tcPr>
          <w:p w14:paraId="1CC7885B"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bottom w:val="single" w:sz="4" w:space="0" w:color="auto"/>
            </w:tcBorders>
            <w:shd w:val="clear" w:color="auto" w:fill="auto"/>
          </w:tcPr>
          <w:p w14:paraId="2DC6BDB6" w14:textId="32FCD253"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(0.4)</w:t>
            </w:r>
          </w:p>
        </w:tc>
        <w:tc>
          <w:tcPr>
            <w:tcW w:w="581" w:type="pct"/>
            <w:tcBorders>
              <w:top w:val="single" w:sz="4" w:space="0" w:color="auto"/>
              <w:bottom w:val="single" w:sz="4" w:space="0" w:color="auto"/>
            </w:tcBorders>
            <w:shd w:val="clear" w:color="auto" w:fill="auto"/>
          </w:tcPr>
          <w:p w14:paraId="3C68C0DD" w14:textId="0282469B"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4.5</w:t>
            </w:r>
          </w:p>
        </w:tc>
        <w:tc>
          <w:tcPr>
            <w:tcW w:w="580" w:type="pct"/>
            <w:tcBorders>
              <w:top w:val="single" w:sz="4" w:space="0" w:color="auto"/>
              <w:bottom w:val="single" w:sz="4" w:space="0" w:color="auto"/>
            </w:tcBorders>
            <w:shd w:val="clear" w:color="auto" w:fill="auto"/>
          </w:tcPr>
          <w:p w14:paraId="19BBBEA5" w14:textId="65ED3DEA"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(5.0)</w:t>
            </w:r>
          </w:p>
        </w:tc>
      </w:tr>
      <w:tr w:rsidR="00387D16" w:rsidRPr="003A561C" w14:paraId="167ECC4A"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tcBorders>
          </w:tcPr>
          <w:p w14:paraId="1AF5BA7D" w14:textId="77777777" w:rsidR="00387D16" w:rsidRPr="003A561C" w:rsidRDefault="00387D16" w:rsidP="0070106A">
            <w:pPr>
              <w:pStyle w:val="TableText"/>
              <w:spacing w:before="120"/>
              <w:rPr>
                <w:rStyle w:val="Bold"/>
              </w:rPr>
            </w:pPr>
            <w:r w:rsidRPr="003A561C">
              <w:rPr>
                <w:rStyle w:val="Bold"/>
              </w:rPr>
              <w:t>Other economic flows included in net result</w:t>
            </w:r>
          </w:p>
        </w:tc>
        <w:tc>
          <w:tcPr>
            <w:tcW w:w="581" w:type="pct"/>
            <w:tcBorders>
              <w:top w:val="single" w:sz="4" w:space="0" w:color="auto"/>
            </w:tcBorders>
          </w:tcPr>
          <w:p w14:paraId="600015DD" w14:textId="77777777" w:rsidR="00387D16" w:rsidRPr="003A561C" w:rsidRDefault="00387D16" w:rsidP="0070106A">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tcBorders>
          </w:tcPr>
          <w:p w14:paraId="7E53B1EC" w14:textId="77777777" w:rsidR="00387D16" w:rsidRPr="003A561C" w:rsidRDefault="00387D16" w:rsidP="0070106A">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1" w:type="pct"/>
            <w:tcBorders>
              <w:top w:val="single" w:sz="4" w:space="0" w:color="auto"/>
            </w:tcBorders>
          </w:tcPr>
          <w:p w14:paraId="6BDDA77D" w14:textId="77777777" w:rsidR="00387D16" w:rsidRPr="003A561C" w:rsidRDefault="00387D16" w:rsidP="0070106A">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tcBorders>
          </w:tcPr>
          <w:p w14:paraId="316F50E2" w14:textId="77777777" w:rsidR="00387D16" w:rsidRPr="003A561C" w:rsidRDefault="00387D16" w:rsidP="0070106A">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r>
      <w:tr w:rsidR="00387D16" w:rsidRPr="003A561C" w14:paraId="0C1DBB86"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196FF2B9" w14:textId="77777777" w:rsidR="00387D16" w:rsidRPr="003A561C" w:rsidRDefault="00387D16" w:rsidP="0019520B">
            <w:pPr>
              <w:pStyle w:val="TableText"/>
            </w:pPr>
            <w:r w:rsidRPr="003A561C">
              <w:t>Net gain/(loss) on non-financial assets</w:t>
            </w:r>
          </w:p>
        </w:tc>
        <w:tc>
          <w:tcPr>
            <w:tcW w:w="581" w:type="pct"/>
          </w:tcPr>
          <w:p w14:paraId="76BF73C0"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Pr>
          <w:p w14:paraId="29C89712" w14:textId="722EBFFF"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0.0</w:t>
            </w:r>
          </w:p>
        </w:tc>
        <w:tc>
          <w:tcPr>
            <w:tcW w:w="581" w:type="pct"/>
          </w:tcPr>
          <w:p w14:paraId="0F584D02" w14:textId="687DB860"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0.3</w:t>
            </w:r>
          </w:p>
        </w:tc>
        <w:tc>
          <w:tcPr>
            <w:tcW w:w="580" w:type="pct"/>
          </w:tcPr>
          <w:p w14:paraId="498EF36F" w14:textId="638419C6"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(0.3)</w:t>
            </w:r>
          </w:p>
        </w:tc>
      </w:tr>
      <w:tr w:rsidR="00387D16" w:rsidRPr="003A561C" w14:paraId="5F26F7CB"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6BAFC11E" w14:textId="77777777" w:rsidR="00387D16" w:rsidRPr="003A561C" w:rsidRDefault="00387D16" w:rsidP="0019520B">
            <w:pPr>
              <w:pStyle w:val="TableText"/>
            </w:pPr>
            <w:r w:rsidRPr="003A561C">
              <w:t>Net gain/(loss) on financial instruments</w:t>
            </w:r>
          </w:p>
        </w:tc>
        <w:tc>
          <w:tcPr>
            <w:tcW w:w="581" w:type="pct"/>
          </w:tcPr>
          <w:p w14:paraId="50909A01"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Pr>
          <w:p w14:paraId="5670E6D0" w14:textId="49EC6B2A"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0.0</w:t>
            </w:r>
          </w:p>
        </w:tc>
        <w:tc>
          <w:tcPr>
            <w:tcW w:w="581" w:type="pct"/>
          </w:tcPr>
          <w:p w14:paraId="44539A38" w14:textId="090DE295"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0.2</w:t>
            </w:r>
          </w:p>
        </w:tc>
        <w:tc>
          <w:tcPr>
            <w:tcW w:w="580" w:type="pct"/>
          </w:tcPr>
          <w:p w14:paraId="56503C52" w14:textId="1D4FB936"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(0.2)</w:t>
            </w:r>
          </w:p>
        </w:tc>
      </w:tr>
      <w:tr w:rsidR="00387D16" w:rsidRPr="003A561C" w14:paraId="5266B035" w14:textId="77777777" w:rsidTr="0019520B">
        <w:tc>
          <w:tcPr>
            <w:cnfStyle w:val="001000000000" w:firstRow="0" w:lastRow="0" w:firstColumn="1" w:lastColumn="0" w:oddVBand="0" w:evenVBand="0" w:oddHBand="0" w:evenHBand="0" w:firstRowFirstColumn="0" w:firstRowLastColumn="0" w:lastRowFirstColumn="0" w:lastRowLastColumn="0"/>
            <w:tcW w:w="2678" w:type="pct"/>
          </w:tcPr>
          <w:p w14:paraId="74FD1710" w14:textId="77777777" w:rsidR="00387D16" w:rsidRPr="003A561C" w:rsidRDefault="00387D16" w:rsidP="0019520B">
            <w:pPr>
              <w:pStyle w:val="TableText"/>
            </w:pPr>
            <w:r w:rsidRPr="003A561C">
              <w:t>Other gains/(losses) from other economic flows</w:t>
            </w:r>
          </w:p>
        </w:tc>
        <w:tc>
          <w:tcPr>
            <w:tcW w:w="581" w:type="pct"/>
          </w:tcPr>
          <w:p w14:paraId="2C6AA55E" w14:textId="54FC38E1"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Pr>
          <w:p w14:paraId="1256D800" w14:textId="1AD51388"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0.0</w:t>
            </w:r>
          </w:p>
        </w:tc>
        <w:tc>
          <w:tcPr>
            <w:tcW w:w="581" w:type="pct"/>
          </w:tcPr>
          <w:p w14:paraId="28A92B1A" w14:textId="4F5C28AD"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(1.9)</w:t>
            </w:r>
          </w:p>
        </w:tc>
        <w:tc>
          <w:tcPr>
            <w:tcW w:w="580" w:type="pct"/>
          </w:tcPr>
          <w:p w14:paraId="7CE759A3" w14:textId="6399BA83"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1.9</w:t>
            </w:r>
          </w:p>
        </w:tc>
      </w:tr>
      <w:tr w:rsidR="00387D16" w:rsidRPr="003A561C" w14:paraId="26B78F3D"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bottom w:val="single" w:sz="4" w:space="0" w:color="auto"/>
            </w:tcBorders>
          </w:tcPr>
          <w:p w14:paraId="4882D3F8" w14:textId="77777777" w:rsidR="00387D16" w:rsidRPr="006F38E1" w:rsidRDefault="00387D16" w:rsidP="0019520B">
            <w:pPr>
              <w:pStyle w:val="TableText"/>
              <w:rPr>
                <w:rStyle w:val="Bold"/>
              </w:rPr>
            </w:pPr>
            <w:r w:rsidRPr="006F38E1">
              <w:rPr>
                <w:rStyle w:val="Bold"/>
              </w:rPr>
              <w:t>Total other economic flows included in net result</w:t>
            </w:r>
          </w:p>
        </w:tc>
        <w:tc>
          <w:tcPr>
            <w:tcW w:w="581" w:type="pct"/>
            <w:tcBorders>
              <w:bottom w:val="single" w:sz="4" w:space="0" w:color="auto"/>
            </w:tcBorders>
          </w:tcPr>
          <w:p w14:paraId="5E0AAE74"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bottom w:val="single" w:sz="4" w:space="0" w:color="auto"/>
            </w:tcBorders>
          </w:tcPr>
          <w:p w14:paraId="5AD37E6B" w14:textId="10CB2EC5"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0.0</w:t>
            </w:r>
          </w:p>
        </w:tc>
        <w:tc>
          <w:tcPr>
            <w:tcW w:w="581" w:type="pct"/>
            <w:tcBorders>
              <w:bottom w:val="single" w:sz="4" w:space="0" w:color="auto"/>
            </w:tcBorders>
          </w:tcPr>
          <w:p w14:paraId="7EA5A662" w14:textId="12C055C1"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(1.4)</w:t>
            </w:r>
          </w:p>
        </w:tc>
        <w:tc>
          <w:tcPr>
            <w:tcW w:w="580" w:type="pct"/>
            <w:tcBorders>
              <w:bottom w:val="single" w:sz="4" w:space="0" w:color="auto"/>
            </w:tcBorders>
          </w:tcPr>
          <w:p w14:paraId="33ED03CD" w14:textId="13C6D9B9"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1.4</w:t>
            </w:r>
          </w:p>
        </w:tc>
      </w:tr>
      <w:tr w:rsidR="00387D16" w:rsidRPr="003A561C" w14:paraId="16FAAB96"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bottom w:val="single" w:sz="4" w:space="0" w:color="auto"/>
            </w:tcBorders>
            <w:shd w:val="clear" w:color="auto" w:fill="auto"/>
          </w:tcPr>
          <w:p w14:paraId="6AFEE0BD" w14:textId="77777777" w:rsidR="00387D16" w:rsidRPr="006F38E1" w:rsidRDefault="00387D16" w:rsidP="0019520B">
            <w:pPr>
              <w:pStyle w:val="TableText"/>
              <w:rPr>
                <w:rStyle w:val="Bold"/>
              </w:rPr>
            </w:pPr>
            <w:r w:rsidRPr="006F38E1">
              <w:rPr>
                <w:rStyle w:val="Bold"/>
              </w:rPr>
              <w:t>Net result</w:t>
            </w:r>
          </w:p>
        </w:tc>
        <w:tc>
          <w:tcPr>
            <w:tcW w:w="581" w:type="pct"/>
            <w:tcBorders>
              <w:top w:val="single" w:sz="4" w:space="0" w:color="auto"/>
              <w:bottom w:val="single" w:sz="4" w:space="0" w:color="auto"/>
            </w:tcBorders>
            <w:shd w:val="clear" w:color="auto" w:fill="auto"/>
          </w:tcPr>
          <w:p w14:paraId="4F009ABC"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bottom w:val="single" w:sz="4" w:space="0" w:color="auto"/>
            </w:tcBorders>
            <w:shd w:val="clear" w:color="auto" w:fill="auto"/>
          </w:tcPr>
          <w:p w14:paraId="653D03AC" w14:textId="48D0476D"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(0.4)</w:t>
            </w:r>
          </w:p>
        </w:tc>
        <w:tc>
          <w:tcPr>
            <w:tcW w:w="581" w:type="pct"/>
            <w:tcBorders>
              <w:top w:val="single" w:sz="4" w:space="0" w:color="auto"/>
              <w:bottom w:val="single" w:sz="4" w:space="0" w:color="auto"/>
            </w:tcBorders>
            <w:shd w:val="clear" w:color="auto" w:fill="auto"/>
          </w:tcPr>
          <w:p w14:paraId="70C2D478" w14:textId="632B49E8" w:rsidR="00387D16" w:rsidRPr="006F38E1" w:rsidRDefault="00F27AE0"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3.1</w:t>
            </w:r>
          </w:p>
        </w:tc>
        <w:tc>
          <w:tcPr>
            <w:tcW w:w="580" w:type="pct"/>
            <w:tcBorders>
              <w:top w:val="single" w:sz="4" w:space="0" w:color="auto"/>
              <w:bottom w:val="single" w:sz="4" w:space="0" w:color="auto"/>
            </w:tcBorders>
            <w:shd w:val="clear" w:color="auto" w:fill="auto"/>
          </w:tcPr>
          <w:p w14:paraId="7D5DEA83" w14:textId="1ECFDBEB" w:rsidR="00387D16" w:rsidRPr="006F38E1" w:rsidRDefault="00F27AE0"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(3.6)</w:t>
            </w:r>
          </w:p>
        </w:tc>
      </w:tr>
      <w:tr w:rsidR="00387D16" w:rsidRPr="003A561C" w14:paraId="34AD4A0A"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tcBorders>
          </w:tcPr>
          <w:p w14:paraId="2995670B" w14:textId="77777777" w:rsidR="00387D16" w:rsidRPr="003A561C" w:rsidRDefault="00387D16" w:rsidP="00F27AE0">
            <w:pPr>
              <w:pStyle w:val="TableText"/>
              <w:spacing w:before="120"/>
              <w:rPr>
                <w:rStyle w:val="Bold"/>
              </w:rPr>
            </w:pPr>
            <w:r w:rsidRPr="003A561C">
              <w:rPr>
                <w:rStyle w:val="Bold"/>
              </w:rPr>
              <w:t>Other economic flows–other comprehensive income</w:t>
            </w:r>
          </w:p>
        </w:tc>
        <w:tc>
          <w:tcPr>
            <w:tcW w:w="581" w:type="pct"/>
            <w:tcBorders>
              <w:top w:val="single" w:sz="4" w:space="0" w:color="auto"/>
            </w:tcBorders>
          </w:tcPr>
          <w:p w14:paraId="639EEAC2" w14:textId="77777777" w:rsidR="00387D16" w:rsidRPr="003A561C" w:rsidRDefault="00387D16" w:rsidP="00F27AE0">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tcBorders>
          </w:tcPr>
          <w:p w14:paraId="62A1058B" w14:textId="77777777" w:rsidR="00387D16" w:rsidRPr="003A561C" w:rsidRDefault="00387D16" w:rsidP="00F27AE0">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1" w:type="pct"/>
            <w:tcBorders>
              <w:top w:val="single" w:sz="4" w:space="0" w:color="auto"/>
            </w:tcBorders>
          </w:tcPr>
          <w:p w14:paraId="565E8301" w14:textId="77777777" w:rsidR="00387D16" w:rsidRPr="003A561C" w:rsidRDefault="00387D16" w:rsidP="00F27AE0">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top w:val="single" w:sz="4" w:space="0" w:color="auto"/>
            </w:tcBorders>
          </w:tcPr>
          <w:p w14:paraId="02D4B195" w14:textId="77777777" w:rsidR="00387D16" w:rsidRPr="003A561C" w:rsidRDefault="00387D16" w:rsidP="00F27AE0">
            <w:pPr>
              <w:pStyle w:val="TableText"/>
              <w:spacing w:before="120"/>
              <w:cnfStyle w:val="000000000000" w:firstRow="0" w:lastRow="0" w:firstColumn="0" w:lastColumn="0" w:oddVBand="0" w:evenVBand="0" w:oddHBand="0" w:evenHBand="0" w:firstRowFirstColumn="0" w:firstRowLastColumn="0" w:lastRowFirstColumn="0" w:lastRowLastColumn="0"/>
            </w:pPr>
            <w:r w:rsidRPr="003A561C">
              <w:t>N/A</w:t>
            </w:r>
          </w:p>
        </w:tc>
      </w:tr>
      <w:tr w:rsidR="00387D16" w:rsidRPr="003A561C" w14:paraId="49CBBBD4"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bottom w:val="nil"/>
            </w:tcBorders>
          </w:tcPr>
          <w:p w14:paraId="76FE4237" w14:textId="77777777" w:rsidR="00387D16" w:rsidRPr="003A561C" w:rsidRDefault="00387D16" w:rsidP="0019520B">
            <w:pPr>
              <w:pStyle w:val="TableText"/>
              <w:rPr>
                <w:rStyle w:val="Bold"/>
              </w:rPr>
            </w:pPr>
            <w:r w:rsidRPr="003A561C">
              <w:rPr>
                <w:rStyle w:val="Bold"/>
              </w:rPr>
              <w:t>Items that will not be reclassified to net result</w:t>
            </w:r>
          </w:p>
        </w:tc>
        <w:tc>
          <w:tcPr>
            <w:tcW w:w="581" w:type="pct"/>
            <w:tcBorders>
              <w:bottom w:val="nil"/>
            </w:tcBorders>
          </w:tcPr>
          <w:p w14:paraId="133F2DFF"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bottom w:val="nil"/>
            </w:tcBorders>
          </w:tcPr>
          <w:p w14:paraId="79D44668"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1" w:type="pct"/>
            <w:tcBorders>
              <w:bottom w:val="nil"/>
            </w:tcBorders>
          </w:tcPr>
          <w:p w14:paraId="5F9DFB84"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c>
          <w:tcPr>
            <w:tcW w:w="580" w:type="pct"/>
            <w:tcBorders>
              <w:bottom w:val="nil"/>
            </w:tcBorders>
          </w:tcPr>
          <w:p w14:paraId="4AC6DAFB" w14:textId="77777777" w:rsidR="00387D16" w:rsidRPr="003A561C"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3A561C">
              <w:t>N/A</w:t>
            </w:r>
          </w:p>
        </w:tc>
      </w:tr>
      <w:tr w:rsidR="00387D16" w:rsidRPr="003A36C2" w14:paraId="0DC83A7F"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nil"/>
              <w:bottom w:val="single" w:sz="4" w:space="0" w:color="auto"/>
            </w:tcBorders>
          </w:tcPr>
          <w:p w14:paraId="27F19C64" w14:textId="77777777" w:rsidR="00387D16" w:rsidRPr="003A561C" w:rsidRDefault="00387D16" w:rsidP="0019520B">
            <w:pPr>
              <w:pStyle w:val="TableText"/>
            </w:pPr>
            <w:r w:rsidRPr="003A561C">
              <w:t>Changes in physical asset revaluation reserve</w:t>
            </w:r>
          </w:p>
        </w:tc>
        <w:tc>
          <w:tcPr>
            <w:tcW w:w="581" w:type="pct"/>
            <w:tcBorders>
              <w:top w:val="nil"/>
              <w:bottom w:val="single" w:sz="4" w:space="0" w:color="auto"/>
            </w:tcBorders>
          </w:tcPr>
          <w:p w14:paraId="7B098323" w14:textId="648F5492" w:rsidR="00387D16" w:rsidRPr="003A561C"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1note4" w:history="1">
              <w:r w:rsidR="003A561C" w:rsidRPr="003A561C">
                <w:t>4</w:t>
              </w:r>
            </w:hyperlink>
          </w:p>
        </w:tc>
        <w:tc>
          <w:tcPr>
            <w:tcW w:w="580" w:type="pct"/>
            <w:tcBorders>
              <w:top w:val="nil"/>
              <w:bottom w:val="single" w:sz="4" w:space="0" w:color="auto"/>
            </w:tcBorders>
          </w:tcPr>
          <w:p w14:paraId="36F8DB9D" w14:textId="741EE5D6"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0.0</w:t>
            </w:r>
          </w:p>
        </w:tc>
        <w:tc>
          <w:tcPr>
            <w:tcW w:w="581" w:type="pct"/>
            <w:tcBorders>
              <w:top w:val="nil"/>
              <w:bottom w:val="single" w:sz="4" w:space="0" w:color="auto"/>
            </w:tcBorders>
          </w:tcPr>
          <w:p w14:paraId="040DE04B" w14:textId="2F8AB37F" w:rsidR="00387D16" w:rsidRPr="003A561C"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44.3</w:t>
            </w:r>
          </w:p>
        </w:tc>
        <w:tc>
          <w:tcPr>
            <w:tcW w:w="580" w:type="pct"/>
            <w:tcBorders>
              <w:top w:val="nil"/>
              <w:bottom w:val="single" w:sz="4" w:space="0" w:color="auto"/>
            </w:tcBorders>
          </w:tcPr>
          <w:p w14:paraId="236250F3" w14:textId="4C02EA68" w:rsidR="00387D16" w:rsidRPr="003A36C2" w:rsidRDefault="007A31BE" w:rsidP="0019520B">
            <w:pPr>
              <w:pStyle w:val="TableText"/>
              <w:cnfStyle w:val="000000000000" w:firstRow="0" w:lastRow="0" w:firstColumn="0" w:lastColumn="0" w:oddVBand="0" w:evenVBand="0" w:oddHBand="0" w:evenHBand="0" w:firstRowFirstColumn="0" w:firstRowLastColumn="0" w:lastRowFirstColumn="0" w:lastRowLastColumn="0"/>
            </w:pPr>
            <w:r w:rsidRPr="003A561C">
              <w:t>(44.3)</w:t>
            </w:r>
          </w:p>
        </w:tc>
      </w:tr>
      <w:tr w:rsidR="00387D16" w:rsidRPr="006716C9" w14:paraId="769BCA39" w14:textId="77777777" w:rsidTr="0019520B">
        <w:tc>
          <w:tcPr>
            <w:cnfStyle w:val="001000000000" w:firstRow="0" w:lastRow="0" w:firstColumn="1" w:lastColumn="0" w:oddVBand="0" w:evenVBand="0" w:oddHBand="0" w:evenHBand="0" w:firstRowFirstColumn="0" w:firstRowLastColumn="0" w:lastRowFirstColumn="0" w:lastRowLastColumn="0"/>
            <w:tcW w:w="2678" w:type="pct"/>
            <w:tcBorders>
              <w:top w:val="single" w:sz="4" w:space="0" w:color="auto"/>
            </w:tcBorders>
          </w:tcPr>
          <w:p w14:paraId="5578C0CC" w14:textId="77777777" w:rsidR="00387D16" w:rsidRPr="006F38E1" w:rsidRDefault="00387D16" w:rsidP="0019520B">
            <w:pPr>
              <w:pStyle w:val="TableText"/>
              <w:rPr>
                <w:rStyle w:val="Bold"/>
              </w:rPr>
            </w:pPr>
            <w:r w:rsidRPr="006F38E1">
              <w:rPr>
                <w:rStyle w:val="Bold"/>
              </w:rPr>
              <w:t>Total other economic flows–other comprehensive income</w:t>
            </w:r>
          </w:p>
        </w:tc>
        <w:tc>
          <w:tcPr>
            <w:tcW w:w="581" w:type="pct"/>
            <w:tcBorders>
              <w:top w:val="single" w:sz="4" w:space="0" w:color="auto"/>
            </w:tcBorders>
          </w:tcPr>
          <w:p w14:paraId="148947D3" w14:textId="77777777" w:rsidR="00387D16" w:rsidRPr="006716C9"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6716C9">
              <w:t>N/A</w:t>
            </w:r>
          </w:p>
        </w:tc>
        <w:tc>
          <w:tcPr>
            <w:tcW w:w="580" w:type="pct"/>
            <w:tcBorders>
              <w:top w:val="single" w:sz="4" w:space="0" w:color="auto"/>
            </w:tcBorders>
          </w:tcPr>
          <w:p w14:paraId="71952AD6" w14:textId="5697B8AE"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0.0</w:t>
            </w:r>
          </w:p>
        </w:tc>
        <w:tc>
          <w:tcPr>
            <w:tcW w:w="581" w:type="pct"/>
            <w:tcBorders>
              <w:top w:val="single" w:sz="4" w:space="0" w:color="auto"/>
            </w:tcBorders>
          </w:tcPr>
          <w:p w14:paraId="029954FF" w14:textId="05F7D47C"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44.3</w:t>
            </w:r>
          </w:p>
        </w:tc>
        <w:tc>
          <w:tcPr>
            <w:tcW w:w="580" w:type="pct"/>
            <w:tcBorders>
              <w:top w:val="single" w:sz="4" w:space="0" w:color="auto"/>
            </w:tcBorders>
          </w:tcPr>
          <w:p w14:paraId="4F5E7ADA" w14:textId="3678E000" w:rsidR="00387D16" w:rsidRPr="006F38E1" w:rsidRDefault="007A31BE"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6F38E1">
              <w:rPr>
                <w:rStyle w:val="Bold"/>
              </w:rPr>
              <w:t>(44.3)</w:t>
            </w:r>
          </w:p>
        </w:tc>
      </w:tr>
      <w:tr w:rsidR="00387D16" w:rsidRPr="0070727E" w14:paraId="4903BC82" w14:textId="77777777" w:rsidTr="001952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pct"/>
          </w:tcPr>
          <w:p w14:paraId="51A9D30F" w14:textId="77777777" w:rsidR="00387D16" w:rsidRPr="006F38E1" w:rsidRDefault="00387D16" w:rsidP="0019520B">
            <w:pPr>
              <w:pStyle w:val="TableText"/>
              <w:rPr>
                <w:rStyle w:val="Bold"/>
              </w:rPr>
            </w:pPr>
            <w:r w:rsidRPr="006F38E1">
              <w:rPr>
                <w:rStyle w:val="Bold"/>
              </w:rPr>
              <w:t>Comprehensive result</w:t>
            </w:r>
          </w:p>
        </w:tc>
        <w:tc>
          <w:tcPr>
            <w:tcW w:w="581" w:type="pct"/>
          </w:tcPr>
          <w:p w14:paraId="7B12C515" w14:textId="7BCAE5F4" w:rsidR="00387D16" w:rsidRPr="0070727E" w:rsidRDefault="007A31BE" w:rsidP="0019520B">
            <w:pPr>
              <w:pStyle w:val="TableText"/>
              <w:cnfStyle w:val="010000000000" w:firstRow="0" w:lastRow="1" w:firstColumn="0" w:lastColumn="0" w:oddVBand="0" w:evenVBand="0" w:oddHBand="0" w:evenHBand="0" w:firstRowFirstColumn="0" w:firstRowLastColumn="0" w:lastRowFirstColumn="0" w:lastRowLastColumn="0"/>
            </w:pPr>
            <w:r>
              <w:t>N/A</w:t>
            </w:r>
          </w:p>
        </w:tc>
        <w:tc>
          <w:tcPr>
            <w:tcW w:w="580" w:type="pct"/>
          </w:tcPr>
          <w:p w14:paraId="1A1FA048" w14:textId="7234A75D" w:rsidR="00387D16" w:rsidRPr="006F38E1" w:rsidRDefault="007A31BE"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6F38E1">
              <w:rPr>
                <w:rStyle w:val="Bold"/>
              </w:rPr>
              <w:t>(0.4)</w:t>
            </w:r>
          </w:p>
        </w:tc>
        <w:tc>
          <w:tcPr>
            <w:tcW w:w="581" w:type="pct"/>
          </w:tcPr>
          <w:p w14:paraId="4A54A221" w14:textId="2BAD3B12" w:rsidR="00387D16" w:rsidRPr="006F38E1" w:rsidRDefault="007A31BE"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6F38E1">
              <w:rPr>
                <w:rStyle w:val="Bold"/>
              </w:rPr>
              <w:t>47.5</w:t>
            </w:r>
          </w:p>
        </w:tc>
        <w:tc>
          <w:tcPr>
            <w:tcW w:w="580" w:type="pct"/>
          </w:tcPr>
          <w:p w14:paraId="2BDC99C4" w14:textId="2F0F78FF" w:rsidR="00387D16" w:rsidRPr="006F38E1" w:rsidRDefault="007A31BE"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6F38E1">
              <w:rPr>
                <w:rStyle w:val="Bold"/>
              </w:rPr>
              <w:t>(47.9)</w:t>
            </w:r>
          </w:p>
        </w:tc>
      </w:tr>
    </w:tbl>
    <w:p w14:paraId="2F63ABEE" w14:textId="77777777" w:rsidR="00387D16" w:rsidRPr="004F4F99" w:rsidRDefault="00387D16" w:rsidP="007A31BE">
      <w:pPr>
        <w:pStyle w:val="NotesText"/>
      </w:pPr>
      <w:r w:rsidRPr="007A31BE">
        <w:t>Notes</w:t>
      </w:r>
      <w:r w:rsidRPr="004F4F99">
        <w:t>:</w:t>
      </w:r>
    </w:p>
    <w:p w14:paraId="1E77FD4B" w14:textId="49361221" w:rsidR="007A31BE" w:rsidRDefault="007A31BE" w:rsidP="00F110E7">
      <w:pPr>
        <w:pStyle w:val="NotesNumberedList"/>
        <w:numPr>
          <w:ilvl w:val="0"/>
          <w:numId w:val="27"/>
        </w:numPr>
      </w:pPr>
      <w:bookmarkStart w:id="526" w:name="NoteBR1note1"/>
      <w:bookmarkStart w:id="527" w:name="Note111tablenote1"/>
      <w:bookmarkEnd w:id="526"/>
      <w:r>
        <w:t>The Special appropriations budget represents the annual warrant provided to cover judicial entitlements and non-judicial members in order to support the delivery of government initiatives. The variance represents undrawn revenue due to lower than planned expenditure.</w:t>
      </w:r>
    </w:p>
    <w:p w14:paraId="74A72612" w14:textId="4FD72586" w:rsidR="007A31BE" w:rsidRDefault="007A31BE" w:rsidP="00F110E7">
      <w:pPr>
        <w:pStyle w:val="NotesNumberedList"/>
        <w:numPr>
          <w:ilvl w:val="0"/>
          <w:numId w:val="27"/>
        </w:numPr>
      </w:pPr>
      <w:bookmarkStart w:id="528" w:name="NoteBR1note2"/>
      <w:bookmarkEnd w:id="528"/>
      <w:r>
        <w:t xml:space="preserve">The employee expenses variance represents lower than planned expenditure for judicial remuneration funded from special appropriations and employee remuneration funded from </w:t>
      </w:r>
      <w:proofErr w:type="spellStart"/>
      <w:r>
        <w:t>ouput</w:t>
      </w:r>
      <w:proofErr w:type="spellEnd"/>
      <w:r>
        <w:t xml:space="preserve"> appropriations.</w:t>
      </w:r>
    </w:p>
    <w:p w14:paraId="72597A19" w14:textId="47CA84B3" w:rsidR="007A31BE" w:rsidRDefault="007A31BE" w:rsidP="00F110E7">
      <w:pPr>
        <w:pStyle w:val="NotesNumberedList"/>
        <w:numPr>
          <w:ilvl w:val="0"/>
          <w:numId w:val="27"/>
        </w:numPr>
      </w:pPr>
      <w:bookmarkStart w:id="529" w:name="NoteBR1note3"/>
      <w:bookmarkEnd w:id="529"/>
      <w:r>
        <w:t xml:space="preserve">The supplies and services variance represents increased expenditure predominately due to </w:t>
      </w:r>
      <w:r w:rsidR="009B1462">
        <w:t>Court Services Victoria</w:t>
      </w:r>
      <w:r>
        <w:t>’s COVID19 business continuity response and other expenditure.</w:t>
      </w:r>
    </w:p>
    <w:p w14:paraId="0580F87B" w14:textId="0545DE71" w:rsidR="007A31BE" w:rsidRDefault="007A31BE" w:rsidP="00F110E7">
      <w:pPr>
        <w:pStyle w:val="NotesNumberedList"/>
        <w:numPr>
          <w:ilvl w:val="0"/>
          <w:numId w:val="27"/>
        </w:numPr>
      </w:pPr>
      <w:bookmarkStart w:id="530" w:name="NoteBR1note4"/>
      <w:bookmarkEnd w:id="530"/>
      <w:r>
        <w:t>Revaluation of land in accordance with financial reporting directions.</w:t>
      </w:r>
    </w:p>
    <w:p w14:paraId="413194A7" w14:textId="2214527D" w:rsidR="00387D16" w:rsidRDefault="0055471E" w:rsidP="000A6F46">
      <w:pPr>
        <w:pStyle w:val="Heading3"/>
      </w:pPr>
      <w:bookmarkStart w:id="531" w:name="BR2"/>
      <w:bookmarkStart w:id="532" w:name="Note112"/>
      <w:bookmarkStart w:id="533" w:name="_Ref22653835"/>
      <w:bookmarkStart w:id="534" w:name="_Toc62808194"/>
      <w:bookmarkEnd w:id="527"/>
      <w:r w:rsidRPr="00C76CF8">
        <w:t>BR2</w:t>
      </w:r>
      <w:bookmarkEnd w:id="531"/>
      <w:r w:rsidR="00387D16" w:rsidRPr="00C76CF8">
        <w:t xml:space="preserve"> </w:t>
      </w:r>
      <w:bookmarkEnd w:id="532"/>
      <w:r w:rsidR="00387D16" w:rsidRPr="00C76CF8">
        <w:t xml:space="preserve">Balance Sheet as </w:t>
      </w:r>
      <w:proofErr w:type="gramStart"/>
      <w:r w:rsidR="00387D16" w:rsidRPr="00C76CF8">
        <w:t>at</w:t>
      </w:r>
      <w:proofErr w:type="gramEnd"/>
      <w:r w:rsidR="00387D16" w:rsidRPr="00C76CF8">
        <w:t xml:space="preserve"> 30 June 20</w:t>
      </w:r>
      <w:bookmarkEnd w:id="533"/>
      <w:r w:rsidRPr="00C76CF8">
        <w:t>20</w:t>
      </w:r>
      <w:bookmarkEnd w:id="534"/>
    </w:p>
    <w:tbl>
      <w:tblPr>
        <w:tblStyle w:val="AccessibleTableNumerical"/>
        <w:tblW w:w="5000" w:type="pct"/>
        <w:tblLook w:val="04E0" w:firstRow="1" w:lastRow="1" w:firstColumn="1" w:lastColumn="0" w:noHBand="0" w:noVBand="1"/>
      </w:tblPr>
      <w:tblGrid>
        <w:gridCol w:w="5218"/>
        <w:gridCol w:w="1104"/>
        <w:gridCol w:w="1105"/>
        <w:gridCol w:w="1105"/>
        <w:gridCol w:w="1107"/>
      </w:tblGrid>
      <w:tr w:rsidR="00387D16" w:rsidRPr="003A36C2" w14:paraId="13B0FCF7" w14:textId="77777777" w:rsidTr="00195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6" w:type="pct"/>
          </w:tcPr>
          <w:p w14:paraId="262090CE" w14:textId="77777777" w:rsidR="00387D16" w:rsidRPr="003A36C2" w:rsidRDefault="00387D16" w:rsidP="000A6F46">
            <w:pPr>
              <w:pStyle w:val="TableText"/>
              <w:keepNext/>
            </w:pPr>
            <w:bookmarkStart w:id="535" w:name="ColumnTitle_101"/>
            <w:r>
              <w:t>Item</w:t>
            </w:r>
          </w:p>
        </w:tc>
        <w:tc>
          <w:tcPr>
            <w:tcW w:w="573" w:type="pct"/>
            <w:vAlign w:val="bottom"/>
          </w:tcPr>
          <w:p w14:paraId="4A5FE2E9" w14:textId="77777777"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proofErr w:type="gramStart"/>
            <w:r w:rsidRPr="003A36C2">
              <w:t>Variance</w:t>
            </w:r>
            <w:proofErr w:type="gramEnd"/>
            <w:r w:rsidRPr="003A36C2">
              <w:t xml:space="preserve"> note</w:t>
            </w:r>
          </w:p>
        </w:tc>
        <w:tc>
          <w:tcPr>
            <w:tcW w:w="573" w:type="pct"/>
            <w:vAlign w:val="bottom"/>
          </w:tcPr>
          <w:p w14:paraId="5B90E7B3" w14:textId="5A6D39E7"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Original budget</w:t>
            </w:r>
            <w:r w:rsidRPr="003A36C2">
              <w:br/>
              <w:t>20</w:t>
            </w:r>
            <w:r w:rsidR="007A31BE">
              <w:t>20</w:t>
            </w:r>
            <w:r w:rsidRPr="003A36C2">
              <w:br/>
              <w:t>$’</w:t>
            </w:r>
            <w:r w:rsidR="007A31BE">
              <w:t>000</w:t>
            </w:r>
          </w:p>
        </w:tc>
        <w:tc>
          <w:tcPr>
            <w:tcW w:w="573" w:type="pct"/>
            <w:vAlign w:val="bottom"/>
          </w:tcPr>
          <w:p w14:paraId="61159CCF" w14:textId="03CA6F3B"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Actual</w:t>
            </w:r>
            <w:r w:rsidRPr="003A36C2">
              <w:br/>
              <w:t>20</w:t>
            </w:r>
            <w:r w:rsidR="007A31BE">
              <w:t>20</w:t>
            </w:r>
            <w:r w:rsidRPr="003A36C2">
              <w:br/>
              <w:t>$’</w:t>
            </w:r>
            <w:r w:rsidR="007A31BE">
              <w:t>000</w:t>
            </w:r>
          </w:p>
        </w:tc>
        <w:tc>
          <w:tcPr>
            <w:tcW w:w="574" w:type="pct"/>
            <w:vAlign w:val="bottom"/>
          </w:tcPr>
          <w:p w14:paraId="152DA8CA" w14:textId="778E5B1C"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Variance</w:t>
            </w:r>
            <w:r w:rsidRPr="003A36C2">
              <w:br/>
              <w:t>$’</w:t>
            </w:r>
            <w:r w:rsidR="007A31BE">
              <w:t>000</w:t>
            </w:r>
          </w:p>
        </w:tc>
      </w:tr>
      <w:bookmarkEnd w:id="535"/>
      <w:tr w:rsidR="00387D16" w:rsidRPr="003A36C2" w14:paraId="2E564DFF"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07E55053" w14:textId="77777777" w:rsidR="00387D16" w:rsidRPr="003A36C2" w:rsidRDefault="00387D16" w:rsidP="000A6F46">
            <w:pPr>
              <w:pStyle w:val="TableText"/>
              <w:keepNext/>
            </w:pPr>
            <w:r w:rsidRPr="00A666F7">
              <w:rPr>
                <w:rStyle w:val="Bold"/>
              </w:rPr>
              <w:t>Financial assets</w:t>
            </w:r>
          </w:p>
        </w:tc>
        <w:tc>
          <w:tcPr>
            <w:tcW w:w="573" w:type="pct"/>
          </w:tcPr>
          <w:p w14:paraId="0347234C" w14:textId="77777777" w:rsidR="00387D16" w:rsidRPr="00A666F7"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Pr>
          <w:p w14:paraId="5B21D55A" w14:textId="77777777" w:rsidR="00387D16" w:rsidRPr="00A666F7"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Pr>
          <w:p w14:paraId="3C02C71F" w14:textId="77777777" w:rsidR="00387D16" w:rsidRPr="00A666F7"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rsidRPr="00A666F7">
              <w:t>N/A</w:t>
            </w:r>
          </w:p>
        </w:tc>
        <w:tc>
          <w:tcPr>
            <w:tcW w:w="574" w:type="pct"/>
          </w:tcPr>
          <w:p w14:paraId="519DD08B" w14:textId="77777777" w:rsidR="00387D16" w:rsidRPr="00A666F7"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rsidRPr="00A666F7">
              <w:t>N/A</w:t>
            </w:r>
          </w:p>
        </w:tc>
      </w:tr>
      <w:tr w:rsidR="00387D16" w:rsidRPr="003A36C2" w14:paraId="2B83DEED"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3FFAFFE3" w14:textId="77777777" w:rsidR="00387D16" w:rsidRPr="003A36C2" w:rsidRDefault="00387D16" w:rsidP="000A6F46">
            <w:pPr>
              <w:pStyle w:val="TableText"/>
              <w:keepNext/>
            </w:pPr>
            <w:r w:rsidRPr="003A36C2">
              <w:t>Cash and deposits</w:t>
            </w:r>
          </w:p>
        </w:tc>
        <w:tc>
          <w:tcPr>
            <w:tcW w:w="573" w:type="pct"/>
          </w:tcPr>
          <w:p w14:paraId="1B376F8C" w14:textId="6A881F6C"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73" w:type="pct"/>
          </w:tcPr>
          <w:p w14:paraId="38BF1DA9" w14:textId="48FC17A9" w:rsidR="00387D16" w:rsidRPr="003A36C2" w:rsidRDefault="007A31BE" w:rsidP="000A6F46">
            <w:pPr>
              <w:pStyle w:val="TableText"/>
              <w:keepNext/>
              <w:cnfStyle w:val="000000000000" w:firstRow="0" w:lastRow="0" w:firstColumn="0" w:lastColumn="0" w:oddVBand="0" w:evenVBand="0" w:oddHBand="0" w:evenHBand="0" w:firstRowFirstColumn="0" w:firstRowLastColumn="0" w:lastRowFirstColumn="0" w:lastRowLastColumn="0"/>
            </w:pPr>
            <w:r>
              <w:t>19.6</w:t>
            </w:r>
          </w:p>
        </w:tc>
        <w:tc>
          <w:tcPr>
            <w:tcW w:w="573" w:type="pct"/>
          </w:tcPr>
          <w:p w14:paraId="16E1A108" w14:textId="2C717E05"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19.9</w:t>
            </w:r>
          </w:p>
        </w:tc>
        <w:tc>
          <w:tcPr>
            <w:tcW w:w="574" w:type="pct"/>
          </w:tcPr>
          <w:p w14:paraId="68EB7211" w14:textId="1CE101A3"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0.2</w:t>
            </w:r>
          </w:p>
        </w:tc>
      </w:tr>
      <w:tr w:rsidR="00387D16" w:rsidRPr="003A36C2" w14:paraId="73EAF75F"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bottom w:val="single" w:sz="4" w:space="0" w:color="auto"/>
            </w:tcBorders>
          </w:tcPr>
          <w:p w14:paraId="7D0C0163" w14:textId="77777777" w:rsidR="00387D16" w:rsidRPr="003A36C2" w:rsidRDefault="00387D16" w:rsidP="000A6F46">
            <w:pPr>
              <w:pStyle w:val="TableText"/>
              <w:keepNext/>
            </w:pPr>
            <w:r w:rsidRPr="003A36C2">
              <w:t>Receivables</w:t>
            </w:r>
          </w:p>
        </w:tc>
        <w:tc>
          <w:tcPr>
            <w:tcW w:w="573" w:type="pct"/>
            <w:tcBorders>
              <w:bottom w:val="single" w:sz="4" w:space="0" w:color="auto"/>
            </w:tcBorders>
          </w:tcPr>
          <w:p w14:paraId="509E2441" w14:textId="349A8513"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573" w:type="pct"/>
            <w:tcBorders>
              <w:bottom w:val="single" w:sz="4" w:space="0" w:color="auto"/>
            </w:tcBorders>
          </w:tcPr>
          <w:p w14:paraId="5DE1C407" w14:textId="6CDB1DA4"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103.7</w:t>
            </w:r>
          </w:p>
        </w:tc>
        <w:tc>
          <w:tcPr>
            <w:tcW w:w="573" w:type="pct"/>
            <w:tcBorders>
              <w:bottom w:val="single" w:sz="4" w:space="0" w:color="auto"/>
            </w:tcBorders>
          </w:tcPr>
          <w:p w14:paraId="392A2865" w14:textId="325497FC"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134.7</w:t>
            </w:r>
          </w:p>
        </w:tc>
        <w:tc>
          <w:tcPr>
            <w:tcW w:w="574" w:type="pct"/>
            <w:tcBorders>
              <w:bottom w:val="single" w:sz="4" w:space="0" w:color="auto"/>
            </w:tcBorders>
          </w:tcPr>
          <w:p w14:paraId="215C7B17" w14:textId="2A14B5C3" w:rsidR="00387D16" w:rsidRPr="003A36C2"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pPr>
            <w:r>
              <w:t>31.0</w:t>
            </w:r>
          </w:p>
        </w:tc>
      </w:tr>
      <w:tr w:rsidR="00387D16" w:rsidRPr="00A666F7" w14:paraId="4456BF9F"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bottom w:val="single" w:sz="4" w:space="0" w:color="auto"/>
            </w:tcBorders>
            <w:shd w:val="clear" w:color="auto" w:fill="auto"/>
          </w:tcPr>
          <w:p w14:paraId="1820E56F" w14:textId="77777777" w:rsidR="00387D16" w:rsidRPr="00A666F7" w:rsidRDefault="00387D16" w:rsidP="000A6F46">
            <w:pPr>
              <w:pStyle w:val="TableText"/>
              <w:keepNext/>
              <w:rPr>
                <w:rStyle w:val="Bold"/>
              </w:rPr>
            </w:pPr>
            <w:r w:rsidRPr="00A666F7">
              <w:rPr>
                <w:rStyle w:val="Bold"/>
              </w:rPr>
              <w:t>Total financial assets</w:t>
            </w:r>
          </w:p>
        </w:tc>
        <w:tc>
          <w:tcPr>
            <w:tcW w:w="573" w:type="pct"/>
            <w:tcBorders>
              <w:top w:val="single" w:sz="4" w:space="0" w:color="auto"/>
              <w:bottom w:val="single" w:sz="4" w:space="0" w:color="auto"/>
            </w:tcBorders>
            <w:shd w:val="clear" w:color="auto" w:fill="auto"/>
          </w:tcPr>
          <w:p w14:paraId="410E98C8" w14:textId="77777777" w:rsidR="00387D16" w:rsidRPr="00A666F7"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bottom w:val="single" w:sz="4" w:space="0" w:color="auto"/>
            </w:tcBorders>
            <w:shd w:val="clear" w:color="auto" w:fill="auto"/>
          </w:tcPr>
          <w:p w14:paraId="6808191B" w14:textId="43394A1B" w:rsidR="00387D16" w:rsidRPr="00A666F7"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123.3</w:t>
            </w:r>
          </w:p>
        </w:tc>
        <w:tc>
          <w:tcPr>
            <w:tcW w:w="573" w:type="pct"/>
            <w:tcBorders>
              <w:top w:val="single" w:sz="4" w:space="0" w:color="auto"/>
              <w:bottom w:val="single" w:sz="4" w:space="0" w:color="auto"/>
            </w:tcBorders>
            <w:shd w:val="clear" w:color="auto" w:fill="auto"/>
          </w:tcPr>
          <w:p w14:paraId="19B80298" w14:textId="5B88D543" w:rsidR="00387D16" w:rsidRPr="00A666F7"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154.6</w:t>
            </w:r>
          </w:p>
        </w:tc>
        <w:tc>
          <w:tcPr>
            <w:tcW w:w="574" w:type="pct"/>
            <w:tcBorders>
              <w:top w:val="single" w:sz="4" w:space="0" w:color="auto"/>
              <w:bottom w:val="single" w:sz="4" w:space="0" w:color="auto"/>
            </w:tcBorders>
            <w:shd w:val="clear" w:color="auto" w:fill="auto"/>
          </w:tcPr>
          <w:p w14:paraId="43483645" w14:textId="45B82260" w:rsidR="00387D16" w:rsidRPr="00A666F7" w:rsidRDefault="003A561C" w:rsidP="000A6F46">
            <w:pPr>
              <w:pStyle w:val="TableText"/>
              <w:keepNext/>
              <w:cnfStyle w:val="000000000000" w:firstRow="0" w:lastRow="0" w:firstColumn="0" w:lastColumn="0" w:oddVBand="0" w:evenVBand="0" w:oddHBand="0" w:evenHBand="0" w:firstRowFirstColumn="0" w:firstRowLastColumn="0" w:lastRowFirstColumn="0" w:lastRowLastColumn="0"/>
              <w:rPr>
                <w:rStyle w:val="Bold"/>
              </w:rPr>
            </w:pPr>
            <w:r>
              <w:rPr>
                <w:rStyle w:val="Bold"/>
              </w:rPr>
              <w:t>31.3</w:t>
            </w:r>
          </w:p>
        </w:tc>
      </w:tr>
      <w:tr w:rsidR="00387D16" w:rsidRPr="003A36C2" w14:paraId="2A689D65"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tcBorders>
          </w:tcPr>
          <w:p w14:paraId="4F020656" w14:textId="77777777" w:rsidR="00387D16" w:rsidRPr="006716C9" w:rsidRDefault="00387D16" w:rsidP="00AE00C0">
            <w:pPr>
              <w:pStyle w:val="TableText"/>
              <w:spacing w:before="120"/>
              <w:rPr>
                <w:rStyle w:val="Bold"/>
              </w:rPr>
            </w:pPr>
            <w:r w:rsidRPr="006716C9">
              <w:rPr>
                <w:rStyle w:val="Bold"/>
              </w:rPr>
              <w:t>Non-financial assets</w:t>
            </w:r>
          </w:p>
        </w:tc>
        <w:tc>
          <w:tcPr>
            <w:tcW w:w="573" w:type="pct"/>
            <w:tcBorders>
              <w:top w:val="single" w:sz="4" w:space="0" w:color="auto"/>
            </w:tcBorders>
          </w:tcPr>
          <w:p w14:paraId="1BB9E756"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45EC9CC4"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2146F2D5"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4" w:type="pct"/>
            <w:tcBorders>
              <w:top w:val="single" w:sz="4" w:space="0" w:color="auto"/>
            </w:tcBorders>
          </w:tcPr>
          <w:p w14:paraId="39DE90DF"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r>
      <w:tr w:rsidR="00387D16" w:rsidRPr="003A36C2" w14:paraId="257A4325"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0A6AF221" w14:textId="77777777" w:rsidR="00387D16" w:rsidRPr="003A36C2" w:rsidRDefault="00387D16" w:rsidP="0019520B">
            <w:pPr>
              <w:pStyle w:val="TableText"/>
            </w:pPr>
            <w:r w:rsidRPr="003A36C2">
              <w:t>Non-financial physical assets classified as held for sale</w:t>
            </w:r>
          </w:p>
        </w:tc>
        <w:tc>
          <w:tcPr>
            <w:tcW w:w="573" w:type="pct"/>
          </w:tcPr>
          <w:p w14:paraId="43D78593"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Pr>
          <w:p w14:paraId="3E2C2AF9" w14:textId="1EBD6EE4"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0.2</w:t>
            </w:r>
          </w:p>
        </w:tc>
        <w:tc>
          <w:tcPr>
            <w:tcW w:w="573" w:type="pct"/>
          </w:tcPr>
          <w:p w14:paraId="3F7972BE" w14:textId="194C630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0.2</w:t>
            </w:r>
          </w:p>
        </w:tc>
        <w:tc>
          <w:tcPr>
            <w:tcW w:w="574" w:type="pct"/>
          </w:tcPr>
          <w:p w14:paraId="3133A629" w14:textId="4D5ADBC5"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36C2" w14:paraId="566932D5"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5E6EAA85" w14:textId="77777777" w:rsidR="00387D16" w:rsidRPr="003A36C2" w:rsidRDefault="00387D16" w:rsidP="0019520B">
            <w:pPr>
              <w:pStyle w:val="TableText"/>
            </w:pPr>
            <w:r w:rsidRPr="003A36C2">
              <w:t xml:space="preserve">Property, plant and equipment </w:t>
            </w:r>
          </w:p>
        </w:tc>
        <w:tc>
          <w:tcPr>
            <w:tcW w:w="573" w:type="pct"/>
          </w:tcPr>
          <w:p w14:paraId="5690A67A" w14:textId="3FC417E1" w:rsidR="00387D16" w:rsidRPr="003A36C2"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2note1" w:history="1">
              <w:r w:rsidR="00C76CF8" w:rsidRPr="00C76CF8">
                <w:t>1</w:t>
              </w:r>
            </w:hyperlink>
          </w:p>
        </w:tc>
        <w:tc>
          <w:tcPr>
            <w:tcW w:w="573" w:type="pct"/>
          </w:tcPr>
          <w:p w14:paraId="064F8152" w14:textId="068AB7BC"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1269.7</w:t>
            </w:r>
          </w:p>
        </w:tc>
        <w:tc>
          <w:tcPr>
            <w:tcW w:w="573" w:type="pct"/>
          </w:tcPr>
          <w:p w14:paraId="3320E8F4" w14:textId="00B5FF6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1134.2</w:t>
            </w:r>
          </w:p>
        </w:tc>
        <w:tc>
          <w:tcPr>
            <w:tcW w:w="574" w:type="pct"/>
          </w:tcPr>
          <w:p w14:paraId="10959B08" w14:textId="342275AD"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(135.5)</w:t>
            </w:r>
          </w:p>
        </w:tc>
      </w:tr>
      <w:tr w:rsidR="00387D16" w:rsidRPr="003A36C2" w14:paraId="6F2E2D58"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1CD006AC" w14:textId="77777777" w:rsidR="00387D16" w:rsidRPr="003A36C2" w:rsidRDefault="00387D16" w:rsidP="0019520B">
            <w:pPr>
              <w:pStyle w:val="TableText"/>
            </w:pPr>
            <w:r w:rsidRPr="003A36C2">
              <w:t>Intangible assets</w:t>
            </w:r>
          </w:p>
        </w:tc>
        <w:tc>
          <w:tcPr>
            <w:tcW w:w="573" w:type="pct"/>
          </w:tcPr>
          <w:p w14:paraId="739CC089"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Pr>
          <w:p w14:paraId="5F932F9E" w14:textId="1EAC63D6"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28.4</w:t>
            </w:r>
          </w:p>
        </w:tc>
        <w:tc>
          <w:tcPr>
            <w:tcW w:w="573" w:type="pct"/>
          </w:tcPr>
          <w:p w14:paraId="2C96B750" w14:textId="1F681739"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31.6</w:t>
            </w:r>
          </w:p>
        </w:tc>
        <w:tc>
          <w:tcPr>
            <w:tcW w:w="574" w:type="pct"/>
          </w:tcPr>
          <w:p w14:paraId="2D0335A8" w14:textId="04216411"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3.2</w:t>
            </w:r>
          </w:p>
        </w:tc>
      </w:tr>
      <w:tr w:rsidR="00387D16" w:rsidRPr="003A36C2" w14:paraId="79E68658"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bottom w:val="single" w:sz="4" w:space="0" w:color="auto"/>
            </w:tcBorders>
          </w:tcPr>
          <w:p w14:paraId="598E7577" w14:textId="77777777" w:rsidR="00387D16" w:rsidRPr="003A36C2" w:rsidRDefault="00387D16" w:rsidP="0019520B">
            <w:pPr>
              <w:pStyle w:val="TableText"/>
            </w:pPr>
            <w:r w:rsidRPr="003A36C2">
              <w:t>Prepayments</w:t>
            </w:r>
          </w:p>
        </w:tc>
        <w:tc>
          <w:tcPr>
            <w:tcW w:w="573" w:type="pct"/>
            <w:tcBorders>
              <w:bottom w:val="single" w:sz="4" w:space="0" w:color="auto"/>
            </w:tcBorders>
          </w:tcPr>
          <w:p w14:paraId="493D30AB"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bottom w:val="single" w:sz="4" w:space="0" w:color="auto"/>
            </w:tcBorders>
          </w:tcPr>
          <w:p w14:paraId="4B80F32D" w14:textId="3E1C0405"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5.9</w:t>
            </w:r>
          </w:p>
        </w:tc>
        <w:tc>
          <w:tcPr>
            <w:tcW w:w="573" w:type="pct"/>
            <w:tcBorders>
              <w:bottom w:val="single" w:sz="4" w:space="0" w:color="auto"/>
            </w:tcBorders>
          </w:tcPr>
          <w:p w14:paraId="2CFDE422" w14:textId="0AD84B63"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7.9</w:t>
            </w:r>
          </w:p>
        </w:tc>
        <w:tc>
          <w:tcPr>
            <w:tcW w:w="574" w:type="pct"/>
            <w:tcBorders>
              <w:bottom w:val="single" w:sz="4" w:space="0" w:color="auto"/>
            </w:tcBorders>
          </w:tcPr>
          <w:p w14:paraId="2325BD93" w14:textId="740629C0"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2.0</w:t>
            </w:r>
          </w:p>
        </w:tc>
      </w:tr>
      <w:tr w:rsidR="00387D16" w:rsidRPr="00A666F7" w14:paraId="2AE99A82"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bottom w:val="single" w:sz="4" w:space="0" w:color="auto"/>
            </w:tcBorders>
            <w:shd w:val="clear" w:color="auto" w:fill="auto"/>
          </w:tcPr>
          <w:p w14:paraId="1BBCC4EC" w14:textId="77777777" w:rsidR="00387D16" w:rsidRPr="00A666F7" w:rsidRDefault="00387D16" w:rsidP="0019520B">
            <w:pPr>
              <w:pStyle w:val="TableText"/>
              <w:rPr>
                <w:rStyle w:val="Bold"/>
              </w:rPr>
            </w:pPr>
            <w:r w:rsidRPr="00A666F7">
              <w:rPr>
                <w:rStyle w:val="Bold"/>
              </w:rPr>
              <w:t>Total non-financial assets</w:t>
            </w:r>
          </w:p>
        </w:tc>
        <w:tc>
          <w:tcPr>
            <w:tcW w:w="573" w:type="pct"/>
            <w:tcBorders>
              <w:top w:val="single" w:sz="4" w:space="0" w:color="auto"/>
              <w:bottom w:val="single" w:sz="4" w:space="0" w:color="auto"/>
            </w:tcBorders>
            <w:shd w:val="clear" w:color="auto" w:fill="auto"/>
          </w:tcPr>
          <w:p w14:paraId="33DB5B64"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bottom w:val="single" w:sz="4" w:space="0" w:color="auto"/>
            </w:tcBorders>
            <w:shd w:val="clear" w:color="auto" w:fill="auto"/>
          </w:tcPr>
          <w:p w14:paraId="014DD403" w14:textId="7904130A"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1304.2</w:t>
            </w:r>
          </w:p>
        </w:tc>
        <w:tc>
          <w:tcPr>
            <w:tcW w:w="573" w:type="pct"/>
            <w:tcBorders>
              <w:top w:val="single" w:sz="4" w:space="0" w:color="auto"/>
              <w:bottom w:val="single" w:sz="4" w:space="0" w:color="auto"/>
            </w:tcBorders>
            <w:shd w:val="clear" w:color="auto" w:fill="auto"/>
          </w:tcPr>
          <w:p w14:paraId="21CB31E9" w14:textId="1F4A311C"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1173.9</w:t>
            </w:r>
          </w:p>
        </w:tc>
        <w:tc>
          <w:tcPr>
            <w:tcW w:w="574" w:type="pct"/>
            <w:tcBorders>
              <w:top w:val="single" w:sz="4" w:space="0" w:color="auto"/>
              <w:bottom w:val="single" w:sz="4" w:space="0" w:color="auto"/>
            </w:tcBorders>
            <w:shd w:val="clear" w:color="auto" w:fill="auto"/>
          </w:tcPr>
          <w:p w14:paraId="0B4681AE" w14:textId="3AEEC17E"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(130.3)</w:t>
            </w:r>
          </w:p>
        </w:tc>
      </w:tr>
      <w:tr w:rsidR="00387D16" w:rsidRPr="00A666F7" w14:paraId="584B399D"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bottom w:val="single" w:sz="4" w:space="0" w:color="auto"/>
            </w:tcBorders>
            <w:shd w:val="clear" w:color="auto" w:fill="auto"/>
          </w:tcPr>
          <w:p w14:paraId="5ED94873" w14:textId="77777777" w:rsidR="00387D16" w:rsidRPr="00A666F7" w:rsidRDefault="00387D16" w:rsidP="0019520B">
            <w:pPr>
              <w:pStyle w:val="TableText"/>
              <w:rPr>
                <w:rStyle w:val="Bold"/>
              </w:rPr>
            </w:pPr>
            <w:r w:rsidRPr="00A666F7">
              <w:rPr>
                <w:rStyle w:val="Bold"/>
              </w:rPr>
              <w:t>Total assets</w:t>
            </w:r>
          </w:p>
        </w:tc>
        <w:tc>
          <w:tcPr>
            <w:tcW w:w="573" w:type="pct"/>
            <w:tcBorders>
              <w:top w:val="single" w:sz="4" w:space="0" w:color="auto"/>
              <w:bottom w:val="single" w:sz="4" w:space="0" w:color="auto"/>
            </w:tcBorders>
            <w:shd w:val="clear" w:color="auto" w:fill="auto"/>
          </w:tcPr>
          <w:p w14:paraId="50BD5674"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bottom w:val="single" w:sz="4" w:space="0" w:color="auto"/>
            </w:tcBorders>
            <w:shd w:val="clear" w:color="auto" w:fill="auto"/>
          </w:tcPr>
          <w:p w14:paraId="0AAA8D3D" w14:textId="14C5488A"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1427.5</w:t>
            </w:r>
          </w:p>
        </w:tc>
        <w:tc>
          <w:tcPr>
            <w:tcW w:w="573" w:type="pct"/>
            <w:tcBorders>
              <w:top w:val="single" w:sz="4" w:space="0" w:color="auto"/>
              <w:bottom w:val="single" w:sz="4" w:space="0" w:color="auto"/>
            </w:tcBorders>
            <w:shd w:val="clear" w:color="auto" w:fill="auto"/>
          </w:tcPr>
          <w:p w14:paraId="4BF9229E" w14:textId="367062FF"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1328.4</w:t>
            </w:r>
          </w:p>
        </w:tc>
        <w:tc>
          <w:tcPr>
            <w:tcW w:w="574" w:type="pct"/>
            <w:tcBorders>
              <w:top w:val="single" w:sz="4" w:space="0" w:color="auto"/>
              <w:bottom w:val="single" w:sz="4" w:space="0" w:color="auto"/>
            </w:tcBorders>
            <w:shd w:val="clear" w:color="auto" w:fill="auto"/>
          </w:tcPr>
          <w:p w14:paraId="2FB1EFDA" w14:textId="6FC4E0B1"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(99.0)</w:t>
            </w:r>
          </w:p>
        </w:tc>
      </w:tr>
      <w:tr w:rsidR="00387D16" w:rsidRPr="003A36C2" w14:paraId="387A326A"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tcBorders>
          </w:tcPr>
          <w:p w14:paraId="58EE1772" w14:textId="77777777" w:rsidR="00387D16" w:rsidRPr="003A36C2" w:rsidRDefault="00387D16" w:rsidP="00AE00C0">
            <w:pPr>
              <w:pStyle w:val="TableText"/>
              <w:spacing w:before="120"/>
            </w:pPr>
            <w:r w:rsidRPr="00A666F7">
              <w:rPr>
                <w:rStyle w:val="Bold"/>
              </w:rPr>
              <w:t>Liabilities</w:t>
            </w:r>
          </w:p>
        </w:tc>
        <w:tc>
          <w:tcPr>
            <w:tcW w:w="573" w:type="pct"/>
            <w:tcBorders>
              <w:top w:val="single" w:sz="4" w:space="0" w:color="auto"/>
            </w:tcBorders>
          </w:tcPr>
          <w:p w14:paraId="41066155"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2CD0C974"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60CD3D3B"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4" w:type="pct"/>
            <w:tcBorders>
              <w:top w:val="single" w:sz="4" w:space="0" w:color="auto"/>
            </w:tcBorders>
          </w:tcPr>
          <w:p w14:paraId="3CB2F552"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r>
      <w:tr w:rsidR="00387D16" w:rsidRPr="003A36C2" w14:paraId="38156843"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42ECEE5D" w14:textId="77777777" w:rsidR="00387D16" w:rsidRPr="003A36C2" w:rsidRDefault="00387D16" w:rsidP="0019520B">
            <w:pPr>
              <w:pStyle w:val="TableText"/>
            </w:pPr>
            <w:r w:rsidRPr="003A36C2">
              <w:t>Payables</w:t>
            </w:r>
          </w:p>
        </w:tc>
        <w:tc>
          <w:tcPr>
            <w:tcW w:w="573" w:type="pct"/>
          </w:tcPr>
          <w:p w14:paraId="1681482B" w14:textId="22BD0319"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73" w:type="pct"/>
          </w:tcPr>
          <w:p w14:paraId="78BA600D" w14:textId="37A36CF3"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49.2</w:t>
            </w:r>
          </w:p>
        </w:tc>
        <w:tc>
          <w:tcPr>
            <w:tcW w:w="573" w:type="pct"/>
          </w:tcPr>
          <w:p w14:paraId="2103C909" w14:textId="14C6C14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62.0</w:t>
            </w:r>
          </w:p>
        </w:tc>
        <w:tc>
          <w:tcPr>
            <w:tcW w:w="574" w:type="pct"/>
          </w:tcPr>
          <w:p w14:paraId="294430EB" w14:textId="2F3FD343"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12.8</w:t>
            </w:r>
          </w:p>
        </w:tc>
      </w:tr>
      <w:tr w:rsidR="00387D16" w:rsidRPr="003A36C2" w14:paraId="2DFE52D4"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284D915B" w14:textId="77777777" w:rsidR="00387D16" w:rsidRPr="003A36C2" w:rsidRDefault="00387D16" w:rsidP="0019520B">
            <w:pPr>
              <w:pStyle w:val="TableText"/>
            </w:pPr>
            <w:r w:rsidRPr="003A36C2">
              <w:t>Borrowings</w:t>
            </w:r>
          </w:p>
        </w:tc>
        <w:tc>
          <w:tcPr>
            <w:tcW w:w="573" w:type="pct"/>
          </w:tcPr>
          <w:p w14:paraId="42CE20AE" w14:textId="492D2E7C"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73" w:type="pct"/>
          </w:tcPr>
          <w:p w14:paraId="78C89E21" w14:textId="5083AEE5"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130.2</w:t>
            </w:r>
          </w:p>
        </w:tc>
        <w:tc>
          <w:tcPr>
            <w:tcW w:w="573" w:type="pct"/>
          </w:tcPr>
          <w:p w14:paraId="43675FE9" w14:textId="3EE50F1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119.3</w:t>
            </w:r>
          </w:p>
        </w:tc>
        <w:tc>
          <w:tcPr>
            <w:tcW w:w="574" w:type="pct"/>
          </w:tcPr>
          <w:p w14:paraId="6FD7344D" w14:textId="25458698"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(10.9)</w:t>
            </w:r>
          </w:p>
        </w:tc>
      </w:tr>
      <w:tr w:rsidR="00387D16" w:rsidRPr="003A36C2" w14:paraId="10C7E814"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10BC5560" w14:textId="77777777" w:rsidR="00387D16" w:rsidRPr="003A36C2" w:rsidRDefault="00387D16" w:rsidP="0019520B">
            <w:pPr>
              <w:pStyle w:val="TableText"/>
            </w:pPr>
            <w:r w:rsidRPr="003A36C2">
              <w:t>Provisions</w:t>
            </w:r>
          </w:p>
        </w:tc>
        <w:tc>
          <w:tcPr>
            <w:tcW w:w="573" w:type="pct"/>
          </w:tcPr>
          <w:p w14:paraId="24240CDB" w14:textId="58AF9E7F"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73" w:type="pct"/>
          </w:tcPr>
          <w:p w14:paraId="160E0441" w14:textId="5E9C70B0"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94.9</w:t>
            </w:r>
          </w:p>
        </w:tc>
        <w:tc>
          <w:tcPr>
            <w:tcW w:w="573" w:type="pct"/>
          </w:tcPr>
          <w:p w14:paraId="32C5EB29" w14:textId="473D2C5E"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105.1</w:t>
            </w:r>
          </w:p>
        </w:tc>
        <w:tc>
          <w:tcPr>
            <w:tcW w:w="574" w:type="pct"/>
          </w:tcPr>
          <w:p w14:paraId="6DDB4A8D" w14:textId="598D8F24"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10.2</w:t>
            </w:r>
          </w:p>
        </w:tc>
      </w:tr>
      <w:tr w:rsidR="00387D16" w:rsidRPr="003A36C2" w14:paraId="09FB7B54"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bottom w:val="single" w:sz="4" w:space="0" w:color="auto"/>
            </w:tcBorders>
          </w:tcPr>
          <w:p w14:paraId="601F0D9F" w14:textId="6FE2BA3D" w:rsidR="00387D16" w:rsidRPr="003A36C2" w:rsidRDefault="003A561C" w:rsidP="0019520B">
            <w:pPr>
              <w:pStyle w:val="TableText"/>
            </w:pPr>
            <w:r>
              <w:t>Other provision</w:t>
            </w:r>
          </w:p>
        </w:tc>
        <w:tc>
          <w:tcPr>
            <w:tcW w:w="573" w:type="pct"/>
            <w:tcBorders>
              <w:bottom w:val="single" w:sz="4" w:space="0" w:color="auto"/>
            </w:tcBorders>
          </w:tcPr>
          <w:p w14:paraId="225A7C1B"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bottom w:val="single" w:sz="4" w:space="0" w:color="auto"/>
            </w:tcBorders>
          </w:tcPr>
          <w:p w14:paraId="0457EE81" w14:textId="684CF0B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573" w:type="pct"/>
            <w:tcBorders>
              <w:bottom w:val="single" w:sz="4" w:space="0" w:color="auto"/>
            </w:tcBorders>
          </w:tcPr>
          <w:p w14:paraId="3C658469" w14:textId="499CFB1B"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0.2</w:t>
            </w:r>
          </w:p>
        </w:tc>
        <w:tc>
          <w:tcPr>
            <w:tcW w:w="574" w:type="pct"/>
            <w:tcBorders>
              <w:bottom w:val="single" w:sz="4" w:space="0" w:color="auto"/>
            </w:tcBorders>
          </w:tcPr>
          <w:p w14:paraId="1D9576CE" w14:textId="6FA40D33"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0.2</w:t>
            </w:r>
          </w:p>
        </w:tc>
      </w:tr>
      <w:tr w:rsidR="00387D16" w:rsidRPr="00A666F7" w14:paraId="2562C0CE"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bottom w:val="single" w:sz="4" w:space="0" w:color="auto"/>
            </w:tcBorders>
            <w:shd w:val="clear" w:color="auto" w:fill="auto"/>
          </w:tcPr>
          <w:p w14:paraId="0FB70BBA" w14:textId="77777777" w:rsidR="00387D16" w:rsidRPr="00A666F7" w:rsidRDefault="00387D16" w:rsidP="0019520B">
            <w:pPr>
              <w:pStyle w:val="TableText"/>
              <w:rPr>
                <w:rStyle w:val="Bold"/>
              </w:rPr>
            </w:pPr>
            <w:r w:rsidRPr="00A666F7">
              <w:rPr>
                <w:rStyle w:val="Bold"/>
              </w:rPr>
              <w:t>Total liabilities</w:t>
            </w:r>
          </w:p>
        </w:tc>
        <w:tc>
          <w:tcPr>
            <w:tcW w:w="573" w:type="pct"/>
            <w:tcBorders>
              <w:top w:val="single" w:sz="4" w:space="0" w:color="auto"/>
              <w:bottom w:val="single" w:sz="4" w:space="0" w:color="auto"/>
            </w:tcBorders>
            <w:shd w:val="clear" w:color="auto" w:fill="auto"/>
          </w:tcPr>
          <w:p w14:paraId="7C49999C"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bottom w:val="single" w:sz="4" w:space="0" w:color="auto"/>
            </w:tcBorders>
            <w:shd w:val="clear" w:color="auto" w:fill="auto"/>
          </w:tcPr>
          <w:p w14:paraId="2E96FAF8" w14:textId="763DA6E6"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274.3</w:t>
            </w:r>
          </w:p>
        </w:tc>
        <w:tc>
          <w:tcPr>
            <w:tcW w:w="573" w:type="pct"/>
            <w:tcBorders>
              <w:top w:val="single" w:sz="4" w:space="0" w:color="auto"/>
              <w:bottom w:val="single" w:sz="4" w:space="0" w:color="auto"/>
            </w:tcBorders>
            <w:shd w:val="clear" w:color="auto" w:fill="auto"/>
          </w:tcPr>
          <w:p w14:paraId="7126DB53" w14:textId="4EF87E86"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286.6</w:t>
            </w:r>
          </w:p>
        </w:tc>
        <w:tc>
          <w:tcPr>
            <w:tcW w:w="574" w:type="pct"/>
            <w:tcBorders>
              <w:top w:val="single" w:sz="4" w:space="0" w:color="auto"/>
              <w:bottom w:val="single" w:sz="4" w:space="0" w:color="auto"/>
            </w:tcBorders>
            <w:shd w:val="clear" w:color="auto" w:fill="auto"/>
          </w:tcPr>
          <w:p w14:paraId="7AB8FA2E" w14:textId="0ADD26CF"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12.3</w:t>
            </w:r>
          </w:p>
        </w:tc>
      </w:tr>
      <w:tr w:rsidR="00387D16" w:rsidRPr="00A666F7" w14:paraId="3406C649"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bottom w:val="single" w:sz="4" w:space="0" w:color="auto"/>
            </w:tcBorders>
            <w:shd w:val="clear" w:color="auto" w:fill="auto"/>
          </w:tcPr>
          <w:p w14:paraId="588B6FAF" w14:textId="77777777" w:rsidR="00387D16" w:rsidRPr="00A666F7" w:rsidRDefault="00387D16" w:rsidP="0019520B">
            <w:pPr>
              <w:pStyle w:val="TableText"/>
              <w:rPr>
                <w:rStyle w:val="Bold"/>
              </w:rPr>
            </w:pPr>
            <w:r w:rsidRPr="00A666F7">
              <w:rPr>
                <w:rStyle w:val="Bold"/>
              </w:rPr>
              <w:t>Net assets</w:t>
            </w:r>
          </w:p>
        </w:tc>
        <w:tc>
          <w:tcPr>
            <w:tcW w:w="573" w:type="pct"/>
            <w:tcBorders>
              <w:top w:val="single" w:sz="4" w:space="0" w:color="auto"/>
              <w:bottom w:val="single" w:sz="4" w:space="0" w:color="auto"/>
            </w:tcBorders>
            <w:shd w:val="clear" w:color="auto" w:fill="auto"/>
          </w:tcPr>
          <w:p w14:paraId="78486609" w14:textId="77777777" w:rsidR="00387D16" w:rsidRPr="00A666F7"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bottom w:val="single" w:sz="4" w:space="0" w:color="auto"/>
            </w:tcBorders>
            <w:shd w:val="clear" w:color="auto" w:fill="auto"/>
          </w:tcPr>
          <w:p w14:paraId="0C7F62D4" w14:textId="547ADB17"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1153.2</w:t>
            </w:r>
          </w:p>
        </w:tc>
        <w:tc>
          <w:tcPr>
            <w:tcW w:w="573" w:type="pct"/>
            <w:tcBorders>
              <w:top w:val="single" w:sz="4" w:space="0" w:color="auto"/>
              <w:bottom w:val="single" w:sz="4" w:space="0" w:color="auto"/>
            </w:tcBorders>
            <w:shd w:val="clear" w:color="auto" w:fill="auto"/>
          </w:tcPr>
          <w:p w14:paraId="0DFF26BA" w14:textId="55404078"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1041.9</w:t>
            </w:r>
          </w:p>
        </w:tc>
        <w:tc>
          <w:tcPr>
            <w:tcW w:w="574" w:type="pct"/>
            <w:tcBorders>
              <w:top w:val="single" w:sz="4" w:space="0" w:color="auto"/>
              <w:bottom w:val="single" w:sz="4" w:space="0" w:color="auto"/>
            </w:tcBorders>
            <w:shd w:val="clear" w:color="auto" w:fill="auto"/>
          </w:tcPr>
          <w:p w14:paraId="107D5A88" w14:textId="2DF94B97" w:rsidR="00387D16" w:rsidRPr="00A666F7" w:rsidRDefault="003A561C"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(111.3)</w:t>
            </w:r>
          </w:p>
        </w:tc>
      </w:tr>
      <w:tr w:rsidR="00387D16" w:rsidRPr="003A36C2" w14:paraId="05809E44" w14:textId="77777777" w:rsidTr="0019520B">
        <w:tc>
          <w:tcPr>
            <w:cnfStyle w:val="001000000000" w:firstRow="0" w:lastRow="0" w:firstColumn="1" w:lastColumn="0" w:oddVBand="0" w:evenVBand="0" w:oddHBand="0" w:evenHBand="0" w:firstRowFirstColumn="0" w:firstRowLastColumn="0" w:lastRowFirstColumn="0" w:lastRowLastColumn="0"/>
            <w:tcW w:w="2706" w:type="pct"/>
            <w:tcBorders>
              <w:top w:val="single" w:sz="4" w:space="0" w:color="auto"/>
            </w:tcBorders>
          </w:tcPr>
          <w:p w14:paraId="02F19ED0" w14:textId="77777777" w:rsidR="00387D16" w:rsidRPr="003A36C2" w:rsidRDefault="00387D16" w:rsidP="00AE00C0">
            <w:pPr>
              <w:pStyle w:val="TableText"/>
              <w:spacing w:before="120"/>
            </w:pPr>
            <w:r w:rsidRPr="00A666F7">
              <w:rPr>
                <w:rStyle w:val="Bold"/>
              </w:rPr>
              <w:t>Equity</w:t>
            </w:r>
          </w:p>
        </w:tc>
        <w:tc>
          <w:tcPr>
            <w:tcW w:w="573" w:type="pct"/>
            <w:tcBorders>
              <w:top w:val="single" w:sz="4" w:space="0" w:color="auto"/>
            </w:tcBorders>
          </w:tcPr>
          <w:p w14:paraId="0A663F33"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0F932C66"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3" w:type="pct"/>
            <w:tcBorders>
              <w:top w:val="single" w:sz="4" w:space="0" w:color="auto"/>
            </w:tcBorders>
          </w:tcPr>
          <w:p w14:paraId="1C1AF740"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c>
          <w:tcPr>
            <w:tcW w:w="574" w:type="pct"/>
            <w:tcBorders>
              <w:top w:val="single" w:sz="4" w:space="0" w:color="auto"/>
            </w:tcBorders>
          </w:tcPr>
          <w:p w14:paraId="518C114D" w14:textId="77777777" w:rsidR="00387D16" w:rsidRPr="00A666F7" w:rsidRDefault="00387D16" w:rsidP="00AE00C0">
            <w:pPr>
              <w:pStyle w:val="TableText"/>
              <w:spacing w:before="120"/>
              <w:cnfStyle w:val="000000000000" w:firstRow="0" w:lastRow="0" w:firstColumn="0" w:lastColumn="0" w:oddVBand="0" w:evenVBand="0" w:oddHBand="0" w:evenHBand="0" w:firstRowFirstColumn="0" w:firstRowLastColumn="0" w:lastRowFirstColumn="0" w:lastRowLastColumn="0"/>
            </w:pPr>
            <w:r w:rsidRPr="00A666F7">
              <w:t>N/A</w:t>
            </w:r>
          </w:p>
        </w:tc>
      </w:tr>
      <w:tr w:rsidR="00387D16" w:rsidRPr="003A36C2" w14:paraId="1A81F0E9"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3244460F" w14:textId="77777777" w:rsidR="00387D16" w:rsidRPr="003A36C2" w:rsidRDefault="00387D16" w:rsidP="0019520B">
            <w:pPr>
              <w:pStyle w:val="TableText"/>
            </w:pPr>
            <w:r w:rsidRPr="003A36C2">
              <w:t>Accumulated surplus/(deficit)</w:t>
            </w:r>
          </w:p>
        </w:tc>
        <w:tc>
          <w:tcPr>
            <w:tcW w:w="573" w:type="pct"/>
          </w:tcPr>
          <w:p w14:paraId="00407F80" w14:textId="6146CA1F" w:rsidR="00387D16" w:rsidRPr="00A666F7"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2note2" w:history="1">
              <w:r w:rsidR="00C76CF8" w:rsidRPr="00C76CF8">
                <w:t>2</w:t>
              </w:r>
            </w:hyperlink>
          </w:p>
        </w:tc>
        <w:tc>
          <w:tcPr>
            <w:tcW w:w="573" w:type="pct"/>
          </w:tcPr>
          <w:p w14:paraId="45680101" w14:textId="3E1BB010"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14.3</w:t>
            </w:r>
          </w:p>
        </w:tc>
        <w:tc>
          <w:tcPr>
            <w:tcW w:w="573" w:type="pct"/>
          </w:tcPr>
          <w:p w14:paraId="41FB6359" w14:textId="5F6ED06A"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(30.1)</w:t>
            </w:r>
          </w:p>
        </w:tc>
        <w:tc>
          <w:tcPr>
            <w:tcW w:w="574" w:type="pct"/>
          </w:tcPr>
          <w:p w14:paraId="641F2958" w14:textId="2F1D4F82"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(44.4)</w:t>
            </w:r>
          </w:p>
        </w:tc>
      </w:tr>
      <w:tr w:rsidR="00387D16" w:rsidRPr="003A36C2" w14:paraId="505B8EEF"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0603C941" w14:textId="77777777" w:rsidR="00387D16" w:rsidRPr="003A36C2" w:rsidRDefault="00387D16" w:rsidP="0019520B">
            <w:pPr>
              <w:pStyle w:val="TableText"/>
            </w:pPr>
            <w:r w:rsidRPr="003A36C2">
              <w:t>Contributed capital</w:t>
            </w:r>
          </w:p>
        </w:tc>
        <w:tc>
          <w:tcPr>
            <w:tcW w:w="573" w:type="pct"/>
          </w:tcPr>
          <w:p w14:paraId="5A4C7557" w14:textId="6CF3EFFC"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573" w:type="pct"/>
          </w:tcPr>
          <w:p w14:paraId="423E6352" w14:textId="1A4101CA"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834.8</w:t>
            </w:r>
          </w:p>
        </w:tc>
        <w:tc>
          <w:tcPr>
            <w:tcW w:w="573" w:type="pct"/>
          </w:tcPr>
          <w:p w14:paraId="6E751D06" w14:textId="689A7903"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827.1</w:t>
            </w:r>
          </w:p>
        </w:tc>
        <w:tc>
          <w:tcPr>
            <w:tcW w:w="574" w:type="pct"/>
          </w:tcPr>
          <w:p w14:paraId="1DE76006" w14:textId="68439F37"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(7.6)</w:t>
            </w:r>
          </w:p>
        </w:tc>
      </w:tr>
      <w:tr w:rsidR="00387D16" w:rsidRPr="003A36C2" w14:paraId="76E79584" w14:textId="77777777" w:rsidTr="0019520B">
        <w:tc>
          <w:tcPr>
            <w:cnfStyle w:val="001000000000" w:firstRow="0" w:lastRow="0" w:firstColumn="1" w:lastColumn="0" w:oddVBand="0" w:evenVBand="0" w:oddHBand="0" w:evenHBand="0" w:firstRowFirstColumn="0" w:firstRowLastColumn="0" w:lastRowFirstColumn="0" w:lastRowLastColumn="0"/>
            <w:tcW w:w="2706" w:type="pct"/>
          </w:tcPr>
          <w:p w14:paraId="63874EF9" w14:textId="77777777" w:rsidR="00387D16" w:rsidRPr="003A36C2" w:rsidRDefault="00387D16" w:rsidP="0019520B">
            <w:pPr>
              <w:pStyle w:val="TableText"/>
            </w:pPr>
            <w:r w:rsidRPr="003A36C2">
              <w:t>Physical asset revaluation surplus</w:t>
            </w:r>
          </w:p>
        </w:tc>
        <w:tc>
          <w:tcPr>
            <w:tcW w:w="573" w:type="pct"/>
          </w:tcPr>
          <w:p w14:paraId="58ED92BA" w14:textId="1C982392" w:rsidR="00387D16" w:rsidRPr="003A36C2"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2note3" w:history="1">
              <w:r w:rsidR="00C76CF8" w:rsidRPr="00C76CF8">
                <w:t>3</w:t>
              </w:r>
            </w:hyperlink>
          </w:p>
        </w:tc>
        <w:tc>
          <w:tcPr>
            <w:tcW w:w="573" w:type="pct"/>
          </w:tcPr>
          <w:p w14:paraId="2D22D578" w14:textId="70BC4B6D"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304.1</w:t>
            </w:r>
          </w:p>
        </w:tc>
        <w:tc>
          <w:tcPr>
            <w:tcW w:w="573" w:type="pct"/>
          </w:tcPr>
          <w:p w14:paraId="2C6425A6" w14:textId="3776F3B7"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244.9</w:t>
            </w:r>
          </w:p>
        </w:tc>
        <w:tc>
          <w:tcPr>
            <w:tcW w:w="574" w:type="pct"/>
          </w:tcPr>
          <w:p w14:paraId="19052EF8" w14:textId="1AABF9E4" w:rsidR="00387D16" w:rsidRPr="003A36C2" w:rsidRDefault="003A561C" w:rsidP="0019520B">
            <w:pPr>
              <w:pStyle w:val="TableText"/>
              <w:cnfStyle w:val="000000000000" w:firstRow="0" w:lastRow="0" w:firstColumn="0" w:lastColumn="0" w:oddVBand="0" w:evenVBand="0" w:oddHBand="0" w:evenHBand="0" w:firstRowFirstColumn="0" w:firstRowLastColumn="0" w:lastRowFirstColumn="0" w:lastRowLastColumn="0"/>
            </w:pPr>
            <w:r>
              <w:t>(59.2)</w:t>
            </w:r>
          </w:p>
        </w:tc>
      </w:tr>
      <w:tr w:rsidR="00387D16" w:rsidRPr="00A666F7" w14:paraId="734C9584" w14:textId="77777777" w:rsidTr="001952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pct"/>
          </w:tcPr>
          <w:p w14:paraId="2D5FD65A" w14:textId="77777777" w:rsidR="00387D16" w:rsidRPr="00A666F7" w:rsidRDefault="00387D16" w:rsidP="0019520B">
            <w:pPr>
              <w:pStyle w:val="TableText"/>
              <w:rPr>
                <w:rStyle w:val="Bold"/>
              </w:rPr>
            </w:pPr>
            <w:r w:rsidRPr="00A666F7">
              <w:rPr>
                <w:rStyle w:val="Bold"/>
              </w:rPr>
              <w:t>Net worth</w:t>
            </w:r>
          </w:p>
        </w:tc>
        <w:tc>
          <w:tcPr>
            <w:tcW w:w="573" w:type="pct"/>
          </w:tcPr>
          <w:p w14:paraId="50AEF5AA" w14:textId="77777777" w:rsidR="00387D16" w:rsidRPr="00A666F7" w:rsidRDefault="00387D16" w:rsidP="0019520B">
            <w:pPr>
              <w:pStyle w:val="TableText"/>
              <w:cnfStyle w:val="010000000000" w:firstRow="0" w:lastRow="1" w:firstColumn="0" w:lastColumn="0" w:oddVBand="0" w:evenVBand="0" w:oddHBand="0" w:evenHBand="0" w:firstRowFirstColumn="0" w:firstRowLastColumn="0" w:lastRowFirstColumn="0" w:lastRowLastColumn="0"/>
            </w:pPr>
            <w:r w:rsidRPr="00A666F7">
              <w:t>N/A</w:t>
            </w:r>
          </w:p>
        </w:tc>
        <w:tc>
          <w:tcPr>
            <w:tcW w:w="573" w:type="pct"/>
          </w:tcPr>
          <w:p w14:paraId="631352B9" w14:textId="64629246" w:rsidR="00387D16" w:rsidRPr="00A666F7" w:rsidRDefault="003A561C"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1153.2</w:t>
            </w:r>
          </w:p>
        </w:tc>
        <w:tc>
          <w:tcPr>
            <w:tcW w:w="573" w:type="pct"/>
          </w:tcPr>
          <w:p w14:paraId="7759667C" w14:textId="1E0B3A09" w:rsidR="00387D16" w:rsidRPr="00A666F7" w:rsidRDefault="003A561C"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1041.9</w:t>
            </w:r>
          </w:p>
        </w:tc>
        <w:tc>
          <w:tcPr>
            <w:tcW w:w="574" w:type="pct"/>
          </w:tcPr>
          <w:p w14:paraId="3BBD96BD" w14:textId="61A06415" w:rsidR="00387D16" w:rsidRPr="00A666F7" w:rsidRDefault="003A561C"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(111.3)</w:t>
            </w:r>
          </w:p>
        </w:tc>
      </w:tr>
    </w:tbl>
    <w:p w14:paraId="5C10E662" w14:textId="77777777" w:rsidR="00387D16" w:rsidRPr="004F4F99" w:rsidRDefault="00387D16" w:rsidP="00387D16">
      <w:pPr>
        <w:pStyle w:val="NotesText"/>
      </w:pPr>
      <w:r w:rsidRPr="004F4F99">
        <w:t>Notes:</w:t>
      </w:r>
    </w:p>
    <w:p w14:paraId="6782D3F8" w14:textId="782574CF" w:rsidR="003A561C" w:rsidRDefault="003A561C" w:rsidP="00F110E7">
      <w:pPr>
        <w:pStyle w:val="NotesNumberedList"/>
        <w:numPr>
          <w:ilvl w:val="0"/>
          <w:numId w:val="28"/>
        </w:numPr>
      </w:pPr>
      <w:bookmarkStart w:id="536" w:name="NoteBR2note1"/>
      <w:bookmarkStart w:id="537" w:name="Note112tablenote1"/>
      <w:bookmarkEnd w:id="536"/>
      <w:r>
        <w:t>Prior period error correcting the depreciation replacement cost for the County Court PPP.</w:t>
      </w:r>
    </w:p>
    <w:p w14:paraId="7C8AF443" w14:textId="472795D1" w:rsidR="003A561C" w:rsidRDefault="003A561C" w:rsidP="00F110E7">
      <w:pPr>
        <w:pStyle w:val="NotesNumberedList"/>
        <w:numPr>
          <w:ilvl w:val="0"/>
          <w:numId w:val="28"/>
        </w:numPr>
      </w:pPr>
      <w:bookmarkStart w:id="538" w:name="NoteBR2note2"/>
      <w:bookmarkEnd w:id="538"/>
      <w:r>
        <w:t>Prior period error correcting accumulated depreciation relating to the depreciation replacement cost for the County Court PPP.</w:t>
      </w:r>
    </w:p>
    <w:p w14:paraId="4DA7068A" w14:textId="1B26B933" w:rsidR="003A561C" w:rsidRDefault="003A561C" w:rsidP="00F110E7">
      <w:pPr>
        <w:pStyle w:val="NotesNumberedList"/>
        <w:numPr>
          <w:ilvl w:val="0"/>
          <w:numId w:val="28"/>
        </w:numPr>
      </w:pPr>
      <w:bookmarkStart w:id="539" w:name="NoteBR2note3"/>
      <w:bookmarkEnd w:id="539"/>
      <w:r>
        <w:t>Prior period error reducing asset revaluation surplus relating to the County Court PPP.</w:t>
      </w:r>
    </w:p>
    <w:p w14:paraId="797D2B36" w14:textId="7AE06011" w:rsidR="00387D16" w:rsidRDefault="00942AE4" w:rsidP="000A6F46">
      <w:pPr>
        <w:pStyle w:val="Heading3"/>
      </w:pPr>
      <w:bookmarkStart w:id="540" w:name="BR3"/>
      <w:bookmarkStart w:id="541" w:name="Note113"/>
      <w:bookmarkStart w:id="542" w:name="_Ref22653845"/>
      <w:bookmarkStart w:id="543" w:name="_Toc62808195"/>
      <w:bookmarkEnd w:id="537"/>
      <w:r w:rsidRPr="008E66F7">
        <w:t>BR3</w:t>
      </w:r>
      <w:bookmarkEnd w:id="540"/>
      <w:r w:rsidR="00387D16" w:rsidRPr="008E66F7">
        <w:t xml:space="preserve"> </w:t>
      </w:r>
      <w:bookmarkEnd w:id="541"/>
      <w:r w:rsidR="00387D16" w:rsidRPr="008E66F7">
        <w:t>Cash Flow Statement for the Financial Year Ended 30 June 20</w:t>
      </w:r>
      <w:bookmarkEnd w:id="542"/>
      <w:r w:rsidRPr="008E66F7">
        <w:t>20</w:t>
      </w:r>
      <w:bookmarkEnd w:id="543"/>
    </w:p>
    <w:tbl>
      <w:tblPr>
        <w:tblStyle w:val="AccessibleTableNumerical"/>
        <w:tblW w:w="5000" w:type="pct"/>
        <w:tblLook w:val="04E0" w:firstRow="1" w:lastRow="1" w:firstColumn="1" w:lastColumn="0" w:noHBand="0" w:noVBand="1"/>
      </w:tblPr>
      <w:tblGrid>
        <w:gridCol w:w="4963"/>
        <w:gridCol w:w="1170"/>
        <w:gridCol w:w="1170"/>
        <w:gridCol w:w="1170"/>
        <w:gridCol w:w="1166"/>
      </w:tblGrid>
      <w:tr w:rsidR="00387D16" w:rsidRPr="003A36C2" w14:paraId="7F3F3978" w14:textId="77777777" w:rsidTr="00195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74" w:type="pct"/>
          </w:tcPr>
          <w:p w14:paraId="51EF9FF7" w14:textId="77777777" w:rsidR="00387D16" w:rsidRPr="003A36C2" w:rsidRDefault="00387D16" w:rsidP="000A6F46">
            <w:pPr>
              <w:pStyle w:val="TableText"/>
              <w:keepNext/>
            </w:pPr>
            <w:bookmarkStart w:id="544" w:name="ColumnTitle_102"/>
            <w:r>
              <w:t>Item</w:t>
            </w:r>
          </w:p>
        </w:tc>
        <w:tc>
          <w:tcPr>
            <w:tcW w:w="607" w:type="pct"/>
            <w:vAlign w:val="bottom"/>
          </w:tcPr>
          <w:p w14:paraId="70D8AF8D" w14:textId="77777777"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 xml:space="preserve">Variance </w:t>
            </w:r>
            <w:r w:rsidRPr="003A36C2">
              <w:br/>
              <w:t>Note</w:t>
            </w:r>
          </w:p>
        </w:tc>
        <w:tc>
          <w:tcPr>
            <w:tcW w:w="607" w:type="pct"/>
            <w:vAlign w:val="bottom"/>
          </w:tcPr>
          <w:p w14:paraId="43D3B8D9" w14:textId="31533854"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Budget 20</w:t>
            </w:r>
            <w:r w:rsidR="00192FC1">
              <w:t>20</w:t>
            </w:r>
            <w:r w:rsidRPr="003A36C2">
              <w:br/>
              <w:t>$'</w:t>
            </w:r>
            <w:r w:rsidR="00192FC1">
              <w:t>000</w:t>
            </w:r>
          </w:p>
        </w:tc>
        <w:tc>
          <w:tcPr>
            <w:tcW w:w="607" w:type="pct"/>
            <w:vAlign w:val="bottom"/>
          </w:tcPr>
          <w:p w14:paraId="2C6723CA" w14:textId="5843AA52"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 xml:space="preserve">Actual </w:t>
            </w:r>
            <w:r w:rsidR="00391247">
              <w:br/>
            </w:r>
            <w:r w:rsidRPr="003A36C2">
              <w:t>20</w:t>
            </w:r>
            <w:r w:rsidR="00192FC1">
              <w:t>20</w:t>
            </w:r>
            <w:r w:rsidRPr="003A36C2">
              <w:br/>
              <w:t>$'</w:t>
            </w:r>
            <w:r w:rsidR="00192FC1">
              <w:t>000</w:t>
            </w:r>
          </w:p>
        </w:tc>
        <w:tc>
          <w:tcPr>
            <w:tcW w:w="606" w:type="pct"/>
            <w:vAlign w:val="bottom"/>
          </w:tcPr>
          <w:p w14:paraId="0BD4D6C0" w14:textId="462C7703" w:rsidR="00387D16" w:rsidRPr="003A36C2" w:rsidRDefault="00387D16" w:rsidP="000A6F46">
            <w:pPr>
              <w:pStyle w:val="TableText"/>
              <w:keepNext/>
              <w:cnfStyle w:val="100000000000" w:firstRow="1" w:lastRow="0" w:firstColumn="0" w:lastColumn="0" w:oddVBand="0" w:evenVBand="0" w:oddHBand="0" w:evenHBand="0" w:firstRowFirstColumn="0" w:firstRowLastColumn="0" w:lastRowFirstColumn="0" w:lastRowLastColumn="0"/>
            </w:pPr>
            <w:r w:rsidRPr="003A36C2">
              <w:t>Variance</w:t>
            </w:r>
            <w:r w:rsidRPr="003A36C2">
              <w:br/>
              <w:t>$'</w:t>
            </w:r>
            <w:r w:rsidR="00192FC1">
              <w:t>000</w:t>
            </w:r>
          </w:p>
        </w:tc>
      </w:tr>
      <w:bookmarkEnd w:id="544"/>
      <w:tr w:rsidR="00387D16" w:rsidRPr="003A36C2" w14:paraId="4B6F118B"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378CB9DD" w14:textId="77777777" w:rsidR="00387D16" w:rsidRPr="006716C9" w:rsidRDefault="00387D16" w:rsidP="000A6F46">
            <w:pPr>
              <w:pStyle w:val="TableText"/>
              <w:keepNext/>
              <w:rPr>
                <w:rStyle w:val="Bold"/>
              </w:rPr>
            </w:pPr>
            <w:r w:rsidRPr="006716C9">
              <w:rPr>
                <w:rStyle w:val="Bold"/>
              </w:rPr>
              <w:t>Cash flows from operating activities</w:t>
            </w:r>
          </w:p>
        </w:tc>
        <w:tc>
          <w:tcPr>
            <w:tcW w:w="607" w:type="pct"/>
          </w:tcPr>
          <w:p w14:paraId="2CC32422"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554E05D1"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2D41F81F"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6" w:type="pct"/>
          </w:tcPr>
          <w:p w14:paraId="56D884E4"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4AC0C46D"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7F00DEDA" w14:textId="77777777" w:rsidR="00387D16" w:rsidRPr="006716C9" w:rsidRDefault="00387D16" w:rsidP="000A6F46">
            <w:pPr>
              <w:pStyle w:val="TableText"/>
              <w:keepNext/>
              <w:rPr>
                <w:rStyle w:val="Bold"/>
              </w:rPr>
            </w:pPr>
            <w:r w:rsidRPr="006716C9">
              <w:rPr>
                <w:rStyle w:val="Bold"/>
              </w:rPr>
              <w:t>Receipts</w:t>
            </w:r>
          </w:p>
        </w:tc>
        <w:tc>
          <w:tcPr>
            <w:tcW w:w="607" w:type="pct"/>
          </w:tcPr>
          <w:p w14:paraId="5F725DD6"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4186B255"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67744DAE"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c>
          <w:tcPr>
            <w:tcW w:w="606" w:type="pct"/>
          </w:tcPr>
          <w:p w14:paraId="73D4EE24" w14:textId="77777777" w:rsidR="00387D16" w:rsidRPr="003A36C2" w:rsidRDefault="00387D16" w:rsidP="000A6F46">
            <w:pPr>
              <w:pStyle w:val="TableText"/>
              <w:keepNext/>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644E9FFB"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603C726C" w14:textId="77777777" w:rsidR="00387D16" w:rsidRPr="003A36C2" w:rsidRDefault="00387D16" w:rsidP="0019520B">
            <w:pPr>
              <w:pStyle w:val="TableText"/>
            </w:pPr>
            <w:r w:rsidRPr="003A36C2">
              <w:t>Receipts from Government</w:t>
            </w:r>
          </w:p>
        </w:tc>
        <w:tc>
          <w:tcPr>
            <w:tcW w:w="607" w:type="pct"/>
          </w:tcPr>
          <w:p w14:paraId="09FE777F" w14:textId="1319C42D" w:rsidR="00387D16" w:rsidRPr="003A36C2" w:rsidRDefault="00C9062D" w:rsidP="0019520B">
            <w:pPr>
              <w:pStyle w:val="TableText"/>
              <w:cnfStyle w:val="000000000000" w:firstRow="0" w:lastRow="0" w:firstColumn="0" w:lastColumn="0" w:oddVBand="0" w:evenVBand="0" w:oddHBand="0" w:evenHBand="0" w:firstRowFirstColumn="0" w:firstRowLastColumn="0" w:lastRowFirstColumn="0" w:lastRowLastColumn="0"/>
            </w:pPr>
            <w:hyperlink w:anchor="NoteBR3note1" w:history="1">
              <w:r w:rsidR="008E66F7" w:rsidRPr="008E66F7">
                <w:t>1</w:t>
              </w:r>
            </w:hyperlink>
          </w:p>
        </w:tc>
        <w:tc>
          <w:tcPr>
            <w:tcW w:w="607" w:type="pct"/>
          </w:tcPr>
          <w:p w14:paraId="023B09F3" w14:textId="616E6D0F"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658.7</w:t>
            </w:r>
          </w:p>
        </w:tc>
        <w:tc>
          <w:tcPr>
            <w:tcW w:w="607" w:type="pct"/>
          </w:tcPr>
          <w:p w14:paraId="2DF95558" w14:textId="2784FD53"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602.7</w:t>
            </w:r>
          </w:p>
        </w:tc>
        <w:tc>
          <w:tcPr>
            <w:tcW w:w="606" w:type="pct"/>
          </w:tcPr>
          <w:p w14:paraId="514BCEF0" w14:textId="386ABD0E"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(55.9)</w:t>
            </w:r>
          </w:p>
        </w:tc>
      </w:tr>
      <w:tr w:rsidR="00387D16" w:rsidRPr="003A36C2" w14:paraId="64C84D31"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375C555F" w14:textId="77777777" w:rsidR="00387D16" w:rsidRPr="003A36C2" w:rsidRDefault="00387D16" w:rsidP="0019520B">
            <w:pPr>
              <w:pStyle w:val="TableText"/>
            </w:pPr>
            <w:r w:rsidRPr="003A36C2">
              <w:t>Receipts from other entities</w:t>
            </w:r>
          </w:p>
        </w:tc>
        <w:tc>
          <w:tcPr>
            <w:tcW w:w="607" w:type="pct"/>
          </w:tcPr>
          <w:p w14:paraId="6C43FAA5" w14:textId="41C6F1E8"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06F383AE" w14:textId="47014011"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17.0</w:t>
            </w:r>
          </w:p>
        </w:tc>
        <w:tc>
          <w:tcPr>
            <w:tcW w:w="607" w:type="pct"/>
          </w:tcPr>
          <w:p w14:paraId="470F67E0" w14:textId="01F61F36"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30.2</w:t>
            </w:r>
          </w:p>
        </w:tc>
        <w:tc>
          <w:tcPr>
            <w:tcW w:w="606" w:type="pct"/>
          </w:tcPr>
          <w:p w14:paraId="3510E906" w14:textId="774C2AF2"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13.2</w:t>
            </w:r>
          </w:p>
        </w:tc>
      </w:tr>
      <w:tr w:rsidR="00387D16" w:rsidRPr="003A36C2" w14:paraId="6C9794D1"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bottom w:val="single" w:sz="4" w:space="0" w:color="auto"/>
            </w:tcBorders>
          </w:tcPr>
          <w:p w14:paraId="73462B9C" w14:textId="77777777" w:rsidR="00387D16" w:rsidRPr="003A36C2" w:rsidRDefault="00387D16" w:rsidP="0019520B">
            <w:pPr>
              <w:pStyle w:val="TableText"/>
            </w:pPr>
            <w:r w:rsidRPr="003A36C2">
              <w:t>Goods and services tax recovered from the ATO</w:t>
            </w:r>
          </w:p>
        </w:tc>
        <w:tc>
          <w:tcPr>
            <w:tcW w:w="607" w:type="pct"/>
            <w:tcBorders>
              <w:bottom w:val="single" w:sz="4" w:space="0" w:color="auto"/>
            </w:tcBorders>
          </w:tcPr>
          <w:p w14:paraId="66040591" w14:textId="60FC6BFA"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Borders>
              <w:bottom w:val="single" w:sz="4" w:space="0" w:color="auto"/>
            </w:tcBorders>
          </w:tcPr>
          <w:p w14:paraId="43567C4B" w14:textId="2E95A848"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607" w:type="pct"/>
            <w:tcBorders>
              <w:bottom w:val="single" w:sz="4" w:space="0" w:color="auto"/>
            </w:tcBorders>
          </w:tcPr>
          <w:p w14:paraId="67EB234F" w14:textId="1CDDBBBD"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27.0</w:t>
            </w:r>
          </w:p>
        </w:tc>
        <w:tc>
          <w:tcPr>
            <w:tcW w:w="606" w:type="pct"/>
            <w:tcBorders>
              <w:bottom w:val="single" w:sz="4" w:space="0" w:color="auto"/>
            </w:tcBorders>
          </w:tcPr>
          <w:p w14:paraId="42B67447" w14:textId="5AD79F09"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27.0</w:t>
            </w:r>
          </w:p>
        </w:tc>
      </w:tr>
      <w:tr w:rsidR="00387D16" w:rsidRPr="00054212" w14:paraId="5AE3EE06"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shd w:val="clear" w:color="auto" w:fill="auto"/>
          </w:tcPr>
          <w:p w14:paraId="0E350BA4" w14:textId="77777777" w:rsidR="00387D16" w:rsidRPr="00C35A23" w:rsidRDefault="00387D16" w:rsidP="0019520B">
            <w:pPr>
              <w:pStyle w:val="TableText"/>
              <w:rPr>
                <w:rStyle w:val="Bold"/>
              </w:rPr>
            </w:pPr>
            <w:r w:rsidRPr="00C35A23">
              <w:rPr>
                <w:rStyle w:val="Bold"/>
              </w:rPr>
              <w:t>Total receipts</w:t>
            </w:r>
          </w:p>
        </w:tc>
        <w:tc>
          <w:tcPr>
            <w:tcW w:w="607" w:type="pct"/>
            <w:tcBorders>
              <w:top w:val="single" w:sz="4" w:space="0" w:color="auto"/>
              <w:bottom w:val="single" w:sz="4" w:space="0" w:color="auto"/>
            </w:tcBorders>
            <w:shd w:val="clear" w:color="auto" w:fill="auto"/>
          </w:tcPr>
          <w:p w14:paraId="240C53D8" w14:textId="77777777" w:rsidR="00387D16" w:rsidRPr="0005421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054212">
              <w:t>N/A</w:t>
            </w:r>
          </w:p>
        </w:tc>
        <w:tc>
          <w:tcPr>
            <w:tcW w:w="607" w:type="pct"/>
            <w:tcBorders>
              <w:top w:val="single" w:sz="4" w:space="0" w:color="auto"/>
              <w:bottom w:val="single" w:sz="4" w:space="0" w:color="auto"/>
            </w:tcBorders>
            <w:shd w:val="clear" w:color="auto" w:fill="auto"/>
          </w:tcPr>
          <w:p w14:paraId="07F940F7" w14:textId="2CEF0B4D" w:rsidR="00387D16" w:rsidRPr="00C35A23" w:rsidRDefault="00192FC1"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675.7</w:t>
            </w:r>
          </w:p>
        </w:tc>
        <w:tc>
          <w:tcPr>
            <w:tcW w:w="607" w:type="pct"/>
            <w:tcBorders>
              <w:top w:val="single" w:sz="4" w:space="0" w:color="auto"/>
              <w:bottom w:val="single" w:sz="4" w:space="0" w:color="auto"/>
            </w:tcBorders>
            <w:shd w:val="clear" w:color="auto" w:fill="auto"/>
          </w:tcPr>
          <w:p w14:paraId="003DFFC1" w14:textId="791EB964" w:rsidR="00387D16" w:rsidRPr="00C35A23" w:rsidRDefault="00192FC1"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660.0</w:t>
            </w:r>
          </w:p>
        </w:tc>
        <w:tc>
          <w:tcPr>
            <w:tcW w:w="606" w:type="pct"/>
            <w:tcBorders>
              <w:top w:val="single" w:sz="4" w:space="0" w:color="auto"/>
              <w:bottom w:val="single" w:sz="4" w:space="0" w:color="auto"/>
            </w:tcBorders>
            <w:shd w:val="clear" w:color="auto" w:fill="auto"/>
          </w:tcPr>
          <w:p w14:paraId="65892F2E" w14:textId="667B1E14" w:rsidR="00387D16" w:rsidRPr="00C35A23" w:rsidRDefault="00192FC1"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(15.7)</w:t>
            </w:r>
          </w:p>
        </w:tc>
      </w:tr>
      <w:tr w:rsidR="00387D16" w:rsidRPr="003A36C2" w14:paraId="6361C805"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tcBorders>
          </w:tcPr>
          <w:p w14:paraId="752F3D22" w14:textId="77777777" w:rsidR="00387D16" w:rsidRPr="002D6DAF" w:rsidRDefault="00387D16" w:rsidP="00391247">
            <w:pPr>
              <w:pStyle w:val="TableText"/>
              <w:spacing w:before="120"/>
              <w:rPr>
                <w:rStyle w:val="Bold"/>
              </w:rPr>
            </w:pPr>
            <w:r w:rsidRPr="002D6DAF">
              <w:rPr>
                <w:rStyle w:val="Bold"/>
              </w:rPr>
              <w:t>Payments</w:t>
            </w:r>
          </w:p>
        </w:tc>
        <w:tc>
          <w:tcPr>
            <w:tcW w:w="607" w:type="pct"/>
            <w:tcBorders>
              <w:top w:val="single" w:sz="4" w:space="0" w:color="auto"/>
            </w:tcBorders>
          </w:tcPr>
          <w:p w14:paraId="30494334"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Borders>
              <w:top w:val="single" w:sz="4" w:space="0" w:color="auto"/>
            </w:tcBorders>
          </w:tcPr>
          <w:p w14:paraId="05A3F37E"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Borders>
              <w:top w:val="single" w:sz="4" w:space="0" w:color="auto"/>
            </w:tcBorders>
          </w:tcPr>
          <w:p w14:paraId="7DC0D4D4"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6" w:type="pct"/>
            <w:tcBorders>
              <w:top w:val="single" w:sz="4" w:space="0" w:color="auto"/>
            </w:tcBorders>
          </w:tcPr>
          <w:p w14:paraId="69B1C1B9"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1F932AD9"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394364A6" w14:textId="36E9F60A" w:rsidR="00387D16" w:rsidRPr="003A36C2" w:rsidRDefault="00387D16" w:rsidP="0019520B">
            <w:pPr>
              <w:pStyle w:val="TableText"/>
            </w:pPr>
            <w:r w:rsidRPr="003A36C2">
              <w:t>Payments to suppliers and employees</w:t>
            </w:r>
          </w:p>
        </w:tc>
        <w:tc>
          <w:tcPr>
            <w:tcW w:w="607" w:type="pct"/>
          </w:tcPr>
          <w:p w14:paraId="6978FF4E" w14:textId="455B1075"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61E74CB8" w14:textId="405D2429"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(557.3)</w:t>
            </w:r>
          </w:p>
        </w:tc>
        <w:tc>
          <w:tcPr>
            <w:tcW w:w="607" w:type="pct"/>
          </w:tcPr>
          <w:p w14:paraId="01771294" w14:textId="5B5CCFBF"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(547.3)</w:t>
            </w:r>
          </w:p>
        </w:tc>
        <w:tc>
          <w:tcPr>
            <w:tcW w:w="606" w:type="pct"/>
          </w:tcPr>
          <w:p w14:paraId="5010622D" w14:textId="48CCE311" w:rsidR="00387D16" w:rsidRPr="003A36C2" w:rsidRDefault="00192FC1" w:rsidP="0019520B">
            <w:pPr>
              <w:pStyle w:val="TableText"/>
              <w:cnfStyle w:val="000000000000" w:firstRow="0" w:lastRow="0" w:firstColumn="0" w:lastColumn="0" w:oddVBand="0" w:evenVBand="0" w:oddHBand="0" w:evenHBand="0" w:firstRowFirstColumn="0" w:firstRowLastColumn="0" w:lastRowFirstColumn="0" w:lastRowLastColumn="0"/>
            </w:pPr>
            <w:r>
              <w:t>10.1</w:t>
            </w:r>
          </w:p>
        </w:tc>
      </w:tr>
      <w:tr w:rsidR="00387D16" w:rsidRPr="003A36C2" w14:paraId="425CC686"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6BDF853F" w14:textId="77777777" w:rsidR="00387D16" w:rsidRPr="003A36C2" w:rsidRDefault="00387D16" w:rsidP="0019520B">
            <w:pPr>
              <w:pStyle w:val="TableText"/>
            </w:pPr>
            <w:r w:rsidRPr="003A36C2">
              <w:t>Payments of grants and other transfers</w:t>
            </w:r>
          </w:p>
        </w:tc>
        <w:tc>
          <w:tcPr>
            <w:tcW w:w="607" w:type="pct"/>
          </w:tcPr>
          <w:p w14:paraId="7907A77C" w14:textId="484E739D"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35B14BF0" w14:textId="3EA55C11"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(3.0)</w:t>
            </w:r>
          </w:p>
        </w:tc>
        <w:tc>
          <w:tcPr>
            <w:tcW w:w="607" w:type="pct"/>
          </w:tcPr>
          <w:p w14:paraId="6DBB14D2" w14:textId="4A721044"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(7.6)</w:t>
            </w:r>
          </w:p>
        </w:tc>
        <w:tc>
          <w:tcPr>
            <w:tcW w:w="606" w:type="pct"/>
          </w:tcPr>
          <w:p w14:paraId="3D1AA5F0" w14:textId="225F6D92"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(4.6)</w:t>
            </w:r>
          </w:p>
        </w:tc>
      </w:tr>
      <w:tr w:rsidR="00387D16" w:rsidRPr="003A36C2" w14:paraId="42540466"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7C38D074" w14:textId="77777777" w:rsidR="00387D16" w:rsidRPr="003A36C2" w:rsidRDefault="00387D16" w:rsidP="0019520B">
            <w:pPr>
              <w:pStyle w:val="TableText"/>
            </w:pPr>
            <w:r w:rsidRPr="003A36C2">
              <w:t>Capital assets charge payments</w:t>
            </w:r>
          </w:p>
        </w:tc>
        <w:tc>
          <w:tcPr>
            <w:tcW w:w="607" w:type="pct"/>
          </w:tcPr>
          <w:p w14:paraId="2AA1E0D0"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1F3A49FB" w14:textId="7AC4B6D6"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(46.4)</w:t>
            </w:r>
          </w:p>
        </w:tc>
        <w:tc>
          <w:tcPr>
            <w:tcW w:w="607" w:type="pct"/>
          </w:tcPr>
          <w:p w14:paraId="1A34E16D" w14:textId="5530304A"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(46.4)</w:t>
            </w:r>
          </w:p>
        </w:tc>
        <w:tc>
          <w:tcPr>
            <w:tcW w:w="606" w:type="pct"/>
          </w:tcPr>
          <w:p w14:paraId="79B8D1C2" w14:textId="09BB9D8F"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36C2" w14:paraId="3E122FC8"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bottom w:val="single" w:sz="4" w:space="0" w:color="auto"/>
            </w:tcBorders>
          </w:tcPr>
          <w:p w14:paraId="2C399FE3" w14:textId="77777777" w:rsidR="00387D16" w:rsidRPr="003A36C2" w:rsidRDefault="00387D16" w:rsidP="0019520B">
            <w:pPr>
              <w:pStyle w:val="TableText"/>
            </w:pPr>
            <w:r w:rsidRPr="003A36C2">
              <w:t>Interest and other costs of finance paid</w:t>
            </w:r>
          </w:p>
        </w:tc>
        <w:tc>
          <w:tcPr>
            <w:tcW w:w="607" w:type="pct"/>
            <w:tcBorders>
              <w:bottom w:val="single" w:sz="4" w:space="0" w:color="auto"/>
            </w:tcBorders>
          </w:tcPr>
          <w:p w14:paraId="39B79158"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Borders>
              <w:bottom w:val="single" w:sz="4" w:space="0" w:color="auto"/>
            </w:tcBorders>
          </w:tcPr>
          <w:p w14:paraId="524FBA8E" w14:textId="727BD6A3"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(8.6)</w:t>
            </w:r>
          </w:p>
        </w:tc>
        <w:tc>
          <w:tcPr>
            <w:tcW w:w="607" w:type="pct"/>
            <w:tcBorders>
              <w:bottom w:val="single" w:sz="4" w:space="0" w:color="auto"/>
            </w:tcBorders>
          </w:tcPr>
          <w:p w14:paraId="57B4AE67" w14:textId="6D5586A6"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(4.8)</w:t>
            </w:r>
          </w:p>
        </w:tc>
        <w:tc>
          <w:tcPr>
            <w:tcW w:w="606" w:type="pct"/>
            <w:tcBorders>
              <w:bottom w:val="single" w:sz="4" w:space="0" w:color="auto"/>
            </w:tcBorders>
          </w:tcPr>
          <w:p w14:paraId="499396EF" w14:textId="6543527F"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3.8</w:t>
            </w:r>
          </w:p>
        </w:tc>
      </w:tr>
      <w:tr w:rsidR="00387D16" w:rsidRPr="00054212" w14:paraId="41AE2F56"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shd w:val="clear" w:color="auto" w:fill="auto"/>
          </w:tcPr>
          <w:p w14:paraId="5ABFE724" w14:textId="77777777" w:rsidR="00387D16" w:rsidRPr="00C35A23" w:rsidRDefault="00387D16" w:rsidP="0019520B">
            <w:pPr>
              <w:pStyle w:val="TableText"/>
              <w:rPr>
                <w:rStyle w:val="Bold"/>
              </w:rPr>
            </w:pPr>
            <w:r w:rsidRPr="00C35A23">
              <w:rPr>
                <w:rStyle w:val="Bold"/>
              </w:rPr>
              <w:t>Total payments</w:t>
            </w:r>
          </w:p>
        </w:tc>
        <w:tc>
          <w:tcPr>
            <w:tcW w:w="607" w:type="pct"/>
            <w:tcBorders>
              <w:top w:val="single" w:sz="4" w:space="0" w:color="auto"/>
              <w:bottom w:val="single" w:sz="4" w:space="0" w:color="auto"/>
            </w:tcBorders>
            <w:shd w:val="clear" w:color="auto" w:fill="auto"/>
          </w:tcPr>
          <w:p w14:paraId="0F1347F7" w14:textId="77777777" w:rsidR="00387D16" w:rsidRPr="0005421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054212">
              <w:t>N/A</w:t>
            </w:r>
          </w:p>
        </w:tc>
        <w:tc>
          <w:tcPr>
            <w:tcW w:w="607" w:type="pct"/>
            <w:tcBorders>
              <w:top w:val="single" w:sz="4" w:space="0" w:color="auto"/>
              <w:bottom w:val="single" w:sz="4" w:space="0" w:color="auto"/>
            </w:tcBorders>
            <w:shd w:val="clear" w:color="auto" w:fill="auto"/>
          </w:tcPr>
          <w:p w14:paraId="71BC9A2E" w14:textId="62398F89"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(615.3)</w:t>
            </w:r>
          </w:p>
        </w:tc>
        <w:tc>
          <w:tcPr>
            <w:tcW w:w="607" w:type="pct"/>
            <w:tcBorders>
              <w:top w:val="single" w:sz="4" w:space="0" w:color="auto"/>
              <w:bottom w:val="single" w:sz="4" w:space="0" w:color="auto"/>
            </w:tcBorders>
            <w:shd w:val="clear" w:color="auto" w:fill="auto"/>
          </w:tcPr>
          <w:p w14:paraId="6B73D38A" w14:textId="21982CD3"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(606.0)</w:t>
            </w:r>
          </w:p>
        </w:tc>
        <w:tc>
          <w:tcPr>
            <w:tcW w:w="606" w:type="pct"/>
            <w:tcBorders>
              <w:top w:val="single" w:sz="4" w:space="0" w:color="auto"/>
              <w:bottom w:val="single" w:sz="4" w:space="0" w:color="auto"/>
            </w:tcBorders>
            <w:shd w:val="clear" w:color="auto" w:fill="auto"/>
          </w:tcPr>
          <w:p w14:paraId="558746A6" w14:textId="72A9E298"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9.3</w:t>
            </w:r>
          </w:p>
        </w:tc>
      </w:tr>
      <w:tr w:rsidR="00387D16" w:rsidRPr="002D6DAF" w14:paraId="18E68AFD"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tcBorders>
          </w:tcPr>
          <w:p w14:paraId="525AD8B2" w14:textId="77777777" w:rsidR="00387D16" w:rsidRPr="002D6DAF" w:rsidRDefault="00387D16" w:rsidP="0019520B">
            <w:pPr>
              <w:pStyle w:val="TableText"/>
            </w:pPr>
            <w:r w:rsidRPr="002D6DAF">
              <w:t>Net cash provided by</w:t>
            </w:r>
            <w:proofErr w:type="gramStart"/>
            <w:r w:rsidRPr="002D6DAF">
              <w:t>/(</w:t>
            </w:r>
            <w:proofErr w:type="gramEnd"/>
            <w:r w:rsidRPr="002D6DAF">
              <w:t>used in) operating activities</w:t>
            </w:r>
          </w:p>
        </w:tc>
        <w:tc>
          <w:tcPr>
            <w:tcW w:w="607" w:type="pct"/>
            <w:tcBorders>
              <w:top w:val="single" w:sz="4" w:space="0" w:color="auto"/>
            </w:tcBorders>
          </w:tcPr>
          <w:p w14:paraId="0238186F" w14:textId="77777777" w:rsidR="00387D16" w:rsidRPr="002D6DAF"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2D6DAF">
              <w:t>N/A</w:t>
            </w:r>
          </w:p>
        </w:tc>
        <w:tc>
          <w:tcPr>
            <w:tcW w:w="607" w:type="pct"/>
            <w:tcBorders>
              <w:top w:val="single" w:sz="4" w:space="0" w:color="auto"/>
            </w:tcBorders>
          </w:tcPr>
          <w:p w14:paraId="3D0DFFCA" w14:textId="01326B3F" w:rsidR="00387D16" w:rsidRPr="002D6DAF"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60.4</w:t>
            </w:r>
          </w:p>
        </w:tc>
        <w:tc>
          <w:tcPr>
            <w:tcW w:w="607" w:type="pct"/>
            <w:tcBorders>
              <w:top w:val="single" w:sz="4" w:space="0" w:color="auto"/>
            </w:tcBorders>
          </w:tcPr>
          <w:p w14:paraId="5D1ABB54" w14:textId="62EA65FA" w:rsidR="00387D16" w:rsidRPr="002D6DAF"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53.9</w:t>
            </w:r>
          </w:p>
        </w:tc>
        <w:tc>
          <w:tcPr>
            <w:tcW w:w="606" w:type="pct"/>
            <w:tcBorders>
              <w:top w:val="single" w:sz="4" w:space="0" w:color="auto"/>
            </w:tcBorders>
          </w:tcPr>
          <w:p w14:paraId="65917947" w14:textId="303D59C8" w:rsidR="00387D16" w:rsidRPr="002D6DAF"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(6.4)</w:t>
            </w:r>
          </w:p>
        </w:tc>
      </w:tr>
      <w:tr w:rsidR="00387D16" w:rsidRPr="003A36C2" w14:paraId="3EF9CC57"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5F6EB87E" w14:textId="77777777" w:rsidR="00387D16" w:rsidRPr="002D6DAF" w:rsidRDefault="00387D16" w:rsidP="00391247">
            <w:pPr>
              <w:pStyle w:val="TableText"/>
              <w:spacing w:before="120"/>
              <w:rPr>
                <w:rStyle w:val="Bold"/>
              </w:rPr>
            </w:pPr>
            <w:r w:rsidRPr="002D6DAF">
              <w:rPr>
                <w:rStyle w:val="Bold"/>
              </w:rPr>
              <w:t>Cash flows from investing activities</w:t>
            </w:r>
          </w:p>
        </w:tc>
        <w:tc>
          <w:tcPr>
            <w:tcW w:w="607" w:type="pct"/>
          </w:tcPr>
          <w:p w14:paraId="35A89689"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Pr>
          <w:p w14:paraId="1FA3DAAA"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Pr>
          <w:p w14:paraId="6C087DE0"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6" w:type="pct"/>
          </w:tcPr>
          <w:p w14:paraId="1CD1FD94"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37052CC7"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1020FA94" w14:textId="77777777" w:rsidR="00387D16" w:rsidRPr="003A36C2" w:rsidRDefault="00387D16" w:rsidP="0019520B">
            <w:pPr>
              <w:pStyle w:val="TableText"/>
            </w:pPr>
            <w:r w:rsidRPr="003A36C2">
              <w:t>Purchases of non-financial assets</w:t>
            </w:r>
          </w:p>
        </w:tc>
        <w:tc>
          <w:tcPr>
            <w:tcW w:w="607" w:type="pct"/>
          </w:tcPr>
          <w:p w14:paraId="5C39B27E" w14:textId="0AC8C389"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2C81647D" w14:textId="65F951E2"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(115.3)</w:t>
            </w:r>
          </w:p>
        </w:tc>
        <w:tc>
          <w:tcPr>
            <w:tcW w:w="607" w:type="pct"/>
          </w:tcPr>
          <w:p w14:paraId="7AF8EBA5" w14:textId="7AE50997"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(95.2)</w:t>
            </w:r>
          </w:p>
        </w:tc>
        <w:tc>
          <w:tcPr>
            <w:tcW w:w="606" w:type="pct"/>
          </w:tcPr>
          <w:p w14:paraId="3A7509C9" w14:textId="49FA458C"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20.1</w:t>
            </w:r>
          </w:p>
        </w:tc>
      </w:tr>
      <w:tr w:rsidR="00387D16" w:rsidRPr="003A36C2" w14:paraId="2269AF84"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bottom w:val="single" w:sz="4" w:space="0" w:color="auto"/>
            </w:tcBorders>
          </w:tcPr>
          <w:p w14:paraId="5C939014" w14:textId="4890A6D6" w:rsidR="00387D16" w:rsidRPr="003A36C2" w:rsidRDefault="00387D16" w:rsidP="0019520B">
            <w:pPr>
              <w:pStyle w:val="TableText"/>
            </w:pPr>
            <w:r w:rsidRPr="003A36C2">
              <w:t>Proceed sales of non-financial assets</w:t>
            </w:r>
          </w:p>
        </w:tc>
        <w:tc>
          <w:tcPr>
            <w:tcW w:w="607" w:type="pct"/>
            <w:tcBorders>
              <w:bottom w:val="single" w:sz="4" w:space="0" w:color="auto"/>
            </w:tcBorders>
          </w:tcPr>
          <w:p w14:paraId="240B3B8A"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Borders>
              <w:bottom w:val="single" w:sz="4" w:space="0" w:color="auto"/>
            </w:tcBorders>
          </w:tcPr>
          <w:p w14:paraId="5DF7E2AA" w14:textId="57707976"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607" w:type="pct"/>
            <w:tcBorders>
              <w:bottom w:val="single" w:sz="4" w:space="0" w:color="auto"/>
            </w:tcBorders>
          </w:tcPr>
          <w:p w14:paraId="09BF832E" w14:textId="06F50E7B"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2.6</w:t>
            </w:r>
          </w:p>
        </w:tc>
        <w:tc>
          <w:tcPr>
            <w:tcW w:w="606" w:type="pct"/>
            <w:tcBorders>
              <w:bottom w:val="single" w:sz="4" w:space="0" w:color="auto"/>
            </w:tcBorders>
          </w:tcPr>
          <w:p w14:paraId="13183303" w14:textId="3FA5DA51"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2.6</w:t>
            </w:r>
          </w:p>
        </w:tc>
      </w:tr>
      <w:tr w:rsidR="00387D16" w:rsidRPr="00054212" w14:paraId="1D9B4F6D"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shd w:val="clear" w:color="auto" w:fill="auto"/>
          </w:tcPr>
          <w:p w14:paraId="4B7F21FC" w14:textId="77777777" w:rsidR="00387D16" w:rsidRPr="00054212" w:rsidRDefault="00387D16" w:rsidP="0019520B">
            <w:pPr>
              <w:pStyle w:val="TableText"/>
              <w:rPr>
                <w:rStyle w:val="Bold"/>
              </w:rPr>
            </w:pPr>
            <w:r w:rsidRPr="00054212">
              <w:rPr>
                <w:rStyle w:val="Bold"/>
              </w:rPr>
              <w:t>Net cash provided by</w:t>
            </w:r>
            <w:proofErr w:type="gramStart"/>
            <w:r w:rsidRPr="00054212">
              <w:rPr>
                <w:rStyle w:val="Bold"/>
              </w:rPr>
              <w:t>/(</w:t>
            </w:r>
            <w:proofErr w:type="gramEnd"/>
            <w:r w:rsidRPr="00054212">
              <w:rPr>
                <w:rStyle w:val="Bold"/>
              </w:rPr>
              <w:t>used in) investing activities</w:t>
            </w:r>
          </w:p>
        </w:tc>
        <w:tc>
          <w:tcPr>
            <w:tcW w:w="607" w:type="pct"/>
            <w:tcBorders>
              <w:top w:val="single" w:sz="4" w:space="0" w:color="auto"/>
              <w:bottom w:val="single" w:sz="4" w:space="0" w:color="auto"/>
            </w:tcBorders>
            <w:shd w:val="clear" w:color="auto" w:fill="auto"/>
          </w:tcPr>
          <w:p w14:paraId="6747A1E0" w14:textId="77777777" w:rsidR="00387D16" w:rsidRPr="00054212" w:rsidRDefault="00387D16"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054212">
              <w:t>N/A</w:t>
            </w:r>
          </w:p>
        </w:tc>
        <w:tc>
          <w:tcPr>
            <w:tcW w:w="607" w:type="pct"/>
            <w:tcBorders>
              <w:top w:val="single" w:sz="4" w:space="0" w:color="auto"/>
              <w:bottom w:val="single" w:sz="4" w:space="0" w:color="auto"/>
            </w:tcBorders>
            <w:shd w:val="clear" w:color="auto" w:fill="auto"/>
          </w:tcPr>
          <w:p w14:paraId="421A0CB4" w14:textId="5390217E" w:rsidR="00387D16" w:rsidRPr="00054212"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(115.3)</w:t>
            </w:r>
          </w:p>
        </w:tc>
        <w:tc>
          <w:tcPr>
            <w:tcW w:w="607" w:type="pct"/>
            <w:tcBorders>
              <w:top w:val="single" w:sz="4" w:space="0" w:color="auto"/>
              <w:bottom w:val="single" w:sz="4" w:space="0" w:color="auto"/>
            </w:tcBorders>
            <w:shd w:val="clear" w:color="auto" w:fill="auto"/>
          </w:tcPr>
          <w:p w14:paraId="7C6638AB" w14:textId="00691405" w:rsidR="00387D16" w:rsidRPr="00054212"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(92.6)</w:t>
            </w:r>
          </w:p>
        </w:tc>
        <w:tc>
          <w:tcPr>
            <w:tcW w:w="606" w:type="pct"/>
            <w:tcBorders>
              <w:top w:val="single" w:sz="4" w:space="0" w:color="auto"/>
              <w:bottom w:val="single" w:sz="4" w:space="0" w:color="auto"/>
            </w:tcBorders>
            <w:shd w:val="clear" w:color="auto" w:fill="auto"/>
          </w:tcPr>
          <w:p w14:paraId="7898EBCF" w14:textId="422C4CE1" w:rsidR="00387D16" w:rsidRPr="00054212"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22.6</w:t>
            </w:r>
          </w:p>
        </w:tc>
      </w:tr>
      <w:tr w:rsidR="00387D16" w:rsidRPr="003A36C2" w14:paraId="38CA9E0A"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tcBorders>
          </w:tcPr>
          <w:p w14:paraId="6A42B960" w14:textId="77777777" w:rsidR="00387D16" w:rsidRPr="002D6DAF" w:rsidRDefault="00387D16" w:rsidP="00391247">
            <w:pPr>
              <w:pStyle w:val="TableText"/>
              <w:spacing w:before="120"/>
              <w:rPr>
                <w:rStyle w:val="Bold"/>
              </w:rPr>
            </w:pPr>
            <w:r w:rsidRPr="002D6DAF">
              <w:rPr>
                <w:rStyle w:val="Bold"/>
              </w:rPr>
              <w:t>Cash flows from financing activities</w:t>
            </w:r>
          </w:p>
        </w:tc>
        <w:tc>
          <w:tcPr>
            <w:tcW w:w="607" w:type="pct"/>
            <w:tcBorders>
              <w:top w:val="single" w:sz="4" w:space="0" w:color="auto"/>
            </w:tcBorders>
          </w:tcPr>
          <w:p w14:paraId="1CCE7B3B"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Borders>
              <w:top w:val="single" w:sz="4" w:space="0" w:color="auto"/>
            </w:tcBorders>
          </w:tcPr>
          <w:p w14:paraId="385A5ABB"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7" w:type="pct"/>
            <w:tcBorders>
              <w:top w:val="single" w:sz="4" w:space="0" w:color="auto"/>
            </w:tcBorders>
          </w:tcPr>
          <w:p w14:paraId="7D5778AB"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606" w:type="pct"/>
            <w:tcBorders>
              <w:top w:val="single" w:sz="4" w:space="0" w:color="auto"/>
            </w:tcBorders>
          </w:tcPr>
          <w:p w14:paraId="1FBD35EE" w14:textId="77777777" w:rsidR="00387D16" w:rsidRPr="003A36C2" w:rsidRDefault="00387D16" w:rsidP="00391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66768BD4"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501DB069" w14:textId="77777777" w:rsidR="00387D16" w:rsidRPr="003A36C2" w:rsidRDefault="00387D16" w:rsidP="0019520B">
            <w:pPr>
              <w:pStyle w:val="TableText"/>
            </w:pPr>
            <w:r w:rsidRPr="003A36C2">
              <w:t>Owner contributions by State Government</w:t>
            </w:r>
          </w:p>
        </w:tc>
        <w:tc>
          <w:tcPr>
            <w:tcW w:w="607" w:type="pct"/>
          </w:tcPr>
          <w:p w14:paraId="1E0590A0" w14:textId="61444D42"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568A13DA" w14:textId="64E910AF" w:rsidR="00387D16" w:rsidRPr="003A36C2" w:rsidRDefault="00391247" w:rsidP="0019520B">
            <w:pPr>
              <w:pStyle w:val="TableText"/>
              <w:cnfStyle w:val="000000000000" w:firstRow="0" w:lastRow="0" w:firstColumn="0" w:lastColumn="0" w:oddVBand="0" w:evenVBand="0" w:oddHBand="0" w:evenHBand="0" w:firstRowFirstColumn="0" w:firstRowLastColumn="0" w:lastRowFirstColumn="0" w:lastRowLastColumn="0"/>
            </w:pPr>
            <w:r>
              <w:t>73.3</w:t>
            </w:r>
          </w:p>
        </w:tc>
        <w:tc>
          <w:tcPr>
            <w:tcW w:w="607" w:type="pct"/>
          </w:tcPr>
          <w:p w14:paraId="0A288836" w14:textId="5E9E695A"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66.0</w:t>
            </w:r>
          </w:p>
        </w:tc>
        <w:tc>
          <w:tcPr>
            <w:tcW w:w="606" w:type="pct"/>
          </w:tcPr>
          <w:p w14:paraId="4FFE3650" w14:textId="3DDD9235"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6CDF2C04" w14:textId="77777777" w:rsidR="00387D16" w:rsidRPr="003A36C2" w:rsidRDefault="00387D16" w:rsidP="0019520B">
            <w:pPr>
              <w:pStyle w:val="TableText"/>
            </w:pPr>
            <w:r w:rsidRPr="003A36C2">
              <w:t>Repayment of borrowing and finance leases</w:t>
            </w:r>
          </w:p>
        </w:tc>
        <w:tc>
          <w:tcPr>
            <w:tcW w:w="607" w:type="pct"/>
          </w:tcPr>
          <w:p w14:paraId="48A873CA" w14:textId="33B8503D"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016EDA3D" w14:textId="52F2F5F2"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607" w:type="pct"/>
          </w:tcPr>
          <w:p w14:paraId="14B6FF13" w14:textId="0CF09E4F"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606" w:type="pct"/>
          </w:tcPr>
          <w:p w14:paraId="4B64361F" w14:textId="7D34C9EF"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8E66F7" w:rsidRPr="003A36C2" w14:paraId="6A856609" w14:textId="77777777" w:rsidTr="0019520B">
        <w:tc>
          <w:tcPr>
            <w:cnfStyle w:val="001000000000" w:firstRow="0" w:lastRow="0" w:firstColumn="1" w:lastColumn="0" w:oddVBand="0" w:evenVBand="0" w:oddHBand="0" w:evenHBand="0" w:firstRowFirstColumn="0" w:firstRowLastColumn="0" w:lastRowFirstColumn="0" w:lastRowLastColumn="0"/>
            <w:tcW w:w="2574" w:type="pct"/>
          </w:tcPr>
          <w:p w14:paraId="460C5B64" w14:textId="4A787954" w:rsidR="008E66F7" w:rsidRPr="003A36C2" w:rsidRDefault="008E66F7" w:rsidP="0019520B">
            <w:pPr>
              <w:pStyle w:val="TableText"/>
            </w:pPr>
            <w:r>
              <w:t>Repayment of right of use leases</w:t>
            </w:r>
          </w:p>
        </w:tc>
        <w:tc>
          <w:tcPr>
            <w:tcW w:w="607" w:type="pct"/>
          </w:tcPr>
          <w:p w14:paraId="631ADA73" w14:textId="21BEE536" w:rsidR="008E66F7"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Pr>
          <w:p w14:paraId="183B66CA" w14:textId="3E8A2B6C" w:rsidR="008E66F7"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(18.4)</w:t>
            </w:r>
          </w:p>
        </w:tc>
        <w:tc>
          <w:tcPr>
            <w:tcW w:w="607" w:type="pct"/>
          </w:tcPr>
          <w:p w14:paraId="39E31445" w14:textId="76AA2661" w:rsidR="008E66F7"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(25.3)</w:t>
            </w:r>
          </w:p>
        </w:tc>
        <w:tc>
          <w:tcPr>
            <w:tcW w:w="606" w:type="pct"/>
          </w:tcPr>
          <w:p w14:paraId="578D8071" w14:textId="5B828783" w:rsidR="008E66F7"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(6.9)</w:t>
            </w:r>
          </w:p>
        </w:tc>
      </w:tr>
      <w:tr w:rsidR="00387D16" w:rsidRPr="002D6DAF" w14:paraId="663F4705"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bottom w:val="single" w:sz="4" w:space="0" w:color="auto"/>
            </w:tcBorders>
          </w:tcPr>
          <w:p w14:paraId="0351D34F" w14:textId="77777777" w:rsidR="00387D16" w:rsidRPr="00C35A23" w:rsidRDefault="00387D16" w:rsidP="0019520B">
            <w:pPr>
              <w:pStyle w:val="TableText"/>
              <w:rPr>
                <w:rStyle w:val="Bold"/>
              </w:rPr>
            </w:pPr>
            <w:r w:rsidRPr="00C35A23">
              <w:rPr>
                <w:rStyle w:val="Bold"/>
              </w:rPr>
              <w:t>Net cash provided by</w:t>
            </w:r>
            <w:proofErr w:type="gramStart"/>
            <w:r w:rsidRPr="00C35A23">
              <w:rPr>
                <w:rStyle w:val="Bold"/>
              </w:rPr>
              <w:t>/(</w:t>
            </w:r>
            <w:proofErr w:type="gramEnd"/>
            <w:r w:rsidRPr="00C35A23">
              <w:rPr>
                <w:rStyle w:val="Bold"/>
              </w:rPr>
              <w:t>used in) financing activities</w:t>
            </w:r>
          </w:p>
        </w:tc>
        <w:tc>
          <w:tcPr>
            <w:tcW w:w="607" w:type="pct"/>
            <w:tcBorders>
              <w:bottom w:val="single" w:sz="4" w:space="0" w:color="auto"/>
            </w:tcBorders>
          </w:tcPr>
          <w:p w14:paraId="75243106" w14:textId="77777777" w:rsidR="00387D16" w:rsidRPr="002D6DAF"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2D6DAF">
              <w:t>N/A</w:t>
            </w:r>
          </w:p>
        </w:tc>
        <w:tc>
          <w:tcPr>
            <w:tcW w:w="607" w:type="pct"/>
            <w:tcBorders>
              <w:bottom w:val="single" w:sz="4" w:space="0" w:color="auto"/>
            </w:tcBorders>
          </w:tcPr>
          <w:p w14:paraId="08799D49" w14:textId="660689A8"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73.3</w:t>
            </w:r>
          </w:p>
        </w:tc>
        <w:tc>
          <w:tcPr>
            <w:tcW w:w="607" w:type="pct"/>
            <w:tcBorders>
              <w:bottom w:val="single" w:sz="4" w:space="0" w:color="auto"/>
            </w:tcBorders>
          </w:tcPr>
          <w:p w14:paraId="3C93A581" w14:textId="50A4AEAA"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40.7</w:t>
            </w:r>
          </w:p>
        </w:tc>
        <w:tc>
          <w:tcPr>
            <w:tcW w:w="606" w:type="pct"/>
            <w:tcBorders>
              <w:bottom w:val="single" w:sz="4" w:space="0" w:color="auto"/>
            </w:tcBorders>
          </w:tcPr>
          <w:p w14:paraId="0741113F" w14:textId="622F770A"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(14.2)</w:t>
            </w:r>
          </w:p>
        </w:tc>
      </w:tr>
      <w:tr w:rsidR="00387D16" w:rsidRPr="00054212" w14:paraId="7ECEA8A9"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shd w:val="clear" w:color="auto" w:fill="auto"/>
          </w:tcPr>
          <w:p w14:paraId="2494804E" w14:textId="77777777" w:rsidR="00387D16" w:rsidRPr="00C35A23" w:rsidRDefault="00387D16" w:rsidP="0019520B">
            <w:pPr>
              <w:pStyle w:val="TableText"/>
              <w:rPr>
                <w:rStyle w:val="Bold"/>
              </w:rPr>
            </w:pPr>
            <w:r w:rsidRPr="00C35A23">
              <w:rPr>
                <w:rStyle w:val="Bold"/>
              </w:rPr>
              <w:t>Net increase (decrease) in cash held</w:t>
            </w:r>
          </w:p>
        </w:tc>
        <w:tc>
          <w:tcPr>
            <w:tcW w:w="607" w:type="pct"/>
            <w:tcBorders>
              <w:top w:val="single" w:sz="4" w:space="0" w:color="auto"/>
              <w:bottom w:val="single" w:sz="4" w:space="0" w:color="auto"/>
            </w:tcBorders>
            <w:shd w:val="clear" w:color="auto" w:fill="auto"/>
          </w:tcPr>
          <w:p w14:paraId="700B02FB" w14:textId="77777777" w:rsidR="00387D16" w:rsidRPr="0005421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rsidRPr="00054212">
              <w:t>N/A</w:t>
            </w:r>
          </w:p>
        </w:tc>
        <w:tc>
          <w:tcPr>
            <w:tcW w:w="607" w:type="pct"/>
            <w:tcBorders>
              <w:top w:val="single" w:sz="4" w:space="0" w:color="auto"/>
              <w:bottom w:val="single" w:sz="4" w:space="0" w:color="auto"/>
            </w:tcBorders>
            <w:shd w:val="clear" w:color="auto" w:fill="auto"/>
          </w:tcPr>
          <w:p w14:paraId="717E3E6F" w14:textId="295E3C5B"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18.4</w:t>
            </w:r>
          </w:p>
        </w:tc>
        <w:tc>
          <w:tcPr>
            <w:tcW w:w="607" w:type="pct"/>
            <w:tcBorders>
              <w:top w:val="single" w:sz="4" w:space="0" w:color="auto"/>
              <w:bottom w:val="single" w:sz="4" w:space="0" w:color="auto"/>
            </w:tcBorders>
            <w:shd w:val="clear" w:color="auto" w:fill="auto"/>
          </w:tcPr>
          <w:p w14:paraId="132E0DDB" w14:textId="3B370D7A"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2.0</w:t>
            </w:r>
          </w:p>
        </w:tc>
        <w:tc>
          <w:tcPr>
            <w:tcW w:w="606" w:type="pct"/>
            <w:tcBorders>
              <w:top w:val="single" w:sz="4" w:space="0" w:color="auto"/>
              <w:bottom w:val="single" w:sz="4" w:space="0" w:color="auto"/>
            </w:tcBorders>
            <w:shd w:val="clear" w:color="auto" w:fill="auto"/>
          </w:tcPr>
          <w:p w14:paraId="68D642D4" w14:textId="252190EA" w:rsidR="00387D16" w:rsidRPr="00C35A23" w:rsidRDefault="008E66F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sidRPr="00C35A23">
              <w:rPr>
                <w:rStyle w:val="Bold"/>
              </w:rPr>
              <w:t>(16.5)</w:t>
            </w:r>
          </w:p>
        </w:tc>
      </w:tr>
      <w:tr w:rsidR="00387D16" w:rsidRPr="003A36C2" w14:paraId="50B41D97" w14:textId="77777777" w:rsidTr="0019520B">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tcBorders>
          </w:tcPr>
          <w:p w14:paraId="59295FF1" w14:textId="77777777" w:rsidR="00387D16" w:rsidRPr="003A36C2" w:rsidRDefault="00387D16" w:rsidP="0019520B">
            <w:pPr>
              <w:pStyle w:val="TableText"/>
            </w:pPr>
            <w:r w:rsidRPr="003A36C2">
              <w:t>Cash and cash equivalents at the beginning of</w:t>
            </w:r>
            <w:r>
              <w:t xml:space="preserve"> </w:t>
            </w:r>
            <w:r w:rsidRPr="003A36C2">
              <w:t>the</w:t>
            </w:r>
            <w:r>
              <w:t xml:space="preserve"> </w:t>
            </w:r>
            <w:r w:rsidRPr="003A36C2">
              <w:t>financial year</w:t>
            </w:r>
          </w:p>
        </w:tc>
        <w:tc>
          <w:tcPr>
            <w:tcW w:w="607" w:type="pct"/>
            <w:tcBorders>
              <w:top w:val="single" w:sz="4" w:space="0" w:color="auto"/>
            </w:tcBorders>
          </w:tcPr>
          <w:p w14:paraId="235286D4"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607" w:type="pct"/>
            <w:tcBorders>
              <w:top w:val="single" w:sz="4" w:space="0" w:color="auto"/>
            </w:tcBorders>
          </w:tcPr>
          <w:p w14:paraId="300B4A88" w14:textId="6F1CCBF5"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607" w:type="pct"/>
            <w:tcBorders>
              <w:top w:val="single" w:sz="4" w:space="0" w:color="auto"/>
            </w:tcBorders>
          </w:tcPr>
          <w:p w14:paraId="3C37233D" w14:textId="1DAE4116"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17.9</w:t>
            </w:r>
          </w:p>
        </w:tc>
        <w:tc>
          <w:tcPr>
            <w:tcW w:w="606" w:type="pct"/>
            <w:tcBorders>
              <w:top w:val="single" w:sz="4" w:space="0" w:color="auto"/>
            </w:tcBorders>
          </w:tcPr>
          <w:p w14:paraId="2A4FC137" w14:textId="0ED8AEA6" w:rsidR="00387D16" w:rsidRPr="003A36C2" w:rsidRDefault="008E66F7" w:rsidP="0019520B">
            <w:pPr>
              <w:pStyle w:val="TableText"/>
              <w:cnfStyle w:val="000000000000" w:firstRow="0" w:lastRow="0" w:firstColumn="0" w:lastColumn="0" w:oddVBand="0" w:evenVBand="0" w:oddHBand="0" w:evenHBand="0" w:firstRowFirstColumn="0" w:firstRowLastColumn="0" w:lastRowFirstColumn="0" w:lastRowLastColumn="0"/>
            </w:pPr>
            <w:r>
              <w:t>17.9</w:t>
            </w:r>
          </w:p>
        </w:tc>
      </w:tr>
      <w:tr w:rsidR="00387D16" w:rsidRPr="00054212" w14:paraId="365020DF" w14:textId="77777777" w:rsidTr="001952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pct"/>
          </w:tcPr>
          <w:p w14:paraId="28E0160E" w14:textId="70A4B0CA" w:rsidR="00387D16" w:rsidRPr="00C35A23" w:rsidRDefault="00387D16" w:rsidP="0019520B">
            <w:pPr>
              <w:pStyle w:val="TableText"/>
              <w:rPr>
                <w:rStyle w:val="Bold"/>
              </w:rPr>
            </w:pPr>
            <w:r w:rsidRPr="00C35A23">
              <w:rPr>
                <w:rStyle w:val="Bold"/>
              </w:rPr>
              <w:t xml:space="preserve">Cash and cash equivalents at the </w:t>
            </w:r>
            <w:r w:rsidR="008E66F7" w:rsidRPr="00C35A23">
              <w:rPr>
                <w:rStyle w:val="Bold"/>
              </w:rPr>
              <w:t>e</w:t>
            </w:r>
            <w:r w:rsidRPr="00C35A23">
              <w:rPr>
                <w:rStyle w:val="Bold"/>
              </w:rPr>
              <w:t>nd of the financial year</w:t>
            </w:r>
          </w:p>
        </w:tc>
        <w:tc>
          <w:tcPr>
            <w:tcW w:w="607" w:type="pct"/>
          </w:tcPr>
          <w:p w14:paraId="37BAD5A7" w14:textId="77777777" w:rsidR="00387D16" w:rsidRPr="00054212" w:rsidRDefault="00387D16" w:rsidP="0019520B">
            <w:pPr>
              <w:pStyle w:val="TableText"/>
              <w:cnfStyle w:val="010000000000" w:firstRow="0" w:lastRow="1" w:firstColumn="0" w:lastColumn="0" w:oddVBand="0" w:evenVBand="0" w:oddHBand="0" w:evenHBand="0" w:firstRowFirstColumn="0" w:firstRowLastColumn="0" w:lastRowFirstColumn="0" w:lastRowLastColumn="0"/>
            </w:pPr>
            <w:r w:rsidRPr="00054212">
              <w:t>N/A</w:t>
            </w:r>
          </w:p>
        </w:tc>
        <w:tc>
          <w:tcPr>
            <w:tcW w:w="607" w:type="pct"/>
          </w:tcPr>
          <w:p w14:paraId="15A334D9" w14:textId="44F5B32A" w:rsidR="00387D16" w:rsidRPr="00C35A23" w:rsidRDefault="008E66F7"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C35A23">
              <w:rPr>
                <w:rStyle w:val="Bold"/>
              </w:rPr>
              <w:t>0.0</w:t>
            </w:r>
          </w:p>
        </w:tc>
        <w:tc>
          <w:tcPr>
            <w:tcW w:w="607" w:type="pct"/>
          </w:tcPr>
          <w:p w14:paraId="312F1FC1" w14:textId="1AB0EB75" w:rsidR="00387D16" w:rsidRPr="00C35A23" w:rsidRDefault="008E66F7"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C35A23">
              <w:rPr>
                <w:rStyle w:val="Bold"/>
              </w:rPr>
              <w:t>19.9</w:t>
            </w:r>
          </w:p>
        </w:tc>
        <w:tc>
          <w:tcPr>
            <w:tcW w:w="606" w:type="pct"/>
          </w:tcPr>
          <w:p w14:paraId="77E20E6B" w14:textId="29ADCA65" w:rsidR="00387D16" w:rsidRPr="00C35A23" w:rsidRDefault="008E66F7"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sidRPr="00C35A23">
              <w:rPr>
                <w:rStyle w:val="Bold"/>
              </w:rPr>
              <w:t>19.9</w:t>
            </w:r>
          </w:p>
        </w:tc>
      </w:tr>
    </w:tbl>
    <w:p w14:paraId="3B09EA8C" w14:textId="4162F583" w:rsidR="00387D16" w:rsidRDefault="00387D16" w:rsidP="00387D16">
      <w:pPr>
        <w:pStyle w:val="NotesText"/>
      </w:pPr>
      <w:r>
        <w:t>Note:</w:t>
      </w:r>
    </w:p>
    <w:p w14:paraId="7715ECC5" w14:textId="1415CEE9" w:rsidR="000C4113" w:rsidRDefault="000C4113" w:rsidP="00F110E7">
      <w:pPr>
        <w:pStyle w:val="NotesNumberedList"/>
        <w:numPr>
          <w:ilvl w:val="0"/>
          <w:numId w:val="29"/>
        </w:numPr>
      </w:pPr>
      <w:bookmarkStart w:id="545" w:name="NoteBR3note1"/>
      <w:bookmarkStart w:id="546" w:name="Note113tablenote1"/>
      <w:bookmarkEnd w:id="545"/>
      <w:r>
        <w:t>Receipts from Government are lower than the published budget due to appropriation re-phased into future years.</w:t>
      </w:r>
    </w:p>
    <w:p w14:paraId="09F33742" w14:textId="7EC7A526" w:rsidR="00387D16" w:rsidRDefault="000C4113" w:rsidP="00387D16">
      <w:pPr>
        <w:pStyle w:val="Heading3"/>
        <w:pageBreakBefore/>
      </w:pPr>
      <w:bookmarkStart w:id="547" w:name="BR4"/>
      <w:bookmarkStart w:id="548" w:name="Note114"/>
      <w:bookmarkStart w:id="549" w:name="_Ref22653855"/>
      <w:bookmarkStart w:id="550" w:name="_Toc62808196"/>
      <w:bookmarkEnd w:id="546"/>
      <w:r w:rsidRPr="00C721C5">
        <w:t>BR4</w:t>
      </w:r>
      <w:bookmarkEnd w:id="547"/>
      <w:r w:rsidR="00387D16" w:rsidRPr="00C721C5">
        <w:t xml:space="preserve"> </w:t>
      </w:r>
      <w:bookmarkEnd w:id="548"/>
      <w:r w:rsidR="00387D16" w:rsidRPr="00C721C5">
        <w:t>Statement of Changes in Equity for the Financial Year Ended 30 June 20</w:t>
      </w:r>
      <w:bookmarkEnd w:id="549"/>
      <w:r w:rsidRPr="00C721C5">
        <w:t>20</w:t>
      </w:r>
      <w:bookmarkEnd w:id="550"/>
    </w:p>
    <w:tbl>
      <w:tblPr>
        <w:tblStyle w:val="AccessibleTableNumerical"/>
        <w:tblW w:w="5000" w:type="pct"/>
        <w:tblLook w:val="04E0" w:firstRow="1" w:lastRow="1" w:firstColumn="1" w:lastColumn="0" w:noHBand="0" w:noVBand="1"/>
      </w:tblPr>
      <w:tblGrid>
        <w:gridCol w:w="3245"/>
        <w:gridCol w:w="1599"/>
        <w:gridCol w:w="1599"/>
        <w:gridCol w:w="1598"/>
        <w:gridCol w:w="1598"/>
      </w:tblGrid>
      <w:tr w:rsidR="00387D16" w:rsidRPr="003A36C2" w14:paraId="31E4D81E" w14:textId="77777777" w:rsidTr="00195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3" w:type="pct"/>
          </w:tcPr>
          <w:p w14:paraId="529B82B7" w14:textId="77777777" w:rsidR="00387D16" w:rsidRPr="003A36C2" w:rsidRDefault="00387D16" w:rsidP="0019520B">
            <w:pPr>
              <w:pStyle w:val="TableText"/>
            </w:pPr>
            <w:bookmarkStart w:id="551" w:name="ColumnTitle_103"/>
            <w:r>
              <w:t>Item</w:t>
            </w:r>
          </w:p>
        </w:tc>
        <w:tc>
          <w:tcPr>
            <w:tcW w:w="829" w:type="pct"/>
            <w:vAlign w:val="bottom"/>
          </w:tcPr>
          <w:p w14:paraId="32F298F9" w14:textId="432B1598" w:rsidR="00387D16" w:rsidRPr="003A36C2" w:rsidRDefault="00387D16" w:rsidP="0019520B">
            <w:pPr>
              <w:pStyle w:val="TableText"/>
              <w:cnfStyle w:val="100000000000" w:firstRow="1" w:lastRow="0" w:firstColumn="0" w:lastColumn="0" w:oddVBand="0" w:evenVBand="0" w:oddHBand="0" w:evenHBand="0" w:firstRowFirstColumn="0" w:firstRowLastColumn="0" w:lastRowFirstColumn="0" w:lastRowLastColumn="0"/>
            </w:pPr>
            <w:r w:rsidRPr="003A36C2">
              <w:t xml:space="preserve">Physical asset revaluation surplus </w:t>
            </w:r>
            <w:r w:rsidRPr="003A36C2">
              <w:br/>
              <w:t>$'</w:t>
            </w:r>
            <w:r w:rsidR="00C721C5">
              <w:t>000</w:t>
            </w:r>
          </w:p>
        </w:tc>
        <w:tc>
          <w:tcPr>
            <w:tcW w:w="829" w:type="pct"/>
            <w:vAlign w:val="bottom"/>
          </w:tcPr>
          <w:p w14:paraId="1FE350EA" w14:textId="2CCE3195" w:rsidR="00387D16" w:rsidRPr="003A36C2" w:rsidRDefault="00387D16" w:rsidP="0019520B">
            <w:pPr>
              <w:pStyle w:val="TableText"/>
              <w:cnfStyle w:val="100000000000" w:firstRow="1" w:lastRow="0" w:firstColumn="0" w:lastColumn="0" w:oddVBand="0" w:evenVBand="0" w:oddHBand="0" w:evenHBand="0" w:firstRowFirstColumn="0" w:firstRowLastColumn="0" w:lastRowFirstColumn="0" w:lastRowLastColumn="0"/>
            </w:pPr>
            <w:r w:rsidRPr="003A36C2">
              <w:t>Accumulated surplus/ (deficit)</w:t>
            </w:r>
            <w:r w:rsidRPr="003A36C2">
              <w:br/>
              <w:t>$</w:t>
            </w:r>
            <w:r w:rsidR="00C721C5">
              <w:t>’000</w:t>
            </w:r>
          </w:p>
        </w:tc>
        <w:tc>
          <w:tcPr>
            <w:tcW w:w="829" w:type="pct"/>
            <w:vAlign w:val="bottom"/>
          </w:tcPr>
          <w:p w14:paraId="6EA3ED48" w14:textId="1EC5AFE1" w:rsidR="00387D16" w:rsidRPr="003A36C2" w:rsidRDefault="00387D16" w:rsidP="0019520B">
            <w:pPr>
              <w:pStyle w:val="TableText"/>
              <w:cnfStyle w:val="100000000000" w:firstRow="1" w:lastRow="0" w:firstColumn="0" w:lastColumn="0" w:oddVBand="0" w:evenVBand="0" w:oddHBand="0" w:evenHBand="0" w:firstRowFirstColumn="0" w:firstRowLastColumn="0" w:lastRowFirstColumn="0" w:lastRowLastColumn="0"/>
            </w:pPr>
            <w:r w:rsidRPr="003A36C2">
              <w:t>Contributions by owner</w:t>
            </w:r>
            <w:r w:rsidRPr="003A36C2">
              <w:br/>
              <w:t>$'</w:t>
            </w:r>
            <w:r w:rsidR="00C721C5">
              <w:t>000</w:t>
            </w:r>
          </w:p>
        </w:tc>
        <w:tc>
          <w:tcPr>
            <w:tcW w:w="829" w:type="pct"/>
            <w:vAlign w:val="bottom"/>
          </w:tcPr>
          <w:p w14:paraId="21D2DFEA" w14:textId="215BB208" w:rsidR="00387D16" w:rsidRPr="003A36C2" w:rsidRDefault="00387D16" w:rsidP="0019520B">
            <w:pPr>
              <w:pStyle w:val="TableText"/>
              <w:cnfStyle w:val="100000000000" w:firstRow="1" w:lastRow="0" w:firstColumn="0" w:lastColumn="0" w:oddVBand="0" w:evenVBand="0" w:oddHBand="0" w:evenHBand="0" w:firstRowFirstColumn="0" w:firstRowLastColumn="0" w:lastRowFirstColumn="0" w:lastRowLastColumn="0"/>
            </w:pPr>
            <w:r w:rsidRPr="003A36C2">
              <w:t>Total</w:t>
            </w:r>
            <w:r w:rsidRPr="003A36C2">
              <w:br/>
              <w:t>$'</w:t>
            </w:r>
            <w:r w:rsidR="00C721C5">
              <w:t>000</w:t>
            </w:r>
          </w:p>
        </w:tc>
      </w:tr>
      <w:bookmarkEnd w:id="551"/>
      <w:tr w:rsidR="00387D16" w:rsidRPr="003A36C2" w14:paraId="1CA9E5A6"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3343D502" w14:textId="77777777" w:rsidR="00387D16" w:rsidRPr="002D6DAF" w:rsidRDefault="00387D16" w:rsidP="0019520B">
            <w:pPr>
              <w:pStyle w:val="TableText"/>
              <w:rPr>
                <w:rStyle w:val="Bold"/>
              </w:rPr>
            </w:pPr>
            <w:r w:rsidRPr="002D6DAF">
              <w:rPr>
                <w:rStyle w:val="Bold"/>
              </w:rPr>
              <w:t>Budget</w:t>
            </w:r>
          </w:p>
        </w:tc>
        <w:tc>
          <w:tcPr>
            <w:tcW w:w="829" w:type="pct"/>
          </w:tcPr>
          <w:p w14:paraId="4C4F8CF6"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829" w:type="pct"/>
          </w:tcPr>
          <w:p w14:paraId="22DF8E0A"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829" w:type="pct"/>
          </w:tcPr>
          <w:p w14:paraId="7558D2D9"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829" w:type="pct"/>
          </w:tcPr>
          <w:p w14:paraId="6B9DB807" w14:textId="77777777" w:rsidR="00387D16" w:rsidRPr="003A36C2" w:rsidRDefault="00387D16" w:rsidP="0019520B">
            <w:pPr>
              <w:pStyle w:val="TableText"/>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1ADFD3A9"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3CDBC395" w14:textId="77777777" w:rsidR="00387D16" w:rsidRPr="002D6DAF" w:rsidRDefault="00387D16" w:rsidP="0019520B">
            <w:pPr>
              <w:pStyle w:val="TableText"/>
              <w:rPr>
                <w:rStyle w:val="Bold"/>
              </w:rPr>
            </w:pPr>
            <w:r w:rsidRPr="002D6DAF">
              <w:rPr>
                <w:rStyle w:val="Bold"/>
              </w:rPr>
              <w:t>Opening balance</w:t>
            </w:r>
          </w:p>
        </w:tc>
        <w:tc>
          <w:tcPr>
            <w:tcW w:w="829" w:type="pct"/>
          </w:tcPr>
          <w:p w14:paraId="55EB0065" w14:textId="30A52B52"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200.5</w:t>
            </w:r>
          </w:p>
        </w:tc>
        <w:tc>
          <w:tcPr>
            <w:tcW w:w="829" w:type="pct"/>
          </w:tcPr>
          <w:p w14:paraId="337B17A8" w14:textId="0688F1A9"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(33.3)</w:t>
            </w:r>
          </w:p>
        </w:tc>
        <w:tc>
          <w:tcPr>
            <w:tcW w:w="829" w:type="pct"/>
          </w:tcPr>
          <w:p w14:paraId="14475044" w14:textId="0D0F9F00"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761.1</w:t>
            </w:r>
          </w:p>
        </w:tc>
        <w:tc>
          <w:tcPr>
            <w:tcW w:w="829" w:type="pct"/>
          </w:tcPr>
          <w:p w14:paraId="0EDEF814" w14:textId="2ED1A7E6"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928.4</w:t>
            </w:r>
          </w:p>
        </w:tc>
      </w:tr>
      <w:tr w:rsidR="00387D16" w:rsidRPr="003A36C2" w14:paraId="13C3872F"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17C7BD4F" w14:textId="77777777" w:rsidR="00387D16" w:rsidRPr="003A36C2" w:rsidRDefault="00387D16" w:rsidP="0019520B">
            <w:pPr>
              <w:pStyle w:val="TableText"/>
            </w:pPr>
            <w:r w:rsidRPr="003A36C2">
              <w:t>Net result for the year</w:t>
            </w:r>
          </w:p>
        </w:tc>
        <w:tc>
          <w:tcPr>
            <w:tcW w:w="829" w:type="pct"/>
          </w:tcPr>
          <w:p w14:paraId="64B63B0A" w14:textId="1D812AA0"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3E03E971" w14:textId="01E64EBD"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371F62BA" w14:textId="78D485E1"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4A1B48C5" w14:textId="6C71A23B"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36C2" w14:paraId="2E02CAB4"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4F25D2D7" w14:textId="77777777" w:rsidR="00387D16" w:rsidRPr="003A36C2" w:rsidRDefault="00387D16" w:rsidP="0019520B">
            <w:pPr>
              <w:pStyle w:val="TableText"/>
            </w:pPr>
            <w:r w:rsidRPr="003A36C2">
              <w:t>Other comprehensive income for</w:t>
            </w:r>
            <w:r>
              <w:t xml:space="preserve"> </w:t>
            </w:r>
            <w:r w:rsidRPr="003A36C2">
              <w:t>the year</w:t>
            </w:r>
          </w:p>
        </w:tc>
        <w:tc>
          <w:tcPr>
            <w:tcW w:w="829" w:type="pct"/>
          </w:tcPr>
          <w:p w14:paraId="791667DB" w14:textId="2A16998E"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6B9B3005" w14:textId="6C8CEED3"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3B8E2C93" w14:textId="1300212F"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5850C783" w14:textId="74FA02C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36C2" w14:paraId="121691CC"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bottom w:val="single" w:sz="4" w:space="0" w:color="auto"/>
            </w:tcBorders>
          </w:tcPr>
          <w:p w14:paraId="3C271443" w14:textId="77777777" w:rsidR="00387D16" w:rsidRPr="003A36C2" w:rsidRDefault="00387D16" w:rsidP="0019520B">
            <w:pPr>
              <w:pStyle w:val="TableText"/>
            </w:pPr>
            <w:r w:rsidRPr="003A36C2">
              <w:t>Transactions with owners in their</w:t>
            </w:r>
            <w:r>
              <w:t xml:space="preserve"> </w:t>
            </w:r>
            <w:r w:rsidRPr="003A36C2">
              <w:t>capacity as owners</w:t>
            </w:r>
          </w:p>
        </w:tc>
        <w:tc>
          <w:tcPr>
            <w:tcW w:w="829" w:type="pct"/>
            <w:tcBorders>
              <w:bottom w:val="single" w:sz="4" w:space="0" w:color="auto"/>
            </w:tcBorders>
          </w:tcPr>
          <w:p w14:paraId="42412302" w14:textId="0BA5EEF7"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Borders>
              <w:bottom w:val="single" w:sz="4" w:space="0" w:color="auto"/>
            </w:tcBorders>
          </w:tcPr>
          <w:p w14:paraId="57E8E74E" w14:textId="7CA0326D"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Borders>
              <w:bottom w:val="single" w:sz="4" w:space="0" w:color="auto"/>
            </w:tcBorders>
          </w:tcPr>
          <w:p w14:paraId="1CFE848A" w14:textId="0E3FB018"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73.3</w:t>
            </w:r>
          </w:p>
        </w:tc>
        <w:tc>
          <w:tcPr>
            <w:tcW w:w="829" w:type="pct"/>
            <w:tcBorders>
              <w:bottom w:val="single" w:sz="4" w:space="0" w:color="auto"/>
            </w:tcBorders>
          </w:tcPr>
          <w:p w14:paraId="6B2F5681" w14:textId="6576890B"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73.3</w:t>
            </w:r>
          </w:p>
        </w:tc>
      </w:tr>
      <w:tr w:rsidR="00387D16" w:rsidRPr="008A5BD5" w14:paraId="0E0F41DC"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top w:val="single" w:sz="4" w:space="0" w:color="auto"/>
              <w:bottom w:val="single" w:sz="4" w:space="0" w:color="auto"/>
            </w:tcBorders>
            <w:shd w:val="clear" w:color="auto" w:fill="auto"/>
          </w:tcPr>
          <w:p w14:paraId="06E3E733" w14:textId="77777777" w:rsidR="00387D16" w:rsidRPr="008A5BD5" w:rsidRDefault="00387D16" w:rsidP="0019520B">
            <w:pPr>
              <w:pStyle w:val="TableText"/>
              <w:rPr>
                <w:rStyle w:val="Bold"/>
              </w:rPr>
            </w:pPr>
            <w:r w:rsidRPr="008A5BD5">
              <w:rPr>
                <w:rStyle w:val="Bold"/>
              </w:rPr>
              <w:t>Closing Balance</w:t>
            </w:r>
          </w:p>
        </w:tc>
        <w:tc>
          <w:tcPr>
            <w:tcW w:w="829" w:type="pct"/>
            <w:tcBorders>
              <w:top w:val="single" w:sz="4" w:space="0" w:color="auto"/>
              <w:bottom w:val="single" w:sz="4" w:space="0" w:color="auto"/>
            </w:tcBorders>
            <w:shd w:val="clear" w:color="auto" w:fill="auto"/>
          </w:tcPr>
          <w:p w14:paraId="702949D2" w14:textId="1EF3D8CE"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200.5</w:t>
            </w:r>
          </w:p>
        </w:tc>
        <w:tc>
          <w:tcPr>
            <w:tcW w:w="829" w:type="pct"/>
            <w:tcBorders>
              <w:top w:val="single" w:sz="4" w:space="0" w:color="auto"/>
              <w:bottom w:val="single" w:sz="4" w:space="0" w:color="auto"/>
            </w:tcBorders>
            <w:shd w:val="clear" w:color="auto" w:fill="auto"/>
          </w:tcPr>
          <w:p w14:paraId="7B01E343" w14:textId="059AA906"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(33.3)</w:t>
            </w:r>
          </w:p>
        </w:tc>
        <w:tc>
          <w:tcPr>
            <w:tcW w:w="829" w:type="pct"/>
            <w:tcBorders>
              <w:top w:val="single" w:sz="4" w:space="0" w:color="auto"/>
              <w:bottom w:val="single" w:sz="4" w:space="0" w:color="auto"/>
            </w:tcBorders>
            <w:shd w:val="clear" w:color="auto" w:fill="auto"/>
          </w:tcPr>
          <w:p w14:paraId="127889CA" w14:textId="7540DCA3"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834.4</w:t>
            </w:r>
          </w:p>
        </w:tc>
        <w:tc>
          <w:tcPr>
            <w:tcW w:w="829" w:type="pct"/>
            <w:tcBorders>
              <w:top w:val="single" w:sz="4" w:space="0" w:color="auto"/>
              <w:bottom w:val="single" w:sz="4" w:space="0" w:color="auto"/>
            </w:tcBorders>
            <w:shd w:val="clear" w:color="auto" w:fill="auto"/>
          </w:tcPr>
          <w:p w14:paraId="354AB505" w14:textId="1323B943"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1001.7</w:t>
            </w:r>
          </w:p>
        </w:tc>
      </w:tr>
      <w:tr w:rsidR="00387D16" w:rsidRPr="003A36C2" w14:paraId="610D4FAC"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top w:val="single" w:sz="4" w:space="0" w:color="auto"/>
            </w:tcBorders>
          </w:tcPr>
          <w:p w14:paraId="7A5E3B82" w14:textId="77777777" w:rsidR="00387D16" w:rsidRPr="002D6DAF" w:rsidRDefault="00387D16" w:rsidP="003048BC">
            <w:pPr>
              <w:pStyle w:val="TableText"/>
              <w:spacing w:before="120"/>
              <w:rPr>
                <w:rStyle w:val="Bold"/>
              </w:rPr>
            </w:pPr>
            <w:r w:rsidRPr="002D6DAF">
              <w:rPr>
                <w:rStyle w:val="Bold"/>
              </w:rPr>
              <w:t>Statemen</w:t>
            </w:r>
            <w:r>
              <w:rPr>
                <w:rStyle w:val="Bold"/>
              </w:rPr>
              <w:t>t o</w:t>
            </w:r>
            <w:r w:rsidRPr="002D6DAF">
              <w:rPr>
                <w:rStyle w:val="Bold"/>
              </w:rPr>
              <w:t xml:space="preserve">f Changes </w:t>
            </w:r>
            <w:r>
              <w:rPr>
                <w:rStyle w:val="Bold"/>
              </w:rPr>
              <w:t>i</w:t>
            </w:r>
            <w:r w:rsidRPr="002D6DAF">
              <w:rPr>
                <w:rStyle w:val="Bold"/>
              </w:rPr>
              <w:t>n Equity</w:t>
            </w:r>
          </w:p>
        </w:tc>
        <w:tc>
          <w:tcPr>
            <w:tcW w:w="829" w:type="pct"/>
            <w:tcBorders>
              <w:top w:val="single" w:sz="4" w:space="0" w:color="auto"/>
            </w:tcBorders>
          </w:tcPr>
          <w:p w14:paraId="0C1DD8F9"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70198DEA"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1F663276"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2EAA9470"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3DD9CC52"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56B66228" w14:textId="77777777" w:rsidR="00387D16" w:rsidRPr="002D6DAF" w:rsidRDefault="00387D16" w:rsidP="0019520B">
            <w:pPr>
              <w:pStyle w:val="TableText"/>
              <w:rPr>
                <w:rStyle w:val="Bold"/>
              </w:rPr>
            </w:pPr>
            <w:r w:rsidRPr="002D6DAF">
              <w:rPr>
                <w:rStyle w:val="Bold"/>
              </w:rPr>
              <w:t>Opening balance</w:t>
            </w:r>
          </w:p>
        </w:tc>
        <w:tc>
          <w:tcPr>
            <w:tcW w:w="829" w:type="pct"/>
          </w:tcPr>
          <w:p w14:paraId="2DE08F38" w14:textId="0D48D3DD"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200.5</w:t>
            </w:r>
          </w:p>
        </w:tc>
        <w:tc>
          <w:tcPr>
            <w:tcW w:w="829" w:type="pct"/>
          </w:tcPr>
          <w:p w14:paraId="1AE32665" w14:textId="4BCBE4F6"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(33.3)</w:t>
            </w:r>
          </w:p>
        </w:tc>
        <w:tc>
          <w:tcPr>
            <w:tcW w:w="829" w:type="pct"/>
          </w:tcPr>
          <w:p w14:paraId="1744BC5F" w14:textId="5F090229"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761.1</w:t>
            </w:r>
          </w:p>
        </w:tc>
        <w:tc>
          <w:tcPr>
            <w:tcW w:w="829" w:type="pct"/>
          </w:tcPr>
          <w:p w14:paraId="42FB4D85" w14:textId="41D17EB8"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928.4</w:t>
            </w:r>
          </w:p>
        </w:tc>
      </w:tr>
      <w:tr w:rsidR="00387D16" w:rsidRPr="003A36C2" w14:paraId="7FE33C2A"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678039EE" w14:textId="77777777" w:rsidR="00387D16" w:rsidRPr="003A36C2" w:rsidRDefault="00387D16" w:rsidP="0019520B">
            <w:pPr>
              <w:pStyle w:val="TableText"/>
            </w:pPr>
            <w:r w:rsidRPr="003A36C2">
              <w:t>Net result for the year</w:t>
            </w:r>
          </w:p>
        </w:tc>
        <w:tc>
          <w:tcPr>
            <w:tcW w:w="829" w:type="pct"/>
          </w:tcPr>
          <w:p w14:paraId="3D3B5EFD" w14:textId="044E79E3"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29B7EF98" w14:textId="4A89F89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3.1</w:t>
            </w:r>
          </w:p>
        </w:tc>
        <w:tc>
          <w:tcPr>
            <w:tcW w:w="829" w:type="pct"/>
          </w:tcPr>
          <w:p w14:paraId="106F7256" w14:textId="0970A56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1E821819" w14:textId="751740F9"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3.1</w:t>
            </w:r>
          </w:p>
        </w:tc>
      </w:tr>
      <w:tr w:rsidR="00387D16" w:rsidRPr="003A36C2" w14:paraId="4E8E9C07"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4B88033B" w14:textId="77777777" w:rsidR="00387D16" w:rsidRPr="003A36C2" w:rsidRDefault="00387D16" w:rsidP="0019520B">
            <w:pPr>
              <w:pStyle w:val="TableText"/>
            </w:pPr>
            <w:r w:rsidRPr="003A36C2">
              <w:t>Other comprehensive income for</w:t>
            </w:r>
            <w:r>
              <w:t xml:space="preserve"> </w:t>
            </w:r>
            <w:r w:rsidRPr="003A36C2">
              <w:t>the year</w:t>
            </w:r>
          </w:p>
        </w:tc>
        <w:tc>
          <w:tcPr>
            <w:tcW w:w="829" w:type="pct"/>
          </w:tcPr>
          <w:p w14:paraId="3BF0BE88" w14:textId="4A192028"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44.3</w:t>
            </w:r>
          </w:p>
        </w:tc>
        <w:tc>
          <w:tcPr>
            <w:tcW w:w="829" w:type="pct"/>
          </w:tcPr>
          <w:p w14:paraId="1DCA47EB" w14:textId="04FF8568"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7435B40C" w14:textId="799E7032"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4B491A9B" w14:textId="08E442DB"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44.3</w:t>
            </w:r>
          </w:p>
        </w:tc>
      </w:tr>
      <w:tr w:rsidR="00387D16" w:rsidRPr="003A36C2" w14:paraId="02262F10"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bottom w:val="single" w:sz="4" w:space="0" w:color="auto"/>
            </w:tcBorders>
          </w:tcPr>
          <w:p w14:paraId="50048BB6" w14:textId="77777777" w:rsidR="00387D16" w:rsidRPr="003A36C2" w:rsidRDefault="00387D16" w:rsidP="0019520B">
            <w:pPr>
              <w:pStyle w:val="TableText"/>
            </w:pPr>
            <w:r w:rsidRPr="003A36C2">
              <w:t>Transactions with owners in their</w:t>
            </w:r>
            <w:r>
              <w:t xml:space="preserve"> </w:t>
            </w:r>
            <w:r w:rsidRPr="003A36C2">
              <w:t>capacity as owners</w:t>
            </w:r>
          </w:p>
        </w:tc>
        <w:tc>
          <w:tcPr>
            <w:tcW w:w="829" w:type="pct"/>
            <w:tcBorders>
              <w:bottom w:val="single" w:sz="4" w:space="0" w:color="auto"/>
            </w:tcBorders>
          </w:tcPr>
          <w:p w14:paraId="5970B6C8" w14:textId="39980CA4"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Borders>
              <w:bottom w:val="single" w:sz="4" w:space="0" w:color="auto"/>
            </w:tcBorders>
          </w:tcPr>
          <w:p w14:paraId="5421058D" w14:textId="2E42266F"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Borders>
              <w:bottom w:val="single" w:sz="4" w:space="0" w:color="auto"/>
            </w:tcBorders>
          </w:tcPr>
          <w:p w14:paraId="11DEC579" w14:textId="3E6C802D"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66.0</w:t>
            </w:r>
          </w:p>
        </w:tc>
        <w:tc>
          <w:tcPr>
            <w:tcW w:w="829" w:type="pct"/>
            <w:tcBorders>
              <w:bottom w:val="single" w:sz="4" w:space="0" w:color="auto"/>
            </w:tcBorders>
          </w:tcPr>
          <w:p w14:paraId="2A4A5EDE" w14:textId="4CEB1206"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66.0</w:t>
            </w:r>
          </w:p>
        </w:tc>
      </w:tr>
      <w:tr w:rsidR="00387D16" w:rsidRPr="008A5BD5" w14:paraId="1D7BCA88"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top w:val="single" w:sz="4" w:space="0" w:color="auto"/>
              <w:bottom w:val="single" w:sz="4" w:space="0" w:color="auto"/>
            </w:tcBorders>
            <w:shd w:val="clear" w:color="auto" w:fill="auto"/>
          </w:tcPr>
          <w:p w14:paraId="0DE82613" w14:textId="77777777" w:rsidR="00387D16" w:rsidRPr="008A5BD5" w:rsidRDefault="00387D16" w:rsidP="0019520B">
            <w:pPr>
              <w:pStyle w:val="TableText"/>
              <w:rPr>
                <w:rStyle w:val="Bold"/>
              </w:rPr>
            </w:pPr>
            <w:r w:rsidRPr="008A5BD5">
              <w:rPr>
                <w:rStyle w:val="Bold"/>
              </w:rPr>
              <w:t>Closing Balance</w:t>
            </w:r>
          </w:p>
        </w:tc>
        <w:tc>
          <w:tcPr>
            <w:tcW w:w="829" w:type="pct"/>
            <w:tcBorders>
              <w:top w:val="single" w:sz="4" w:space="0" w:color="auto"/>
              <w:bottom w:val="single" w:sz="4" w:space="0" w:color="auto"/>
            </w:tcBorders>
            <w:shd w:val="clear" w:color="auto" w:fill="auto"/>
          </w:tcPr>
          <w:p w14:paraId="1E094F4B" w14:textId="0393DB7D"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244.9</w:t>
            </w:r>
          </w:p>
        </w:tc>
        <w:tc>
          <w:tcPr>
            <w:tcW w:w="829" w:type="pct"/>
            <w:tcBorders>
              <w:top w:val="single" w:sz="4" w:space="0" w:color="auto"/>
              <w:bottom w:val="single" w:sz="4" w:space="0" w:color="auto"/>
            </w:tcBorders>
            <w:shd w:val="clear" w:color="auto" w:fill="auto"/>
          </w:tcPr>
          <w:p w14:paraId="6633B70D" w14:textId="2CAA786F"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(30.1)</w:t>
            </w:r>
          </w:p>
        </w:tc>
        <w:tc>
          <w:tcPr>
            <w:tcW w:w="829" w:type="pct"/>
            <w:tcBorders>
              <w:top w:val="single" w:sz="4" w:space="0" w:color="auto"/>
              <w:bottom w:val="single" w:sz="4" w:space="0" w:color="auto"/>
            </w:tcBorders>
            <w:shd w:val="clear" w:color="auto" w:fill="auto"/>
          </w:tcPr>
          <w:p w14:paraId="69026083" w14:textId="6874E138"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827.1</w:t>
            </w:r>
          </w:p>
        </w:tc>
        <w:tc>
          <w:tcPr>
            <w:tcW w:w="829" w:type="pct"/>
            <w:tcBorders>
              <w:top w:val="single" w:sz="4" w:space="0" w:color="auto"/>
              <w:bottom w:val="single" w:sz="4" w:space="0" w:color="auto"/>
            </w:tcBorders>
            <w:shd w:val="clear" w:color="auto" w:fill="auto"/>
          </w:tcPr>
          <w:p w14:paraId="1B3D65EC" w14:textId="78F843D9" w:rsidR="00387D16" w:rsidRPr="008A5BD5" w:rsidRDefault="00C721C5"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1041.9</w:t>
            </w:r>
          </w:p>
        </w:tc>
      </w:tr>
      <w:tr w:rsidR="00387D16" w:rsidRPr="003A36C2" w14:paraId="66C230A9" w14:textId="77777777" w:rsidTr="0019520B">
        <w:tc>
          <w:tcPr>
            <w:cnfStyle w:val="001000000000" w:firstRow="0" w:lastRow="0" w:firstColumn="1" w:lastColumn="0" w:oddVBand="0" w:evenVBand="0" w:oddHBand="0" w:evenHBand="0" w:firstRowFirstColumn="0" w:firstRowLastColumn="0" w:lastRowFirstColumn="0" w:lastRowLastColumn="0"/>
            <w:tcW w:w="1683" w:type="pct"/>
            <w:tcBorders>
              <w:top w:val="single" w:sz="4" w:space="0" w:color="auto"/>
            </w:tcBorders>
          </w:tcPr>
          <w:p w14:paraId="311574EF" w14:textId="77777777" w:rsidR="00387D16" w:rsidRPr="002D6DAF" w:rsidRDefault="00387D16" w:rsidP="003048BC">
            <w:pPr>
              <w:pStyle w:val="TableText"/>
              <w:spacing w:before="120"/>
              <w:rPr>
                <w:rStyle w:val="Bold"/>
              </w:rPr>
            </w:pPr>
            <w:r w:rsidRPr="002D6DAF">
              <w:rPr>
                <w:rStyle w:val="Bold"/>
              </w:rPr>
              <w:t>Variance</w:t>
            </w:r>
            <w:r>
              <w:rPr>
                <w:rStyle w:val="Bold"/>
              </w:rPr>
              <w:t xml:space="preserve"> t</w:t>
            </w:r>
            <w:r w:rsidRPr="002D6DAF">
              <w:rPr>
                <w:rStyle w:val="Bold"/>
              </w:rPr>
              <w:t>o Budget</w:t>
            </w:r>
          </w:p>
        </w:tc>
        <w:tc>
          <w:tcPr>
            <w:tcW w:w="829" w:type="pct"/>
            <w:tcBorders>
              <w:top w:val="single" w:sz="4" w:space="0" w:color="auto"/>
            </w:tcBorders>
          </w:tcPr>
          <w:p w14:paraId="1F33D123"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21EAFD2A"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4EFEF8BE"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29" w:type="pct"/>
            <w:tcBorders>
              <w:top w:val="single" w:sz="4" w:space="0" w:color="auto"/>
            </w:tcBorders>
          </w:tcPr>
          <w:p w14:paraId="26996B9D" w14:textId="77777777" w:rsidR="00387D16" w:rsidRPr="003A36C2" w:rsidRDefault="00387D16" w:rsidP="003048BC">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387D16" w:rsidRPr="003A36C2" w14:paraId="1E9CE5C5"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42D1C04D" w14:textId="77777777" w:rsidR="00387D16" w:rsidRPr="002D6DAF" w:rsidRDefault="00387D16" w:rsidP="0019520B">
            <w:pPr>
              <w:pStyle w:val="TableText"/>
              <w:rPr>
                <w:rStyle w:val="Bold"/>
              </w:rPr>
            </w:pPr>
            <w:r w:rsidRPr="002D6DAF">
              <w:rPr>
                <w:rStyle w:val="Bold"/>
              </w:rPr>
              <w:t>Opening balance</w:t>
            </w:r>
          </w:p>
        </w:tc>
        <w:tc>
          <w:tcPr>
            <w:tcW w:w="829" w:type="pct"/>
          </w:tcPr>
          <w:p w14:paraId="03CB1BF3" w14:textId="6893CC34"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21FBE1D1" w14:textId="180B320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5712CCAA" w14:textId="08429457"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07428960" w14:textId="54D3984F"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r>
      <w:tr w:rsidR="00387D16" w:rsidRPr="003A36C2" w14:paraId="0BAA5366"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04276B65" w14:textId="77777777" w:rsidR="00387D16" w:rsidRPr="003A36C2" w:rsidRDefault="00387D16" w:rsidP="0019520B">
            <w:pPr>
              <w:pStyle w:val="TableText"/>
            </w:pPr>
            <w:r w:rsidRPr="003A36C2">
              <w:t>Net result for the year</w:t>
            </w:r>
          </w:p>
        </w:tc>
        <w:tc>
          <w:tcPr>
            <w:tcW w:w="829" w:type="pct"/>
          </w:tcPr>
          <w:p w14:paraId="774FB756" w14:textId="5D86C55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4839608B" w14:textId="508BAF65"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3.1</w:t>
            </w:r>
          </w:p>
        </w:tc>
        <w:tc>
          <w:tcPr>
            <w:tcW w:w="829" w:type="pct"/>
          </w:tcPr>
          <w:p w14:paraId="5C39898A" w14:textId="0DCA7031"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265E5331" w14:textId="686C9CCC"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3.1</w:t>
            </w:r>
          </w:p>
        </w:tc>
      </w:tr>
      <w:tr w:rsidR="00387D16" w:rsidRPr="003A36C2" w14:paraId="2992191A"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204E264E" w14:textId="77777777" w:rsidR="00387D16" w:rsidRPr="003A36C2" w:rsidRDefault="00387D16" w:rsidP="0019520B">
            <w:pPr>
              <w:pStyle w:val="TableText"/>
            </w:pPr>
            <w:r w:rsidRPr="003A36C2">
              <w:t>Other comprehensive income for</w:t>
            </w:r>
            <w:r>
              <w:t xml:space="preserve"> </w:t>
            </w:r>
            <w:r w:rsidRPr="003A36C2">
              <w:t>the year</w:t>
            </w:r>
          </w:p>
        </w:tc>
        <w:tc>
          <w:tcPr>
            <w:tcW w:w="829" w:type="pct"/>
          </w:tcPr>
          <w:p w14:paraId="7120454A" w14:textId="03A7EB25"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44.3</w:t>
            </w:r>
          </w:p>
        </w:tc>
        <w:tc>
          <w:tcPr>
            <w:tcW w:w="829" w:type="pct"/>
          </w:tcPr>
          <w:p w14:paraId="7E0F289B" w14:textId="035233AA"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2695C4E9" w14:textId="15846F6C"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5AAFE932" w14:textId="7AF7B806"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44.3</w:t>
            </w:r>
          </w:p>
        </w:tc>
      </w:tr>
      <w:tr w:rsidR="00387D16" w:rsidRPr="003A36C2" w14:paraId="61900743" w14:textId="77777777" w:rsidTr="0019520B">
        <w:tc>
          <w:tcPr>
            <w:cnfStyle w:val="001000000000" w:firstRow="0" w:lastRow="0" w:firstColumn="1" w:lastColumn="0" w:oddVBand="0" w:evenVBand="0" w:oddHBand="0" w:evenHBand="0" w:firstRowFirstColumn="0" w:firstRowLastColumn="0" w:lastRowFirstColumn="0" w:lastRowLastColumn="0"/>
            <w:tcW w:w="1683" w:type="pct"/>
          </w:tcPr>
          <w:p w14:paraId="64D9D089" w14:textId="77777777" w:rsidR="00387D16" w:rsidRPr="003A36C2" w:rsidRDefault="00387D16" w:rsidP="0019520B">
            <w:pPr>
              <w:pStyle w:val="TableText"/>
            </w:pPr>
            <w:r w:rsidRPr="003A36C2">
              <w:t>Transactions with owners in their</w:t>
            </w:r>
            <w:r>
              <w:t xml:space="preserve"> </w:t>
            </w:r>
            <w:r w:rsidRPr="003A36C2">
              <w:t>capacity as owners</w:t>
            </w:r>
          </w:p>
        </w:tc>
        <w:tc>
          <w:tcPr>
            <w:tcW w:w="829" w:type="pct"/>
          </w:tcPr>
          <w:p w14:paraId="13220CA9" w14:textId="4AB7C68C"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1C4C70A9" w14:textId="66E38C10"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29" w:type="pct"/>
          </w:tcPr>
          <w:p w14:paraId="3B8ABEE3" w14:textId="2CEEBD17"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(7.3)</w:t>
            </w:r>
          </w:p>
        </w:tc>
        <w:tc>
          <w:tcPr>
            <w:tcW w:w="829" w:type="pct"/>
          </w:tcPr>
          <w:p w14:paraId="54C9ECD8" w14:textId="148503D7" w:rsidR="00387D16" w:rsidRPr="003A36C2" w:rsidRDefault="00C721C5" w:rsidP="0019520B">
            <w:pPr>
              <w:pStyle w:val="TableText"/>
              <w:cnfStyle w:val="000000000000" w:firstRow="0" w:lastRow="0" w:firstColumn="0" w:lastColumn="0" w:oddVBand="0" w:evenVBand="0" w:oddHBand="0" w:evenHBand="0" w:firstRowFirstColumn="0" w:firstRowLastColumn="0" w:lastRowFirstColumn="0" w:lastRowLastColumn="0"/>
            </w:pPr>
            <w:r>
              <w:t>(7.3)</w:t>
            </w:r>
          </w:p>
        </w:tc>
      </w:tr>
      <w:tr w:rsidR="00387D16" w:rsidRPr="000C4EFC" w14:paraId="34879B72" w14:textId="77777777" w:rsidTr="001952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tcPr>
          <w:p w14:paraId="6D738BA6" w14:textId="77777777" w:rsidR="00387D16" w:rsidRPr="000C4EFC" w:rsidRDefault="00387D16" w:rsidP="0019520B">
            <w:pPr>
              <w:pStyle w:val="TableText"/>
              <w:rPr>
                <w:rStyle w:val="Bold"/>
              </w:rPr>
            </w:pPr>
            <w:r w:rsidRPr="000C4EFC">
              <w:rPr>
                <w:rStyle w:val="Bold"/>
              </w:rPr>
              <w:t>Total</w:t>
            </w:r>
          </w:p>
        </w:tc>
        <w:tc>
          <w:tcPr>
            <w:tcW w:w="829" w:type="pct"/>
          </w:tcPr>
          <w:p w14:paraId="04C1583E" w14:textId="0098DBB9" w:rsidR="00387D16" w:rsidRPr="000C4EFC" w:rsidRDefault="00C721C5"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44.3</w:t>
            </w:r>
          </w:p>
        </w:tc>
        <w:tc>
          <w:tcPr>
            <w:tcW w:w="829" w:type="pct"/>
          </w:tcPr>
          <w:p w14:paraId="0862FC99" w14:textId="250E9C41" w:rsidR="00387D16" w:rsidRPr="000C4EFC" w:rsidRDefault="00C721C5"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3.1</w:t>
            </w:r>
          </w:p>
        </w:tc>
        <w:tc>
          <w:tcPr>
            <w:tcW w:w="829" w:type="pct"/>
          </w:tcPr>
          <w:p w14:paraId="5881244A" w14:textId="25867E3B" w:rsidR="00387D16" w:rsidRPr="000C4EFC" w:rsidRDefault="00C721C5"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(7.3)</w:t>
            </w:r>
          </w:p>
        </w:tc>
        <w:tc>
          <w:tcPr>
            <w:tcW w:w="829" w:type="pct"/>
          </w:tcPr>
          <w:p w14:paraId="6D5A1940" w14:textId="1CA8E811" w:rsidR="00387D16" w:rsidRPr="000C4EFC" w:rsidRDefault="00C721C5" w:rsidP="0019520B">
            <w:pPr>
              <w:pStyle w:val="TableText"/>
              <w:cnfStyle w:val="010000000000" w:firstRow="0" w:lastRow="1" w:firstColumn="0" w:lastColumn="0" w:oddVBand="0" w:evenVBand="0" w:oddHBand="0" w:evenHBand="0" w:firstRowFirstColumn="0" w:firstRowLastColumn="0" w:lastRowFirstColumn="0" w:lastRowLastColumn="0"/>
              <w:rPr>
                <w:rStyle w:val="Bold"/>
              </w:rPr>
            </w:pPr>
            <w:r>
              <w:rPr>
                <w:rStyle w:val="Bold"/>
              </w:rPr>
              <w:t>40.2</w:t>
            </w:r>
          </w:p>
        </w:tc>
      </w:tr>
    </w:tbl>
    <w:p w14:paraId="51632D2B" w14:textId="28C5386A" w:rsidR="00387D16" w:rsidRDefault="00AF058A" w:rsidP="00387D16">
      <w:pPr>
        <w:pStyle w:val="Heading3"/>
        <w:pageBreakBefore/>
      </w:pPr>
      <w:bookmarkStart w:id="552" w:name="BR5"/>
      <w:bookmarkStart w:id="553" w:name="Note115"/>
      <w:bookmarkStart w:id="554" w:name="_Ref22643315"/>
      <w:bookmarkStart w:id="555" w:name="_Ref22653867"/>
      <w:bookmarkStart w:id="556" w:name="_Toc62808197"/>
      <w:r w:rsidRPr="00B85167">
        <w:t>BR</w:t>
      </w:r>
      <w:r w:rsidR="00387D16" w:rsidRPr="00B85167">
        <w:t>5</w:t>
      </w:r>
      <w:bookmarkEnd w:id="552"/>
      <w:r w:rsidR="00387D16" w:rsidRPr="00B85167">
        <w:t xml:space="preserve"> </w:t>
      </w:r>
      <w:bookmarkEnd w:id="553"/>
      <w:r w:rsidR="00387D16" w:rsidRPr="00B85167">
        <w:t>Administered Items</w:t>
      </w:r>
      <w:bookmarkEnd w:id="554"/>
      <w:bookmarkEnd w:id="555"/>
      <w:bookmarkEnd w:id="556"/>
    </w:p>
    <w:tbl>
      <w:tblPr>
        <w:tblStyle w:val="AccessibleTableNumerical"/>
        <w:tblW w:w="5000" w:type="pct"/>
        <w:tblLook w:val="04A0" w:firstRow="1" w:lastRow="0" w:firstColumn="1" w:lastColumn="0" w:noHBand="0" w:noVBand="1"/>
      </w:tblPr>
      <w:tblGrid>
        <w:gridCol w:w="4811"/>
        <w:gridCol w:w="1610"/>
        <w:gridCol w:w="1610"/>
        <w:gridCol w:w="1608"/>
      </w:tblGrid>
      <w:tr w:rsidR="00B85167" w:rsidRPr="003C6EEC" w14:paraId="49D541AC" w14:textId="77777777" w:rsidTr="00B851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6" w:type="pct"/>
          </w:tcPr>
          <w:p w14:paraId="64C8B2C5" w14:textId="77777777" w:rsidR="00B85167" w:rsidRPr="003C6EEC" w:rsidRDefault="00B85167" w:rsidP="0019520B">
            <w:pPr>
              <w:pStyle w:val="TableText"/>
            </w:pPr>
            <w:bookmarkStart w:id="557" w:name="ColumnTitle_104"/>
            <w:r>
              <w:t>Item</w:t>
            </w:r>
          </w:p>
        </w:tc>
        <w:tc>
          <w:tcPr>
            <w:tcW w:w="835" w:type="pct"/>
            <w:vAlign w:val="bottom"/>
          </w:tcPr>
          <w:p w14:paraId="615BCCA3" w14:textId="4F406463" w:rsidR="00B85167" w:rsidRPr="003C6EEC" w:rsidRDefault="00B85167" w:rsidP="0019520B">
            <w:pPr>
              <w:pStyle w:val="TableText"/>
              <w:cnfStyle w:val="100000000000" w:firstRow="1" w:lastRow="0" w:firstColumn="0" w:lastColumn="0" w:oddVBand="0" w:evenVBand="0" w:oddHBand="0" w:evenHBand="0" w:firstRowFirstColumn="0" w:firstRowLastColumn="0" w:lastRowFirstColumn="0" w:lastRowLastColumn="0"/>
            </w:pPr>
            <w:r w:rsidRPr="003C6EEC">
              <w:t>Budget</w:t>
            </w:r>
            <w:r w:rsidR="00075247">
              <w:br/>
            </w:r>
            <w:r>
              <w:t>2020</w:t>
            </w:r>
            <w:r w:rsidRPr="003C6EEC">
              <w:br/>
              <w:t>$'</w:t>
            </w:r>
            <w:r>
              <w:t>000</w:t>
            </w:r>
          </w:p>
        </w:tc>
        <w:tc>
          <w:tcPr>
            <w:tcW w:w="835" w:type="pct"/>
            <w:vAlign w:val="bottom"/>
          </w:tcPr>
          <w:p w14:paraId="19C678A3" w14:textId="70F297DB" w:rsidR="00B85167" w:rsidRPr="003C6EEC" w:rsidRDefault="00B85167" w:rsidP="0019520B">
            <w:pPr>
              <w:pStyle w:val="TableText"/>
              <w:cnfStyle w:val="100000000000" w:firstRow="1" w:lastRow="0" w:firstColumn="0" w:lastColumn="0" w:oddVBand="0" w:evenVBand="0" w:oddHBand="0" w:evenHBand="0" w:firstRowFirstColumn="0" w:firstRowLastColumn="0" w:lastRowFirstColumn="0" w:lastRowLastColumn="0"/>
            </w:pPr>
            <w:r w:rsidRPr="003C6EEC">
              <w:t>Actual</w:t>
            </w:r>
            <w:r w:rsidR="00075247">
              <w:br/>
            </w:r>
            <w:r w:rsidRPr="003C6EEC">
              <w:t>20</w:t>
            </w:r>
            <w:r>
              <w:t>20</w:t>
            </w:r>
            <w:r w:rsidRPr="003C6EEC">
              <w:br/>
              <w:t>$'</w:t>
            </w:r>
            <w:r>
              <w:t>000</w:t>
            </w:r>
          </w:p>
        </w:tc>
        <w:tc>
          <w:tcPr>
            <w:tcW w:w="834" w:type="pct"/>
            <w:vAlign w:val="bottom"/>
          </w:tcPr>
          <w:p w14:paraId="6E0ED383" w14:textId="38BD071B" w:rsidR="00B85167" w:rsidRPr="003C6EEC" w:rsidRDefault="00B85167" w:rsidP="0019520B">
            <w:pPr>
              <w:pStyle w:val="TableText"/>
              <w:cnfStyle w:val="100000000000" w:firstRow="1" w:lastRow="0" w:firstColumn="0" w:lastColumn="0" w:oddVBand="0" w:evenVBand="0" w:oddHBand="0" w:evenHBand="0" w:firstRowFirstColumn="0" w:firstRowLastColumn="0" w:lastRowFirstColumn="0" w:lastRowLastColumn="0"/>
            </w:pPr>
            <w:r w:rsidRPr="003C6EEC">
              <w:t>Variance</w:t>
            </w:r>
            <w:r w:rsidR="00075247">
              <w:br/>
            </w:r>
            <w:r w:rsidRPr="003C6EEC">
              <w:t>$'</w:t>
            </w:r>
            <w:r>
              <w:t>000</w:t>
            </w:r>
          </w:p>
        </w:tc>
      </w:tr>
      <w:bookmarkEnd w:id="557"/>
      <w:tr w:rsidR="00B85167" w:rsidRPr="003C6EEC" w14:paraId="158FC566"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154551B5" w14:textId="77777777" w:rsidR="00B85167" w:rsidRPr="002D6DAF" w:rsidRDefault="00B85167" w:rsidP="0019520B">
            <w:pPr>
              <w:pStyle w:val="TableText"/>
              <w:rPr>
                <w:rStyle w:val="Bold"/>
              </w:rPr>
            </w:pPr>
            <w:r w:rsidRPr="002D6DAF">
              <w:rPr>
                <w:rStyle w:val="Bold"/>
              </w:rPr>
              <w:t>Administered income from transactions</w:t>
            </w:r>
          </w:p>
        </w:tc>
        <w:tc>
          <w:tcPr>
            <w:tcW w:w="835" w:type="pct"/>
          </w:tcPr>
          <w:p w14:paraId="32357C4E" w14:textId="77777777"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835" w:type="pct"/>
          </w:tcPr>
          <w:p w14:paraId="48EE7D60" w14:textId="77777777"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N/A</w:t>
            </w:r>
          </w:p>
        </w:tc>
        <w:tc>
          <w:tcPr>
            <w:tcW w:w="834" w:type="pct"/>
          </w:tcPr>
          <w:p w14:paraId="004C98D5" w14:textId="77777777"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N/A</w:t>
            </w:r>
          </w:p>
        </w:tc>
      </w:tr>
      <w:tr w:rsidR="00B85167" w:rsidRPr="003C6EEC" w14:paraId="1B2454A6"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47949F5D" w14:textId="77777777" w:rsidR="00B85167" w:rsidRPr="003C6EEC" w:rsidRDefault="00B85167" w:rsidP="0019520B">
            <w:pPr>
              <w:pStyle w:val="TableText"/>
            </w:pPr>
            <w:r w:rsidRPr="003C6EEC">
              <w:t>Special appropriations applied</w:t>
            </w:r>
          </w:p>
        </w:tc>
        <w:tc>
          <w:tcPr>
            <w:tcW w:w="835" w:type="pct"/>
          </w:tcPr>
          <w:p w14:paraId="7E0AB5DA" w14:textId="37D56C41"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43.1</w:t>
            </w:r>
          </w:p>
        </w:tc>
        <w:tc>
          <w:tcPr>
            <w:tcW w:w="835" w:type="pct"/>
          </w:tcPr>
          <w:p w14:paraId="7BEF5804" w14:textId="00A4B4D5"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45.1</w:t>
            </w:r>
          </w:p>
        </w:tc>
        <w:tc>
          <w:tcPr>
            <w:tcW w:w="834" w:type="pct"/>
          </w:tcPr>
          <w:p w14:paraId="281079FB" w14:textId="7FC63229"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2.1</w:t>
            </w:r>
          </w:p>
        </w:tc>
      </w:tr>
      <w:tr w:rsidR="00B85167" w:rsidRPr="003C6EEC" w14:paraId="4FFA44CA"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5BD01C33" w14:textId="77777777" w:rsidR="00B85167" w:rsidRPr="003C6EEC" w:rsidRDefault="00B85167" w:rsidP="0019520B">
            <w:pPr>
              <w:pStyle w:val="TableText"/>
            </w:pPr>
            <w:r w:rsidRPr="003C6EEC">
              <w:t>Fines</w:t>
            </w:r>
          </w:p>
        </w:tc>
        <w:tc>
          <w:tcPr>
            <w:tcW w:w="835" w:type="pct"/>
          </w:tcPr>
          <w:p w14:paraId="1E384875" w14:textId="6990131B"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21.1</w:t>
            </w:r>
          </w:p>
        </w:tc>
        <w:tc>
          <w:tcPr>
            <w:tcW w:w="835" w:type="pct"/>
          </w:tcPr>
          <w:p w14:paraId="70406E78" w14:textId="5F883D88"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4.1</w:t>
            </w:r>
          </w:p>
        </w:tc>
        <w:tc>
          <w:tcPr>
            <w:tcW w:w="834" w:type="pct"/>
          </w:tcPr>
          <w:p w14:paraId="72DAD3BF" w14:textId="731842EF"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(16.9)</w:t>
            </w:r>
          </w:p>
        </w:tc>
      </w:tr>
      <w:tr w:rsidR="00B85167" w:rsidRPr="003C6EEC" w14:paraId="1385DC32"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4F2DE3B5" w14:textId="77777777" w:rsidR="00B85167" w:rsidRPr="003C6EEC" w:rsidRDefault="00B85167" w:rsidP="0019520B">
            <w:pPr>
              <w:pStyle w:val="TableText"/>
            </w:pPr>
            <w:r w:rsidRPr="003C6EEC">
              <w:t>Sales of goods and services (including fees)</w:t>
            </w:r>
          </w:p>
        </w:tc>
        <w:tc>
          <w:tcPr>
            <w:tcW w:w="835" w:type="pct"/>
          </w:tcPr>
          <w:p w14:paraId="4ECA7993" w14:textId="26188E6A"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68.6</w:t>
            </w:r>
          </w:p>
        </w:tc>
        <w:tc>
          <w:tcPr>
            <w:tcW w:w="835" w:type="pct"/>
          </w:tcPr>
          <w:p w14:paraId="48A6D052" w14:textId="7AA84230"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62.9</w:t>
            </w:r>
          </w:p>
        </w:tc>
        <w:tc>
          <w:tcPr>
            <w:tcW w:w="834" w:type="pct"/>
          </w:tcPr>
          <w:p w14:paraId="4292C46A" w14:textId="03D9202F"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(5.7)</w:t>
            </w:r>
          </w:p>
        </w:tc>
      </w:tr>
      <w:tr w:rsidR="00B85167" w:rsidRPr="003C6EEC" w14:paraId="5C9EE763"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bottom w:val="single" w:sz="4" w:space="0" w:color="auto"/>
            </w:tcBorders>
          </w:tcPr>
          <w:p w14:paraId="115D1ACC" w14:textId="77777777" w:rsidR="00B85167" w:rsidRPr="003C6EEC" w:rsidRDefault="00B85167" w:rsidP="0019520B">
            <w:pPr>
              <w:pStyle w:val="TableText"/>
            </w:pPr>
            <w:r w:rsidRPr="003C6EEC">
              <w:t>Other income</w:t>
            </w:r>
          </w:p>
        </w:tc>
        <w:tc>
          <w:tcPr>
            <w:tcW w:w="835" w:type="pct"/>
            <w:tcBorders>
              <w:bottom w:val="single" w:sz="4" w:space="0" w:color="auto"/>
            </w:tcBorders>
          </w:tcPr>
          <w:p w14:paraId="29BB2ECC" w14:textId="3CB6E8E8"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0.0</w:t>
            </w:r>
          </w:p>
        </w:tc>
        <w:tc>
          <w:tcPr>
            <w:tcW w:w="835" w:type="pct"/>
            <w:tcBorders>
              <w:bottom w:val="single" w:sz="4" w:space="0" w:color="auto"/>
            </w:tcBorders>
          </w:tcPr>
          <w:p w14:paraId="0CFF081A" w14:textId="485EF648"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1.4</w:t>
            </w:r>
          </w:p>
        </w:tc>
        <w:tc>
          <w:tcPr>
            <w:tcW w:w="834" w:type="pct"/>
            <w:tcBorders>
              <w:bottom w:val="single" w:sz="4" w:space="0" w:color="auto"/>
            </w:tcBorders>
          </w:tcPr>
          <w:p w14:paraId="2EE68591" w14:textId="7EFE5E34"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1.4</w:t>
            </w:r>
          </w:p>
        </w:tc>
      </w:tr>
      <w:tr w:rsidR="00B85167" w:rsidRPr="008A5BD5" w14:paraId="32B6BFC3"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bottom w:val="single" w:sz="4" w:space="0" w:color="auto"/>
            </w:tcBorders>
            <w:shd w:val="clear" w:color="auto" w:fill="auto"/>
          </w:tcPr>
          <w:p w14:paraId="571FA764" w14:textId="77777777" w:rsidR="00B85167" w:rsidRPr="008A5BD5" w:rsidRDefault="00B85167" w:rsidP="0019520B">
            <w:pPr>
              <w:pStyle w:val="TableText"/>
              <w:rPr>
                <w:rStyle w:val="Bold"/>
              </w:rPr>
            </w:pPr>
            <w:r w:rsidRPr="008A5BD5">
              <w:rPr>
                <w:rStyle w:val="Bold"/>
              </w:rPr>
              <w:t>Total administered income from transactions</w:t>
            </w:r>
          </w:p>
        </w:tc>
        <w:tc>
          <w:tcPr>
            <w:tcW w:w="835" w:type="pct"/>
            <w:tcBorders>
              <w:top w:val="single" w:sz="4" w:space="0" w:color="auto"/>
              <w:bottom w:val="single" w:sz="4" w:space="0" w:color="auto"/>
            </w:tcBorders>
            <w:shd w:val="clear" w:color="auto" w:fill="auto"/>
          </w:tcPr>
          <w:p w14:paraId="76D6AC3F" w14:textId="58A26FE9"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132.7</w:t>
            </w:r>
          </w:p>
        </w:tc>
        <w:tc>
          <w:tcPr>
            <w:tcW w:w="835" w:type="pct"/>
            <w:tcBorders>
              <w:top w:val="single" w:sz="4" w:space="0" w:color="auto"/>
              <w:bottom w:val="single" w:sz="4" w:space="0" w:color="auto"/>
            </w:tcBorders>
            <w:shd w:val="clear" w:color="auto" w:fill="auto"/>
          </w:tcPr>
          <w:p w14:paraId="249AD3C4" w14:textId="454B1F57"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113.5</w:t>
            </w:r>
          </w:p>
        </w:tc>
        <w:tc>
          <w:tcPr>
            <w:tcW w:w="834" w:type="pct"/>
            <w:tcBorders>
              <w:top w:val="single" w:sz="4" w:space="0" w:color="auto"/>
              <w:bottom w:val="single" w:sz="4" w:space="0" w:color="auto"/>
            </w:tcBorders>
            <w:shd w:val="clear" w:color="auto" w:fill="auto"/>
          </w:tcPr>
          <w:p w14:paraId="62BAC8D0" w14:textId="62360441"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(19.2)</w:t>
            </w:r>
          </w:p>
        </w:tc>
      </w:tr>
      <w:tr w:rsidR="00B85167" w:rsidRPr="003C6EEC" w14:paraId="7035D6E8"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tcBorders>
          </w:tcPr>
          <w:p w14:paraId="27E75A68" w14:textId="77777777" w:rsidR="00B85167" w:rsidRPr="002D6DAF" w:rsidRDefault="00B85167" w:rsidP="00075247">
            <w:pPr>
              <w:pStyle w:val="TableText"/>
              <w:spacing w:before="120"/>
              <w:rPr>
                <w:rStyle w:val="Bold"/>
              </w:rPr>
            </w:pPr>
            <w:r w:rsidRPr="002D6DAF">
              <w:rPr>
                <w:rStyle w:val="Bold"/>
              </w:rPr>
              <w:t>Administered expenses from transactions</w:t>
            </w:r>
          </w:p>
        </w:tc>
        <w:tc>
          <w:tcPr>
            <w:tcW w:w="835" w:type="pct"/>
            <w:tcBorders>
              <w:top w:val="single" w:sz="4" w:space="0" w:color="auto"/>
            </w:tcBorders>
          </w:tcPr>
          <w:p w14:paraId="7324D849"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5" w:type="pct"/>
            <w:tcBorders>
              <w:top w:val="single" w:sz="4" w:space="0" w:color="auto"/>
            </w:tcBorders>
          </w:tcPr>
          <w:p w14:paraId="678A6E44"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4" w:type="pct"/>
            <w:tcBorders>
              <w:top w:val="single" w:sz="4" w:space="0" w:color="auto"/>
            </w:tcBorders>
          </w:tcPr>
          <w:p w14:paraId="44B50962"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B85167" w:rsidRPr="003C6EEC" w14:paraId="005189FA"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5C82681B" w14:textId="2EF5C4AA" w:rsidR="00B85167" w:rsidRPr="003C6EEC" w:rsidRDefault="00B85167" w:rsidP="0019520B">
            <w:pPr>
              <w:pStyle w:val="TableText"/>
            </w:pPr>
            <w:r w:rsidRPr="003C6EEC">
              <w:t xml:space="preserve">Payments into the </w:t>
            </w:r>
            <w:r>
              <w:t>c</w:t>
            </w:r>
            <w:r w:rsidRPr="003C6EEC">
              <w:t xml:space="preserve">onsolidated </w:t>
            </w:r>
            <w:r>
              <w:t>f</w:t>
            </w:r>
            <w:r w:rsidRPr="003C6EEC">
              <w:t>und</w:t>
            </w:r>
          </w:p>
        </w:tc>
        <w:tc>
          <w:tcPr>
            <w:tcW w:w="835" w:type="pct"/>
          </w:tcPr>
          <w:p w14:paraId="7857D296" w14:textId="54C0F294"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89.6</w:t>
            </w:r>
          </w:p>
        </w:tc>
        <w:tc>
          <w:tcPr>
            <w:tcW w:w="835" w:type="pct"/>
          </w:tcPr>
          <w:p w14:paraId="5C36CA8A" w14:textId="3894C35A"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67.2</w:t>
            </w:r>
          </w:p>
        </w:tc>
        <w:tc>
          <w:tcPr>
            <w:tcW w:w="834" w:type="pct"/>
          </w:tcPr>
          <w:p w14:paraId="3D04E853" w14:textId="616ED3EC"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(22.4)</w:t>
            </w:r>
          </w:p>
        </w:tc>
      </w:tr>
      <w:tr w:rsidR="00B85167" w:rsidRPr="003C6EEC" w14:paraId="42EE8075"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5326FCC8" w14:textId="77777777" w:rsidR="00B85167" w:rsidRPr="003C6EEC" w:rsidRDefault="00B85167" w:rsidP="0019520B">
            <w:pPr>
              <w:pStyle w:val="TableText"/>
            </w:pPr>
            <w:r w:rsidRPr="003C6EEC">
              <w:t>Criminal injuries compensation</w:t>
            </w:r>
          </w:p>
        </w:tc>
        <w:tc>
          <w:tcPr>
            <w:tcW w:w="835" w:type="pct"/>
          </w:tcPr>
          <w:p w14:paraId="6D480E40" w14:textId="213D9549"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33.4</w:t>
            </w:r>
          </w:p>
        </w:tc>
        <w:tc>
          <w:tcPr>
            <w:tcW w:w="835" w:type="pct"/>
          </w:tcPr>
          <w:p w14:paraId="005793C2" w14:textId="7BAD6A9E"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44.0</w:t>
            </w:r>
          </w:p>
        </w:tc>
        <w:tc>
          <w:tcPr>
            <w:tcW w:w="834" w:type="pct"/>
          </w:tcPr>
          <w:p w14:paraId="3ACC192C" w14:textId="1AA68637"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10.6</w:t>
            </w:r>
          </w:p>
        </w:tc>
      </w:tr>
      <w:tr w:rsidR="00B85167" w:rsidRPr="003C6EEC" w14:paraId="211703C3"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bottom w:val="single" w:sz="4" w:space="0" w:color="auto"/>
            </w:tcBorders>
          </w:tcPr>
          <w:p w14:paraId="52C2D7B4" w14:textId="77777777" w:rsidR="00B85167" w:rsidRPr="003C6EEC" w:rsidRDefault="00B85167" w:rsidP="0019520B">
            <w:pPr>
              <w:pStyle w:val="TableText"/>
            </w:pPr>
            <w:r w:rsidRPr="003C6EEC">
              <w:t>Other expenses</w:t>
            </w:r>
          </w:p>
        </w:tc>
        <w:tc>
          <w:tcPr>
            <w:tcW w:w="835" w:type="pct"/>
            <w:tcBorders>
              <w:bottom w:val="single" w:sz="4" w:space="0" w:color="auto"/>
            </w:tcBorders>
          </w:tcPr>
          <w:p w14:paraId="1E8C7F7F" w14:textId="2CBDAA66"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9.7</w:t>
            </w:r>
          </w:p>
        </w:tc>
        <w:tc>
          <w:tcPr>
            <w:tcW w:w="835" w:type="pct"/>
            <w:tcBorders>
              <w:bottom w:val="single" w:sz="4" w:space="0" w:color="auto"/>
            </w:tcBorders>
          </w:tcPr>
          <w:p w14:paraId="0F03EA88" w14:textId="0952DDF0"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1.8</w:t>
            </w:r>
          </w:p>
        </w:tc>
        <w:tc>
          <w:tcPr>
            <w:tcW w:w="834" w:type="pct"/>
            <w:tcBorders>
              <w:bottom w:val="single" w:sz="4" w:space="0" w:color="auto"/>
            </w:tcBorders>
          </w:tcPr>
          <w:p w14:paraId="24490A25" w14:textId="7073E189"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(7.9)</w:t>
            </w:r>
          </w:p>
        </w:tc>
      </w:tr>
      <w:tr w:rsidR="00B85167" w:rsidRPr="008A5BD5" w14:paraId="2C95F718"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bottom w:val="single" w:sz="4" w:space="0" w:color="auto"/>
            </w:tcBorders>
            <w:shd w:val="clear" w:color="auto" w:fill="auto"/>
          </w:tcPr>
          <w:p w14:paraId="0AF80CE9" w14:textId="77777777" w:rsidR="00B85167" w:rsidRPr="008A5BD5" w:rsidRDefault="00B85167" w:rsidP="0019520B">
            <w:pPr>
              <w:pStyle w:val="TableText"/>
              <w:rPr>
                <w:rStyle w:val="Bold"/>
              </w:rPr>
            </w:pPr>
            <w:r w:rsidRPr="008A5BD5">
              <w:rPr>
                <w:rStyle w:val="Bold"/>
              </w:rPr>
              <w:t>Total administered expenses from transactions</w:t>
            </w:r>
          </w:p>
        </w:tc>
        <w:tc>
          <w:tcPr>
            <w:tcW w:w="835" w:type="pct"/>
            <w:tcBorders>
              <w:top w:val="single" w:sz="4" w:space="0" w:color="auto"/>
              <w:bottom w:val="single" w:sz="4" w:space="0" w:color="auto"/>
            </w:tcBorders>
            <w:shd w:val="clear" w:color="auto" w:fill="auto"/>
          </w:tcPr>
          <w:p w14:paraId="3EA5E67A" w14:textId="0C9BCF48"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132.7</w:t>
            </w:r>
          </w:p>
        </w:tc>
        <w:tc>
          <w:tcPr>
            <w:tcW w:w="835" w:type="pct"/>
            <w:tcBorders>
              <w:top w:val="single" w:sz="4" w:space="0" w:color="auto"/>
              <w:bottom w:val="single" w:sz="4" w:space="0" w:color="auto"/>
            </w:tcBorders>
            <w:shd w:val="clear" w:color="auto" w:fill="auto"/>
          </w:tcPr>
          <w:p w14:paraId="7D87AE22" w14:textId="0E1D3EDC"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113.0</w:t>
            </w:r>
          </w:p>
        </w:tc>
        <w:tc>
          <w:tcPr>
            <w:tcW w:w="834" w:type="pct"/>
            <w:tcBorders>
              <w:top w:val="single" w:sz="4" w:space="0" w:color="auto"/>
              <w:bottom w:val="single" w:sz="4" w:space="0" w:color="auto"/>
            </w:tcBorders>
            <w:shd w:val="clear" w:color="auto" w:fill="auto"/>
          </w:tcPr>
          <w:p w14:paraId="59304A0F" w14:textId="218A0E3A"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(19.7)</w:t>
            </w:r>
          </w:p>
        </w:tc>
      </w:tr>
      <w:tr w:rsidR="00B85167" w:rsidRPr="003C6EEC" w14:paraId="7B8CA9D2"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tcBorders>
          </w:tcPr>
          <w:p w14:paraId="10351ECD" w14:textId="77777777" w:rsidR="00B85167" w:rsidRPr="008A5BD5" w:rsidRDefault="00B85167" w:rsidP="00075247">
            <w:pPr>
              <w:pStyle w:val="TableText"/>
              <w:spacing w:before="120"/>
              <w:rPr>
                <w:rStyle w:val="Bold"/>
              </w:rPr>
            </w:pPr>
            <w:r w:rsidRPr="008A5BD5">
              <w:rPr>
                <w:rStyle w:val="Bold"/>
              </w:rPr>
              <w:t>Total administered net result from transactions (net operating balance)</w:t>
            </w:r>
          </w:p>
        </w:tc>
        <w:tc>
          <w:tcPr>
            <w:tcW w:w="835" w:type="pct"/>
            <w:tcBorders>
              <w:top w:val="single" w:sz="4" w:space="0" w:color="auto"/>
            </w:tcBorders>
          </w:tcPr>
          <w:p w14:paraId="3EB968B1" w14:textId="58E9C203"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0.0</w:t>
            </w:r>
          </w:p>
        </w:tc>
        <w:tc>
          <w:tcPr>
            <w:tcW w:w="835" w:type="pct"/>
            <w:tcBorders>
              <w:top w:val="single" w:sz="4" w:space="0" w:color="auto"/>
            </w:tcBorders>
          </w:tcPr>
          <w:p w14:paraId="69F21F72" w14:textId="265BED0D"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0.5</w:t>
            </w:r>
          </w:p>
        </w:tc>
        <w:tc>
          <w:tcPr>
            <w:tcW w:w="834" w:type="pct"/>
            <w:tcBorders>
              <w:top w:val="single" w:sz="4" w:space="0" w:color="auto"/>
            </w:tcBorders>
          </w:tcPr>
          <w:p w14:paraId="08AD4DC1" w14:textId="41F040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0.5</w:t>
            </w:r>
          </w:p>
        </w:tc>
      </w:tr>
      <w:tr w:rsidR="00B85167" w:rsidRPr="008A5BD5" w14:paraId="79078417"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bottom w:val="single" w:sz="4" w:space="0" w:color="auto"/>
            </w:tcBorders>
            <w:shd w:val="clear" w:color="auto" w:fill="auto"/>
          </w:tcPr>
          <w:p w14:paraId="0895A38B" w14:textId="77777777" w:rsidR="00B85167" w:rsidRPr="008A5BD5" w:rsidRDefault="00B85167" w:rsidP="0019520B">
            <w:pPr>
              <w:pStyle w:val="TableText"/>
              <w:rPr>
                <w:rStyle w:val="Bold"/>
              </w:rPr>
            </w:pPr>
            <w:r w:rsidRPr="008A5BD5">
              <w:rPr>
                <w:rStyle w:val="Bold"/>
              </w:rPr>
              <w:t>Total administered comprehensive result</w:t>
            </w:r>
          </w:p>
        </w:tc>
        <w:tc>
          <w:tcPr>
            <w:tcW w:w="835" w:type="pct"/>
            <w:tcBorders>
              <w:top w:val="single" w:sz="4" w:space="0" w:color="auto"/>
              <w:bottom w:val="single" w:sz="4" w:space="0" w:color="auto"/>
            </w:tcBorders>
            <w:shd w:val="clear" w:color="auto" w:fill="auto"/>
          </w:tcPr>
          <w:p w14:paraId="45777A08" w14:textId="68D9A266"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0.0</w:t>
            </w:r>
          </w:p>
        </w:tc>
        <w:tc>
          <w:tcPr>
            <w:tcW w:w="835" w:type="pct"/>
            <w:tcBorders>
              <w:top w:val="single" w:sz="4" w:space="0" w:color="auto"/>
              <w:bottom w:val="single" w:sz="4" w:space="0" w:color="auto"/>
            </w:tcBorders>
            <w:shd w:val="clear" w:color="auto" w:fill="auto"/>
          </w:tcPr>
          <w:p w14:paraId="1391698A" w14:textId="385269D6"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0.5</w:t>
            </w:r>
          </w:p>
        </w:tc>
        <w:tc>
          <w:tcPr>
            <w:tcW w:w="834" w:type="pct"/>
            <w:tcBorders>
              <w:top w:val="single" w:sz="4" w:space="0" w:color="auto"/>
              <w:bottom w:val="single" w:sz="4" w:space="0" w:color="auto"/>
            </w:tcBorders>
            <w:shd w:val="clear" w:color="auto" w:fill="auto"/>
          </w:tcPr>
          <w:p w14:paraId="4C8A846F" w14:textId="3A9E8FE9"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0.5</w:t>
            </w:r>
          </w:p>
        </w:tc>
      </w:tr>
      <w:tr w:rsidR="00B85167" w:rsidRPr="003C6EEC" w14:paraId="069D9938"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tcBorders>
          </w:tcPr>
          <w:p w14:paraId="30636A88" w14:textId="77777777" w:rsidR="00B85167" w:rsidRPr="003C6EEC" w:rsidRDefault="00B85167" w:rsidP="00075247">
            <w:pPr>
              <w:pStyle w:val="TableText"/>
              <w:spacing w:before="120"/>
            </w:pPr>
            <w:r w:rsidRPr="008A5BD5">
              <w:rPr>
                <w:rStyle w:val="Bold"/>
              </w:rPr>
              <w:t>Administered financial assets</w:t>
            </w:r>
          </w:p>
        </w:tc>
        <w:tc>
          <w:tcPr>
            <w:tcW w:w="835" w:type="pct"/>
            <w:tcBorders>
              <w:top w:val="single" w:sz="4" w:space="0" w:color="auto"/>
            </w:tcBorders>
          </w:tcPr>
          <w:p w14:paraId="5ADC925B"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5" w:type="pct"/>
            <w:tcBorders>
              <w:top w:val="single" w:sz="4" w:space="0" w:color="auto"/>
            </w:tcBorders>
          </w:tcPr>
          <w:p w14:paraId="5AE78F4A"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4" w:type="pct"/>
            <w:tcBorders>
              <w:top w:val="single" w:sz="4" w:space="0" w:color="auto"/>
            </w:tcBorders>
          </w:tcPr>
          <w:p w14:paraId="0070E8BF"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B85167" w:rsidRPr="003C6EEC" w14:paraId="2E222353"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670BA4CD" w14:textId="77777777" w:rsidR="00B85167" w:rsidRPr="003C6EEC" w:rsidRDefault="00B85167" w:rsidP="0019520B">
            <w:pPr>
              <w:pStyle w:val="TableText"/>
            </w:pPr>
            <w:r w:rsidRPr="003C6EEC">
              <w:t>Cash and deposits</w:t>
            </w:r>
          </w:p>
        </w:tc>
        <w:tc>
          <w:tcPr>
            <w:tcW w:w="835" w:type="pct"/>
          </w:tcPr>
          <w:p w14:paraId="518F13A3" w14:textId="415B957C"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7.0</w:t>
            </w:r>
          </w:p>
        </w:tc>
        <w:tc>
          <w:tcPr>
            <w:tcW w:w="835" w:type="pct"/>
          </w:tcPr>
          <w:p w14:paraId="78F12390" w14:textId="694988F5"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10.0</w:t>
            </w:r>
          </w:p>
        </w:tc>
        <w:tc>
          <w:tcPr>
            <w:tcW w:w="834" w:type="pct"/>
          </w:tcPr>
          <w:p w14:paraId="55EE32DD" w14:textId="25A00E38"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2.9</w:t>
            </w:r>
          </w:p>
        </w:tc>
      </w:tr>
      <w:tr w:rsidR="00B85167" w:rsidRPr="003C6EEC" w14:paraId="581AB00B"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6EB1F53A" w14:textId="77777777" w:rsidR="00B85167" w:rsidRPr="003C6EEC" w:rsidRDefault="00B85167" w:rsidP="0019520B">
            <w:pPr>
              <w:pStyle w:val="TableText"/>
            </w:pPr>
            <w:r w:rsidRPr="003C6EEC">
              <w:t>Receivables</w:t>
            </w:r>
          </w:p>
        </w:tc>
        <w:tc>
          <w:tcPr>
            <w:tcW w:w="835" w:type="pct"/>
          </w:tcPr>
          <w:p w14:paraId="3CA5E98B" w14:textId="009E5D4C"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3.5</w:t>
            </w:r>
          </w:p>
        </w:tc>
        <w:tc>
          <w:tcPr>
            <w:tcW w:w="835" w:type="pct"/>
          </w:tcPr>
          <w:p w14:paraId="43FD6099" w14:textId="0CD7C802"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1.3</w:t>
            </w:r>
          </w:p>
        </w:tc>
        <w:tc>
          <w:tcPr>
            <w:tcW w:w="834" w:type="pct"/>
          </w:tcPr>
          <w:p w14:paraId="6A6FA505" w14:textId="4C3118C4"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(2.2)</w:t>
            </w:r>
          </w:p>
        </w:tc>
      </w:tr>
      <w:tr w:rsidR="00B85167" w:rsidRPr="002D6DAF" w14:paraId="29CD9FBA"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12E0802C" w14:textId="77777777" w:rsidR="00B85167" w:rsidRPr="002D6DAF" w:rsidRDefault="00B85167" w:rsidP="0019520B">
            <w:pPr>
              <w:pStyle w:val="TableText"/>
              <w:rPr>
                <w:rStyle w:val="Bold"/>
              </w:rPr>
            </w:pPr>
            <w:r w:rsidRPr="002D6DAF">
              <w:rPr>
                <w:rStyle w:val="Bold"/>
              </w:rPr>
              <w:t>Total administered financial assets</w:t>
            </w:r>
          </w:p>
        </w:tc>
        <w:tc>
          <w:tcPr>
            <w:tcW w:w="835" w:type="pct"/>
          </w:tcPr>
          <w:p w14:paraId="613D860F" w14:textId="67C52872" w:rsidR="00B85167" w:rsidRPr="002D6DAF"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10.5</w:t>
            </w:r>
          </w:p>
        </w:tc>
        <w:tc>
          <w:tcPr>
            <w:tcW w:w="835" w:type="pct"/>
          </w:tcPr>
          <w:p w14:paraId="104CE6FC" w14:textId="0FE6AF19" w:rsidR="00B85167" w:rsidRPr="002D6DAF"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11.3</w:t>
            </w:r>
          </w:p>
        </w:tc>
        <w:tc>
          <w:tcPr>
            <w:tcW w:w="834" w:type="pct"/>
          </w:tcPr>
          <w:p w14:paraId="71461CD9" w14:textId="7DB6DE0B" w:rsidR="00B85167" w:rsidRPr="002D6DAF"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0.7</w:t>
            </w:r>
          </w:p>
        </w:tc>
      </w:tr>
      <w:tr w:rsidR="00B85167" w:rsidRPr="003C6EEC" w14:paraId="76B43E71"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507575D1" w14:textId="77777777" w:rsidR="00B85167" w:rsidRPr="002D6DAF" w:rsidRDefault="00B85167" w:rsidP="00075247">
            <w:pPr>
              <w:pStyle w:val="TableText"/>
              <w:spacing w:before="120"/>
              <w:rPr>
                <w:rStyle w:val="Bold"/>
              </w:rPr>
            </w:pPr>
            <w:r w:rsidRPr="002D6DAF">
              <w:rPr>
                <w:rStyle w:val="Bold"/>
              </w:rPr>
              <w:t>Administered liabilities</w:t>
            </w:r>
          </w:p>
        </w:tc>
        <w:tc>
          <w:tcPr>
            <w:tcW w:w="835" w:type="pct"/>
          </w:tcPr>
          <w:p w14:paraId="360F59F0"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5" w:type="pct"/>
          </w:tcPr>
          <w:p w14:paraId="05FA1FD0"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c>
          <w:tcPr>
            <w:tcW w:w="834" w:type="pct"/>
          </w:tcPr>
          <w:p w14:paraId="67A316F2" w14:textId="77777777" w:rsidR="00B85167" w:rsidRPr="003C6EEC" w:rsidRDefault="00B85167" w:rsidP="00075247">
            <w:pPr>
              <w:pStyle w:val="TableText"/>
              <w:spacing w:before="120"/>
              <w:cnfStyle w:val="000000000000" w:firstRow="0" w:lastRow="0" w:firstColumn="0" w:lastColumn="0" w:oddVBand="0" w:evenVBand="0" w:oddHBand="0" w:evenHBand="0" w:firstRowFirstColumn="0" w:firstRowLastColumn="0" w:lastRowFirstColumn="0" w:lastRowLastColumn="0"/>
            </w:pPr>
            <w:r>
              <w:t>N/A</w:t>
            </w:r>
          </w:p>
        </w:tc>
      </w:tr>
      <w:tr w:rsidR="00B85167" w:rsidRPr="003C6EEC" w14:paraId="63F6A711"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7BCC70E7" w14:textId="77777777" w:rsidR="00B85167" w:rsidRPr="003C6EEC" w:rsidRDefault="00B85167" w:rsidP="0019520B">
            <w:pPr>
              <w:pStyle w:val="TableText"/>
            </w:pPr>
            <w:r w:rsidRPr="003C6EEC">
              <w:t>Creditors and accruals</w:t>
            </w:r>
          </w:p>
        </w:tc>
        <w:tc>
          <w:tcPr>
            <w:tcW w:w="835" w:type="pct"/>
          </w:tcPr>
          <w:p w14:paraId="407B7C32" w14:textId="68CE5C52"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0.3</w:t>
            </w:r>
          </w:p>
        </w:tc>
        <w:tc>
          <w:tcPr>
            <w:tcW w:w="835" w:type="pct"/>
          </w:tcPr>
          <w:p w14:paraId="5C586BF2" w14:textId="5FA9CF54"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0.8</w:t>
            </w:r>
          </w:p>
        </w:tc>
        <w:tc>
          <w:tcPr>
            <w:tcW w:w="834" w:type="pct"/>
          </w:tcPr>
          <w:p w14:paraId="4731FE54" w14:textId="1700E677"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0.5</w:t>
            </w:r>
          </w:p>
        </w:tc>
      </w:tr>
      <w:tr w:rsidR="00B85167" w:rsidRPr="003C6EEC" w14:paraId="0FD5877F" w14:textId="77777777" w:rsidTr="00B85167">
        <w:tc>
          <w:tcPr>
            <w:cnfStyle w:val="001000000000" w:firstRow="0" w:lastRow="0" w:firstColumn="1" w:lastColumn="0" w:oddVBand="0" w:evenVBand="0" w:oddHBand="0" w:evenHBand="0" w:firstRowFirstColumn="0" w:firstRowLastColumn="0" w:lastRowFirstColumn="0" w:lastRowLastColumn="0"/>
            <w:tcW w:w="2496" w:type="pct"/>
          </w:tcPr>
          <w:p w14:paraId="08742D1E" w14:textId="77777777" w:rsidR="00B85167" w:rsidRPr="003C6EEC" w:rsidRDefault="00B85167" w:rsidP="0019520B">
            <w:pPr>
              <w:pStyle w:val="TableText"/>
            </w:pPr>
            <w:r w:rsidRPr="003C6EEC">
              <w:t>Payable</w:t>
            </w:r>
          </w:p>
        </w:tc>
        <w:tc>
          <w:tcPr>
            <w:tcW w:w="835" w:type="pct"/>
          </w:tcPr>
          <w:p w14:paraId="78A6FA03" w14:textId="33EE00B8"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10.0</w:t>
            </w:r>
          </w:p>
        </w:tc>
        <w:tc>
          <w:tcPr>
            <w:tcW w:w="835" w:type="pct"/>
          </w:tcPr>
          <w:p w14:paraId="38D22CB7" w14:textId="771CF8EE"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9.2</w:t>
            </w:r>
          </w:p>
        </w:tc>
        <w:tc>
          <w:tcPr>
            <w:tcW w:w="834" w:type="pct"/>
          </w:tcPr>
          <w:p w14:paraId="720A4A69" w14:textId="254DE4B6"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(0.8)</w:t>
            </w:r>
          </w:p>
        </w:tc>
      </w:tr>
      <w:tr w:rsidR="00B85167" w:rsidRPr="003C6EEC" w14:paraId="53EECF88"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bottom w:val="single" w:sz="4" w:space="0" w:color="auto"/>
            </w:tcBorders>
          </w:tcPr>
          <w:p w14:paraId="0DBBD59A" w14:textId="77777777" w:rsidR="00B85167" w:rsidRPr="003C6EEC" w:rsidRDefault="00B85167" w:rsidP="0019520B">
            <w:pPr>
              <w:pStyle w:val="TableText"/>
            </w:pPr>
            <w:r w:rsidRPr="003C6EEC">
              <w:t>Provisions</w:t>
            </w:r>
          </w:p>
        </w:tc>
        <w:tc>
          <w:tcPr>
            <w:tcW w:w="835" w:type="pct"/>
            <w:tcBorders>
              <w:bottom w:val="single" w:sz="4" w:space="0" w:color="auto"/>
            </w:tcBorders>
          </w:tcPr>
          <w:p w14:paraId="270B2147" w14:textId="76F5F9FB"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3.3</w:t>
            </w:r>
          </w:p>
        </w:tc>
        <w:tc>
          <w:tcPr>
            <w:tcW w:w="835" w:type="pct"/>
            <w:tcBorders>
              <w:bottom w:val="single" w:sz="4" w:space="0" w:color="auto"/>
            </w:tcBorders>
          </w:tcPr>
          <w:p w14:paraId="71086D4B" w14:textId="0DA593C0"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2.4</w:t>
            </w:r>
          </w:p>
        </w:tc>
        <w:tc>
          <w:tcPr>
            <w:tcW w:w="834" w:type="pct"/>
            <w:tcBorders>
              <w:bottom w:val="single" w:sz="4" w:space="0" w:color="auto"/>
            </w:tcBorders>
          </w:tcPr>
          <w:p w14:paraId="6B55C18B" w14:textId="26599F81" w:rsidR="00B85167" w:rsidRPr="003C6EEC" w:rsidRDefault="00B85167" w:rsidP="0019520B">
            <w:pPr>
              <w:pStyle w:val="TableText"/>
              <w:cnfStyle w:val="000000000000" w:firstRow="0" w:lastRow="0" w:firstColumn="0" w:lastColumn="0" w:oddVBand="0" w:evenVBand="0" w:oddHBand="0" w:evenHBand="0" w:firstRowFirstColumn="0" w:firstRowLastColumn="0" w:lastRowFirstColumn="0" w:lastRowLastColumn="0"/>
            </w:pPr>
            <w:r>
              <w:t>(0.9)</w:t>
            </w:r>
          </w:p>
        </w:tc>
      </w:tr>
      <w:tr w:rsidR="00B85167" w:rsidRPr="008A5BD5" w14:paraId="43F90F33"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bottom w:val="single" w:sz="4" w:space="0" w:color="auto"/>
            </w:tcBorders>
            <w:shd w:val="clear" w:color="auto" w:fill="auto"/>
          </w:tcPr>
          <w:p w14:paraId="0B9C6CC0" w14:textId="77777777" w:rsidR="00B85167" w:rsidRPr="008A5BD5" w:rsidRDefault="00B85167" w:rsidP="0019520B">
            <w:pPr>
              <w:pStyle w:val="TableText"/>
              <w:rPr>
                <w:rStyle w:val="Bold"/>
              </w:rPr>
            </w:pPr>
            <w:r w:rsidRPr="008A5BD5">
              <w:rPr>
                <w:rStyle w:val="Bold"/>
              </w:rPr>
              <w:t>Total administered liabilities</w:t>
            </w:r>
          </w:p>
        </w:tc>
        <w:tc>
          <w:tcPr>
            <w:tcW w:w="835" w:type="pct"/>
            <w:tcBorders>
              <w:top w:val="single" w:sz="4" w:space="0" w:color="auto"/>
              <w:bottom w:val="single" w:sz="4" w:space="0" w:color="auto"/>
            </w:tcBorders>
            <w:shd w:val="clear" w:color="auto" w:fill="auto"/>
          </w:tcPr>
          <w:p w14:paraId="4F8C5986" w14:textId="1FAC364C"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13.6</w:t>
            </w:r>
          </w:p>
        </w:tc>
        <w:tc>
          <w:tcPr>
            <w:tcW w:w="835" w:type="pct"/>
            <w:tcBorders>
              <w:top w:val="single" w:sz="4" w:space="0" w:color="auto"/>
              <w:bottom w:val="single" w:sz="4" w:space="0" w:color="auto"/>
            </w:tcBorders>
            <w:shd w:val="clear" w:color="auto" w:fill="auto"/>
          </w:tcPr>
          <w:p w14:paraId="565356C6" w14:textId="7703D406"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12.4</w:t>
            </w:r>
          </w:p>
        </w:tc>
        <w:tc>
          <w:tcPr>
            <w:tcW w:w="834" w:type="pct"/>
            <w:tcBorders>
              <w:top w:val="single" w:sz="4" w:space="0" w:color="auto"/>
              <w:bottom w:val="single" w:sz="4" w:space="0" w:color="auto"/>
            </w:tcBorders>
            <w:shd w:val="clear" w:color="auto" w:fill="auto"/>
          </w:tcPr>
          <w:p w14:paraId="5634D5C0" w14:textId="7B61870C"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w:t>
            </w:r>
          </w:p>
        </w:tc>
      </w:tr>
      <w:tr w:rsidR="00B85167" w:rsidRPr="008A5BD5" w14:paraId="71268F00" w14:textId="77777777" w:rsidTr="00B85167">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auto"/>
              <w:bottom w:val="single" w:sz="4" w:space="0" w:color="auto"/>
            </w:tcBorders>
            <w:shd w:val="clear" w:color="auto" w:fill="auto"/>
          </w:tcPr>
          <w:p w14:paraId="44C8F94F" w14:textId="77777777" w:rsidR="00B85167" w:rsidRPr="008A5BD5" w:rsidRDefault="00B85167" w:rsidP="0019520B">
            <w:pPr>
              <w:pStyle w:val="TableText"/>
              <w:rPr>
                <w:rStyle w:val="Bold"/>
              </w:rPr>
            </w:pPr>
            <w:r w:rsidRPr="008A5BD5">
              <w:rPr>
                <w:rStyle w:val="Bold"/>
              </w:rPr>
              <w:t>Total administered net assets</w:t>
            </w:r>
          </w:p>
        </w:tc>
        <w:tc>
          <w:tcPr>
            <w:tcW w:w="835" w:type="pct"/>
            <w:tcBorders>
              <w:top w:val="single" w:sz="4" w:space="0" w:color="auto"/>
              <w:bottom w:val="single" w:sz="4" w:space="0" w:color="auto"/>
            </w:tcBorders>
            <w:shd w:val="clear" w:color="auto" w:fill="auto"/>
          </w:tcPr>
          <w:p w14:paraId="46164E17" w14:textId="64A41432"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(3.1)</w:t>
            </w:r>
          </w:p>
        </w:tc>
        <w:tc>
          <w:tcPr>
            <w:tcW w:w="835" w:type="pct"/>
            <w:tcBorders>
              <w:top w:val="single" w:sz="4" w:space="0" w:color="auto"/>
              <w:bottom w:val="single" w:sz="4" w:space="0" w:color="auto"/>
            </w:tcBorders>
            <w:shd w:val="clear" w:color="auto" w:fill="auto"/>
          </w:tcPr>
          <w:p w14:paraId="60BE9801" w14:textId="3AB393DF"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(1.2)</w:t>
            </w:r>
          </w:p>
        </w:tc>
        <w:tc>
          <w:tcPr>
            <w:tcW w:w="834" w:type="pct"/>
            <w:tcBorders>
              <w:top w:val="single" w:sz="4" w:space="0" w:color="auto"/>
              <w:bottom w:val="single" w:sz="4" w:space="0" w:color="auto"/>
            </w:tcBorders>
            <w:shd w:val="clear" w:color="auto" w:fill="auto"/>
          </w:tcPr>
          <w:p w14:paraId="0ADA3B6E" w14:textId="3080E133" w:rsidR="00B85167" w:rsidRPr="008A5BD5" w:rsidRDefault="00B85167" w:rsidP="0019520B">
            <w:pPr>
              <w:pStyle w:val="TableText"/>
              <w:cnfStyle w:val="000000000000" w:firstRow="0" w:lastRow="0" w:firstColumn="0" w:lastColumn="0" w:oddVBand="0" w:evenVBand="0" w:oddHBand="0" w:evenHBand="0" w:firstRowFirstColumn="0" w:firstRowLastColumn="0" w:lastRowFirstColumn="0" w:lastRowLastColumn="0"/>
              <w:rPr>
                <w:rStyle w:val="Bold"/>
              </w:rPr>
            </w:pPr>
            <w:r>
              <w:rPr>
                <w:rStyle w:val="Bold"/>
              </w:rPr>
              <w:t>1.9</w:t>
            </w:r>
          </w:p>
        </w:tc>
      </w:tr>
    </w:tbl>
    <w:p w14:paraId="5FFF9107" w14:textId="383A034F" w:rsidR="00716F56" w:rsidRDefault="008C1EC6" w:rsidP="00FA4FAE">
      <w:pPr>
        <w:pStyle w:val="Heading1"/>
      </w:pPr>
      <w:bookmarkStart w:id="558" w:name="Glossary"/>
      <w:bookmarkStart w:id="559" w:name="_Toc62808198"/>
      <w:r>
        <w:t>Glossary</w:t>
      </w:r>
      <w:bookmarkEnd w:id="559"/>
    </w:p>
    <w:tbl>
      <w:tblPr>
        <w:tblStyle w:val="TableGrid"/>
        <w:tblW w:w="5000" w:type="pct"/>
        <w:tblLook w:val="04A0" w:firstRow="1" w:lastRow="0" w:firstColumn="1" w:lastColumn="0" w:noHBand="0" w:noVBand="1"/>
      </w:tblPr>
      <w:tblGrid>
        <w:gridCol w:w="1700"/>
        <w:gridCol w:w="7939"/>
      </w:tblGrid>
      <w:tr w:rsidR="0070331E" w14:paraId="26F48D6F" w14:textId="77777777" w:rsidTr="00075247">
        <w:trPr>
          <w:cnfStyle w:val="100000000000" w:firstRow="1" w:lastRow="0" w:firstColumn="0" w:lastColumn="0" w:oddVBand="0" w:evenVBand="0" w:oddHBand="0" w:evenHBand="0" w:firstRowFirstColumn="0" w:firstRowLastColumn="0" w:lastRowFirstColumn="0" w:lastRowLastColumn="0"/>
        </w:trPr>
        <w:tc>
          <w:tcPr>
            <w:tcW w:w="882" w:type="pct"/>
            <w:vAlign w:val="bottom"/>
          </w:tcPr>
          <w:p w14:paraId="771D5FA5" w14:textId="7F878AFD" w:rsidR="0070331E" w:rsidRDefault="0070331E" w:rsidP="00075247">
            <w:pPr>
              <w:pStyle w:val="TableText"/>
            </w:pPr>
            <w:bookmarkStart w:id="560" w:name="ColumnTitle_116"/>
            <w:bookmarkEnd w:id="558"/>
            <w:r>
              <w:t>Term</w:t>
            </w:r>
          </w:p>
        </w:tc>
        <w:tc>
          <w:tcPr>
            <w:tcW w:w="4118" w:type="pct"/>
            <w:vAlign w:val="bottom"/>
          </w:tcPr>
          <w:p w14:paraId="3CEB38F3" w14:textId="0235C3D6" w:rsidR="0070331E" w:rsidRDefault="0070331E" w:rsidP="00075247">
            <w:pPr>
              <w:pStyle w:val="TableText"/>
            </w:pPr>
            <w:r>
              <w:t>Definition</w:t>
            </w:r>
          </w:p>
        </w:tc>
      </w:tr>
      <w:bookmarkEnd w:id="560"/>
      <w:tr w:rsidR="0070331E" w14:paraId="41385072" w14:textId="77777777" w:rsidTr="00AE44AD">
        <w:tc>
          <w:tcPr>
            <w:tcW w:w="882" w:type="pct"/>
          </w:tcPr>
          <w:p w14:paraId="0EE295EC" w14:textId="19173E96" w:rsidR="0070331E" w:rsidRDefault="0070331E" w:rsidP="0070331E">
            <w:pPr>
              <w:pStyle w:val="TableText"/>
            </w:pPr>
            <w:r>
              <w:t>AJA</w:t>
            </w:r>
          </w:p>
        </w:tc>
        <w:tc>
          <w:tcPr>
            <w:tcW w:w="4118" w:type="pct"/>
          </w:tcPr>
          <w:p w14:paraId="259E33DC" w14:textId="6BFDE005" w:rsidR="0070331E" w:rsidRDefault="0070331E" w:rsidP="0070331E">
            <w:pPr>
              <w:pStyle w:val="TableText"/>
            </w:pPr>
            <w:r>
              <w:t>Aboriginal Justice Agreement</w:t>
            </w:r>
          </w:p>
        </w:tc>
      </w:tr>
      <w:tr w:rsidR="0070331E" w14:paraId="17C9E228" w14:textId="77777777" w:rsidTr="00AE44AD">
        <w:tc>
          <w:tcPr>
            <w:tcW w:w="882" w:type="pct"/>
          </w:tcPr>
          <w:p w14:paraId="02D64D54" w14:textId="40FF36AD" w:rsidR="0070331E" w:rsidRDefault="0070331E" w:rsidP="0070331E">
            <w:pPr>
              <w:pStyle w:val="TableText"/>
            </w:pPr>
            <w:r>
              <w:t>AJF</w:t>
            </w:r>
          </w:p>
        </w:tc>
        <w:tc>
          <w:tcPr>
            <w:tcW w:w="4118" w:type="pct"/>
          </w:tcPr>
          <w:p w14:paraId="72613F64" w14:textId="639DF51F" w:rsidR="0070331E" w:rsidRDefault="0070331E" w:rsidP="0070331E">
            <w:pPr>
              <w:pStyle w:val="TableText"/>
            </w:pPr>
            <w:r>
              <w:t>Aboriginal Justice Forum</w:t>
            </w:r>
          </w:p>
        </w:tc>
      </w:tr>
      <w:tr w:rsidR="00AE44AD" w14:paraId="01E0E077" w14:textId="77777777" w:rsidTr="00AE44AD">
        <w:tc>
          <w:tcPr>
            <w:tcW w:w="882" w:type="pct"/>
          </w:tcPr>
          <w:p w14:paraId="10C7E294" w14:textId="4BC23A8E" w:rsidR="00AE44AD" w:rsidRDefault="00AE44AD" w:rsidP="0070331E">
            <w:pPr>
              <w:pStyle w:val="TableText"/>
            </w:pPr>
            <w:r>
              <w:t>CAIMS</w:t>
            </w:r>
          </w:p>
        </w:tc>
        <w:tc>
          <w:tcPr>
            <w:tcW w:w="4118" w:type="pct"/>
          </w:tcPr>
          <w:p w14:paraId="5F4C0175" w14:textId="15B90D25" w:rsidR="00AE44AD" w:rsidRDefault="00AE44AD" w:rsidP="00AE44AD">
            <w:pPr>
              <w:pStyle w:val="TableText"/>
            </w:pPr>
            <w:r>
              <w:t>Courts Ass</w:t>
            </w:r>
            <w:r w:rsidR="009B1462">
              <w:t>et</w:t>
            </w:r>
            <w:r>
              <w:t xml:space="preserve"> Information Management System</w:t>
            </w:r>
          </w:p>
        </w:tc>
      </w:tr>
      <w:tr w:rsidR="00AE44AD" w14:paraId="55350E23" w14:textId="77777777" w:rsidTr="00AE44AD">
        <w:tc>
          <w:tcPr>
            <w:tcW w:w="882" w:type="pct"/>
          </w:tcPr>
          <w:p w14:paraId="6214ACC3" w14:textId="2FF4304C" w:rsidR="00AE44AD" w:rsidRDefault="00AE44AD" w:rsidP="0070331E">
            <w:pPr>
              <w:pStyle w:val="TableText"/>
            </w:pPr>
            <w:r>
              <w:t>CEO</w:t>
            </w:r>
          </w:p>
        </w:tc>
        <w:tc>
          <w:tcPr>
            <w:tcW w:w="4118" w:type="pct"/>
          </w:tcPr>
          <w:p w14:paraId="4E34A89A" w14:textId="53DEE8C9" w:rsidR="00AE44AD" w:rsidRDefault="00AE44AD" w:rsidP="00AE44AD">
            <w:pPr>
              <w:pStyle w:val="TableText"/>
            </w:pPr>
            <w:r>
              <w:t>Chief Executive Officer</w:t>
            </w:r>
          </w:p>
        </w:tc>
      </w:tr>
      <w:tr w:rsidR="00AE44AD" w14:paraId="611A9A16" w14:textId="77777777" w:rsidTr="00AE44AD">
        <w:tc>
          <w:tcPr>
            <w:tcW w:w="882" w:type="pct"/>
          </w:tcPr>
          <w:p w14:paraId="0CA836FB" w14:textId="5F10E6C7" w:rsidR="00AE44AD" w:rsidRDefault="00AE44AD" w:rsidP="0070331E">
            <w:pPr>
              <w:pStyle w:val="TableText"/>
            </w:pPr>
            <w:r>
              <w:t>CMS</w:t>
            </w:r>
          </w:p>
        </w:tc>
        <w:tc>
          <w:tcPr>
            <w:tcW w:w="4118" w:type="pct"/>
          </w:tcPr>
          <w:p w14:paraId="2C5201C4" w14:textId="750F7675" w:rsidR="00AE44AD" w:rsidRDefault="00AE44AD" w:rsidP="00AE44AD">
            <w:pPr>
              <w:pStyle w:val="TableText"/>
            </w:pPr>
            <w:r>
              <w:t>Case management system</w:t>
            </w:r>
          </w:p>
        </w:tc>
      </w:tr>
      <w:tr w:rsidR="00AE44AD" w14:paraId="0763B3A8" w14:textId="77777777" w:rsidTr="00AE44AD">
        <w:tc>
          <w:tcPr>
            <w:tcW w:w="882" w:type="pct"/>
          </w:tcPr>
          <w:p w14:paraId="19C8BE85" w14:textId="56623404" w:rsidR="00AE44AD" w:rsidRDefault="00AE44AD" w:rsidP="0070331E">
            <w:pPr>
              <w:pStyle w:val="TableText"/>
            </w:pPr>
            <w:r>
              <w:t>College</w:t>
            </w:r>
          </w:p>
        </w:tc>
        <w:tc>
          <w:tcPr>
            <w:tcW w:w="4118" w:type="pct"/>
          </w:tcPr>
          <w:p w14:paraId="4541C65D" w14:textId="1746F87E" w:rsidR="00AE44AD" w:rsidRDefault="00AE44AD" w:rsidP="00AE44AD">
            <w:pPr>
              <w:pStyle w:val="TableText"/>
            </w:pPr>
            <w:r>
              <w:t>Judicial College of Victoria</w:t>
            </w:r>
          </w:p>
        </w:tc>
      </w:tr>
      <w:tr w:rsidR="00AE44AD" w14:paraId="53BD302A" w14:textId="77777777" w:rsidTr="00AE44AD">
        <w:tc>
          <w:tcPr>
            <w:tcW w:w="882" w:type="pct"/>
          </w:tcPr>
          <w:p w14:paraId="0C390294" w14:textId="1181BB40" w:rsidR="00AE44AD" w:rsidRDefault="00AE44AD" w:rsidP="0070331E">
            <w:pPr>
              <w:pStyle w:val="TableText"/>
            </w:pPr>
            <w:r>
              <w:t>Commission</w:t>
            </w:r>
          </w:p>
        </w:tc>
        <w:tc>
          <w:tcPr>
            <w:tcW w:w="4118" w:type="pct"/>
          </w:tcPr>
          <w:p w14:paraId="0224AAE8" w14:textId="1BA16C44" w:rsidR="00AE44AD" w:rsidRDefault="00AE44AD" w:rsidP="00AE44AD">
            <w:pPr>
              <w:pStyle w:val="TableText"/>
            </w:pPr>
            <w:r>
              <w:t>Judicial Commission of Victoria</w:t>
            </w:r>
          </w:p>
        </w:tc>
      </w:tr>
      <w:tr w:rsidR="00AE44AD" w14:paraId="1F339FD5" w14:textId="77777777" w:rsidTr="00AE44AD">
        <w:tc>
          <w:tcPr>
            <w:tcW w:w="882" w:type="pct"/>
          </w:tcPr>
          <w:p w14:paraId="5E2F4ABB" w14:textId="4177FF24" w:rsidR="00AE44AD" w:rsidRDefault="00AE44AD" w:rsidP="0070331E">
            <w:pPr>
              <w:pStyle w:val="TableText"/>
            </w:pPr>
            <w:r>
              <w:t>Courts Council</w:t>
            </w:r>
          </w:p>
        </w:tc>
        <w:tc>
          <w:tcPr>
            <w:tcW w:w="4118" w:type="pct"/>
          </w:tcPr>
          <w:p w14:paraId="5752D148" w14:textId="37F748F2" w:rsidR="00AE44AD" w:rsidRDefault="00AE44AD" w:rsidP="00AE44AD">
            <w:pPr>
              <w:pStyle w:val="TableText"/>
            </w:pPr>
            <w:r>
              <w:t xml:space="preserve">The governing body of </w:t>
            </w:r>
            <w:r w:rsidR="009B1462">
              <w:t>Court Services Victoria</w:t>
            </w:r>
            <w:r>
              <w:t>, comprising the Heads of Jurisdiction and up to two non-judicial members appointed by the Heads of Jurisdiction</w:t>
            </w:r>
          </w:p>
        </w:tc>
      </w:tr>
      <w:tr w:rsidR="00AE44AD" w14:paraId="69FE348D" w14:textId="77777777" w:rsidTr="00AE44AD">
        <w:tc>
          <w:tcPr>
            <w:tcW w:w="882" w:type="pct"/>
          </w:tcPr>
          <w:p w14:paraId="3EA950BB" w14:textId="07FE96D3" w:rsidR="00AE44AD" w:rsidRDefault="00AE44AD" w:rsidP="0070331E">
            <w:pPr>
              <w:pStyle w:val="TableText"/>
            </w:pPr>
            <w:r>
              <w:t>Courts Executive</w:t>
            </w:r>
          </w:p>
        </w:tc>
        <w:tc>
          <w:tcPr>
            <w:tcW w:w="4118" w:type="pct"/>
          </w:tcPr>
          <w:p w14:paraId="008ADAF2" w14:textId="3F38E561" w:rsidR="00AE44AD" w:rsidRDefault="00AE44AD" w:rsidP="00AE44AD">
            <w:pPr>
              <w:pStyle w:val="TableText"/>
            </w:pPr>
            <w:r>
              <w:t xml:space="preserve">Comprised of the </w:t>
            </w:r>
            <w:r w:rsidR="009B1462">
              <w:t>Court Services Victoria</w:t>
            </w:r>
            <w:r>
              <w:t xml:space="preserve"> CEO and senior executives, CEOs of the courts, </w:t>
            </w:r>
            <w:r w:rsidR="00A10DBB">
              <w:t>Victorian Civil and Administrative Tribunal</w:t>
            </w:r>
            <w:r>
              <w:t xml:space="preserve"> and the College, and Director of the Commission</w:t>
            </w:r>
          </w:p>
        </w:tc>
      </w:tr>
      <w:tr w:rsidR="00AE44AD" w14:paraId="462696AA" w14:textId="77777777" w:rsidTr="00AE44AD">
        <w:tc>
          <w:tcPr>
            <w:tcW w:w="882" w:type="pct"/>
          </w:tcPr>
          <w:p w14:paraId="3308A4FB" w14:textId="34190731" w:rsidR="00AE44AD" w:rsidRDefault="00AE44AD" w:rsidP="0070331E">
            <w:pPr>
              <w:pStyle w:val="TableText"/>
            </w:pPr>
            <w:r>
              <w:t>Courts Group</w:t>
            </w:r>
          </w:p>
        </w:tc>
        <w:tc>
          <w:tcPr>
            <w:tcW w:w="4118" w:type="pct"/>
          </w:tcPr>
          <w:p w14:paraId="6DADF896" w14:textId="0468F554" w:rsidR="00AE44AD" w:rsidRDefault="00AE44AD" w:rsidP="00AE44AD">
            <w:pPr>
              <w:pStyle w:val="TableText"/>
            </w:pPr>
            <w:r>
              <w:t xml:space="preserve">The courts, </w:t>
            </w:r>
            <w:r w:rsidR="00A10DBB">
              <w:t>Victorian Civil and Administrative Tribunal</w:t>
            </w:r>
            <w:r>
              <w:t>, College and Commission</w:t>
            </w:r>
          </w:p>
        </w:tc>
      </w:tr>
      <w:tr w:rsidR="00AE44AD" w14:paraId="06F455D7" w14:textId="77777777" w:rsidTr="00AE44AD">
        <w:tc>
          <w:tcPr>
            <w:tcW w:w="882" w:type="pct"/>
          </w:tcPr>
          <w:p w14:paraId="470BC3D3" w14:textId="298CEEED" w:rsidR="00AE44AD" w:rsidRDefault="00AE44AD" w:rsidP="0070331E">
            <w:pPr>
              <w:pStyle w:val="TableText"/>
            </w:pPr>
            <w:r>
              <w:t>CSO</w:t>
            </w:r>
          </w:p>
        </w:tc>
        <w:tc>
          <w:tcPr>
            <w:tcW w:w="4118" w:type="pct"/>
          </w:tcPr>
          <w:p w14:paraId="29644694" w14:textId="620DB054" w:rsidR="00AE44AD" w:rsidRDefault="00AE44AD" w:rsidP="00AE44AD">
            <w:pPr>
              <w:pStyle w:val="TableText"/>
            </w:pPr>
            <w:r>
              <w:t>Court security officer</w:t>
            </w:r>
          </w:p>
        </w:tc>
      </w:tr>
      <w:tr w:rsidR="00AE44AD" w14:paraId="3505D92C" w14:textId="77777777" w:rsidTr="00AE44AD">
        <w:tc>
          <w:tcPr>
            <w:tcW w:w="882" w:type="pct"/>
          </w:tcPr>
          <w:p w14:paraId="3130C9A8" w14:textId="3AC0A0F1" w:rsidR="00AE44AD" w:rsidRDefault="00AE44AD" w:rsidP="0070331E">
            <w:pPr>
              <w:pStyle w:val="TableText"/>
            </w:pPr>
            <w:r>
              <w:t>CSV</w:t>
            </w:r>
          </w:p>
        </w:tc>
        <w:tc>
          <w:tcPr>
            <w:tcW w:w="4118" w:type="pct"/>
          </w:tcPr>
          <w:p w14:paraId="37B4FACA" w14:textId="54D9D767" w:rsidR="00AE44AD" w:rsidRDefault="00AE44AD" w:rsidP="00AE44AD">
            <w:pPr>
              <w:pStyle w:val="TableText"/>
            </w:pPr>
            <w:r>
              <w:t>Court Services Victoria</w:t>
            </w:r>
          </w:p>
        </w:tc>
      </w:tr>
      <w:tr w:rsidR="00AE44AD" w14:paraId="19A23548" w14:textId="77777777" w:rsidTr="00AE44AD">
        <w:tc>
          <w:tcPr>
            <w:tcW w:w="882" w:type="pct"/>
          </w:tcPr>
          <w:p w14:paraId="7086126F" w14:textId="61BA9EDE" w:rsidR="00AE44AD" w:rsidRDefault="00AE44AD" w:rsidP="0070331E">
            <w:pPr>
              <w:pStyle w:val="TableText"/>
            </w:pPr>
            <w:r>
              <w:t>DTF</w:t>
            </w:r>
          </w:p>
        </w:tc>
        <w:tc>
          <w:tcPr>
            <w:tcW w:w="4118" w:type="pct"/>
          </w:tcPr>
          <w:p w14:paraId="627E12C0" w14:textId="6E8923F2" w:rsidR="00AE44AD" w:rsidRDefault="00AE44AD" w:rsidP="00AE44AD">
            <w:pPr>
              <w:pStyle w:val="TableText"/>
            </w:pPr>
            <w:r>
              <w:t>Department of Treasury and Finance</w:t>
            </w:r>
          </w:p>
        </w:tc>
      </w:tr>
      <w:tr w:rsidR="00AE44AD" w14:paraId="57408918" w14:textId="77777777" w:rsidTr="00AE44AD">
        <w:tc>
          <w:tcPr>
            <w:tcW w:w="882" w:type="pct"/>
          </w:tcPr>
          <w:p w14:paraId="64CBE341" w14:textId="3138038F" w:rsidR="00AE44AD" w:rsidRDefault="00AE44AD" w:rsidP="0070331E">
            <w:pPr>
              <w:pStyle w:val="TableText"/>
            </w:pPr>
            <w:r>
              <w:t>EMT</w:t>
            </w:r>
          </w:p>
        </w:tc>
        <w:tc>
          <w:tcPr>
            <w:tcW w:w="4118" w:type="pct"/>
          </w:tcPr>
          <w:p w14:paraId="7CDA2168" w14:textId="55ACC536" w:rsidR="00AE44AD" w:rsidRDefault="00AE44AD" w:rsidP="00AE44AD">
            <w:pPr>
              <w:pStyle w:val="TableText"/>
            </w:pPr>
            <w:r>
              <w:t>Emergency Management Team</w:t>
            </w:r>
          </w:p>
        </w:tc>
      </w:tr>
      <w:tr w:rsidR="00AE44AD" w14:paraId="25437006" w14:textId="77777777" w:rsidTr="00AE44AD">
        <w:tc>
          <w:tcPr>
            <w:tcW w:w="882" w:type="pct"/>
          </w:tcPr>
          <w:p w14:paraId="2DE609A6" w14:textId="7C237428" w:rsidR="00AE44AD" w:rsidRDefault="00AE44AD" w:rsidP="0070331E">
            <w:pPr>
              <w:pStyle w:val="TableText"/>
            </w:pPr>
            <w:r>
              <w:t>ERP</w:t>
            </w:r>
          </w:p>
        </w:tc>
        <w:tc>
          <w:tcPr>
            <w:tcW w:w="4118" w:type="pct"/>
          </w:tcPr>
          <w:p w14:paraId="6D0CF5ED" w14:textId="6D75A687" w:rsidR="00AE44AD" w:rsidRDefault="00AE44AD" w:rsidP="00AE44AD">
            <w:pPr>
              <w:pStyle w:val="TableText"/>
            </w:pPr>
            <w:r>
              <w:t>Elders and Respected Persons</w:t>
            </w:r>
          </w:p>
        </w:tc>
      </w:tr>
      <w:tr w:rsidR="00AE44AD" w14:paraId="4F47873B" w14:textId="77777777" w:rsidTr="00AE44AD">
        <w:tc>
          <w:tcPr>
            <w:tcW w:w="882" w:type="pct"/>
          </w:tcPr>
          <w:p w14:paraId="10B76E6A" w14:textId="5ABEFCC2" w:rsidR="00AE44AD" w:rsidRDefault="00AE44AD" w:rsidP="0070331E">
            <w:pPr>
              <w:pStyle w:val="TableText"/>
            </w:pPr>
            <w:r>
              <w:t>FOI</w:t>
            </w:r>
          </w:p>
        </w:tc>
        <w:tc>
          <w:tcPr>
            <w:tcW w:w="4118" w:type="pct"/>
          </w:tcPr>
          <w:p w14:paraId="681380F8" w14:textId="24AC4FF4" w:rsidR="00AE44AD" w:rsidRDefault="00AE44AD" w:rsidP="00AE44AD">
            <w:pPr>
              <w:pStyle w:val="TableText"/>
            </w:pPr>
            <w:r>
              <w:t>Freedom of information</w:t>
            </w:r>
          </w:p>
        </w:tc>
      </w:tr>
      <w:tr w:rsidR="00AE44AD" w14:paraId="147A1D27" w14:textId="77777777" w:rsidTr="00AE44AD">
        <w:tc>
          <w:tcPr>
            <w:tcW w:w="882" w:type="pct"/>
          </w:tcPr>
          <w:p w14:paraId="44C05031" w14:textId="1085ADC8" w:rsidR="00AE44AD" w:rsidRDefault="00AE44AD" w:rsidP="0070331E">
            <w:pPr>
              <w:pStyle w:val="TableText"/>
            </w:pPr>
            <w:r>
              <w:t>FTE</w:t>
            </w:r>
          </w:p>
        </w:tc>
        <w:tc>
          <w:tcPr>
            <w:tcW w:w="4118" w:type="pct"/>
          </w:tcPr>
          <w:p w14:paraId="20D1320F" w14:textId="3063F1A0" w:rsidR="00AE44AD" w:rsidRDefault="00AE44AD" w:rsidP="00AE44AD">
            <w:pPr>
              <w:pStyle w:val="TableText"/>
            </w:pPr>
            <w:r>
              <w:t>Full-time equivalent</w:t>
            </w:r>
          </w:p>
        </w:tc>
      </w:tr>
      <w:tr w:rsidR="00AE44AD" w14:paraId="2EEF9123" w14:textId="77777777" w:rsidTr="00AE44AD">
        <w:tc>
          <w:tcPr>
            <w:tcW w:w="882" w:type="pct"/>
          </w:tcPr>
          <w:p w14:paraId="2064E4D7" w14:textId="6FE73F56" w:rsidR="00AE44AD" w:rsidRDefault="00AE44AD" w:rsidP="0070331E">
            <w:pPr>
              <w:pStyle w:val="TableText"/>
            </w:pPr>
            <w:r>
              <w:t>ITS</w:t>
            </w:r>
          </w:p>
        </w:tc>
        <w:tc>
          <w:tcPr>
            <w:tcW w:w="4118" w:type="pct"/>
          </w:tcPr>
          <w:p w14:paraId="59ABCD4B" w14:textId="4C6A94B8" w:rsidR="00AE44AD" w:rsidRDefault="00AE44AD" w:rsidP="00AE44AD">
            <w:pPr>
              <w:pStyle w:val="TableText"/>
            </w:pPr>
            <w:r>
              <w:t>Information Technology Services</w:t>
            </w:r>
          </w:p>
        </w:tc>
      </w:tr>
      <w:tr w:rsidR="00857A36" w14:paraId="65A95664" w14:textId="77777777" w:rsidTr="00AE44AD">
        <w:tc>
          <w:tcPr>
            <w:tcW w:w="882" w:type="pct"/>
          </w:tcPr>
          <w:p w14:paraId="05151310" w14:textId="5460AF68" w:rsidR="00857A36" w:rsidRDefault="00AE44AD" w:rsidP="0070331E">
            <w:pPr>
              <w:pStyle w:val="TableText"/>
            </w:pPr>
            <w:r>
              <w:t>Jurisdictions</w:t>
            </w:r>
          </w:p>
        </w:tc>
        <w:tc>
          <w:tcPr>
            <w:tcW w:w="4118" w:type="pct"/>
          </w:tcPr>
          <w:p w14:paraId="1488F846" w14:textId="6D8A3CB6" w:rsidR="00857A36" w:rsidRDefault="00AE44AD" w:rsidP="00AE44AD">
            <w:pPr>
              <w:pStyle w:val="TableText"/>
            </w:pPr>
            <w:r>
              <w:t>Victorian courts and tribunal, which are the Supreme Court of Victoria, the County Court of Victoria, the Magistrates’ Court of Victoria, the Children’s Court of Victoria, the Coroners Court of Victoria and the Victorian Civil and Administrative Tribunal</w:t>
            </w:r>
          </w:p>
        </w:tc>
      </w:tr>
      <w:tr w:rsidR="00857A36" w14:paraId="2A35DEF2" w14:textId="77777777" w:rsidTr="00AE44AD">
        <w:tc>
          <w:tcPr>
            <w:tcW w:w="882" w:type="pct"/>
          </w:tcPr>
          <w:p w14:paraId="5C514CA1" w14:textId="7948EF4D" w:rsidR="00857A36" w:rsidRDefault="00AE44AD" w:rsidP="0070331E">
            <w:pPr>
              <w:pStyle w:val="TableText"/>
            </w:pPr>
            <w:r>
              <w:t>OH&amp;S</w:t>
            </w:r>
          </w:p>
        </w:tc>
        <w:tc>
          <w:tcPr>
            <w:tcW w:w="4118" w:type="pct"/>
          </w:tcPr>
          <w:p w14:paraId="35F59A86" w14:textId="68870A46" w:rsidR="00857A36" w:rsidRDefault="00AE44AD" w:rsidP="0070331E">
            <w:pPr>
              <w:pStyle w:val="TableText"/>
            </w:pPr>
            <w:r>
              <w:t>Occupational health and safety</w:t>
            </w:r>
          </w:p>
        </w:tc>
      </w:tr>
      <w:tr w:rsidR="00857A36" w14:paraId="7120FF18" w14:textId="77777777" w:rsidTr="00AE44AD">
        <w:tc>
          <w:tcPr>
            <w:tcW w:w="882" w:type="pct"/>
          </w:tcPr>
          <w:p w14:paraId="44FEF1F1" w14:textId="15CF8795" w:rsidR="00857A36" w:rsidRDefault="00AE44AD" w:rsidP="0070331E">
            <w:pPr>
              <w:pStyle w:val="TableText"/>
            </w:pPr>
            <w:r>
              <w:t>STS</w:t>
            </w:r>
          </w:p>
        </w:tc>
        <w:tc>
          <w:tcPr>
            <w:tcW w:w="4118" w:type="pct"/>
          </w:tcPr>
          <w:p w14:paraId="03947389" w14:textId="63E05AFD" w:rsidR="00857A36" w:rsidRDefault="00AE44AD" w:rsidP="0070331E">
            <w:pPr>
              <w:pStyle w:val="TableText"/>
            </w:pPr>
            <w:r>
              <w:t>Senior Technical Specialist</w:t>
            </w:r>
          </w:p>
        </w:tc>
      </w:tr>
      <w:tr w:rsidR="00857A36" w14:paraId="7B9C5341" w14:textId="77777777" w:rsidTr="00AE44AD">
        <w:tc>
          <w:tcPr>
            <w:tcW w:w="882" w:type="pct"/>
          </w:tcPr>
          <w:p w14:paraId="18FB5651" w14:textId="77B2B01C" w:rsidR="00857A36" w:rsidRDefault="00AE44AD" w:rsidP="0070331E">
            <w:pPr>
              <w:pStyle w:val="TableText"/>
            </w:pPr>
            <w:r>
              <w:t>VCAT</w:t>
            </w:r>
          </w:p>
        </w:tc>
        <w:tc>
          <w:tcPr>
            <w:tcW w:w="4118" w:type="pct"/>
          </w:tcPr>
          <w:p w14:paraId="7D2B27A1" w14:textId="7FB4F916" w:rsidR="00857A36" w:rsidRDefault="00AE44AD" w:rsidP="0070331E">
            <w:pPr>
              <w:pStyle w:val="TableText"/>
            </w:pPr>
            <w:r>
              <w:t>Victorian Civil and Administrative Tribunal</w:t>
            </w:r>
          </w:p>
        </w:tc>
      </w:tr>
      <w:tr w:rsidR="00857A36" w14:paraId="0B96B9A0" w14:textId="77777777" w:rsidTr="00AE44AD">
        <w:tc>
          <w:tcPr>
            <w:tcW w:w="882" w:type="pct"/>
          </w:tcPr>
          <w:p w14:paraId="575E8268" w14:textId="2FC646AD" w:rsidR="00857A36" w:rsidRDefault="00AE44AD" w:rsidP="0070331E">
            <w:pPr>
              <w:pStyle w:val="TableText"/>
            </w:pPr>
            <w:r>
              <w:t>VGRS</w:t>
            </w:r>
          </w:p>
        </w:tc>
        <w:tc>
          <w:tcPr>
            <w:tcW w:w="4118" w:type="pct"/>
          </w:tcPr>
          <w:p w14:paraId="5FBDB35C" w14:textId="71A8F8EA" w:rsidR="00857A36" w:rsidRDefault="00AE44AD" w:rsidP="0070331E">
            <w:pPr>
              <w:pStyle w:val="TableText"/>
            </w:pPr>
            <w:r>
              <w:t>Victorian Government Reporting Service</w:t>
            </w:r>
          </w:p>
        </w:tc>
      </w:tr>
      <w:tr w:rsidR="00AE44AD" w14:paraId="734E5CD9" w14:textId="77777777" w:rsidTr="00AE44AD">
        <w:tc>
          <w:tcPr>
            <w:tcW w:w="882" w:type="pct"/>
          </w:tcPr>
          <w:p w14:paraId="62782079" w14:textId="1D186F9A" w:rsidR="00AE44AD" w:rsidRDefault="00AE44AD" w:rsidP="00AE44AD">
            <w:pPr>
              <w:pStyle w:val="TableText"/>
            </w:pPr>
            <w:r>
              <w:t>VPS</w:t>
            </w:r>
          </w:p>
        </w:tc>
        <w:tc>
          <w:tcPr>
            <w:tcW w:w="4118" w:type="pct"/>
          </w:tcPr>
          <w:p w14:paraId="3582BB0B" w14:textId="0B981648" w:rsidR="00AE44AD" w:rsidRDefault="00AE44AD" w:rsidP="00AE44AD">
            <w:pPr>
              <w:pStyle w:val="TableText"/>
            </w:pPr>
            <w:r>
              <w:t>Victorian Public Service</w:t>
            </w:r>
          </w:p>
        </w:tc>
      </w:tr>
    </w:tbl>
    <w:p w14:paraId="3A8C84A1" w14:textId="5C492411" w:rsidR="0067082F" w:rsidRPr="009D43BD" w:rsidRDefault="0067082F" w:rsidP="0067082F">
      <w:pPr>
        <w:pStyle w:val="BodyText"/>
      </w:pPr>
      <w:bookmarkStart w:id="561" w:name="_Note_10._Glossary"/>
      <w:bookmarkStart w:id="562" w:name="_Note_11._Budgetary"/>
      <w:bookmarkEnd w:id="503"/>
      <w:bookmarkEnd w:id="561"/>
      <w:bookmarkEnd w:id="562"/>
      <w:r>
        <w:t>End of Document</w:t>
      </w:r>
    </w:p>
    <w:sectPr w:rsidR="0067082F" w:rsidRPr="009D43BD" w:rsidSect="004B6BAC">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BFB2" w14:textId="77777777" w:rsidR="00845B99" w:rsidRDefault="00845B99">
      <w:r>
        <w:separator/>
      </w:r>
    </w:p>
    <w:p w14:paraId="1348DF9E" w14:textId="77777777" w:rsidR="00845B99" w:rsidRDefault="00845B99"/>
  </w:endnote>
  <w:endnote w:type="continuationSeparator" w:id="0">
    <w:p w14:paraId="2E688698" w14:textId="77777777" w:rsidR="00845B99" w:rsidRDefault="00845B99">
      <w:r>
        <w:continuationSeparator/>
      </w:r>
    </w:p>
    <w:p w14:paraId="7B00386D" w14:textId="77777777" w:rsidR="00845B99" w:rsidRDefault="0084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DIN (T1) Medium">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DECE" w14:textId="77777777" w:rsidR="00C9062D" w:rsidRDefault="00C9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6D42" w14:textId="77777777" w:rsidR="00C9062D" w:rsidRDefault="00C90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3381" w14:textId="77777777" w:rsidR="00C9062D" w:rsidRDefault="00C90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FA9C" w14:textId="77777777" w:rsidR="00C9062D" w:rsidRPr="00111980" w:rsidRDefault="00C9062D" w:rsidP="00B211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285A" w14:textId="77777777" w:rsidR="00C9062D" w:rsidRPr="00111980" w:rsidRDefault="00C9062D" w:rsidP="00B211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A2C" w14:textId="77777777" w:rsidR="00C9062D" w:rsidRDefault="00C9062D" w:rsidP="00B2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1872" w14:textId="77777777" w:rsidR="00845B99" w:rsidRPr="007E5AD9" w:rsidRDefault="00845B99" w:rsidP="00C2741F">
      <w:pPr>
        <w:pStyle w:val="FootnoteSeparator"/>
        <w:pBdr>
          <w:top w:val="none" w:sz="0" w:space="0" w:color="auto"/>
        </w:pBdr>
        <w:spacing w:after="0"/>
      </w:pPr>
      <w:r w:rsidRPr="007E5AD9">
        <w:separator/>
      </w:r>
    </w:p>
  </w:footnote>
  <w:footnote w:type="continuationSeparator" w:id="0">
    <w:p w14:paraId="1723A60E" w14:textId="77777777" w:rsidR="00845B99" w:rsidRPr="007E5AD9" w:rsidRDefault="00845B99" w:rsidP="00C2741F">
      <w:pPr>
        <w:pStyle w:val="FootnoteSeparator"/>
        <w:pBdr>
          <w:top w:val="none" w:sz="0" w:space="0" w:color="auto"/>
        </w:pBdr>
        <w:spacing w:after="0"/>
      </w:pPr>
      <w:r w:rsidRPr="007E5AD9">
        <w:separator/>
      </w:r>
    </w:p>
  </w:footnote>
  <w:footnote w:type="continuationNotice" w:id="1">
    <w:p w14:paraId="7CB9C56A" w14:textId="77777777" w:rsidR="00845B99" w:rsidRDefault="00845B99" w:rsidP="00C2741F">
      <w:pPr>
        <w:spacing w:after="0"/>
      </w:pPr>
    </w:p>
  </w:footnote>
  <w:footnote w:id="2">
    <w:p w14:paraId="7BB9ADCC" w14:textId="4E307C12" w:rsidR="00C9062D" w:rsidRPr="0099282F" w:rsidRDefault="00C9062D">
      <w:pPr>
        <w:pStyle w:val="FootnoteText"/>
        <w:rPr>
          <w:lang w:val="en-US"/>
        </w:rPr>
      </w:pPr>
      <w:r>
        <w:rPr>
          <w:rStyle w:val="FootnoteReference"/>
        </w:rPr>
        <w:footnoteRef/>
      </w:r>
      <w:r>
        <w:t xml:space="preserve"> </w:t>
      </w:r>
      <w:r w:rsidRPr="0099282F">
        <w:t>https://www.ibac.vic.gov.au/</w:t>
      </w:r>
    </w:p>
  </w:footnote>
  <w:footnote w:id="3">
    <w:p w14:paraId="475D1D5A" w14:textId="39BEBEB0" w:rsidR="00C9062D" w:rsidRPr="00C631AF" w:rsidRDefault="00C9062D">
      <w:pPr>
        <w:pStyle w:val="FootnoteText"/>
        <w:rPr>
          <w:lang w:val="en-US"/>
        </w:rPr>
      </w:pPr>
      <w:r>
        <w:rPr>
          <w:rStyle w:val="FootnoteReference"/>
        </w:rPr>
        <w:footnoteRef/>
      </w:r>
      <w:r>
        <w:t xml:space="preserve"> </w:t>
      </w:r>
      <w:r w:rsidRPr="00C631AF">
        <w:t>www.ovic.vic.gov.au</w:t>
      </w:r>
    </w:p>
  </w:footnote>
  <w:footnote w:id="4">
    <w:p w14:paraId="1FF9B483" w14:textId="6AAE79A4" w:rsidR="00C9062D" w:rsidRPr="00DF23EE" w:rsidRDefault="00C9062D">
      <w:pPr>
        <w:pStyle w:val="FootnoteText"/>
        <w:rPr>
          <w:lang w:val="en-US"/>
        </w:rPr>
      </w:pPr>
      <w:r>
        <w:rPr>
          <w:rStyle w:val="FootnoteReference"/>
        </w:rPr>
        <w:footnoteRef/>
      </w:r>
      <w:r>
        <w:t xml:space="preserve"> </w:t>
      </w:r>
      <w:r w:rsidRPr="00DF23EE">
        <w:t>https://www.audit.vic.gov.au/</w:t>
      </w:r>
    </w:p>
  </w:footnote>
  <w:footnote w:id="5">
    <w:p w14:paraId="49B6A759" w14:textId="688D2C8D" w:rsidR="00C9062D" w:rsidRPr="00B74CD4" w:rsidRDefault="00C9062D">
      <w:pPr>
        <w:pStyle w:val="FootnoteText"/>
        <w:rPr>
          <w:lang w:val="en-US"/>
        </w:rPr>
      </w:pPr>
      <w:r>
        <w:rPr>
          <w:rStyle w:val="FootnoteReference"/>
        </w:rPr>
        <w:footnoteRef/>
      </w:r>
      <w:r>
        <w:t xml:space="preserve"> </w:t>
      </w:r>
      <w:r w:rsidRPr="00B74CD4">
        <w:t>https://fundsincourt.vic.gov.au/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D90D" w14:textId="77777777" w:rsidR="00C9062D" w:rsidRDefault="00C90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C902" w14:textId="77777777" w:rsidR="00C9062D" w:rsidRDefault="00C90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8D1B" w14:textId="77777777" w:rsidR="00C9062D" w:rsidRDefault="00C90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11AB" w14:textId="77777777" w:rsidR="00C9062D" w:rsidRDefault="00C9062D" w:rsidP="00B211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0D8" w14:textId="77777777" w:rsidR="00C9062D" w:rsidRDefault="00C9062D" w:rsidP="00B211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0AD2" w14:textId="77777777" w:rsidR="00C9062D" w:rsidRDefault="00C9062D" w:rsidP="00B2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CA2C90DE"/>
    <w:name w:val="JemenaListBullets"/>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680"/>
        </w:tabs>
        <w:ind w:left="680" w:hanging="340"/>
      </w:pPr>
      <w:rPr>
        <w:rFonts w:ascii="Calibri" w:hAnsi="Calibri" w:hint="default"/>
        <w:b w:val="0"/>
        <w:i w:val="0"/>
        <w:color w:val="auto"/>
        <w:position w:val="2"/>
        <w:sz w:val="18"/>
      </w:rPr>
    </w:lvl>
    <w:lvl w:ilvl="2">
      <w:start w:val="1"/>
      <w:numFmt w:val="bullet"/>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FB2573F"/>
    <w:multiLevelType w:val="multilevel"/>
    <w:tmpl w:val="5FB2AFCA"/>
    <w:name w:val="MyListNumbering"/>
    <w:lvl w:ilvl="0">
      <w:start w:val="1"/>
      <w:numFmt w:val="decimal"/>
      <w:pStyle w:val="NotesNumberedList"/>
      <w:lvlText w:val="(%1)"/>
      <w:lvlJc w:val="left"/>
      <w:pPr>
        <w:tabs>
          <w:tab w:val="num" w:pos="340"/>
        </w:tabs>
        <w:ind w:left="340" w:hanging="340"/>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2" w15:restartNumberingAfterBreak="0">
    <w:nsid w:val="11EC4992"/>
    <w:multiLevelType w:val="multilevel"/>
    <w:tmpl w:val="FD707BE2"/>
    <w:name w:val="Alpha List"/>
    <w:lvl w:ilvl="0">
      <w:start w:val="1"/>
      <w:numFmt w:val="lowerLetter"/>
      <w:lvlText w:val="(%1)"/>
      <w:lvlJc w:val="left"/>
      <w:pPr>
        <w:tabs>
          <w:tab w:val="num" w:pos="397"/>
        </w:tabs>
        <w:ind w:left="397" w:hanging="397"/>
      </w:pPr>
      <w:rPr>
        <w:rFonts w:hint="default"/>
        <w:color w:val="auto"/>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15E41210"/>
    <w:multiLevelType w:val="multilevel"/>
    <w:tmpl w:val="7A7E9CE2"/>
    <w:name w:val="Warning"/>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4A695C"/>
    <w:multiLevelType w:val="multilevel"/>
    <w:tmpl w:val="8C48371A"/>
    <w:name w:val="TableBullets"/>
    <w:lvl w:ilvl="0">
      <w:start w:val="1"/>
      <w:numFmt w:val="bullet"/>
      <w:pStyle w:val="TableTextBullet1"/>
      <w:lvlText w:val="•"/>
      <w:lvlJc w:val="left"/>
      <w:pPr>
        <w:tabs>
          <w:tab w:val="num" w:pos="284"/>
        </w:tabs>
        <w:ind w:left="284" w:hanging="284"/>
      </w:pPr>
      <w:rPr>
        <w:rFonts w:ascii="Calibri" w:hAnsi="Calibri" w:hint="default"/>
        <w:color w:val="000000" w:themeColor="text1"/>
        <w:position w:val="0"/>
        <w:sz w:val="22"/>
        <w:szCs w:val="12"/>
      </w:rPr>
    </w:lvl>
    <w:lvl w:ilvl="1">
      <w:start w:val="1"/>
      <w:numFmt w:val="bullet"/>
      <w:pStyle w:val="TableTextBullet2"/>
      <w:lvlText w:val="–"/>
      <w:lvlJc w:val="left"/>
      <w:pPr>
        <w:tabs>
          <w:tab w:val="num" w:pos="567"/>
        </w:tabs>
        <w:ind w:left="568" w:hanging="284"/>
      </w:pPr>
      <w:rPr>
        <w:rFonts w:ascii="Arial" w:hAnsi="Arial" w:hint="default"/>
        <w:b w:val="0"/>
        <w:i w:val="0"/>
        <w:color w:val="000000" w:themeColor="text1"/>
        <w:sz w:val="18"/>
        <w:szCs w:val="18"/>
      </w:rPr>
    </w:lvl>
    <w:lvl w:ilvl="2">
      <w:start w:val="1"/>
      <w:numFmt w:val="bullet"/>
      <w:pStyle w:val="TableTextBullet3"/>
      <w:lvlText w:val="»"/>
      <w:lvlJc w:val="left"/>
      <w:pPr>
        <w:tabs>
          <w:tab w:val="num" w:pos="851"/>
        </w:tabs>
        <w:ind w:left="852" w:hanging="284"/>
      </w:pPr>
      <w:rPr>
        <w:rFonts w:ascii="Calibri" w:hAnsi="Calibri" w:hint="default"/>
        <w:color w:val="000000" w:themeColor="text1"/>
      </w:rPr>
    </w:lvl>
    <w:lvl w:ilvl="3">
      <w:start w:val="1"/>
      <w:numFmt w:val="none"/>
      <w:lvlText w:val=""/>
      <w:lvlJc w:val="left"/>
      <w:pPr>
        <w:tabs>
          <w:tab w:val="num" w:pos="1192"/>
        </w:tabs>
        <w:ind w:left="1136" w:hanging="284"/>
      </w:pPr>
      <w:rPr>
        <w:rFonts w:hint="default"/>
      </w:rPr>
    </w:lvl>
    <w:lvl w:ilvl="4">
      <w:start w:val="1"/>
      <w:numFmt w:val="none"/>
      <w:lvlText w:val=""/>
      <w:lvlJc w:val="left"/>
      <w:pPr>
        <w:tabs>
          <w:tab w:val="num" w:pos="1476"/>
        </w:tabs>
        <w:ind w:left="1420" w:hanging="284"/>
      </w:pPr>
      <w:rPr>
        <w:rFonts w:hint="default"/>
      </w:rPr>
    </w:lvl>
    <w:lvl w:ilvl="5">
      <w:start w:val="1"/>
      <w:numFmt w:val="none"/>
      <w:lvlText w:val=""/>
      <w:lvlJc w:val="left"/>
      <w:pPr>
        <w:tabs>
          <w:tab w:val="num" w:pos="1760"/>
        </w:tabs>
        <w:ind w:left="1704" w:hanging="284"/>
      </w:pPr>
      <w:rPr>
        <w:rFonts w:hint="default"/>
      </w:rPr>
    </w:lvl>
    <w:lvl w:ilvl="6">
      <w:start w:val="1"/>
      <w:numFmt w:val="none"/>
      <w:lvlText w:val=""/>
      <w:lvlJc w:val="left"/>
      <w:pPr>
        <w:tabs>
          <w:tab w:val="num" w:pos="2044"/>
        </w:tabs>
        <w:ind w:left="1988" w:hanging="284"/>
      </w:pPr>
      <w:rPr>
        <w:rFonts w:hint="default"/>
      </w:rPr>
    </w:lvl>
    <w:lvl w:ilvl="7">
      <w:start w:val="1"/>
      <w:numFmt w:val="none"/>
      <w:lvlText w:val=""/>
      <w:lvlJc w:val="left"/>
      <w:pPr>
        <w:tabs>
          <w:tab w:val="num" w:pos="2328"/>
        </w:tabs>
        <w:ind w:left="2272" w:hanging="284"/>
      </w:pPr>
      <w:rPr>
        <w:rFonts w:hint="default"/>
      </w:rPr>
    </w:lvl>
    <w:lvl w:ilvl="8">
      <w:start w:val="1"/>
      <w:numFmt w:val="none"/>
      <w:lvlText w:val=""/>
      <w:lvlJc w:val="left"/>
      <w:pPr>
        <w:tabs>
          <w:tab w:val="num" w:pos="2612"/>
        </w:tabs>
        <w:ind w:left="2556" w:hanging="284"/>
      </w:pPr>
      <w:rPr>
        <w:rFonts w:hint="default"/>
      </w:rPr>
    </w:lvl>
  </w:abstractNum>
  <w:abstractNum w:abstractNumId="5" w15:restartNumberingAfterBreak="0">
    <w:nsid w:val="217071B5"/>
    <w:multiLevelType w:val="multilevel"/>
    <w:tmpl w:val="183C21C0"/>
    <w:name w:val="ListBullets"/>
    <w:lvl w:ilvl="0">
      <w:start w:val="1"/>
      <w:numFmt w:val="bullet"/>
      <w:lvlRestart w:val="0"/>
      <w:pStyle w:val="ListBullet"/>
      <w:lvlText w:val="•"/>
      <w:lvlJc w:val="left"/>
      <w:pPr>
        <w:tabs>
          <w:tab w:val="num" w:pos="227"/>
        </w:tabs>
        <w:ind w:left="227" w:hanging="227"/>
      </w:pPr>
      <w:rPr>
        <w:rFonts w:ascii="Arial" w:hAnsi="Arial" w:hint="default"/>
        <w:color w:val="000000" w:themeColor="text1"/>
        <w:sz w:val="22"/>
      </w:rPr>
    </w:lvl>
    <w:lvl w:ilvl="1">
      <w:start w:val="1"/>
      <w:numFmt w:val="bullet"/>
      <w:pStyle w:val="ListBullet2"/>
      <w:lvlText w:val="–"/>
      <w:lvlJc w:val="left"/>
      <w:pPr>
        <w:tabs>
          <w:tab w:val="num" w:pos="454"/>
        </w:tabs>
        <w:ind w:left="454" w:hanging="227"/>
      </w:pPr>
      <w:rPr>
        <w:rFonts w:ascii="Arial" w:hAnsi="Arial" w:hint="default"/>
        <w:color w:val="000000" w:themeColor="text1"/>
      </w:rPr>
    </w:lvl>
    <w:lvl w:ilvl="2">
      <w:start w:val="1"/>
      <w:numFmt w:val="bullet"/>
      <w:pStyle w:val="ListBullet3"/>
      <w:lvlText w:val="»"/>
      <w:lvlJc w:val="left"/>
      <w:pPr>
        <w:tabs>
          <w:tab w:val="num" w:pos="680"/>
        </w:tabs>
        <w:ind w:left="680" w:hanging="226"/>
      </w:pPr>
      <w:rPr>
        <w:rFonts w:ascii="Calibri" w:hAnsi="Calibri" w:hint="default"/>
        <w:color w:val="000000" w:themeColor="text1"/>
      </w:rPr>
    </w:lvl>
    <w:lvl w:ilvl="3">
      <w:start w:val="1"/>
      <w:numFmt w:val="bullet"/>
      <w:pStyle w:val="ListBullet4"/>
      <w:lvlText w:val="–"/>
      <w:lvlJc w:val="left"/>
      <w:pPr>
        <w:tabs>
          <w:tab w:val="num" w:pos="907"/>
        </w:tabs>
        <w:ind w:left="907" w:hanging="227"/>
      </w:pPr>
      <w:rPr>
        <w:rFonts w:ascii="Arial" w:hAnsi="Arial" w:hint="default"/>
        <w:color w:val="000000" w:themeColor="text1"/>
      </w:rPr>
    </w:lvl>
    <w:lvl w:ilvl="4">
      <w:start w:val="1"/>
      <w:numFmt w:val="bullet"/>
      <w:pStyle w:val="ListBullet5"/>
      <w:lvlText w:val="–"/>
      <w:lvlJc w:val="left"/>
      <w:pPr>
        <w:tabs>
          <w:tab w:val="num" w:pos="1134"/>
        </w:tabs>
        <w:ind w:left="1134" w:hanging="227"/>
      </w:pPr>
      <w:rPr>
        <w:rFonts w:ascii="Arial" w:hAnsi="Arial" w:hint="default"/>
        <w:color w:val="000000" w:themeColor="text1"/>
      </w:rPr>
    </w:lvl>
    <w:lvl w:ilvl="5">
      <w:start w:val="1"/>
      <w:numFmt w:val="bullet"/>
      <w:lvlText w:val=""/>
      <w:lvlJc w:val="left"/>
      <w:pPr>
        <w:tabs>
          <w:tab w:val="num" w:pos="1874"/>
        </w:tabs>
        <w:ind w:left="2724" w:hanging="454"/>
      </w:pPr>
      <w:rPr>
        <w:rFonts w:ascii="Wingdings" w:hAnsi="Wingdings" w:hint="default"/>
      </w:rPr>
    </w:lvl>
    <w:lvl w:ilvl="6">
      <w:start w:val="1"/>
      <w:numFmt w:val="bullet"/>
      <w:lvlText w:val=""/>
      <w:lvlJc w:val="left"/>
      <w:pPr>
        <w:tabs>
          <w:tab w:val="num" w:pos="2158"/>
        </w:tabs>
        <w:ind w:left="3178" w:hanging="454"/>
      </w:pPr>
      <w:rPr>
        <w:rFonts w:ascii="Symbol" w:hAnsi="Symbol" w:hint="default"/>
      </w:rPr>
    </w:lvl>
    <w:lvl w:ilvl="7">
      <w:start w:val="1"/>
      <w:numFmt w:val="bullet"/>
      <w:lvlText w:val="o"/>
      <w:lvlJc w:val="left"/>
      <w:pPr>
        <w:tabs>
          <w:tab w:val="num" w:pos="2442"/>
        </w:tabs>
        <w:ind w:left="3632" w:hanging="454"/>
      </w:pPr>
      <w:rPr>
        <w:rFonts w:ascii="Courier New" w:hAnsi="Courier New" w:hint="default"/>
      </w:rPr>
    </w:lvl>
    <w:lvl w:ilvl="8">
      <w:start w:val="1"/>
      <w:numFmt w:val="bullet"/>
      <w:lvlText w:val=""/>
      <w:lvlJc w:val="left"/>
      <w:pPr>
        <w:tabs>
          <w:tab w:val="num" w:pos="2726"/>
        </w:tabs>
        <w:ind w:left="4086" w:hanging="454"/>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C72580B"/>
    <w:multiLevelType w:val="multilevel"/>
    <w:tmpl w:val="463E0F0C"/>
    <w:name w:val="PullOutBoxNumbering"/>
    <w:lvl w:ilvl="0">
      <w:start w:val="1"/>
      <w:numFmt w:val="decimal"/>
      <w:pStyle w:val="PullOutBoxNumbered"/>
      <w:lvlText w:val="%1."/>
      <w:lvlJc w:val="left"/>
      <w:pPr>
        <w:ind w:left="680" w:hanging="396"/>
      </w:pPr>
      <w:rPr>
        <w:rFonts w:hint="default"/>
        <w:b w:val="0"/>
        <w:i w:val="0"/>
        <w:color w:val="000000" w:themeColor="text1"/>
      </w:rPr>
    </w:lvl>
    <w:lvl w:ilvl="1">
      <w:start w:val="1"/>
      <w:numFmt w:val="lowerLetter"/>
      <w:lvlText w:val="%2."/>
      <w:lvlJc w:val="left"/>
      <w:pPr>
        <w:ind w:left="567" w:hanging="283"/>
      </w:pPr>
      <w:rPr>
        <w:rFonts w:hint="default"/>
        <w:b w:val="0"/>
        <w:i w:val="0"/>
        <w:color w:val="000000" w:themeColor="text1"/>
      </w:rPr>
    </w:lvl>
    <w:lvl w:ilvl="2">
      <w:start w:val="1"/>
      <w:numFmt w:val="lowerRoman"/>
      <w:lvlText w:val="%3."/>
      <w:lvlJc w:val="left"/>
      <w:pPr>
        <w:ind w:left="567" w:hanging="283"/>
      </w:pPr>
      <w:rPr>
        <w:rFonts w:hint="default"/>
        <w:b w:val="0"/>
        <w:i w:val="0"/>
        <w:color w:val="000000" w:themeColor="text1"/>
        <w:position w:val="2"/>
        <w:sz w:val="20"/>
      </w:rPr>
    </w:lvl>
    <w:lvl w:ilvl="3">
      <w:start w:val="1"/>
      <w:numFmt w:val="none"/>
      <w:lvlText w:val=""/>
      <w:lvlJc w:val="left"/>
      <w:pPr>
        <w:tabs>
          <w:tab w:val="num" w:pos="1700"/>
        </w:tabs>
        <w:ind w:left="567" w:hanging="283"/>
      </w:pPr>
      <w:rPr>
        <w:rFonts w:hint="default"/>
      </w:rPr>
    </w:lvl>
    <w:lvl w:ilvl="4">
      <w:start w:val="1"/>
      <w:numFmt w:val="none"/>
      <w:lvlText w:val=""/>
      <w:lvlJc w:val="left"/>
      <w:pPr>
        <w:tabs>
          <w:tab w:val="num" w:pos="2040"/>
        </w:tabs>
        <w:ind w:left="567" w:hanging="283"/>
      </w:pPr>
      <w:rPr>
        <w:rFonts w:hint="default"/>
      </w:rPr>
    </w:lvl>
    <w:lvl w:ilvl="5">
      <w:start w:val="1"/>
      <w:numFmt w:val="none"/>
      <w:lvlText w:val=""/>
      <w:lvlJc w:val="left"/>
      <w:pPr>
        <w:tabs>
          <w:tab w:val="num" w:pos="2380"/>
        </w:tabs>
        <w:ind w:left="567" w:hanging="283"/>
      </w:pPr>
      <w:rPr>
        <w:rFonts w:hint="default"/>
      </w:rPr>
    </w:lvl>
    <w:lvl w:ilvl="6">
      <w:start w:val="1"/>
      <w:numFmt w:val="none"/>
      <w:lvlText w:val=""/>
      <w:lvlJc w:val="left"/>
      <w:pPr>
        <w:tabs>
          <w:tab w:val="num" w:pos="2720"/>
        </w:tabs>
        <w:ind w:left="567" w:hanging="283"/>
      </w:pPr>
      <w:rPr>
        <w:rFonts w:hint="default"/>
      </w:rPr>
    </w:lvl>
    <w:lvl w:ilvl="7">
      <w:start w:val="1"/>
      <w:numFmt w:val="none"/>
      <w:lvlText w:val=""/>
      <w:lvlJc w:val="left"/>
      <w:pPr>
        <w:tabs>
          <w:tab w:val="num" w:pos="3060"/>
        </w:tabs>
        <w:ind w:left="567" w:hanging="283"/>
      </w:pPr>
      <w:rPr>
        <w:rFonts w:hint="default"/>
      </w:rPr>
    </w:lvl>
    <w:lvl w:ilvl="8">
      <w:start w:val="1"/>
      <w:numFmt w:val="none"/>
      <w:lvlText w:val=""/>
      <w:lvlJc w:val="left"/>
      <w:pPr>
        <w:tabs>
          <w:tab w:val="num" w:pos="3400"/>
        </w:tabs>
        <w:ind w:left="567" w:hanging="283"/>
      </w:pPr>
      <w:rPr>
        <w:rFonts w:hint="default"/>
      </w:rPr>
    </w:lvl>
  </w:abstractNum>
  <w:abstractNum w:abstractNumId="8" w15:restartNumberingAfterBreak="0">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9" w15:restartNumberingAfterBreak="0">
    <w:nsid w:val="36D246EF"/>
    <w:multiLevelType w:val="multilevel"/>
    <w:tmpl w:val="2C32E76A"/>
    <w:name w:val="OakeswellHeadings2"/>
    <w:lvl w:ilvl="0">
      <w:numFmt w:val="bullet"/>
      <w:pStyle w:val="PullOutBoxBullet"/>
      <w:lvlText w:val="•"/>
      <w:lvlJc w:val="left"/>
      <w:pPr>
        <w:ind w:left="567" w:hanging="283"/>
      </w:pPr>
      <w:rPr>
        <w:rFonts w:ascii="Arial" w:hAnsi="Arial" w:hint="default"/>
        <w:lang w:val="en-US" w:eastAsia="en-US" w:bidi="en-US"/>
      </w:rPr>
    </w:lvl>
    <w:lvl w:ilvl="1">
      <w:start w:val="1"/>
      <w:numFmt w:val="bullet"/>
      <w:lvlText w:val="o"/>
      <w:lvlJc w:val="left"/>
      <w:pPr>
        <w:ind w:left="567" w:hanging="283"/>
      </w:pPr>
      <w:rPr>
        <w:rFonts w:ascii="Courier New" w:hAnsi="Courier New" w:cs="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cs="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cs="Courier New" w:hint="default"/>
      </w:rPr>
    </w:lvl>
    <w:lvl w:ilvl="8">
      <w:start w:val="1"/>
      <w:numFmt w:val="bullet"/>
      <w:lvlText w:val=""/>
      <w:lvlJc w:val="left"/>
      <w:pPr>
        <w:ind w:left="567" w:hanging="283"/>
      </w:pPr>
      <w:rPr>
        <w:rFonts w:ascii="Wingdings" w:hAnsi="Wingdings" w:hint="default"/>
      </w:rPr>
    </w:lvl>
  </w:abstractNum>
  <w:abstractNum w:abstractNumId="10" w15:restartNumberingAfterBreak="0">
    <w:nsid w:val="372B3323"/>
    <w:multiLevelType w:val="multilevel"/>
    <w:tmpl w:val="1DC8DA2E"/>
    <w:name w:val="OakeswellHeadings"/>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none"/>
      <w:suff w:val="nothing"/>
      <w:lvlText w:val=""/>
      <w:lvlJc w:val="left"/>
      <w:pPr>
        <w:ind w:left="0" w:firstLine="0"/>
      </w:pPr>
      <w:rPr>
        <w:rFonts w:hint="default"/>
        <w:spacing w:val="0"/>
      </w:rPr>
    </w:lvl>
    <w:lvl w:ilvl="4">
      <w:start w:val="1"/>
      <w:numFmt w:val="none"/>
      <w:suff w:val="nothing"/>
      <w:lvlText w:val=""/>
      <w:lvlJc w:val="left"/>
      <w:pPr>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723AD4"/>
    <w:multiLevelType w:val="multilevel"/>
    <w:tmpl w:val="A60805B0"/>
    <w:name w:val="PullOutList"/>
    <w:lvl w:ilvl="0">
      <w:start w:val="1"/>
      <w:numFmt w:val="bullet"/>
      <w:lvlText w:val=""/>
      <w:lvlJc w:val="left"/>
      <w:pPr>
        <w:ind w:left="227" w:hanging="227"/>
      </w:pPr>
      <w:rPr>
        <w:rFonts w:ascii="Wingdings" w:hAnsi="Wingdings" w:hint="default"/>
        <w:color w:val="C45911" w:themeColor="accent2" w:themeShade="BF"/>
        <w:sz w:val="22"/>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1" w:hanging="227"/>
      </w:pPr>
      <w:rPr>
        <w:rFonts w:ascii="Calibri" w:hAnsi="Calibri" w:hint="default"/>
        <w:color w:val="000000" w:themeColor="text1"/>
      </w:rPr>
    </w:lvl>
    <w:lvl w:ilvl="3">
      <w:start w:val="1"/>
      <w:numFmt w:val="none"/>
      <w:lvlText w:val=""/>
      <w:lvlJc w:val="left"/>
      <w:pPr>
        <w:tabs>
          <w:tab w:val="num" w:pos="1700"/>
        </w:tabs>
        <w:ind w:left="908" w:hanging="227"/>
      </w:pPr>
      <w:rPr>
        <w:rFonts w:hint="default"/>
      </w:rPr>
    </w:lvl>
    <w:lvl w:ilvl="4">
      <w:start w:val="1"/>
      <w:numFmt w:val="none"/>
      <w:lvlText w:val=""/>
      <w:lvlJc w:val="left"/>
      <w:pPr>
        <w:tabs>
          <w:tab w:val="num" w:pos="2040"/>
        </w:tabs>
        <w:ind w:left="1135" w:hanging="227"/>
      </w:pPr>
      <w:rPr>
        <w:rFonts w:hint="default"/>
      </w:rPr>
    </w:lvl>
    <w:lvl w:ilvl="5">
      <w:start w:val="1"/>
      <w:numFmt w:val="none"/>
      <w:lvlText w:val=""/>
      <w:lvlJc w:val="left"/>
      <w:pPr>
        <w:tabs>
          <w:tab w:val="num" w:pos="2380"/>
        </w:tabs>
        <w:ind w:left="1362" w:hanging="227"/>
      </w:pPr>
      <w:rPr>
        <w:rFonts w:hint="default"/>
      </w:rPr>
    </w:lvl>
    <w:lvl w:ilvl="6">
      <w:start w:val="1"/>
      <w:numFmt w:val="none"/>
      <w:lvlText w:val=""/>
      <w:lvlJc w:val="left"/>
      <w:pPr>
        <w:tabs>
          <w:tab w:val="num" w:pos="2720"/>
        </w:tabs>
        <w:ind w:left="1589" w:hanging="227"/>
      </w:pPr>
      <w:rPr>
        <w:rFonts w:hint="default"/>
      </w:rPr>
    </w:lvl>
    <w:lvl w:ilvl="7">
      <w:start w:val="1"/>
      <w:numFmt w:val="none"/>
      <w:lvlText w:val=""/>
      <w:lvlJc w:val="left"/>
      <w:pPr>
        <w:tabs>
          <w:tab w:val="num" w:pos="3060"/>
        </w:tabs>
        <w:ind w:left="1816" w:hanging="227"/>
      </w:pPr>
      <w:rPr>
        <w:rFonts w:hint="default"/>
      </w:rPr>
    </w:lvl>
    <w:lvl w:ilvl="8">
      <w:start w:val="1"/>
      <w:numFmt w:val="none"/>
      <w:lvlText w:val=""/>
      <w:lvlJc w:val="left"/>
      <w:pPr>
        <w:tabs>
          <w:tab w:val="num" w:pos="3400"/>
        </w:tabs>
        <w:ind w:left="2043" w:hanging="227"/>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EB0F0D"/>
    <w:multiLevelType w:val="multilevel"/>
    <w:tmpl w:val="7A7E9CE2"/>
    <w:name w:val="Caution22"/>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636683"/>
    <w:multiLevelType w:val="multilevel"/>
    <w:tmpl w:val="5474591E"/>
    <w:name w:val="WPHeadings"/>
    <w:lvl w:ilvl="0">
      <w:start w:val="1"/>
      <w:numFmt w:val="none"/>
      <w:lvlRestart w:val="0"/>
      <w:lvlText w:val="%1"/>
      <w:lvlJc w:val="left"/>
      <w:pPr>
        <w:ind w:left="0" w:firstLine="0"/>
      </w:pPr>
      <w:rPr>
        <w:rFonts w:hint="default"/>
      </w:rPr>
    </w:lvl>
    <w:lvl w:ilvl="1">
      <w:start w:val="1"/>
      <w:numFmt w:val="none"/>
      <w:lvlText w:val="%1"/>
      <w:lvlJc w:val="left"/>
      <w:pPr>
        <w:ind w:left="-32767" w:firstLine="32767"/>
      </w:pPr>
      <w:rPr>
        <w:rFonts w:hint="default"/>
      </w:rPr>
    </w:lvl>
    <w:lvl w:ilvl="2">
      <w:start w:val="1"/>
      <w:numFmt w:val="none"/>
      <w:lvlText w:val="%1"/>
      <w:lvlJc w:val="left"/>
      <w:pPr>
        <w:ind w:left="-32767" w:firstLine="32767"/>
      </w:pPr>
      <w:rPr>
        <w:rFonts w:hint="default"/>
      </w:rPr>
    </w:lvl>
    <w:lvl w:ilvl="3">
      <w:start w:val="1"/>
      <w:numFmt w:val="none"/>
      <w:suff w:val="nothing"/>
      <w:lvlText w:val=""/>
      <w:lvlJc w:val="left"/>
      <w:pPr>
        <w:ind w:left="0" w:firstLine="0"/>
      </w:pPr>
      <w:rPr>
        <w:rFonts w:hint="default"/>
        <w:spacing w:val="0"/>
      </w:rPr>
    </w:lvl>
    <w:lvl w:ilvl="4">
      <w:start w:val="1"/>
      <w:numFmt w:val="none"/>
      <w:suff w:val="nothing"/>
      <w:lvlText w:val=""/>
      <w:lvlJc w:val="left"/>
      <w:pPr>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A65BE2"/>
    <w:multiLevelType w:val="multilevel"/>
    <w:tmpl w:val="28362486"/>
    <w:name w:val="PullOutList2"/>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7" w15:restartNumberingAfterBreak="0">
    <w:nsid w:val="3ED8373F"/>
    <w:multiLevelType w:val="multilevel"/>
    <w:tmpl w:val="A60CB002"/>
    <w:name w:val="AlphaList"/>
    <w:lvl w:ilvl="0">
      <w:start w:val="1"/>
      <w:numFmt w:val="lowerLetter"/>
      <w:pStyle w:val="ListAlpha1"/>
      <w:lvlText w:val="%1)"/>
      <w:lvlJc w:val="left"/>
      <w:pPr>
        <w:ind w:left="454" w:hanging="454"/>
      </w:pPr>
      <w:rPr>
        <w:rFonts w:hint="default"/>
      </w:rPr>
    </w:lvl>
    <w:lvl w:ilvl="1">
      <w:start w:val="1"/>
      <w:numFmt w:val="lowerRoman"/>
      <w:pStyle w:val="ListAlpha2"/>
      <w:lvlText w:val="%2)"/>
      <w:lvlJc w:val="left"/>
      <w:pPr>
        <w:ind w:left="908" w:hanging="454"/>
      </w:pPr>
      <w:rPr>
        <w:rFonts w:hint="default"/>
      </w:rPr>
    </w:lvl>
    <w:lvl w:ilvl="2">
      <w:start w:val="1"/>
      <w:numFmt w:val="upperLetter"/>
      <w:pStyle w:val="ListAlpha3"/>
      <w:lvlText w:val="%3)"/>
      <w:lvlJc w:val="left"/>
      <w:pPr>
        <w:ind w:left="1362" w:hanging="454"/>
      </w:pPr>
      <w:rPr>
        <w:rFonts w:hint="default"/>
      </w:rPr>
    </w:lvl>
    <w:lvl w:ilvl="3">
      <w:start w:val="1"/>
      <w:numFmt w:val="upperRoman"/>
      <w:pStyle w:val="ListAlpha4"/>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C737292"/>
    <w:multiLevelType w:val="multilevel"/>
    <w:tmpl w:val="0C09001D"/>
    <w:name w:val="Caution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0540A9"/>
    <w:multiLevelType w:val="multilevel"/>
    <w:tmpl w:val="BB8ECC44"/>
    <w:name w:val="SDPAppendices"/>
    <w:lvl w:ilvl="0">
      <w:start w:val="1"/>
      <w:numFmt w:val="upperLetter"/>
      <w:suff w:val="nothing"/>
      <w:lvlText w:val="Appendix %1"/>
      <w:lvlJc w:val="left"/>
      <w:pPr>
        <w:ind w:left="0" w:firstLine="0"/>
      </w:pPr>
      <w:rPr>
        <w:rFonts w:hint="default"/>
        <w:b/>
        <w:i w:val="0"/>
        <w:color w:val="4472C4" w:themeColor="accent1"/>
        <w:sz w:val="96"/>
      </w:rPr>
    </w:lvl>
    <w:lvl w:ilvl="1">
      <w:start w:val="1"/>
      <w:numFmt w:val="decimal"/>
      <w:lvlText w:val="%1%2."/>
      <w:lvlJc w:val="left"/>
      <w:pPr>
        <w:tabs>
          <w:tab w:val="num" w:pos="907"/>
        </w:tabs>
        <w:ind w:left="907" w:hanging="907"/>
      </w:pPr>
      <w:rPr>
        <w:rFonts w:hint="default"/>
        <w:sz w:val="36"/>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spacing w:val="0"/>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3A869DF"/>
    <w:multiLevelType w:val="multilevel"/>
    <w:tmpl w:val="54B61F50"/>
    <w:name w:val="Atco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4BE0EF7"/>
    <w:multiLevelType w:val="multilevel"/>
    <w:tmpl w:val="CE1806B8"/>
    <w:name w:val="ETIUAppendices"/>
    <w:lvl w:ilvl="0">
      <w:start w:val="1"/>
      <w:numFmt w:val="upperLetter"/>
      <w:suff w:val="nothing"/>
      <w:lvlText w:val="Appendix %1"/>
      <w:lvlJc w:val="left"/>
      <w:pPr>
        <w:ind w:left="0" w:firstLine="0"/>
      </w:pPr>
      <w:rPr>
        <w:rFonts w:hint="default"/>
        <w:b/>
        <w:i w:val="0"/>
        <w:color w:val="C45911" w:themeColor="accent2" w:themeShade="BF"/>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4" w15:restartNumberingAfterBreak="0">
    <w:nsid w:val="650257EE"/>
    <w:multiLevelType w:val="multilevel"/>
    <w:tmpl w:val="5CE67AA4"/>
    <w:name w:val="WPAppendices"/>
    <w:lvl w:ilvl="0">
      <w:start w:val="1"/>
      <w:numFmt w:val="upperLetter"/>
      <w:suff w:val="nothing"/>
      <w:lvlText w:val="Appendix %1"/>
      <w:lvlJc w:val="left"/>
      <w:pPr>
        <w:ind w:left="0" w:firstLine="0"/>
      </w:pPr>
      <w:rPr>
        <w:rFonts w:hint="default"/>
        <w:b/>
        <w:i w:val="0"/>
        <w:caps w:val="0"/>
        <w:color w:val="4472C4" w:themeColor="accent1"/>
        <w:sz w:val="24"/>
      </w:rPr>
    </w:lvl>
    <w:lvl w:ilvl="1">
      <w:start w:val="1"/>
      <w:numFmt w:val="decimal"/>
      <w:lvlText w:val="%1.%2"/>
      <w:lvlJc w:val="left"/>
      <w:pPr>
        <w:ind w:left="907" w:hanging="907"/>
      </w:pPr>
      <w:rPr>
        <w:rFonts w:hint="default"/>
        <w:color w:val="44546A" w:themeColor="text2"/>
      </w:rPr>
    </w:lvl>
    <w:lvl w:ilvl="2">
      <w:start w:val="1"/>
      <w:numFmt w:val="decimal"/>
      <w:lvlText w:val="%1.%2.%3"/>
      <w:lvlJc w:val="left"/>
      <w:pPr>
        <w:ind w:left="907" w:hanging="907"/>
      </w:pPr>
      <w:rPr>
        <w:rFonts w:hint="default"/>
        <w:color w:val="44546A" w:themeColor="text2"/>
      </w:rPr>
    </w:lvl>
    <w:lvl w:ilvl="3">
      <w:start w:val="1"/>
      <w:numFmt w:val="decimal"/>
      <w:lvlText w:val="%1.%2.%3.%4"/>
      <w:lvlJc w:val="left"/>
      <w:pPr>
        <w:ind w:left="907" w:hanging="907"/>
      </w:pPr>
      <w:rPr>
        <w:rFonts w:hint="default"/>
        <w:color w:val="44546A" w:themeColor="text2"/>
      </w:rPr>
    </w:lvl>
    <w:lvl w:ilvl="4">
      <w:start w:val="1"/>
      <w:numFmt w:val="decimal"/>
      <w:lvlText w:val="%1.%2.%3.%4.%5"/>
      <w:lvlJc w:val="left"/>
      <w:pPr>
        <w:ind w:left="1134" w:hanging="1134"/>
      </w:pPr>
      <w:rPr>
        <w:rFonts w:hint="default"/>
        <w:color w:val="44546A" w:themeColor="text2"/>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5" w15:restartNumberingAfterBreak="0">
    <w:nsid w:val="6BA7450D"/>
    <w:multiLevelType w:val="multilevel"/>
    <w:tmpl w:val="1B284622"/>
    <w:name w:val="ListNumbering"/>
    <w:lvl w:ilvl="0">
      <w:start w:val="1"/>
      <w:numFmt w:val="decimal"/>
      <w:lvlText w:val="%1."/>
      <w:lvlJc w:val="left"/>
      <w:pPr>
        <w:tabs>
          <w:tab w:val="num" w:pos="454"/>
        </w:tabs>
        <w:ind w:left="454" w:hanging="454"/>
      </w:pPr>
      <w:rPr>
        <w:rFonts w:hint="default"/>
        <w:b/>
        <w:i w:val="0"/>
        <w:color w:val="auto"/>
      </w:rPr>
    </w:lvl>
    <w:lvl w:ilvl="1">
      <w:start w:val="1"/>
      <w:numFmt w:val="lowerLetter"/>
      <w:lvlText w:val="%2."/>
      <w:lvlJc w:val="left"/>
      <w:pPr>
        <w:tabs>
          <w:tab w:val="num" w:pos="908"/>
        </w:tabs>
        <w:ind w:left="908" w:hanging="454"/>
      </w:pPr>
      <w:rPr>
        <w:rFonts w:hint="default"/>
        <w:b/>
        <w:i w:val="0"/>
        <w:color w:val="auto"/>
      </w:rPr>
    </w:lvl>
    <w:lvl w:ilvl="2">
      <w:start w:val="1"/>
      <w:numFmt w:val="lowerRoman"/>
      <w:lvlText w:val="%3."/>
      <w:lvlJc w:val="left"/>
      <w:pPr>
        <w:tabs>
          <w:tab w:val="num" w:pos="1362"/>
        </w:tabs>
        <w:ind w:left="1362" w:hanging="454"/>
      </w:pPr>
      <w:rPr>
        <w:rFonts w:hint="default"/>
        <w:b/>
        <w:i w:val="0"/>
        <w:color w:val="auto"/>
      </w:rPr>
    </w:lvl>
    <w:lvl w:ilvl="3">
      <w:start w:val="1"/>
      <w:numFmt w:val="upperLetter"/>
      <w:lvlText w:val="%4."/>
      <w:lvlJc w:val="left"/>
      <w:pPr>
        <w:tabs>
          <w:tab w:val="num" w:pos="1816"/>
        </w:tabs>
        <w:ind w:left="1816" w:hanging="454"/>
      </w:pPr>
      <w:rPr>
        <w:rFonts w:hint="default"/>
        <w:b/>
        <w:i w:val="0"/>
        <w:color w:val="auto"/>
      </w:rPr>
    </w:lvl>
    <w:lvl w:ilvl="4">
      <w:start w:val="1"/>
      <w:numFmt w:val="upperRoman"/>
      <w:lvlText w:val="%5."/>
      <w:lvlJc w:val="left"/>
      <w:pPr>
        <w:tabs>
          <w:tab w:val="num" w:pos="2270"/>
        </w:tabs>
        <w:ind w:left="2270" w:hanging="454"/>
      </w:pPr>
      <w:rPr>
        <w:rFonts w:hint="default"/>
        <w:b/>
        <w:i w:val="0"/>
        <w:color w:val="auto"/>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26" w15:restartNumberingAfterBreak="0">
    <w:nsid w:val="6D1D40AC"/>
    <w:multiLevelType w:val="multilevel"/>
    <w:tmpl w:val="B1020C4E"/>
    <w:name w:val="TableNumbering"/>
    <w:lvl w:ilvl="0">
      <w:start w:val="1"/>
      <w:numFmt w:val="decimal"/>
      <w:lvlText w:val="%1."/>
      <w:lvlJc w:val="left"/>
      <w:pPr>
        <w:tabs>
          <w:tab w:val="num" w:pos="340"/>
        </w:tabs>
        <w:ind w:left="340" w:hanging="340"/>
      </w:pPr>
      <w:rPr>
        <w:rFonts w:hint="default"/>
        <w:b w:val="0"/>
        <w:i w:val="0"/>
        <w:color w:val="000000" w:themeColor="text1"/>
      </w:rPr>
    </w:lvl>
    <w:lvl w:ilvl="1">
      <w:start w:val="1"/>
      <w:numFmt w:val="lowerLetter"/>
      <w:lvlText w:val="%2."/>
      <w:lvlJc w:val="left"/>
      <w:pPr>
        <w:tabs>
          <w:tab w:val="num" w:pos="680"/>
        </w:tabs>
        <w:ind w:left="680" w:hanging="340"/>
      </w:pPr>
      <w:rPr>
        <w:rFonts w:hint="default"/>
        <w:b w:val="0"/>
        <w:i w:val="0"/>
        <w:color w:val="000000" w:themeColor="text1"/>
      </w:rPr>
    </w:lvl>
    <w:lvl w:ilvl="2">
      <w:start w:val="1"/>
      <w:numFmt w:val="lowerRoman"/>
      <w:lvlText w:val="%3."/>
      <w:lvlJc w:val="left"/>
      <w:pPr>
        <w:tabs>
          <w:tab w:val="num" w:pos="1021"/>
        </w:tabs>
        <w:ind w:left="1020" w:hanging="340"/>
      </w:pPr>
      <w:rPr>
        <w:rFonts w:hint="default"/>
        <w:b w:val="0"/>
        <w:i w:val="0"/>
        <w:color w:val="000000" w:themeColor="text1"/>
      </w:rPr>
    </w:lvl>
    <w:lvl w:ilvl="3">
      <w:start w:val="1"/>
      <w:numFmt w:val="none"/>
      <w:lvlText w:val=""/>
      <w:lvlJc w:val="left"/>
      <w:pPr>
        <w:tabs>
          <w:tab w:val="num" w:pos="1417"/>
        </w:tabs>
        <w:ind w:left="1360" w:hanging="340"/>
      </w:pPr>
      <w:rPr>
        <w:rFonts w:hint="default"/>
      </w:rPr>
    </w:lvl>
    <w:lvl w:ilvl="4">
      <w:start w:val="1"/>
      <w:numFmt w:val="none"/>
      <w:lvlText w:val=""/>
      <w:lvlJc w:val="left"/>
      <w:pPr>
        <w:tabs>
          <w:tab w:val="num" w:pos="1757"/>
        </w:tabs>
        <w:ind w:left="1700" w:hanging="340"/>
      </w:pPr>
      <w:rPr>
        <w:rFonts w:hint="default"/>
      </w:rPr>
    </w:lvl>
    <w:lvl w:ilvl="5">
      <w:start w:val="1"/>
      <w:numFmt w:val="none"/>
      <w:lvlText w:val=""/>
      <w:lvlJc w:val="left"/>
      <w:pPr>
        <w:tabs>
          <w:tab w:val="num" w:pos="2097"/>
        </w:tabs>
        <w:ind w:left="2040" w:hanging="340"/>
      </w:pPr>
      <w:rPr>
        <w:rFonts w:hint="default"/>
      </w:rPr>
    </w:lvl>
    <w:lvl w:ilvl="6">
      <w:start w:val="1"/>
      <w:numFmt w:val="none"/>
      <w:lvlText w:val=""/>
      <w:lvlJc w:val="left"/>
      <w:pPr>
        <w:tabs>
          <w:tab w:val="num" w:pos="2437"/>
        </w:tabs>
        <w:ind w:left="2380" w:hanging="340"/>
      </w:pPr>
      <w:rPr>
        <w:rFonts w:hint="default"/>
      </w:rPr>
    </w:lvl>
    <w:lvl w:ilvl="7">
      <w:start w:val="1"/>
      <w:numFmt w:val="none"/>
      <w:lvlText w:val=""/>
      <w:lvlJc w:val="left"/>
      <w:pPr>
        <w:tabs>
          <w:tab w:val="num" w:pos="2777"/>
        </w:tabs>
        <w:ind w:left="2720" w:hanging="340"/>
      </w:pPr>
      <w:rPr>
        <w:rFonts w:hint="default"/>
      </w:rPr>
    </w:lvl>
    <w:lvl w:ilvl="8">
      <w:start w:val="1"/>
      <w:numFmt w:val="none"/>
      <w:lvlText w:val=""/>
      <w:lvlJc w:val="left"/>
      <w:pPr>
        <w:tabs>
          <w:tab w:val="num" w:pos="3117"/>
        </w:tabs>
        <w:ind w:left="3060" w:hanging="340"/>
      </w:pPr>
      <w:rPr>
        <w:rFonts w:hint="default"/>
      </w:rPr>
    </w:lvl>
  </w:abstractNum>
  <w:abstractNum w:abstractNumId="27" w15:restartNumberingAfterBreak="0">
    <w:nsid w:val="70250B03"/>
    <w:multiLevelType w:val="multilevel"/>
    <w:tmpl w:val="8168E026"/>
    <w:name w:val="QuoteBullets"/>
    <w:lvl w:ilvl="0">
      <w:start w:val="1"/>
      <w:numFmt w:val="bullet"/>
      <w:lvlText w:val="•"/>
      <w:lvlJc w:val="left"/>
      <w:pPr>
        <w:tabs>
          <w:tab w:val="num" w:pos="851"/>
        </w:tabs>
        <w:ind w:left="851" w:hanging="284"/>
      </w:pPr>
      <w:rPr>
        <w:rFonts w:ascii="Calibri" w:hAnsi="Calibri" w:hint="default"/>
        <w:color w:val="000000" w:themeColor="text1"/>
      </w:rPr>
    </w:lvl>
    <w:lvl w:ilvl="1">
      <w:start w:val="1"/>
      <w:numFmt w:val="bullet"/>
      <w:lvlText w:val="‒"/>
      <w:lvlJc w:val="left"/>
      <w:pPr>
        <w:tabs>
          <w:tab w:val="num" w:pos="1134"/>
        </w:tabs>
        <w:ind w:left="1134" w:hanging="283"/>
      </w:pPr>
      <w:rPr>
        <w:rFonts w:ascii="Calibri" w:hAnsi="Calibri" w:hint="default"/>
        <w:color w:val="000000" w:themeColor="text1"/>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7E735AF"/>
    <w:multiLevelType w:val="multilevel"/>
    <w:tmpl w:val="F0BA989E"/>
    <w:name w:val="MyListNumbering"/>
    <w:lvl w:ilvl="0">
      <w:start w:val="1"/>
      <w:numFmt w:val="decimal"/>
      <w:lvlRestart w:val="0"/>
      <w:pStyle w:val="ListNumber"/>
      <w:lvlText w:val="%1."/>
      <w:lvlJc w:val="left"/>
      <w:pPr>
        <w:ind w:left="454" w:hanging="454"/>
      </w:pPr>
      <w:rPr>
        <w:rFonts w:hint="default"/>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upperLetter"/>
      <w:pStyle w:val="ListNumber4"/>
      <w:lvlText w:val="%4."/>
      <w:lvlJc w:val="left"/>
      <w:pPr>
        <w:ind w:left="1814" w:hanging="453"/>
      </w:pPr>
      <w:rPr>
        <w:rFonts w:hint="default"/>
      </w:rPr>
    </w:lvl>
    <w:lvl w:ilvl="4">
      <w:start w:val="1"/>
      <w:numFmt w:val="upperRoman"/>
      <w:pStyle w:val="ListNumber5"/>
      <w:lvlText w:val="%5."/>
      <w:lvlJc w:val="left"/>
      <w:pPr>
        <w:ind w:left="2268"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9" w15:restartNumberingAfterBreak="0">
    <w:nsid w:val="7839021E"/>
    <w:multiLevelType w:val="multilevel"/>
    <w:tmpl w:val="D6C4C82E"/>
    <w:name w:val="JemenaList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30" w15:restartNumberingAfterBreak="0">
    <w:nsid w:val="79841DDA"/>
    <w:multiLevelType w:val="multilevel"/>
    <w:tmpl w:val="367A380A"/>
    <w:name w:val="Warning2"/>
    <w:lvl w:ilvl="0">
      <w:start w:val="1"/>
      <w:numFmt w:val="none"/>
      <w:lvlText w:val="Warning:"/>
      <w:lvlJc w:val="left"/>
      <w:pPr>
        <w:tabs>
          <w:tab w:val="num" w:pos="1134"/>
        </w:tabs>
        <w:ind w:left="1134" w:hanging="992"/>
      </w:pPr>
      <w:rPr>
        <w:rFonts w:hint="default"/>
        <w:b/>
        <w:i w:val="0"/>
        <w:caps w:val="0"/>
        <w:color w:val="FF0000"/>
      </w:rPr>
    </w:lvl>
    <w:lvl w:ilvl="1">
      <w:start w:val="1"/>
      <w:numFmt w:val="none"/>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4"/>
  </w:num>
  <w:num w:numId="3">
    <w:abstractNumId w:val="7"/>
  </w:num>
  <w:num w:numId="4">
    <w:abstractNumId w:val="5"/>
  </w:num>
  <w:num w:numId="5">
    <w:abstractNumId w:val="1"/>
  </w:num>
  <w:num w:numId="6">
    <w:abstractNumId w:val="28"/>
  </w:num>
  <w:num w:numId="7">
    <w:abstractNumId w:val="17"/>
  </w:num>
  <w:num w:numId="8">
    <w:abstractNumId w:val="16"/>
  </w:num>
  <w:num w:numId="9">
    <w:abstractNumId w:val="9"/>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eviations" w:val="True"/>
    <w:docVar w:name="Appendices" w:val="False"/>
    <w:docVar w:name="AppendixName" w:val="Appendix"/>
    <w:docVar w:name="chkHeading1OddPage" w:val="False"/>
    <w:docVar w:name="CoverLayout" w:val="5"/>
    <w:docVar w:name="DCP" w:val="True"/>
    <w:docVar w:name="ESprefix" w:val="ES"/>
    <w:docVar w:name="ExecutiveSummary" w:val="True"/>
    <w:docVar w:name="Glossary" w:val="True"/>
    <w:docVar w:name="Heading1Numbered" w:val="True"/>
    <w:docVar w:name="Heading2Numbered" w:val="True"/>
    <w:docVar w:name="Heading3Numbered" w:val="True"/>
    <w:docVar w:name="Heading4Numbered" w:val="False"/>
    <w:docVar w:name="Heading5Numbered" w:val="False"/>
    <w:docVar w:name="IsWordingOverview" w:val="False"/>
    <w:docVar w:name="NumberedBodyText" w:val="False"/>
    <w:docVar w:name="Overview" w:val="True"/>
    <w:docVar w:name="PageSetup" w:val="Single"/>
    <w:docVar w:name="RibbonLabel" w:val="Appendix"/>
    <w:docVar w:name="TitleInFooter" w:val="True"/>
    <w:docVar w:name="TOC" w:val="True"/>
    <w:docVar w:name="TOCNew" w:val="False"/>
    <w:docVar w:name="xAppendixName" w:val="Appendix"/>
    <w:docVar w:name="xHeadingsNumbered" w:val="True"/>
  </w:docVars>
  <w:rsids>
    <w:rsidRoot w:val="006746F3"/>
    <w:rsid w:val="0000017F"/>
    <w:rsid w:val="00000279"/>
    <w:rsid w:val="000003D5"/>
    <w:rsid w:val="000004BD"/>
    <w:rsid w:val="00000B7A"/>
    <w:rsid w:val="00000B97"/>
    <w:rsid w:val="00000C89"/>
    <w:rsid w:val="00000FEB"/>
    <w:rsid w:val="000011F7"/>
    <w:rsid w:val="000011F8"/>
    <w:rsid w:val="0000122A"/>
    <w:rsid w:val="000012BE"/>
    <w:rsid w:val="0000273A"/>
    <w:rsid w:val="0000279C"/>
    <w:rsid w:val="000028B4"/>
    <w:rsid w:val="00002DE1"/>
    <w:rsid w:val="00003125"/>
    <w:rsid w:val="000033A9"/>
    <w:rsid w:val="000037A0"/>
    <w:rsid w:val="000038D5"/>
    <w:rsid w:val="00003960"/>
    <w:rsid w:val="00003AA8"/>
    <w:rsid w:val="00004237"/>
    <w:rsid w:val="000042C3"/>
    <w:rsid w:val="00004CA4"/>
    <w:rsid w:val="00005014"/>
    <w:rsid w:val="00005261"/>
    <w:rsid w:val="00005647"/>
    <w:rsid w:val="00005667"/>
    <w:rsid w:val="00005811"/>
    <w:rsid w:val="0000591C"/>
    <w:rsid w:val="00006185"/>
    <w:rsid w:val="00006217"/>
    <w:rsid w:val="00006731"/>
    <w:rsid w:val="00006769"/>
    <w:rsid w:val="00006A2C"/>
    <w:rsid w:val="00006F08"/>
    <w:rsid w:val="000079BC"/>
    <w:rsid w:val="00007A8E"/>
    <w:rsid w:val="00007E98"/>
    <w:rsid w:val="00010A57"/>
    <w:rsid w:val="00010AAD"/>
    <w:rsid w:val="00010E3F"/>
    <w:rsid w:val="00010FF9"/>
    <w:rsid w:val="0001107C"/>
    <w:rsid w:val="000114BD"/>
    <w:rsid w:val="00011709"/>
    <w:rsid w:val="00011F39"/>
    <w:rsid w:val="0001206D"/>
    <w:rsid w:val="0001226A"/>
    <w:rsid w:val="000128BB"/>
    <w:rsid w:val="00012B94"/>
    <w:rsid w:val="00012CBE"/>
    <w:rsid w:val="00012E66"/>
    <w:rsid w:val="00012EC2"/>
    <w:rsid w:val="00013360"/>
    <w:rsid w:val="0001362A"/>
    <w:rsid w:val="00013703"/>
    <w:rsid w:val="0001389C"/>
    <w:rsid w:val="0001393A"/>
    <w:rsid w:val="000139D3"/>
    <w:rsid w:val="00013BAE"/>
    <w:rsid w:val="00013DC6"/>
    <w:rsid w:val="0001420D"/>
    <w:rsid w:val="00014305"/>
    <w:rsid w:val="0001466C"/>
    <w:rsid w:val="00014E15"/>
    <w:rsid w:val="0001529C"/>
    <w:rsid w:val="00015BB6"/>
    <w:rsid w:val="00015C8F"/>
    <w:rsid w:val="00016478"/>
    <w:rsid w:val="000164A1"/>
    <w:rsid w:val="000171F8"/>
    <w:rsid w:val="000171FD"/>
    <w:rsid w:val="00017507"/>
    <w:rsid w:val="00017D91"/>
    <w:rsid w:val="0002002D"/>
    <w:rsid w:val="0002027E"/>
    <w:rsid w:val="000203FC"/>
    <w:rsid w:val="00021389"/>
    <w:rsid w:val="00021A33"/>
    <w:rsid w:val="00021CF5"/>
    <w:rsid w:val="00021CF6"/>
    <w:rsid w:val="000220D6"/>
    <w:rsid w:val="0002261E"/>
    <w:rsid w:val="00022F51"/>
    <w:rsid w:val="000230FD"/>
    <w:rsid w:val="0002325E"/>
    <w:rsid w:val="00023536"/>
    <w:rsid w:val="000236AE"/>
    <w:rsid w:val="00023AFB"/>
    <w:rsid w:val="0002404B"/>
    <w:rsid w:val="0002407D"/>
    <w:rsid w:val="00024416"/>
    <w:rsid w:val="00024485"/>
    <w:rsid w:val="00024572"/>
    <w:rsid w:val="00024574"/>
    <w:rsid w:val="00024990"/>
    <w:rsid w:val="000251A3"/>
    <w:rsid w:val="00025217"/>
    <w:rsid w:val="0002541C"/>
    <w:rsid w:val="00025A62"/>
    <w:rsid w:val="00025ADB"/>
    <w:rsid w:val="00025AEE"/>
    <w:rsid w:val="00025FB1"/>
    <w:rsid w:val="00026290"/>
    <w:rsid w:val="000263AA"/>
    <w:rsid w:val="00026700"/>
    <w:rsid w:val="00026706"/>
    <w:rsid w:val="0002674C"/>
    <w:rsid w:val="00026AC5"/>
    <w:rsid w:val="00026DF3"/>
    <w:rsid w:val="00026EB1"/>
    <w:rsid w:val="0002752C"/>
    <w:rsid w:val="00027779"/>
    <w:rsid w:val="00027E07"/>
    <w:rsid w:val="00027F13"/>
    <w:rsid w:val="0003003E"/>
    <w:rsid w:val="000303AC"/>
    <w:rsid w:val="00030692"/>
    <w:rsid w:val="00030993"/>
    <w:rsid w:val="00030D21"/>
    <w:rsid w:val="00030D71"/>
    <w:rsid w:val="0003108C"/>
    <w:rsid w:val="00031119"/>
    <w:rsid w:val="00031190"/>
    <w:rsid w:val="000312CC"/>
    <w:rsid w:val="000312E9"/>
    <w:rsid w:val="0003176C"/>
    <w:rsid w:val="00031F2C"/>
    <w:rsid w:val="000323E0"/>
    <w:rsid w:val="000323EF"/>
    <w:rsid w:val="000327D2"/>
    <w:rsid w:val="00032D71"/>
    <w:rsid w:val="00033137"/>
    <w:rsid w:val="00033144"/>
    <w:rsid w:val="00033331"/>
    <w:rsid w:val="00033A8A"/>
    <w:rsid w:val="00033D33"/>
    <w:rsid w:val="0003420E"/>
    <w:rsid w:val="0003451C"/>
    <w:rsid w:val="00034763"/>
    <w:rsid w:val="00034F0C"/>
    <w:rsid w:val="00035139"/>
    <w:rsid w:val="00035163"/>
    <w:rsid w:val="000351EF"/>
    <w:rsid w:val="00035842"/>
    <w:rsid w:val="00035B4E"/>
    <w:rsid w:val="00035DFD"/>
    <w:rsid w:val="00035F72"/>
    <w:rsid w:val="00036151"/>
    <w:rsid w:val="000364C1"/>
    <w:rsid w:val="00036908"/>
    <w:rsid w:val="00036A70"/>
    <w:rsid w:val="00036FBD"/>
    <w:rsid w:val="00037072"/>
    <w:rsid w:val="00037102"/>
    <w:rsid w:val="00037CE2"/>
    <w:rsid w:val="00037F81"/>
    <w:rsid w:val="00040335"/>
    <w:rsid w:val="00040BDB"/>
    <w:rsid w:val="0004115A"/>
    <w:rsid w:val="0004119F"/>
    <w:rsid w:val="00041622"/>
    <w:rsid w:val="0004176C"/>
    <w:rsid w:val="00041797"/>
    <w:rsid w:val="00041903"/>
    <w:rsid w:val="00041A3E"/>
    <w:rsid w:val="00041C5B"/>
    <w:rsid w:val="00041FBF"/>
    <w:rsid w:val="00042132"/>
    <w:rsid w:val="00042855"/>
    <w:rsid w:val="000430CC"/>
    <w:rsid w:val="000430E6"/>
    <w:rsid w:val="00043515"/>
    <w:rsid w:val="00043650"/>
    <w:rsid w:val="0004368E"/>
    <w:rsid w:val="0004371D"/>
    <w:rsid w:val="00043E65"/>
    <w:rsid w:val="00043FEA"/>
    <w:rsid w:val="000441FC"/>
    <w:rsid w:val="00044335"/>
    <w:rsid w:val="000444FB"/>
    <w:rsid w:val="00044BDC"/>
    <w:rsid w:val="00044D99"/>
    <w:rsid w:val="00045134"/>
    <w:rsid w:val="000454F9"/>
    <w:rsid w:val="000455E1"/>
    <w:rsid w:val="000459CF"/>
    <w:rsid w:val="00045AA1"/>
    <w:rsid w:val="00045D46"/>
    <w:rsid w:val="0004622F"/>
    <w:rsid w:val="0004641D"/>
    <w:rsid w:val="00046864"/>
    <w:rsid w:val="00046F73"/>
    <w:rsid w:val="000471A0"/>
    <w:rsid w:val="000473A1"/>
    <w:rsid w:val="0004761D"/>
    <w:rsid w:val="00047999"/>
    <w:rsid w:val="00047CE9"/>
    <w:rsid w:val="000501F1"/>
    <w:rsid w:val="00050257"/>
    <w:rsid w:val="00050487"/>
    <w:rsid w:val="000504A5"/>
    <w:rsid w:val="000507C3"/>
    <w:rsid w:val="0005118D"/>
    <w:rsid w:val="000520CB"/>
    <w:rsid w:val="00052234"/>
    <w:rsid w:val="00052630"/>
    <w:rsid w:val="00052C61"/>
    <w:rsid w:val="00052CAC"/>
    <w:rsid w:val="00053020"/>
    <w:rsid w:val="00053244"/>
    <w:rsid w:val="000538CB"/>
    <w:rsid w:val="00053C43"/>
    <w:rsid w:val="00053C7E"/>
    <w:rsid w:val="00053E6B"/>
    <w:rsid w:val="00053F61"/>
    <w:rsid w:val="00054212"/>
    <w:rsid w:val="000543C6"/>
    <w:rsid w:val="0005568C"/>
    <w:rsid w:val="00055782"/>
    <w:rsid w:val="00055860"/>
    <w:rsid w:val="00055D0B"/>
    <w:rsid w:val="0006013C"/>
    <w:rsid w:val="00060EBF"/>
    <w:rsid w:val="00060EE0"/>
    <w:rsid w:val="00060F7F"/>
    <w:rsid w:val="00060FD9"/>
    <w:rsid w:val="000617D7"/>
    <w:rsid w:val="00062300"/>
    <w:rsid w:val="00062640"/>
    <w:rsid w:val="00062985"/>
    <w:rsid w:val="00063B87"/>
    <w:rsid w:val="00063E71"/>
    <w:rsid w:val="000640A9"/>
    <w:rsid w:val="0006422E"/>
    <w:rsid w:val="00064489"/>
    <w:rsid w:val="00064576"/>
    <w:rsid w:val="00064640"/>
    <w:rsid w:val="00064D86"/>
    <w:rsid w:val="00065173"/>
    <w:rsid w:val="00065584"/>
    <w:rsid w:val="000655FD"/>
    <w:rsid w:val="00065A52"/>
    <w:rsid w:val="00066E44"/>
    <w:rsid w:val="00066ED6"/>
    <w:rsid w:val="00066F02"/>
    <w:rsid w:val="00067098"/>
    <w:rsid w:val="0006742D"/>
    <w:rsid w:val="000676F8"/>
    <w:rsid w:val="00067769"/>
    <w:rsid w:val="000703B0"/>
    <w:rsid w:val="000703D5"/>
    <w:rsid w:val="000704F3"/>
    <w:rsid w:val="0007070E"/>
    <w:rsid w:val="00070797"/>
    <w:rsid w:val="00070C97"/>
    <w:rsid w:val="0007112E"/>
    <w:rsid w:val="00071B67"/>
    <w:rsid w:val="00071CA4"/>
    <w:rsid w:val="00071DE2"/>
    <w:rsid w:val="00072074"/>
    <w:rsid w:val="00072288"/>
    <w:rsid w:val="0007238E"/>
    <w:rsid w:val="0007270F"/>
    <w:rsid w:val="00072783"/>
    <w:rsid w:val="00072E02"/>
    <w:rsid w:val="00072E53"/>
    <w:rsid w:val="00072EDA"/>
    <w:rsid w:val="00073536"/>
    <w:rsid w:val="00073956"/>
    <w:rsid w:val="00073963"/>
    <w:rsid w:val="00073A9B"/>
    <w:rsid w:val="00073F07"/>
    <w:rsid w:val="00073F9C"/>
    <w:rsid w:val="000742AF"/>
    <w:rsid w:val="00074385"/>
    <w:rsid w:val="00074430"/>
    <w:rsid w:val="00074A1F"/>
    <w:rsid w:val="00074C2B"/>
    <w:rsid w:val="00074E28"/>
    <w:rsid w:val="00075045"/>
    <w:rsid w:val="00075247"/>
    <w:rsid w:val="000752FC"/>
    <w:rsid w:val="0007590F"/>
    <w:rsid w:val="000762A1"/>
    <w:rsid w:val="00076846"/>
    <w:rsid w:val="000776E5"/>
    <w:rsid w:val="0007797D"/>
    <w:rsid w:val="0008006E"/>
    <w:rsid w:val="00080374"/>
    <w:rsid w:val="0008061A"/>
    <w:rsid w:val="00080D89"/>
    <w:rsid w:val="00080E39"/>
    <w:rsid w:val="0008129B"/>
    <w:rsid w:val="000816AD"/>
    <w:rsid w:val="00082224"/>
    <w:rsid w:val="0008252E"/>
    <w:rsid w:val="00082889"/>
    <w:rsid w:val="00082914"/>
    <w:rsid w:val="00083459"/>
    <w:rsid w:val="000838A2"/>
    <w:rsid w:val="00083917"/>
    <w:rsid w:val="00083CD6"/>
    <w:rsid w:val="00083E60"/>
    <w:rsid w:val="00084187"/>
    <w:rsid w:val="000841C2"/>
    <w:rsid w:val="00084CB1"/>
    <w:rsid w:val="00085689"/>
    <w:rsid w:val="0008568F"/>
    <w:rsid w:val="000857C5"/>
    <w:rsid w:val="000859C6"/>
    <w:rsid w:val="00085EA1"/>
    <w:rsid w:val="00085FB7"/>
    <w:rsid w:val="000877A8"/>
    <w:rsid w:val="000908C8"/>
    <w:rsid w:val="000908D6"/>
    <w:rsid w:val="0009125C"/>
    <w:rsid w:val="000913AD"/>
    <w:rsid w:val="000913E7"/>
    <w:rsid w:val="0009214D"/>
    <w:rsid w:val="00092223"/>
    <w:rsid w:val="00092296"/>
    <w:rsid w:val="00093051"/>
    <w:rsid w:val="000934C7"/>
    <w:rsid w:val="000938C5"/>
    <w:rsid w:val="00093A29"/>
    <w:rsid w:val="00093A45"/>
    <w:rsid w:val="00093F02"/>
    <w:rsid w:val="00094095"/>
    <w:rsid w:val="000945F9"/>
    <w:rsid w:val="000949EC"/>
    <w:rsid w:val="00094A28"/>
    <w:rsid w:val="00094A84"/>
    <w:rsid w:val="00094F27"/>
    <w:rsid w:val="00095932"/>
    <w:rsid w:val="00095E8A"/>
    <w:rsid w:val="00096627"/>
    <w:rsid w:val="00096740"/>
    <w:rsid w:val="00096B35"/>
    <w:rsid w:val="00096C5E"/>
    <w:rsid w:val="00097170"/>
    <w:rsid w:val="00097763"/>
    <w:rsid w:val="00097825"/>
    <w:rsid w:val="000979B3"/>
    <w:rsid w:val="00097BCF"/>
    <w:rsid w:val="00097C1B"/>
    <w:rsid w:val="000A0179"/>
    <w:rsid w:val="000A0373"/>
    <w:rsid w:val="000A047A"/>
    <w:rsid w:val="000A04B4"/>
    <w:rsid w:val="000A055B"/>
    <w:rsid w:val="000A059B"/>
    <w:rsid w:val="000A05D6"/>
    <w:rsid w:val="000A0D74"/>
    <w:rsid w:val="000A1512"/>
    <w:rsid w:val="000A1794"/>
    <w:rsid w:val="000A2315"/>
    <w:rsid w:val="000A251F"/>
    <w:rsid w:val="000A2603"/>
    <w:rsid w:val="000A28BD"/>
    <w:rsid w:val="000A2A90"/>
    <w:rsid w:val="000A2C62"/>
    <w:rsid w:val="000A2F22"/>
    <w:rsid w:val="000A30F9"/>
    <w:rsid w:val="000A3721"/>
    <w:rsid w:val="000A3841"/>
    <w:rsid w:val="000A3BA5"/>
    <w:rsid w:val="000A430E"/>
    <w:rsid w:val="000A4339"/>
    <w:rsid w:val="000A4744"/>
    <w:rsid w:val="000A47EA"/>
    <w:rsid w:val="000A4C7D"/>
    <w:rsid w:val="000A51F3"/>
    <w:rsid w:val="000A5EBD"/>
    <w:rsid w:val="000A6267"/>
    <w:rsid w:val="000A6592"/>
    <w:rsid w:val="000A6C89"/>
    <w:rsid w:val="000A6DCB"/>
    <w:rsid w:val="000A6F1A"/>
    <w:rsid w:val="000A6F46"/>
    <w:rsid w:val="000A719A"/>
    <w:rsid w:val="000A73D0"/>
    <w:rsid w:val="000A73DC"/>
    <w:rsid w:val="000A7418"/>
    <w:rsid w:val="000A75EE"/>
    <w:rsid w:val="000A7C62"/>
    <w:rsid w:val="000A7E08"/>
    <w:rsid w:val="000B00B4"/>
    <w:rsid w:val="000B012B"/>
    <w:rsid w:val="000B0536"/>
    <w:rsid w:val="000B06A6"/>
    <w:rsid w:val="000B0959"/>
    <w:rsid w:val="000B0A6B"/>
    <w:rsid w:val="000B0AD6"/>
    <w:rsid w:val="000B11F1"/>
    <w:rsid w:val="000B167B"/>
    <w:rsid w:val="000B1B52"/>
    <w:rsid w:val="000B20BF"/>
    <w:rsid w:val="000B22C0"/>
    <w:rsid w:val="000B2568"/>
    <w:rsid w:val="000B271B"/>
    <w:rsid w:val="000B2C4D"/>
    <w:rsid w:val="000B2D62"/>
    <w:rsid w:val="000B2DE7"/>
    <w:rsid w:val="000B3709"/>
    <w:rsid w:val="000B3831"/>
    <w:rsid w:val="000B3DC1"/>
    <w:rsid w:val="000B3FB6"/>
    <w:rsid w:val="000B402E"/>
    <w:rsid w:val="000B40D6"/>
    <w:rsid w:val="000B427F"/>
    <w:rsid w:val="000B44D9"/>
    <w:rsid w:val="000B46C3"/>
    <w:rsid w:val="000B473E"/>
    <w:rsid w:val="000B4CFC"/>
    <w:rsid w:val="000B5144"/>
    <w:rsid w:val="000B5240"/>
    <w:rsid w:val="000B547C"/>
    <w:rsid w:val="000B5504"/>
    <w:rsid w:val="000B561E"/>
    <w:rsid w:val="000B594C"/>
    <w:rsid w:val="000B5EA3"/>
    <w:rsid w:val="000B6357"/>
    <w:rsid w:val="000B669C"/>
    <w:rsid w:val="000B6AEA"/>
    <w:rsid w:val="000B6BF6"/>
    <w:rsid w:val="000B7CAB"/>
    <w:rsid w:val="000B7CC2"/>
    <w:rsid w:val="000C005D"/>
    <w:rsid w:val="000C015B"/>
    <w:rsid w:val="000C0321"/>
    <w:rsid w:val="000C037C"/>
    <w:rsid w:val="000C0411"/>
    <w:rsid w:val="000C08D7"/>
    <w:rsid w:val="000C0A3E"/>
    <w:rsid w:val="000C0B31"/>
    <w:rsid w:val="000C0E88"/>
    <w:rsid w:val="000C1070"/>
    <w:rsid w:val="000C27FF"/>
    <w:rsid w:val="000C2888"/>
    <w:rsid w:val="000C2CCC"/>
    <w:rsid w:val="000C2CD8"/>
    <w:rsid w:val="000C31C4"/>
    <w:rsid w:val="000C32D6"/>
    <w:rsid w:val="000C3A3F"/>
    <w:rsid w:val="000C3B79"/>
    <w:rsid w:val="000C3C38"/>
    <w:rsid w:val="000C4113"/>
    <w:rsid w:val="000C41E0"/>
    <w:rsid w:val="000C41F9"/>
    <w:rsid w:val="000C4231"/>
    <w:rsid w:val="000C4241"/>
    <w:rsid w:val="000C436A"/>
    <w:rsid w:val="000C4A2B"/>
    <w:rsid w:val="000C4EFC"/>
    <w:rsid w:val="000C5143"/>
    <w:rsid w:val="000C54A6"/>
    <w:rsid w:val="000C55BE"/>
    <w:rsid w:val="000C57F2"/>
    <w:rsid w:val="000C5CD0"/>
    <w:rsid w:val="000C5E48"/>
    <w:rsid w:val="000C6231"/>
    <w:rsid w:val="000C6DA1"/>
    <w:rsid w:val="000C6E63"/>
    <w:rsid w:val="000C6FFF"/>
    <w:rsid w:val="000C707C"/>
    <w:rsid w:val="000C7611"/>
    <w:rsid w:val="000C773E"/>
    <w:rsid w:val="000C7ACB"/>
    <w:rsid w:val="000C7EC1"/>
    <w:rsid w:val="000D01BD"/>
    <w:rsid w:val="000D0526"/>
    <w:rsid w:val="000D06F8"/>
    <w:rsid w:val="000D09EC"/>
    <w:rsid w:val="000D0C0B"/>
    <w:rsid w:val="000D0CCB"/>
    <w:rsid w:val="000D18B8"/>
    <w:rsid w:val="000D1A7B"/>
    <w:rsid w:val="000D2526"/>
    <w:rsid w:val="000D2542"/>
    <w:rsid w:val="000D2813"/>
    <w:rsid w:val="000D300C"/>
    <w:rsid w:val="000D3282"/>
    <w:rsid w:val="000D3B59"/>
    <w:rsid w:val="000D3D33"/>
    <w:rsid w:val="000D3E39"/>
    <w:rsid w:val="000D3F7B"/>
    <w:rsid w:val="000D3FDD"/>
    <w:rsid w:val="000D464F"/>
    <w:rsid w:val="000D4EC1"/>
    <w:rsid w:val="000D536C"/>
    <w:rsid w:val="000D5476"/>
    <w:rsid w:val="000D5A39"/>
    <w:rsid w:val="000D5CBC"/>
    <w:rsid w:val="000D5F5A"/>
    <w:rsid w:val="000D65B5"/>
    <w:rsid w:val="000D6DC7"/>
    <w:rsid w:val="000D7202"/>
    <w:rsid w:val="000D7482"/>
    <w:rsid w:val="000D76D9"/>
    <w:rsid w:val="000D7891"/>
    <w:rsid w:val="000D7C58"/>
    <w:rsid w:val="000E01C1"/>
    <w:rsid w:val="000E01D0"/>
    <w:rsid w:val="000E06C9"/>
    <w:rsid w:val="000E07E5"/>
    <w:rsid w:val="000E0C91"/>
    <w:rsid w:val="000E0F65"/>
    <w:rsid w:val="000E10F8"/>
    <w:rsid w:val="000E1779"/>
    <w:rsid w:val="000E1BEC"/>
    <w:rsid w:val="000E1D23"/>
    <w:rsid w:val="000E1F1D"/>
    <w:rsid w:val="000E21E5"/>
    <w:rsid w:val="000E21EC"/>
    <w:rsid w:val="000E2207"/>
    <w:rsid w:val="000E23C9"/>
    <w:rsid w:val="000E24E1"/>
    <w:rsid w:val="000E25A9"/>
    <w:rsid w:val="000E27B6"/>
    <w:rsid w:val="000E28C2"/>
    <w:rsid w:val="000E2CE7"/>
    <w:rsid w:val="000E2D99"/>
    <w:rsid w:val="000E32A0"/>
    <w:rsid w:val="000E33C8"/>
    <w:rsid w:val="000E35C7"/>
    <w:rsid w:val="000E3AF5"/>
    <w:rsid w:val="000E3B96"/>
    <w:rsid w:val="000E4B54"/>
    <w:rsid w:val="000E4DFC"/>
    <w:rsid w:val="000E53BD"/>
    <w:rsid w:val="000E55A2"/>
    <w:rsid w:val="000E5F4E"/>
    <w:rsid w:val="000E6525"/>
    <w:rsid w:val="000E6684"/>
    <w:rsid w:val="000E6777"/>
    <w:rsid w:val="000E7410"/>
    <w:rsid w:val="000E7936"/>
    <w:rsid w:val="000F03BC"/>
    <w:rsid w:val="000F0866"/>
    <w:rsid w:val="000F097C"/>
    <w:rsid w:val="000F0A47"/>
    <w:rsid w:val="000F0AC8"/>
    <w:rsid w:val="000F147D"/>
    <w:rsid w:val="000F14E6"/>
    <w:rsid w:val="000F16E9"/>
    <w:rsid w:val="000F1A3A"/>
    <w:rsid w:val="000F1A5A"/>
    <w:rsid w:val="000F1FA4"/>
    <w:rsid w:val="000F2014"/>
    <w:rsid w:val="000F2194"/>
    <w:rsid w:val="000F24B2"/>
    <w:rsid w:val="000F2581"/>
    <w:rsid w:val="000F278A"/>
    <w:rsid w:val="000F2BBA"/>
    <w:rsid w:val="000F306B"/>
    <w:rsid w:val="000F31D9"/>
    <w:rsid w:val="000F3535"/>
    <w:rsid w:val="000F376E"/>
    <w:rsid w:val="000F3FC7"/>
    <w:rsid w:val="000F41B6"/>
    <w:rsid w:val="000F4A13"/>
    <w:rsid w:val="000F4CD5"/>
    <w:rsid w:val="000F5080"/>
    <w:rsid w:val="000F5284"/>
    <w:rsid w:val="000F561D"/>
    <w:rsid w:val="000F567F"/>
    <w:rsid w:val="000F5A78"/>
    <w:rsid w:val="000F5E34"/>
    <w:rsid w:val="000F5E5F"/>
    <w:rsid w:val="000F5E8C"/>
    <w:rsid w:val="000F6190"/>
    <w:rsid w:val="000F6801"/>
    <w:rsid w:val="000F68CD"/>
    <w:rsid w:val="000F6D60"/>
    <w:rsid w:val="000F6D6B"/>
    <w:rsid w:val="000F7350"/>
    <w:rsid w:val="000F75FB"/>
    <w:rsid w:val="000F7657"/>
    <w:rsid w:val="000F7F8C"/>
    <w:rsid w:val="00100611"/>
    <w:rsid w:val="001006AD"/>
    <w:rsid w:val="0010072A"/>
    <w:rsid w:val="00100B5E"/>
    <w:rsid w:val="001012C4"/>
    <w:rsid w:val="00101451"/>
    <w:rsid w:val="00101544"/>
    <w:rsid w:val="00101CE9"/>
    <w:rsid w:val="00102571"/>
    <w:rsid w:val="00102B95"/>
    <w:rsid w:val="0010306F"/>
    <w:rsid w:val="001031FC"/>
    <w:rsid w:val="001032BD"/>
    <w:rsid w:val="00103338"/>
    <w:rsid w:val="0010370D"/>
    <w:rsid w:val="0010384A"/>
    <w:rsid w:val="00103D73"/>
    <w:rsid w:val="00103F0F"/>
    <w:rsid w:val="00104371"/>
    <w:rsid w:val="00104F66"/>
    <w:rsid w:val="001054A3"/>
    <w:rsid w:val="0010559C"/>
    <w:rsid w:val="00105830"/>
    <w:rsid w:val="00105C32"/>
    <w:rsid w:val="00105DB1"/>
    <w:rsid w:val="0010606F"/>
    <w:rsid w:val="0010608C"/>
    <w:rsid w:val="001062ED"/>
    <w:rsid w:val="0010632E"/>
    <w:rsid w:val="00106494"/>
    <w:rsid w:val="001065CB"/>
    <w:rsid w:val="00106648"/>
    <w:rsid w:val="00106A7E"/>
    <w:rsid w:val="00106A81"/>
    <w:rsid w:val="00106B89"/>
    <w:rsid w:val="00106CA2"/>
    <w:rsid w:val="00106E60"/>
    <w:rsid w:val="00106F4E"/>
    <w:rsid w:val="001077DE"/>
    <w:rsid w:val="00107D06"/>
    <w:rsid w:val="001108B2"/>
    <w:rsid w:val="00110B1B"/>
    <w:rsid w:val="00110B5D"/>
    <w:rsid w:val="00110D7A"/>
    <w:rsid w:val="0011105B"/>
    <w:rsid w:val="00111483"/>
    <w:rsid w:val="00111886"/>
    <w:rsid w:val="00111980"/>
    <w:rsid w:val="001122B1"/>
    <w:rsid w:val="0011236D"/>
    <w:rsid w:val="0011267E"/>
    <w:rsid w:val="0011271A"/>
    <w:rsid w:val="00112951"/>
    <w:rsid w:val="00112BEE"/>
    <w:rsid w:val="00112E38"/>
    <w:rsid w:val="00113160"/>
    <w:rsid w:val="001131AA"/>
    <w:rsid w:val="001137CE"/>
    <w:rsid w:val="00113C4C"/>
    <w:rsid w:val="00113CDC"/>
    <w:rsid w:val="00113DD9"/>
    <w:rsid w:val="00113F1A"/>
    <w:rsid w:val="0011467A"/>
    <w:rsid w:val="0011484F"/>
    <w:rsid w:val="001148DA"/>
    <w:rsid w:val="00114C5F"/>
    <w:rsid w:val="00114F21"/>
    <w:rsid w:val="00114F4E"/>
    <w:rsid w:val="00115310"/>
    <w:rsid w:val="00115E3D"/>
    <w:rsid w:val="00115EAA"/>
    <w:rsid w:val="00117615"/>
    <w:rsid w:val="001177A2"/>
    <w:rsid w:val="00117819"/>
    <w:rsid w:val="001179D3"/>
    <w:rsid w:val="00117CAA"/>
    <w:rsid w:val="00117CFE"/>
    <w:rsid w:val="00117DD6"/>
    <w:rsid w:val="00117EEF"/>
    <w:rsid w:val="00117F77"/>
    <w:rsid w:val="001202B1"/>
    <w:rsid w:val="001203C0"/>
    <w:rsid w:val="001204D7"/>
    <w:rsid w:val="001210F1"/>
    <w:rsid w:val="0012117D"/>
    <w:rsid w:val="00121248"/>
    <w:rsid w:val="00121266"/>
    <w:rsid w:val="00121268"/>
    <w:rsid w:val="001217C3"/>
    <w:rsid w:val="0012181A"/>
    <w:rsid w:val="00121841"/>
    <w:rsid w:val="001219CD"/>
    <w:rsid w:val="00121E66"/>
    <w:rsid w:val="00122091"/>
    <w:rsid w:val="00122126"/>
    <w:rsid w:val="00122358"/>
    <w:rsid w:val="001226AD"/>
    <w:rsid w:val="00122A3C"/>
    <w:rsid w:val="00122AE8"/>
    <w:rsid w:val="00122C72"/>
    <w:rsid w:val="00123ACC"/>
    <w:rsid w:val="001242F5"/>
    <w:rsid w:val="00124482"/>
    <w:rsid w:val="00124797"/>
    <w:rsid w:val="00124C3D"/>
    <w:rsid w:val="00124D82"/>
    <w:rsid w:val="00124E60"/>
    <w:rsid w:val="0012501C"/>
    <w:rsid w:val="001251F1"/>
    <w:rsid w:val="00125374"/>
    <w:rsid w:val="001253D5"/>
    <w:rsid w:val="00125A6C"/>
    <w:rsid w:val="00125C50"/>
    <w:rsid w:val="00125E7C"/>
    <w:rsid w:val="00125F99"/>
    <w:rsid w:val="001262FB"/>
    <w:rsid w:val="001269E0"/>
    <w:rsid w:val="00127385"/>
    <w:rsid w:val="00127410"/>
    <w:rsid w:val="0012741A"/>
    <w:rsid w:val="00127F2F"/>
    <w:rsid w:val="00130631"/>
    <w:rsid w:val="00131311"/>
    <w:rsid w:val="001314EF"/>
    <w:rsid w:val="00131541"/>
    <w:rsid w:val="001315CE"/>
    <w:rsid w:val="0013171D"/>
    <w:rsid w:val="00131736"/>
    <w:rsid w:val="0013248A"/>
    <w:rsid w:val="001325D7"/>
    <w:rsid w:val="00132744"/>
    <w:rsid w:val="00132EB3"/>
    <w:rsid w:val="00133770"/>
    <w:rsid w:val="00133A4B"/>
    <w:rsid w:val="00133FFF"/>
    <w:rsid w:val="001340D0"/>
    <w:rsid w:val="0013436B"/>
    <w:rsid w:val="0013448B"/>
    <w:rsid w:val="001346B4"/>
    <w:rsid w:val="00134898"/>
    <w:rsid w:val="0013541E"/>
    <w:rsid w:val="0013558A"/>
    <w:rsid w:val="00135A18"/>
    <w:rsid w:val="001362C0"/>
    <w:rsid w:val="00136666"/>
    <w:rsid w:val="00136A18"/>
    <w:rsid w:val="00136CE3"/>
    <w:rsid w:val="00136D91"/>
    <w:rsid w:val="00136EBF"/>
    <w:rsid w:val="001374EB"/>
    <w:rsid w:val="0013757A"/>
    <w:rsid w:val="001377AA"/>
    <w:rsid w:val="00137829"/>
    <w:rsid w:val="0013794D"/>
    <w:rsid w:val="0013799D"/>
    <w:rsid w:val="0014019B"/>
    <w:rsid w:val="00140262"/>
    <w:rsid w:val="001408BD"/>
    <w:rsid w:val="001409C8"/>
    <w:rsid w:val="00140AA7"/>
    <w:rsid w:val="00140AE9"/>
    <w:rsid w:val="00140B0D"/>
    <w:rsid w:val="0014161A"/>
    <w:rsid w:val="001418BB"/>
    <w:rsid w:val="00141F05"/>
    <w:rsid w:val="00141F9F"/>
    <w:rsid w:val="00142212"/>
    <w:rsid w:val="001422E5"/>
    <w:rsid w:val="0014251D"/>
    <w:rsid w:val="001427C2"/>
    <w:rsid w:val="00142AFE"/>
    <w:rsid w:val="00142C12"/>
    <w:rsid w:val="00142C15"/>
    <w:rsid w:val="00142C6C"/>
    <w:rsid w:val="00142E13"/>
    <w:rsid w:val="001431A7"/>
    <w:rsid w:val="0014351C"/>
    <w:rsid w:val="0014395E"/>
    <w:rsid w:val="001439C8"/>
    <w:rsid w:val="00143B42"/>
    <w:rsid w:val="00143BD1"/>
    <w:rsid w:val="00143CD8"/>
    <w:rsid w:val="00143EC7"/>
    <w:rsid w:val="00144226"/>
    <w:rsid w:val="0014424C"/>
    <w:rsid w:val="00144370"/>
    <w:rsid w:val="001443D1"/>
    <w:rsid w:val="00144766"/>
    <w:rsid w:val="001447E1"/>
    <w:rsid w:val="00145410"/>
    <w:rsid w:val="00145711"/>
    <w:rsid w:val="0014576E"/>
    <w:rsid w:val="001457F6"/>
    <w:rsid w:val="001459D7"/>
    <w:rsid w:val="00145BB5"/>
    <w:rsid w:val="00145CA0"/>
    <w:rsid w:val="00146512"/>
    <w:rsid w:val="00146728"/>
    <w:rsid w:val="00146AC5"/>
    <w:rsid w:val="00146C50"/>
    <w:rsid w:val="00146CDE"/>
    <w:rsid w:val="0014701F"/>
    <w:rsid w:val="001474AE"/>
    <w:rsid w:val="001474D5"/>
    <w:rsid w:val="00147B75"/>
    <w:rsid w:val="00147B9C"/>
    <w:rsid w:val="00147EC2"/>
    <w:rsid w:val="00150172"/>
    <w:rsid w:val="001501A0"/>
    <w:rsid w:val="00150B69"/>
    <w:rsid w:val="00150BC2"/>
    <w:rsid w:val="00150C3C"/>
    <w:rsid w:val="00151664"/>
    <w:rsid w:val="00151C40"/>
    <w:rsid w:val="001522A3"/>
    <w:rsid w:val="00152BB8"/>
    <w:rsid w:val="00152F06"/>
    <w:rsid w:val="0015375B"/>
    <w:rsid w:val="00153FDB"/>
    <w:rsid w:val="001541A8"/>
    <w:rsid w:val="001544A7"/>
    <w:rsid w:val="00154503"/>
    <w:rsid w:val="0015452B"/>
    <w:rsid w:val="00154DB3"/>
    <w:rsid w:val="00154F44"/>
    <w:rsid w:val="001550C7"/>
    <w:rsid w:val="00155347"/>
    <w:rsid w:val="00155755"/>
    <w:rsid w:val="00155B6F"/>
    <w:rsid w:val="0015661D"/>
    <w:rsid w:val="001568CE"/>
    <w:rsid w:val="00156D2E"/>
    <w:rsid w:val="001577C2"/>
    <w:rsid w:val="00157E61"/>
    <w:rsid w:val="00157E78"/>
    <w:rsid w:val="0016045A"/>
    <w:rsid w:val="001605A4"/>
    <w:rsid w:val="00160979"/>
    <w:rsid w:val="00160CCB"/>
    <w:rsid w:val="00160ED7"/>
    <w:rsid w:val="001619E0"/>
    <w:rsid w:val="00161E60"/>
    <w:rsid w:val="00162086"/>
    <w:rsid w:val="00162166"/>
    <w:rsid w:val="00162411"/>
    <w:rsid w:val="00162482"/>
    <w:rsid w:val="001629D5"/>
    <w:rsid w:val="00162B86"/>
    <w:rsid w:val="00162D5F"/>
    <w:rsid w:val="00162E29"/>
    <w:rsid w:val="0016334C"/>
    <w:rsid w:val="00163DD9"/>
    <w:rsid w:val="00164055"/>
    <w:rsid w:val="00164B4C"/>
    <w:rsid w:val="00164D40"/>
    <w:rsid w:val="0016502A"/>
    <w:rsid w:val="0016522E"/>
    <w:rsid w:val="00165678"/>
    <w:rsid w:val="00165754"/>
    <w:rsid w:val="0016579F"/>
    <w:rsid w:val="001658FA"/>
    <w:rsid w:val="00165D74"/>
    <w:rsid w:val="001662A3"/>
    <w:rsid w:val="00166765"/>
    <w:rsid w:val="00166B17"/>
    <w:rsid w:val="00166FEF"/>
    <w:rsid w:val="0016719A"/>
    <w:rsid w:val="00167413"/>
    <w:rsid w:val="00167865"/>
    <w:rsid w:val="0017011F"/>
    <w:rsid w:val="00170713"/>
    <w:rsid w:val="00170D30"/>
    <w:rsid w:val="00170F85"/>
    <w:rsid w:val="001715D8"/>
    <w:rsid w:val="00171FD1"/>
    <w:rsid w:val="00172031"/>
    <w:rsid w:val="00172429"/>
    <w:rsid w:val="00172440"/>
    <w:rsid w:val="001725ED"/>
    <w:rsid w:val="00172674"/>
    <w:rsid w:val="00172CAC"/>
    <w:rsid w:val="00172DA4"/>
    <w:rsid w:val="00172F62"/>
    <w:rsid w:val="00173EC0"/>
    <w:rsid w:val="0017570D"/>
    <w:rsid w:val="00175AAE"/>
    <w:rsid w:val="00175C26"/>
    <w:rsid w:val="00175DEF"/>
    <w:rsid w:val="00175E2D"/>
    <w:rsid w:val="00176238"/>
    <w:rsid w:val="0017676B"/>
    <w:rsid w:val="00176A24"/>
    <w:rsid w:val="00176DBD"/>
    <w:rsid w:val="00176DF9"/>
    <w:rsid w:val="0017720A"/>
    <w:rsid w:val="001773A5"/>
    <w:rsid w:val="00177415"/>
    <w:rsid w:val="00177BAD"/>
    <w:rsid w:val="00180151"/>
    <w:rsid w:val="00180234"/>
    <w:rsid w:val="00180280"/>
    <w:rsid w:val="001803CC"/>
    <w:rsid w:val="00180701"/>
    <w:rsid w:val="00180940"/>
    <w:rsid w:val="00180EB2"/>
    <w:rsid w:val="001811ED"/>
    <w:rsid w:val="0018138B"/>
    <w:rsid w:val="001813B7"/>
    <w:rsid w:val="0018157F"/>
    <w:rsid w:val="00182759"/>
    <w:rsid w:val="0018296A"/>
    <w:rsid w:val="00182986"/>
    <w:rsid w:val="00183265"/>
    <w:rsid w:val="00183512"/>
    <w:rsid w:val="00183DC3"/>
    <w:rsid w:val="00183F0D"/>
    <w:rsid w:val="00184FE9"/>
    <w:rsid w:val="001856A2"/>
    <w:rsid w:val="0018593D"/>
    <w:rsid w:val="00185D75"/>
    <w:rsid w:val="00185DEB"/>
    <w:rsid w:val="00185F4B"/>
    <w:rsid w:val="00185F83"/>
    <w:rsid w:val="0018600C"/>
    <w:rsid w:val="0018616D"/>
    <w:rsid w:val="00186ECA"/>
    <w:rsid w:val="00186F58"/>
    <w:rsid w:val="001871F9"/>
    <w:rsid w:val="00187485"/>
    <w:rsid w:val="00187572"/>
    <w:rsid w:val="0018782A"/>
    <w:rsid w:val="00190073"/>
    <w:rsid w:val="00190242"/>
    <w:rsid w:val="00190696"/>
    <w:rsid w:val="001911C7"/>
    <w:rsid w:val="001911F6"/>
    <w:rsid w:val="0019138F"/>
    <w:rsid w:val="00191397"/>
    <w:rsid w:val="00191608"/>
    <w:rsid w:val="00191688"/>
    <w:rsid w:val="0019194F"/>
    <w:rsid w:val="00191A1A"/>
    <w:rsid w:val="00191D9C"/>
    <w:rsid w:val="00192273"/>
    <w:rsid w:val="00192396"/>
    <w:rsid w:val="001924D8"/>
    <w:rsid w:val="001926BC"/>
    <w:rsid w:val="00192793"/>
    <w:rsid w:val="001929A8"/>
    <w:rsid w:val="00192FC1"/>
    <w:rsid w:val="001932CF"/>
    <w:rsid w:val="001932EE"/>
    <w:rsid w:val="00193B80"/>
    <w:rsid w:val="00193BEE"/>
    <w:rsid w:val="001942B8"/>
    <w:rsid w:val="00194304"/>
    <w:rsid w:val="00194371"/>
    <w:rsid w:val="00194471"/>
    <w:rsid w:val="00194AF6"/>
    <w:rsid w:val="0019502C"/>
    <w:rsid w:val="0019520B"/>
    <w:rsid w:val="001952E8"/>
    <w:rsid w:val="00195417"/>
    <w:rsid w:val="00195AB4"/>
    <w:rsid w:val="00195EAE"/>
    <w:rsid w:val="00196016"/>
    <w:rsid w:val="00196165"/>
    <w:rsid w:val="00196393"/>
    <w:rsid w:val="00196667"/>
    <w:rsid w:val="001966C9"/>
    <w:rsid w:val="0019682B"/>
    <w:rsid w:val="00197033"/>
    <w:rsid w:val="001970BD"/>
    <w:rsid w:val="0019725F"/>
    <w:rsid w:val="00197717"/>
    <w:rsid w:val="001977C0"/>
    <w:rsid w:val="00197F7F"/>
    <w:rsid w:val="001A02D7"/>
    <w:rsid w:val="001A0617"/>
    <w:rsid w:val="001A0827"/>
    <w:rsid w:val="001A09E1"/>
    <w:rsid w:val="001A0EF8"/>
    <w:rsid w:val="001A0FF4"/>
    <w:rsid w:val="001A150E"/>
    <w:rsid w:val="001A18D2"/>
    <w:rsid w:val="001A221C"/>
    <w:rsid w:val="001A2398"/>
    <w:rsid w:val="001A25AC"/>
    <w:rsid w:val="001A3096"/>
    <w:rsid w:val="001A37A6"/>
    <w:rsid w:val="001A404D"/>
    <w:rsid w:val="001A4197"/>
    <w:rsid w:val="001A45A0"/>
    <w:rsid w:val="001A4958"/>
    <w:rsid w:val="001A4BB8"/>
    <w:rsid w:val="001A50A5"/>
    <w:rsid w:val="001A548E"/>
    <w:rsid w:val="001A5625"/>
    <w:rsid w:val="001A5CF5"/>
    <w:rsid w:val="001A5F5B"/>
    <w:rsid w:val="001A7616"/>
    <w:rsid w:val="001A788D"/>
    <w:rsid w:val="001A7B61"/>
    <w:rsid w:val="001A7F0C"/>
    <w:rsid w:val="001B025E"/>
    <w:rsid w:val="001B06BC"/>
    <w:rsid w:val="001B0807"/>
    <w:rsid w:val="001B08D9"/>
    <w:rsid w:val="001B0F9E"/>
    <w:rsid w:val="001B101F"/>
    <w:rsid w:val="001B136D"/>
    <w:rsid w:val="001B14BD"/>
    <w:rsid w:val="001B17C3"/>
    <w:rsid w:val="001B1F30"/>
    <w:rsid w:val="001B22E9"/>
    <w:rsid w:val="001B2BCC"/>
    <w:rsid w:val="001B36B4"/>
    <w:rsid w:val="001B38B7"/>
    <w:rsid w:val="001B39AE"/>
    <w:rsid w:val="001B3F7F"/>
    <w:rsid w:val="001B411F"/>
    <w:rsid w:val="001B4653"/>
    <w:rsid w:val="001B4A22"/>
    <w:rsid w:val="001B4A40"/>
    <w:rsid w:val="001B4ACB"/>
    <w:rsid w:val="001B544D"/>
    <w:rsid w:val="001B5E7A"/>
    <w:rsid w:val="001B6028"/>
    <w:rsid w:val="001B6AA3"/>
    <w:rsid w:val="001B6E18"/>
    <w:rsid w:val="001B7054"/>
    <w:rsid w:val="001B733C"/>
    <w:rsid w:val="001B7723"/>
    <w:rsid w:val="001B7979"/>
    <w:rsid w:val="001B7E1B"/>
    <w:rsid w:val="001B7F27"/>
    <w:rsid w:val="001B7FBD"/>
    <w:rsid w:val="001C0056"/>
    <w:rsid w:val="001C03D1"/>
    <w:rsid w:val="001C0468"/>
    <w:rsid w:val="001C0957"/>
    <w:rsid w:val="001C0AC9"/>
    <w:rsid w:val="001C0E98"/>
    <w:rsid w:val="001C0ECA"/>
    <w:rsid w:val="001C0F92"/>
    <w:rsid w:val="001C1735"/>
    <w:rsid w:val="001C1C28"/>
    <w:rsid w:val="001C2125"/>
    <w:rsid w:val="001C2301"/>
    <w:rsid w:val="001C24BB"/>
    <w:rsid w:val="001C2A22"/>
    <w:rsid w:val="001C2A75"/>
    <w:rsid w:val="001C2D62"/>
    <w:rsid w:val="001C2DC2"/>
    <w:rsid w:val="001C2F17"/>
    <w:rsid w:val="001C30F2"/>
    <w:rsid w:val="001C32E5"/>
    <w:rsid w:val="001C3683"/>
    <w:rsid w:val="001C37E7"/>
    <w:rsid w:val="001C4245"/>
    <w:rsid w:val="001C4299"/>
    <w:rsid w:val="001C43F5"/>
    <w:rsid w:val="001C4709"/>
    <w:rsid w:val="001C5239"/>
    <w:rsid w:val="001C54FC"/>
    <w:rsid w:val="001C5501"/>
    <w:rsid w:val="001C58FF"/>
    <w:rsid w:val="001C591F"/>
    <w:rsid w:val="001C5979"/>
    <w:rsid w:val="001C6526"/>
    <w:rsid w:val="001C6A87"/>
    <w:rsid w:val="001C6AF1"/>
    <w:rsid w:val="001C6E3A"/>
    <w:rsid w:val="001C7813"/>
    <w:rsid w:val="001C7B30"/>
    <w:rsid w:val="001D10A0"/>
    <w:rsid w:val="001D1792"/>
    <w:rsid w:val="001D1DC2"/>
    <w:rsid w:val="001D2509"/>
    <w:rsid w:val="001D2DA8"/>
    <w:rsid w:val="001D3116"/>
    <w:rsid w:val="001D347F"/>
    <w:rsid w:val="001D3B9E"/>
    <w:rsid w:val="001D3E83"/>
    <w:rsid w:val="001D3F6F"/>
    <w:rsid w:val="001D4578"/>
    <w:rsid w:val="001D4F99"/>
    <w:rsid w:val="001D4F9A"/>
    <w:rsid w:val="001D5114"/>
    <w:rsid w:val="001D55F2"/>
    <w:rsid w:val="001D5865"/>
    <w:rsid w:val="001D5C0F"/>
    <w:rsid w:val="001D5E45"/>
    <w:rsid w:val="001D5F7D"/>
    <w:rsid w:val="001D632A"/>
    <w:rsid w:val="001D6553"/>
    <w:rsid w:val="001D65FF"/>
    <w:rsid w:val="001D69FE"/>
    <w:rsid w:val="001D6C77"/>
    <w:rsid w:val="001D729D"/>
    <w:rsid w:val="001D7CF6"/>
    <w:rsid w:val="001E0068"/>
    <w:rsid w:val="001E0734"/>
    <w:rsid w:val="001E0ACF"/>
    <w:rsid w:val="001E1098"/>
    <w:rsid w:val="001E1AC9"/>
    <w:rsid w:val="001E1E96"/>
    <w:rsid w:val="001E217A"/>
    <w:rsid w:val="001E21C8"/>
    <w:rsid w:val="001E24D4"/>
    <w:rsid w:val="001E25C4"/>
    <w:rsid w:val="001E2E6F"/>
    <w:rsid w:val="001E2FC4"/>
    <w:rsid w:val="001E32F2"/>
    <w:rsid w:val="001E3511"/>
    <w:rsid w:val="001E3642"/>
    <w:rsid w:val="001E380A"/>
    <w:rsid w:val="001E38C6"/>
    <w:rsid w:val="001E3DBD"/>
    <w:rsid w:val="001E4938"/>
    <w:rsid w:val="001E4CD8"/>
    <w:rsid w:val="001E4FB6"/>
    <w:rsid w:val="001E5091"/>
    <w:rsid w:val="001E53A9"/>
    <w:rsid w:val="001E55D5"/>
    <w:rsid w:val="001E5BB8"/>
    <w:rsid w:val="001E625D"/>
    <w:rsid w:val="001E6299"/>
    <w:rsid w:val="001E64F3"/>
    <w:rsid w:val="001E655B"/>
    <w:rsid w:val="001E6920"/>
    <w:rsid w:val="001E693A"/>
    <w:rsid w:val="001E701E"/>
    <w:rsid w:val="001E7905"/>
    <w:rsid w:val="001E7AEB"/>
    <w:rsid w:val="001F0190"/>
    <w:rsid w:val="001F0281"/>
    <w:rsid w:val="001F0858"/>
    <w:rsid w:val="001F0883"/>
    <w:rsid w:val="001F08A4"/>
    <w:rsid w:val="001F091C"/>
    <w:rsid w:val="001F0A0A"/>
    <w:rsid w:val="001F0B61"/>
    <w:rsid w:val="001F0B74"/>
    <w:rsid w:val="001F0C8C"/>
    <w:rsid w:val="001F0DCF"/>
    <w:rsid w:val="001F141F"/>
    <w:rsid w:val="001F14F2"/>
    <w:rsid w:val="001F1BAB"/>
    <w:rsid w:val="001F203C"/>
    <w:rsid w:val="001F2108"/>
    <w:rsid w:val="001F2493"/>
    <w:rsid w:val="001F2BD3"/>
    <w:rsid w:val="001F2D2C"/>
    <w:rsid w:val="001F2DC5"/>
    <w:rsid w:val="001F2EA1"/>
    <w:rsid w:val="001F32D1"/>
    <w:rsid w:val="001F340F"/>
    <w:rsid w:val="001F353A"/>
    <w:rsid w:val="001F3603"/>
    <w:rsid w:val="001F386B"/>
    <w:rsid w:val="001F3CC2"/>
    <w:rsid w:val="001F3D89"/>
    <w:rsid w:val="001F3E07"/>
    <w:rsid w:val="001F41E4"/>
    <w:rsid w:val="001F4BAC"/>
    <w:rsid w:val="001F4DC7"/>
    <w:rsid w:val="001F4FA9"/>
    <w:rsid w:val="001F548A"/>
    <w:rsid w:val="001F579C"/>
    <w:rsid w:val="001F58E5"/>
    <w:rsid w:val="001F5913"/>
    <w:rsid w:val="001F5A77"/>
    <w:rsid w:val="001F5C40"/>
    <w:rsid w:val="001F5F13"/>
    <w:rsid w:val="001F668A"/>
    <w:rsid w:val="001F6D64"/>
    <w:rsid w:val="001F765B"/>
    <w:rsid w:val="001F770A"/>
    <w:rsid w:val="001F7C6D"/>
    <w:rsid w:val="002007E4"/>
    <w:rsid w:val="00200A9D"/>
    <w:rsid w:val="00200B2E"/>
    <w:rsid w:val="00200DB4"/>
    <w:rsid w:val="00201324"/>
    <w:rsid w:val="0020194C"/>
    <w:rsid w:val="00201BDF"/>
    <w:rsid w:val="00201E34"/>
    <w:rsid w:val="0020205B"/>
    <w:rsid w:val="00202545"/>
    <w:rsid w:val="00202C45"/>
    <w:rsid w:val="00202E4A"/>
    <w:rsid w:val="00203011"/>
    <w:rsid w:val="002031FC"/>
    <w:rsid w:val="00203733"/>
    <w:rsid w:val="0020390A"/>
    <w:rsid w:val="00203DFF"/>
    <w:rsid w:val="0020460C"/>
    <w:rsid w:val="002049CF"/>
    <w:rsid w:val="00205553"/>
    <w:rsid w:val="0020587F"/>
    <w:rsid w:val="002059C8"/>
    <w:rsid w:val="00206073"/>
    <w:rsid w:val="00206928"/>
    <w:rsid w:val="00206C16"/>
    <w:rsid w:val="00206E82"/>
    <w:rsid w:val="0020726F"/>
    <w:rsid w:val="002073CA"/>
    <w:rsid w:val="002076FD"/>
    <w:rsid w:val="0020775A"/>
    <w:rsid w:val="0020777E"/>
    <w:rsid w:val="00207B81"/>
    <w:rsid w:val="00207ED2"/>
    <w:rsid w:val="002101B6"/>
    <w:rsid w:val="00210464"/>
    <w:rsid w:val="002104A5"/>
    <w:rsid w:val="002104FF"/>
    <w:rsid w:val="00211046"/>
    <w:rsid w:val="002112B2"/>
    <w:rsid w:val="002115DA"/>
    <w:rsid w:val="00211AE6"/>
    <w:rsid w:val="002127F3"/>
    <w:rsid w:val="00212DA6"/>
    <w:rsid w:val="00212F99"/>
    <w:rsid w:val="00212FE8"/>
    <w:rsid w:val="002131C6"/>
    <w:rsid w:val="00213289"/>
    <w:rsid w:val="00213819"/>
    <w:rsid w:val="00213B45"/>
    <w:rsid w:val="002147CA"/>
    <w:rsid w:val="00214AE3"/>
    <w:rsid w:val="002154DF"/>
    <w:rsid w:val="0021569E"/>
    <w:rsid w:val="002158A2"/>
    <w:rsid w:val="00215CE4"/>
    <w:rsid w:val="00215E20"/>
    <w:rsid w:val="00215FD3"/>
    <w:rsid w:val="0021610D"/>
    <w:rsid w:val="002165C1"/>
    <w:rsid w:val="002168CB"/>
    <w:rsid w:val="00216A8E"/>
    <w:rsid w:val="00216AC0"/>
    <w:rsid w:val="00216EDC"/>
    <w:rsid w:val="00217538"/>
    <w:rsid w:val="00217563"/>
    <w:rsid w:val="00217B2D"/>
    <w:rsid w:val="00217DA5"/>
    <w:rsid w:val="00217DBD"/>
    <w:rsid w:val="00217EC2"/>
    <w:rsid w:val="00220268"/>
    <w:rsid w:val="00220ED6"/>
    <w:rsid w:val="0022160A"/>
    <w:rsid w:val="00221747"/>
    <w:rsid w:val="00221FB0"/>
    <w:rsid w:val="00221FE8"/>
    <w:rsid w:val="0022224E"/>
    <w:rsid w:val="0022236B"/>
    <w:rsid w:val="00222514"/>
    <w:rsid w:val="0022253A"/>
    <w:rsid w:val="00222ACC"/>
    <w:rsid w:val="00222D23"/>
    <w:rsid w:val="0022326C"/>
    <w:rsid w:val="00223B9B"/>
    <w:rsid w:val="00223E41"/>
    <w:rsid w:val="00223EC7"/>
    <w:rsid w:val="00224011"/>
    <w:rsid w:val="00224090"/>
    <w:rsid w:val="00224234"/>
    <w:rsid w:val="002242F0"/>
    <w:rsid w:val="00224457"/>
    <w:rsid w:val="0022452B"/>
    <w:rsid w:val="00224F1D"/>
    <w:rsid w:val="0022522B"/>
    <w:rsid w:val="00225C59"/>
    <w:rsid w:val="0022623F"/>
    <w:rsid w:val="00226D3D"/>
    <w:rsid w:val="002273C5"/>
    <w:rsid w:val="00227517"/>
    <w:rsid w:val="00227B32"/>
    <w:rsid w:val="0023007D"/>
    <w:rsid w:val="0023009D"/>
    <w:rsid w:val="002302F5"/>
    <w:rsid w:val="00230377"/>
    <w:rsid w:val="0023084B"/>
    <w:rsid w:val="00231311"/>
    <w:rsid w:val="0023151E"/>
    <w:rsid w:val="00231EF5"/>
    <w:rsid w:val="00231FC9"/>
    <w:rsid w:val="00232115"/>
    <w:rsid w:val="0023219B"/>
    <w:rsid w:val="0023282F"/>
    <w:rsid w:val="00232CDA"/>
    <w:rsid w:val="00232E2E"/>
    <w:rsid w:val="00232E42"/>
    <w:rsid w:val="002332B3"/>
    <w:rsid w:val="00233827"/>
    <w:rsid w:val="00233880"/>
    <w:rsid w:val="00233DA3"/>
    <w:rsid w:val="00233EB7"/>
    <w:rsid w:val="00234272"/>
    <w:rsid w:val="00234809"/>
    <w:rsid w:val="00234856"/>
    <w:rsid w:val="00234B25"/>
    <w:rsid w:val="00234F94"/>
    <w:rsid w:val="00234FA0"/>
    <w:rsid w:val="00235450"/>
    <w:rsid w:val="002359C3"/>
    <w:rsid w:val="00235A57"/>
    <w:rsid w:val="00235ABC"/>
    <w:rsid w:val="00235CBD"/>
    <w:rsid w:val="002360AC"/>
    <w:rsid w:val="00236505"/>
    <w:rsid w:val="00236656"/>
    <w:rsid w:val="00236731"/>
    <w:rsid w:val="00236E1C"/>
    <w:rsid w:val="00236F25"/>
    <w:rsid w:val="0023749F"/>
    <w:rsid w:val="002374F6"/>
    <w:rsid w:val="002375F5"/>
    <w:rsid w:val="0023766E"/>
    <w:rsid w:val="00237D72"/>
    <w:rsid w:val="00237EDD"/>
    <w:rsid w:val="00240237"/>
    <w:rsid w:val="00240C13"/>
    <w:rsid w:val="00240ED3"/>
    <w:rsid w:val="00240FF6"/>
    <w:rsid w:val="0024121A"/>
    <w:rsid w:val="002412A2"/>
    <w:rsid w:val="00241740"/>
    <w:rsid w:val="00242CFC"/>
    <w:rsid w:val="00242E04"/>
    <w:rsid w:val="002434F2"/>
    <w:rsid w:val="00243622"/>
    <w:rsid w:val="002436B2"/>
    <w:rsid w:val="00243CB7"/>
    <w:rsid w:val="00243D2B"/>
    <w:rsid w:val="00245257"/>
    <w:rsid w:val="002454C8"/>
    <w:rsid w:val="00245790"/>
    <w:rsid w:val="00245E00"/>
    <w:rsid w:val="00245EA6"/>
    <w:rsid w:val="00245EBA"/>
    <w:rsid w:val="002469A8"/>
    <w:rsid w:val="00247B52"/>
    <w:rsid w:val="00247E49"/>
    <w:rsid w:val="00250141"/>
    <w:rsid w:val="00250568"/>
    <w:rsid w:val="002507C7"/>
    <w:rsid w:val="00250B5D"/>
    <w:rsid w:val="0025109D"/>
    <w:rsid w:val="002511AF"/>
    <w:rsid w:val="00251B43"/>
    <w:rsid w:val="00251BF4"/>
    <w:rsid w:val="00251C8A"/>
    <w:rsid w:val="00251D0E"/>
    <w:rsid w:val="002520FE"/>
    <w:rsid w:val="00252146"/>
    <w:rsid w:val="002525B9"/>
    <w:rsid w:val="0025267C"/>
    <w:rsid w:val="002526B8"/>
    <w:rsid w:val="00252961"/>
    <w:rsid w:val="00252B3D"/>
    <w:rsid w:val="00252BA5"/>
    <w:rsid w:val="00253077"/>
    <w:rsid w:val="002531CA"/>
    <w:rsid w:val="002531D4"/>
    <w:rsid w:val="00253DA3"/>
    <w:rsid w:val="0025407D"/>
    <w:rsid w:val="00254AB4"/>
    <w:rsid w:val="00254DE3"/>
    <w:rsid w:val="00254E4A"/>
    <w:rsid w:val="0025505F"/>
    <w:rsid w:val="002550FF"/>
    <w:rsid w:val="00255D7F"/>
    <w:rsid w:val="00255F43"/>
    <w:rsid w:val="00255F65"/>
    <w:rsid w:val="00256057"/>
    <w:rsid w:val="002560F7"/>
    <w:rsid w:val="002566A4"/>
    <w:rsid w:val="002568FE"/>
    <w:rsid w:val="0025775A"/>
    <w:rsid w:val="002578D4"/>
    <w:rsid w:val="00257AF8"/>
    <w:rsid w:val="00260781"/>
    <w:rsid w:val="00260992"/>
    <w:rsid w:val="00260A5C"/>
    <w:rsid w:val="00260A76"/>
    <w:rsid w:val="00260FC1"/>
    <w:rsid w:val="002614DA"/>
    <w:rsid w:val="00261921"/>
    <w:rsid w:val="00261C51"/>
    <w:rsid w:val="00261DCD"/>
    <w:rsid w:val="00261E74"/>
    <w:rsid w:val="00261ED0"/>
    <w:rsid w:val="00262372"/>
    <w:rsid w:val="00262577"/>
    <w:rsid w:val="00262CE5"/>
    <w:rsid w:val="00262E05"/>
    <w:rsid w:val="00262E69"/>
    <w:rsid w:val="002632CE"/>
    <w:rsid w:val="00263378"/>
    <w:rsid w:val="00263469"/>
    <w:rsid w:val="0026369F"/>
    <w:rsid w:val="002636AB"/>
    <w:rsid w:val="0026373B"/>
    <w:rsid w:val="00263BE7"/>
    <w:rsid w:val="00264516"/>
    <w:rsid w:val="0026465D"/>
    <w:rsid w:val="00265045"/>
    <w:rsid w:val="00265096"/>
    <w:rsid w:val="0026589E"/>
    <w:rsid w:val="00265B05"/>
    <w:rsid w:val="00265D5B"/>
    <w:rsid w:val="00265FFF"/>
    <w:rsid w:val="0026670B"/>
    <w:rsid w:val="00266EB3"/>
    <w:rsid w:val="0026743D"/>
    <w:rsid w:val="00267476"/>
    <w:rsid w:val="00267CB6"/>
    <w:rsid w:val="00267EF8"/>
    <w:rsid w:val="00270220"/>
    <w:rsid w:val="0027044D"/>
    <w:rsid w:val="002704CA"/>
    <w:rsid w:val="00270B43"/>
    <w:rsid w:val="00270DD0"/>
    <w:rsid w:val="00271BC9"/>
    <w:rsid w:val="00272184"/>
    <w:rsid w:val="00272283"/>
    <w:rsid w:val="00272313"/>
    <w:rsid w:val="0027244F"/>
    <w:rsid w:val="00272B9D"/>
    <w:rsid w:val="0027300A"/>
    <w:rsid w:val="00273651"/>
    <w:rsid w:val="0027369B"/>
    <w:rsid w:val="0027378A"/>
    <w:rsid w:val="00273FD5"/>
    <w:rsid w:val="00273FDB"/>
    <w:rsid w:val="0027492F"/>
    <w:rsid w:val="00274B0C"/>
    <w:rsid w:val="00274F3B"/>
    <w:rsid w:val="002753C1"/>
    <w:rsid w:val="00275624"/>
    <w:rsid w:val="0027562D"/>
    <w:rsid w:val="0027598E"/>
    <w:rsid w:val="00275B33"/>
    <w:rsid w:val="00275B65"/>
    <w:rsid w:val="00275BCE"/>
    <w:rsid w:val="002760B0"/>
    <w:rsid w:val="00276108"/>
    <w:rsid w:val="0027632F"/>
    <w:rsid w:val="002766CD"/>
    <w:rsid w:val="0027678A"/>
    <w:rsid w:val="002768AF"/>
    <w:rsid w:val="002770AD"/>
    <w:rsid w:val="00277171"/>
    <w:rsid w:val="002779C6"/>
    <w:rsid w:val="00277BAB"/>
    <w:rsid w:val="0028043E"/>
    <w:rsid w:val="0028044C"/>
    <w:rsid w:val="0028048B"/>
    <w:rsid w:val="0028049B"/>
    <w:rsid w:val="002806D5"/>
    <w:rsid w:val="00280751"/>
    <w:rsid w:val="00280884"/>
    <w:rsid w:val="00281083"/>
    <w:rsid w:val="0028111A"/>
    <w:rsid w:val="00281311"/>
    <w:rsid w:val="002817EC"/>
    <w:rsid w:val="00281AB7"/>
    <w:rsid w:val="00281F5E"/>
    <w:rsid w:val="002828D4"/>
    <w:rsid w:val="00283592"/>
    <w:rsid w:val="0028363C"/>
    <w:rsid w:val="00283E29"/>
    <w:rsid w:val="00283EDC"/>
    <w:rsid w:val="00283FA3"/>
    <w:rsid w:val="002845AC"/>
    <w:rsid w:val="00284819"/>
    <w:rsid w:val="002856BA"/>
    <w:rsid w:val="00285E6C"/>
    <w:rsid w:val="00285F04"/>
    <w:rsid w:val="00286A7B"/>
    <w:rsid w:val="00286AB3"/>
    <w:rsid w:val="00287075"/>
    <w:rsid w:val="002870A3"/>
    <w:rsid w:val="00287146"/>
    <w:rsid w:val="002876BD"/>
    <w:rsid w:val="00287D08"/>
    <w:rsid w:val="002904F8"/>
    <w:rsid w:val="00290935"/>
    <w:rsid w:val="00290B54"/>
    <w:rsid w:val="002913D6"/>
    <w:rsid w:val="00291B3F"/>
    <w:rsid w:val="00291BB4"/>
    <w:rsid w:val="00291C75"/>
    <w:rsid w:val="00291D63"/>
    <w:rsid w:val="00291FC5"/>
    <w:rsid w:val="002925DE"/>
    <w:rsid w:val="00292C66"/>
    <w:rsid w:val="002930E6"/>
    <w:rsid w:val="0029318B"/>
    <w:rsid w:val="00293680"/>
    <w:rsid w:val="00293716"/>
    <w:rsid w:val="00293AE4"/>
    <w:rsid w:val="00293BEA"/>
    <w:rsid w:val="00293DB0"/>
    <w:rsid w:val="00293DED"/>
    <w:rsid w:val="002942A8"/>
    <w:rsid w:val="0029457A"/>
    <w:rsid w:val="00294BC0"/>
    <w:rsid w:val="00294C41"/>
    <w:rsid w:val="0029505A"/>
    <w:rsid w:val="002958B8"/>
    <w:rsid w:val="00295D77"/>
    <w:rsid w:val="00295F12"/>
    <w:rsid w:val="0029637C"/>
    <w:rsid w:val="002963ED"/>
    <w:rsid w:val="00296613"/>
    <w:rsid w:val="002968DB"/>
    <w:rsid w:val="002972FC"/>
    <w:rsid w:val="00297402"/>
    <w:rsid w:val="00297462"/>
    <w:rsid w:val="00297CA9"/>
    <w:rsid w:val="00297CCA"/>
    <w:rsid w:val="00297EC6"/>
    <w:rsid w:val="002A0AED"/>
    <w:rsid w:val="002A13AD"/>
    <w:rsid w:val="002A2754"/>
    <w:rsid w:val="002A289B"/>
    <w:rsid w:val="002A307B"/>
    <w:rsid w:val="002A314B"/>
    <w:rsid w:val="002A36DE"/>
    <w:rsid w:val="002A38F1"/>
    <w:rsid w:val="002A3D6D"/>
    <w:rsid w:val="002A3DA4"/>
    <w:rsid w:val="002A3FC4"/>
    <w:rsid w:val="002A4056"/>
    <w:rsid w:val="002A4235"/>
    <w:rsid w:val="002A4333"/>
    <w:rsid w:val="002A4489"/>
    <w:rsid w:val="002A46B2"/>
    <w:rsid w:val="002A46B5"/>
    <w:rsid w:val="002A4B40"/>
    <w:rsid w:val="002A4CF9"/>
    <w:rsid w:val="002A4DF9"/>
    <w:rsid w:val="002A5D8B"/>
    <w:rsid w:val="002A6C11"/>
    <w:rsid w:val="002A6C41"/>
    <w:rsid w:val="002A6CDD"/>
    <w:rsid w:val="002A6D7C"/>
    <w:rsid w:val="002A6FC7"/>
    <w:rsid w:val="002A71CD"/>
    <w:rsid w:val="002A7217"/>
    <w:rsid w:val="002A783B"/>
    <w:rsid w:val="002A7C5C"/>
    <w:rsid w:val="002A7DF3"/>
    <w:rsid w:val="002B00B5"/>
    <w:rsid w:val="002B0CFA"/>
    <w:rsid w:val="002B1602"/>
    <w:rsid w:val="002B171F"/>
    <w:rsid w:val="002B17BB"/>
    <w:rsid w:val="002B1AA4"/>
    <w:rsid w:val="002B1C2D"/>
    <w:rsid w:val="002B1DB7"/>
    <w:rsid w:val="002B1DE7"/>
    <w:rsid w:val="002B1F25"/>
    <w:rsid w:val="002B20F0"/>
    <w:rsid w:val="002B23CD"/>
    <w:rsid w:val="002B2489"/>
    <w:rsid w:val="002B25C0"/>
    <w:rsid w:val="002B2F1F"/>
    <w:rsid w:val="002B2FCD"/>
    <w:rsid w:val="002B31C9"/>
    <w:rsid w:val="002B32A8"/>
    <w:rsid w:val="002B3565"/>
    <w:rsid w:val="002B407B"/>
    <w:rsid w:val="002B407C"/>
    <w:rsid w:val="002B4174"/>
    <w:rsid w:val="002B48CD"/>
    <w:rsid w:val="002B4CAF"/>
    <w:rsid w:val="002B52B8"/>
    <w:rsid w:val="002B553B"/>
    <w:rsid w:val="002B587D"/>
    <w:rsid w:val="002B5899"/>
    <w:rsid w:val="002B5B0B"/>
    <w:rsid w:val="002B6A07"/>
    <w:rsid w:val="002B6AE7"/>
    <w:rsid w:val="002B6C6B"/>
    <w:rsid w:val="002B6F77"/>
    <w:rsid w:val="002B7051"/>
    <w:rsid w:val="002B72F5"/>
    <w:rsid w:val="002B737D"/>
    <w:rsid w:val="002B76BC"/>
    <w:rsid w:val="002B780E"/>
    <w:rsid w:val="002B7880"/>
    <w:rsid w:val="002B78F7"/>
    <w:rsid w:val="002B7AF2"/>
    <w:rsid w:val="002B7B53"/>
    <w:rsid w:val="002B7E80"/>
    <w:rsid w:val="002C043E"/>
    <w:rsid w:val="002C04C2"/>
    <w:rsid w:val="002C09A2"/>
    <w:rsid w:val="002C0F8E"/>
    <w:rsid w:val="002C13EA"/>
    <w:rsid w:val="002C1547"/>
    <w:rsid w:val="002C1D92"/>
    <w:rsid w:val="002C22B3"/>
    <w:rsid w:val="002C25A0"/>
    <w:rsid w:val="002C2715"/>
    <w:rsid w:val="002C282D"/>
    <w:rsid w:val="002C2A15"/>
    <w:rsid w:val="002C321C"/>
    <w:rsid w:val="002C32D8"/>
    <w:rsid w:val="002C3384"/>
    <w:rsid w:val="002C3560"/>
    <w:rsid w:val="002C3EFD"/>
    <w:rsid w:val="002C40BC"/>
    <w:rsid w:val="002C4179"/>
    <w:rsid w:val="002C4365"/>
    <w:rsid w:val="002C4573"/>
    <w:rsid w:val="002C4A07"/>
    <w:rsid w:val="002C4A2C"/>
    <w:rsid w:val="002C5235"/>
    <w:rsid w:val="002C536C"/>
    <w:rsid w:val="002C5395"/>
    <w:rsid w:val="002C555C"/>
    <w:rsid w:val="002C5B2A"/>
    <w:rsid w:val="002C5DB1"/>
    <w:rsid w:val="002C5F6C"/>
    <w:rsid w:val="002C6693"/>
    <w:rsid w:val="002C6710"/>
    <w:rsid w:val="002C6AAC"/>
    <w:rsid w:val="002C729B"/>
    <w:rsid w:val="002C73EA"/>
    <w:rsid w:val="002C7628"/>
    <w:rsid w:val="002C7FEF"/>
    <w:rsid w:val="002D0A21"/>
    <w:rsid w:val="002D0A8B"/>
    <w:rsid w:val="002D0E2C"/>
    <w:rsid w:val="002D1038"/>
    <w:rsid w:val="002D10F3"/>
    <w:rsid w:val="002D17D4"/>
    <w:rsid w:val="002D1D09"/>
    <w:rsid w:val="002D1E0C"/>
    <w:rsid w:val="002D1F56"/>
    <w:rsid w:val="002D212B"/>
    <w:rsid w:val="002D21B8"/>
    <w:rsid w:val="002D2322"/>
    <w:rsid w:val="002D23E1"/>
    <w:rsid w:val="002D3B57"/>
    <w:rsid w:val="002D3F88"/>
    <w:rsid w:val="002D4193"/>
    <w:rsid w:val="002D44F3"/>
    <w:rsid w:val="002D47E6"/>
    <w:rsid w:val="002D47ED"/>
    <w:rsid w:val="002D4B67"/>
    <w:rsid w:val="002D51E8"/>
    <w:rsid w:val="002D5210"/>
    <w:rsid w:val="002D5353"/>
    <w:rsid w:val="002D5398"/>
    <w:rsid w:val="002D54E6"/>
    <w:rsid w:val="002D5584"/>
    <w:rsid w:val="002D65F7"/>
    <w:rsid w:val="002D66F5"/>
    <w:rsid w:val="002D6A84"/>
    <w:rsid w:val="002D6B9C"/>
    <w:rsid w:val="002D6DAF"/>
    <w:rsid w:val="002D70B7"/>
    <w:rsid w:val="002D78D4"/>
    <w:rsid w:val="002E0666"/>
    <w:rsid w:val="002E0875"/>
    <w:rsid w:val="002E0C9C"/>
    <w:rsid w:val="002E18FF"/>
    <w:rsid w:val="002E1F47"/>
    <w:rsid w:val="002E2041"/>
    <w:rsid w:val="002E2335"/>
    <w:rsid w:val="002E23C3"/>
    <w:rsid w:val="002E288B"/>
    <w:rsid w:val="002E2FCE"/>
    <w:rsid w:val="002E37F7"/>
    <w:rsid w:val="002E3891"/>
    <w:rsid w:val="002E3909"/>
    <w:rsid w:val="002E429F"/>
    <w:rsid w:val="002E456A"/>
    <w:rsid w:val="002E479B"/>
    <w:rsid w:val="002E4928"/>
    <w:rsid w:val="002E4943"/>
    <w:rsid w:val="002E49CB"/>
    <w:rsid w:val="002E4A2F"/>
    <w:rsid w:val="002E4C21"/>
    <w:rsid w:val="002E52CC"/>
    <w:rsid w:val="002E584F"/>
    <w:rsid w:val="002E58C5"/>
    <w:rsid w:val="002E5B9E"/>
    <w:rsid w:val="002E67B2"/>
    <w:rsid w:val="002E69FE"/>
    <w:rsid w:val="002E6B7A"/>
    <w:rsid w:val="002E6C28"/>
    <w:rsid w:val="002E6CA3"/>
    <w:rsid w:val="002E6DBB"/>
    <w:rsid w:val="002E6DC0"/>
    <w:rsid w:val="002E7001"/>
    <w:rsid w:val="002E786E"/>
    <w:rsid w:val="002E7991"/>
    <w:rsid w:val="002E7A32"/>
    <w:rsid w:val="002E7EE9"/>
    <w:rsid w:val="002F07CD"/>
    <w:rsid w:val="002F0A6E"/>
    <w:rsid w:val="002F0B21"/>
    <w:rsid w:val="002F0BF5"/>
    <w:rsid w:val="002F1C4F"/>
    <w:rsid w:val="002F1ECC"/>
    <w:rsid w:val="002F1F18"/>
    <w:rsid w:val="002F2139"/>
    <w:rsid w:val="002F25E9"/>
    <w:rsid w:val="002F2DCA"/>
    <w:rsid w:val="002F4165"/>
    <w:rsid w:val="002F44C2"/>
    <w:rsid w:val="002F4916"/>
    <w:rsid w:val="002F4B98"/>
    <w:rsid w:val="002F4FB6"/>
    <w:rsid w:val="002F5139"/>
    <w:rsid w:val="002F57C5"/>
    <w:rsid w:val="002F57C9"/>
    <w:rsid w:val="002F5CA3"/>
    <w:rsid w:val="002F5D3C"/>
    <w:rsid w:val="002F5DE3"/>
    <w:rsid w:val="002F6100"/>
    <w:rsid w:val="002F6632"/>
    <w:rsid w:val="002F6B47"/>
    <w:rsid w:val="002F6C77"/>
    <w:rsid w:val="002F7038"/>
    <w:rsid w:val="002F71D3"/>
    <w:rsid w:val="002F7431"/>
    <w:rsid w:val="002F7537"/>
    <w:rsid w:val="002F76E9"/>
    <w:rsid w:val="002F7842"/>
    <w:rsid w:val="002F7E42"/>
    <w:rsid w:val="002F7F6A"/>
    <w:rsid w:val="003003E2"/>
    <w:rsid w:val="00300447"/>
    <w:rsid w:val="0030046D"/>
    <w:rsid w:val="00300640"/>
    <w:rsid w:val="00300778"/>
    <w:rsid w:val="00300862"/>
    <w:rsid w:val="0030088D"/>
    <w:rsid w:val="003008E6"/>
    <w:rsid w:val="00300EC2"/>
    <w:rsid w:val="003011BF"/>
    <w:rsid w:val="0030152A"/>
    <w:rsid w:val="0030153A"/>
    <w:rsid w:val="003017BE"/>
    <w:rsid w:val="00301B40"/>
    <w:rsid w:val="00301C03"/>
    <w:rsid w:val="00301EAE"/>
    <w:rsid w:val="00301ED6"/>
    <w:rsid w:val="00302038"/>
    <w:rsid w:val="0030250D"/>
    <w:rsid w:val="00302572"/>
    <w:rsid w:val="003027A8"/>
    <w:rsid w:val="00302A79"/>
    <w:rsid w:val="00302C18"/>
    <w:rsid w:val="003030BA"/>
    <w:rsid w:val="0030325E"/>
    <w:rsid w:val="00303661"/>
    <w:rsid w:val="00303961"/>
    <w:rsid w:val="00303BD5"/>
    <w:rsid w:val="00303CCE"/>
    <w:rsid w:val="00303E3A"/>
    <w:rsid w:val="00303E4B"/>
    <w:rsid w:val="003043D2"/>
    <w:rsid w:val="003044A7"/>
    <w:rsid w:val="003045FF"/>
    <w:rsid w:val="003048BC"/>
    <w:rsid w:val="00304EF4"/>
    <w:rsid w:val="00305AF5"/>
    <w:rsid w:val="00305B00"/>
    <w:rsid w:val="00306030"/>
    <w:rsid w:val="00306780"/>
    <w:rsid w:val="00307282"/>
    <w:rsid w:val="00307581"/>
    <w:rsid w:val="00307800"/>
    <w:rsid w:val="00307DE3"/>
    <w:rsid w:val="00307EE7"/>
    <w:rsid w:val="00307EF8"/>
    <w:rsid w:val="00307FB6"/>
    <w:rsid w:val="00310F51"/>
    <w:rsid w:val="0031121F"/>
    <w:rsid w:val="00311304"/>
    <w:rsid w:val="003114B3"/>
    <w:rsid w:val="00311AEC"/>
    <w:rsid w:val="00312073"/>
    <w:rsid w:val="00312320"/>
    <w:rsid w:val="0031235A"/>
    <w:rsid w:val="00312602"/>
    <w:rsid w:val="00312916"/>
    <w:rsid w:val="00312D05"/>
    <w:rsid w:val="00313432"/>
    <w:rsid w:val="00313587"/>
    <w:rsid w:val="00313AA4"/>
    <w:rsid w:val="00313FF8"/>
    <w:rsid w:val="003140E6"/>
    <w:rsid w:val="00314485"/>
    <w:rsid w:val="003145C4"/>
    <w:rsid w:val="0031528F"/>
    <w:rsid w:val="0031535C"/>
    <w:rsid w:val="00315585"/>
    <w:rsid w:val="00315622"/>
    <w:rsid w:val="00315855"/>
    <w:rsid w:val="00315CFC"/>
    <w:rsid w:val="00315F65"/>
    <w:rsid w:val="0031611A"/>
    <w:rsid w:val="00316274"/>
    <w:rsid w:val="00316EE5"/>
    <w:rsid w:val="00317119"/>
    <w:rsid w:val="00317156"/>
    <w:rsid w:val="00317551"/>
    <w:rsid w:val="00317930"/>
    <w:rsid w:val="00317B60"/>
    <w:rsid w:val="00320BA3"/>
    <w:rsid w:val="00320C71"/>
    <w:rsid w:val="00320D1D"/>
    <w:rsid w:val="00320E0A"/>
    <w:rsid w:val="00321131"/>
    <w:rsid w:val="00321137"/>
    <w:rsid w:val="00321542"/>
    <w:rsid w:val="00321C76"/>
    <w:rsid w:val="00322440"/>
    <w:rsid w:val="003229CA"/>
    <w:rsid w:val="00323063"/>
    <w:rsid w:val="00323283"/>
    <w:rsid w:val="003234E6"/>
    <w:rsid w:val="0032380A"/>
    <w:rsid w:val="00323975"/>
    <w:rsid w:val="00323EDD"/>
    <w:rsid w:val="0032407D"/>
    <w:rsid w:val="0032424B"/>
    <w:rsid w:val="003243D5"/>
    <w:rsid w:val="0032480B"/>
    <w:rsid w:val="00324C65"/>
    <w:rsid w:val="00324E02"/>
    <w:rsid w:val="00325098"/>
    <w:rsid w:val="003251E1"/>
    <w:rsid w:val="0032524E"/>
    <w:rsid w:val="00325A0D"/>
    <w:rsid w:val="00325A65"/>
    <w:rsid w:val="00325B4F"/>
    <w:rsid w:val="00327052"/>
    <w:rsid w:val="0032724E"/>
    <w:rsid w:val="00327485"/>
    <w:rsid w:val="003274B6"/>
    <w:rsid w:val="00327805"/>
    <w:rsid w:val="00327FD3"/>
    <w:rsid w:val="00330504"/>
    <w:rsid w:val="00330CA3"/>
    <w:rsid w:val="00330F50"/>
    <w:rsid w:val="0033135B"/>
    <w:rsid w:val="00331509"/>
    <w:rsid w:val="003316FD"/>
    <w:rsid w:val="003319A8"/>
    <w:rsid w:val="003319CC"/>
    <w:rsid w:val="00331BBB"/>
    <w:rsid w:val="00332131"/>
    <w:rsid w:val="0033220C"/>
    <w:rsid w:val="00332539"/>
    <w:rsid w:val="003327A3"/>
    <w:rsid w:val="00332B70"/>
    <w:rsid w:val="00332CA3"/>
    <w:rsid w:val="00332CF8"/>
    <w:rsid w:val="003331F6"/>
    <w:rsid w:val="003334C5"/>
    <w:rsid w:val="003334C7"/>
    <w:rsid w:val="003335F7"/>
    <w:rsid w:val="003336C5"/>
    <w:rsid w:val="00334389"/>
    <w:rsid w:val="00334614"/>
    <w:rsid w:val="00334747"/>
    <w:rsid w:val="00334955"/>
    <w:rsid w:val="00334A2A"/>
    <w:rsid w:val="00334BEA"/>
    <w:rsid w:val="00334ED7"/>
    <w:rsid w:val="00335A0C"/>
    <w:rsid w:val="00335E10"/>
    <w:rsid w:val="003361FB"/>
    <w:rsid w:val="003363DA"/>
    <w:rsid w:val="0033641F"/>
    <w:rsid w:val="003365F6"/>
    <w:rsid w:val="00336657"/>
    <w:rsid w:val="003367C6"/>
    <w:rsid w:val="003368F1"/>
    <w:rsid w:val="00336A3D"/>
    <w:rsid w:val="00336E26"/>
    <w:rsid w:val="00336F65"/>
    <w:rsid w:val="003370FB"/>
    <w:rsid w:val="003377DC"/>
    <w:rsid w:val="00337989"/>
    <w:rsid w:val="0034065A"/>
    <w:rsid w:val="00340C4D"/>
    <w:rsid w:val="00341DE0"/>
    <w:rsid w:val="003420E0"/>
    <w:rsid w:val="00342173"/>
    <w:rsid w:val="003423CA"/>
    <w:rsid w:val="003428F3"/>
    <w:rsid w:val="00342C49"/>
    <w:rsid w:val="00342C4D"/>
    <w:rsid w:val="00342D06"/>
    <w:rsid w:val="00343135"/>
    <w:rsid w:val="00343B7B"/>
    <w:rsid w:val="00343F42"/>
    <w:rsid w:val="003440FE"/>
    <w:rsid w:val="00344672"/>
    <w:rsid w:val="003446A9"/>
    <w:rsid w:val="00344C80"/>
    <w:rsid w:val="00344D5B"/>
    <w:rsid w:val="00344FFD"/>
    <w:rsid w:val="0034574D"/>
    <w:rsid w:val="003459B8"/>
    <w:rsid w:val="00346372"/>
    <w:rsid w:val="003463A3"/>
    <w:rsid w:val="003465BD"/>
    <w:rsid w:val="003468F1"/>
    <w:rsid w:val="00346F16"/>
    <w:rsid w:val="00346F99"/>
    <w:rsid w:val="0034703F"/>
    <w:rsid w:val="0034750A"/>
    <w:rsid w:val="00347BA8"/>
    <w:rsid w:val="00347F4B"/>
    <w:rsid w:val="00350A2D"/>
    <w:rsid w:val="00350C48"/>
    <w:rsid w:val="003511D3"/>
    <w:rsid w:val="00351B24"/>
    <w:rsid w:val="00351B64"/>
    <w:rsid w:val="00351D0D"/>
    <w:rsid w:val="00351FE8"/>
    <w:rsid w:val="00352130"/>
    <w:rsid w:val="00352289"/>
    <w:rsid w:val="0035243F"/>
    <w:rsid w:val="00352C0A"/>
    <w:rsid w:val="00352C21"/>
    <w:rsid w:val="00352CCE"/>
    <w:rsid w:val="00353573"/>
    <w:rsid w:val="00353707"/>
    <w:rsid w:val="00353C92"/>
    <w:rsid w:val="00353D85"/>
    <w:rsid w:val="00354038"/>
    <w:rsid w:val="0035521C"/>
    <w:rsid w:val="003555CC"/>
    <w:rsid w:val="00355721"/>
    <w:rsid w:val="00355CF2"/>
    <w:rsid w:val="0035604F"/>
    <w:rsid w:val="003561B4"/>
    <w:rsid w:val="00356776"/>
    <w:rsid w:val="003568F6"/>
    <w:rsid w:val="00356F1C"/>
    <w:rsid w:val="003574ED"/>
    <w:rsid w:val="003576A7"/>
    <w:rsid w:val="003576FA"/>
    <w:rsid w:val="00357EB1"/>
    <w:rsid w:val="0036096A"/>
    <w:rsid w:val="00360B61"/>
    <w:rsid w:val="00361287"/>
    <w:rsid w:val="0036141C"/>
    <w:rsid w:val="003617F3"/>
    <w:rsid w:val="00361EB6"/>
    <w:rsid w:val="00361F2F"/>
    <w:rsid w:val="00361FBC"/>
    <w:rsid w:val="00362866"/>
    <w:rsid w:val="003628F9"/>
    <w:rsid w:val="00362D3F"/>
    <w:rsid w:val="00362E3A"/>
    <w:rsid w:val="003630B0"/>
    <w:rsid w:val="00363120"/>
    <w:rsid w:val="003633C4"/>
    <w:rsid w:val="00363763"/>
    <w:rsid w:val="00363A92"/>
    <w:rsid w:val="00363BBC"/>
    <w:rsid w:val="00364154"/>
    <w:rsid w:val="00365B0E"/>
    <w:rsid w:val="00366470"/>
    <w:rsid w:val="0036654F"/>
    <w:rsid w:val="003667C6"/>
    <w:rsid w:val="00366880"/>
    <w:rsid w:val="003669C1"/>
    <w:rsid w:val="003669E5"/>
    <w:rsid w:val="00367137"/>
    <w:rsid w:val="00367673"/>
    <w:rsid w:val="00367B4C"/>
    <w:rsid w:val="00370235"/>
    <w:rsid w:val="00370617"/>
    <w:rsid w:val="00370901"/>
    <w:rsid w:val="003709D8"/>
    <w:rsid w:val="00370D02"/>
    <w:rsid w:val="003714F4"/>
    <w:rsid w:val="00371C1B"/>
    <w:rsid w:val="00371D63"/>
    <w:rsid w:val="00371FE4"/>
    <w:rsid w:val="003724EC"/>
    <w:rsid w:val="0037309C"/>
    <w:rsid w:val="00373317"/>
    <w:rsid w:val="0037377A"/>
    <w:rsid w:val="00373853"/>
    <w:rsid w:val="00373994"/>
    <w:rsid w:val="00373D12"/>
    <w:rsid w:val="00374104"/>
    <w:rsid w:val="00374140"/>
    <w:rsid w:val="00374298"/>
    <w:rsid w:val="0037511C"/>
    <w:rsid w:val="003751ED"/>
    <w:rsid w:val="003752C3"/>
    <w:rsid w:val="003752DA"/>
    <w:rsid w:val="003752E2"/>
    <w:rsid w:val="00375EF5"/>
    <w:rsid w:val="0037615F"/>
    <w:rsid w:val="0037631B"/>
    <w:rsid w:val="003765AD"/>
    <w:rsid w:val="0037697B"/>
    <w:rsid w:val="00376B17"/>
    <w:rsid w:val="00376EB2"/>
    <w:rsid w:val="00377171"/>
    <w:rsid w:val="003774FF"/>
    <w:rsid w:val="0037763B"/>
    <w:rsid w:val="003776A7"/>
    <w:rsid w:val="00377A51"/>
    <w:rsid w:val="00377E6C"/>
    <w:rsid w:val="003807EF"/>
    <w:rsid w:val="00380901"/>
    <w:rsid w:val="00380984"/>
    <w:rsid w:val="00380A99"/>
    <w:rsid w:val="00380BA7"/>
    <w:rsid w:val="00380C68"/>
    <w:rsid w:val="003810BB"/>
    <w:rsid w:val="0038125D"/>
    <w:rsid w:val="00381327"/>
    <w:rsid w:val="0038154E"/>
    <w:rsid w:val="00381D36"/>
    <w:rsid w:val="00382150"/>
    <w:rsid w:val="00382E58"/>
    <w:rsid w:val="00382FB9"/>
    <w:rsid w:val="0038300B"/>
    <w:rsid w:val="0038327D"/>
    <w:rsid w:val="00383292"/>
    <w:rsid w:val="003832A8"/>
    <w:rsid w:val="003833EC"/>
    <w:rsid w:val="003836AB"/>
    <w:rsid w:val="00383766"/>
    <w:rsid w:val="00383D60"/>
    <w:rsid w:val="0038434D"/>
    <w:rsid w:val="003845A7"/>
    <w:rsid w:val="003857BF"/>
    <w:rsid w:val="003857CF"/>
    <w:rsid w:val="00385DC0"/>
    <w:rsid w:val="003866A9"/>
    <w:rsid w:val="003868F9"/>
    <w:rsid w:val="00386AB5"/>
    <w:rsid w:val="00386DE5"/>
    <w:rsid w:val="003870F1"/>
    <w:rsid w:val="00387B23"/>
    <w:rsid w:val="00387D16"/>
    <w:rsid w:val="003901B7"/>
    <w:rsid w:val="003907CF"/>
    <w:rsid w:val="00390F45"/>
    <w:rsid w:val="00391137"/>
    <w:rsid w:val="00391247"/>
    <w:rsid w:val="00391316"/>
    <w:rsid w:val="00391DD9"/>
    <w:rsid w:val="00391E78"/>
    <w:rsid w:val="00391F27"/>
    <w:rsid w:val="003920B2"/>
    <w:rsid w:val="0039222B"/>
    <w:rsid w:val="003923AB"/>
    <w:rsid w:val="00392A30"/>
    <w:rsid w:val="00392E40"/>
    <w:rsid w:val="0039318E"/>
    <w:rsid w:val="00393564"/>
    <w:rsid w:val="003936CD"/>
    <w:rsid w:val="003938BA"/>
    <w:rsid w:val="00393D5E"/>
    <w:rsid w:val="00393EA9"/>
    <w:rsid w:val="00393F24"/>
    <w:rsid w:val="00394109"/>
    <w:rsid w:val="00394651"/>
    <w:rsid w:val="00394723"/>
    <w:rsid w:val="003947B8"/>
    <w:rsid w:val="00395135"/>
    <w:rsid w:val="00395181"/>
    <w:rsid w:val="003960AD"/>
    <w:rsid w:val="003963F7"/>
    <w:rsid w:val="003964CC"/>
    <w:rsid w:val="00396652"/>
    <w:rsid w:val="0039686E"/>
    <w:rsid w:val="003971A4"/>
    <w:rsid w:val="00397205"/>
    <w:rsid w:val="003973A1"/>
    <w:rsid w:val="00397636"/>
    <w:rsid w:val="00397703"/>
    <w:rsid w:val="00397E67"/>
    <w:rsid w:val="00397EC6"/>
    <w:rsid w:val="00397F27"/>
    <w:rsid w:val="003A01DA"/>
    <w:rsid w:val="003A0227"/>
    <w:rsid w:val="003A024F"/>
    <w:rsid w:val="003A02D7"/>
    <w:rsid w:val="003A036C"/>
    <w:rsid w:val="003A054A"/>
    <w:rsid w:val="003A07AC"/>
    <w:rsid w:val="003A0F29"/>
    <w:rsid w:val="003A13C5"/>
    <w:rsid w:val="003A17B0"/>
    <w:rsid w:val="003A1906"/>
    <w:rsid w:val="003A1F80"/>
    <w:rsid w:val="003A295A"/>
    <w:rsid w:val="003A2BFD"/>
    <w:rsid w:val="003A37BF"/>
    <w:rsid w:val="003A3AE7"/>
    <w:rsid w:val="003A3E89"/>
    <w:rsid w:val="003A3F14"/>
    <w:rsid w:val="003A444D"/>
    <w:rsid w:val="003A4505"/>
    <w:rsid w:val="003A48D3"/>
    <w:rsid w:val="003A496B"/>
    <w:rsid w:val="003A5185"/>
    <w:rsid w:val="003A5365"/>
    <w:rsid w:val="003A546D"/>
    <w:rsid w:val="003A561C"/>
    <w:rsid w:val="003A583B"/>
    <w:rsid w:val="003A634F"/>
    <w:rsid w:val="003A64FA"/>
    <w:rsid w:val="003A758D"/>
    <w:rsid w:val="003A764A"/>
    <w:rsid w:val="003A7910"/>
    <w:rsid w:val="003A7954"/>
    <w:rsid w:val="003A79F1"/>
    <w:rsid w:val="003A7D28"/>
    <w:rsid w:val="003A7D9F"/>
    <w:rsid w:val="003B0339"/>
    <w:rsid w:val="003B0406"/>
    <w:rsid w:val="003B0533"/>
    <w:rsid w:val="003B061E"/>
    <w:rsid w:val="003B06BF"/>
    <w:rsid w:val="003B0724"/>
    <w:rsid w:val="003B0C7D"/>
    <w:rsid w:val="003B0CE7"/>
    <w:rsid w:val="003B12B7"/>
    <w:rsid w:val="003B148C"/>
    <w:rsid w:val="003B1D04"/>
    <w:rsid w:val="003B2829"/>
    <w:rsid w:val="003B28B9"/>
    <w:rsid w:val="003B2E3A"/>
    <w:rsid w:val="003B302D"/>
    <w:rsid w:val="003B32F7"/>
    <w:rsid w:val="003B342C"/>
    <w:rsid w:val="003B3E59"/>
    <w:rsid w:val="003B4109"/>
    <w:rsid w:val="003B430A"/>
    <w:rsid w:val="003B47C2"/>
    <w:rsid w:val="003B482F"/>
    <w:rsid w:val="003B4BE8"/>
    <w:rsid w:val="003B4DF4"/>
    <w:rsid w:val="003B4E07"/>
    <w:rsid w:val="003B5119"/>
    <w:rsid w:val="003B5ACD"/>
    <w:rsid w:val="003B5AD3"/>
    <w:rsid w:val="003B5B23"/>
    <w:rsid w:val="003B5FA4"/>
    <w:rsid w:val="003B605B"/>
    <w:rsid w:val="003B6091"/>
    <w:rsid w:val="003B60CD"/>
    <w:rsid w:val="003B6539"/>
    <w:rsid w:val="003B735C"/>
    <w:rsid w:val="003B7430"/>
    <w:rsid w:val="003B7C71"/>
    <w:rsid w:val="003B7EC7"/>
    <w:rsid w:val="003C0482"/>
    <w:rsid w:val="003C04CA"/>
    <w:rsid w:val="003C05CC"/>
    <w:rsid w:val="003C064E"/>
    <w:rsid w:val="003C091E"/>
    <w:rsid w:val="003C09E7"/>
    <w:rsid w:val="003C0BD2"/>
    <w:rsid w:val="003C0BED"/>
    <w:rsid w:val="003C0D84"/>
    <w:rsid w:val="003C0E71"/>
    <w:rsid w:val="003C16C4"/>
    <w:rsid w:val="003C18AD"/>
    <w:rsid w:val="003C20D3"/>
    <w:rsid w:val="003C217F"/>
    <w:rsid w:val="003C2217"/>
    <w:rsid w:val="003C22EE"/>
    <w:rsid w:val="003C2AA7"/>
    <w:rsid w:val="003C2BA6"/>
    <w:rsid w:val="003C2E9B"/>
    <w:rsid w:val="003C32F1"/>
    <w:rsid w:val="003C3368"/>
    <w:rsid w:val="003C365D"/>
    <w:rsid w:val="003C3A14"/>
    <w:rsid w:val="003C3BC2"/>
    <w:rsid w:val="003C3C33"/>
    <w:rsid w:val="003C3F27"/>
    <w:rsid w:val="003C404F"/>
    <w:rsid w:val="003C474B"/>
    <w:rsid w:val="003C4FAA"/>
    <w:rsid w:val="003C5099"/>
    <w:rsid w:val="003C580F"/>
    <w:rsid w:val="003C5AF6"/>
    <w:rsid w:val="003C5EB6"/>
    <w:rsid w:val="003C60F6"/>
    <w:rsid w:val="003C62D6"/>
    <w:rsid w:val="003C673F"/>
    <w:rsid w:val="003C6B7E"/>
    <w:rsid w:val="003C71FE"/>
    <w:rsid w:val="003C744C"/>
    <w:rsid w:val="003C75E1"/>
    <w:rsid w:val="003C7637"/>
    <w:rsid w:val="003C7B87"/>
    <w:rsid w:val="003D0360"/>
    <w:rsid w:val="003D0CA7"/>
    <w:rsid w:val="003D1288"/>
    <w:rsid w:val="003D12AE"/>
    <w:rsid w:val="003D142B"/>
    <w:rsid w:val="003D15FC"/>
    <w:rsid w:val="003D186C"/>
    <w:rsid w:val="003D1881"/>
    <w:rsid w:val="003D197D"/>
    <w:rsid w:val="003D1D55"/>
    <w:rsid w:val="003D1E04"/>
    <w:rsid w:val="003D25C4"/>
    <w:rsid w:val="003D2889"/>
    <w:rsid w:val="003D2C4D"/>
    <w:rsid w:val="003D2FF4"/>
    <w:rsid w:val="003D3447"/>
    <w:rsid w:val="003D3468"/>
    <w:rsid w:val="003D3695"/>
    <w:rsid w:val="003D3B10"/>
    <w:rsid w:val="003D3D7B"/>
    <w:rsid w:val="003D3F0D"/>
    <w:rsid w:val="003D4055"/>
    <w:rsid w:val="003D4483"/>
    <w:rsid w:val="003D4C15"/>
    <w:rsid w:val="003D4DC8"/>
    <w:rsid w:val="003D545B"/>
    <w:rsid w:val="003D54F0"/>
    <w:rsid w:val="003D5A45"/>
    <w:rsid w:val="003D5EA3"/>
    <w:rsid w:val="003D6113"/>
    <w:rsid w:val="003D6245"/>
    <w:rsid w:val="003D6A16"/>
    <w:rsid w:val="003D71A2"/>
    <w:rsid w:val="003D75A3"/>
    <w:rsid w:val="003D76D7"/>
    <w:rsid w:val="003D7BB0"/>
    <w:rsid w:val="003D7CF4"/>
    <w:rsid w:val="003D7ECF"/>
    <w:rsid w:val="003D7EE9"/>
    <w:rsid w:val="003E01A1"/>
    <w:rsid w:val="003E0B36"/>
    <w:rsid w:val="003E1177"/>
    <w:rsid w:val="003E17AC"/>
    <w:rsid w:val="003E1E9A"/>
    <w:rsid w:val="003E22D4"/>
    <w:rsid w:val="003E24BD"/>
    <w:rsid w:val="003E2C4B"/>
    <w:rsid w:val="003E313F"/>
    <w:rsid w:val="003E35F3"/>
    <w:rsid w:val="003E3643"/>
    <w:rsid w:val="003E39B4"/>
    <w:rsid w:val="003E39F6"/>
    <w:rsid w:val="003E3E59"/>
    <w:rsid w:val="003E4332"/>
    <w:rsid w:val="003E4CE8"/>
    <w:rsid w:val="003E4FE6"/>
    <w:rsid w:val="003E514F"/>
    <w:rsid w:val="003E5442"/>
    <w:rsid w:val="003E56C2"/>
    <w:rsid w:val="003E5AAB"/>
    <w:rsid w:val="003E6066"/>
    <w:rsid w:val="003E60CA"/>
    <w:rsid w:val="003E6458"/>
    <w:rsid w:val="003E690B"/>
    <w:rsid w:val="003E6917"/>
    <w:rsid w:val="003E6CA0"/>
    <w:rsid w:val="003E724B"/>
    <w:rsid w:val="003E7618"/>
    <w:rsid w:val="003E7A5D"/>
    <w:rsid w:val="003E7D5A"/>
    <w:rsid w:val="003E7D6F"/>
    <w:rsid w:val="003F0214"/>
    <w:rsid w:val="003F05D4"/>
    <w:rsid w:val="003F0989"/>
    <w:rsid w:val="003F13AC"/>
    <w:rsid w:val="003F168A"/>
    <w:rsid w:val="003F183B"/>
    <w:rsid w:val="003F1886"/>
    <w:rsid w:val="003F19DB"/>
    <w:rsid w:val="003F1C29"/>
    <w:rsid w:val="003F2057"/>
    <w:rsid w:val="003F2934"/>
    <w:rsid w:val="003F2EDD"/>
    <w:rsid w:val="003F35E1"/>
    <w:rsid w:val="003F36B9"/>
    <w:rsid w:val="003F385A"/>
    <w:rsid w:val="003F3912"/>
    <w:rsid w:val="003F3FEA"/>
    <w:rsid w:val="003F43F7"/>
    <w:rsid w:val="003F44F5"/>
    <w:rsid w:val="003F4DE2"/>
    <w:rsid w:val="003F4E79"/>
    <w:rsid w:val="003F524E"/>
    <w:rsid w:val="003F5644"/>
    <w:rsid w:val="003F5720"/>
    <w:rsid w:val="003F58EA"/>
    <w:rsid w:val="003F5AAB"/>
    <w:rsid w:val="003F5B16"/>
    <w:rsid w:val="003F5C95"/>
    <w:rsid w:val="003F635B"/>
    <w:rsid w:val="003F6842"/>
    <w:rsid w:val="003F6B4D"/>
    <w:rsid w:val="003F6BAF"/>
    <w:rsid w:val="003F6E4F"/>
    <w:rsid w:val="003F733C"/>
    <w:rsid w:val="003F7913"/>
    <w:rsid w:val="003F7B68"/>
    <w:rsid w:val="003F7E66"/>
    <w:rsid w:val="0040007E"/>
    <w:rsid w:val="004002A8"/>
    <w:rsid w:val="00400329"/>
    <w:rsid w:val="00400760"/>
    <w:rsid w:val="00400A90"/>
    <w:rsid w:val="0040102D"/>
    <w:rsid w:val="004010B3"/>
    <w:rsid w:val="00401465"/>
    <w:rsid w:val="00401B5D"/>
    <w:rsid w:val="00401E9C"/>
    <w:rsid w:val="004026A4"/>
    <w:rsid w:val="00402AAA"/>
    <w:rsid w:val="00402F90"/>
    <w:rsid w:val="00404629"/>
    <w:rsid w:val="00404F28"/>
    <w:rsid w:val="00405163"/>
    <w:rsid w:val="004051C9"/>
    <w:rsid w:val="0040572F"/>
    <w:rsid w:val="00405904"/>
    <w:rsid w:val="00405BA7"/>
    <w:rsid w:val="00405BAA"/>
    <w:rsid w:val="004061D0"/>
    <w:rsid w:val="004062FF"/>
    <w:rsid w:val="0040631B"/>
    <w:rsid w:val="00406554"/>
    <w:rsid w:val="004066D2"/>
    <w:rsid w:val="00406711"/>
    <w:rsid w:val="004067C4"/>
    <w:rsid w:val="004068A4"/>
    <w:rsid w:val="00406C2B"/>
    <w:rsid w:val="00406E30"/>
    <w:rsid w:val="004070C5"/>
    <w:rsid w:val="004070DD"/>
    <w:rsid w:val="004072DB"/>
    <w:rsid w:val="0040753A"/>
    <w:rsid w:val="0040757B"/>
    <w:rsid w:val="004077EE"/>
    <w:rsid w:val="00407823"/>
    <w:rsid w:val="00407C9B"/>
    <w:rsid w:val="00407F96"/>
    <w:rsid w:val="00410270"/>
    <w:rsid w:val="00410504"/>
    <w:rsid w:val="00410901"/>
    <w:rsid w:val="00410A0F"/>
    <w:rsid w:val="00410BB0"/>
    <w:rsid w:val="00410E71"/>
    <w:rsid w:val="004111FA"/>
    <w:rsid w:val="004113E2"/>
    <w:rsid w:val="00412245"/>
    <w:rsid w:val="004122D4"/>
    <w:rsid w:val="00412566"/>
    <w:rsid w:val="0041287F"/>
    <w:rsid w:val="00412DE8"/>
    <w:rsid w:val="00413316"/>
    <w:rsid w:val="004133CE"/>
    <w:rsid w:val="004134DF"/>
    <w:rsid w:val="0041360B"/>
    <w:rsid w:val="004136A4"/>
    <w:rsid w:val="00413804"/>
    <w:rsid w:val="004138B6"/>
    <w:rsid w:val="00413B73"/>
    <w:rsid w:val="00413C7D"/>
    <w:rsid w:val="00413F31"/>
    <w:rsid w:val="00413FC3"/>
    <w:rsid w:val="00414127"/>
    <w:rsid w:val="0041469A"/>
    <w:rsid w:val="004148BA"/>
    <w:rsid w:val="0041497A"/>
    <w:rsid w:val="00414BF7"/>
    <w:rsid w:val="004153A7"/>
    <w:rsid w:val="00415A79"/>
    <w:rsid w:val="00415C01"/>
    <w:rsid w:val="00415E59"/>
    <w:rsid w:val="00415FBA"/>
    <w:rsid w:val="00416016"/>
    <w:rsid w:val="004162D7"/>
    <w:rsid w:val="004166A0"/>
    <w:rsid w:val="0041692C"/>
    <w:rsid w:val="00416A93"/>
    <w:rsid w:val="00416BD8"/>
    <w:rsid w:val="00416C52"/>
    <w:rsid w:val="00417513"/>
    <w:rsid w:val="0041797C"/>
    <w:rsid w:val="004179D0"/>
    <w:rsid w:val="00417A6D"/>
    <w:rsid w:val="00417B1B"/>
    <w:rsid w:val="004200B0"/>
    <w:rsid w:val="00420664"/>
    <w:rsid w:val="00420711"/>
    <w:rsid w:val="00420913"/>
    <w:rsid w:val="00420B15"/>
    <w:rsid w:val="00420C24"/>
    <w:rsid w:val="00420DCE"/>
    <w:rsid w:val="004212F0"/>
    <w:rsid w:val="0042191F"/>
    <w:rsid w:val="00421C98"/>
    <w:rsid w:val="00421F78"/>
    <w:rsid w:val="0042225A"/>
    <w:rsid w:val="00422267"/>
    <w:rsid w:val="0042227F"/>
    <w:rsid w:val="004222C8"/>
    <w:rsid w:val="004223B6"/>
    <w:rsid w:val="004226B9"/>
    <w:rsid w:val="0042297C"/>
    <w:rsid w:val="00422E51"/>
    <w:rsid w:val="0042317C"/>
    <w:rsid w:val="00423925"/>
    <w:rsid w:val="00423A05"/>
    <w:rsid w:val="00423F52"/>
    <w:rsid w:val="00423FEB"/>
    <w:rsid w:val="004247E0"/>
    <w:rsid w:val="0042499A"/>
    <w:rsid w:val="004249CF"/>
    <w:rsid w:val="00425806"/>
    <w:rsid w:val="00425BE0"/>
    <w:rsid w:val="00425CF9"/>
    <w:rsid w:val="00425DD7"/>
    <w:rsid w:val="00425FB8"/>
    <w:rsid w:val="00425FF4"/>
    <w:rsid w:val="0042629F"/>
    <w:rsid w:val="00426930"/>
    <w:rsid w:val="004269D5"/>
    <w:rsid w:val="00426AD5"/>
    <w:rsid w:val="0042706D"/>
    <w:rsid w:val="004270FD"/>
    <w:rsid w:val="004271D5"/>
    <w:rsid w:val="00427261"/>
    <w:rsid w:val="004272B9"/>
    <w:rsid w:val="00427301"/>
    <w:rsid w:val="004273F5"/>
    <w:rsid w:val="004275F1"/>
    <w:rsid w:val="004277BC"/>
    <w:rsid w:val="00430A92"/>
    <w:rsid w:val="00430AF9"/>
    <w:rsid w:val="00431066"/>
    <w:rsid w:val="004313EF"/>
    <w:rsid w:val="00431644"/>
    <w:rsid w:val="0043185B"/>
    <w:rsid w:val="00431E61"/>
    <w:rsid w:val="00431F16"/>
    <w:rsid w:val="00431FD5"/>
    <w:rsid w:val="00432296"/>
    <w:rsid w:val="00432B14"/>
    <w:rsid w:val="004330F3"/>
    <w:rsid w:val="004330F9"/>
    <w:rsid w:val="004332A2"/>
    <w:rsid w:val="004335DE"/>
    <w:rsid w:val="0043383B"/>
    <w:rsid w:val="0043384A"/>
    <w:rsid w:val="00433978"/>
    <w:rsid w:val="004339B7"/>
    <w:rsid w:val="00433C3F"/>
    <w:rsid w:val="00433CB8"/>
    <w:rsid w:val="00433CC4"/>
    <w:rsid w:val="00433EF9"/>
    <w:rsid w:val="00433F44"/>
    <w:rsid w:val="00433F6B"/>
    <w:rsid w:val="004344CC"/>
    <w:rsid w:val="00434636"/>
    <w:rsid w:val="0043497B"/>
    <w:rsid w:val="00434B0F"/>
    <w:rsid w:val="00434B87"/>
    <w:rsid w:val="004352E0"/>
    <w:rsid w:val="0043533B"/>
    <w:rsid w:val="004353BF"/>
    <w:rsid w:val="004356E2"/>
    <w:rsid w:val="00435B99"/>
    <w:rsid w:val="00435BBB"/>
    <w:rsid w:val="00435D9E"/>
    <w:rsid w:val="00435FCE"/>
    <w:rsid w:val="00436000"/>
    <w:rsid w:val="004361BB"/>
    <w:rsid w:val="00436BD5"/>
    <w:rsid w:val="004373A7"/>
    <w:rsid w:val="004374CC"/>
    <w:rsid w:val="00437960"/>
    <w:rsid w:val="00437972"/>
    <w:rsid w:val="00437A5E"/>
    <w:rsid w:val="00437B50"/>
    <w:rsid w:val="004400F1"/>
    <w:rsid w:val="0044019A"/>
    <w:rsid w:val="004403B8"/>
    <w:rsid w:val="00440734"/>
    <w:rsid w:val="00440870"/>
    <w:rsid w:val="00440D07"/>
    <w:rsid w:val="00440E22"/>
    <w:rsid w:val="00441569"/>
    <w:rsid w:val="004422DF"/>
    <w:rsid w:val="004425E9"/>
    <w:rsid w:val="00442603"/>
    <w:rsid w:val="00442D95"/>
    <w:rsid w:val="00442FB4"/>
    <w:rsid w:val="004430B1"/>
    <w:rsid w:val="00443170"/>
    <w:rsid w:val="00443310"/>
    <w:rsid w:val="004452B8"/>
    <w:rsid w:val="00445CA0"/>
    <w:rsid w:val="00446176"/>
    <w:rsid w:val="004462C5"/>
    <w:rsid w:val="004464A2"/>
    <w:rsid w:val="00447027"/>
    <w:rsid w:val="0044720F"/>
    <w:rsid w:val="00447B4A"/>
    <w:rsid w:val="00447B50"/>
    <w:rsid w:val="00447BD5"/>
    <w:rsid w:val="0045004D"/>
    <w:rsid w:val="00450BFC"/>
    <w:rsid w:val="00450E1B"/>
    <w:rsid w:val="004512D8"/>
    <w:rsid w:val="00451413"/>
    <w:rsid w:val="00451487"/>
    <w:rsid w:val="0045153F"/>
    <w:rsid w:val="0045178A"/>
    <w:rsid w:val="00451BCA"/>
    <w:rsid w:val="00451D03"/>
    <w:rsid w:val="00451DFE"/>
    <w:rsid w:val="00452268"/>
    <w:rsid w:val="0045280D"/>
    <w:rsid w:val="00452BD3"/>
    <w:rsid w:val="00452C60"/>
    <w:rsid w:val="00452CF7"/>
    <w:rsid w:val="00452E0B"/>
    <w:rsid w:val="00453384"/>
    <w:rsid w:val="00453663"/>
    <w:rsid w:val="004538BB"/>
    <w:rsid w:val="00453F26"/>
    <w:rsid w:val="0045400B"/>
    <w:rsid w:val="0045406B"/>
    <w:rsid w:val="0045426D"/>
    <w:rsid w:val="00454468"/>
    <w:rsid w:val="00454491"/>
    <w:rsid w:val="004550C4"/>
    <w:rsid w:val="0045510B"/>
    <w:rsid w:val="00455290"/>
    <w:rsid w:val="004556CC"/>
    <w:rsid w:val="0045598B"/>
    <w:rsid w:val="00455AAE"/>
    <w:rsid w:val="00455BCE"/>
    <w:rsid w:val="00456EF8"/>
    <w:rsid w:val="0045701C"/>
    <w:rsid w:val="0045714E"/>
    <w:rsid w:val="0045724E"/>
    <w:rsid w:val="00457316"/>
    <w:rsid w:val="00457409"/>
    <w:rsid w:val="004575A6"/>
    <w:rsid w:val="004576B7"/>
    <w:rsid w:val="004578A8"/>
    <w:rsid w:val="00457E4C"/>
    <w:rsid w:val="00460432"/>
    <w:rsid w:val="00460C53"/>
    <w:rsid w:val="00461293"/>
    <w:rsid w:val="004613ED"/>
    <w:rsid w:val="004614C6"/>
    <w:rsid w:val="004615D2"/>
    <w:rsid w:val="004617F7"/>
    <w:rsid w:val="00461CE0"/>
    <w:rsid w:val="004623BF"/>
    <w:rsid w:val="00462416"/>
    <w:rsid w:val="0046253B"/>
    <w:rsid w:val="00462793"/>
    <w:rsid w:val="004627AB"/>
    <w:rsid w:val="0046283F"/>
    <w:rsid w:val="00462A7C"/>
    <w:rsid w:val="00462F2F"/>
    <w:rsid w:val="004631BC"/>
    <w:rsid w:val="00463645"/>
    <w:rsid w:val="00463BC7"/>
    <w:rsid w:val="00463E97"/>
    <w:rsid w:val="004642DD"/>
    <w:rsid w:val="004649D9"/>
    <w:rsid w:val="00464D36"/>
    <w:rsid w:val="00464EF2"/>
    <w:rsid w:val="004650BD"/>
    <w:rsid w:val="004652D7"/>
    <w:rsid w:val="00465713"/>
    <w:rsid w:val="004659BD"/>
    <w:rsid w:val="00465B76"/>
    <w:rsid w:val="00465F2A"/>
    <w:rsid w:val="0046684C"/>
    <w:rsid w:val="004668C7"/>
    <w:rsid w:val="00466A37"/>
    <w:rsid w:val="00466E27"/>
    <w:rsid w:val="00466F52"/>
    <w:rsid w:val="004674B9"/>
    <w:rsid w:val="00467962"/>
    <w:rsid w:val="004679E7"/>
    <w:rsid w:val="00467F31"/>
    <w:rsid w:val="00467FA5"/>
    <w:rsid w:val="004700D7"/>
    <w:rsid w:val="00470BB9"/>
    <w:rsid w:val="00471473"/>
    <w:rsid w:val="0047188C"/>
    <w:rsid w:val="00471D90"/>
    <w:rsid w:val="00472154"/>
    <w:rsid w:val="004724AE"/>
    <w:rsid w:val="004725F4"/>
    <w:rsid w:val="0047291F"/>
    <w:rsid w:val="00472D29"/>
    <w:rsid w:val="00473799"/>
    <w:rsid w:val="00473915"/>
    <w:rsid w:val="00473F5E"/>
    <w:rsid w:val="0047415C"/>
    <w:rsid w:val="004741FF"/>
    <w:rsid w:val="0047431D"/>
    <w:rsid w:val="00474492"/>
    <w:rsid w:val="00474924"/>
    <w:rsid w:val="004749BC"/>
    <w:rsid w:val="00474AB4"/>
    <w:rsid w:val="00474C65"/>
    <w:rsid w:val="00475575"/>
    <w:rsid w:val="00475DC7"/>
    <w:rsid w:val="00475E7F"/>
    <w:rsid w:val="00475E92"/>
    <w:rsid w:val="004768D3"/>
    <w:rsid w:val="00476D9E"/>
    <w:rsid w:val="004775B8"/>
    <w:rsid w:val="004778C7"/>
    <w:rsid w:val="00477A42"/>
    <w:rsid w:val="00477FBE"/>
    <w:rsid w:val="0048018C"/>
    <w:rsid w:val="0048066C"/>
    <w:rsid w:val="0048072C"/>
    <w:rsid w:val="0048075A"/>
    <w:rsid w:val="0048087A"/>
    <w:rsid w:val="00480DA7"/>
    <w:rsid w:val="00480FBE"/>
    <w:rsid w:val="00481178"/>
    <w:rsid w:val="0048154D"/>
    <w:rsid w:val="0048157D"/>
    <w:rsid w:val="0048179C"/>
    <w:rsid w:val="00481A57"/>
    <w:rsid w:val="00481E8F"/>
    <w:rsid w:val="00481F1E"/>
    <w:rsid w:val="0048244C"/>
    <w:rsid w:val="004825B9"/>
    <w:rsid w:val="00482A70"/>
    <w:rsid w:val="004831D6"/>
    <w:rsid w:val="0048328C"/>
    <w:rsid w:val="00483326"/>
    <w:rsid w:val="004834A7"/>
    <w:rsid w:val="00483A51"/>
    <w:rsid w:val="00483B71"/>
    <w:rsid w:val="00483D92"/>
    <w:rsid w:val="00483FCE"/>
    <w:rsid w:val="0048408A"/>
    <w:rsid w:val="004841DC"/>
    <w:rsid w:val="004842EB"/>
    <w:rsid w:val="00484746"/>
    <w:rsid w:val="00484BEA"/>
    <w:rsid w:val="004853BE"/>
    <w:rsid w:val="0048552D"/>
    <w:rsid w:val="00485533"/>
    <w:rsid w:val="0048558F"/>
    <w:rsid w:val="00485D2C"/>
    <w:rsid w:val="00485DBF"/>
    <w:rsid w:val="0048677F"/>
    <w:rsid w:val="00486AF4"/>
    <w:rsid w:val="00486B9D"/>
    <w:rsid w:val="00487851"/>
    <w:rsid w:val="004879B6"/>
    <w:rsid w:val="00487EC0"/>
    <w:rsid w:val="00487EC7"/>
    <w:rsid w:val="00490B59"/>
    <w:rsid w:val="00490F9B"/>
    <w:rsid w:val="004912C0"/>
    <w:rsid w:val="00491465"/>
    <w:rsid w:val="0049158A"/>
    <w:rsid w:val="0049165E"/>
    <w:rsid w:val="00491A11"/>
    <w:rsid w:val="004922A5"/>
    <w:rsid w:val="004925EC"/>
    <w:rsid w:val="00492C0D"/>
    <w:rsid w:val="00492CD9"/>
    <w:rsid w:val="00492D3B"/>
    <w:rsid w:val="00492DEC"/>
    <w:rsid w:val="004932F0"/>
    <w:rsid w:val="004938BB"/>
    <w:rsid w:val="00493A14"/>
    <w:rsid w:val="00494020"/>
    <w:rsid w:val="0049412F"/>
    <w:rsid w:val="00494637"/>
    <w:rsid w:val="0049473E"/>
    <w:rsid w:val="0049493E"/>
    <w:rsid w:val="00494987"/>
    <w:rsid w:val="0049527E"/>
    <w:rsid w:val="00495368"/>
    <w:rsid w:val="004953C6"/>
    <w:rsid w:val="004956B2"/>
    <w:rsid w:val="0049587E"/>
    <w:rsid w:val="00495986"/>
    <w:rsid w:val="00495C08"/>
    <w:rsid w:val="00496446"/>
    <w:rsid w:val="00496465"/>
    <w:rsid w:val="0049671B"/>
    <w:rsid w:val="00496982"/>
    <w:rsid w:val="00496C3E"/>
    <w:rsid w:val="00497A05"/>
    <w:rsid w:val="004A0717"/>
    <w:rsid w:val="004A07E7"/>
    <w:rsid w:val="004A0A89"/>
    <w:rsid w:val="004A0D32"/>
    <w:rsid w:val="004A0E8E"/>
    <w:rsid w:val="004A112D"/>
    <w:rsid w:val="004A142F"/>
    <w:rsid w:val="004A200E"/>
    <w:rsid w:val="004A2164"/>
    <w:rsid w:val="004A2515"/>
    <w:rsid w:val="004A2A0D"/>
    <w:rsid w:val="004A2B54"/>
    <w:rsid w:val="004A2E41"/>
    <w:rsid w:val="004A2FA2"/>
    <w:rsid w:val="004A30FA"/>
    <w:rsid w:val="004A324F"/>
    <w:rsid w:val="004A34D1"/>
    <w:rsid w:val="004A3B08"/>
    <w:rsid w:val="004A43E6"/>
    <w:rsid w:val="004A4599"/>
    <w:rsid w:val="004A5164"/>
    <w:rsid w:val="004A5391"/>
    <w:rsid w:val="004A5619"/>
    <w:rsid w:val="004A5671"/>
    <w:rsid w:val="004A5897"/>
    <w:rsid w:val="004A592B"/>
    <w:rsid w:val="004A593E"/>
    <w:rsid w:val="004A5B99"/>
    <w:rsid w:val="004A60A0"/>
    <w:rsid w:val="004A650C"/>
    <w:rsid w:val="004A660C"/>
    <w:rsid w:val="004A67BF"/>
    <w:rsid w:val="004A69C8"/>
    <w:rsid w:val="004A6C72"/>
    <w:rsid w:val="004A6C97"/>
    <w:rsid w:val="004A6DFD"/>
    <w:rsid w:val="004A75E4"/>
    <w:rsid w:val="004A7790"/>
    <w:rsid w:val="004A7C2D"/>
    <w:rsid w:val="004A7F29"/>
    <w:rsid w:val="004B0796"/>
    <w:rsid w:val="004B09F7"/>
    <w:rsid w:val="004B0E07"/>
    <w:rsid w:val="004B10EC"/>
    <w:rsid w:val="004B141F"/>
    <w:rsid w:val="004B1491"/>
    <w:rsid w:val="004B1567"/>
    <w:rsid w:val="004B16BA"/>
    <w:rsid w:val="004B16EC"/>
    <w:rsid w:val="004B1E8C"/>
    <w:rsid w:val="004B1F0A"/>
    <w:rsid w:val="004B25F1"/>
    <w:rsid w:val="004B2F17"/>
    <w:rsid w:val="004B360A"/>
    <w:rsid w:val="004B386B"/>
    <w:rsid w:val="004B38F4"/>
    <w:rsid w:val="004B3987"/>
    <w:rsid w:val="004B3A9B"/>
    <w:rsid w:val="004B3C6B"/>
    <w:rsid w:val="004B44C5"/>
    <w:rsid w:val="004B4873"/>
    <w:rsid w:val="004B498F"/>
    <w:rsid w:val="004B4B80"/>
    <w:rsid w:val="004B55DC"/>
    <w:rsid w:val="004B6BAC"/>
    <w:rsid w:val="004B76D5"/>
    <w:rsid w:val="004B782F"/>
    <w:rsid w:val="004B79DC"/>
    <w:rsid w:val="004B7FA5"/>
    <w:rsid w:val="004C0479"/>
    <w:rsid w:val="004C08E5"/>
    <w:rsid w:val="004C09EC"/>
    <w:rsid w:val="004C0A38"/>
    <w:rsid w:val="004C12BA"/>
    <w:rsid w:val="004C1AD1"/>
    <w:rsid w:val="004C1DBC"/>
    <w:rsid w:val="004C1F2E"/>
    <w:rsid w:val="004C20B0"/>
    <w:rsid w:val="004C2591"/>
    <w:rsid w:val="004C37A0"/>
    <w:rsid w:val="004C37B2"/>
    <w:rsid w:val="004C3850"/>
    <w:rsid w:val="004C3ACD"/>
    <w:rsid w:val="004C3C46"/>
    <w:rsid w:val="004C402B"/>
    <w:rsid w:val="004C417C"/>
    <w:rsid w:val="004C4291"/>
    <w:rsid w:val="004C49D5"/>
    <w:rsid w:val="004C5315"/>
    <w:rsid w:val="004C577C"/>
    <w:rsid w:val="004C581E"/>
    <w:rsid w:val="004C5CEB"/>
    <w:rsid w:val="004C6F09"/>
    <w:rsid w:val="004C7235"/>
    <w:rsid w:val="004C72EE"/>
    <w:rsid w:val="004C755C"/>
    <w:rsid w:val="004C77E1"/>
    <w:rsid w:val="004C7B93"/>
    <w:rsid w:val="004C7EBB"/>
    <w:rsid w:val="004C7F52"/>
    <w:rsid w:val="004D03AF"/>
    <w:rsid w:val="004D0768"/>
    <w:rsid w:val="004D078E"/>
    <w:rsid w:val="004D082D"/>
    <w:rsid w:val="004D0B9F"/>
    <w:rsid w:val="004D0BB5"/>
    <w:rsid w:val="004D0ED6"/>
    <w:rsid w:val="004D0FD9"/>
    <w:rsid w:val="004D2824"/>
    <w:rsid w:val="004D2B7A"/>
    <w:rsid w:val="004D2F0B"/>
    <w:rsid w:val="004D36AE"/>
    <w:rsid w:val="004D3B42"/>
    <w:rsid w:val="004D4140"/>
    <w:rsid w:val="004D514B"/>
    <w:rsid w:val="004D528E"/>
    <w:rsid w:val="004D55FF"/>
    <w:rsid w:val="004D5AAD"/>
    <w:rsid w:val="004D5BFF"/>
    <w:rsid w:val="004D6506"/>
    <w:rsid w:val="004D67AC"/>
    <w:rsid w:val="004D6FAF"/>
    <w:rsid w:val="004D70A6"/>
    <w:rsid w:val="004D7EDF"/>
    <w:rsid w:val="004D7F05"/>
    <w:rsid w:val="004D7FA5"/>
    <w:rsid w:val="004E0044"/>
    <w:rsid w:val="004E033D"/>
    <w:rsid w:val="004E0477"/>
    <w:rsid w:val="004E0D7B"/>
    <w:rsid w:val="004E0F6C"/>
    <w:rsid w:val="004E12DF"/>
    <w:rsid w:val="004E1600"/>
    <w:rsid w:val="004E1964"/>
    <w:rsid w:val="004E1BB8"/>
    <w:rsid w:val="004E1C8E"/>
    <w:rsid w:val="004E1D08"/>
    <w:rsid w:val="004E1F2E"/>
    <w:rsid w:val="004E2125"/>
    <w:rsid w:val="004E222A"/>
    <w:rsid w:val="004E2475"/>
    <w:rsid w:val="004E2AB6"/>
    <w:rsid w:val="004E30B6"/>
    <w:rsid w:val="004E313A"/>
    <w:rsid w:val="004E34BE"/>
    <w:rsid w:val="004E3C09"/>
    <w:rsid w:val="004E3CC5"/>
    <w:rsid w:val="004E3E9B"/>
    <w:rsid w:val="004E3F91"/>
    <w:rsid w:val="004E4B5E"/>
    <w:rsid w:val="004E4DB1"/>
    <w:rsid w:val="004E509F"/>
    <w:rsid w:val="004E52B6"/>
    <w:rsid w:val="004E53E9"/>
    <w:rsid w:val="004E6424"/>
    <w:rsid w:val="004E654C"/>
    <w:rsid w:val="004E657B"/>
    <w:rsid w:val="004E6F7C"/>
    <w:rsid w:val="004E79D9"/>
    <w:rsid w:val="004E7C88"/>
    <w:rsid w:val="004E7CCE"/>
    <w:rsid w:val="004E7F3B"/>
    <w:rsid w:val="004F091D"/>
    <w:rsid w:val="004F0A66"/>
    <w:rsid w:val="004F0C25"/>
    <w:rsid w:val="004F0D15"/>
    <w:rsid w:val="004F0DD8"/>
    <w:rsid w:val="004F1173"/>
    <w:rsid w:val="004F1B1E"/>
    <w:rsid w:val="004F220B"/>
    <w:rsid w:val="004F3A12"/>
    <w:rsid w:val="004F3CF6"/>
    <w:rsid w:val="004F3D42"/>
    <w:rsid w:val="004F3D91"/>
    <w:rsid w:val="004F43A1"/>
    <w:rsid w:val="004F45DF"/>
    <w:rsid w:val="004F4883"/>
    <w:rsid w:val="004F4F99"/>
    <w:rsid w:val="004F5160"/>
    <w:rsid w:val="004F5399"/>
    <w:rsid w:val="004F53B6"/>
    <w:rsid w:val="004F5974"/>
    <w:rsid w:val="004F5D45"/>
    <w:rsid w:val="004F6035"/>
    <w:rsid w:val="004F6690"/>
    <w:rsid w:val="004F6B70"/>
    <w:rsid w:val="004F6BF1"/>
    <w:rsid w:val="004F6F43"/>
    <w:rsid w:val="004F6F5E"/>
    <w:rsid w:val="004F7077"/>
    <w:rsid w:val="004F712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F97"/>
    <w:rsid w:val="00503352"/>
    <w:rsid w:val="005033D8"/>
    <w:rsid w:val="00503662"/>
    <w:rsid w:val="00503F00"/>
    <w:rsid w:val="0050409C"/>
    <w:rsid w:val="0050489E"/>
    <w:rsid w:val="00504E25"/>
    <w:rsid w:val="0050510E"/>
    <w:rsid w:val="00505373"/>
    <w:rsid w:val="00505460"/>
    <w:rsid w:val="00505825"/>
    <w:rsid w:val="00505CE1"/>
    <w:rsid w:val="00506058"/>
    <w:rsid w:val="0050614D"/>
    <w:rsid w:val="005062DD"/>
    <w:rsid w:val="00506A1F"/>
    <w:rsid w:val="005077C6"/>
    <w:rsid w:val="00507CFB"/>
    <w:rsid w:val="00510245"/>
    <w:rsid w:val="005104C0"/>
    <w:rsid w:val="0051067C"/>
    <w:rsid w:val="00510833"/>
    <w:rsid w:val="005108EF"/>
    <w:rsid w:val="00510A01"/>
    <w:rsid w:val="00510ABD"/>
    <w:rsid w:val="00511120"/>
    <w:rsid w:val="00511156"/>
    <w:rsid w:val="0051138B"/>
    <w:rsid w:val="00511A66"/>
    <w:rsid w:val="00511AB2"/>
    <w:rsid w:val="00511CF6"/>
    <w:rsid w:val="00512229"/>
    <w:rsid w:val="005123D2"/>
    <w:rsid w:val="00512E08"/>
    <w:rsid w:val="005131A2"/>
    <w:rsid w:val="005131F6"/>
    <w:rsid w:val="005135E4"/>
    <w:rsid w:val="00513EDA"/>
    <w:rsid w:val="00513F6B"/>
    <w:rsid w:val="00514129"/>
    <w:rsid w:val="0051422E"/>
    <w:rsid w:val="005142A8"/>
    <w:rsid w:val="00514425"/>
    <w:rsid w:val="00514DA0"/>
    <w:rsid w:val="00515B23"/>
    <w:rsid w:val="00515C39"/>
    <w:rsid w:val="00516006"/>
    <w:rsid w:val="00516381"/>
    <w:rsid w:val="00516487"/>
    <w:rsid w:val="00516C58"/>
    <w:rsid w:val="005173C0"/>
    <w:rsid w:val="00517471"/>
    <w:rsid w:val="005174CB"/>
    <w:rsid w:val="00520415"/>
    <w:rsid w:val="005204A4"/>
    <w:rsid w:val="005204AE"/>
    <w:rsid w:val="00520504"/>
    <w:rsid w:val="00520DD8"/>
    <w:rsid w:val="00521232"/>
    <w:rsid w:val="00521244"/>
    <w:rsid w:val="005212C4"/>
    <w:rsid w:val="005212DC"/>
    <w:rsid w:val="0052177B"/>
    <w:rsid w:val="0052196C"/>
    <w:rsid w:val="005219CA"/>
    <w:rsid w:val="00521BFD"/>
    <w:rsid w:val="00521DB5"/>
    <w:rsid w:val="0052239B"/>
    <w:rsid w:val="00522970"/>
    <w:rsid w:val="00522B13"/>
    <w:rsid w:val="00522C03"/>
    <w:rsid w:val="00522C85"/>
    <w:rsid w:val="005233A5"/>
    <w:rsid w:val="00523A48"/>
    <w:rsid w:val="00523C38"/>
    <w:rsid w:val="00523DBB"/>
    <w:rsid w:val="0052438E"/>
    <w:rsid w:val="005243A7"/>
    <w:rsid w:val="005249E2"/>
    <w:rsid w:val="005257D2"/>
    <w:rsid w:val="00525DED"/>
    <w:rsid w:val="00526082"/>
    <w:rsid w:val="0052624A"/>
    <w:rsid w:val="00526266"/>
    <w:rsid w:val="00526493"/>
    <w:rsid w:val="00526A07"/>
    <w:rsid w:val="00526A2E"/>
    <w:rsid w:val="00526EBE"/>
    <w:rsid w:val="0052766A"/>
    <w:rsid w:val="00527730"/>
    <w:rsid w:val="005277AA"/>
    <w:rsid w:val="00527B26"/>
    <w:rsid w:val="005302CE"/>
    <w:rsid w:val="00530A6A"/>
    <w:rsid w:val="00530BC0"/>
    <w:rsid w:val="0053160A"/>
    <w:rsid w:val="00531614"/>
    <w:rsid w:val="0053186B"/>
    <w:rsid w:val="005319CA"/>
    <w:rsid w:val="00531A3D"/>
    <w:rsid w:val="00531DE9"/>
    <w:rsid w:val="00533199"/>
    <w:rsid w:val="0053343B"/>
    <w:rsid w:val="005334AF"/>
    <w:rsid w:val="00533636"/>
    <w:rsid w:val="005336D9"/>
    <w:rsid w:val="00533DD7"/>
    <w:rsid w:val="00534175"/>
    <w:rsid w:val="0053426F"/>
    <w:rsid w:val="00534527"/>
    <w:rsid w:val="0053497F"/>
    <w:rsid w:val="00534DA3"/>
    <w:rsid w:val="005353C2"/>
    <w:rsid w:val="00535E1F"/>
    <w:rsid w:val="00535F8C"/>
    <w:rsid w:val="0053665B"/>
    <w:rsid w:val="00536848"/>
    <w:rsid w:val="00536B82"/>
    <w:rsid w:val="00536DA1"/>
    <w:rsid w:val="00537024"/>
    <w:rsid w:val="00537261"/>
    <w:rsid w:val="0053770A"/>
    <w:rsid w:val="005379C2"/>
    <w:rsid w:val="00537D43"/>
    <w:rsid w:val="00537E54"/>
    <w:rsid w:val="00537E60"/>
    <w:rsid w:val="0054010B"/>
    <w:rsid w:val="005402B2"/>
    <w:rsid w:val="00540758"/>
    <w:rsid w:val="00540776"/>
    <w:rsid w:val="005407D4"/>
    <w:rsid w:val="00540ED4"/>
    <w:rsid w:val="00541101"/>
    <w:rsid w:val="005414E2"/>
    <w:rsid w:val="0054160D"/>
    <w:rsid w:val="005416A2"/>
    <w:rsid w:val="005418F6"/>
    <w:rsid w:val="00541EB7"/>
    <w:rsid w:val="005422BF"/>
    <w:rsid w:val="00542676"/>
    <w:rsid w:val="00542945"/>
    <w:rsid w:val="00542A55"/>
    <w:rsid w:val="00542AD5"/>
    <w:rsid w:val="00542EDE"/>
    <w:rsid w:val="0054353E"/>
    <w:rsid w:val="005436C2"/>
    <w:rsid w:val="00544088"/>
    <w:rsid w:val="0054433B"/>
    <w:rsid w:val="005444B0"/>
    <w:rsid w:val="005447CB"/>
    <w:rsid w:val="005452DF"/>
    <w:rsid w:val="0054585E"/>
    <w:rsid w:val="00546073"/>
    <w:rsid w:val="0054635B"/>
    <w:rsid w:val="005466DB"/>
    <w:rsid w:val="00546B78"/>
    <w:rsid w:val="0054736B"/>
    <w:rsid w:val="005478BB"/>
    <w:rsid w:val="00547A74"/>
    <w:rsid w:val="00550BE8"/>
    <w:rsid w:val="00550C69"/>
    <w:rsid w:val="0055104D"/>
    <w:rsid w:val="00551607"/>
    <w:rsid w:val="00552423"/>
    <w:rsid w:val="00552758"/>
    <w:rsid w:val="005534BB"/>
    <w:rsid w:val="00553651"/>
    <w:rsid w:val="0055365C"/>
    <w:rsid w:val="00553668"/>
    <w:rsid w:val="00553ADF"/>
    <w:rsid w:val="00554086"/>
    <w:rsid w:val="005541D4"/>
    <w:rsid w:val="0055471E"/>
    <w:rsid w:val="00554861"/>
    <w:rsid w:val="00554A10"/>
    <w:rsid w:val="005550AC"/>
    <w:rsid w:val="005565AB"/>
    <w:rsid w:val="00556B81"/>
    <w:rsid w:val="00556E29"/>
    <w:rsid w:val="00556EE7"/>
    <w:rsid w:val="00557840"/>
    <w:rsid w:val="005579C3"/>
    <w:rsid w:val="0056060F"/>
    <w:rsid w:val="00560E14"/>
    <w:rsid w:val="00560EB5"/>
    <w:rsid w:val="005613E8"/>
    <w:rsid w:val="0056158C"/>
    <w:rsid w:val="00561816"/>
    <w:rsid w:val="005619B2"/>
    <w:rsid w:val="00561C27"/>
    <w:rsid w:val="0056255F"/>
    <w:rsid w:val="0056269B"/>
    <w:rsid w:val="0056298E"/>
    <w:rsid w:val="005629B4"/>
    <w:rsid w:val="00562C8B"/>
    <w:rsid w:val="005635D1"/>
    <w:rsid w:val="00563627"/>
    <w:rsid w:val="0056396A"/>
    <w:rsid w:val="00564199"/>
    <w:rsid w:val="005641CA"/>
    <w:rsid w:val="00564478"/>
    <w:rsid w:val="00564A85"/>
    <w:rsid w:val="00564C4B"/>
    <w:rsid w:val="00564CE1"/>
    <w:rsid w:val="00565013"/>
    <w:rsid w:val="00565127"/>
    <w:rsid w:val="005665BB"/>
    <w:rsid w:val="00566671"/>
    <w:rsid w:val="00566DAC"/>
    <w:rsid w:val="00566FEA"/>
    <w:rsid w:val="0056749D"/>
    <w:rsid w:val="00567537"/>
    <w:rsid w:val="005676F5"/>
    <w:rsid w:val="00567C79"/>
    <w:rsid w:val="00570012"/>
    <w:rsid w:val="00570044"/>
    <w:rsid w:val="00570C9A"/>
    <w:rsid w:val="00570E79"/>
    <w:rsid w:val="005715BD"/>
    <w:rsid w:val="00571B2E"/>
    <w:rsid w:val="00572C10"/>
    <w:rsid w:val="00572C6E"/>
    <w:rsid w:val="00573019"/>
    <w:rsid w:val="005735BB"/>
    <w:rsid w:val="00573836"/>
    <w:rsid w:val="00573ABC"/>
    <w:rsid w:val="00573C68"/>
    <w:rsid w:val="00573E6C"/>
    <w:rsid w:val="00573EC6"/>
    <w:rsid w:val="005746CB"/>
    <w:rsid w:val="00574A48"/>
    <w:rsid w:val="00574A5F"/>
    <w:rsid w:val="00574C1C"/>
    <w:rsid w:val="00574E66"/>
    <w:rsid w:val="0057550A"/>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397"/>
    <w:rsid w:val="00580A8D"/>
    <w:rsid w:val="00580AF4"/>
    <w:rsid w:val="00580DDC"/>
    <w:rsid w:val="00580EA8"/>
    <w:rsid w:val="00580ED7"/>
    <w:rsid w:val="0058109A"/>
    <w:rsid w:val="00581415"/>
    <w:rsid w:val="005815BD"/>
    <w:rsid w:val="00581885"/>
    <w:rsid w:val="00581FFE"/>
    <w:rsid w:val="0058204D"/>
    <w:rsid w:val="0058252A"/>
    <w:rsid w:val="00582EE0"/>
    <w:rsid w:val="00582FAD"/>
    <w:rsid w:val="00583129"/>
    <w:rsid w:val="005833BD"/>
    <w:rsid w:val="005835F6"/>
    <w:rsid w:val="00583799"/>
    <w:rsid w:val="00583D40"/>
    <w:rsid w:val="00583E2B"/>
    <w:rsid w:val="00583E96"/>
    <w:rsid w:val="005840D6"/>
    <w:rsid w:val="005840FC"/>
    <w:rsid w:val="0058492D"/>
    <w:rsid w:val="00584B8F"/>
    <w:rsid w:val="00584E15"/>
    <w:rsid w:val="00584E40"/>
    <w:rsid w:val="00584EC1"/>
    <w:rsid w:val="005854E8"/>
    <w:rsid w:val="00585A8D"/>
    <w:rsid w:val="00585B6E"/>
    <w:rsid w:val="00586275"/>
    <w:rsid w:val="0058668B"/>
    <w:rsid w:val="005867AE"/>
    <w:rsid w:val="005869DF"/>
    <w:rsid w:val="00586B4D"/>
    <w:rsid w:val="005874F5"/>
    <w:rsid w:val="005879D1"/>
    <w:rsid w:val="00587A14"/>
    <w:rsid w:val="00587A9A"/>
    <w:rsid w:val="00587F6A"/>
    <w:rsid w:val="00587FAB"/>
    <w:rsid w:val="00590371"/>
    <w:rsid w:val="00590467"/>
    <w:rsid w:val="0059071B"/>
    <w:rsid w:val="005908FE"/>
    <w:rsid w:val="00590903"/>
    <w:rsid w:val="00590B1F"/>
    <w:rsid w:val="00590B89"/>
    <w:rsid w:val="0059119D"/>
    <w:rsid w:val="00591309"/>
    <w:rsid w:val="00591420"/>
    <w:rsid w:val="005915F9"/>
    <w:rsid w:val="00591CE2"/>
    <w:rsid w:val="005922AA"/>
    <w:rsid w:val="005927F9"/>
    <w:rsid w:val="005929B2"/>
    <w:rsid w:val="00592D66"/>
    <w:rsid w:val="00592E64"/>
    <w:rsid w:val="00593021"/>
    <w:rsid w:val="005930BC"/>
    <w:rsid w:val="0059325F"/>
    <w:rsid w:val="005936EF"/>
    <w:rsid w:val="005937CF"/>
    <w:rsid w:val="005938B8"/>
    <w:rsid w:val="005938F9"/>
    <w:rsid w:val="0059399B"/>
    <w:rsid w:val="00594054"/>
    <w:rsid w:val="005944BC"/>
    <w:rsid w:val="00594595"/>
    <w:rsid w:val="00594600"/>
    <w:rsid w:val="00594764"/>
    <w:rsid w:val="0059485F"/>
    <w:rsid w:val="005949B0"/>
    <w:rsid w:val="00594F86"/>
    <w:rsid w:val="00595627"/>
    <w:rsid w:val="0059590E"/>
    <w:rsid w:val="00595C54"/>
    <w:rsid w:val="0059613A"/>
    <w:rsid w:val="0059627F"/>
    <w:rsid w:val="0059718A"/>
    <w:rsid w:val="00597359"/>
    <w:rsid w:val="00597382"/>
    <w:rsid w:val="00597900"/>
    <w:rsid w:val="00597C8C"/>
    <w:rsid w:val="00597D3A"/>
    <w:rsid w:val="005A02B2"/>
    <w:rsid w:val="005A0352"/>
    <w:rsid w:val="005A0490"/>
    <w:rsid w:val="005A07BB"/>
    <w:rsid w:val="005A1C96"/>
    <w:rsid w:val="005A1CF7"/>
    <w:rsid w:val="005A1E7D"/>
    <w:rsid w:val="005A21FA"/>
    <w:rsid w:val="005A2307"/>
    <w:rsid w:val="005A24B9"/>
    <w:rsid w:val="005A274F"/>
    <w:rsid w:val="005A2951"/>
    <w:rsid w:val="005A2CB7"/>
    <w:rsid w:val="005A3174"/>
    <w:rsid w:val="005A3A87"/>
    <w:rsid w:val="005A3D94"/>
    <w:rsid w:val="005A40CA"/>
    <w:rsid w:val="005A47C7"/>
    <w:rsid w:val="005A483A"/>
    <w:rsid w:val="005A4B00"/>
    <w:rsid w:val="005A4E7B"/>
    <w:rsid w:val="005A4E82"/>
    <w:rsid w:val="005A5248"/>
    <w:rsid w:val="005A7264"/>
    <w:rsid w:val="005A746E"/>
    <w:rsid w:val="005A7489"/>
    <w:rsid w:val="005A74DB"/>
    <w:rsid w:val="005A78C7"/>
    <w:rsid w:val="005B01DB"/>
    <w:rsid w:val="005B0481"/>
    <w:rsid w:val="005B07F3"/>
    <w:rsid w:val="005B07F8"/>
    <w:rsid w:val="005B0C22"/>
    <w:rsid w:val="005B0C6A"/>
    <w:rsid w:val="005B0CD9"/>
    <w:rsid w:val="005B1205"/>
    <w:rsid w:val="005B1263"/>
    <w:rsid w:val="005B18AD"/>
    <w:rsid w:val="005B1C39"/>
    <w:rsid w:val="005B1DA4"/>
    <w:rsid w:val="005B1FDD"/>
    <w:rsid w:val="005B2177"/>
    <w:rsid w:val="005B2232"/>
    <w:rsid w:val="005B241A"/>
    <w:rsid w:val="005B2B11"/>
    <w:rsid w:val="005B2D32"/>
    <w:rsid w:val="005B2E02"/>
    <w:rsid w:val="005B2E89"/>
    <w:rsid w:val="005B36EA"/>
    <w:rsid w:val="005B375D"/>
    <w:rsid w:val="005B3C1F"/>
    <w:rsid w:val="005B3CA8"/>
    <w:rsid w:val="005B3D17"/>
    <w:rsid w:val="005B3DA2"/>
    <w:rsid w:val="005B3F70"/>
    <w:rsid w:val="005B4201"/>
    <w:rsid w:val="005B45D0"/>
    <w:rsid w:val="005B4997"/>
    <w:rsid w:val="005B4B4D"/>
    <w:rsid w:val="005B4CFC"/>
    <w:rsid w:val="005B5324"/>
    <w:rsid w:val="005B5729"/>
    <w:rsid w:val="005B57B5"/>
    <w:rsid w:val="005B5ECF"/>
    <w:rsid w:val="005B60AC"/>
    <w:rsid w:val="005B6242"/>
    <w:rsid w:val="005B6487"/>
    <w:rsid w:val="005B6A29"/>
    <w:rsid w:val="005B6BDB"/>
    <w:rsid w:val="005B6CE4"/>
    <w:rsid w:val="005B6DDF"/>
    <w:rsid w:val="005B6F7A"/>
    <w:rsid w:val="005B700E"/>
    <w:rsid w:val="005B7044"/>
    <w:rsid w:val="005B71C7"/>
    <w:rsid w:val="005B7339"/>
    <w:rsid w:val="005B79F9"/>
    <w:rsid w:val="005B7EE4"/>
    <w:rsid w:val="005B7FF4"/>
    <w:rsid w:val="005C01E0"/>
    <w:rsid w:val="005C03E1"/>
    <w:rsid w:val="005C0642"/>
    <w:rsid w:val="005C0FC8"/>
    <w:rsid w:val="005C1374"/>
    <w:rsid w:val="005C17D8"/>
    <w:rsid w:val="005C2291"/>
    <w:rsid w:val="005C23E4"/>
    <w:rsid w:val="005C2763"/>
    <w:rsid w:val="005C28E9"/>
    <w:rsid w:val="005C2AAF"/>
    <w:rsid w:val="005C2C1D"/>
    <w:rsid w:val="005C3957"/>
    <w:rsid w:val="005C3D75"/>
    <w:rsid w:val="005C4461"/>
    <w:rsid w:val="005C4A05"/>
    <w:rsid w:val="005C4DA1"/>
    <w:rsid w:val="005C5186"/>
    <w:rsid w:val="005C5402"/>
    <w:rsid w:val="005C5A4D"/>
    <w:rsid w:val="005C5BFF"/>
    <w:rsid w:val="005C5DEF"/>
    <w:rsid w:val="005C5ECE"/>
    <w:rsid w:val="005C5ED9"/>
    <w:rsid w:val="005C606C"/>
    <w:rsid w:val="005C6B73"/>
    <w:rsid w:val="005C6BE2"/>
    <w:rsid w:val="005C7317"/>
    <w:rsid w:val="005C74B3"/>
    <w:rsid w:val="005C7A7A"/>
    <w:rsid w:val="005C7CAC"/>
    <w:rsid w:val="005C7EE4"/>
    <w:rsid w:val="005D04CA"/>
    <w:rsid w:val="005D071D"/>
    <w:rsid w:val="005D0730"/>
    <w:rsid w:val="005D0CCF"/>
    <w:rsid w:val="005D1075"/>
    <w:rsid w:val="005D1248"/>
    <w:rsid w:val="005D12C4"/>
    <w:rsid w:val="005D1494"/>
    <w:rsid w:val="005D178E"/>
    <w:rsid w:val="005D2102"/>
    <w:rsid w:val="005D22F0"/>
    <w:rsid w:val="005D26A6"/>
    <w:rsid w:val="005D2885"/>
    <w:rsid w:val="005D3483"/>
    <w:rsid w:val="005D35F9"/>
    <w:rsid w:val="005D38BF"/>
    <w:rsid w:val="005D395A"/>
    <w:rsid w:val="005D48A2"/>
    <w:rsid w:val="005D497A"/>
    <w:rsid w:val="005D4AA8"/>
    <w:rsid w:val="005D62B3"/>
    <w:rsid w:val="005D6CC9"/>
    <w:rsid w:val="005D764B"/>
    <w:rsid w:val="005D773B"/>
    <w:rsid w:val="005E0160"/>
    <w:rsid w:val="005E0A98"/>
    <w:rsid w:val="005E0C9B"/>
    <w:rsid w:val="005E0DEF"/>
    <w:rsid w:val="005E109D"/>
    <w:rsid w:val="005E10F8"/>
    <w:rsid w:val="005E14CF"/>
    <w:rsid w:val="005E1E87"/>
    <w:rsid w:val="005E2204"/>
    <w:rsid w:val="005E25C1"/>
    <w:rsid w:val="005E2661"/>
    <w:rsid w:val="005E2A3A"/>
    <w:rsid w:val="005E2EEF"/>
    <w:rsid w:val="005E3167"/>
    <w:rsid w:val="005E3684"/>
    <w:rsid w:val="005E36CC"/>
    <w:rsid w:val="005E3CB4"/>
    <w:rsid w:val="005E3E05"/>
    <w:rsid w:val="005E43AE"/>
    <w:rsid w:val="005E462C"/>
    <w:rsid w:val="005E46EB"/>
    <w:rsid w:val="005E4816"/>
    <w:rsid w:val="005E5077"/>
    <w:rsid w:val="005E5351"/>
    <w:rsid w:val="005E542C"/>
    <w:rsid w:val="005E57C0"/>
    <w:rsid w:val="005E651B"/>
    <w:rsid w:val="005E6A00"/>
    <w:rsid w:val="005E6DD2"/>
    <w:rsid w:val="005E6EEF"/>
    <w:rsid w:val="005E7D9F"/>
    <w:rsid w:val="005E7E2C"/>
    <w:rsid w:val="005E7ECE"/>
    <w:rsid w:val="005E7FAB"/>
    <w:rsid w:val="005F0BB2"/>
    <w:rsid w:val="005F0C5A"/>
    <w:rsid w:val="005F0CE7"/>
    <w:rsid w:val="005F0D01"/>
    <w:rsid w:val="005F106A"/>
    <w:rsid w:val="005F1215"/>
    <w:rsid w:val="005F15D9"/>
    <w:rsid w:val="005F17B7"/>
    <w:rsid w:val="005F1B40"/>
    <w:rsid w:val="005F1BB8"/>
    <w:rsid w:val="005F1F06"/>
    <w:rsid w:val="005F2304"/>
    <w:rsid w:val="005F2738"/>
    <w:rsid w:val="005F29F1"/>
    <w:rsid w:val="005F2A99"/>
    <w:rsid w:val="005F2ACB"/>
    <w:rsid w:val="005F2CD9"/>
    <w:rsid w:val="005F2DD4"/>
    <w:rsid w:val="005F2F4D"/>
    <w:rsid w:val="005F2F9F"/>
    <w:rsid w:val="005F40BB"/>
    <w:rsid w:val="005F41EE"/>
    <w:rsid w:val="005F4CC2"/>
    <w:rsid w:val="005F551C"/>
    <w:rsid w:val="005F5CE7"/>
    <w:rsid w:val="005F5F36"/>
    <w:rsid w:val="005F5F9C"/>
    <w:rsid w:val="005F618D"/>
    <w:rsid w:val="005F65A1"/>
    <w:rsid w:val="005F67D1"/>
    <w:rsid w:val="005F68BF"/>
    <w:rsid w:val="005F6A0D"/>
    <w:rsid w:val="005F6F53"/>
    <w:rsid w:val="005F73D0"/>
    <w:rsid w:val="005F7770"/>
    <w:rsid w:val="005F7AD7"/>
    <w:rsid w:val="0060043D"/>
    <w:rsid w:val="0060058E"/>
    <w:rsid w:val="006008D1"/>
    <w:rsid w:val="006009A8"/>
    <w:rsid w:val="00600A7A"/>
    <w:rsid w:val="0060128F"/>
    <w:rsid w:val="00601ECC"/>
    <w:rsid w:val="0060220E"/>
    <w:rsid w:val="006023D9"/>
    <w:rsid w:val="00602739"/>
    <w:rsid w:val="00602916"/>
    <w:rsid w:val="00602979"/>
    <w:rsid w:val="00603085"/>
    <w:rsid w:val="00603304"/>
    <w:rsid w:val="00603674"/>
    <w:rsid w:val="00603830"/>
    <w:rsid w:val="0060398F"/>
    <w:rsid w:val="00604201"/>
    <w:rsid w:val="00604691"/>
    <w:rsid w:val="006047F4"/>
    <w:rsid w:val="00604976"/>
    <w:rsid w:val="00604A64"/>
    <w:rsid w:val="00604E5B"/>
    <w:rsid w:val="00605980"/>
    <w:rsid w:val="00605B53"/>
    <w:rsid w:val="00605C5D"/>
    <w:rsid w:val="00605F4A"/>
    <w:rsid w:val="00605F62"/>
    <w:rsid w:val="00606402"/>
    <w:rsid w:val="00606412"/>
    <w:rsid w:val="00606440"/>
    <w:rsid w:val="00606505"/>
    <w:rsid w:val="0060655A"/>
    <w:rsid w:val="00606818"/>
    <w:rsid w:val="00606CC0"/>
    <w:rsid w:val="006071AD"/>
    <w:rsid w:val="006071E1"/>
    <w:rsid w:val="006072AD"/>
    <w:rsid w:val="0060793A"/>
    <w:rsid w:val="00607C03"/>
    <w:rsid w:val="00607FD5"/>
    <w:rsid w:val="006100D0"/>
    <w:rsid w:val="0061030F"/>
    <w:rsid w:val="00610620"/>
    <w:rsid w:val="0061110A"/>
    <w:rsid w:val="006112CD"/>
    <w:rsid w:val="00611AEA"/>
    <w:rsid w:val="00611B10"/>
    <w:rsid w:val="00611D72"/>
    <w:rsid w:val="00611ED0"/>
    <w:rsid w:val="0061201A"/>
    <w:rsid w:val="006120DB"/>
    <w:rsid w:val="00612C28"/>
    <w:rsid w:val="00612C67"/>
    <w:rsid w:val="00612DE6"/>
    <w:rsid w:val="00612E18"/>
    <w:rsid w:val="006131EA"/>
    <w:rsid w:val="0061368A"/>
    <w:rsid w:val="00613A36"/>
    <w:rsid w:val="00613D08"/>
    <w:rsid w:val="00613F86"/>
    <w:rsid w:val="00614254"/>
    <w:rsid w:val="0061433C"/>
    <w:rsid w:val="0061445B"/>
    <w:rsid w:val="006145D8"/>
    <w:rsid w:val="00614C53"/>
    <w:rsid w:val="00614C9A"/>
    <w:rsid w:val="00615263"/>
    <w:rsid w:val="00615AD4"/>
    <w:rsid w:val="0061619C"/>
    <w:rsid w:val="0061622C"/>
    <w:rsid w:val="00616487"/>
    <w:rsid w:val="00616BFE"/>
    <w:rsid w:val="00617567"/>
    <w:rsid w:val="00617591"/>
    <w:rsid w:val="0061783E"/>
    <w:rsid w:val="0062095C"/>
    <w:rsid w:val="006209EE"/>
    <w:rsid w:val="00620A75"/>
    <w:rsid w:val="00621089"/>
    <w:rsid w:val="006211E4"/>
    <w:rsid w:val="00621407"/>
    <w:rsid w:val="0062169B"/>
    <w:rsid w:val="00621D27"/>
    <w:rsid w:val="00621D78"/>
    <w:rsid w:val="00622116"/>
    <w:rsid w:val="00622847"/>
    <w:rsid w:val="00622AD4"/>
    <w:rsid w:val="00622B92"/>
    <w:rsid w:val="00622E33"/>
    <w:rsid w:val="00622FC5"/>
    <w:rsid w:val="00623C20"/>
    <w:rsid w:val="00623CED"/>
    <w:rsid w:val="00623D01"/>
    <w:rsid w:val="006243FF"/>
    <w:rsid w:val="00624598"/>
    <w:rsid w:val="00624A77"/>
    <w:rsid w:val="00624BC8"/>
    <w:rsid w:val="00624FB0"/>
    <w:rsid w:val="00625092"/>
    <w:rsid w:val="006251EF"/>
    <w:rsid w:val="00625A11"/>
    <w:rsid w:val="006262CF"/>
    <w:rsid w:val="00626415"/>
    <w:rsid w:val="006266D4"/>
    <w:rsid w:val="006266E1"/>
    <w:rsid w:val="00626FFF"/>
    <w:rsid w:val="00627067"/>
    <w:rsid w:val="0063027C"/>
    <w:rsid w:val="006302E0"/>
    <w:rsid w:val="00630767"/>
    <w:rsid w:val="006307CD"/>
    <w:rsid w:val="006307F7"/>
    <w:rsid w:val="00630E39"/>
    <w:rsid w:val="0063103F"/>
    <w:rsid w:val="0063133D"/>
    <w:rsid w:val="006317E1"/>
    <w:rsid w:val="00631925"/>
    <w:rsid w:val="00631D9A"/>
    <w:rsid w:val="006326EA"/>
    <w:rsid w:val="006330C8"/>
    <w:rsid w:val="006331BD"/>
    <w:rsid w:val="00633361"/>
    <w:rsid w:val="00633B08"/>
    <w:rsid w:val="00633CC4"/>
    <w:rsid w:val="00633D4A"/>
    <w:rsid w:val="006342CB"/>
    <w:rsid w:val="00634481"/>
    <w:rsid w:val="006345B4"/>
    <w:rsid w:val="00634813"/>
    <w:rsid w:val="00634E22"/>
    <w:rsid w:val="00635893"/>
    <w:rsid w:val="00635A80"/>
    <w:rsid w:val="00635A9E"/>
    <w:rsid w:val="00635C17"/>
    <w:rsid w:val="00635E6B"/>
    <w:rsid w:val="00635F41"/>
    <w:rsid w:val="00635FEF"/>
    <w:rsid w:val="00636354"/>
    <w:rsid w:val="00636447"/>
    <w:rsid w:val="00636A17"/>
    <w:rsid w:val="006372FC"/>
    <w:rsid w:val="006373F3"/>
    <w:rsid w:val="0063740C"/>
    <w:rsid w:val="006378C4"/>
    <w:rsid w:val="00637BA0"/>
    <w:rsid w:val="00637E07"/>
    <w:rsid w:val="0064013A"/>
    <w:rsid w:val="00640679"/>
    <w:rsid w:val="00640E50"/>
    <w:rsid w:val="006414D8"/>
    <w:rsid w:val="00641975"/>
    <w:rsid w:val="00641A2B"/>
    <w:rsid w:val="00641C06"/>
    <w:rsid w:val="00641F91"/>
    <w:rsid w:val="006421A8"/>
    <w:rsid w:val="00642290"/>
    <w:rsid w:val="0064237F"/>
    <w:rsid w:val="006423EC"/>
    <w:rsid w:val="0064268F"/>
    <w:rsid w:val="00642B49"/>
    <w:rsid w:val="00642E73"/>
    <w:rsid w:val="006430E4"/>
    <w:rsid w:val="00643315"/>
    <w:rsid w:val="006434FB"/>
    <w:rsid w:val="00643F88"/>
    <w:rsid w:val="0064401F"/>
    <w:rsid w:val="00644027"/>
    <w:rsid w:val="0064428A"/>
    <w:rsid w:val="006442AD"/>
    <w:rsid w:val="00644375"/>
    <w:rsid w:val="00644444"/>
    <w:rsid w:val="0064481A"/>
    <w:rsid w:val="00644C3A"/>
    <w:rsid w:val="00644D13"/>
    <w:rsid w:val="00645A8E"/>
    <w:rsid w:val="00645A9F"/>
    <w:rsid w:val="00645D07"/>
    <w:rsid w:val="00645E86"/>
    <w:rsid w:val="006462CB"/>
    <w:rsid w:val="0064633D"/>
    <w:rsid w:val="006470BD"/>
    <w:rsid w:val="00647777"/>
    <w:rsid w:val="006478C2"/>
    <w:rsid w:val="00647AD8"/>
    <w:rsid w:val="00647F59"/>
    <w:rsid w:val="00650640"/>
    <w:rsid w:val="00650D59"/>
    <w:rsid w:val="00650DF0"/>
    <w:rsid w:val="00650F92"/>
    <w:rsid w:val="00651214"/>
    <w:rsid w:val="00651335"/>
    <w:rsid w:val="00651367"/>
    <w:rsid w:val="00651BA3"/>
    <w:rsid w:val="00651DC3"/>
    <w:rsid w:val="00652183"/>
    <w:rsid w:val="0065246D"/>
    <w:rsid w:val="00652794"/>
    <w:rsid w:val="00652840"/>
    <w:rsid w:val="00652AA4"/>
    <w:rsid w:val="00652C32"/>
    <w:rsid w:val="00652DE9"/>
    <w:rsid w:val="00652EC9"/>
    <w:rsid w:val="00652FB8"/>
    <w:rsid w:val="00653313"/>
    <w:rsid w:val="00653516"/>
    <w:rsid w:val="0065399C"/>
    <w:rsid w:val="00653DCF"/>
    <w:rsid w:val="00653E0A"/>
    <w:rsid w:val="00653F71"/>
    <w:rsid w:val="006545A2"/>
    <w:rsid w:val="0065474D"/>
    <w:rsid w:val="00654C94"/>
    <w:rsid w:val="00654C98"/>
    <w:rsid w:val="00654F06"/>
    <w:rsid w:val="00655501"/>
    <w:rsid w:val="006556BA"/>
    <w:rsid w:val="00655825"/>
    <w:rsid w:val="006558C8"/>
    <w:rsid w:val="00655BFD"/>
    <w:rsid w:val="00655E3E"/>
    <w:rsid w:val="00655F4D"/>
    <w:rsid w:val="00656718"/>
    <w:rsid w:val="00656BAC"/>
    <w:rsid w:val="006572AB"/>
    <w:rsid w:val="00657A05"/>
    <w:rsid w:val="00657BE1"/>
    <w:rsid w:val="00657C6A"/>
    <w:rsid w:val="00657F10"/>
    <w:rsid w:val="006603A8"/>
    <w:rsid w:val="00660830"/>
    <w:rsid w:val="00660AE9"/>
    <w:rsid w:val="00661178"/>
    <w:rsid w:val="006614FF"/>
    <w:rsid w:val="0066180C"/>
    <w:rsid w:val="00661C62"/>
    <w:rsid w:val="00661D3E"/>
    <w:rsid w:val="0066220E"/>
    <w:rsid w:val="00662307"/>
    <w:rsid w:val="0066283C"/>
    <w:rsid w:val="006629B6"/>
    <w:rsid w:val="00662E71"/>
    <w:rsid w:val="006637E3"/>
    <w:rsid w:val="00664914"/>
    <w:rsid w:val="00664BF0"/>
    <w:rsid w:val="00664C0B"/>
    <w:rsid w:val="006658CA"/>
    <w:rsid w:val="00665A3C"/>
    <w:rsid w:val="00665D0D"/>
    <w:rsid w:val="00665E16"/>
    <w:rsid w:val="00665E57"/>
    <w:rsid w:val="00665EB7"/>
    <w:rsid w:val="0066605C"/>
    <w:rsid w:val="006662EB"/>
    <w:rsid w:val="00666A11"/>
    <w:rsid w:val="00666DFB"/>
    <w:rsid w:val="00666F14"/>
    <w:rsid w:val="00667145"/>
    <w:rsid w:val="00667225"/>
    <w:rsid w:val="0066740E"/>
    <w:rsid w:val="00667640"/>
    <w:rsid w:val="006679B3"/>
    <w:rsid w:val="00667BFB"/>
    <w:rsid w:val="0067011C"/>
    <w:rsid w:val="00670131"/>
    <w:rsid w:val="0067078E"/>
    <w:rsid w:val="0067082F"/>
    <w:rsid w:val="00670C77"/>
    <w:rsid w:val="00670F64"/>
    <w:rsid w:val="00671260"/>
    <w:rsid w:val="00671492"/>
    <w:rsid w:val="006716C9"/>
    <w:rsid w:val="006717E1"/>
    <w:rsid w:val="00671FCB"/>
    <w:rsid w:val="00671FFF"/>
    <w:rsid w:val="00672399"/>
    <w:rsid w:val="0067295F"/>
    <w:rsid w:val="00672CB3"/>
    <w:rsid w:val="00672E54"/>
    <w:rsid w:val="006738EE"/>
    <w:rsid w:val="00673B0F"/>
    <w:rsid w:val="00673B43"/>
    <w:rsid w:val="00673F70"/>
    <w:rsid w:val="0067442B"/>
    <w:rsid w:val="006746F3"/>
    <w:rsid w:val="00674720"/>
    <w:rsid w:val="00674C30"/>
    <w:rsid w:val="00675203"/>
    <w:rsid w:val="00675754"/>
    <w:rsid w:val="00675A66"/>
    <w:rsid w:val="00675E8D"/>
    <w:rsid w:val="006760A1"/>
    <w:rsid w:val="00676382"/>
    <w:rsid w:val="00676B02"/>
    <w:rsid w:val="006770D4"/>
    <w:rsid w:val="006771D7"/>
    <w:rsid w:val="006773B8"/>
    <w:rsid w:val="006773E8"/>
    <w:rsid w:val="00677C4B"/>
    <w:rsid w:val="00677D3D"/>
    <w:rsid w:val="00677DE9"/>
    <w:rsid w:val="006801C8"/>
    <w:rsid w:val="006801F0"/>
    <w:rsid w:val="00680CBA"/>
    <w:rsid w:val="006813EB"/>
    <w:rsid w:val="006817C4"/>
    <w:rsid w:val="006819A9"/>
    <w:rsid w:val="00681E17"/>
    <w:rsid w:val="00682288"/>
    <w:rsid w:val="00682292"/>
    <w:rsid w:val="00682478"/>
    <w:rsid w:val="00682A59"/>
    <w:rsid w:val="00682BD8"/>
    <w:rsid w:val="00682CC1"/>
    <w:rsid w:val="0068306F"/>
    <w:rsid w:val="0068308E"/>
    <w:rsid w:val="0068345F"/>
    <w:rsid w:val="006836A1"/>
    <w:rsid w:val="006836F7"/>
    <w:rsid w:val="00683CE2"/>
    <w:rsid w:val="0068428C"/>
    <w:rsid w:val="0068458E"/>
    <w:rsid w:val="00684592"/>
    <w:rsid w:val="006846FF"/>
    <w:rsid w:val="006848E7"/>
    <w:rsid w:val="006849F7"/>
    <w:rsid w:val="006850CF"/>
    <w:rsid w:val="006850FB"/>
    <w:rsid w:val="0068527F"/>
    <w:rsid w:val="006852CE"/>
    <w:rsid w:val="00685B39"/>
    <w:rsid w:val="00686306"/>
    <w:rsid w:val="00686997"/>
    <w:rsid w:val="00686BA8"/>
    <w:rsid w:val="00686BAD"/>
    <w:rsid w:val="00686C6D"/>
    <w:rsid w:val="00687233"/>
    <w:rsid w:val="006873BE"/>
    <w:rsid w:val="00687D2A"/>
    <w:rsid w:val="00687EED"/>
    <w:rsid w:val="006903C0"/>
    <w:rsid w:val="0069052A"/>
    <w:rsid w:val="0069076A"/>
    <w:rsid w:val="006909B7"/>
    <w:rsid w:val="00690B36"/>
    <w:rsid w:val="00690BA0"/>
    <w:rsid w:val="00691664"/>
    <w:rsid w:val="00691770"/>
    <w:rsid w:val="0069186E"/>
    <w:rsid w:val="00691A3A"/>
    <w:rsid w:val="00691BD2"/>
    <w:rsid w:val="0069210E"/>
    <w:rsid w:val="0069222A"/>
    <w:rsid w:val="00692877"/>
    <w:rsid w:val="00693068"/>
    <w:rsid w:val="006930DF"/>
    <w:rsid w:val="00693285"/>
    <w:rsid w:val="0069349E"/>
    <w:rsid w:val="006934CF"/>
    <w:rsid w:val="00693697"/>
    <w:rsid w:val="006937C1"/>
    <w:rsid w:val="00693963"/>
    <w:rsid w:val="00693ACB"/>
    <w:rsid w:val="00693C50"/>
    <w:rsid w:val="006945EA"/>
    <w:rsid w:val="006947BD"/>
    <w:rsid w:val="006947C5"/>
    <w:rsid w:val="00694A77"/>
    <w:rsid w:val="00694C6E"/>
    <w:rsid w:val="00694D4F"/>
    <w:rsid w:val="00694DC8"/>
    <w:rsid w:val="00694EFB"/>
    <w:rsid w:val="006955CD"/>
    <w:rsid w:val="006959F2"/>
    <w:rsid w:val="00695BD7"/>
    <w:rsid w:val="00696448"/>
    <w:rsid w:val="00696530"/>
    <w:rsid w:val="006965F2"/>
    <w:rsid w:val="006967A1"/>
    <w:rsid w:val="006979E4"/>
    <w:rsid w:val="00697AB9"/>
    <w:rsid w:val="00697EA6"/>
    <w:rsid w:val="006A0425"/>
    <w:rsid w:val="006A099C"/>
    <w:rsid w:val="006A0BB2"/>
    <w:rsid w:val="006A0C81"/>
    <w:rsid w:val="006A0EFA"/>
    <w:rsid w:val="006A0FAB"/>
    <w:rsid w:val="006A14B6"/>
    <w:rsid w:val="006A15C5"/>
    <w:rsid w:val="006A164C"/>
    <w:rsid w:val="006A187C"/>
    <w:rsid w:val="006A197A"/>
    <w:rsid w:val="006A1A20"/>
    <w:rsid w:val="006A1DF2"/>
    <w:rsid w:val="006A2477"/>
    <w:rsid w:val="006A2763"/>
    <w:rsid w:val="006A2766"/>
    <w:rsid w:val="006A293B"/>
    <w:rsid w:val="006A2DEE"/>
    <w:rsid w:val="006A3398"/>
    <w:rsid w:val="006A3A96"/>
    <w:rsid w:val="006A4025"/>
    <w:rsid w:val="006A40D7"/>
    <w:rsid w:val="006A4371"/>
    <w:rsid w:val="006A4467"/>
    <w:rsid w:val="006A4700"/>
    <w:rsid w:val="006A4C45"/>
    <w:rsid w:val="006A4C50"/>
    <w:rsid w:val="006A4D08"/>
    <w:rsid w:val="006A4D41"/>
    <w:rsid w:val="006A546E"/>
    <w:rsid w:val="006A5787"/>
    <w:rsid w:val="006A5DD2"/>
    <w:rsid w:val="006A62A4"/>
    <w:rsid w:val="006A66B0"/>
    <w:rsid w:val="006A6A19"/>
    <w:rsid w:val="006A762D"/>
    <w:rsid w:val="006A796B"/>
    <w:rsid w:val="006A799C"/>
    <w:rsid w:val="006A7BC9"/>
    <w:rsid w:val="006A7E40"/>
    <w:rsid w:val="006B00A9"/>
    <w:rsid w:val="006B04EB"/>
    <w:rsid w:val="006B057D"/>
    <w:rsid w:val="006B05D3"/>
    <w:rsid w:val="006B0A00"/>
    <w:rsid w:val="006B0F4B"/>
    <w:rsid w:val="006B1138"/>
    <w:rsid w:val="006B130E"/>
    <w:rsid w:val="006B13BB"/>
    <w:rsid w:val="006B14EB"/>
    <w:rsid w:val="006B16AB"/>
    <w:rsid w:val="006B18EC"/>
    <w:rsid w:val="006B1B43"/>
    <w:rsid w:val="006B1C34"/>
    <w:rsid w:val="006B23C6"/>
    <w:rsid w:val="006B2C90"/>
    <w:rsid w:val="006B3157"/>
    <w:rsid w:val="006B358E"/>
    <w:rsid w:val="006B36E4"/>
    <w:rsid w:val="006B40D8"/>
    <w:rsid w:val="006B41FB"/>
    <w:rsid w:val="006B4316"/>
    <w:rsid w:val="006B4566"/>
    <w:rsid w:val="006B460D"/>
    <w:rsid w:val="006B460E"/>
    <w:rsid w:val="006B46AE"/>
    <w:rsid w:val="006B47DA"/>
    <w:rsid w:val="006B4EC0"/>
    <w:rsid w:val="006B5237"/>
    <w:rsid w:val="006B54E0"/>
    <w:rsid w:val="006B550D"/>
    <w:rsid w:val="006B5CB2"/>
    <w:rsid w:val="006B62DD"/>
    <w:rsid w:val="006B65FF"/>
    <w:rsid w:val="006B6BFB"/>
    <w:rsid w:val="006B6D7C"/>
    <w:rsid w:val="006B70FB"/>
    <w:rsid w:val="006B77B4"/>
    <w:rsid w:val="006B782C"/>
    <w:rsid w:val="006C04FB"/>
    <w:rsid w:val="006C0510"/>
    <w:rsid w:val="006C05F2"/>
    <w:rsid w:val="006C0C3D"/>
    <w:rsid w:val="006C1076"/>
    <w:rsid w:val="006C1465"/>
    <w:rsid w:val="006C162F"/>
    <w:rsid w:val="006C16EE"/>
    <w:rsid w:val="006C1F2E"/>
    <w:rsid w:val="006C1F81"/>
    <w:rsid w:val="006C2583"/>
    <w:rsid w:val="006C26A7"/>
    <w:rsid w:val="006C2832"/>
    <w:rsid w:val="006C2CEA"/>
    <w:rsid w:val="006C30E6"/>
    <w:rsid w:val="006C3273"/>
    <w:rsid w:val="006C3664"/>
    <w:rsid w:val="006C3681"/>
    <w:rsid w:val="006C3B7C"/>
    <w:rsid w:val="006C3D2F"/>
    <w:rsid w:val="006C3EC8"/>
    <w:rsid w:val="006C457A"/>
    <w:rsid w:val="006C45E9"/>
    <w:rsid w:val="006C45F9"/>
    <w:rsid w:val="006C570A"/>
    <w:rsid w:val="006C577B"/>
    <w:rsid w:val="006C5DF1"/>
    <w:rsid w:val="006C5F89"/>
    <w:rsid w:val="006C60F3"/>
    <w:rsid w:val="006C660C"/>
    <w:rsid w:val="006C66D5"/>
    <w:rsid w:val="006C6CE7"/>
    <w:rsid w:val="006C71AB"/>
    <w:rsid w:val="006D0A6F"/>
    <w:rsid w:val="006D0E5A"/>
    <w:rsid w:val="006D0EC4"/>
    <w:rsid w:val="006D0FFD"/>
    <w:rsid w:val="006D1025"/>
    <w:rsid w:val="006D119C"/>
    <w:rsid w:val="006D1319"/>
    <w:rsid w:val="006D2216"/>
    <w:rsid w:val="006D27E6"/>
    <w:rsid w:val="006D2BA8"/>
    <w:rsid w:val="006D2BF9"/>
    <w:rsid w:val="006D2E78"/>
    <w:rsid w:val="006D2EB2"/>
    <w:rsid w:val="006D3267"/>
    <w:rsid w:val="006D359E"/>
    <w:rsid w:val="006D3855"/>
    <w:rsid w:val="006D3A76"/>
    <w:rsid w:val="006D3E6B"/>
    <w:rsid w:val="006D4181"/>
    <w:rsid w:val="006D4789"/>
    <w:rsid w:val="006D4804"/>
    <w:rsid w:val="006D4973"/>
    <w:rsid w:val="006D58B9"/>
    <w:rsid w:val="006D6905"/>
    <w:rsid w:val="006D6B61"/>
    <w:rsid w:val="006D6C20"/>
    <w:rsid w:val="006D6D63"/>
    <w:rsid w:val="006D71A0"/>
    <w:rsid w:val="006D756A"/>
    <w:rsid w:val="006D7A1E"/>
    <w:rsid w:val="006D7C46"/>
    <w:rsid w:val="006E0006"/>
    <w:rsid w:val="006E01B1"/>
    <w:rsid w:val="006E083A"/>
    <w:rsid w:val="006E0857"/>
    <w:rsid w:val="006E0970"/>
    <w:rsid w:val="006E0B85"/>
    <w:rsid w:val="006E0F43"/>
    <w:rsid w:val="006E1006"/>
    <w:rsid w:val="006E10BA"/>
    <w:rsid w:val="006E1305"/>
    <w:rsid w:val="006E18FA"/>
    <w:rsid w:val="006E1B65"/>
    <w:rsid w:val="006E1DBB"/>
    <w:rsid w:val="006E21F0"/>
    <w:rsid w:val="006E227F"/>
    <w:rsid w:val="006E2294"/>
    <w:rsid w:val="006E262F"/>
    <w:rsid w:val="006E29C7"/>
    <w:rsid w:val="006E2A46"/>
    <w:rsid w:val="006E31C8"/>
    <w:rsid w:val="006E320C"/>
    <w:rsid w:val="006E33BF"/>
    <w:rsid w:val="006E3758"/>
    <w:rsid w:val="006E3ACC"/>
    <w:rsid w:val="006E3DCD"/>
    <w:rsid w:val="006E3F7A"/>
    <w:rsid w:val="006E4181"/>
    <w:rsid w:val="006E443A"/>
    <w:rsid w:val="006E4C7E"/>
    <w:rsid w:val="006E4D73"/>
    <w:rsid w:val="006E4EA8"/>
    <w:rsid w:val="006E5002"/>
    <w:rsid w:val="006E51E1"/>
    <w:rsid w:val="006E5453"/>
    <w:rsid w:val="006E5475"/>
    <w:rsid w:val="006E5FC9"/>
    <w:rsid w:val="006E69EE"/>
    <w:rsid w:val="006E6C8C"/>
    <w:rsid w:val="006E7019"/>
    <w:rsid w:val="006E711E"/>
    <w:rsid w:val="006E71FE"/>
    <w:rsid w:val="006E77E2"/>
    <w:rsid w:val="006E7867"/>
    <w:rsid w:val="006E7D6C"/>
    <w:rsid w:val="006F026C"/>
    <w:rsid w:val="006F0574"/>
    <w:rsid w:val="006F08EF"/>
    <w:rsid w:val="006F0AA8"/>
    <w:rsid w:val="006F0D9F"/>
    <w:rsid w:val="006F1246"/>
    <w:rsid w:val="006F1955"/>
    <w:rsid w:val="006F1C41"/>
    <w:rsid w:val="006F1C50"/>
    <w:rsid w:val="006F1E76"/>
    <w:rsid w:val="006F231D"/>
    <w:rsid w:val="006F2659"/>
    <w:rsid w:val="006F277E"/>
    <w:rsid w:val="006F2F98"/>
    <w:rsid w:val="006F345F"/>
    <w:rsid w:val="006F34A5"/>
    <w:rsid w:val="006F34BB"/>
    <w:rsid w:val="006F3881"/>
    <w:rsid w:val="006F38E1"/>
    <w:rsid w:val="006F3B0E"/>
    <w:rsid w:val="006F3CF5"/>
    <w:rsid w:val="006F404A"/>
    <w:rsid w:val="006F414F"/>
    <w:rsid w:val="006F46FA"/>
    <w:rsid w:val="006F4752"/>
    <w:rsid w:val="006F47D6"/>
    <w:rsid w:val="006F48A9"/>
    <w:rsid w:val="006F4AFF"/>
    <w:rsid w:val="006F4F9E"/>
    <w:rsid w:val="006F536D"/>
    <w:rsid w:val="006F56E3"/>
    <w:rsid w:val="006F58AF"/>
    <w:rsid w:val="006F5EBE"/>
    <w:rsid w:val="006F60FB"/>
    <w:rsid w:val="006F64D1"/>
    <w:rsid w:val="006F650B"/>
    <w:rsid w:val="006F650C"/>
    <w:rsid w:val="006F6977"/>
    <w:rsid w:val="006F747F"/>
    <w:rsid w:val="006F7822"/>
    <w:rsid w:val="006F7851"/>
    <w:rsid w:val="0070005F"/>
    <w:rsid w:val="00700528"/>
    <w:rsid w:val="00700696"/>
    <w:rsid w:val="00700BDB"/>
    <w:rsid w:val="00700C18"/>
    <w:rsid w:val="00700D18"/>
    <w:rsid w:val="0070106A"/>
    <w:rsid w:val="007011AB"/>
    <w:rsid w:val="00701AEA"/>
    <w:rsid w:val="00701BC0"/>
    <w:rsid w:val="00701D85"/>
    <w:rsid w:val="00701F5E"/>
    <w:rsid w:val="007021D9"/>
    <w:rsid w:val="007023F5"/>
    <w:rsid w:val="00702B73"/>
    <w:rsid w:val="00702D28"/>
    <w:rsid w:val="0070331E"/>
    <w:rsid w:val="00703343"/>
    <w:rsid w:val="00703AF1"/>
    <w:rsid w:val="00704255"/>
    <w:rsid w:val="007044EB"/>
    <w:rsid w:val="00704C93"/>
    <w:rsid w:val="00704D0F"/>
    <w:rsid w:val="00705453"/>
    <w:rsid w:val="00705752"/>
    <w:rsid w:val="00706347"/>
    <w:rsid w:val="00706747"/>
    <w:rsid w:val="00706B35"/>
    <w:rsid w:val="00706F9F"/>
    <w:rsid w:val="00707090"/>
    <w:rsid w:val="007070EE"/>
    <w:rsid w:val="007071AE"/>
    <w:rsid w:val="00707264"/>
    <w:rsid w:val="0070727E"/>
    <w:rsid w:val="00707B50"/>
    <w:rsid w:val="00710FA6"/>
    <w:rsid w:val="0071108E"/>
    <w:rsid w:val="007112FA"/>
    <w:rsid w:val="007114A6"/>
    <w:rsid w:val="0071172A"/>
    <w:rsid w:val="0071198A"/>
    <w:rsid w:val="00711F73"/>
    <w:rsid w:val="007120C9"/>
    <w:rsid w:val="0071252A"/>
    <w:rsid w:val="0071253A"/>
    <w:rsid w:val="00712925"/>
    <w:rsid w:val="0071329F"/>
    <w:rsid w:val="00714BEE"/>
    <w:rsid w:val="00714FD3"/>
    <w:rsid w:val="00715795"/>
    <w:rsid w:val="007158F7"/>
    <w:rsid w:val="00715952"/>
    <w:rsid w:val="007159AE"/>
    <w:rsid w:val="00715A5D"/>
    <w:rsid w:val="00715D18"/>
    <w:rsid w:val="00715EE8"/>
    <w:rsid w:val="00715F2E"/>
    <w:rsid w:val="007163DD"/>
    <w:rsid w:val="00716795"/>
    <w:rsid w:val="007169A1"/>
    <w:rsid w:val="00716CA0"/>
    <w:rsid w:val="00716F56"/>
    <w:rsid w:val="007178A4"/>
    <w:rsid w:val="007178CC"/>
    <w:rsid w:val="00717B97"/>
    <w:rsid w:val="00717D33"/>
    <w:rsid w:val="00720154"/>
    <w:rsid w:val="007204BF"/>
    <w:rsid w:val="00720CF3"/>
    <w:rsid w:val="00720D32"/>
    <w:rsid w:val="00720D3D"/>
    <w:rsid w:val="00720DE9"/>
    <w:rsid w:val="007211A2"/>
    <w:rsid w:val="00721A9C"/>
    <w:rsid w:val="00721C6C"/>
    <w:rsid w:val="007221FA"/>
    <w:rsid w:val="0072239F"/>
    <w:rsid w:val="0072260B"/>
    <w:rsid w:val="00722853"/>
    <w:rsid w:val="00722A0A"/>
    <w:rsid w:val="007230EC"/>
    <w:rsid w:val="0072321A"/>
    <w:rsid w:val="007232A1"/>
    <w:rsid w:val="00723379"/>
    <w:rsid w:val="007239D7"/>
    <w:rsid w:val="007244C5"/>
    <w:rsid w:val="00724536"/>
    <w:rsid w:val="007253F3"/>
    <w:rsid w:val="00725BC7"/>
    <w:rsid w:val="00725F48"/>
    <w:rsid w:val="00726A4B"/>
    <w:rsid w:val="00726B50"/>
    <w:rsid w:val="00727294"/>
    <w:rsid w:val="00727346"/>
    <w:rsid w:val="00727769"/>
    <w:rsid w:val="00727BF4"/>
    <w:rsid w:val="00727CB4"/>
    <w:rsid w:val="00727D59"/>
    <w:rsid w:val="00727DE3"/>
    <w:rsid w:val="00730D42"/>
    <w:rsid w:val="00731181"/>
    <w:rsid w:val="007312FD"/>
    <w:rsid w:val="00731453"/>
    <w:rsid w:val="007316A4"/>
    <w:rsid w:val="007318DF"/>
    <w:rsid w:val="00732009"/>
    <w:rsid w:val="00732114"/>
    <w:rsid w:val="007322F9"/>
    <w:rsid w:val="0073245D"/>
    <w:rsid w:val="00732527"/>
    <w:rsid w:val="00732B3E"/>
    <w:rsid w:val="00732B4D"/>
    <w:rsid w:val="0073302E"/>
    <w:rsid w:val="007334AC"/>
    <w:rsid w:val="00733881"/>
    <w:rsid w:val="00733AA2"/>
    <w:rsid w:val="00733CAD"/>
    <w:rsid w:val="00733DB9"/>
    <w:rsid w:val="00733DE8"/>
    <w:rsid w:val="00733FAF"/>
    <w:rsid w:val="00734617"/>
    <w:rsid w:val="007346AC"/>
    <w:rsid w:val="00734B53"/>
    <w:rsid w:val="00735149"/>
    <w:rsid w:val="007354D4"/>
    <w:rsid w:val="00735711"/>
    <w:rsid w:val="00735B6D"/>
    <w:rsid w:val="00735C7A"/>
    <w:rsid w:val="00736637"/>
    <w:rsid w:val="0073697C"/>
    <w:rsid w:val="00737041"/>
    <w:rsid w:val="00737046"/>
    <w:rsid w:val="007370B4"/>
    <w:rsid w:val="0073735D"/>
    <w:rsid w:val="0073737D"/>
    <w:rsid w:val="00737D06"/>
    <w:rsid w:val="007402EF"/>
    <w:rsid w:val="0074054B"/>
    <w:rsid w:val="007406ED"/>
    <w:rsid w:val="00740765"/>
    <w:rsid w:val="0074145A"/>
    <w:rsid w:val="00741475"/>
    <w:rsid w:val="007418C9"/>
    <w:rsid w:val="00741B02"/>
    <w:rsid w:val="00741CBC"/>
    <w:rsid w:val="00741FE3"/>
    <w:rsid w:val="007420BB"/>
    <w:rsid w:val="0074211D"/>
    <w:rsid w:val="00742705"/>
    <w:rsid w:val="00742784"/>
    <w:rsid w:val="0074286B"/>
    <w:rsid w:val="00742974"/>
    <w:rsid w:val="00742E83"/>
    <w:rsid w:val="007439AE"/>
    <w:rsid w:val="007439CF"/>
    <w:rsid w:val="00743C5A"/>
    <w:rsid w:val="00743E88"/>
    <w:rsid w:val="007444C1"/>
    <w:rsid w:val="0074479B"/>
    <w:rsid w:val="00744D3C"/>
    <w:rsid w:val="00744DF2"/>
    <w:rsid w:val="00744FCF"/>
    <w:rsid w:val="0074545B"/>
    <w:rsid w:val="00745643"/>
    <w:rsid w:val="007458C6"/>
    <w:rsid w:val="007459A9"/>
    <w:rsid w:val="00745C53"/>
    <w:rsid w:val="00745DFB"/>
    <w:rsid w:val="00745EDC"/>
    <w:rsid w:val="00746166"/>
    <w:rsid w:val="00746362"/>
    <w:rsid w:val="00746592"/>
    <w:rsid w:val="007477CB"/>
    <w:rsid w:val="007478F1"/>
    <w:rsid w:val="00747FE2"/>
    <w:rsid w:val="0075075D"/>
    <w:rsid w:val="00750760"/>
    <w:rsid w:val="00750D2B"/>
    <w:rsid w:val="00750DDB"/>
    <w:rsid w:val="00750FCA"/>
    <w:rsid w:val="00751A4B"/>
    <w:rsid w:val="00752085"/>
    <w:rsid w:val="007525FC"/>
    <w:rsid w:val="00752713"/>
    <w:rsid w:val="00752726"/>
    <w:rsid w:val="0075295B"/>
    <w:rsid w:val="00752E10"/>
    <w:rsid w:val="00753414"/>
    <w:rsid w:val="007535DA"/>
    <w:rsid w:val="0075373B"/>
    <w:rsid w:val="00753FA3"/>
    <w:rsid w:val="00754BEB"/>
    <w:rsid w:val="00754D6D"/>
    <w:rsid w:val="00754F62"/>
    <w:rsid w:val="007554D1"/>
    <w:rsid w:val="00755955"/>
    <w:rsid w:val="00755B35"/>
    <w:rsid w:val="00755CC8"/>
    <w:rsid w:val="00755E92"/>
    <w:rsid w:val="00755F55"/>
    <w:rsid w:val="00756394"/>
    <w:rsid w:val="00756497"/>
    <w:rsid w:val="00756552"/>
    <w:rsid w:val="00756ABB"/>
    <w:rsid w:val="007577F6"/>
    <w:rsid w:val="007579AE"/>
    <w:rsid w:val="007579E2"/>
    <w:rsid w:val="00757C86"/>
    <w:rsid w:val="00760543"/>
    <w:rsid w:val="00760556"/>
    <w:rsid w:val="007608FB"/>
    <w:rsid w:val="00760D85"/>
    <w:rsid w:val="007611B8"/>
    <w:rsid w:val="00761233"/>
    <w:rsid w:val="0076126B"/>
    <w:rsid w:val="007616A6"/>
    <w:rsid w:val="007618D3"/>
    <w:rsid w:val="00761940"/>
    <w:rsid w:val="00761A1F"/>
    <w:rsid w:val="00761AFD"/>
    <w:rsid w:val="00761D1B"/>
    <w:rsid w:val="00762267"/>
    <w:rsid w:val="007622F7"/>
    <w:rsid w:val="00762789"/>
    <w:rsid w:val="00762D06"/>
    <w:rsid w:val="00762D0E"/>
    <w:rsid w:val="00762DE1"/>
    <w:rsid w:val="00762E01"/>
    <w:rsid w:val="00763A14"/>
    <w:rsid w:val="0076407E"/>
    <w:rsid w:val="00764110"/>
    <w:rsid w:val="007641F0"/>
    <w:rsid w:val="0076421E"/>
    <w:rsid w:val="007642D8"/>
    <w:rsid w:val="00764456"/>
    <w:rsid w:val="0076476C"/>
    <w:rsid w:val="00764A57"/>
    <w:rsid w:val="00764CC7"/>
    <w:rsid w:val="00764DA4"/>
    <w:rsid w:val="00764E15"/>
    <w:rsid w:val="00764E8C"/>
    <w:rsid w:val="00765D66"/>
    <w:rsid w:val="00765F41"/>
    <w:rsid w:val="007660F7"/>
    <w:rsid w:val="007660F9"/>
    <w:rsid w:val="007667D9"/>
    <w:rsid w:val="00766898"/>
    <w:rsid w:val="007670FA"/>
    <w:rsid w:val="0076773C"/>
    <w:rsid w:val="00767852"/>
    <w:rsid w:val="00767D34"/>
    <w:rsid w:val="0077067E"/>
    <w:rsid w:val="00770FA7"/>
    <w:rsid w:val="007712BF"/>
    <w:rsid w:val="0077170E"/>
    <w:rsid w:val="0077186C"/>
    <w:rsid w:val="00771E26"/>
    <w:rsid w:val="00771F80"/>
    <w:rsid w:val="0077215A"/>
    <w:rsid w:val="0077220B"/>
    <w:rsid w:val="00772561"/>
    <w:rsid w:val="00772910"/>
    <w:rsid w:val="00772A08"/>
    <w:rsid w:val="00772BA3"/>
    <w:rsid w:val="00772C6B"/>
    <w:rsid w:val="0077307B"/>
    <w:rsid w:val="0077392D"/>
    <w:rsid w:val="00773BFA"/>
    <w:rsid w:val="00773C98"/>
    <w:rsid w:val="00773D82"/>
    <w:rsid w:val="00773E3E"/>
    <w:rsid w:val="0077482F"/>
    <w:rsid w:val="00774A99"/>
    <w:rsid w:val="00774ADC"/>
    <w:rsid w:val="00774E06"/>
    <w:rsid w:val="007753D6"/>
    <w:rsid w:val="007756CB"/>
    <w:rsid w:val="0077571D"/>
    <w:rsid w:val="007759C3"/>
    <w:rsid w:val="00775BC2"/>
    <w:rsid w:val="00775F49"/>
    <w:rsid w:val="007763B8"/>
    <w:rsid w:val="0077641A"/>
    <w:rsid w:val="00776A64"/>
    <w:rsid w:val="00776ADF"/>
    <w:rsid w:val="00776C58"/>
    <w:rsid w:val="00777036"/>
    <w:rsid w:val="00777103"/>
    <w:rsid w:val="0077710D"/>
    <w:rsid w:val="00777753"/>
    <w:rsid w:val="007778FA"/>
    <w:rsid w:val="00777DA8"/>
    <w:rsid w:val="00777DD7"/>
    <w:rsid w:val="00777FE0"/>
    <w:rsid w:val="007801AA"/>
    <w:rsid w:val="007806CC"/>
    <w:rsid w:val="007809BA"/>
    <w:rsid w:val="00780A77"/>
    <w:rsid w:val="007812DE"/>
    <w:rsid w:val="0078149C"/>
    <w:rsid w:val="00781667"/>
    <w:rsid w:val="00781795"/>
    <w:rsid w:val="00781A63"/>
    <w:rsid w:val="00781CC3"/>
    <w:rsid w:val="00781D40"/>
    <w:rsid w:val="007820C9"/>
    <w:rsid w:val="0078243F"/>
    <w:rsid w:val="00782A33"/>
    <w:rsid w:val="0078329D"/>
    <w:rsid w:val="007832C4"/>
    <w:rsid w:val="00783372"/>
    <w:rsid w:val="00783690"/>
    <w:rsid w:val="00783801"/>
    <w:rsid w:val="007838B7"/>
    <w:rsid w:val="00783C09"/>
    <w:rsid w:val="00783F49"/>
    <w:rsid w:val="007843F4"/>
    <w:rsid w:val="00784B91"/>
    <w:rsid w:val="00784F77"/>
    <w:rsid w:val="00784F7C"/>
    <w:rsid w:val="0078508F"/>
    <w:rsid w:val="007851E1"/>
    <w:rsid w:val="00785884"/>
    <w:rsid w:val="00785A12"/>
    <w:rsid w:val="00785A1D"/>
    <w:rsid w:val="00785AA2"/>
    <w:rsid w:val="00785AEE"/>
    <w:rsid w:val="00785B6A"/>
    <w:rsid w:val="00785FCA"/>
    <w:rsid w:val="007860F7"/>
    <w:rsid w:val="007861EC"/>
    <w:rsid w:val="00786379"/>
    <w:rsid w:val="007864F2"/>
    <w:rsid w:val="007867C7"/>
    <w:rsid w:val="00786862"/>
    <w:rsid w:val="00786B21"/>
    <w:rsid w:val="007875DF"/>
    <w:rsid w:val="00787867"/>
    <w:rsid w:val="00787AC4"/>
    <w:rsid w:val="00787B62"/>
    <w:rsid w:val="00787C50"/>
    <w:rsid w:val="0079025C"/>
    <w:rsid w:val="00790322"/>
    <w:rsid w:val="007904E5"/>
    <w:rsid w:val="007904F7"/>
    <w:rsid w:val="00790660"/>
    <w:rsid w:val="0079082A"/>
    <w:rsid w:val="00790A1C"/>
    <w:rsid w:val="00790B01"/>
    <w:rsid w:val="00790C4F"/>
    <w:rsid w:val="00791401"/>
    <w:rsid w:val="00791A6A"/>
    <w:rsid w:val="00791B2F"/>
    <w:rsid w:val="00791E42"/>
    <w:rsid w:val="00792161"/>
    <w:rsid w:val="0079245C"/>
    <w:rsid w:val="00792757"/>
    <w:rsid w:val="0079279B"/>
    <w:rsid w:val="0079283F"/>
    <w:rsid w:val="00792A52"/>
    <w:rsid w:val="00792BEF"/>
    <w:rsid w:val="00792E00"/>
    <w:rsid w:val="00793018"/>
    <w:rsid w:val="00793602"/>
    <w:rsid w:val="007939F0"/>
    <w:rsid w:val="00793F32"/>
    <w:rsid w:val="007943AF"/>
    <w:rsid w:val="007947CB"/>
    <w:rsid w:val="0079521E"/>
    <w:rsid w:val="0079581E"/>
    <w:rsid w:val="0079603C"/>
    <w:rsid w:val="00796148"/>
    <w:rsid w:val="0079687A"/>
    <w:rsid w:val="00796C84"/>
    <w:rsid w:val="00796EA4"/>
    <w:rsid w:val="007971E9"/>
    <w:rsid w:val="00797272"/>
    <w:rsid w:val="00797BC5"/>
    <w:rsid w:val="00797D2E"/>
    <w:rsid w:val="007A01A6"/>
    <w:rsid w:val="007A05D3"/>
    <w:rsid w:val="007A05FD"/>
    <w:rsid w:val="007A09E6"/>
    <w:rsid w:val="007A1097"/>
    <w:rsid w:val="007A146A"/>
    <w:rsid w:val="007A1F96"/>
    <w:rsid w:val="007A22B8"/>
    <w:rsid w:val="007A283F"/>
    <w:rsid w:val="007A2C47"/>
    <w:rsid w:val="007A2D15"/>
    <w:rsid w:val="007A31BE"/>
    <w:rsid w:val="007A31F9"/>
    <w:rsid w:val="007A37A4"/>
    <w:rsid w:val="007A37F4"/>
    <w:rsid w:val="007A38B3"/>
    <w:rsid w:val="007A3903"/>
    <w:rsid w:val="007A3AEA"/>
    <w:rsid w:val="007A3B3F"/>
    <w:rsid w:val="007A3D01"/>
    <w:rsid w:val="007A402E"/>
    <w:rsid w:val="007A4219"/>
    <w:rsid w:val="007A43D9"/>
    <w:rsid w:val="007A4733"/>
    <w:rsid w:val="007A47C6"/>
    <w:rsid w:val="007A4B65"/>
    <w:rsid w:val="007A4BA3"/>
    <w:rsid w:val="007A4C6F"/>
    <w:rsid w:val="007A4E1C"/>
    <w:rsid w:val="007A4ED4"/>
    <w:rsid w:val="007A4FD3"/>
    <w:rsid w:val="007A63BF"/>
    <w:rsid w:val="007A71E7"/>
    <w:rsid w:val="007A766B"/>
    <w:rsid w:val="007A7A5E"/>
    <w:rsid w:val="007A7DED"/>
    <w:rsid w:val="007B00D1"/>
    <w:rsid w:val="007B061E"/>
    <w:rsid w:val="007B0B6E"/>
    <w:rsid w:val="007B1164"/>
    <w:rsid w:val="007B11A9"/>
    <w:rsid w:val="007B1346"/>
    <w:rsid w:val="007B140D"/>
    <w:rsid w:val="007B16F8"/>
    <w:rsid w:val="007B197C"/>
    <w:rsid w:val="007B198D"/>
    <w:rsid w:val="007B1E89"/>
    <w:rsid w:val="007B1F52"/>
    <w:rsid w:val="007B1F7C"/>
    <w:rsid w:val="007B27B4"/>
    <w:rsid w:val="007B2802"/>
    <w:rsid w:val="007B2CC8"/>
    <w:rsid w:val="007B3132"/>
    <w:rsid w:val="007B3314"/>
    <w:rsid w:val="007B3613"/>
    <w:rsid w:val="007B373E"/>
    <w:rsid w:val="007B384D"/>
    <w:rsid w:val="007B3BA0"/>
    <w:rsid w:val="007B3D4A"/>
    <w:rsid w:val="007B4113"/>
    <w:rsid w:val="007B431B"/>
    <w:rsid w:val="007B43FC"/>
    <w:rsid w:val="007B4412"/>
    <w:rsid w:val="007B47D4"/>
    <w:rsid w:val="007B480E"/>
    <w:rsid w:val="007B4823"/>
    <w:rsid w:val="007B4EC0"/>
    <w:rsid w:val="007B4F37"/>
    <w:rsid w:val="007B5135"/>
    <w:rsid w:val="007B51F1"/>
    <w:rsid w:val="007B5257"/>
    <w:rsid w:val="007B5837"/>
    <w:rsid w:val="007B608C"/>
    <w:rsid w:val="007B6535"/>
    <w:rsid w:val="007B6D2E"/>
    <w:rsid w:val="007B6D78"/>
    <w:rsid w:val="007B6D7A"/>
    <w:rsid w:val="007B6D8F"/>
    <w:rsid w:val="007B7559"/>
    <w:rsid w:val="007B76C3"/>
    <w:rsid w:val="007B76F2"/>
    <w:rsid w:val="007B7BAE"/>
    <w:rsid w:val="007B7EA7"/>
    <w:rsid w:val="007C11ED"/>
    <w:rsid w:val="007C1472"/>
    <w:rsid w:val="007C1914"/>
    <w:rsid w:val="007C2067"/>
    <w:rsid w:val="007C263F"/>
    <w:rsid w:val="007C2698"/>
    <w:rsid w:val="007C27BC"/>
    <w:rsid w:val="007C2A32"/>
    <w:rsid w:val="007C2A69"/>
    <w:rsid w:val="007C2B43"/>
    <w:rsid w:val="007C2CCA"/>
    <w:rsid w:val="007C308F"/>
    <w:rsid w:val="007C3122"/>
    <w:rsid w:val="007C33A4"/>
    <w:rsid w:val="007C348B"/>
    <w:rsid w:val="007C364B"/>
    <w:rsid w:val="007C36CA"/>
    <w:rsid w:val="007C3867"/>
    <w:rsid w:val="007C3C8B"/>
    <w:rsid w:val="007C41F6"/>
    <w:rsid w:val="007C4371"/>
    <w:rsid w:val="007C472A"/>
    <w:rsid w:val="007C477E"/>
    <w:rsid w:val="007C48BE"/>
    <w:rsid w:val="007C4BCE"/>
    <w:rsid w:val="007C4EA8"/>
    <w:rsid w:val="007C514A"/>
    <w:rsid w:val="007C518E"/>
    <w:rsid w:val="007C5400"/>
    <w:rsid w:val="007C5554"/>
    <w:rsid w:val="007C5CE3"/>
    <w:rsid w:val="007C5EB7"/>
    <w:rsid w:val="007C6495"/>
    <w:rsid w:val="007C6706"/>
    <w:rsid w:val="007C6AA2"/>
    <w:rsid w:val="007C6EAA"/>
    <w:rsid w:val="007C6EB3"/>
    <w:rsid w:val="007C6ECA"/>
    <w:rsid w:val="007C7BDE"/>
    <w:rsid w:val="007C7E1E"/>
    <w:rsid w:val="007D00DF"/>
    <w:rsid w:val="007D0603"/>
    <w:rsid w:val="007D0615"/>
    <w:rsid w:val="007D082B"/>
    <w:rsid w:val="007D0C23"/>
    <w:rsid w:val="007D10F6"/>
    <w:rsid w:val="007D117B"/>
    <w:rsid w:val="007D1677"/>
    <w:rsid w:val="007D1854"/>
    <w:rsid w:val="007D1C4B"/>
    <w:rsid w:val="007D1D3B"/>
    <w:rsid w:val="007D2187"/>
    <w:rsid w:val="007D229D"/>
    <w:rsid w:val="007D25BC"/>
    <w:rsid w:val="007D2884"/>
    <w:rsid w:val="007D29CE"/>
    <w:rsid w:val="007D2C9B"/>
    <w:rsid w:val="007D2F88"/>
    <w:rsid w:val="007D2F8D"/>
    <w:rsid w:val="007D3179"/>
    <w:rsid w:val="007D45FF"/>
    <w:rsid w:val="007D481E"/>
    <w:rsid w:val="007D4AB6"/>
    <w:rsid w:val="007D4B22"/>
    <w:rsid w:val="007D4E91"/>
    <w:rsid w:val="007D4EE8"/>
    <w:rsid w:val="007D50FD"/>
    <w:rsid w:val="007D5363"/>
    <w:rsid w:val="007D5449"/>
    <w:rsid w:val="007D5534"/>
    <w:rsid w:val="007D56E9"/>
    <w:rsid w:val="007D5758"/>
    <w:rsid w:val="007D5923"/>
    <w:rsid w:val="007D5C33"/>
    <w:rsid w:val="007D5EBC"/>
    <w:rsid w:val="007D5F35"/>
    <w:rsid w:val="007D6403"/>
    <w:rsid w:val="007D6B3C"/>
    <w:rsid w:val="007D7190"/>
    <w:rsid w:val="007D74F0"/>
    <w:rsid w:val="007D7D73"/>
    <w:rsid w:val="007E0104"/>
    <w:rsid w:val="007E0327"/>
    <w:rsid w:val="007E065E"/>
    <w:rsid w:val="007E08CF"/>
    <w:rsid w:val="007E0B6F"/>
    <w:rsid w:val="007E0C6B"/>
    <w:rsid w:val="007E14B4"/>
    <w:rsid w:val="007E1820"/>
    <w:rsid w:val="007E1919"/>
    <w:rsid w:val="007E22DB"/>
    <w:rsid w:val="007E2333"/>
    <w:rsid w:val="007E24AF"/>
    <w:rsid w:val="007E2959"/>
    <w:rsid w:val="007E2CB4"/>
    <w:rsid w:val="007E2F0E"/>
    <w:rsid w:val="007E3169"/>
    <w:rsid w:val="007E35F2"/>
    <w:rsid w:val="007E3F5A"/>
    <w:rsid w:val="007E4475"/>
    <w:rsid w:val="007E48FF"/>
    <w:rsid w:val="007E4ECB"/>
    <w:rsid w:val="007E5278"/>
    <w:rsid w:val="007E536E"/>
    <w:rsid w:val="007E5AD1"/>
    <w:rsid w:val="007E5AD9"/>
    <w:rsid w:val="007E5C43"/>
    <w:rsid w:val="007E5F8D"/>
    <w:rsid w:val="007E629F"/>
    <w:rsid w:val="007E642D"/>
    <w:rsid w:val="007E6646"/>
    <w:rsid w:val="007E679C"/>
    <w:rsid w:val="007E6818"/>
    <w:rsid w:val="007E6819"/>
    <w:rsid w:val="007E6F77"/>
    <w:rsid w:val="007E7B22"/>
    <w:rsid w:val="007E7C2E"/>
    <w:rsid w:val="007E7DCA"/>
    <w:rsid w:val="007E7F34"/>
    <w:rsid w:val="007E7F54"/>
    <w:rsid w:val="007F0083"/>
    <w:rsid w:val="007F037A"/>
    <w:rsid w:val="007F08EC"/>
    <w:rsid w:val="007F12AD"/>
    <w:rsid w:val="007F15C3"/>
    <w:rsid w:val="007F18C8"/>
    <w:rsid w:val="007F18FA"/>
    <w:rsid w:val="007F1A6B"/>
    <w:rsid w:val="007F1D7C"/>
    <w:rsid w:val="007F2545"/>
    <w:rsid w:val="007F2BA6"/>
    <w:rsid w:val="007F3088"/>
    <w:rsid w:val="007F32C9"/>
    <w:rsid w:val="007F340A"/>
    <w:rsid w:val="007F35A0"/>
    <w:rsid w:val="007F4249"/>
    <w:rsid w:val="007F4643"/>
    <w:rsid w:val="007F52F1"/>
    <w:rsid w:val="007F5B9D"/>
    <w:rsid w:val="007F5E2A"/>
    <w:rsid w:val="007F66D7"/>
    <w:rsid w:val="007F6F7A"/>
    <w:rsid w:val="007F7420"/>
    <w:rsid w:val="007F75C9"/>
    <w:rsid w:val="007F786D"/>
    <w:rsid w:val="008000C5"/>
    <w:rsid w:val="0080079F"/>
    <w:rsid w:val="00800B5A"/>
    <w:rsid w:val="00800E10"/>
    <w:rsid w:val="00801416"/>
    <w:rsid w:val="00801811"/>
    <w:rsid w:val="00801F39"/>
    <w:rsid w:val="008025A7"/>
    <w:rsid w:val="00802698"/>
    <w:rsid w:val="00802711"/>
    <w:rsid w:val="00803081"/>
    <w:rsid w:val="008037C4"/>
    <w:rsid w:val="0080394D"/>
    <w:rsid w:val="008040FC"/>
    <w:rsid w:val="00804202"/>
    <w:rsid w:val="0080475D"/>
    <w:rsid w:val="00805689"/>
    <w:rsid w:val="00805D15"/>
    <w:rsid w:val="00805E38"/>
    <w:rsid w:val="00806C88"/>
    <w:rsid w:val="00807076"/>
    <w:rsid w:val="00807662"/>
    <w:rsid w:val="00807AA5"/>
    <w:rsid w:val="00807EA8"/>
    <w:rsid w:val="008102DA"/>
    <w:rsid w:val="00810394"/>
    <w:rsid w:val="00810583"/>
    <w:rsid w:val="00810594"/>
    <w:rsid w:val="008107C7"/>
    <w:rsid w:val="00810924"/>
    <w:rsid w:val="00810A4C"/>
    <w:rsid w:val="00810C97"/>
    <w:rsid w:val="00810DB7"/>
    <w:rsid w:val="0081130A"/>
    <w:rsid w:val="008114B8"/>
    <w:rsid w:val="008117DE"/>
    <w:rsid w:val="00811A61"/>
    <w:rsid w:val="00811A79"/>
    <w:rsid w:val="00811BE4"/>
    <w:rsid w:val="008123E5"/>
    <w:rsid w:val="008124F4"/>
    <w:rsid w:val="008125FD"/>
    <w:rsid w:val="008126B4"/>
    <w:rsid w:val="008128F5"/>
    <w:rsid w:val="00812942"/>
    <w:rsid w:val="00812A2A"/>
    <w:rsid w:val="00813026"/>
    <w:rsid w:val="008130E7"/>
    <w:rsid w:val="008134CB"/>
    <w:rsid w:val="0081365B"/>
    <w:rsid w:val="00813897"/>
    <w:rsid w:val="0081397A"/>
    <w:rsid w:val="00814144"/>
    <w:rsid w:val="008141F0"/>
    <w:rsid w:val="008144C5"/>
    <w:rsid w:val="00814D68"/>
    <w:rsid w:val="00814DF3"/>
    <w:rsid w:val="0081532F"/>
    <w:rsid w:val="00815479"/>
    <w:rsid w:val="00815A5C"/>
    <w:rsid w:val="00815BDC"/>
    <w:rsid w:val="008163D5"/>
    <w:rsid w:val="00816592"/>
    <w:rsid w:val="00816E7C"/>
    <w:rsid w:val="008176E0"/>
    <w:rsid w:val="00817873"/>
    <w:rsid w:val="008200B8"/>
    <w:rsid w:val="00820451"/>
    <w:rsid w:val="008204FD"/>
    <w:rsid w:val="008206C4"/>
    <w:rsid w:val="008207F6"/>
    <w:rsid w:val="00820C03"/>
    <w:rsid w:val="00820CF6"/>
    <w:rsid w:val="00820F1C"/>
    <w:rsid w:val="00820F68"/>
    <w:rsid w:val="00821024"/>
    <w:rsid w:val="00821262"/>
    <w:rsid w:val="00821C85"/>
    <w:rsid w:val="00821EEC"/>
    <w:rsid w:val="00822631"/>
    <w:rsid w:val="008226F0"/>
    <w:rsid w:val="008227BC"/>
    <w:rsid w:val="00822AEC"/>
    <w:rsid w:val="008230D6"/>
    <w:rsid w:val="00823238"/>
    <w:rsid w:val="008234CC"/>
    <w:rsid w:val="00823550"/>
    <w:rsid w:val="008236C5"/>
    <w:rsid w:val="00823887"/>
    <w:rsid w:val="00823B14"/>
    <w:rsid w:val="00824171"/>
    <w:rsid w:val="00824EDE"/>
    <w:rsid w:val="0082545D"/>
    <w:rsid w:val="00825489"/>
    <w:rsid w:val="0082589D"/>
    <w:rsid w:val="00825AE4"/>
    <w:rsid w:val="00825D71"/>
    <w:rsid w:val="00825DF1"/>
    <w:rsid w:val="00826116"/>
    <w:rsid w:val="0082647E"/>
    <w:rsid w:val="0082677C"/>
    <w:rsid w:val="008273E7"/>
    <w:rsid w:val="00827625"/>
    <w:rsid w:val="008276BD"/>
    <w:rsid w:val="008276EA"/>
    <w:rsid w:val="0082776D"/>
    <w:rsid w:val="00827C6E"/>
    <w:rsid w:val="00827CEB"/>
    <w:rsid w:val="008300F0"/>
    <w:rsid w:val="0083017C"/>
    <w:rsid w:val="00830404"/>
    <w:rsid w:val="008307A6"/>
    <w:rsid w:val="00830B7E"/>
    <w:rsid w:val="0083118D"/>
    <w:rsid w:val="008313B0"/>
    <w:rsid w:val="00831538"/>
    <w:rsid w:val="008318F9"/>
    <w:rsid w:val="00831A6B"/>
    <w:rsid w:val="00831EDB"/>
    <w:rsid w:val="00831F08"/>
    <w:rsid w:val="0083212F"/>
    <w:rsid w:val="008321EF"/>
    <w:rsid w:val="008321FA"/>
    <w:rsid w:val="00832211"/>
    <w:rsid w:val="00832252"/>
    <w:rsid w:val="008329DB"/>
    <w:rsid w:val="00832F21"/>
    <w:rsid w:val="008332B4"/>
    <w:rsid w:val="008334B7"/>
    <w:rsid w:val="00833B8A"/>
    <w:rsid w:val="00833DD1"/>
    <w:rsid w:val="00833E5D"/>
    <w:rsid w:val="00834526"/>
    <w:rsid w:val="008352BE"/>
    <w:rsid w:val="0083594F"/>
    <w:rsid w:val="0083644E"/>
    <w:rsid w:val="00836702"/>
    <w:rsid w:val="00836A4F"/>
    <w:rsid w:val="00836DDA"/>
    <w:rsid w:val="00836EF0"/>
    <w:rsid w:val="00837439"/>
    <w:rsid w:val="0083775B"/>
    <w:rsid w:val="00837813"/>
    <w:rsid w:val="00837AB3"/>
    <w:rsid w:val="0084076F"/>
    <w:rsid w:val="00840DFB"/>
    <w:rsid w:val="00840E2E"/>
    <w:rsid w:val="00840EEC"/>
    <w:rsid w:val="008410F5"/>
    <w:rsid w:val="008411FB"/>
    <w:rsid w:val="00841202"/>
    <w:rsid w:val="00841303"/>
    <w:rsid w:val="008419A5"/>
    <w:rsid w:val="00841F95"/>
    <w:rsid w:val="00842269"/>
    <w:rsid w:val="00842D21"/>
    <w:rsid w:val="00843072"/>
    <w:rsid w:val="00843142"/>
    <w:rsid w:val="008432D3"/>
    <w:rsid w:val="0084333A"/>
    <w:rsid w:val="008445F6"/>
    <w:rsid w:val="00844792"/>
    <w:rsid w:val="008448E9"/>
    <w:rsid w:val="00844B7E"/>
    <w:rsid w:val="00844B85"/>
    <w:rsid w:val="0084589F"/>
    <w:rsid w:val="00845ACB"/>
    <w:rsid w:val="00845B48"/>
    <w:rsid w:val="00845B99"/>
    <w:rsid w:val="00845D15"/>
    <w:rsid w:val="00845D24"/>
    <w:rsid w:val="00846391"/>
    <w:rsid w:val="0084645D"/>
    <w:rsid w:val="0084654E"/>
    <w:rsid w:val="00846925"/>
    <w:rsid w:val="00846C88"/>
    <w:rsid w:val="00846CDC"/>
    <w:rsid w:val="00846F26"/>
    <w:rsid w:val="00847A28"/>
    <w:rsid w:val="00850090"/>
    <w:rsid w:val="008500A9"/>
    <w:rsid w:val="00850A6C"/>
    <w:rsid w:val="00850A7D"/>
    <w:rsid w:val="00850CB7"/>
    <w:rsid w:val="00850DE6"/>
    <w:rsid w:val="00851597"/>
    <w:rsid w:val="008515D4"/>
    <w:rsid w:val="00851721"/>
    <w:rsid w:val="0085205A"/>
    <w:rsid w:val="0085232C"/>
    <w:rsid w:val="00852345"/>
    <w:rsid w:val="00852C4A"/>
    <w:rsid w:val="00853003"/>
    <w:rsid w:val="00853271"/>
    <w:rsid w:val="0085362D"/>
    <w:rsid w:val="008536DA"/>
    <w:rsid w:val="008538DB"/>
    <w:rsid w:val="008538ED"/>
    <w:rsid w:val="00853987"/>
    <w:rsid w:val="00854775"/>
    <w:rsid w:val="00854A92"/>
    <w:rsid w:val="00854AFC"/>
    <w:rsid w:val="00854E25"/>
    <w:rsid w:val="00854E47"/>
    <w:rsid w:val="008551D1"/>
    <w:rsid w:val="00855B3A"/>
    <w:rsid w:val="00855D27"/>
    <w:rsid w:val="00856840"/>
    <w:rsid w:val="00856B69"/>
    <w:rsid w:val="0085709E"/>
    <w:rsid w:val="008577AF"/>
    <w:rsid w:val="008579A6"/>
    <w:rsid w:val="00857A36"/>
    <w:rsid w:val="00857B1E"/>
    <w:rsid w:val="00857C12"/>
    <w:rsid w:val="00857F3D"/>
    <w:rsid w:val="0086000C"/>
    <w:rsid w:val="008601F2"/>
    <w:rsid w:val="008602BB"/>
    <w:rsid w:val="00860E4E"/>
    <w:rsid w:val="00860EA0"/>
    <w:rsid w:val="00860FAB"/>
    <w:rsid w:val="00861101"/>
    <w:rsid w:val="0086110F"/>
    <w:rsid w:val="00861AF5"/>
    <w:rsid w:val="008637EB"/>
    <w:rsid w:val="00863896"/>
    <w:rsid w:val="008638D3"/>
    <w:rsid w:val="00863B8B"/>
    <w:rsid w:val="008641E8"/>
    <w:rsid w:val="0086429F"/>
    <w:rsid w:val="00864302"/>
    <w:rsid w:val="00864309"/>
    <w:rsid w:val="0086483B"/>
    <w:rsid w:val="00864DAF"/>
    <w:rsid w:val="00864E4E"/>
    <w:rsid w:val="00865097"/>
    <w:rsid w:val="00865535"/>
    <w:rsid w:val="00865EE9"/>
    <w:rsid w:val="0086636C"/>
    <w:rsid w:val="00866443"/>
    <w:rsid w:val="00866511"/>
    <w:rsid w:val="008666A0"/>
    <w:rsid w:val="00866A50"/>
    <w:rsid w:val="00866B22"/>
    <w:rsid w:val="008671AA"/>
    <w:rsid w:val="00867573"/>
    <w:rsid w:val="00867831"/>
    <w:rsid w:val="00867877"/>
    <w:rsid w:val="008678D0"/>
    <w:rsid w:val="00867C64"/>
    <w:rsid w:val="0087003F"/>
    <w:rsid w:val="00870F09"/>
    <w:rsid w:val="00870F1D"/>
    <w:rsid w:val="008715CB"/>
    <w:rsid w:val="0087169B"/>
    <w:rsid w:val="008721A0"/>
    <w:rsid w:val="0087260D"/>
    <w:rsid w:val="008727CD"/>
    <w:rsid w:val="008727D8"/>
    <w:rsid w:val="00872801"/>
    <w:rsid w:val="00872ABD"/>
    <w:rsid w:val="008730AA"/>
    <w:rsid w:val="008731C0"/>
    <w:rsid w:val="008732E8"/>
    <w:rsid w:val="008732FF"/>
    <w:rsid w:val="0087362D"/>
    <w:rsid w:val="0087374E"/>
    <w:rsid w:val="00873B35"/>
    <w:rsid w:val="00873EB9"/>
    <w:rsid w:val="00873FFC"/>
    <w:rsid w:val="0087446E"/>
    <w:rsid w:val="00874B42"/>
    <w:rsid w:val="0087524D"/>
    <w:rsid w:val="00875566"/>
    <w:rsid w:val="0087581F"/>
    <w:rsid w:val="008759AC"/>
    <w:rsid w:val="00875AA7"/>
    <w:rsid w:val="00875CD3"/>
    <w:rsid w:val="00876BC7"/>
    <w:rsid w:val="00876EAC"/>
    <w:rsid w:val="0087722B"/>
    <w:rsid w:val="00877914"/>
    <w:rsid w:val="00877975"/>
    <w:rsid w:val="00877ACC"/>
    <w:rsid w:val="00877CF8"/>
    <w:rsid w:val="00880403"/>
    <w:rsid w:val="00880758"/>
    <w:rsid w:val="008811B0"/>
    <w:rsid w:val="008814CC"/>
    <w:rsid w:val="00881960"/>
    <w:rsid w:val="00881C82"/>
    <w:rsid w:val="00881F0A"/>
    <w:rsid w:val="008826AF"/>
    <w:rsid w:val="00882A32"/>
    <w:rsid w:val="00882D59"/>
    <w:rsid w:val="00883406"/>
    <w:rsid w:val="00883EEB"/>
    <w:rsid w:val="00883F73"/>
    <w:rsid w:val="0088426E"/>
    <w:rsid w:val="00884348"/>
    <w:rsid w:val="00884D2F"/>
    <w:rsid w:val="00884DA4"/>
    <w:rsid w:val="00885159"/>
    <w:rsid w:val="008858A3"/>
    <w:rsid w:val="00885968"/>
    <w:rsid w:val="00885BBF"/>
    <w:rsid w:val="00885C57"/>
    <w:rsid w:val="008861D3"/>
    <w:rsid w:val="00886BDE"/>
    <w:rsid w:val="00886E96"/>
    <w:rsid w:val="00887D0A"/>
    <w:rsid w:val="00887F73"/>
    <w:rsid w:val="00890167"/>
    <w:rsid w:val="008903CB"/>
    <w:rsid w:val="0089049E"/>
    <w:rsid w:val="00890838"/>
    <w:rsid w:val="0089091A"/>
    <w:rsid w:val="00891289"/>
    <w:rsid w:val="00891463"/>
    <w:rsid w:val="00891899"/>
    <w:rsid w:val="00891CB9"/>
    <w:rsid w:val="00891CBC"/>
    <w:rsid w:val="00891FB0"/>
    <w:rsid w:val="0089215E"/>
    <w:rsid w:val="00892497"/>
    <w:rsid w:val="008924C4"/>
    <w:rsid w:val="0089267F"/>
    <w:rsid w:val="0089285A"/>
    <w:rsid w:val="00892864"/>
    <w:rsid w:val="00892A95"/>
    <w:rsid w:val="00892F2C"/>
    <w:rsid w:val="008933FC"/>
    <w:rsid w:val="008934CA"/>
    <w:rsid w:val="00893540"/>
    <w:rsid w:val="008936D2"/>
    <w:rsid w:val="00893E62"/>
    <w:rsid w:val="00893F96"/>
    <w:rsid w:val="008948B8"/>
    <w:rsid w:val="00894C49"/>
    <w:rsid w:val="00894CCD"/>
    <w:rsid w:val="00895015"/>
    <w:rsid w:val="0089550A"/>
    <w:rsid w:val="00895DD3"/>
    <w:rsid w:val="00895F89"/>
    <w:rsid w:val="008962D2"/>
    <w:rsid w:val="00896312"/>
    <w:rsid w:val="00896414"/>
    <w:rsid w:val="00896E0B"/>
    <w:rsid w:val="008972DE"/>
    <w:rsid w:val="008978A8"/>
    <w:rsid w:val="00897A8F"/>
    <w:rsid w:val="00897E3F"/>
    <w:rsid w:val="00897EE1"/>
    <w:rsid w:val="008A0964"/>
    <w:rsid w:val="008A0C32"/>
    <w:rsid w:val="008A0D6A"/>
    <w:rsid w:val="008A0EF7"/>
    <w:rsid w:val="008A1066"/>
    <w:rsid w:val="008A11F9"/>
    <w:rsid w:val="008A125C"/>
    <w:rsid w:val="008A12C6"/>
    <w:rsid w:val="008A2952"/>
    <w:rsid w:val="008A300B"/>
    <w:rsid w:val="008A3042"/>
    <w:rsid w:val="008A31E8"/>
    <w:rsid w:val="008A31F7"/>
    <w:rsid w:val="008A3450"/>
    <w:rsid w:val="008A38F2"/>
    <w:rsid w:val="008A3B88"/>
    <w:rsid w:val="008A3FE9"/>
    <w:rsid w:val="008A4229"/>
    <w:rsid w:val="008A431B"/>
    <w:rsid w:val="008A43D8"/>
    <w:rsid w:val="008A44B6"/>
    <w:rsid w:val="008A4612"/>
    <w:rsid w:val="008A48EC"/>
    <w:rsid w:val="008A4AB9"/>
    <w:rsid w:val="008A4D49"/>
    <w:rsid w:val="008A5077"/>
    <w:rsid w:val="008A53E6"/>
    <w:rsid w:val="008A5BD5"/>
    <w:rsid w:val="008A5BEF"/>
    <w:rsid w:val="008A5C16"/>
    <w:rsid w:val="008A615E"/>
    <w:rsid w:val="008A65F6"/>
    <w:rsid w:val="008A6926"/>
    <w:rsid w:val="008A6A68"/>
    <w:rsid w:val="008A6A80"/>
    <w:rsid w:val="008A726E"/>
    <w:rsid w:val="008A759D"/>
    <w:rsid w:val="008A79F0"/>
    <w:rsid w:val="008A7C31"/>
    <w:rsid w:val="008A7EF1"/>
    <w:rsid w:val="008B00DF"/>
    <w:rsid w:val="008B0618"/>
    <w:rsid w:val="008B0C16"/>
    <w:rsid w:val="008B0C78"/>
    <w:rsid w:val="008B12AF"/>
    <w:rsid w:val="008B1836"/>
    <w:rsid w:val="008B1A1D"/>
    <w:rsid w:val="008B1B66"/>
    <w:rsid w:val="008B1F69"/>
    <w:rsid w:val="008B1FC0"/>
    <w:rsid w:val="008B1FE2"/>
    <w:rsid w:val="008B2035"/>
    <w:rsid w:val="008B2488"/>
    <w:rsid w:val="008B26A5"/>
    <w:rsid w:val="008B2F0B"/>
    <w:rsid w:val="008B3EB8"/>
    <w:rsid w:val="008B43D4"/>
    <w:rsid w:val="008B4600"/>
    <w:rsid w:val="008B4D0A"/>
    <w:rsid w:val="008B5BFA"/>
    <w:rsid w:val="008B61AB"/>
    <w:rsid w:val="008B6359"/>
    <w:rsid w:val="008B64BF"/>
    <w:rsid w:val="008B6F4B"/>
    <w:rsid w:val="008B6FEB"/>
    <w:rsid w:val="008B71B4"/>
    <w:rsid w:val="008B75BC"/>
    <w:rsid w:val="008B7EEF"/>
    <w:rsid w:val="008C01E9"/>
    <w:rsid w:val="008C0714"/>
    <w:rsid w:val="008C07EB"/>
    <w:rsid w:val="008C0A56"/>
    <w:rsid w:val="008C0C18"/>
    <w:rsid w:val="008C0E2F"/>
    <w:rsid w:val="008C0FE9"/>
    <w:rsid w:val="008C138F"/>
    <w:rsid w:val="008C17D7"/>
    <w:rsid w:val="008C17E1"/>
    <w:rsid w:val="008C18B2"/>
    <w:rsid w:val="008C1AC0"/>
    <w:rsid w:val="008C1EC6"/>
    <w:rsid w:val="008C2004"/>
    <w:rsid w:val="008C247D"/>
    <w:rsid w:val="008C26A2"/>
    <w:rsid w:val="008C27BC"/>
    <w:rsid w:val="008C2A8F"/>
    <w:rsid w:val="008C2B05"/>
    <w:rsid w:val="008C2B8E"/>
    <w:rsid w:val="008C2D6D"/>
    <w:rsid w:val="008C2E6A"/>
    <w:rsid w:val="008C3277"/>
    <w:rsid w:val="008C3823"/>
    <w:rsid w:val="008C39C5"/>
    <w:rsid w:val="008C3C77"/>
    <w:rsid w:val="008C3E9D"/>
    <w:rsid w:val="008C4536"/>
    <w:rsid w:val="008C4692"/>
    <w:rsid w:val="008C4EE0"/>
    <w:rsid w:val="008C4FA6"/>
    <w:rsid w:val="008C4FB4"/>
    <w:rsid w:val="008C5126"/>
    <w:rsid w:val="008C513F"/>
    <w:rsid w:val="008C52EE"/>
    <w:rsid w:val="008C5778"/>
    <w:rsid w:val="008C5947"/>
    <w:rsid w:val="008C60CB"/>
    <w:rsid w:val="008C66C7"/>
    <w:rsid w:val="008C7B4F"/>
    <w:rsid w:val="008C7EC0"/>
    <w:rsid w:val="008D0020"/>
    <w:rsid w:val="008D0359"/>
    <w:rsid w:val="008D0562"/>
    <w:rsid w:val="008D0614"/>
    <w:rsid w:val="008D0A50"/>
    <w:rsid w:val="008D1098"/>
    <w:rsid w:val="008D116B"/>
    <w:rsid w:val="008D15A5"/>
    <w:rsid w:val="008D165F"/>
    <w:rsid w:val="008D19A7"/>
    <w:rsid w:val="008D1C99"/>
    <w:rsid w:val="008D2349"/>
    <w:rsid w:val="008D25DC"/>
    <w:rsid w:val="008D27DE"/>
    <w:rsid w:val="008D30D3"/>
    <w:rsid w:val="008D30FD"/>
    <w:rsid w:val="008D3196"/>
    <w:rsid w:val="008D3726"/>
    <w:rsid w:val="008D3AC5"/>
    <w:rsid w:val="008D3D69"/>
    <w:rsid w:val="008D3E64"/>
    <w:rsid w:val="008D4368"/>
    <w:rsid w:val="008D4551"/>
    <w:rsid w:val="008D49D6"/>
    <w:rsid w:val="008D4AF6"/>
    <w:rsid w:val="008D5398"/>
    <w:rsid w:val="008D549D"/>
    <w:rsid w:val="008D5511"/>
    <w:rsid w:val="008D5930"/>
    <w:rsid w:val="008D6611"/>
    <w:rsid w:val="008D6621"/>
    <w:rsid w:val="008D6740"/>
    <w:rsid w:val="008D6D03"/>
    <w:rsid w:val="008D6D9B"/>
    <w:rsid w:val="008D6E00"/>
    <w:rsid w:val="008D72F7"/>
    <w:rsid w:val="008D7C5A"/>
    <w:rsid w:val="008D7E6D"/>
    <w:rsid w:val="008D7F16"/>
    <w:rsid w:val="008E00D0"/>
    <w:rsid w:val="008E023F"/>
    <w:rsid w:val="008E0302"/>
    <w:rsid w:val="008E0380"/>
    <w:rsid w:val="008E051A"/>
    <w:rsid w:val="008E0879"/>
    <w:rsid w:val="008E0B05"/>
    <w:rsid w:val="008E107F"/>
    <w:rsid w:val="008E153B"/>
    <w:rsid w:val="008E1A1F"/>
    <w:rsid w:val="008E1ED6"/>
    <w:rsid w:val="008E1FE4"/>
    <w:rsid w:val="008E2334"/>
    <w:rsid w:val="008E26EA"/>
    <w:rsid w:val="008E276E"/>
    <w:rsid w:val="008E2797"/>
    <w:rsid w:val="008E2910"/>
    <w:rsid w:val="008E2C0F"/>
    <w:rsid w:val="008E2EC9"/>
    <w:rsid w:val="008E3389"/>
    <w:rsid w:val="008E3558"/>
    <w:rsid w:val="008E3730"/>
    <w:rsid w:val="008E3756"/>
    <w:rsid w:val="008E3ABA"/>
    <w:rsid w:val="008E441B"/>
    <w:rsid w:val="008E466A"/>
    <w:rsid w:val="008E46FA"/>
    <w:rsid w:val="008E4AC5"/>
    <w:rsid w:val="008E50F7"/>
    <w:rsid w:val="008E55E1"/>
    <w:rsid w:val="008E66F7"/>
    <w:rsid w:val="008E6A3D"/>
    <w:rsid w:val="008E6D8A"/>
    <w:rsid w:val="008E77A1"/>
    <w:rsid w:val="008E78E9"/>
    <w:rsid w:val="008E7BED"/>
    <w:rsid w:val="008E7C9D"/>
    <w:rsid w:val="008F06A2"/>
    <w:rsid w:val="008F10CE"/>
    <w:rsid w:val="008F158C"/>
    <w:rsid w:val="008F15EA"/>
    <w:rsid w:val="008F16D5"/>
    <w:rsid w:val="008F22C3"/>
    <w:rsid w:val="008F2432"/>
    <w:rsid w:val="008F28AD"/>
    <w:rsid w:val="008F2EC8"/>
    <w:rsid w:val="008F3A3E"/>
    <w:rsid w:val="008F3D4F"/>
    <w:rsid w:val="008F3D6A"/>
    <w:rsid w:val="008F3DCC"/>
    <w:rsid w:val="008F447A"/>
    <w:rsid w:val="008F4787"/>
    <w:rsid w:val="008F485C"/>
    <w:rsid w:val="008F4C6F"/>
    <w:rsid w:val="008F4F81"/>
    <w:rsid w:val="008F50A6"/>
    <w:rsid w:val="008F51DB"/>
    <w:rsid w:val="008F51FC"/>
    <w:rsid w:val="008F5CA9"/>
    <w:rsid w:val="008F64A9"/>
    <w:rsid w:val="008F677C"/>
    <w:rsid w:val="008F68C6"/>
    <w:rsid w:val="008F6979"/>
    <w:rsid w:val="008F6A6B"/>
    <w:rsid w:val="008F6E57"/>
    <w:rsid w:val="008F6FEE"/>
    <w:rsid w:val="008F71DC"/>
    <w:rsid w:val="008F7250"/>
    <w:rsid w:val="008F7297"/>
    <w:rsid w:val="008F759F"/>
    <w:rsid w:val="008F7B39"/>
    <w:rsid w:val="008F7FF9"/>
    <w:rsid w:val="00900131"/>
    <w:rsid w:val="009001F7"/>
    <w:rsid w:val="00900405"/>
    <w:rsid w:val="0090044F"/>
    <w:rsid w:val="00900D1F"/>
    <w:rsid w:val="0090107E"/>
    <w:rsid w:val="00901348"/>
    <w:rsid w:val="009015B5"/>
    <w:rsid w:val="00901A42"/>
    <w:rsid w:val="00901BCC"/>
    <w:rsid w:val="00901CD1"/>
    <w:rsid w:val="00901D90"/>
    <w:rsid w:val="009025FB"/>
    <w:rsid w:val="009026C9"/>
    <w:rsid w:val="009029F7"/>
    <w:rsid w:val="009030A3"/>
    <w:rsid w:val="009031E8"/>
    <w:rsid w:val="00903B1A"/>
    <w:rsid w:val="009040AA"/>
    <w:rsid w:val="00904491"/>
    <w:rsid w:val="00904779"/>
    <w:rsid w:val="00904D21"/>
    <w:rsid w:val="00904F14"/>
    <w:rsid w:val="00905031"/>
    <w:rsid w:val="009052C0"/>
    <w:rsid w:val="0090567B"/>
    <w:rsid w:val="00905730"/>
    <w:rsid w:val="00905B16"/>
    <w:rsid w:val="00905BEE"/>
    <w:rsid w:val="00906662"/>
    <w:rsid w:val="0090692F"/>
    <w:rsid w:val="0090694E"/>
    <w:rsid w:val="00906C3D"/>
    <w:rsid w:val="00907749"/>
    <w:rsid w:val="00907A52"/>
    <w:rsid w:val="00910716"/>
    <w:rsid w:val="00910751"/>
    <w:rsid w:val="00910990"/>
    <w:rsid w:val="00911238"/>
    <w:rsid w:val="009116AD"/>
    <w:rsid w:val="009116DB"/>
    <w:rsid w:val="00911A16"/>
    <w:rsid w:val="00911A97"/>
    <w:rsid w:val="00911B2D"/>
    <w:rsid w:val="0091209B"/>
    <w:rsid w:val="00912881"/>
    <w:rsid w:val="00912B89"/>
    <w:rsid w:val="00912D89"/>
    <w:rsid w:val="009131EE"/>
    <w:rsid w:val="009133EF"/>
    <w:rsid w:val="009134EB"/>
    <w:rsid w:val="00913AD8"/>
    <w:rsid w:val="00914B0B"/>
    <w:rsid w:val="00914CC6"/>
    <w:rsid w:val="009152CB"/>
    <w:rsid w:val="009154BB"/>
    <w:rsid w:val="009158DF"/>
    <w:rsid w:val="00916BCF"/>
    <w:rsid w:val="00916D88"/>
    <w:rsid w:val="009170D3"/>
    <w:rsid w:val="00917241"/>
    <w:rsid w:val="0091727B"/>
    <w:rsid w:val="0091745D"/>
    <w:rsid w:val="00917B5E"/>
    <w:rsid w:val="00917E33"/>
    <w:rsid w:val="00920B8B"/>
    <w:rsid w:val="00920F57"/>
    <w:rsid w:val="00921411"/>
    <w:rsid w:val="00921B1C"/>
    <w:rsid w:val="00921BAC"/>
    <w:rsid w:val="00921D71"/>
    <w:rsid w:val="00921E43"/>
    <w:rsid w:val="00921F13"/>
    <w:rsid w:val="00922379"/>
    <w:rsid w:val="00922660"/>
    <w:rsid w:val="00922B08"/>
    <w:rsid w:val="00922B81"/>
    <w:rsid w:val="00923921"/>
    <w:rsid w:val="00923981"/>
    <w:rsid w:val="009241E5"/>
    <w:rsid w:val="009243AC"/>
    <w:rsid w:val="00924DFE"/>
    <w:rsid w:val="009255EB"/>
    <w:rsid w:val="00925EA0"/>
    <w:rsid w:val="00926150"/>
    <w:rsid w:val="009261DF"/>
    <w:rsid w:val="00926201"/>
    <w:rsid w:val="00926221"/>
    <w:rsid w:val="0092699E"/>
    <w:rsid w:val="00926B1B"/>
    <w:rsid w:val="00927056"/>
    <w:rsid w:val="00927A7F"/>
    <w:rsid w:val="00927C36"/>
    <w:rsid w:val="00927F7B"/>
    <w:rsid w:val="009304ED"/>
    <w:rsid w:val="00930A29"/>
    <w:rsid w:val="00930CD3"/>
    <w:rsid w:val="00930E69"/>
    <w:rsid w:val="00931656"/>
    <w:rsid w:val="0093183F"/>
    <w:rsid w:val="00931850"/>
    <w:rsid w:val="00931C5B"/>
    <w:rsid w:val="0093220A"/>
    <w:rsid w:val="00932326"/>
    <w:rsid w:val="009324A2"/>
    <w:rsid w:val="009329EE"/>
    <w:rsid w:val="00932B0C"/>
    <w:rsid w:val="00932DED"/>
    <w:rsid w:val="009331EA"/>
    <w:rsid w:val="009336CF"/>
    <w:rsid w:val="00933732"/>
    <w:rsid w:val="009337C6"/>
    <w:rsid w:val="00933BEE"/>
    <w:rsid w:val="00934640"/>
    <w:rsid w:val="009347B4"/>
    <w:rsid w:val="00934DD8"/>
    <w:rsid w:val="00934E45"/>
    <w:rsid w:val="00934E7D"/>
    <w:rsid w:val="00935660"/>
    <w:rsid w:val="00935830"/>
    <w:rsid w:val="009358E1"/>
    <w:rsid w:val="009359DE"/>
    <w:rsid w:val="00935A91"/>
    <w:rsid w:val="00936592"/>
    <w:rsid w:val="009368A6"/>
    <w:rsid w:val="009368A9"/>
    <w:rsid w:val="00936A6C"/>
    <w:rsid w:val="00936BF1"/>
    <w:rsid w:val="00936CC0"/>
    <w:rsid w:val="009372FC"/>
    <w:rsid w:val="0093741E"/>
    <w:rsid w:val="0093746C"/>
    <w:rsid w:val="009376D1"/>
    <w:rsid w:val="00937D36"/>
    <w:rsid w:val="009404AB"/>
    <w:rsid w:val="00940A91"/>
    <w:rsid w:val="00940AF7"/>
    <w:rsid w:val="00940E65"/>
    <w:rsid w:val="0094143C"/>
    <w:rsid w:val="0094155E"/>
    <w:rsid w:val="00941868"/>
    <w:rsid w:val="00941B63"/>
    <w:rsid w:val="00941D7F"/>
    <w:rsid w:val="00942003"/>
    <w:rsid w:val="0094228A"/>
    <w:rsid w:val="0094266F"/>
    <w:rsid w:val="0094287B"/>
    <w:rsid w:val="00942AE4"/>
    <w:rsid w:val="00942DAB"/>
    <w:rsid w:val="00942F07"/>
    <w:rsid w:val="00943105"/>
    <w:rsid w:val="00943ABE"/>
    <w:rsid w:val="00944072"/>
    <w:rsid w:val="0094408A"/>
    <w:rsid w:val="009445E0"/>
    <w:rsid w:val="0094460F"/>
    <w:rsid w:val="00944C48"/>
    <w:rsid w:val="00944FA0"/>
    <w:rsid w:val="00945E56"/>
    <w:rsid w:val="00945EC9"/>
    <w:rsid w:val="00946A05"/>
    <w:rsid w:val="0094707D"/>
    <w:rsid w:val="009470CF"/>
    <w:rsid w:val="009472D7"/>
    <w:rsid w:val="00947B3D"/>
    <w:rsid w:val="009500E5"/>
    <w:rsid w:val="0095055C"/>
    <w:rsid w:val="009506F2"/>
    <w:rsid w:val="00950766"/>
    <w:rsid w:val="00950923"/>
    <w:rsid w:val="009509F9"/>
    <w:rsid w:val="00950E42"/>
    <w:rsid w:val="009510E7"/>
    <w:rsid w:val="0095131B"/>
    <w:rsid w:val="0095142B"/>
    <w:rsid w:val="00951434"/>
    <w:rsid w:val="00951494"/>
    <w:rsid w:val="00951782"/>
    <w:rsid w:val="009517F4"/>
    <w:rsid w:val="00951CE6"/>
    <w:rsid w:val="00951D98"/>
    <w:rsid w:val="009523EA"/>
    <w:rsid w:val="0095266F"/>
    <w:rsid w:val="00952743"/>
    <w:rsid w:val="0095286A"/>
    <w:rsid w:val="00952A34"/>
    <w:rsid w:val="00952B4F"/>
    <w:rsid w:val="0095365A"/>
    <w:rsid w:val="009536CB"/>
    <w:rsid w:val="009539C7"/>
    <w:rsid w:val="00953E72"/>
    <w:rsid w:val="00953F59"/>
    <w:rsid w:val="00954751"/>
    <w:rsid w:val="00954CD6"/>
    <w:rsid w:val="00954D1C"/>
    <w:rsid w:val="00954ED4"/>
    <w:rsid w:val="009551B8"/>
    <w:rsid w:val="009557CE"/>
    <w:rsid w:val="0095591B"/>
    <w:rsid w:val="00955DFD"/>
    <w:rsid w:val="0095655D"/>
    <w:rsid w:val="009566D4"/>
    <w:rsid w:val="00956D8F"/>
    <w:rsid w:val="00956E99"/>
    <w:rsid w:val="00957053"/>
    <w:rsid w:val="009570F3"/>
    <w:rsid w:val="00957483"/>
    <w:rsid w:val="0095767B"/>
    <w:rsid w:val="00957C63"/>
    <w:rsid w:val="00957C98"/>
    <w:rsid w:val="00957D10"/>
    <w:rsid w:val="00957E7F"/>
    <w:rsid w:val="0096015E"/>
    <w:rsid w:val="00960449"/>
    <w:rsid w:val="009607FD"/>
    <w:rsid w:val="00960900"/>
    <w:rsid w:val="00960947"/>
    <w:rsid w:val="00960CF2"/>
    <w:rsid w:val="00960E04"/>
    <w:rsid w:val="00961048"/>
    <w:rsid w:val="00961138"/>
    <w:rsid w:val="00961169"/>
    <w:rsid w:val="00961250"/>
    <w:rsid w:val="009615C5"/>
    <w:rsid w:val="009616C2"/>
    <w:rsid w:val="00961A1A"/>
    <w:rsid w:val="00961A4C"/>
    <w:rsid w:val="00961F8C"/>
    <w:rsid w:val="009621A5"/>
    <w:rsid w:val="009623CA"/>
    <w:rsid w:val="0096287B"/>
    <w:rsid w:val="0096366A"/>
    <w:rsid w:val="009637FD"/>
    <w:rsid w:val="00963D19"/>
    <w:rsid w:val="00963DD1"/>
    <w:rsid w:val="0096411E"/>
    <w:rsid w:val="0096416C"/>
    <w:rsid w:val="009643A6"/>
    <w:rsid w:val="00964F01"/>
    <w:rsid w:val="0096535C"/>
    <w:rsid w:val="009658AB"/>
    <w:rsid w:val="00965C39"/>
    <w:rsid w:val="00965CE0"/>
    <w:rsid w:val="00965E31"/>
    <w:rsid w:val="00965E46"/>
    <w:rsid w:val="0096634B"/>
    <w:rsid w:val="00966357"/>
    <w:rsid w:val="00966A50"/>
    <w:rsid w:val="00966CA6"/>
    <w:rsid w:val="00966ED7"/>
    <w:rsid w:val="00967ADB"/>
    <w:rsid w:val="00967CAC"/>
    <w:rsid w:val="0097010A"/>
    <w:rsid w:val="009706D4"/>
    <w:rsid w:val="00970B28"/>
    <w:rsid w:val="00970B6A"/>
    <w:rsid w:val="00970CC4"/>
    <w:rsid w:val="00970D7B"/>
    <w:rsid w:val="0097140F"/>
    <w:rsid w:val="00971696"/>
    <w:rsid w:val="00971B41"/>
    <w:rsid w:val="009727B8"/>
    <w:rsid w:val="00972956"/>
    <w:rsid w:val="00972B1E"/>
    <w:rsid w:val="00972F49"/>
    <w:rsid w:val="00973700"/>
    <w:rsid w:val="00973960"/>
    <w:rsid w:val="009739B4"/>
    <w:rsid w:val="00973C50"/>
    <w:rsid w:val="00974679"/>
    <w:rsid w:val="00974AB5"/>
    <w:rsid w:val="0097539B"/>
    <w:rsid w:val="009753CB"/>
    <w:rsid w:val="009753EB"/>
    <w:rsid w:val="00975A34"/>
    <w:rsid w:val="00975C91"/>
    <w:rsid w:val="00975D0A"/>
    <w:rsid w:val="00975D72"/>
    <w:rsid w:val="00976366"/>
    <w:rsid w:val="009767A0"/>
    <w:rsid w:val="00976960"/>
    <w:rsid w:val="00976B89"/>
    <w:rsid w:val="00977318"/>
    <w:rsid w:val="0097757C"/>
    <w:rsid w:val="00977710"/>
    <w:rsid w:val="0098053B"/>
    <w:rsid w:val="009807CF"/>
    <w:rsid w:val="009809AF"/>
    <w:rsid w:val="00980ACA"/>
    <w:rsid w:val="0098125C"/>
    <w:rsid w:val="009813B3"/>
    <w:rsid w:val="0098146B"/>
    <w:rsid w:val="009816C7"/>
    <w:rsid w:val="00981877"/>
    <w:rsid w:val="00981F81"/>
    <w:rsid w:val="00982197"/>
    <w:rsid w:val="009827C0"/>
    <w:rsid w:val="009829FD"/>
    <w:rsid w:val="00982BBF"/>
    <w:rsid w:val="00982F90"/>
    <w:rsid w:val="00983984"/>
    <w:rsid w:val="00983BA8"/>
    <w:rsid w:val="00983C3B"/>
    <w:rsid w:val="00983EC5"/>
    <w:rsid w:val="00984DCF"/>
    <w:rsid w:val="00984DFF"/>
    <w:rsid w:val="0098555E"/>
    <w:rsid w:val="00985A32"/>
    <w:rsid w:val="00986158"/>
    <w:rsid w:val="00986423"/>
    <w:rsid w:val="00986548"/>
    <w:rsid w:val="00986CD4"/>
    <w:rsid w:val="00986D0E"/>
    <w:rsid w:val="00986F51"/>
    <w:rsid w:val="009871C5"/>
    <w:rsid w:val="00987281"/>
    <w:rsid w:val="0098742C"/>
    <w:rsid w:val="0098765F"/>
    <w:rsid w:val="00987688"/>
    <w:rsid w:val="00987A47"/>
    <w:rsid w:val="00987DFA"/>
    <w:rsid w:val="00987E44"/>
    <w:rsid w:val="009905AC"/>
    <w:rsid w:val="00990DDE"/>
    <w:rsid w:val="00991123"/>
    <w:rsid w:val="0099117B"/>
    <w:rsid w:val="00991239"/>
    <w:rsid w:val="00991550"/>
    <w:rsid w:val="0099181B"/>
    <w:rsid w:val="0099282F"/>
    <w:rsid w:val="00992907"/>
    <w:rsid w:val="00992DA4"/>
    <w:rsid w:val="00993756"/>
    <w:rsid w:val="0099391F"/>
    <w:rsid w:val="00993ACA"/>
    <w:rsid w:val="00993DAE"/>
    <w:rsid w:val="00993E0A"/>
    <w:rsid w:val="009942BA"/>
    <w:rsid w:val="0099451F"/>
    <w:rsid w:val="00994EAF"/>
    <w:rsid w:val="00995139"/>
    <w:rsid w:val="00995264"/>
    <w:rsid w:val="009953FE"/>
    <w:rsid w:val="0099549A"/>
    <w:rsid w:val="009959E3"/>
    <w:rsid w:val="00995BA1"/>
    <w:rsid w:val="0099603B"/>
    <w:rsid w:val="00996B2E"/>
    <w:rsid w:val="00997271"/>
    <w:rsid w:val="0099730A"/>
    <w:rsid w:val="00997461"/>
    <w:rsid w:val="00997829"/>
    <w:rsid w:val="00997A4A"/>
    <w:rsid w:val="00997F51"/>
    <w:rsid w:val="009A015E"/>
    <w:rsid w:val="009A0387"/>
    <w:rsid w:val="009A03F1"/>
    <w:rsid w:val="009A06C1"/>
    <w:rsid w:val="009A0B18"/>
    <w:rsid w:val="009A0B30"/>
    <w:rsid w:val="009A0B77"/>
    <w:rsid w:val="009A0FBA"/>
    <w:rsid w:val="009A101C"/>
    <w:rsid w:val="009A1685"/>
    <w:rsid w:val="009A1781"/>
    <w:rsid w:val="009A1DFB"/>
    <w:rsid w:val="009A1E37"/>
    <w:rsid w:val="009A2131"/>
    <w:rsid w:val="009A228A"/>
    <w:rsid w:val="009A2627"/>
    <w:rsid w:val="009A28F9"/>
    <w:rsid w:val="009A2D74"/>
    <w:rsid w:val="009A2E7A"/>
    <w:rsid w:val="009A2F7F"/>
    <w:rsid w:val="009A31BC"/>
    <w:rsid w:val="009A347B"/>
    <w:rsid w:val="009A39B3"/>
    <w:rsid w:val="009A3A46"/>
    <w:rsid w:val="009A4AF1"/>
    <w:rsid w:val="009A4EA9"/>
    <w:rsid w:val="009A5218"/>
    <w:rsid w:val="009A53C1"/>
    <w:rsid w:val="009A5D79"/>
    <w:rsid w:val="009A5E07"/>
    <w:rsid w:val="009A608A"/>
    <w:rsid w:val="009A62E0"/>
    <w:rsid w:val="009A6354"/>
    <w:rsid w:val="009A64BF"/>
    <w:rsid w:val="009A6959"/>
    <w:rsid w:val="009A6BD5"/>
    <w:rsid w:val="009A73C5"/>
    <w:rsid w:val="009A74C3"/>
    <w:rsid w:val="009A7D1C"/>
    <w:rsid w:val="009B0580"/>
    <w:rsid w:val="009B0714"/>
    <w:rsid w:val="009B0AE5"/>
    <w:rsid w:val="009B0BDE"/>
    <w:rsid w:val="009B0F6A"/>
    <w:rsid w:val="009B129D"/>
    <w:rsid w:val="009B131E"/>
    <w:rsid w:val="009B1335"/>
    <w:rsid w:val="009B1462"/>
    <w:rsid w:val="009B14D7"/>
    <w:rsid w:val="009B1665"/>
    <w:rsid w:val="009B241F"/>
    <w:rsid w:val="009B25FA"/>
    <w:rsid w:val="009B27B5"/>
    <w:rsid w:val="009B2875"/>
    <w:rsid w:val="009B31D6"/>
    <w:rsid w:val="009B381E"/>
    <w:rsid w:val="009B385E"/>
    <w:rsid w:val="009B4E07"/>
    <w:rsid w:val="009B5ABB"/>
    <w:rsid w:val="009B5C60"/>
    <w:rsid w:val="009B5C61"/>
    <w:rsid w:val="009B5CA5"/>
    <w:rsid w:val="009B5EB0"/>
    <w:rsid w:val="009B5F86"/>
    <w:rsid w:val="009B649A"/>
    <w:rsid w:val="009B6567"/>
    <w:rsid w:val="009B68A3"/>
    <w:rsid w:val="009B69D6"/>
    <w:rsid w:val="009B6AAC"/>
    <w:rsid w:val="009B6F5B"/>
    <w:rsid w:val="009B6FF5"/>
    <w:rsid w:val="009B702A"/>
    <w:rsid w:val="009B7152"/>
    <w:rsid w:val="009B76AE"/>
    <w:rsid w:val="009C01F0"/>
    <w:rsid w:val="009C0303"/>
    <w:rsid w:val="009C0410"/>
    <w:rsid w:val="009C0539"/>
    <w:rsid w:val="009C0693"/>
    <w:rsid w:val="009C0E41"/>
    <w:rsid w:val="009C0EC8"/>
    <w:rsid w:val="009C18BB"/>
    <w:rsid w:val="009C1904"/>
    <w:rsid w:val="009C1AD8"/>
    <w:rsid w:val="009C1AF3"/>
    <w:rsid w:val="009C1CBF"/>
    <w:rsid w:val="009C1DA9"/>
    <w:rsid w:val="009C1E7C"/>
    <w:rsid w:val="009C1FD9"/>
    <w:rsid w:val="009C2033"/>
    <w:rsid w:val="009C21E0"/>
    <w:rsid w:val="009C256D"/>
    <w:rsid w:val="009C2F3D"/>
    <w:rsid w:val="009C31C4"/>
    <w:rsid w:val="009C3555"/>
    <w:rsid w:val="009C3562"/>
    <w:rsid w:val="009C368F"/>
    <w:rsid w:val="009C379A"/>
    <w:rsid w:val="009C37C7"/>
    <w:rsid w:val="009C38A5"/>
    <w:rsid w:val="009C3936"/>
    <w:rsid w:val="009C4190"/>
    <w:rsid w:val="009C456B"/>
    <w:rsid w:val="009C473C"/>
    <w:rsid w:val="009C49C5"/>
    <w:rsid w:val="009C51DE"/>
    <w:rsid w:val="009C5224"/>
    <w:rsid w:val="009C52D8"/>
    <w:rsid w:val="009C5419"/>
    <w:rsid w:val="009C5519"/>
    <w:rsid w:val="009C5BEB"/>
    <w:rsid w:val="009C5DB1"/>
    <w:rsid w:val="009C5E27"/>
    <w:rsid w:val="009C64FA"/>
    <w:rsid w:val="009C65A8"/>
    <w:rsid w:val="009C6739"/>
    <w:rsid w:val="009C6C1D"/>
    <w:rsid w:val="009C6EDB"/>
    <w:rsid w:val="009C6EFB"/>
    <w:rsid w:val="009C76E4"/>
    <w:rsid w:val="009C7CCC"/>
    <w:rsid w:val="009C7CE6"/>
    <w:rsid w:val="009D046D"/>
    <w:rsid w:val="009D0E38"/>
    <w:rsid w:val="009D0E99"/>
    <w:rsid w:val="009D0F7A"/>
    <w:rsid w:val="009D1640"/>
    <w:rsid w:val="009D1720"/>
    <w:rsid w:val="009D1A2B"/>
    <w:rsid w:val="009D1A60"/>
    <w:rsid w:val="009D1D45"/>
    <w:rsid w:val="009D244A"/>
    <w:rsid w:val="009D27D6"/>
    <w:rsid w:val="009D28F0"/>
    <w:rsid w:val="009D3554"/>
    <w:rsid w:val="009D3E92"/>
    <w:rsid w:val="009D4157"/>
    <w:rsid w:val="009D434D"/>
    <w:rsid w:val="009D4394"/>
    <w:rsid w:val="009D43BD"/>
    <w:rsid w:val="009D45AE"/>
    <w:rsid w:val="009D4B38"/>
    <w:rsid w:val="009D50B3"/>
    <w:rsid w:val="009D5517"/>
    <w:rsid w:val="009D5F44"/>
    <w:rsid w:val="009D665C"/>
    <w:rsid w:val="009D691C"/>
    <w:rsid w:val="009D6A87"/>
    <w:rsid w:val="009D6B92"/>
    <w:rsid w:val="009D6F6C"/>
    <w:rsid w:val="009D72B1"/>
    <w:rsid w:val="009D756C"/>
    <w:rsid w:val="009D7879"/>
    <w:rsid w:val="009D7C0D"/>
    <w:rsid w:val="009D7D08"/>
    <w:rsid w:val="009D7DE6"/>
    <w:rsid w:val="009E0584"/>
    <w:rsid w:val="009E0B37"/>
    <w:rsid w:val="009E0BF0"/>
    <w:rsid w:val="009E0C93"/>
    <w:rsid w:val="009E0D05"/>
    <w:rsid w:val="009E0F8F"/>
    <w:rsid w:val="009E13E5"/>
    <w:rsid w:val="009E1853"/>
    <w:rsid w:val="009E1CCF"/>
    <w:rsid w:val="009E1EAC"/>
    <w:rsid w:val="009E27B7"/>
    <w:rsid w:val="009E2CF1"/>
    <w:rsid w:val="009E2E11"/>
    <w:rsid w:val="009E2F3B"/>
    <w:rsid w:val="009E3341"/>
    <w:rsid w:val="009E335E"/>
    <w:rsid w:val="009E3528"/>
    <w:rsid w:val="009E3BBC"/>
    <w:rsid w:val="009E3C3B"/>
    <w:rsid w:val="009E4848"/>
    <w:rsid w:val="009E4BD3"/>
    <w:rsid w:val="009E4BF6"/>
    <w:rsid w:val="009E4D3F"/>
    <w:rsid w:val="009E5456"/>
    <w:rsid w:val="009E54A0"/>
    <w:rsid w:val="009E5A1A"/>
    <w:rsid w:val="009E5BFF"/>
    <w:rsid w:val="009E5D41"/>
    <w:rsid w:val="009E6606"/>
    <w:rsid w:val="009E681A"/>
    <w:rsid w:val="009E6F7C"/>
    <w:rsid w:val="009E71B1"/>
    <w:rsid w:val="009E7621"/>
    <w:rsid w:val="009E765C"/>
    <w:rsid w:val="009E76AC"/>
    <w:rsid w:val="009E775C"/>
    <w:rsid w:val="009E77D2"/>
    <w:rsid w:val="009F022D"/>
    <w:rsid w:val="009F08E5"/>
    <w:rsid w:val="009F0F39"/>
    <w:rsid w:val="009F12E1"/>
    <w:rsid w:val="009F132D"/>
    <w:rsid w:val="009F136E"/>
    <w:rsid w:val="009F1416"/>
    <w:rsid w:val="009F170E"/>
    <w:rsid w:val="009F176C"/>
    <w:rsid w:val="009F1906"/>
    <w:rsid w:val="009F1986"/>
    <w:rsid w:val="009F204D"/>
    <w:rsid w:val="009F20AA"/>
    <w:rsid w:val="009F24FC"/>
    <w:rsid w:val="009F26D5"/>
    <w:rsid w:val="009F26F4"/>
    <w:rsid w:val="009F28C7"/>
    <w:rsid w:val="009F2912"/>
    <w:rsid w:val="009F2D58"/>
    <w:rsid w:val="009F30F1"/>
    <w:rsid w:val="009F31D9"/>
    <w:rsid w:val="009F3538"/>
    <w:rsid w:val="009F376E"/>
    <w:rsid w:val="009F3846"/>
    <w:rsid w:val="009F3EBC"/>
    <w:rsid w:val="009F40DE"/>
    <w:rsid w:val="009F43E1"/>
    <w:rsid w:val="009F4633"/>
    <w:rsid w:val="009F4E62"/>
    <w:rsid w:val="009F4EA8"/>
    <w:rsid w:val="009F532D"/>
    <w:rsid w:val="009F5BA6"/>
    <w:rsid w:val="009F5CF0"/>
    <w:rsid w:val="009F5D83"/>
    <w:rsid w:val="009F5E97"/>
    <w:rsid w:val="009F5EB7"/>
    <w:rsid w:val="009F61A9"/>
    <w:rsid w:val="009F62B5"/>
    <w:rsid w:val="009F683B"/>
    <w:rsid w:val="009F68BB"/>
    <w:rsid w:val="009F6F55"/>
    <w:rsid w:val="009F71DE"/>
    <w:rsid w:val="009F7316"/>
    <w:rsid w:val="009F73AC"/>
    <w:rsid w:val="009F7423"/>
    <w:rsid w:val="009F7468"/>
    <w:rsid w:val="009F756B"/>
    <w:rsid w:val="009F7EAA"/>
    <w:rsid w:val="00A00531"/>
    <w:rsid w:val="00A00784"/>
    <w:rsid w:val="00A0093A"/>
    <w:rsid w:val="00A00C33"/>
    <w:rsid w:val="00A00E9C"/>
    <w:rsid w:val="00A01211"/>
    <w:rsid w:val="00A01DC4"/>
    <w:rsid w:val="00A0276E"/>
    <w:rsid w:val="00A028C3"/>
    <w:rsid w:val="00A02A0A"/>
    <w:rsid w:val="00A02D57"/>
    <w:rsid w:val="00A030BE"/>
    <w:rsid w:val="00A0310E"/>
    <w:rsid w:val="00A03767"/>
    <w:rsid w:val="00A0424C"/>
    <w:rsid w:val="00A04902"/>
    <w:rsid w:val="00A049CA"/>
    <w:rsid w:val="00A04A55"/>
    <w:rsid w:val="00A04E88"/>
    <w:rsid w:val="00A05096"/>
    <w:rsid w:val="00A050E2"/>
    <w:rsid w:val="00A05269"/>
    <w:rsid w:val="00A05DA1"/>
    <w:rsid w:val="00A05E04"/>
    <w:rsid w:val="00A05E4A"/>
    <w:rsid w:val="00A05F57"/>
    <w:rsid w:val="00A068D9"/>
    <w:rsid w:val="00A06A21"/>
    <w:rsid w:val="00A06AB1"/>
    <w:rsid w:val="00A06FC9"/>
    <w:rsid w:val="00A07034"/>
    <w:rsid w:val="00A07F76"/>
    <w:rsid w:val="00A10084"/>
    <w:rsid w:val="00A101B9"/>
    <w:rsid w:val="00A10584"/>
    <w:rsid w:val="00A10656"/>
    <w:rsid w:val="00A10897"/>
    <w:rsid w:val="00A108BF"/>
    <w:rsid w:val="00A10C8A"/>
    <w:rsid w:val="00A10DBB"/>
    <w:rsid w:val="00A1110B"/>
    <w:rsid w:val="00A113D7"/>
    <w:rsid w:val="00A115E8"/>
    <w:rsid w:val="00A11BA2"/>
    <w:rsid w:val="00A11C70"/>
    <w:rsid w:val="00A11F87"/>
    <w:rsid w:val="00A1246A"/>
    <w:rsid w:val="00A124A0"/>
    <w:rsid w:val="00A128AF"/>
    <w:rsid w:val="00A12996"/>
    <w:rsid w:val="00A12A98"/>
    <w:rsid w:val="00A138B8"/>
    <w:rsid w:val="00A139AC"/>
    <w:rsid w:val="00A13AA6"/>
    <w:rsid w:val="00A13AD6"/>
    <w:rsid w:val="00A1416B"/>
    <w:rsid w:val="00A1431F"/>
    <w:rsid w:val="00A14C73"/>
    <w:rsid w:val="00A14D6A"/>
    <w:rsid w:val="00A1545C"/>
    <w:rsid w:val="00A15676"/>
    <w:rsid w:val="00A156B5"/>
    <w:rsid w:val="00A159CE"/>
    <w:rsid w:val="00A15DCB"/>
    <w:rsid w:val="00A16110"/>
    <w:rsid w:val="00A168B8"/>
    <w:rsid w:val="00A16A45"/>
    <w:rsid w:val="00A16AB7"/>
    <w:rsid w:val="00A16B92"/>
    <w:rsid w:val="00A1747D"/>
    <w:rsid w:val="00A17AB7"/>
    <w:rsid w:val="00A17CDF"/>
    <w:rsid w:val="00A17CFF"/>
    <w:rsid w:val="00A202FD"/>
    <w:rsid w:val="00A208AA"/>
    <w:rsid w:val="00A20C03"/>
    <w:rsid w:val="00A20FFB"/>
    <w:rsid w:val="00A2103D"/>
    <w:rsid w:val="00A21346"/>
    <w:rsid w:val="00A213FA"/>
    <w:rsid w:val="00A2167F"/>
    <w:rsid w:val="00A219F9"/>
    <w:rsid w:val="00A21F9F"/>
    <w:rsid w:val="00A21FDC"/>
    <w:rsid w:val="00A222B9"/>
    <w:rsid w:val="00A225D7"/>
    <w:rsid w:val="00A225FD"/>
    <w:rsid w:val="00A22B57"/>
    <w:rsid w:val="00A22CFD"/>
    <w:rsid w:val="00A232F4"/>
    <w:rsid w:val="00A2342A"/>
    <w:rsid w:val="00A234E8"/>
    <w:rsid w:val="00A2376F"/>
    <w:rsid w:val="00A23790"/>
    <w:rsid w:val="00A23BB3"/>
    <w:rsid w:val="00A23F6E"/>
    <w:rsid w:val="00A2401A"/>
    <w:rsid w:val="00A2431B"/>
    <w:rsid w:val="00A2432C"/>
    <w:rsid w:val="00A2435B"/>
    <w:rsid w:val="00A246E5"/>
    <w:rsid w:val="00A2472D"/>
    <w:rsid w:val="00A247FD"/>
    <w:rsid w:val="00A24CE7"/>
    <w:rsid w:val="00A24DD7"/>
    <w:rsid w:val="00A24E69"/>
    <w:rsid w:val="00A24F5C"/>
    <w:rsid w:val="00A2512F"/>
    <w:rsid w:val="00A253D5"/>
    <w:rsid w:val="00A25A01"/>
    <w:rsid w:val="00A25B4B"/>
    <w:rsid w:val="00A25FF6"/>
    <w:rsid w:val="00A26029"/>
    <w:rsid w:val="00A2617E"/>
    <w:rsid w:val="00A26603"/>
    <w:rsid w:val="00A26BCA"/>
    <w:rsid w:val="00A26E4A"/>
    <w:rsid w:val="00A273DB"/>
    <w:rsid w:val="00A275DF"/>
    <w:rsid w:val="00A278A4"/>
    <w:rsid w:val="00A27A41"/>
    <w:rsid w:val="00A27D76"/>
    <w:rsid w:val="00A27F19"/>
    <w:rsid w:val="00A27F7E"/>
    <w:rsid w:val="00A3009A"/>
    <w:rsid w:val="00A30356"/>
    <w:rsid w:val="00A3084E"/>
    <w:rsid w:val="00A30995"/>
    <w:rsid w:val="00A30ABB"/>
    <w:rsid w:val="00A312C5"/>
    <w:rsid w:val="00A3137B"/>
    <w:rsid w:val="00A31534"/>
    <w:rsid w:val="00A31BA7"/>
    <w:rsid w:val="00A31FF7"/>
    <w:rsid w:val="00A32357"/>
    <w:rsid w:val="00A3254C"/>
    <w:rsid w:val="00A3271A"/>
    <w:rsid w:val="00A3277A"/>
    <w:rsid w:val="00A32C88"/>
    <w:rsid w:val="00A32CC5"/>
    <w:rsid w:val="00A32E3B"/>
    <w:rsid w:val="00A33AF9"/>
    <w:rsid w:val="00A33B2D"/>
    <w:rsid w:val="00A33F26"/>
    <w:rsid w:val="00A3438C"/>
    <w:rsid w:val="00A34864"/>
    <w:rsid w:val="00A348E4"/>
    <w:rsid w:val="00A34F3B"/>
    <w:rsid w:val="00A35451"/>
    <w:rsid w:val="00A357B2"/>
    <w:rsid w:val="00A357C3"/>
    <w:rsid w:val="00A359E3"/>
    <w:rsid w:val="00A35CF8"/>
    <w:rsid w:val="00A35EDB"/>
    <w:rsid w:val="00A368C3"/>
    <w:rsid w:val="00A36B36"/>
    <w:rsid w:val="00A36EC4"/>
    <w:rsid w:val="00A36FD3"/>
    <w:rsid w:val="00A37449"/>
    <w:rsid w:val="00A378EA"/>
    <w:rsid w:val="00A37EF4"/>
    <w:rsid w:val="00A37F97"/>
    <w:rsid w:val="00A40257"/>
    <w:rsid w:val="00A404FE"/>
    <w:rsid w:val="00A4067F"/>
    <w:rsid w:val="00A4098A"/>
    <w:rsid w:val="00A40ADC"/>
    <w:rsid w:val="00A40BE2"/>
    <w:rsid w:val="00A40CF6"/>
    <w:rsid w:val="00A40E37"/>
    <w:rsid w:val="00A4108E"/>
    <w:rsid w:val="00A41907"/>
    <w:rsid w:val="00A41996"/>
    <w:rsid w:val="00A41C3C"/>
    <w:rsid w:val="00A4212D"/>
    <w:rsid w:val="00A42756"/>
    <w:rsid w:val="00A42773"/>
    <w:rsid w:val="00A42B8E"/>
    <w:rsid w:val="00A42DF0"/>
    <w:rsid w:val="00A4361D"/>
    <w:rsid w:val="00A4399A"/>
    <w:rsid w:val="00A4399E"/>
    <w:rsid w:val="00A43AC9"/>
    <w:rsid w:val="00A43B1D"/>
    <w:rsid w:val="00A44135"/>
    <w:rsid w:val="00A4454A"/>
    <w:rsid w:val="00A44622"/>
    <w:rsid w:val="00A45099"/>
    <w:rsid w:val="00A45858"/>
    <w:rsid w:val="00A45D29"/>
    <w:rsid w:val="00A45FF5"/>
    <w:rsid w:val="00A46449"/>
    <w:rsid w:val="00A4684E"/>
    <w:rsid w:val="00A46BB5"/>
    <w:rsid w:val="00A46D28"/>
    <w:rsid w:val="00A472EE"/>
    <w:rsid w:val="00A47771"/>
    <w:rsid w:val="00A4778B"/>
    <w:rsid w:val="00A477B0"/>
    <w:rsid w:val="00A477BD"/>
    <w:rsid w:val="00A479BA"/>
    <w:rsid w:val="00A5011A"/>
    <w:rsid w:val="00A501C0"/>
    <w:rsid w:val="00A503C6"/>
    <w:rsid w:val="00A504F2"/>
    <w:rsid w:val="00A505EE"/>
    <w:rsid w:val="00A50BC8"/>
    <w:rsid w:val="00A51361"/>
    <w:rsid w:val="00A51872"/>
    <w:rsid w:val="00A51A9F"/>
    <w:rsid w:val="00A52470"/>
    <w:rsid w:val="00A5290F"/>
    <w:rsid w:val="00A52E7D"/>
    <w:rsid w:val="00A53095"/>
    <w:rsid w:val="00A53193"/>
    <w:rsid w:val="00A5321D"/>
    <w:rsid w:val="00A53CA1"/>
    <w:rsid w:val="00A53CEB"/>
    <w:rsid w:val="00A53EAB"/>
    <w:rsid w:val="00A54248"/>
    <w:rsid w:val="00A54345"/>
    <w:rsid w:val="00A54895"/>
    <w:rsid w:val="00A54972"/>
    <w:rsid w:val="00A54AFC"/>
    <w:rsid w:val="00A54C4A"/>
    <w:rsid w:val="00A54C8A"/>
    <w:rsid w:val="00A55099"/>
    <w:rsid w:val="00A551BD"/>
    <w:rsid w:val="00A5581C"/>
    <w:rsid w:val="00A55B53"/>
    <w:rsid w:val="00A55E0F"/>
    <w:rsid w:val="00A562C4"/>
    <w:rsid w:val="00A565D5"/>
    <w:rsid w:val="00A5680E"/>
    <w:rsid w:val="00A56E27"/>
    <w:rsid w:val="00A56E85"/>
    <w:rsid w:val="00A57420"/>
    <w:rsid w:val="00A57929"/>
    <w:rsid w:val="00A57AF9"/>
    <w:rsid w:val="00A57B08"/>
    <w:rsid w:val="00A6046E"/>
    <w:rsid w:val="00A60B02"/>
    <w:rsid w:val="00A60B55"/>
    <w:rsid w:val="00A60CB7"/>
    <w:rsid w:val="00A613D9"/>
    <w:rsid w:val="00A61413"/>
    <w:rsid w:val="00A61530"/>
    <w:rsid w:val="00A61580"/>
    <w:rsid w:val="00A615F7"/>
    <w:rsid w:val="00A61A08"/>
    <w:rsid w:val="00A61B2C"/>
    <w:rsid w:val="00A61B81"/>
    <w:rsid w:val="00A61BA9"/>
    <w:rsid w:val="00A61DDD"/>
    <w:rsid w:val="00A623DA"/>
    <w:rsid w:val="00A627AA"/>
    <w:rsid w:val="00A62811"/>
    <w:rsid w:val="00A63134"/>
    <w:rsid w:val="00A631C8"/>
    <w:rsid w:val="00A636B5"/>
    <w:rsid w:val="00A63E8C"/>
    <w:rsid w:val="00A63EEE"/>
    <w:rsid w:val="00A642B4"/>
    <w:rsid w:val="00A64C9F"/>
    <w:rsid w:val="00A64E2B"/>
    <w:rsid w:val="00A650DA"/>
    <w:rsid w:val="00A653A8"/>
    <w:rsid w:val="00A65FB6"/>
    <w:rsid w:val="00A66463"/>
    <w:rsid w:val="00A666F7"/>
    <w:rsid w:val="00A669E6"/>
    <w:rsid w:val="00A66B7D"/>
    <w:rsid w:val="00A66BA1"/>
    <w:rsid w:val="00A66C93"/>
    <w:rsid w:val="00A66F00"/>
    <w:rsid w:val="00A67691"/>
    <w:rsid w:val="00A67702"/>
    <w:rsid w:val="00A677CF"/>
    <w:rsid w:val="00A67DA8"/>
    <w:rsid w:val="00A706F6"/>
    <w:rsid w:val="00A712F7"/>
    <w:rsid w:val="00A71B92"/>
    <w:rsid w:val="00A71BE0"/>
    <w:rsid w:val="00A7235A"/>
    <w:rsid w:val="00A72362"/>
    <w:rsid w:val="00A724E8"/>
    <w:rsid w:val="00A72531"/>
    <w:rsid w:val="00A72E89"/>
    <w:rsid w:val="00A7303D"/>
    <w:rsid w:val="00A7319C"/>
    <w:rsid w:val="00A73291"/>
    <w:rsid w:val="00A7334C"/>
    <w:rsid w:val="00A73467"/>
    <w:rsid w:val="00A73809"/>
    <w:rsid w:val="00A73A43"/>
    <w:rsid w:val="00A73C6A"/>
    <w:rsid w:val="00A73CFF"/>
    <w:rsid w:val="00A73D3B"/>
    <w:rsid w:val="00A73E27"/>
    <w:rsid w:val="00A7415E"/>
    <w:rsid w:val="00A74459"/>
    <w:rsid w:val="00A74DA9"/>
    <w:rsid w:val="00A7545C"/>
    <w:rsid w:val="00A754ED"/>
    <w:rsid w:val="00A75687"/>
    <w:rsid w:val="00A756AD"/>
    <w:rsid w:val="00A7645D"/>
    <w:rsid w:val="00A7655A"/>
    <w:rsid w:val="00A76EC8"/>
    <w:rsid w:val="00A772EB"/>
    <w:rsid w:val="00A774B8"/>
    <w:rsid w:val="00A775A3"/>
    <w:rsid w:val="00A77C0D"/>
    <w:rsid w:val="00A8050C"/>
    <w:rsid w:val="00A80817"/>
    <w:rsid w:val="00A809BE"/>
    <w:rsid w:val="00A80E34"/>
    <w:rsid w:val="00A8106E"/>
    <w:rsid w:val="00A818C4"/>
    <w:rsid w:val="00A81BF1"/>
    <w:rsid w:val="00A822B2"/>
    <w:rsid w:val="00A82449"/>
    <w:rsid w:val="00A82E84"/>
    <w:rsid w:val="00A82FDE"/>
    <w:rsid w:val="00A83388"/>
    <w:rsid w:val="00A83517"/>
    <w:rsid w:val="00A8388C"/>
    <w:rsid w:val="00A840B4"/>
    <w:rsid w:val="00A842B9"/>
    <w:rsid w:val="00A84409"/>
    <w:rsid w:val="00A844BC"/>
    <w:rsid w:val="00A84A95"/>
    <w:rsid w:val="00A84AB7"/>
    <w:rsid w:val="00A84FBB"/>
    <w:rsid w:val="00A85143"/>
    <w:rsid w:val="00A85540"/>
    <w:rsid w:val="00A85CA8"/>
    <w:rsid w:val="00A85F86"/>
    <w:rsid w:val="00A85FD8"/>
    <w:rsid w:val="00A86025"/>
    <w:rsid w:val="00A86220"/>
    <w:rsid w:val="00A86289"/>
    <w:rsid w:val="00A86B00"/>
    <w:rsid w:val="00A86CBC"/>
    <w:rsid w:val="00A86E76"/>
    <w:rsid w:val="00A87080"/>
    <w:rsid w:val="00A8747A"/>
    <w:rsid w:val="00A874EF"/>
    <w:rsid w:val="00A876D0"/>
    <w:rsid w:val="00A87B67"/>
    <w:rsid w:val="00A90052"/>
    <w:rsid w:val="00A907F7"/>
    <w:rsid w:val="00A90858"/>
    <w:rsid w:val="00A909B6"/>
    <w:rsid w:val="00A90B68"/>
    <w:rsid w:val="00A90D4E"/>
    <w:rsid w:val="00A90F91"/>
    <w:rsid w:val="00A910DA"/>
    <w:rsid w:val="00A91384"/>
    <w:rsid w:val="00A919D6"/>
    <w:rsid w:val="00A92200"/>
    <w:rsid w:val="00A9256E"/>
    <w:rsid w:val="00A9284A"/>
    <w:rsid w:val="00A929A0"/>
    <w:rsid w:val="00A933A1"/>
    <w:rsid w:val="00A93636"/>
    <w:rsid w:val="00A93E28"/>
    <w:rsid w:val="00A93F4B"/>
    <w:rsid w:val="00A93FC2"/>
    <w:rsid w:val="00A942BA"/>
    <w:rsid w:val="00A949D2"/>
    <w:rsid w:val="00A94E76"/>
    <w:rsid w:val="00A952F6"/>
    <w:rsid w:val="00A9559C"/>
    <w:rsid w:val="00A955CE"/>
    <w:rsid w:val="00A95832"/>
    <w:rsid w:val="00A95B1D"/>
    <w:rsid w:val="00A95DD5"/>
    <w:rsid w:val="00A961F8"/>
    <w:rsid w:val="00A964D5"/>
    <w:rsid w:val="00A96A4E"/>
    <w:rsid w:val="00A96DEA"/>
    <w:rsid w:val="00A96FF0"/>
    <w:rsid w:val="00A9708C"/>
    <w:rsid w:val="00A97435"/>
    <w:rsid w:val="00A977A0"/>
    <w:rsid w:val="00A97C74"/>
    <w:rsid w:val="00A97CA5"/>
    <w:rsid w:val="00A97D4C"/>
    <w:rsid w:val="00A97D59"/>
    <w:rsid w:val="00AA0165"/>
    <w:rsid w:val="00AA06C5"/>
    <w:rsid w:val="00AA094A"/>
    <w:rsid w:val="00AA0B93"/>
    <w:rsid w:val="00AA0D27"/>
    <w:rsid w:val="00AA1142"/>
    <w:rsid w:val="00AA12CB"/>
    <w:rsid w:val="00AA1768"/>
    <w:rsid w:val="00AA17E6"/>
    <w:rsid w:val="00AA1AA6"/>
    <w:rsid w:val="00AA1AAC"/>
    <w:rsid w:val="00AA1E7C"/>
    <w:rsid w:val="00AA208B"/>
    <w:rsid w:val="00AA21C0"/>
    <w:rsid w:val="00AA22A8"/>
    <w:rsid w:val="00AA23E2"/>
    <w:rsid w:val="00AA24BA"/>
    <w:rsid w:val="00AA27A3"/>
    <w:rsid w:val="00AA2905"/>
    <w:rsid w:val="00AA2A48"/>
    <w:rsid w:val="00AA2B8F"/>
    <w:rsid w:val="00AA2D08"/>
    <w:rsid w:val="00AA2E92"/>
    <w:rsid w:val="00AA34E3"/>
    <w:rsid w:val="00AA3625"/>
    <w:rsid w:val="00AA3C21"/>
    <w:rsid w:val="00AA3DD9"/>
    <w:rsid w:val="00AA4173"/>
    <w:rsid w:val="00AA4186"/>
    <w:rsid w:val="00AA4306"/>
    <w:rsid w:val="00AA43E8"/>
    <w:rsid w:val="00AA4892"/>
    <w:rsid w:val="00AA58B9"/>
    <w:rsid w:val="00AA68B3"/>
    <w:rsid w:val="00AA6991"/>
    <w:rsid w:val="00AA6C49"/>
    <w:rsid w:val="00AA6C65"/>
    <w:rsid w:val="00AA73A6"/>
    <w:rsid w:val="00AA741E"/>
    <w:rsid w:val="00AA7833"/>
    <w:rsid w:val="00AA7C65"/>
    <w:rsid w:val="00AB14B9"/>
    <w:rsid w:val="00AB225D"/>
    <w:rsid w:val="00AB2532"/>
    <w:rsid w:val="00AB275F"/>
    <w:rsid w:val="00AB27EA"/>
    <w:rsid w:val="00AB2AD5"/>
    <w:rsid w:val="00AB2EB2"/>
    <w:rsid w:val="00AB325D"/>
    <w:rsid w:val="00AB3877"/>
    <w:rsid w:val="00AB3A2D"/>
    <w:rsid w:val="00AB3C26"/>
    <w:rsid w:val="00AB3E85"/>
    <w:rsid w:val="00AB4154"/>
    <w:rsid w:val="00AB4171"/>
    <w:rsid w:val="00AB48D3"/>
    <w:rsid w:val="00AB4979"/>
    <w:rsid w:val="00AB4A5C"/>
    <w:rsid w:val="00AB52DB"/>
    <w:rsid w:val="00AB5365"/>
    <w:rsid w:val="00AB59CB"/>
    <w:rsid w:val="00AB5AAB"/>
    <w:rsid w:val="00AB5C7E"/>
    <w:rsid w:val="00AB62DB"/>
    <w:rsid w:val="00AB6431"/>
    <w:rsid w:val="00AB644B"/>
    <w:rsid w:val="00AB6775"/>
    <w:rsid w:val="00AB6857"/>
    <w:rsid w:val="00AB6EFB"/>
    <w:rsid w:val="00AB75E9"/>
    <w:rsid w:val="00AB75FC"/>
    <w:rsid w:val="00AB78C3"/>
    <w:rsid w:val="00AB7E88"/>
    <w:rsid w:val="00AB7F96"/>
    <w:rsid w:val="00AC0049"/>
    <w:rsid w:val="00AC0287"/>
    <w:rsid w:val="00AC0A16"/>
    <w:rsid w:val="00AC0BBF"/>
    <w:rsid w:val="00AC1084"/>
    <w:rsid w:val="00AC155C"/>
    <w:rsid w:val="00AC1FFA"/>
    <w:rsid w:val="00AC28FE"/>
    <w:rsid w:val="00AC297B"/>
    <w:rsid w:val="00AC3862"/>
    <w:rsid w:val="00AC3CB3"/>
    <w:rsid w:val="00AC4123"/>
    <w:rsid w:val="00AC451A"/>
    <w:rsid w:val="00AC478F"/>
    <w:rsid w:val="00AC4C2C"/>
    <w:rsid w:val="00AC4DE1"/>
    <w:rsid w:val="00AC537D"/>
    <w:rsid w:val="00AC552C"/>
    <w:rsid w:val="00AC5CF0"/>
    <w:rsid w:val="00AC6358"/>
    <w:rsid w:val="00AC6437"/>
    <w:rsid w:val="00AC652C"/>
    <w:rsid w:val="00AC6554"/>
    <w:rsid w:val="00AC68D7"/>
    <w:rsid w:val="00AC6B78"/>
    <w:rsid w:val="00AC6D0B"/>
    <w:rsid w:val="00AC70C0"/>
    <w:rsid w:val="00AC77B4"/>
    <w:rsid w:val="00AC7D37"/>
    <w:rsid w:val="00AC7D54"/>
    <w:rsid w:val="00AD025E"/>
    <w:rsid w:val="00AD02B7"/>
    <w:rsid w:val="00AD03B3"/>
    <w:rsid w:val="00AD03D6"/>
    <w:rsid w:val="00AD0451"/>
    <w:rsid w:val="00AD0593"/>
    <w:rsid w:val="00AD05B0"/>
    <w:rsid w:val="00AD0B66"/>
    <w:rsid w:val="00AD1831"/>
    <w:rsid w:val="00AD18EE"/>
    <w:rsid w:val="00AD226F"/>
    <w:rsid w:val="00AD2468"/>
    <w:rsid w:val="00AD2747"/>
    <w:rsid w:val="00AD3037"/>
    <w:rsid w:val="00AD3038"/>
    <w:rsid w:val="00AD3296"/>
    <w:rsid w:val="00AD33BC"/>
    <w:rsid w:val="00AD3D23"/>
    <w:rsid w:val="00AD4943"/>
    <w:rsid w:val="00AD49FA"/>
    <w:rsid w:val="00AD4C26"/>
    <w:rsid w:val="00AD5192"/>
    <w:rsid w:val="00AD52BD"/>
    <w:rsid w:val="00AD54B4"/>
    <w:rsid w:val="00AD5C00"/>
    <w:rsid w:val="00AD6289"/>
    <w:rsid w:val="00AD63D1"/>
    <w:rsid w:val="00AD661A"/>
    <w:rsid w:val="00AD67D6"/>
    <w:rsid w:val="00AD6824"/>
    <w:rsid w:val="00AD692D"/>
    <w:rsid w:val="00AD6B3E"/>
    <w:rsid w:val="00AD6F78"/>
    <w:rsid w:val="00AD781A"/>
    <w:rsid w:val="00AD7C28"/>
    <w:rsid w:val="00AD7C88"/>
    <w:rsid w:val="00AD7E3A"/>
    <w:rsid w:val="00AE00C0"/>
    <w:rsid w:val="00AE03DA"/>
    <w:rsid w:val="00AE048D"/>
    <w:rsid w:val="00AE0962"/>
    <w:rsid w:val="00AE0A91"/>
    <w:rsid w:val="00AE0E6D"/>
    <w:rsid w:val="00AE0FCB"/>
    <w:rsid w:val="00AE1152"/>
    <w:rsid w:val="00AE1849"/>
    <w:rsid w:val="00AE1B7D"/>
    <w:rsid w:val="00AE1C38"/>
    <w:rsid w:val="00AE2D07"/>
    <w:rsid w:val="00AE2FBA"/>
    <w:rsid w:val="00AE3242"/>
    <w:rsid w:val="00AE382A"/>
    <w:rsid w:val="00AE38F7"/>
    <w:rsid w:val="00AE3D13"/>
    <w:rsid w:val="00AE407F"/>
    <w:rsid w:val="00AE44AD"/>
    <w:rsid w:val="00AE4DC2"/>
    <w:rsid w:val="00AE53B1"/>
    <w:rsid w:val="00AE57A5"/>
    <w:rsid w:val="00AE5A7C"/>
    <w:rsid w:val="00AE6073"/>
    <w:rsid w:val="00AE6090"/>
    <w:rsid w:val="00AE6236"/>
    <w:rsid w:val="00AE6583"/>
    <w:rsid w:val="00AE6630"/>
    <w:rsid w:val="00AE710C"/>
    <w:rsid w:val="00AE7484"/>
    <w:rsid w:val="00AE77D6"/>
    <w:rsid w:val="00AF0002"/>
    <w:rsid w:val="00AF058A"/>
    <w:rsid w:val="00AF0C58"/>
    <w:rsid w:val="00AF1079"/>
    <w:rsid w:val="00AF1D5E"/>
    <w:rsid w:val="00AF1F19"/>
    <w:rsid w:val="00AF2484"/>
    <w:rsid w:val="00AF2729"/>
    <w:rsid w:val="00AF2BC0"/>
    <w:rsid w:val="00AF2C8C"/>
    <w:rsid w:val="00AF49EA"/>
    <w:rsid w:val="00AF4E42"/>
    <w:rsid w:val="00AF4ED4"/>
    <w:rsid w:val="00AF4F66"/>
    <w:rsid w:val="00AF5472"/>
    <w:rsid w:val="00AF5652"/>
    <w:rsid w:val="00AF56B7"/>
    <w:rsid w:val="00AF584F"/>
    <w:rsid w:val="00AF5AFE"/>
    <w:rsid w:val="00AF6551"/>
    <w:rsid w:val="00AF666D"/>
    <w:rsid w:val="00AF6804"/>
    <w:rsid w:val="00AF6A8D"/>
    <w:rsid w:val="00AF6AA5"/>
    <w:rsid w:val="00AF6AB0"/>
    <w:rsid w:val="00AF6DE2"/>
    <w:rsid w:val="00AF6F44"/>
    <w:rsid w:val="00AF701C"/>
    <w:rsid w:val="00AF7210"/>
    <w:rsid w:val="00AF7582"/>
    <w:rsid w:val="00AF781C"/>
    <w:rsid w:val="00AF784F"/>
    <w:rsid w:val="00B00433"/>
    <w:rsid w:val="00B00AFA"/>
    <w:rsid w:val="00B017D8"/>
    <w:rsid w:val="00B01A1E"/>
    <w:rsid w:val="00B01A56"/>
    <w:rsid w:val="00B01E99"/>
    <w:rsid w:val="00B0251D"/>
    <w:rsid w:val="00B025A5"/>
    <w:rsid w:val="00B028B5"/>
    <w:rsid w:val="00B0383E"/>
    <w:rsid w:val="00B03852"/>
    <w:rsid w:val="00B03B76"/>
    <w:rsid w:val="00B03C53"/>
    <w:rsid w:val="00B03D71"/>
    <w:rsid w:val="00B03D8E"/>
    <w:rsid w:val="00B04507"/>
    <w:rsid w:val="00B0456E"/>
    <w:rsid w:val="00B04C65"/>
    <w:rsid w:val="00B04FF3"/>
    <w:rsid w:val="00B05AD9"/>
    <w:rsid w:val="00B06117"/>
    <w:rsid w:val="00B06122"/>
    <w:rsid w:val="00B06278"/>
    <w:rsid w:val="00B06932"/>
    <w:rsid w:val="00B069A8"/>
    <w:rsid w:val="00B06ADB"/>
    <w:rsid w:val="00B06C42"/>
    <w:rsid w:val="00B06CC6"/>
    <w:rsid w:val="00B06FDC"/>
    <w:rsid w:val="00B070B9"/>
    <w:rsid w:val="00B07480"/>
    <w:rsid w:val="00B075AD"/>
    <w:rsid w:val="00B0787B"/>
    <w:rsid w:val="00B07891"/>
    <w:rsid w:val="00B07980"/>
    <w:rsid w:val="00B07B63"/>
    <w:rsid w:val="00B07DA6"/>
    <w:rsid w:val="00B100A5"/>
    <w:rsid w:val="00B10712"/>
    <w:rsid w:val="00B10795"/>
    <w:rsid w:val="00B10956"/>
    <w:rsid w:val="00B10E0B"/>
    <w:rsid w:val="00B110D6"/>
    <w:rsid w:val="00B11876"/>
    <w:rsid w:val="00B124BB"/>
    <w:rsid w:val="00B1287F"/>
    <w:rsid w:val="00B12922"/>
    <w:rsid w:val="00B1292C"/>
    <w:rsid w:val="00B12F5A"/>
    <w:rsid w:val="00B1392B"/>
    <w:rsid w:val="00B139D5"/>
    <w:rsid w:val="00B13AF4"/>
    <w:rsid w:val="00B14196"/>
    <w:rsid w:val="00B1487F"/>
    <w:rsid w:val="00B14921"/>
    <w:rsid w:val="00B14E80"/>
    <w:rsid w:val="00B1501A"/>
    <w:rsid w:val="00B153FD"/>
    <w:rsid w:val="00B15683"/>
    <w:rsid w:val="00B1580B"/>
    <w:rsid w:val="00B15B7C"/>
    <w:rsid w:val="00B15C7C"/>
    <w:rsid w:val="00B15EDE"/>
    <w:rsid w:val="00B1651F"/>
    <w:rsid w:val="00B166D4"/>
    <w:rsid w:val="00B16745"/>
    <w:rsid w:val="00B16F37"/>
    <w:rsid w:val="00B175E1"/>
    <w:rsid w:val="00B175E2"/>
    <w:rsid w:val="00B1777F"/>
    <w:rsid w:val="00B179BB"/>
    <w:rsid w:val="00B17ADB"/>
    <w:rsid w:val="00B20290"/>
    <w:rsid w:val="00B20C6A"/>
    <w:rsid w:val="00B20DA0"/>
    <w:rsid w:val="00B20DB6"/>
    <w:rsid w:val="00B21199"/>
    <w:rsid w:val="00B213DE"/>
    <w:rsid w:val="00B21420"/>
    <w:rsid w:val="00B2147E"/>
    <w:rsid w:val="00B2149A"/>
    <w:rsid w:val="00B217C4"/>
    <w:rsid w:val="00B21FAC"/>
    <w:rsid w:val="00B2231F"/>
    <w:rsid w:val="00B223DF"/>
    <w:rsid w:val="00B224A8"/>
    <w:rsid w:val="00B229BB"/>
    <w:rsid w:val="00B22C57"/>
    <w:rsid w:val="00B23142"/>
    <w:rsid w:val="00B2360C"/>
    <w:rsid w:val="00B23832"/>
    <w:rsid w:val="00B23EFF"/>
    <w:rsid w:val="00B24365"/>
    <w:rsid w:val="00B24765"/>
    <w:rsid w:val="00B24C80"/>
    <w:rsid w:val="00B24FBC"/>
    <w:rsid w:val="00B250F9"/>
    <w:rsid w:val="00B25AB2"/>
    <w:rsid w:val="00B260EC"/>
    <w:rsid w:val="00B26305"/>
    <w:rsid w:val="00B26E17"/>
    <w:rsid w:val="00B26E98"/>
    <w:rsid w:val="00B26F77"/>
    <w:rsid w:val="00B27011"/>
    <w:rsid w:val="00B270F6"/>
    <w:rsid w:val="00B27582"/>
    <w:rsid w:val="00B2767E"/>
    <w:rsid w:val="00B27922"/>
    <w:rsid w:val="00B27940"/>
    <w:rsid w:val="00B27ACE"/>
    <w:rsid w:val="00B27B27"/>
    <w:rsid w:val="00B30238"/>
    <w:rsid w:val="00B3044D"/>
    <w:rsid w:val="00B307F2"/>
    <w:rsid w:val="00B3082A"/>
    <w:rsid w:val="00B309AB"/>
    <w:rsid w:val="00B30A60"/>
    <w:rsid w:val="00B30C98"/>
    <w:rsid w:val="00B310F8"/>
    <w:rsid w:val="00B314B1"/>
    <w:rsid w:val="00B314D1"/>
    <w:rsid w:val="00B315A8"/>
    <w:rsid w:val="00B31748"/>
    <w:rsid w:val="00B31B73"/>
    <w:rsid w:val="00B31C36"/>
    <w:rsid w:val="00B31F3C"/>
    <w:rsid w:val="00B32338"/>
    <w:rsid w:val="00B32EF8"/>
    <w:rsid w:val="00B33139"/>
    <w:rsid w:val="00B336C5"/>
    <w:rsid w:val="00B33B3A"/>
    <w:rsid w:val="00B33F15"/>
    <w:rsid w:val="00B340A6"/>
    <w:rsid w:val="00B34227"/>
    <w:rsid w:val="00B3429A"/>
    <w:rsid w:val="00B344D7"/>
    <w:rsid w:val="00B3450B"/>
    <w:rsid w:val="00B34990"/>
    <w:rsid w:val="00B35C30"/>
    <w:rsid w:val="00B36280"/>
    <w:rsid w:val="00B36423"/>
    <w:rsid w:val="00B3655F"/>
    <w:rsid w:val="00B36596"/>
    <w:rsid w:val="00B368ED"/>
    <w:rsid w:val="00B370F3"/>
    <w:rsid w:val="00B372E3"/>
    <w:rsid w:val="00B37B74"/>
    <w:rsid w:val="00B37BA4"/>
    <w:rsid w:val="00B4072C"/>
    <w:rsid w:val="00B4095A"/>
    <w:rsid w:val="00B40A2C"/>
    <w:rsid w:val="00B40BBE"/>
    <w:rsid w:val="00B40CAF"/>
    <w:rsid w:val="00B41153"/>
    <w:rsid w:val="00B418B2"/>
    <w:rsid w:val="00B426D1"/>
    <w:rsid w:val="00B427AF"/>
    <w:rsid w:val="00B42D85"/>
    <w:rsid w:val="00B42EAB"/>
    <w:rsid w:val="00B43484"/>
    <w:rsid w:val="00B434F1"/>
    <w:rsid w:val="00B4369C"/>
    <w:rsid w:val="00B4405C"/>
    <w:rsid w:val="00B44444"/>
    <w:rsid w:val="00B44BFA"/>
    <w:rsid w:val="00B4513B"/>
    <w:rsid w:val="00B4516E"/>
    <w:rsid w:val="00B45389"/>
    <w:rsid w:val="00B457E2"/>
    <w:rsid w:val="00B458C2"/>
    <w:rsid w:val="00B461C9"/>
    <w:rsid w:val="00B4690A"/>
    <w:rsid w:val="00B47097"/>
    <w:rsid w:val="00B4717F"/>
    <w:rsid w:val="00B4780B"/>
    <w:rsid w:val="00B505FB"/>
    <w:rsid w:val="00B50730"/>
    <w:rsid w:val="00B509DE"/>
    <w:rsid w:val="00B50CB1"/>
    <w:rsid w:val="00B50F32"/>
    <w:rsid w:val="00B512C9"/>
    <w:rsid w:val="00B51811"/>
    <w:rsid w:val="00B51CA5"/>
    <w:rsid w:val="00B52051"/>
    <w:rsid w:val="00B5248C"/>
    <w:rsid w:val="00B526A3"/>
    <w:rsid w:val="00B52C6A"/>
    <w:rsid w:val="00B52D73"/>
    <w:rsid w:val="00B53063"/>
    <w:rsid w:val="00B533C7"/>
    <w:rsid w:val="00B5361C"/>
    <w:rsid w:val="00B53682"/>
    <w:rsid w:val="00B53884"/>
    <w:rsid w:val="00B53B4A"/>
    <w:rsid w:val="00B53EE2"/>
    <w:rsid w:val="00B54457"/>
    <w:rsid w:val="00B54531"/>
    <w:rsid w:val="00B54903"/>
    <w:rsid w:val="00B54BCE"/>
    <w:rsid w:val="00B54FAF"/>
    <w:rsid w:val="00B55189"/>
    <w:rsid w:val="00B55530"/>
    <w:rsid w:val="00B555AF"/>
    <w:rsid w:val="00B55A37"/>
    <w:rsid w:val="00B55B93"/>
    <w:rsid w:val="00B566E6"/>
    <w:rsid w:val="00B56D3B"/>
    <w:rsid w:val="00B56FB8"/>
    <w:rsid w:val="00B57901"/>
    <w:rsid w:val="00B57B00"/>
    <w:rsid w:val="00B57BDF"/>
    <w:rsid w:val="00B57E69"/>
    <w:rsid w:val="00B601AA"/>
    <w:rsid w:val="00B60DC1"/>
    <w:rsid w:val="00B617D8"/>
    <w:rsid w:val="00B62003"/>
    <w:rsid w:val="00B62110"/>
    <w:rsid w:val="00B623C5"/>
    <w:rsid w:val="00B62AEB"/>
    <w:rsid w:val="00B62B7B"/>
    <w:rsid w:val="00B62BAF"/>
    <w:rsid w:val="00B62D4B"/>
    <w:rsid w:val="00B6322E"/>
    <w:rsid w:val="00B634B8"/>
    <w:rsid w:val="00B6353C"/>
    <w:rsid w:val="00B63B96"/>
    <w:rsid w:val="00B63F44"/>
    <w:rsid w:val="00B6404F"/>
    <w:rsid w:val="00B64667"/>
    <w:rsid w:val="00B6549C"/>
    <w:rsid w:val="00B6561B"/>
    <w:rsid w:val="00B6566B"/>
    <w:rsid w:val="00B656F3"/>
    <w:rsid w:val="00B65C8D"/>
    <w:rsid w:val="00B65DA8"/>
    <w:rsid w:val="00B65EFE"/>
    <w:rsid w:val="00B666EF"/>
    <w:rsid w:val="00B66B90"/>
    <w:rsid w:val="00B670BF"/>
    <w:rsid w:val="00B670E1"/>
    <w:rsid w:val="00B674B6"/>
    <w:rsid w:val="00B67853"/>
    <w:rsid w:val="00B67A58"/>
    <w:rsid w:val="00B67E6A"/>
    <w:rsid w:val="00B7023B"/>
    <w:rsid w:val="00B702FF"/>
    <w:rsid w:val="00B70436"/>
    <w:rsid w:val="00B70558"/>
    <w:rsid w:val="00B70562"/>
    <w:rsid w:val="00B70983"/>
    <w:rsid w:val="00B70D27"/>
    <w:rsid w:val="00B70D3B"/>
    <w:rsid w:val="00B7100B"/>
    <w:rsid w:val="00B71320"/>
    <w:rsid w:val="00B71535"/>
    <w:rsid w:val="00B71730"/>
    <w:rsid w:val="00B71B3E"/>
    <w:rsid w:val="00B71BB3"/>
    <w:rsid w:val="00B71DB7"/>
    <w:rsid w:val="00B71F92"/>
    <w:rsid w:val="00B7211A"/>
    <w:rsid w:val="00B72791"/>
    <w:rsid w:val="00B7279C"/>
    <w:rsid w:val="00B72A42"/>
    <w:rsid w:val="00B72C32"/>
    <w:rsid w:val="00B7377D"/>
    <w:rsid w:val="00B739CC"/>
    <w:rsid w:val="00B73ADA"/>
    <w:rsid w:val="00B740EF"/>
    <w:rsid w:val="00B74861"/>
    <w:rsid w:val="00B74B7C"/>
    <w:rsid w:val="00B74CD4"/>
    <w:rsid w:val="00B75123"/>
    <w:rsid w:val="00B75A06"/>
    <w:rsid w:val="00B75C14"/>
    <w:rsid w:val="00B76499"/>
    <w:rsid w:val="00B7657D"/>
    <w:rsid w:val="00B76A62"/>
    <w:rsid w:val="00B76DE4"/>
    <w:rsid w:val="00B76FAE"/>
    <w:rsid w:val="00B7700E"/>
    <w:rsid w:val="00B77603"/>
    <w:rsid w:val="00B77C75"/>
    <w:rsid w:val="00B77DA9"/>
    <w:rsid w:val="00B77F09"/>
    <w:rsid w:val="00B80403"/>
    <w:rsid w:val="00B80545"/>
    <w:rsid w:val="00B807F7"/>
    <w:rsid w:val="00B80BE4"/>
    <w:rsid w:val="00B80CD3"/>
    <w:rsid w:val="00B81AA9"/>
    <w:rsid w:val="00B81D7D"/>
    <w:rsid w:val="00B81EC8"/>
    <w:rsid w:val="00B82061"/>
    <w:rsid w:val="00B8208A"/>
    <w:rsid w:val="00B8248A"/>
    <w:rsid w:val="00B82664"/>
    <w:rsid w:val="00B82864"/>
    <w:rsid w:val="00B82A0A"/>
    <w:rsid w:val="00B82B66"/>
    <w:rsid w:val="00B82C27"/>
    <w:rsid w:val="00B82EA0"/>
    <w:rsid w:val="00B83024"/>
    <w:rsid w:val="00B83179"/>
    <w:rsid w:val="00B83287"/>
    <w:rsid w:val="00B836F9"/>
    <w:rsid w:val="00B83BCF"/>
    <w:rsid w:val="00B83E0A"/>
    <w:rsid w:val="00B84117"/>
    <w:rsid w:val="00B841E5"/>
    <w:rsid w:val="00B84996"/>
    <w:rsid w:val="00B849BC"/>
    <w:rsid w:val="00B8504C"/>
    <w:rsid w:val="00B85167"/>
    <w:rsid w:val="00B8583A"/>
    <w:rsid w:val="00B85886"/>
    <w:rsid w:val="00B85A4F"/>
    <w:rsid w:val="00B85F52"/>
    <w:rsid w:val="00B86118"/>
    <w:rsid w:val="00B862EF"/>
    <w:rsid w:val="00B86500"/>
    <w:rsid w:val="00B8691D"/>
    <w:rsid w:val="00B86B16"/>
    <w:rsid w:val="00B870F1"/>
    <w:rsid w:val="00B87187"/>
    <w:rsid w:val="00B8751C"/>
    <w:rsid w:val="00B90687"/>
    <w:rsid w:val="00B90768"/>
    <w:rsid w:val="00B90893"/>
    <w:rsid w:val="00B908DA"/>
    <w:rsid w:val="00B91016"/>
    <w:rsid w:val="00B9168D"/>
    <w:rsid w:val="00B91721"/>
    <w:rsid w:val="00B9172A"/>
    <w:rsid w:val="00B91993"/>
    <w:rsid w:val="00B91B5C"/>
    <w:rsid w:val="00B92004"/>
    <w:rsid w:val="00B927B5"/>
    <w:rsid w:val="00B92BF0"/>
    <w:rsid w:val="00B92DD1"/>
    <w:rsid w:val="00B93195"/>
    <w:rsid w:val="00B9359C"/>
    <w:rsid w:val="00B93813"/>
    <w:rsid w:val="00B93856"/>
    <w:rsid w:val="00B93B79"/>
    <w:rsid w:val="00B942BD"/>
    <w:rsid w:val="00B94515"/>
    <w:rsid w:val="00B945E8"/>
    <w:rsid w:val="00B94A33"/>
    <w:rsid w:val="00B94AEA"/>
    <w:rsid w:val="00B94B1A"/>
    <w:rsid w:val="00B95327"/>
    <w:rsid w:val="00B95700"/>
    <w:rsid w:val="00B9586A"/>
    <w:rsid w:val="00B95B7D"/>
    <w:rsid w:val="00B95C09"/>
    <w:rsid w:val="00B95D29"/>
    <w:rsid w:val="00B95D37"/>
    <w:rsid w:val="00B95F5E"/>
    <w:rsid w:val="00B9611C"/>
    <w:rsid w:val="00B96473"/>
    <w:rsid w:val="00B966A1"/>
    <w:rsid w:val="00B968D3"/>
    <w:rsid w:val="00B96918"/>
    <w:rsid w:val="00B97493"/>
    <w:rsid w:val="00B9761E"/>
    <w:rsid w:val="00B9762E"/>
    <w:rsid w:val="00B97A26"/>
    <w:rsid w:val="00B97C5F"/>
    <w:rsid w:val="00BA02BA"/>
    <w:rsid w:val="00BA0307"/>
    <w:rsid w:val="00BA0612"/>
    <w:rsid w:val="00BA0760"/>
    <w:rsid w:val="00BA0E6D"/>
    <w:rsid w:val="00BA1490"/>
    <w:rsid w:val="00BA156B"/>
    <w:rsid w:val="00BA1605"/>
    <w:rsid w:val="00BA21F6"/>
    <w:rsid w:val="00BA2245"/>
    <w:rsid w:val="00BA287A"/>
    <w:rsid w:val="00BA288A"/>
    <w:rsid w:val="00BA2A44"/>
    <w:rsid w:val="00BA2BD9"/>
    <w:rsid w:val="00BA2D3B"/>
    <w:rsid w:val="00BA2DDF"/>
    <w:rsid w:val="00BA3616"/>
    <w:rsid w:val="00BA3AA5"/>
    <w:rsid w:val="00BA3B7E"/>
    <w:rsid w:val="00BA4241"/>
    <w:rsid w:val="00BA4391"/>
    <w:rsid w:val="00BA43C5"/>
    <w:rsid w:val="00BA4E19"/>
    <w:rsid w:val="00BA51E6"/>
    <w:rsid w:val="00BA5389"/>
    <w:rsid w:val="00BA5405"/>
    <w:rsid w:val="00BA54D2"/>
    <w:rsid w:val="00BA58A1"/>
    <w:rsid w:val="00BA5BD0"/>
    <w:rsid w:val="00BA61EB"/>
    <w:rsid w:val="00BA655E"/>
    <w:rsid w:val="00BA65EC"/>
    <w:rsid w:val="00BA7507"/>
    <w:rsid w:val="00BA7B4C"/>
    <w:rsid w:val="00BB019A"/>
    <w:rsid w:val="00BB03B6"/>
    <w:rsid w:val="00BB06D7"/>
    <w:rsid w:val="00BB09F9"/>
    <w:rsid w:val="00BB122A"/>
    <w:rsid w:val="00BB15B8"/>
    <w:rsid w:val="00BB1B50"/>
    <w:rsid w:val="00BB1C51"/>
    <w:rsid w:val="00BB1C6C"/>
    <w:rsid w:val="00BB1CF5"/>
    <w:rsid w:val="00BB225C"/>
    <w:rsid w:val="00BB2277"/>
    <w:rsid w:val="00BB2767"/>
    <w:rsid w:val="00BB2A2B"/>
    <w:rsid w:val="00BB2DB2"/>
    <w:rsid w:val="00BB318E"/>
    <w:rsid w:val="00BB3258"/>
    <w:rsid w:val="00BB35F3"/>
    <w:rsid w:val="00BB3616"/>
    <w:rsid w:val="00BB3619"/>
    <w:rsid w:val="00BB369F"/>
    <w:rsid w:val="00BB3C7B"/>
    <w:rsid w:val="00BB4405"/>
    <w:rsid w:val="00BB4546"/>
    <w:rsid w:val="00BB4557"/>
    <w:rsid w:val="00BB48CD"/>
    <w:rsid w:val="00BB4B4F"/>
    <w:rsid w:val="00BB4D24"/>
    <w:rsid w:val="00BB5913"/>
    <w:rsid w:val="00BB5B68"/>
    <w:rsid w:val="00BB5B8A"/>
    <w:rsid w:val="00BB6023"/>
    <w:rsid w:val="00BB6176"/>
    <w:rsid w:val="00BB61E1"/>
    <w:rsid w:val="00BB647F"/>
    <w:rsid w:val="00BB66CF"/>
    <w:rsid w:val="00BB67EF"/>
    <w:rsid w:val="00BB6DCE"/>
    <w:rsid w:val="00BB766C"/>
    <w:rsid w:val="00BB771E"/>
    <w:rsid w:val="00BB7EEF"/>
    <w:rsid w:val="00BC0602"/>
    <w:rsid w:val="00BC0DC9"/>
    <w:rsid w:val="00BC0F18"/>
    <w:rsid w:val="00BC15FC"/>
    <w:rsid w:val="00BC1972"/>
    <w:rsid w:val="00BC1AD5"/>
    <w:rsid w:val="00BC1B8F"/>
    <w:rsid w:val="00BC1BF9"/>
    <w:rsid w:val="00BC1F14"/>
    <w:rsid w:val="00BC2134"/>
    <w:rsid w:val="00BC235A"/>
    <w:rsid w:val="00BC248D"/>
    <w:rsid w:val="00BC2917"/>
    <w:rsid w:val="00BC2C8D"/>
    <w:rsid w:val="00BC314B"/>
    <w:rsid w:val="00BC3346"/>
    <w:rsid w:val="00BC336C"/>
    <w:rsid w:val="00BC36DD"/>
    <w:rsid w:val="00BC4020"/>
    <w:rsid w:val="00BC49CD"/>
    <w:rsid w:val="00BC5478"/>
    <w:rsid w:val="00BC54EF"/>
    <w:rsid w:val="00BC554E"/>
    <w:rsid w:val="00BC559A"/>
    <w:rsid w:val="00BC5780"/>
    <w:rsid w:val="00BC5AE5"/>
    <w:rsid w:val="00BC5D9E"/>
    <w:rsid w:val="00BC5DFA"/>
    <w:rsid w:val="00BC5EC4"/>
    <w:rsid w:val="00BC62FE"/>
    <w:rsid w:val="00BC6484"/>
    <w:rsid w:val="00BC6D72"/>
    <w:rsid w:val="00BC7173"/>
    <w:rsid w:val="00BC71BC"/>
    <w:rsid w:val="00BC7888"/>
    <w:rsid w:val="00BC79F4"/>
    <w:rsid w:val="00BC7C6E"/>
    <w:rsid w:val="00BC7C79"/>
    <w:rsid w:val="00BD014A"/>
    <w:rsid w:val="00BD027C"/>
    <w:rsid w:val="00BD0318"/>
    <w:rsid w:val="00BD044B"/>
    <w:rsid w:val="00BD052E"/>
    <w:rsid w:val="00BD0578"/>
    <w:rsid w:val="00BD07C1"/>
    <w:rsid w:val="00BD087D"/>
    <w:rsid w:val="00BD0B35"/>
    <w:rsid w:val="00BD0D53"/>
    <w:rsid w:val="00BD10CB"/>
    <w:rsid w:val="00BD1442"/>
    <w:rsid w:val="00BD154F"/>
    <w:rsid w:val="00BD16A2"/>
    <w:rsid w:val="00BD17AB"/>
    <w:rsid w:val="00BD19B4"/>
    <w:rsid w:val="00BD1B1A"/>
    <w:rsid w:val="00BD1ED5"/>
    <w:rsid w:val="00BD20B1"/>
    <w:rsid w:val="00BD225E"/>
    <w:rsid w:val="00BD23E9"/>
    <w:rsid w:val="00BD271D"/>
    <w:rsid w:val="00BD2AF3"/>
    <w:rsid w:val="00BD34BB"/>
    <w:rsid w:val="00BD356A"/>
    <w:rsid w:val="00BD36AC"/>
    <w:rsid w:val="00BD476F"/>
    <w:rsid w:val="00BD484E"/>
    <w:rsid w:val="00BD4BC3"/>
    <w:rsid w:val="00BD4C55"/>
    <w:rsid w:val="00BD4C63"/>
    <w:rsid w:val="00BD4CC0"/>
    <w:rsid w:val="00BD4F6D"/>
    <w:rsid w:val="00BD4FE9"/>
    <w:rsid w:val="00BD5039"/>
    <w:rsid w:val="00BD5111"/>
    <w:rsid w:val="00BD59B4"/>
    <w:rsid w:val="00BD59B9"/>
    <w:rsid w:val="00BD59EE"/>
    <w:rsid w:val="00BD5AD4"/>
    <w:rsid w:val="00BD5DAC"/>
    <w:rsid w:val="00BD5F8E"/>
    <w:rsid w:val="00BD6301"/>
    <w:rsid w:val="00BD6855"/>
    <w:rsid w:val="00BD6A43"/>
    <w:rsid w:val="00BD6D85"/>
    <w:rsid w:val="00BD7468"/>
    <w:rsid w:val="00BD7697"/>
    <w:rsid w:val="00BD7A4E"/>
    <w:rsid w:val="00BD7C73"/>
    <w:rsid w:val="00BE001F"/>
    <w:rsid w:val="00BE01AD"/>
    <w:rsid w:val="00BE04A5"/>
    <w:rsid w:val="00BE0A86"/>
    <w:rsid w:val="00BE0BE3"/>
    <w:rsid w:val="00BE1443"/>
    <w:rsid w:val="00BE1950"/>
    <w:rsid w:val="00BE1A85"/>
    <w:rsid w:val="00BE2211"/>
    <w:rsid w:val="00BE22E9"/>
    <w:rsid w:val="00BE2571"/>
    <w:rsid w:val="00BE2751"/>
    <w:rsid w:val="00BE2793"/>
    <w:rsid w:val="00BE27D3"/>
    <w:rsid w:val="00BE28E7"/>
    <w:rsid w:val="00BE2CD5"/>
    <w:rsid w:val="00BE2DA2"/>
    <w:rsid w:val="00BE2E5C"/>
    <w:rsid w:val="00BE36CC"/>
    <w:rsid w:val="00BE3813"/>
    <w:rsid w:val="00BE393E"/>
    <w:rsid w:val="00BE3C93"/>
    <w:rsid w:val="00BE3CD3"/>
    <w:rsid w:val="00BE3F82"/>
    <w:rsid w:val="00BE426A"/>
    <w:rsid w:val="00BE4301"/>
    <w:rsid w:val="00BE520A"/>
    <w:rsid w:val="00BE5406"/>
    <w:rsid w:val="00BE601D"/>
    <w:rsid w:val="00BE6342"/>
    <w:rsid w:val="00BE6600"/>
    <w:rsid w:val="00BE7094"/>
    <w:rsid w:val="00BE7160"/>
    <w:rsid w:val="00BE7455"/>
    <w:rsid w:val="00BE780B"/>
    <w:rsid w:val="00BF0A04"/>
    <w:rsid w:val="00BF0A20"/>
    <w:rsid w:val="00BF0C82"/>
    <w:rsid w:val="00BF0DB0"/>
    <w:rsid w:val="00BF191E"/>
    <w:rsid w:val="00BF1E7D"/>
    <w:rsid w:val="00BF1F2E"/>
    <w:rsid w:val="00BF203C"/>
    <w:rsid w:val="00BF22B6"/>
    <w:rsid w:val="00BF2454"/>
    <w:rsid w:val="00BF264D"/>
    <w:rsid w:val="00BF2B62"/>
    <w:rsid w:val="00BF2E18"/>
    <w:rsid w:val="00BF2F5D"/>
    <w:rsid w:val="00BF33F4"/>
    <w:rsid w:val="00BF3572"/>
    <w:rsid w:val="00BF35B1"/>
    <w:rsid w:val="00BF3903"/>
    <w:rsid w:val="00BF3970"/>
    <w:rsid w:val="00BF3EAB"/>
    <w:rsid w:val="00BF3F4F"/>
    <w:rsid w:val="00BF44D4"/>
    <w:rsid w:val="00BF4D9D"/>
    <w:rsid w:val="00BF5778"/>
    <w:rsid w:val="00BF57DE"/>
    <w:rsid w:val="00BF5D87"/>
    <w:rsid w:val="00BF5E1E"/>
    <w:rsid w:val="00BF5ECF"/>
    <w:rsid w:val="00BF65CD"/>
    <w:rsid w:val="00BF687C"/>
    <w:rsid w:val="00BF730C"/>
    <w:rsid w:val="00BF732A"/>
    <w:rsid w:val="00BF759E"/>
    <w:rsid w:val="00BF76E0"/>
    <w:rsid w:val="00BF7F62"/>
    <w:rsid w:val="00C00A36"/>
    <w:rsid w:val="00C00A4F"/>
    <w:rsid w:val="00C01033"/>
    <w:rsid w:val="00C012F5"/>
    <w:rsid w:val="00C01479"/>
    <w:rsid w:val="00C014C4"/>
    <w:rsid w:val="00C02742"/>
    <w:rsid w:val="00C03BF8"/>
    <w:rsid w:val="00C03E57"/>
    <w:rsid w:val="00C04246"/>
    <w:rsid w:val="00C0469D"/>
    <w:rsid w:val="00C047B0"/>
    <w:rsid w:val="00C0483E"/>
    <w:rsid w:val="00C04DEA"/>
    <w:rsid w:val="00C0597C"/>
    <w:rsid w:val="00C05B0E"/>
    <w:rsid w:val="00C05B94"/>
    <w:rsid w:val="00C05C59"/>
    <w:rsid w:val="00C06105"/>
    <w:rsid w:val="00C06750"/>
    <w:rsid w:val="00C06879"/>
    <w:rsid w:val="00C06BC8"/>
    <w:rsid w:val="00C06C60"/>
    <w:rsid w:val="00C070BF"/>
    <w:rsid w:val="00C07280"/>
    <w:rsid w:val="00C07364"/>
    <w:rsid w:val="00C07BA7"/>
    <w:rsid w:val="00C07EB0"/>
    <w:rsid w:val="00C07EFB"/>
    <w:rsid w:val="00C101EC"/>
    <w:rsid w:val="00C108CE"/>
    <w:rsid w:val="00C109A6"/>
    <w:rsid w:val="00C10E5F"/>
    <w:rsid w:val="00C11023"/>
    <w:rsid w:val="00C11036"/>
    <w:rsid w:val="00C111ED"/>
    <w:rsid w:val="00C11433"/>
    <w:rsid w:val="00C12492"/>
    <w:rsid w:val="00C12C13"/>
    <w:rsid w:val="00C13010"/>
    <w:rsid w:val="00C1322C"/>
    <w:rsid w:val="00C132C8"/>
    <w:rsid w:val="00C134BA"/>
    <w:rsid w:val="00C13527"/>
    <w:rsid w:val="00C140F7"/>
    <w:rsid w:val="00C141AD"/>
    <w:rsid w:val="00C14361"/>
    <w:rsid w:val="00C14669"/>
    <w:rsid w:val="00C1466B"/>
    <w:rsid w:val="00C14BDF"/>
    <w:rsid w:val="00C14DB9"/>
    <w:rsid w:val="00C14DD9"/>
    <w:rsid w:val="00C150EB"/>
    <w:rsid w:val="00C15A13"/>
    <w:rsid w:val="00C15D91"/>
    <w:rsid w:val="00C15DF5"/>
    <w:rsid w:val="00C162BC"/>
    <w:rsid w:val="00C16533"/>
    <w:rsid w:val="00C165B7"/>
    <w:rsid w:val="00C167F8"/>
    <w:rsid w:val="00C16DF6"/>
    <w:rsid w:val="00C170C0"/>
    <w:rsid w:val="00C17364"/>
    <w:rsid w:val="00C17BE6"/>
    <w:rsid w:val="00C17E34"/>
    <w:rsid w:val="00C20550"/>
    <w:rsid w:val="00C206A4"/>
    <w:rsid w:val="00C20C40"/>
    <w:rsid w:val="00C20FE8"/>
    <w:rsid w:val="00C210A6"/>
    <w:rsid w:val="00C21545"/>
    <w:rsid w:val="00C21915"/>
    <w:rsid w:val="00C219F9"/>
    <w:rsid w:val="00C21B98"/>
    <w:rsid w:val="00C21D84"/>
    <w:rsid w:val="00C21D9C"/>
    <w:rsid w:val="00C21EC9"/>
    <w:rsid w:val="00C221D5"/>
    <w:rsid w:val="00C222C7"/>
    <w:rsid w:val="00C22490"/>
    <w:rsid w:val="00C226E8"/>
    <w:rsid w:val="00C227D1"/>
    <w:rsid w:val="00C22959"/>
    <w:rsid w:val="00C23333"/>
    <w:rsid w:val="00C23797"/>
    <w:rsid w:val="00C2413D"/>
    <w:rsid w:val="00C2419D"/>
    <w:rsid w:val="00C247C8"/>
    <w:rsid w:val="00C24844"/>
    <w:rsid w:val="00C24B57"/>
    <w:rsid w:val="00C24B8B"/>
    <w:rsid w:val="00C24E5E"/>
    <w:rsid w:val="00C24E74"/>
    <w:rsid w:val="00C24FC3"/>
    <w:rsid w:val="00C2505C"/>
    <w:rsid w:val="00C251D9"/>
    <w:rsid w:val="00C25432"/>
    <w:rsid w:val="00C25592"/>
    <w:rsid w:val="00C25749"/>
    <w:rsid w:val="00C2580C"/>
    <w:rsid w:val="00C25A3F"/>
    <w:rsid w:val="00C25C9E"/>
    <w:rsid w:val="00C25FC0"/>
    <w:rsid w:val="00C26224"/>
    <w:rsid w:val="00C26C8E"/>
    <w:rsid w:val="00C270CC"/>
    <w:rsid w:val="00C2728B"/>
    <w:rsid w:val="00C272C4"/>
    <w:rsid w:val="00C27351"/>
    <w:rsid w:val="00C2741F"/>
    <w:rsid w:val="00C27473"/>
    <w:rsid w:val="00C274E5"/>
    <w:rsid w:val="00C27A42"/>
    <w:rsid w:val="00C27E51"/>
    <w:rsid w:val="00C30935"/>
    <w:rsid w:val="00C30987"/>
    <w:rsid w:val="00C30AFA"/>
    <w:rsid w:val="00C30B58"/>
    <w:rsid w:val="00C30D8F"/>
    <w:rsid w:val="00C30DEB"/>
    <w:rsid w:val="00C30E89"/>
    <w:rsid w:val="00C31358"/>
    <w:rsid w:val="00C31439"/>
    <w:rsid w:val="00C31588"/>
    <w:rsid w:val="00C31C12"/>
    <w:rsid w:val="00C3200B"/>
    <w:rsid w:val="00C32337"/>
    <w:rsid w:val="00C32704"/>
    <w:rsid w:val="00C32A12"/>
    <w:rsid w:val="00C32AF1"/>
    <w:rsid w:val="00C3322C"/>
    <w:rsid w:val="00C3344C"/>
    <w:rsid w:val="00C34D97"/>
    <w:rsid w:val="00C3507E"/>
    <w:rsid w:val="00C35370"/>
    <w:rsid w:val="00C35A23"/>
    <w:rsid w:val="00C35AC0"/>
    <w:rsid w:val="00C35BCB"/>
    <w:rsid w:val="00C35FAE"/>
    <w:rsid w:val="00C36605"/>
    <w:rsid w:val="00C3661C"/>
    <w:rsid w:val="00C36B01"/>
    <w:rsid w:val="00C36BCF"/>
    <w:rsid w:val="00C36C13"/>
    <w:rsid w:val="00C36C40"/>
    <w:rsid w:val="00C36C82"/>
    <w:rsid w:val="00C370C8"/>
    <w:rsid w:val="00C37BB6"/>
    <w:rsid w:val="00C37D0B"/>
    <w:rsid w:val="00C37DBE"/>
    <w:rsid w:val="00C404EC"/>
    <w:rsid w:val="00C4097C"/>
    <w:rsid w:val="00C40B96"/>
    <w:rsid w:val="00C40BD7"/>
    <w:rsid w:val="00C40EFB"/>
    <w:rsid w:val="00C40FD6"/>
    <w:rsid w:val="00C416B8"/>
    <w:rsid w:val="00C41864"/>
    <w:rsid w:val="00C41CD3"/>
    <w:rsid w:val="00C421D3"/>
    <w:rsid w:val="00C42303"/>
    <w:rsid w:val="00C42380"/>
    <w:rsid w:val="00C4238C"/>
    <w:rsid w:val="00C424F6"/>
    <w:rsid w:val="00C42B7C"/>
    <w:rsid w:val="00C42D07"/>
    <w:rsid w:val="00C42E06"/>
    <w:rsid w:val="00C434B3"/>
    <w:rsid w:val="00C43C5C"/>
    <w:rsid w:val="00C43E12"/>
    <w:rsid w:val="00C443F2"/>
    <w:rsid w:val="00C44764"/>
    <w:rsid w:val="00C448BB"/>
    <w:rsid w:val="00C44AC9"/>
    <w:rsid w:val="00C44E9F"/>
    <w:rsid w:val="00C450A2"/>
    <w:rsid w:val="00C4515D"/>
    <w:rsid w:val="00C4516D"/>
    <w:rsid w:val="00C451CA"/>
    <w:rsid w:val="00C455E7"/>
    <w:rsid w:val="00C456E5"/>
    <w:rsid w:val="00C4577D"/>
    <w:rsid w:val="00C45EDF"/>
    <w:rsid w:val="00C46FC9"/>
    <w:rsid w:val="00C4716B"/>
    <w:rsid w:val="00C4721E"/>
    <w:rsid w:val="00C474A3"/>
    <w:rsid w:val="00C47AD2"/>
    <w:rsid w:val="00C5027F"/>
    <w:rsid w:val="00C509E0"/>
    <w:rsid w:val="00C51011"/>
    <w:rsid w:val="00C51174"/>
    <w:rsid w:val="00C515D3"/>
    <w:rsid w:val="00C51B84"/>
    <w:rsid w:val="00C52067"/>
    <w:rsid w:val="00C52374"/>
    <w:rsid w:val="00C52634"/>
    <w:rsid w:val="00C5268B"/>
    <w:rsid w:val="00C52B18"/>
    <w:rsid w:val="00C52B31"/>
    <w:rsid w:val="00C52FD2"/>
    <w:rsid w:val="00C5304D"/>
    <w:rsid w:val="00C532A1"/>
    <w:rsid w:val="00C53724"/>
    <w:rsid w:val="00C53AA8"/>
    <w:rsid w:val="00C53DDB"/>
    <w:rsid w:val="00C54305"/>
    <w:rsid w:val="00C54994"/>
    <w:rsid w:val="00C54DE2"/>
    <w:rsid w:val="00C5546B"/>
    <w:rsid w:val="00C557C0"/>
    <w:rsid w:val="00C55FAF"/>
    <w:rsid w:val="00C565BD"/>
    <w:rsid w:val="00C565FD"/>
    <w:rsid w:val="00C57758"/>
    <w:rsid w:val="00C579C8"/>
    <w:rsid w:val="00C57C36"/>
    <w:rsid w:val="00C600CF"/>
    <w:rsid w:val="00C6022A"/>
    <w:rsid w:val="00C6039F"/>
    <w:rsid w:val="00C60451"/>
    <w:rsid w:val="00C60670"/>
    <w:rsid w:val="00C60737"/>
    <w:rsid w:val="00C61257"/>
    <w:rsid w:val="00C6136E"/>
    <w:rsid w:val="00C61968"/>
    <w:rsid w:val="00C61B54"/>
    <w:rsid w:val="00C61B60"/>
    <w:rsid w:val="00C6290D"/>
    <w:rsid w:val="00C631AF"/>
    <w:rsid w:val="00C6361D"/>
    <w:rsid w:val="00C63B82"/>
    <w:rsid w:val="00C63B87"/>
    <w:rsid w:val="00C63BB3"/>
    <w:rsid w:val="00C63C0B"/>
    <w:rsid w:val="00C63DCE"/>
    <w:rsid w:val="00C6401F"/>
    <w:rsid w:val="00C64055"/>
    <w:rsid w:val="00C6414E"/>
    <w:rsid w:val="00C642B6"/>
    <w:rsid w:val="00C6479D"/>
    <w:rsid w:val="00C648AC"/>
    <w:rsid w:val="00C65140"/>
    <w:rsid w:val="00C65336"/>
    <w:rsid w:val="00C65D22"/>
    <w:rsid w:val="00C6660B"/>
    <w:rsid w:val="00C666DD"/>
    <w:rsid w:val="00C66758"/>
    <w:rsid w:val="00C66B33"/>
    <w:rsid w:val="00C66CF0"/>
    <w:rsid w:val="00C67029"/>
    <w:rsid w:val="00C6714B"/>
    <w:rsid w:val="00C6734C"/>
    <w:rsid w:val="00C67603"/>
    <w:rsid w:val="00C678DC"/>
    <w:rsid w:val="00C67C2A"/>
    <w:rsid w:val="00C67C61"/>
    <w:rsid w:val="00C70182"/>
    <w:rsid w:val="00C701F5"/>
    <w:rsid w:val="00C70382"/>
    <w:rsid w:val="00C705E4"/>
    <w:rsid w:val="00C7062D"/>
    <w:rsid w:val="00C70786"/>
    <w:rsid w:val="00C7081B"/>
    <w:rsid w:val="00C71635"/>
    <w:rsid w:val="00C721C5"/>
    <w:rsid w:val="00C721E8"/>
    <w:rsid w:val="00C732D1"/>
    <w:rsid w:val="00C734A5"/>
    <w:rsid w:val="00C73522"/>
    <w:rsid w:val="00C7376F"/>
    <w:rsid w:val="00C73B96"/>
    <w:rsid w:val="00C73C80"/>
    <w:rsid w:val="00C73F6D"/>
    <w:rsid w:val="00C74007"/>
    <w:rsid w:val="00C740A8"/>
    <w:rsid w:val="00C74238"/>
    <w:rsid w:val="00C747C4"/>
    <w:rsid w:val="00C747F0"/>
    <w:rsid w:val="00C74A14"/>
    <w:rsid w:val="00C74A5B"/>
    <w:rsid w:val="00C74AF6"/>
    <w:rsid w:val="00C74D6F"/>
    <w:rsid w:val="00C74F1F"/>
    <w:rsid w:val="00C75A98"/>
    <w:rsid w:val="00C75E0F"/>
    <w:rsid w:val="00C75ECC"/>
    <w:rsid w:val="00C75FD7"/>
    <w:rsid w:val="00C76228"/>
    <w:rsid w:val="00C762BE"/>
    <w:rsid w:val="00C763B6"/>
    <w:rsid w:val="00C765D7"/>
    <w:rsid w:val="00C766E2"/>
    <w:rsid w:val="00C76A60"/>
    <w:rsid w:val="00C76C56"/>
    <w:rsid w:val="00C76CF8"/>
    <w:rsid w:val="00C77610"/>
    <w:rsid w:val="00C77B60"/>
    <w:rsid w:val="00C77B9A"/>
    <w:rsid w:val="00C77E4B"/>
    <w:rsid w:val="00C80A7E"/>
    <w:rsid w:val="00C80C19"/>
    <w:rsid w:val="00C80C33"/>
    <w:rsid w:val="00C80C5B"/>
    <w:rsid w:val="00C81244"/>
    <w:rsid w:val="00C819F3"/>
    <w:rsid w:val="00C81E90"/>
    <w:rsid w:val="00C81F1E"/>
    <w:rsid w:val="00C828EF"/>
    <w:rsid w:val="00C82C71"/>
    <w:rsid w:val="00C82FD5"/>
    <w:rsid w:val="00C83676"/>
    <w:rsid w:val="00C83B22"/>
    <w:rsid w:val="00C83D26"/>
    <w:rsid w:val="00C845B7"/>
    <w:rsid w:val="00C85395"/>
    <w:rsid w:val="00C858A1"/>
    <w:rsid w:val="00C85E16"/>
    <w:rsid w:val="00C8600E"/>
    <w:rsid w:val="00C86505"/>
    <w:rsid w:val="00C86F92"/>
    <w:rsid w:val="00C8742E"/>
    <w:rsid w:val="00C874D1"/>
    <w:rsid w:val="00C87FB3"/>
    <w:rsid w:val="00C900BD"/>
    <w:rsid w:val="00C902AA"/>
    <w:rsid w:val="00C9058E"/>
    <w:rsid w:val="00C9062D"/>
    <w:rsid w:val="00C90811"/>
    <w:rsid w:val="00C908D4"/>
    <w:rsid w:val="00C909AB"/>
    <w:rsid w:val="00C914C5"/>
    <w:rsid w:val="00C91540"/>
    <w:rsid w:val="00C91584"/>
    <w:rsid w:val="00C9158B"/>
    <w:rsid w:val="00C91703"/>
    <w:rsid w:val="00C91B1E"/>
    <w:rsid w:val="00C91C28"/>
    <w:rsid w:val="00C923FF"/>
    <w:rsid w:val="00C926E2"/>
    <w:rsid w:val="00C92C19"/>
    <w:rsid w:val="00C936A8"/>
    <w:rsid w:val="00C93AA0"/>
    <w:rsid w:val="00C93F6A"/>
    <w:rsid w:val="00C94090"/>
    <w:rsid w:val="00C9422C"/>
    <w:rsid w:val="00C94656"/>
    <w:rsid w:val="00C949F5"/>
    <w:rsid w:val="00C94BFD"/>
    <w:rsid w:val="00C94FBE"/>
    <w:rsid w:val="00C95433"/>
    <w:rsid w:val="00C95F0C"/>
    <w:rsid w:val="00C96153"/>
    <w:rsid w:val="00C96222"/>
    <w:rsid w:val="00C967E9"/>
    <w:rsid w:val="00C96891"/>
    <w:rsid w:val="00C96AAA"/>
    <w:rsid w:val="00C96C67"/>
    <w:rsid w:val="00C96D6C"/>
    <w:rsid w:val="00C96F25"/>
    <w:rsid w:val="00C97657"/>
    <w:rsid w:val="00CA1166"/>
    <w:rsid w:val="00CA117C"/>
    <w:rsid w:val="00CA13D3"/>
    <w:rsid w:val="00CA1566"/>
    <w:rsid w:val="00CA1759"/>
    <w:rsid w:val="00CA178C"/>
    <w:rsid w:val="00CA18A7"/>
    <w:rsid w:val="00CA1A2F"/>
    <w:rsid w:val="00CA1D01"/>
    <w:rsid w:val="00CA1DB7"/>
    <w:rsid w:val="00CA1F0E"/>
    <w:rsid w:val="00CA24EC"/>
    <w:rsid w:val="00CA2AD6"/>
    <w:rsid w:val="00CA2E0C"/>
    <w:rsid w:val="00CA2E81"/>
    <w:rsid w:val="00CA2FBC"/>
    <w:rsid w:val="00CA3229"/>
    <w:rsid w:val="00CA336D"/>
    <w:rsid w:val="00CA3407"/>
    <w:rsid w:val="00CA34F9"/>
    <w:rsid w:val="00CA3BD2"/>
    <w:rsid w:val="00CA3EA8"/>
    <w:rsid w:val="00CA40F5"/>
    <w:rsid w:val="00CA4545"/>
    <w:rsid w:val="00CA460D"/>
    <w:rsid w:val="00CA4884"/>
    <w:rsid w:val="00CA4C1F"/>
    <w:rsid w:val="00CA534F"/>
    <w:rsid w:val="00CA5450"/>
    <w:rsid w:val="00CA59B8"/>
    <w:rsid w:val="00CA61CC"/>
    <w:rsid w:val="00CA6653"/>
    <w:rsid w:val="00CA6EE9"/>
    <w:rsid w:val="00CA759D"/>
    <w:rsid w:val="00CA77E7"/>
    <w:rsid w:val="00CA7FBB"/>
    <w:rsid w:val="00CB0687"/>
    <w:rsid w:val="00CB08DC"/>
    <w:rsid w:val="00CB1C2D"/>
    <w:rsid w:val="00CB1CA5"/>
    <w:rsid w:val="00CB1CC6"/>
    <w:rsid w:val="00CB22E9"/>
    <w:rsid w:val="00CB2443"/>
    <w:rsid w:val="00CB2579"/>
    <w:rsid w:val="00CB2AB7"/>
    <w:rsid w:val="00CB2B01"/>
    <w:rsid w:val="00CB2D0D"/>
    <w:rsid w:val="00CB2F49"/>
    <w:rsid w:val="00CB33B9"/>
    <w:rsid w:val="00CB357C"/>
    <w:rsid w:val="00CB36F4"/>
    <w:rsid w:val="00CB3886"/>
    <w:rsid w:val="00CB395E"/>
    <w:rsid w:val="00CB4229"/>
    <w:rsid w:val="00CB43FE"/>
    <w:rsid w:val="00CB4520"/>
    <w:rsid w:val="00CB45F8"/>
    <w:rsid w:val="00CB4A05"/>
    <w:rsid w:val="00CB4BB7"/>
    <w:rsid w:val="00CB5179"/>
    <w:rsid w:val="00CB5968"/>
    <w:rsid w:val="00CB5D45"/>
    <w:rsid w:val="00CB6AFC"/>
    <w:rsid w:val="00CB6E70"/>
    <w:rsid w:val="00CB6ED8"/>
    <w:rsid w:val="00CB7E6A"/>
    <w:rsid w:val="00CB7EB0"/>
    <w:rsid w:val="00CB7ECA"/>
    <w:rsid w:val="00CB7F5E"/>
    <w:rsid w:val="00CC0119"/>
    <w:rsid w:val="00CC091C"/>
    <w:rsid w:val="00CC0B00"/>
    <w:rsid w:val="00CC0B5F"/>
    <w:rsid w:val="00CC10BA"/>
    <w:rsid w:val="00CC11E1"/>
    <w:rsid w:val="00CC1CFC"/>
    <w:rsid w:val="00CC29B3"/>
    <w:rsid w:val="00CC2BDE"/>
    <w:rsid w:val="00CC2F9B"/>
    <w:rsid w:val="00CC31EC"/>
    <w:rsid w:val="00CC343C"/>
    <w:rsid w:val="00CC3E96"/>
    <w:rsid w:val="00CC43B2"/>
    <w:rsid w:val="00CC4718"/>
    <w:rsid w:val="00CC4791"/>
    <w:rsid w:val="00CC54F6"/>
    <w:rsid w:val="00CC5707"/>
    <w:rsid w:val="00CC5A45"/>
    <w:rsid w:val="00CC5BE8"/>
    <w:rsid w:val="00CC5F43"/>
    <w:rsid w:val="00CC65DB"/>
    <w:rsid w:val="00CC67D4"/>
    <w:rsid w:val="00CC71DF"/>
    <w:rsid w:val="00CC731B"/>
    <w:rsid w:val="00CC73DB"/>
    <w:rsid w:val="00CC7676"/>
    <w:rsid w:val="00CC7832"/>
    <w:rsid w:val="00CC7B75"/>
    <w:rsid w:val="00CC7D03"/>
    <w:rsid w:val="00CC7E21"/>
    <w:rsid w:val="00CC7FA6"/>
    <w:rsid w:val="00CC7FEC"/>
    <w:rsid w:val="00CD08A7"/>
    <w:rsid w:val="00CD0A0D"/>
    <w:rsid w:val="00CD102F"/>
    <w:rsid w:val="00CD1112"/>
    <w:rsid w:val="00CD1A91"/>
    <w:rsid w:val="00CD1F29"/>
    <w:rsid w:val="00CD259B"/>
    <w:rsid w:val="00CD2779"/>
    <w:rsid w:val="00CD2AE7"/>
    <w:rsid w:val="00CD2E4B"/>
    <w:rsid w:val="00CD3465"/>
    <w:rsid w:val="00CD3C1D"/>
    <w:rsid w:val="00CD420A"/>
    <w:rsid w:val="00CD42BB"/>
    <w:rsid w:val="00CD42D7"/>
    <w:rsid w:val="00CD490E"/>
    <w:rsid w:val="00CD5284"/>
    <w:rsid w:val="00CD5946"/>
    <w:rsid w:val="00CD5BD2"/>
    <w:rsid w:val="00CD6279"/>
    <w:rsid w:val="00CD640D"/>
    <w:rsid w:val="00CD6A39"/>
    <w:rsid w:val="00CD6B96"/>
    <w:rsid w:val="00CD6CA0"/>
    <w:rsid w:val="00CD7156"/>
    <w:rsid w:val="00CD71C6"/>
    <w:rsid w:val="00CE035E"/>
    <w:rsid w:val="00CE0A5A"/>
    <w:rsid w:val="00CE1164"/>
    <w:rsid w:val="00CE1948"/>
    <w:rsid w:val="00CE1BBC"/>
    <w:rsid w:val="00CE1CBE"/>
    <w:rsid w:val="00CE1D3C"/>
    <w:rsid w:val="00CE1EB8"/>
    <w:rsid w:val="00CE1F5A"/>
    <w:rsid w:val="00CE209D"/>
    <w:rsid w:val="00CE214F"/>
    <w:rsid w:val="00CE272F"/>
    <w:rsid w:val="00CE277A"/>
    <w:rsid w:val="00CE2D7F"/>
    <w:rsid w:val="00CE3238"/>
    <w:rsid w:val="00CE3279"/>
    <w:rsid w:val="00CE3400"/>
    <w:rsid w:val="00CE3C63"/>
    <w:rsid w:val="00CE4184"/>
    <w:rsid w:val="00CE4A76"/>
    <w:rsid w:val="00CE4A97"/>
    <w:rsid w:val="00CE55E8"/>
    <w:rsid w:val="00CE5A69"/>
    <w:rsid w:val="00CE5D76"/>
    <w:rsid w:val="00CE5F7A"/>
    <w:rsid w:val="00CE6082"/>
    <w:rsid w:val="00CE6092"/>
    <w:rsid w:val="00CE61A8"/>
    <w:rsid w:val="00CE67CA"/>
    <w:rsid w:val="00CE6D96"/>
    <w:rsid w:val="00CE735B"/>
    <w:rsid w:val="00CE7BD0"/>
    <w:rsid w:val="00CF0247"/>
    <w:rsid w:val="00CF0275"/>
    <w:rsid w:val="00CF036F"/>
    <w:rsid w:val="00CF063E"/>
    <w:rsid w:val="00CF065E"/>
    <w:rsid w:val="00CF0F21"/>
    <w:rsid w:val="00CF12E0"/>
    <w:rsid w:val="00CF1AFB"/>
    <w:rsid w:val="00CF1F26"/>
    <w:rsid w:val="00CF1F68"/>
    <w:rsid w:val="00CF210C"/>
    <w:rsid w:val="00CF26A1"/>
    <w:rsid w:val="00CF27B4"/>
    <w:rsid w:val="00CF2A9A"/>
    <w:rsid w:val="00CF2D24"/>
    <w:rsid w:val="00CF2EBB"/>
    <w:rsid w:val="00CF328F"/>
    <w:rsid w:val="00CF3444"/>
    <w:rsid w:val="00CF3659"/>
    <w:rsid w:val="00CF3C71"/>
    <w:rsid w:val="00CF3F6E"/>
    <w:rsid w:val="00CF4C20"/>
    <w:rsid w:val="00CF5159"/>
    <w:rsid w:val="00CF5652"/>
    <w:rsid w:val="00CF57B2"/>
    <w:rsid w:val="00CF5C3A"/>
    <w:rsid w:val="00CF5C7A"/>
    <w:rsid w:val="00CF5D7B"/>
    <w:rsid w:val="00CF603F"/>
    <w:rsid w:val="00CF68B1"/>
    <w:rsid w:val="00CF6922"/>
    <w:rsid w:val="00CF6C84"/>
    <w:rsid w:val="00CF6C95"/>
    <w:rsid w:val="00CF6D76"/>
    <w:rsid w:val="00CF6FD8"/>
    <w:rsid w:val="00CF7A36"/>
    <w:rsid w:val="00CF7D01"/>
    <w:rsid w:val="00D0030C"/>
    <w:rsid w:val="00D0046C"/>
    <w:rsid w:val="00D00689"/>
    <w:rsid w:val="00D007B2"/>
    <w:rsid w:val="00D008D4"/>
    <w:rsid w:val="00D00C59"/>
    <w:rsid w:val="00D0138C"/>
    <w:rsid w:val="00D013DA"/>
    <w:rsid w:val="00D01545"/>
    <w:rsid w:val="00D01806"/>
    <w:rsid w:val="00D018FD"/>
    <w:rsid w:val="00D019D3"/>
    <w:rsid w:val="00D01B4F"/>
    <w:rsid w:val="00D02183"/>
    <w:rsid w:val="00D026E7"/>
    <w:rsid w:val="00D02A71"/>
    <w:rsid w:val="00D02EC5"/>
    <w:rsid w:val="00D02F06"/>
    <w:rsid w:val="00D033CA"/>
    <w:rsid w:val="00D03652"/>
    <w:rsid w:val="00D039FC"/>
    <w:rsid w:val="00D03D23"/>
    <w:rsid w:val="00D0452E"/>
    <w:rsid w:val="00D04B0B"/>
    <w:rsid w:val="00D05123"/>
    <w:rsid w:val="00D05416"/>
    <w:rsid w:val="00D05502"/>
    <w:rsid w:val="00D056C0"/>
    <w:rsid w:val="00D05892"/>
    <w:rsid w:val="00D058A3"/>
    <w:rsid w:val="00D058F8"/>
    <w:rsid w:val="00D05C75"/>
    <w:rsid w:val="00D05F26"/>
    <w:rsid w:val="00D06068"/>
    <w:rsid w:val="00D060F3"/>
    <w:rsid w:val="00D06131"/>
    <w:rsid w:val="00D069F6"/>
    <w:rsid w:val="00D06BA2"/>
    <w:rsid w:val="00D06DE5"/>
    <w:rsid w:val="00D0713A"/>
    <w:rsid w:val="00D07346"/>
    <w:rsid w:val="00D0770C"/>
    <w:rsid w:val="00D07793"/>
    <w:rsid w:val="00D078B3"/>
    <w:rsid w:val="00D079ED"/>
    <w:rsid w:val="00D07D86"/>
    <w:rsid w:val="00D07F22"/>
    <w:rsid w:val="00D101A8"/>
    <w:rsid w:val="00D10310"/>
    <w:rsid w:val="00D10510"/>
    <w:rsid w:val="00D10855"/>
    <w:rsid w:val="00D10A3A"/>
    <w:rsid w:val="00D10B5B"/>
    <w:rsid w:val="00D10BA1"/>
    <w:rsid w:val="00D10CAE"/>
    <w:rsid w:val="00D10D39"/>
    <w:rsid w:val="00D10DA8"/>
    <w:rsid w:val="00D10FB6"/>
    <w:rsid w:val="00D1112F"/>
    <w:rsid w:val="00D11669"/>
    <w:rsid w:val="00D1184C"/>
    <w:rsid w:val="00D11856"/>
    <w:rsid w:val="00D11A2C"/>
    <w:rsid w:val="00D11BDF"/>
    <w:rsid w:val="00D11FA5"/>
    <w:rsid w:val="00D124E5"/>
    <w:rsid w:val="00D12ACC"/>
    <w:rsid w:val="00D13044"/>
    <w:rsid w:val="00D13526"/>
    <w:rsid w:val="00D13655"/>
    <w:rsid w:val="00D13749"/>
    <w:rsid w:val="00D13A28"/>
    <w:rsid w:val="00D13A7B"/>
    <w:rsid w:val="00D13CD3"/>
    <w:rsid w:val="00D14121"/>
    <w:rsid w:val="00D14427"/>
    <w:rsid w:val="00D147A8"/>
    <w:rsid w:val="00D14A4A"/>
    <w:rsid w:val="00D14D48"/>
    <w:rsid w:val="00D14EE7"/>
    <w:rsid w:val="00D14F29"/>
    <w:rsid w:val="00D14F40"/>
    <w:rsid w:val="00D15210"/>
    <w:rsid w:val="00D15362"/>
    <w:rsid w:val="00D15591"/>
    <w:rsid w:val="00D1570C"/>
    <w:rsid w:val="00D1655E"/>
    <w:rsid w:val="00D16623"/>
    <w:rsid w:val="00D16A40"/>
    <w:rsid w:val="00D16DEC"/>
    <w:rsid w:val="00D16E03"/>
    <w:rsid w:val="00D1715D"/>
    <w:rsid w:val="00D17B79"/>
    <w:rsid w:val="00D17F9A"/>
    <w:rsid w:val="00D205CE"/>
    <w:rsid w:val="00D2063C"/>
    <w:rsid w:val="00D2084B"/>
    <w:rsid w:val="00D20BB8"/>
    <w:rsid w:val="00D21479"/>
    <w:rsid w:val="00D214E7"/>
    <w:rsid w:val="00D21524"/>
    <w:rsid w:val="00D21CA0"/>
    <w:rsid w:val="00D21CD3"/>
    <w:rsid w:val="00D21E8A"/>
    <w:rsid w:val="00D2267C"/>
    <w:rsid w:val="00D22895"/>
    <w:rsid w:val="00D23179"/>
    <w:rsid w:val="00D2333E"/>
    <w:rsid w:val="00D23A71"/>
    <w:rsid w:val="00D23D0E"/>
    <w:rsid w:val="00D23DE1"/>
    <w:rsid w:val="00D25604"/>
    <w:rsid w:val="00D25630"/>
    <w:rsid w:val="00D256E0"/>
    <w:rsid w:val="00D25726"/>
    <w:rsid w:val="00D257D7"/>
    <w:rsid w:val="00D25956"/>
    <w:rsid w:val="00D25B8C"/>
    <w:rsid w:val="00D26FC2"/>
    <w:rsid w:val="00D270B3"/>
    <w:rsid w:val="00D270C2"/>
    <w:rsid w:val="00D27135"/>
    <w:rsid w:val="00D2739A"/>
    <w:rsid w:val="00D27CB2"/>
    <w:rsid w:val="00D27FF2"/>
    <w:rsid w:val="00D30567"/>
    <w:rsid w:val="00D30CFC"/>
    <w:rsid w:val="00D30DFC"/>
    <w:rsid w:val="00D30F5F"/>
    <w:rsid w:val="00D31166"/>
    <w:rsid w:val="00D316B2"/>
    <w:rsid w:val="00D31FB6"/>
    <w:rsid w:val="00D32195"/>
    <w:rsid w:val="00D3293F"/>
    <w:rsid w:val="00D32C5C"/>
    <w:rsid w:val="00D32E8E"/>
    <w:rsid w:val="00D330A7"/>
    <w:rsid w:val="00D33354"/>
    <w:rsid w:val="00D33742"/>
    <w:rsid w:val="00D33F14"/>
    <w:rsid w:val="00D34079"/>
    <w:rsid w:val="00D34347"/>
    <w:rsid w:val="00D34367"/>
    <w:rsid w:val="00D34502"/>
    <w:rsid w:val="00D346A0"/>
    <w:rsid w:val="00D34734"/>
    <w:rsid w:val="00D34820"/>
    <w:rsid w:val="00D3542A"/>
    <w:rsid w:val="00D354C5"/>
    <w:rsid w:val="00D35C58"/>
    <w:rsid w:val="00D35F49"/>
    <w:rsid w:val="00D35F5A"/>
    <w:rsid w:val="00D3659C"/>
    <w:rsid w:val="00D36952"/>
    <w:rsid w:val="00D3697A"/>
    <w:rsid w:val="00D370E5"/>
    <w:rsid w:val="00D37164"/>
    <w:rsid w:val="00D374AD"/>
    <w:rsid w:val="00D37659"/>
    <w:rsid w:val="00D4014E"/>
    <w:rsid w:val="00D4019B"/>
    <w:rsid w:val="00D40820"/>
    <w:rsid w:val="00D41403"/>
    <w:rsid w:val="00D415A3"/>
    <w:rsid w:val="00D41678"/>
    <w:rsid w:val="00D41D4C"/>
    <w:rsid w:val="00D41FB8"/>
    <w:rsid w:val="00D42003"/>
    <w:rsid w:val="00D4264E"/>
    <w:rsid w:val="00D42A70"/>
    <w:rsid w:val="00D43AC8"/>
    <w:rsid w:val="00D43C10"/>
    <w:rsid w:val="00D43C58"/>
    <w:rsid w:val="00D43CDD"/>
    <w:rsid w:val="00D43D05"/>
    <w:rsid w:val="00D44334"/>
    <w:rsid w:val="00D4438B"/>
    <w:rsid w:val="00D4447C"/>
    <w:rsid w:val="00D44859"/>
    <w:rsid w:val="00D44C91"/>
    <w:rsid w:val="00D44FC4"/>
    <w:rsid w:val="00D456F2"/>
    <w:rsid w:val="00D45A41"/>
    <w:rsid w:val="00D45E5B"/>
    <w:rsid w:val="00D460F1"/>
    <w:rsid w:val="00D46251"/>
    <w:rsid w:val="00D468F2"/>
    <w:rsid w:val="00D46E6D"/>
    <w:rsid w:val="00D472AF"/>
    <w:rsid w:val="00D4738C"/>
    <w:rsid w:val="00D4761C"/>
    <w:rsid w:val="00D478CD"/>
    <w:rsid w:val="00D47C8E"/>
    <w:rsid w:val="00D47FF7"/>
    <w:rsid w:val="00D500BD"/>
    <w:rsid w:val="00D50180"/>
    <w:rsid w:val="00D503C0"/>
    <w:rsid w:val="00D5044B"/>
    <w:rsid w:val="00D50917"/>
    <w:rsid w:val="00D519BB"/>
    <w:rsid w:val="00D51B82"/>
    <w:rsid w:val="00D51DD0"/>
    <w:rsid w:val="00D51F07"/>
    <w:rsid w:val="00D51FA4"/>
    <w:rsid w:val="00D536EF"/>
    <w:rsid w:val="00D538D4"/>
    <w:rsid w:val="00D538D8"/>
    <w:rsid w:val="00D54965"/>
    <w:rsid w:val="00D54DBF"/>
    <w:rsid w:val="00D5556B"/>
    <w:rsid w:val="00D55663"/>
    <w:rsid w:val="00D5594A"/>
    <w:rsid w:val="00D55CDD"/>
    <w:rsid w:val="00D562FC"/>
    <w:rsid w:val="00D5669A"/>
    <w:rsid w:val="00D56808"/>
    <w:rsid w:val="00D56B18"/>
    <w:rsid w:val="00D57193"/>
    <w:rsid w:val="00D572C3"/>
    <w:rsid w:val="00D573B4"/>
    <w:rsid w:val="00D5745E"/>
    <w:rsid w:val="00D60692"/>
    <w:rsid w:val="00D6071B"/>
    <w:rsid w:val="00D607FB"/>
    <w:rsid w:val="00D60AAE"/>
    <w:rsid w:val="00D60C8F"/>
    <w:rsid w:val="00D60D93"/>
    <w:rsid w:val="00D60FA5"/>
    <w:rsid w:val="00D61069"/>
    <w:rsid w:val="00D610F3"/>
    <w:rsid w:val="00D6110B"/>
    <w:rsid w:val="00D61148"/>
    <w:rsid w:val="00D611A6"/>
    <w:rsid w:val="00D6183E"/>
    <w:rsid w:val="00D619CF"/>
    <w:rsid w:val="00D61ABC"/>
    <w:rsid w:val="00D61BDD"/>
    <w:rsid w:val="00D61CA4"/>
    <w:rsid w:val="00D6249A"/>
    <w:rsid w:val="00D62F30"/>
    <w:rsid w:val="00D6301D"/>
    <w:rsid w:val="00D632E4"/>
    <w:rsid w:val="00D63475"/>
    <w:rsid w:val="00D63796"/>
    <w:rsid w:val="00D639B5"/>
    <w:rsid w:val="00D63A6C"/>
    <w:rsid w:val="00D63B3E"/>
    <w:rsid w:val="00D63CBE"/>
    <w:rsid w:val="00D63D48"/>
    <w:rsid w:val="00D63F84"/>
    <w:rsid w:val="00D6449A"/>
    <w:rsid w:val="00D64748"/>
    <w:rsid w:val="00D647A4"/>
    <w:rsid w:val="00D64989"/>
    <w:rsid w:val="00D64FD1"/>
    <w:rsid w:val="00D65004"/>
    <w:rsid w:val="00D65096"/>
    <w:rsid w:val="00D6546E"/>
    <w:rsid w:val="00D6579A"/>
    <w:rsid w:val="00D6586A"/>
    <w:rsid w:val="00D65ABC"/>
    <w:rsid w:val="00D65B43"/>
    <w:rsid w:val="00D65C51"/>
    <w:rsid w:val="00D65E3A"/>
    <w:rsid w:val="00D66196"/>
    <w:rsid w:val="00D66A56"/>
    <w:rsid w:val="00D66B22"/>
    <w:rsid w:val="00D66BCB"/>
    <w:rsid w:val="00D67001"/>
    <w:rsid w:val="00D67569"/>
    <w:rsid w:val="00D6783D"/>
    <w:rsid w:val="00D67BAA"/>
    <w:rsid w:val="00D70537"/>
    <w:rsid w:val="00D7066E"/>
    <w:rsid w:val="00D70792"/>
    <w:rsid w:val="00D70C58"/>
    <w:rsid w:val="00D710A9"/>
    <w:rsid w:val="00D71424"/>
    <w:rsid w:val="00D7153E"/>
    <w:rsid w:val="00D71F72"/>
    <w:rsid w:val="00D72A3E"/>
    <w:rsid w:val="00D72BC8"/>
    <w:rsid w:val="00D72D57"/>
    <w:rsid w:val="00D7356A"/>
    <w:rsid w:val="00D7378B"/>
    <w:rsid w:val="00D73C62"/>
    <w:rsid w:val="00D73E90"/>
    <w:rsid w:val="00D74584"/>
    <w:rsid w:val="00D747A7"/>
    <w:rsid w:val="00D75298"/>
    <w:rsid w:val="00D754C9"/>
    <w:rsid w:val="00D75704"/>
    <w:rsid w:val="00D7587C"/>
    <w:rsid w:val="00D75A93"/>
    <w:rsid w:val="00D75FF5"/>
    <w:rsid w:val="00D76EF0"/>
    <w:rsid w:val="00D779E9"/>
    <w:rsid w:val="00D77C22"/>
    <w:rsid w:val="00D805E0"/>
    <w:rsid w:val="00D80648"/>
    <w:rsid w:val="00D809C1"/>
    <w:rsid w:val="00D80B5C"/>
    <w:rsid w:val="00D80BAD"/>
    <w:rsid w:val="00D80D2C"/>
    <w:rsid w:val="00D80DD3"/>
    <w:rsid w:val="00D8168B"/>
    <w:rsid w:val="00D81894"/>
    <w:rsid w:val="00D81954"/>
    <w:rsid w:val="00D82181"/>
    <w:rsid w:val="00D824DF"/>
    <w:rsid w:val="00D82A76"/>
    <w:rsid w:val="00D82C6F"/>
    <w:rsid w:val="00D83191"/>
    <w:rsid w:val="00D8336B"/>
    <w:rsid w:val="00D834D2"/>
    <w:rsid w:val="00D83512"/>
    <w:rsid w:val="00D835CD"/>
    <w:rsid w:val="00D83A6A"/>
    <w:rsid w:val="00D841D6"/>
    <w:rsid w:val="00D84DD7"/>
    <w:rsid w:val="00D85A44"/>
    <w:rsid w:val="00D86022"/>
    <w:rsid w:val="00D8613A"/>
    <w:rsid w:val="00D862B0"/>
    <w:rsid w:val="00D86B2E"/>
    <w:rsid w:val="00D86BBA"/>
    <w:rsid w:val="00D86DB1"/>
    <w:rsid w:val="00D86FCF"/>
    <w:rsid w:val="00D872C1"/>
    <w:rsid w:val="00D874AE"/>
    <w:rsid w:val="00D875FA"/>
    <w:rsid w:val="00D87830"/>
    <w:rsid w:val="00D87866"/>
    <w:rsid w:val="00D87A96"/>
    <w:rsid w:val="00D87E3C"/>
    <w:rsid w:val="00D9006A"/>
    <w:rsid w:val="00D902A0"/>
    <w:rsid w:val="00D9044A"/>
    <w:rsid w:val="00D904EC"/>
    <w:rsid w:val="00D906BB"/>
    <w:rsid w:val="00D90929"/>
    <w:rsid w:val="00D90BFB"/>
    <w:rsid w:val="00D910FE"/>
    <w:rsid w:val="00D915B7"/>
    <w:rsid w:val="00D91CEB"/>
    <w:rsid w:val="00D91F7E"/>
    <w:rsid w:val="00D9204D"/>
    <w:rsid w:val="00D9209C"/>
    <w:rsid w:val="00D92B1C"/>
    <w:rsid w:val="00D92BF6"/>
    <w:rsid w:val="00D9306E"/>
    <w:rsid w:val="00D93171"/>
    <w:rsid w:val="00D93194"/>
    <w:rsid w:val="00D931C3"/>
    <w:rsid w:val="00D936E6"/>
    <w:rsid w:val="00D93E1C"/>
    <w:rsid w:val="00D943AD"/>
    <w:rsid w:val="00D9474B"/>
    <w:rsid w:val="00D94C85"/>
    <w:rsid w:val="00D94F7E"/>
    <w:rsid w:val="00D9517F"/>
    <w:rsid w:val="00D951D4"/>
    <w:rsid w:val="00D95B90"/>
    <w:rsid w:val="00D96B03"/>
    <w:rsid w:val="00D9720D"/>
    <w:rsid w:val="00D972DF"/>
    <w:rsid w:val="00D9742F"/>
    <w:rsid w:val="00D9746A"/>
    <w:rsid w:val="00D97711"/>
    <w:rsid w:val="00D97B01"/>
    <w:rsid w:val="00D97C41"/>
    <w:rsid w:val="00DA066E"/>
    <w:rsid w:val="00DA0680"/>
    <w:rsid w:val="00DA09FE"/>
    <w:rsid w:val="00DA0D82"/>
    <w:rsid w:val="00DA150F"/>
    <w:rsid w:val="00DA172A"/>
    <w:rsid w:val="00DA1753"/>
    <w:rsid w:val="00DA1F6B"/>
    <w:rsid w:val="00DA1F8E"/>
    <w:rsid w:val="00DA1F99"/>
    <w:rsid w:val="00DA204C"/>
    <w:rsid w:val="00DA2694"/>
    <w:rsid w:val="00DA2A2F"/>
    <w:rsid w:val="00DA2BA1"/>
    <w:rsid w:val="00DA3357"/>
    <w:rsid w:val="00DA362D"/>
    <w:rsid w:val="00DA41DF"/>
    <w:rsid w:val="00DA420B"/>
    <w:rsid w:val="00DA42A8"/>
    <w:rsid w:val="00DA49C5"/>
    <w:rsid w:val="00DA4A20"/>
    <w:rsid w:val="00DA4C01"/>
    <w:rsid w:val="00DA4D6A"/>
    <w:rsid w:val="00DA4F0F"/>
    <w:rsid w:val="00DA5902"/>
    <w:rsid w:val="00DA5A49"/>
    <w:rsid w:val="00DA6459"/>
    <w:rsid w:val="00DA64FC"/>
    <w:rsid w:val="00DA6961"/>
    <w:rsid w:val="00DA6A1D"/>
    <w:rsid w:val="00DA6F2A"/>
    <w:rsid w:val="00DA70A2"/>
    <w:rsid w:val="00DA714B"/>
    <w:rsid w:val="00DA71E9"/>
    <w:rsid w:val="00DA7502"/>
    <w:rsid w:val="00DA75D8"/>
    <w:rsid w:val="00DA7A4B"/>
    <w:rsid w:val="00DA7ACC"/>
    <w:rsid w:val="00DA7B2F"/>
    <w:rsid w:val="00DB02E2"/>
    <w:rsid w:val="00DB0825"/>
    <w:rsid w:val="00DB0DA0"/>
    <w:rsid w:val="00DB0F93"/>
    <w:rsid w:val="00DB1319"/>
    <w:rsid w:val="00DB17F5"/>
    <w:rsid w:val="00DB1CB7"/>
    <w:rsid w:val="00DB1FC0"/>
    <w:rsid w:val="00DB2118"/>
    <w:rsid w:val="00DB230F"/>
    <w:rsid w:val="00DB278D"/>
    <w:rsid w:val="00DB29C0"/>
    <w:rsid w:val="00DB2A8D"/>
    <w:rsid w:val="00DB2AD1"/>
    <w:rsid w:val="00DB2C25"/>
    <w:rsid w:val="00DB2F5C"/>
    <w:rsid w:val="00DB365E"/>
    <w:rsid w:val="00DB38A0"/>
    <w:rsid w:val="00DB3BD8"/>
    <w:rsid w:val="00DB3C59"/>
    <w:rsid w:val="00DB3CBC"/>
    <w:rsid w:val="00DB3EF9"/>
    <w:rsid w:val="00DB4162"/>
    <w:rsid w:val="00DB43A5"/>
    <w:rsid w:val="00DB458B"/>
    <w:rsid w:val="00DB476B"/>
    <w:rsid w:val="00DB49DE"/>
    <w:rsid w:val="00DB4C00"/>
    <w:rsid w:val="00DB4EA5"/>
    <w:rsid w:val="00DB571D"/>
    <w:rsid w:val="00DB57A6"/>
    <w:rsid w:val="00DB59FD"/>
    <w:rsid w:val="00DB5A9B"/>
    <w:rsid w:val="00DB5CB0"/>
    <w:rsid w:val="00DB60EF"/>
    <w:rsid w:val="00DB6289"/>
    <w:rsid w:val="00DB62AD"/>
    <w:rsid w:val="00DB6631"/>
    <w:rsid w:val="00DB67A2"/>
    <w:rsid w:val="00DB690A"/>
    <w:rsid w:val="00DB6E34"/>
    <w:rsid w:val="00DB74A3"/>
    <w:rsid w:val="00DB788A"/>
    <w:rsid w:val="00DB79E5"/>
    <w:rsid w:val="00DB7AAA"/>
    <w:rsid w:val="00DB7AB1"/>
    <w:rsid w:val="00DB7B81"/>
    <w:rsid w:val="00DB7BC4"/>
    <w:rsid w:val="00DB7DE1"/>
    <w:rsid w:val="00DB7E45"/>
    <w:rsid w:val="00DC04E1"/>
    <w:rsid w:val="00DC0C74"/>
    <w:rsid w:val="00DC123C"/>
    <w:rsid w:val="00DC1A8B"/>
    <w:rsid w:val="00DC1D59"/>
    <w:rsid w:val="00DC206C"/>
    <w:rsid w:val="00DC228D"/>
    <w:rsid w:val="00DC2443"/>
    <w:rsid w:val="00DC24FB"/>
    <w:rsid w:val="00DC2514"/>
    <w:rsid w:val="00DC2573"/>
    <w:rsid w:val="00DC3078"/>
    <w:rsid w:val="00DC3267"/>
    <w:rsid w:val="00DC34EA"/>
    <w:rsid w:val="00DC35B3"/>
    <w:rsid w:val="00DC37BD"/>
    <w:rsid w:val="00DC3889"/>
    <w:rsid w:val="00DC3AEA"/>
    <w:rsid w:val="00DC3C8A"/>
    <w:rsid w:val="00DC4118"/>
    <w:rsid w:val="00DC4361"/>
    <w:rsid w:val="00DC455B"/>
    <w:rsid w:val="00DC48CF"/>
    <w:rsid w:val="00DC4B81"/>
    <w:rsid w:val="00DC4B93"/>
    <w:rsid w:val="00DC501D"/>
    <w:rsid w:val="00DC5751"/>
    <w:rsid w:val="00DC5F11"/>
    <w:rsid w:val="00DC5FAE"/>
    <w:rsid w:val="00DC62BC"/>
    <w:rsid w:val="00DC6BD0"/>
    <w:rsid w:val="00DC6C10"/>
    <w:rsid w:val="00DC787B"/>
    <w:rsid w:val="00DC78B2"/>
    <w:rsid w:val="00DD031A"/>
    <w:rsid w:val="00DD09DC"/>
    <w:rsid w:val="00DD12E2"/>
    <w:rsid w:val="00DD16E7"/>
    <w:rsid w:val="00DD1C2D"/>
    <w:rsid w:val="00DD1CBF"/>
    <w:rsid w:val="00DD210E"/>
    <w:rsid w:val="00DD29F3"/>
    <w:rsid w:val="00DD2B93"/>
    <w:rsid w:val="00DD2D60"/>
    <w:rsid w:val="00DD3022"/>
    <w:rsid w:val="00DD319B"/>
    <w:rsid w:val="00DD3361"/>
    <w:rsid w:val="00DD37D5"/>
    <w:rsid w:val="00DD38FB"/>
    <w:rsid w:val="00DD397F"/>
    <w:rsid w:val="00DD3A09"/>
    <w:rsid w:val="00DD4200"/>
    <w:rsid w:val="00DD47D8"/>
    <w:rsid w:val="00DD482D"/>
    <w:rsid w:val="00DD48AC"/>
    <w:rsid w:val="00DD48B3"/>
    <w:rsid w:val="00DD49CF"/>
    <w:rsid w:val="00DD4A55"/>
    <w:rsid w:val="00DD54FD"/>
    <w:rsid w:val="00DD5A6E"/>
    <w:rsid w:val="00DD5C06"/>
    <w:rsid w:val="00DD5DD0"/>
    <w:rsid w:val="00DD63FD"/>
    <w:rsid w:val="00DD6ACB"/>
    <w:rsid w:val="00DD6E3B"/>
    <w:rsid w:val="00DD6F13"/>
    <w:rsid w:val="00DD725C"/>
    <w:rsid w:val="00DD735B"/>
    <w:rsid w:val="00DD75DF"/>
    <w:rsid w:val="00DD7E84"/>
    <w:rsid w:val="00DD7F1E"/>
    <w:rsid w:val="00DE0276"/>
    <w:rsid w:val="00DE03C3"/>
    <w:rsid w:val="00DE0639"/>
    <w:rsid w:val="00DE07DE"/>
    <w:rsid w:val="00DE09EA"/>
    <w:rsid w:val="00DE0C15"/>
    <w:rsid w:val="00DE0FB2"/>
    <w:rsid w:val="00DE12FF"/>
    <w:rsid w:val="00DE136E"/>
    <w:rsid w:val="00DE14DB"/>
    <w:rsid w:val="00DE15E3"/>
    <w:rsid w:val="00DE1CF8"/>
    <w:rsid w:val="00DE20CE"/>
    <w:rsid w:val="00DE27B9"/>
    <w:rsid w:val="00DE291C"/>
    <w:rsid w:val="00DE3281"/>
    <w:rsid w:val="00DE32BD"/>
    <w:rsid w:val="00DE403C"/>
    <w:rsid w:val="00DE4486"/>
    <w:rsid w:val="00DE4C6A"/>
    <w:rsid w:val="00DE4F04"/>
    <w:rsid w:val="00DE5058"/>
    <w:rsid w:val="00DE522B"/>
    <w:rsid w:val="00DE56E6"/>
    <w:rsid w:val="00DE5E78"/>
    <w:rsid w:val="00DE6F72"/>
    <w:rsid w:val="00DE710A"/>
    <w:rsid w:val="00DE7B2D"/>
    <w:rsid w:val="00DE7B55"/>
    <w:rsid w:val="00DE7F6D"/>
    <w:rsid w:val="00DF04F9"/>
    <w:rsid w:val="00DF053E"/>
    <w:rsid w:val="00DF0C0A"/>
    <w:rsid w:val="00DF10C9"/>
    <w:rsid w:val="00DF11CA"/>
    <w:rsid w:val="00DF1784"/>
    <w:rsid w:val="00DF17C2"/>
    <w:rsid w:val="00DF1ECF"/>
    <w:rsid w:val="00DF2132"/>
    <w:rsid w:val="00DF2161"/>
    <w:rsid w:val="00DF23EE"/>
    <w:rsid w:val="00DF2488"/>
    <w:rsid w:val="00DF254F"/>
    <w:rsid w:val="00DF26F1"/>
    <w:rsid w:val="00DF27D5"/>
    <w:rsid w:val="00DF2E94"/>
    <w:rsid w:val="00DF32E7"/>
    <w:rsid w:val="00DF413F"/>
    <w:rsid w:val="00DF41F4"/>
    <w:rsid w:val="00DF439C"/>
    <w:rsid w:val="00DF44B4"/>
    <w:rsid w:val="00DF4642"/>
    <w:rsid w:val="00DF4E4F"/>
    <w:rsid w:val="00DF52EB"/>
    <w:rsid w:val="00DF54C2"/>
    <w:rsid w:val="00DF5538"/>
    <w:rsid w:val="00DF58D4"/>
    <w:rsid w:val="00DF5DCE"/>
    <w:rsid w:val="00DF67BA"/>
    <w:rsid w:val="00DF6F40"/>
    <w:rsid w:val="00DF7076"/>
    <w:rsid w:val="00DF7205"/>
    <w:rsid w:val="00DF7419"/>
    <w:rsid w:val="00DF7B47"/>
    <w:rsid w:val="00E00725"/>
    <w:rsid w:val="00E008B2"/>
    <w:rsid w:val="00E00D33"/>
    <w:rsid w:val="00E00DF3"/>
    <w:rsid w:val="00E011D4"/>
    <w:rsid w:val="00E01D3A"/>
    <w:rsid w:val="00E023BD"/>
    <w:rsid w:val="00E02609"/>
    <w:rsid w:val="00E02965"/>
    <w:rsid w:val="00E02BCF"/>
    <w:rsid w:val="00E03055"/>
    <w:rsid w:val="00E03063"/>
    <w:rsid w:val="00E03599"/>
    <w:rsid w:val="00E0373C"/>
    <w:rsid w:val="00E037B6"/>
    <w:rsid w:val="00E038BC"/>
    <w:rsid w:val="00E03B69"/>
    <w:rsid w:val="00E0438E"/>
    <w:rsid w:val="00E043CA"/>
    <w:rsid w:val="00E04631"/>
    <w:rsid w:val="00E04EA9"/>
    <w:rsid w:val="00E051A7"/>
    <w:rsid w:val="00E05356"/>
    <w:rsid w:val="00E054A1"/>
    <w:rsid w:val="00E05618"/>
    <w:rsid w:val="00E05786"/>
    <w:rsid w:val="00E05EB7"/>
    <w:rsid w:val="00E0650D"/>
    <w:rsid w:val="00E06832"/>
    <w:rsid w:val="00E06C46"/>
    <w:rsid w:val="00E06E11"/>
    <w:rsid w:val="00E0707C"/>
    <w:rsid w:val="00E07792"/>
    <w:rsid w:val="00E0783E"/>
    <w:rsid w:val="00E07915"/>
    <w:rsid w:val="00E07D3B"/>
    <w:rsid w:val="00E10B2C"/>
    <w:rsid w:val="00E10F3E"/>
    <w:rsid w:val="00E10FB2"/>
    <w:rsid w:val="00E11351"/>
    <w:rsid w:val="00E11BCD"/>
    <w:rsid w:val="00E11EF6"/>
    <w:rsid w:val="00E11F35"/>
    <w:rsid w:val="00E12115"/>
    <w:rsid w:val="00E1217D"/>
    <w:rsid w:val="00E122D6"/>
    <w:rsid w:val="00E12340"/>
    <w:rsid w:val="00E1270D"/>
    <w:rsid w:val="00E1279C"/>
    <w:rsid w:val="00E12B7A"/>
    <w:rsid w:val="00E12E8A"/>
    <w:rsid w:val="00E135E3"/>
    <w:rsid w:val="00E140DB"/>
    <w:rsid w:val="00E14410"/>
    <w:rsid w:val="00E14907"/>
    <w:rsid w:val="00E14E50"/>
    <w:rsid w:val="00E14E8B"/>
    <w:rsid w:val="00E152A4"/>
    <w:rsid w:val="00E1547E"/>
    <w:rsid w:val="00E15996"/>
    <w:rsid w:val="00E15B7C"/>
    <w:rsid w:val="00E15CE9"/>
    <w:rsid w:val="00E15CF2"/>
    <w:rsid w:val="00E15F9C"/>
    <w:rsid w:val="00E16144"/>
    <w:rsid w:val="00E162F9"/>
    <w:rsid w:val="00E16B68"/>
    <w:rsid w:val="00E16B94"/>
    <w:rsid w:val="00E16D5B"/>
    <w:rsid w:val="00E17260"/>
    <w:rsid w:val="00E1727E"/>
    <w:rsid w:val="00E1732F"/>
    <w:rsid w:val="00E175F1"/>
    <w:rsid w:val="00E1796F"/>
    <w:rsid w:val="00E1798C"/>
    <w:rsid w:val="00E17C6D"/>
    <w:rsid w:val="00E17EC7"/>
    <w:rsid w:val="00E17F95"/>
    <w:rsid w:val="00E2028F"/>
    <w:rsid w:val="00E202D0"/>
    <w:rsid w:val="00E2047C"/>
    <w:rsid w:val="00E20680"/>
    <w:rsid w:val="00E20B59"/>
    <w:rsid w:val="00E20C81"/>
    <w:rsid w:val="00E21402"/>
    <w:rsid w:val="00E21688"/>
    <w:rsid w:val="00E21AF4"/>
    <w:rsid w:val="00E22111"/>
    <w:rsid w:val="00E22281"/>
    <w:rsid w:val="00E223D9"/>
    <w:rsid w:val="00E22F11"/>
    <w:rsid w:val="00E24147"/>
    <w:rsid w:val="00E24573"/>
    <w:rsid w:val="00E247B4"/>
    <w:rsid w:val="00E24919"/>
    <w:rsid w:val="00E2492F"/>
    <w:rsid w:val="00E24B44"/>
    <w:rsid w:val="00E24D05"/>
    <w:rsid w:val="00E24F33"/>
    <w:rsid w:val="00E251A2"/>
    <w:rsid w:val="00E254E5"/>
    <w:rsid w:val="00E254F5"/>
    <w:rsid w:val="00E25BCE"/>
    <w:rsid w:val="00E25F88"/>
    <w:rsid w:val="00E26130"/>
    <w:rsid w:val="00E269D3"/>
    <w:rsid w:val="00E26A34"/>
    <w:rsid w:val="00E26C3A"/>
    <w:rsid w:val="00E26E66"/>
    <w:rsid w:val="00E26EB2"/>
    <w:rsid w:val="00E27260"/>
    <w:rsid w:val="00E27518"/>
    <w:rsid w:val="00E27DAA"/>
    <w:rsid w:val="00E27F2C"/>
    <w:rsid w:val="00E301D1"/>
    <w:rsid w:val="00E306A2"/>
    <w:rsid w:val="00E30EAD"/>
    <w:rsid w:val="00E314AD"/>
    <w:rsid w:val="00E31B8A"/>
    <w:rsid w:val="00E3206C"/>
    <w:rsid w:val="00E3215F"/>
    <w:rsid w:val="00E32730"/>
    <w:rsid w:val="00E32A05"/>
    <w:rsid w:val="00E32BE3"/>
    <w:rsid w:val="00E3346C"/>
    <w:rsid w:val="00E3371C"/>
    <w:rsid w:val="00E337D1"/>
    <w:rsid w:val="00E33BF7"/>
    <w:rsid w:val="00E33E0D"/>
    <w:rsid w:val="00E34147"/>
    <w:rsid w:val="00E344D7"/>
    <w:rsid w:val="00E34C25"/>
    <w:rsid w:val="00E34CB6"/>
    <w:rsid w:val="00E34D35"/>
    <w:rsid w:val="00E3511C"/>
    <w:rsid w:val="00E3515A"/>
    <w:rsid w:val="00E3556F"/>
    <w:rsid w:val="00E3576A"/>
    <w:rsid w:val="00E3585C"/>
    <w:rsid w:val="00E35F9D"/>
    <w:rsid w:val="00E35FF3"/>
    <w:rsid w:val="00E3606E"/>
    <w:rsid w:val="00E361B2"/>
    <w:rsid w:val="00E36764"/>
    <w:rsid w:val="00E368B6"/>
    <w:rsid w:val="00E36ECB"/>
    <w:rsid w:val="00E3707E"/>
    <w:rsid w:val="00E37291"/>
    <w:rsid w:val="00E37602"/>
    <w:rsid w:val="00E37C0C"/>
    <w:rsid w:val="00E40815"/>
    <w:rsid w:val="00E40C05"/>
    <w:rsid w:val="00E40C6C"/>
    <w:rsid w:val="00E410D6"/>
    <w:rsid w:val="00E417BC"/>
    <w:rsid w:val="00E41A79"/>
    <w:rsid w:val="00E41B46"/>
    <w:rsid w:val="00E42691"/>
    <w:rsid w:val="00E426DA"/>
    <w:rsid w:val="00E4281C"/>
    <w:rsid w:val="00E428E3"/>
    <w:rsid w:val="00E42B3B"/>
    <w:rsid w:val="00E42C94"/>
    <w:rsid w:val="00E43084"/>
    <w:rsid w:val="00E4314C"/>
    <w:rsid w:val="00E433BE"/>
    <w:rsid w:val="00E437BC"/>
    <w:rsid w:val="00E43CD5"/>
    <w:rsid w:val="00E44D0A"/>
    <w:rsid w:val="00E44FE4"/>
    <w:rsid w:val="00E4522B"/>
    <w:rsid w:val="00E459BF"/>
    <w:rsid w:val="00E46901"/>
    <w:rsid w:val="00E46C23"/>
    <w:rsid w:val="00E47149"/>
    <w:rsid w:val="00E473E7"/>
    <w:rsid w:val="00E47BAF"/>
    <w:rsid w:val="00E47BD3"/>
    <w:rsid w:val="00E47D1E"/>
    <w:rsid w:val="00E47F0B"/>
    <w:rsid w:val="00E47F73"/>
    <w:rsid w:val="00E50111"/>
    <w:rsid w:val="00E503CD"/>
    <w:rsid w:val="00E50CB1"/>
    <w:rsid w:val="00E511C3"/>
    <w:rsid w:val="00E513DD"/>
    <w:rsid w:val="00E5145C"/>
    <w:rsid w:val="00E514AA"/>
    <w:rsid w:val="00E51697"/>
    <w:rsid w:val="00E516F2"/>
    <w:rsid w:val="00E51954"/>
    <w:rsid w:val="00E51FB0"/>
    <w:rsid w:val="00E52159"/>
    <w:rsid w:val="00E52350"/>
    <w:rsid w:val="00E52360"/>
    <w:rsid w:val="00E52857"/>
    <w:rsid w:val="00E53106"/>
    <w:rsid w:val="00E534F5"/>
    <w:rsid w:val="00E5392B"/>
    <w:rsid w:val="00E5396F"/>
    <w:rsid w:val="00E53BEA"/>
    <w:rsid w:val="00E53C6F"/>
    <w:rsid w:val="00E53F32"/>
    <w:rsid w:val="00E542B6"/>
    <w:rsid w:val="00E54971"/>
    <w:rsid w:val="00E549B0"/>
    <w:rsid w:val="00E54C69"/>
    <w:rsid w:val="00E54CA9"/>
    <w:rsid w:val="00E54DFE"/>
    <w:rsid w:val="00E55225"/>
    <w:rsid w:val="00E55516"/>
    <w:rsid w:val="00E55F48"/>
    <w:rsid w:val="00E5624B"/>
    <w:rsid w:val="00E562E6"/>
    <w:rsid w:val="00E56586"/>
    <w:rsid w:val="00E5662B"/>
    <w:rsid w:val="00E56BD0"/>
    <w:rsid w:val="00E56C2A"/>
    <w:rsid w:val="00E5721E"/>
    <w:rsid w:val="00E5734B"/>
    <w:rsid w:val="00E57739"/>
    <w:rsid w:val="00E57BBE"/>
    <w:rsid w:val="00E57DCD"/>
    <w:rsid w:val="00E57EEE"/>
    <w:rsid w:val="00E605ED"/>
    <w:rsid w:val="00E606E7"/>
    <w:rsid w:val="00E608BD"/>
    <w:rsid w:val="00E60BE7"/>
    <w:rsid w:val="00E60DE1"/>
    <w:rsid w:val="00E60DF1"/>
    <w:rsid w:val="00E61262"/>
    <w:rsid w:val="00E61276"/>
    <w:rsid w:val="00E6130D"/>
    <w:rsid w:val="00E614CE"/>
    <w:rsid w:val="00E616FE"/>
    <w:rsid w:val="00E61965"/>
    <w:rsid w:val="00E61AC8"/>
    <w:rsid w:val="00E61CAF"/>
    <w:rsid w:val="00E620C5"/>
    <w:rsid w:val="00E62139"/>
    <w:rsid w:val="00E62326"/>
    <w:rsid w:val="00E6239D"/>
    <w:rsid w:val="00E626BE"/>
    <w:rsid w:val="00E62825"/>
    <w:rsid w:val="00E62D73"/>
    <w:rsid w:val="00E633B7"/>
    <w:rsid w:val="00E63879"/>
    <w:rsid w:val="00E63B7A"/>
    <w:rsid w:val="00E63EF1"/>
    <w:rsid w:val="00E6422A"/>
    <w:rsid w:val="00E644BF"/>
    <w:rsid w:val="00E6468D"/>
    <w:rsid w:val="00E64788"/>
    <w:rsid w:val="00E64B70"/>
    <w:rsid w:val="00E6537D"/>
    <w:rsid w:val="00E653DF"/>
    <w:rsid w:val="00E6553D"/>
    <w:rsid w:val="00E65E5B"/>
    <w:rsid w:val="00E66437"/>
    <w:rsid w:val="00E66B56"/>
    <w:rsid w:val="00E66F17"/>
    <w:rsid w:val="00E67234"/>
    <w:rsid w:val="00E67381"/>
    <w:rsid w:val="00E67AC7"/>
    <w:rsid w:val="00E67BA4"/>
    <w:rsid w:val="00E703BF"/>
    <w:rsid w:val="00E70A71"/>
    <w:rsid w:val="00E70B11"/>
    <w:rsid w:val="00E70D6D"/>
    <w:rsid w:val="00E70F61"/>
    <w:rsid w:val="00E712F5"/>
    <w:rsid w:val="00E71401"/>
    <w:rsid w:val="00E71D0B"/>
    <w:rsid w:val="00E72461"/>
    <w:rsid w:val="00E7246B"/>
    <w:rsid w:val="00E72C91"/>
    <w:rsid w:val="00E73199"/>
    <w:rsid w:val="00E73266"/>
    <w:rsid w:val="00E7362F"/>
    <w:rsid w:val="00E739B0"/>
    <w:rsid w:val="00E74013"/>
    <w:rsid w:val="00E74054"/>
    <w:rsid w:val="00E741AB"/>
    <w:rsid w:val="00E749B4"/>
    <w:rsid w:val="00E74A3E"/>
    <w:rsid w:val="00E74CBF"/>
    <w:rsid w:val="00E75059"/>
    <w:rsid w:val="00E758BB"/>
    <w:rsid w:val="00E75FFA"/>
    <w:rsid w:val="00E76018"/>
    <w:rsid w:val="00E7616C"/>
    <w:rsid w:val="00E764C6"/>
    <w:rsid w:val="00E765CE"/>
    <w:rsid w:val="00E766C0"/>
    <w:rsid w:val="00E77461"/>
    <w:rsid w:val="00E77CAE"/>
    <w:rsid w:val="00E77DDD"/>
    <w:rsid w:val="00E8018B"/>
    <w:rsid w:val="00E80430"/>
    <w:rsid w:val="00E80E0A"/>
    <w:rsid w:val="00E811ED"/>
    <w:rsid w:val="00E814F1"/>
    <w:rsid w:val="00E81542"/>
    <w:rsid w:val="00E816AF"/>
    <w:rsid w:val="00E8186B"/>
    <w:rsid w:val="00E825EC"/>
    <w:rsid w:val="00E82882"/>
    <w:rsid w:val="00E829ED"/>
    <w:rsid w:val="00E82B4E"/>
    <w:rsid w:val="00E83286"/>
    <w:rsid w:val="00E8372C"/>
    <w:rsid w:val="00E839AF"/>
    <w:rsid w:val="00E83A82"/>
    <w:rsid w:val="00E83CF0"/>
    <w:rsid w:val="00E84532"/>
    <w:rsid w:val="00E84542"/>
    <w:rsid w:val="00E84621"/>
    <w:rsid w:val="00E846AF"/>
    <w:rsid w:val="00E84C34"/>
    <w:rsid w:val="00E853FC"/>
    <w:rsid w:val="00E856DD"/>
    <w:rsid w:val="00E85A14"/>
    <w:rsid w:val="00E85D3D"/>
    <w:rsid w:val="00E85E73"/>
    <w:rsid w:val="00E86C92"/>
    <w:rsid w:val="00E86D91"/>
    <w:rsid w:val="00E86F02"/>
    <w:rsid w:val="00E87202"/>
    <w:rsid w:val="00E87347"/>
    <w:rsid w:val="00E875C5"/>
    <w:rsid w:val="00E87B3F"/>
    <w:rsid w:val="00E87BF6"/>
    <w:rsid w:val="00E90569"/>
    <w:rsid w:val="00E9072E"/>
    <w:rsid w:val="00E90778"/>
    <w:rsid w:val="00E908B6"/>
    <w:rsid w:val="00E915BF"/>
    <w:rsid w:val="00E9176C"/>
    <w:rsid w:val="00E92193"/>
    <w:rsid w:val="00E921C5"/>
    <w:rsid w:val="00E92B96"/>
    <w:rsid w:val="00E935F4"/>
    <w:rsid w:val="00E9377C"/>
    <w:rsid w:val="00E9381A"/>
    <w:rsid w:val="00E938B6"/>
    <w:rsid w:val="00E93D98"/>
    <w:rsid w:val="00E93F72"/>
    <w:rsid w:val="00E9404C"/>
    <w:rsid w:val="00E949A5"/>
    <w:rsid w:val="00E94AC8"/>
    <w:rsid w:val="00E95025"/>
    <w:rsid w:val="00E95227"/>
    <w:rsid w:val="00E952AB"/>
    <w:rsid w:val="00E95576"/>
    <w:rsid w:val="00E96331"/>
    <w:rsid w:val="00E9636B"/>
    <w:rsid w:val="00E96576"/>
    <w:rsid w:val="00E9658B"/>
    <w:rsid w:val="00E96D09"/>
    <w:rsid w:val="00E96EF6"/>
    <w:rsid w:val="00E96FED"/>
    <w:rsid w:val="00E97686"/>
    <w:rsid w:val="00E97776"/>
    <w:rsid w:val="00E979FE"/>
    <w:rsid w:val="00EA00B4"/>
    <w:rsid w:val="00EA0268"/>
    <w:rsid w:val="00EA0292"/>
    <w:rsid w:val="00EA02FD"/>
    <w:rsid w:val="00EA036B"/>
    <w:rsid w:val="00EA08B3"/>
    <w:rsid w:val="00EA09C8"/>
    <w:rsid w:val="00EA0AC5"/>
    <w:rsid w:val="00EA0F13"/>
    <w:rsid w:val="00EA114B"/>
    <w:rsid w:val="00EA1178"/>
    <w:rsid w:val="00EA117A"/>
    <w:rsid w:val="00EA1449"/>
    <w:rsid w:val="00EA14A4"/>
    <w:rsid w:val="00EA1822"/>
    <w:rsid w:val="00EA182F"/>
    <w:rsid w:val="00EA19E3"/>
    <w:rsid w:val="00EA1ABC"/>
    <w:rsid w:val="00EA1D08"/>
    <w:rsid w:val="00EA265E"/>
    <w:rsid w:val="00EA276F"/>
    <w:rsid w:val="00EA2965"/>
    <w:rsid w:val="00EA29DF"/>
    <w:rsid w:val="00EA3163"/>
    <w:rsid w:val="00EA31C8"/>
    <w:rsid w:val="00EA3498"/>
    <w:rsid w:val="00EA397A"/>
    <w:rsid w:val="00EA397D"/>
    <w:rsid w:val="00EA3B3D"/>
    <w:rsid w:val="00EA3DD2"/>
    <w:rsid w:val="00EA3F5A"/>
    <w:rsid w:val="00EA4C44"/>
    <w:rsid w:val="00EA4D19"/>
    <w:rsid w:val="00EA4F8A"/>
    <w:rsid w:val="00EA524E"/>
    <w:rsid w:val="00EA57A3"/>
    <w:rsid w:val="00EA5A7F"/>
    <w:rsid w:val="00EA5C9A"/>
    <w:rsid w:val="00EA62B1"/>
    <w:rsid w:val="00EA660E"/>
    <w:rsid w:val="00EA6703"/>
    <w:rsid w:val="00EA6C70"/>
    <w:rsid w:val="00EA741A"/>
    <w:rsid w:val="00EA7530"/>
    <w:rsid w:val="00EA7BF6"/>
    <w:rsid w:val="00EA7C61"/>
    <w:rsid w:val="00EB0304"/>
    <w:rsid w:val="00EB0315"/>
    <w:rsid w:val="00EB04F6"/>
    <w:rsid w:val="00EB05F5"/>
    <w:rsid w:val="00EB1712"/>
    <w:rsid w:val="00EB1A1D"/>
    <w:rsid w:val="00EB1F97"/>
    <w:rsid w:val="00EB2495"/>
    <w:rsid w:val="00EB296D"/>
    <w:rsid w:val="00EB2B25"/>
    <w:rsid w:val="00EB33BC"/>
    <w:rsid w:val="00EB3564"/>
    <w:rsid w:val="00EB36BA"/>
    <w:rsid w:val="00EB38F4"/>
    <w:rsid w:val="00EB3C9C"/>
    <w:rsid w:val="00EB3DBF"/>
    <w:rsid w:val="00EB3EB1"/>
    <w:rsid w:val="00EB4036"/>
    <w:rsid w:val="00EB4178"/>
    <w:rsid w:val="00EB4C05"/>
    <w:rsid w:val="00EB5162"/>
    <w:rsid w:val="00EB52AF"/>
    <w:rsid w:val="00EB5405"/>
    <w:rsid w:val="00EB54B5"/>
    <w:rsid w:val="00EB5940"/>
    <w:rsid w:val="00EB5AC7"/>
    <w:rsid w:val="00EB5B50"/>
    <w:rsid w:val="00EB5B7E"/>
    <w:rsid w:val="00EB5C59"/>
    <w:rsid w:val="00EB5F11"/>
    <w:rsid w:val="00EB5F22"/>
    <w:rsid w:val="00EB651C"/>
    <w:rsid w:val="00EB65AC"/>
    <w:rsid w:val="00EB6757"/>
    <w:rsid w:val="00EB74D6"/>
    <w:rsid w:val="00EB7608"/>
    <w:rsid w:val="00EB760C"/>
    <w:rsid w:val="00EB7743"/>
    <w:rsid w:val="00EC00F7"/>
    <w:rsid w:val="00EC0386"/>
    <w:rsid w:val="00EC0612"/>
    <w:rsid w:val="00EC0724"/>
    <w:rsid w:val="00EC08F4"/>
    <w:rsid w:val="00EC0A69"/>
    <w:rsid w:val="00EC0D4A"/>
    <w:rsid w:val="00EC1044"/>
    <w:rsid w:val="00EC1484"/>
    <w:rsid w:val="00EC2328"/>
    <w:rsid w:val="00EC2929"/>
    <w:rsid w:val="00EC30A5"/>
    <w:rsid w:val="00EC3971"/>
    <w:rsid w:val="00EC39A2"/>
    <w:rsid w:val="00EC3C07"/>
    <w:rsid w:val="00EC3FA5"/>
    <w:rsid w:val="00EC4250"/>
    <w:rsid w:val="00EC42DC"/>
    <w:rsid w:val="00EC446D"/>
    <w:rsid w:val="00EC4911"/>
    <w:rsid w:val="00EC50C9"/>
    <w:rsid w:val="00EC51B4"/>
    <w:rsid w:val="00EC5283"/>
    <w:rsid w:val="00EC5523"/>
    <w:rsid w:val="00EC5C13"/>
    <w:rsid w:val="00EC5C28"/>
    <w:rsid w:val="00EC5EE0"/>
    <w:rsid w:val="00EC6162"/>
    <w:rsid w:val="00EC621C"/>
    <w:rsid w:val="00EC6270"/>
    <w:rsid w:val="00EC6615"/>
    <w:rsid w:val="00EC686D"/>
    <w:rsid w:val="00EC6AA7"/>
    <w:rsid w:val="00EC6D72"/>
    <w:rsid w:val="00EC6FF2"/>
    <w:rsid w:val="00EC7451"/>
    <w:rsid w:val="00EC77BC"/>
    <w:rsid w:val="00EC7833"/>
    <w:rsid w:val="00EC791B"/>
    <w:rsid w:val="00EC7A43"/>
    <w:rsid w:val="00EC7AAB"/>
    <w:rsid w:val="00ED00CE"/>
    <w:rsid w:val="00ED038F"/>
    <w:rsid w:val="00ED09D9"/>
    <w:rsid w:val="00ED09EA"/>
    <w:rsid w:val="00ED0EAE"/>
    <w:rsid w:val="00ED0F86"/>
    <w:rsid w:val="00ED1164"/>
    <w:rsid w:val="00ED1197"/>
    <w:rsid w:val="00ED12C1"/>
    <w:rsid w:val="00ED168A"/>
    <w:rsid w:val="00ED1FE7"/>
    <w:rsid w:val="00ED2096"/>
    <w:rsid w:val="00ED2290"/>
    <w:rsid w:val="00ED2496"/>
    <w:rsid w:val="00ED2657"/>
    <w:rsid w:val="00ED2EB8"/>
    <w:rsid w:val="00ED34F6"/>
    <w:rsid w:val="00ED35FD"/>
    <w:rsid w:val="00ED3811"/>
    <w:rsid w:val="00ED3911"/>
    <w:rsid w:val="00ED3BEC"/>
    <w:rsid w:val="00ED3D9E"/>
    <w:rsid w:val="00ED3DA0"/>
    <w:rsid w:val="00ED42F0"/>
    <w:rsid w:val="00ED477D"/>
    <w:rsid w:val="00ED47B6"/>
    <w:rsid w:val="00ED4A13"/>
    <w:rsid w:val="00ED5115"/>
    <w:rsid w:val="00ED5179"/>
    <w:rsid w:val="00ED517B"/>
    <w:rsid w:val="00ED527B"/>
    <w:rsid w:val="00ED5589"/>
    <w:rsid w:val="00ED57CE"/>
    <w:rsid w:val="00ED5887"/>
    <w:rsid w:val="00ED5F50"/>
    <w:rsid w:val="00ED607E"/>
    <w:rsid w:val="00ED6202"/>
    <w:rsid w:val="00ED657F"/>
    <w:rsid w:val="00ED6A0C"/>
    <w:rsid w:val="00ED6D45"/>
    <w:rsid w:val="00ED6EC4"/>
    <w:rsid w:val="00ED6FA5"/>
    <w:rsid w:val="00ED744E"/>
    <w:rsid w:val="00ED75A5"/>
    <w:rsid w:val="00ED7884"/>
    <w:rsid w:val="00EE081C"/>
    <w:rsid w:val="00EE0BDC"/>
    <w:rsid w:val="00EE0CC9"/>
    <w:rsid w:val="00EE0F85"/>
    <w:rsid w:val="00EE10E5"/>
    <w:rsid w:val="00EE1603"/>
    <w:rsid w:val="00EE2072"/>
    <w:rsid w:val="00EE2153"/>
    <w:rsid w:val="00EE2A74"/>
    <w:rsid w:val="00EE3097"/>
    <w:rsid w:val="00EE3A69"/>
    <w:rsid w:val="00EE3D13"/>
    <w:rsid w:val="00EE3D35"/>
    <w:rsid w:val="00EE3EBB"/>
    <w:rsid w:val="00EE4997"/>
    <w:rsid w:val="00EE49BF"/>
    <w:rsid w:val="00EE4AFC"/>
    <w:rsid w:val="00EE5532"/>
    <w:rsid w:val="00EE591B"/>
    <w:rsid w:val="00EE5C7B"/>
    <w:rsid w:val="00EE61AD"/>
    <w:rsid w:val="00EE6A67"/>
    <w:rsid w:val="00EE6E5F"/>
    <w:rsid w:val="00EE6EF4"/>
    <w:rsid w:val="00EE76F0"/>
    <w:rsid w:val="00EE78DF"/>
    <w:rsid w:val="00EE7A0B"/>
    <w:rsid w:val="00EE7CAB"/>
    <w:rsid w:val="00EF00BE"/>
    <w:rsid w:val="00EF0168"/>
    <w:rsid w:val="00EF034B"/>
    <w:rsid w:val="00EF08BA"/>
    <w:rsid w:val="00EF0C8E"/>
    <w:rsid w:val="00EF0D1B"/>
    <w:rsid w:val="00EF0D5E"/>
    <w:rsid w:val="00EF0F35"/>
    <w:rsid w:val="00EF10CF"/>
    <w:rsid w:val="00EF110A"/>
    <w:rsid w:val="00EF123C"/>
    <w:rsid w:val="00EF14F8"/>
    <w:rsid w:val="00EF1B1D"/>
    <w:rsid w:val="00EF1BF6"/>
    <w:rsid w:val="00EF224B"/>
    <w:rsid w:val="00EF2FC9"/>
    <w:rsid w:val="00EF3458"/>
    <w:rsid w:val="00EF373E"/>
    <w:rsid w:val="00EF3D3F"/>
    <w:rsid w:val="00EF3F56"/>
    <w:rsid w:val="00EF430B"/>
    <w:rsid w:val="00EF460B"/>
    <w:rsid w:val="00EF563F"/>
    <w:rsid w:val="00EF5823"/>
    <w:rsid w:val="00EF5DD8"/>
    <w:rsid w:val="00EF6341"/>
    <w:rsid w:val="00EF6562"/>
    <w:rsid w:val="00EF658E"/>
    <w:rsid w:val="00EF66D9"/>
    <w:rsid w:val="00EF695D"/>
    <w:rsid w:val="00EF6CF2"/>
    <w:rsid w:val="00EF724D"/>
    <w:rsid w:val="00EF75FE"/>
    <w:rsid w:val="00EF778B"/>
    <w:rsid w:val="00EF7A5F"/>
    <w:rsid w:val="00EF7AAB"/>
    <w:rsid w:val="00EF7E45"/>
    <w:rsid w:val="00EF7E8E"/>
    <w:rsid w:val="00EF7E9B"/>
    <w:rsid w:val="00F001FD"/>
    <w:rsid w:val="00F004EB"/>
    <w:rsid w:val="00F00518"/>
    <w:rsid w:val="00F0072E"/>
    <w:rsid w:val="00F009B0"/>
    <w:rsid w:val="00F016C8"/>
    <w:rsid w:val="00F018EC"/>
    <w:rsid w:val="00F01C9C"/>
    <w:rsid w:val="00F01E57"/>
    <w:rsid w:val="00F01E88"/>
    <w:rsid w:val="00F01F96"/>
    <w:rsid w:val="00F020A5"/>
    <w:rsid w:val="00F028E1"/>
    <w:rsid w:val="00F02C33"/>
    <w:rsid w:val="00F02D86"/>
    <w:rsid w:val="00F031E4"/>
    <w:rsid w:val="00F03856"/>
    <w:rsid w:val="00F038E2"/>
    <w:rsid w:val="00F03BAE"/>
    <w:rsid w:val="00F04016"/>
    <w:rsid w:val="00F04172"/>
    <w:rsid w:val="00F041BD"/>
    <w:rsid w:val="00F043F9"/>
    <w:rsid w:val="00F048BD"/>
    <w:rsid w:val="00F04D17"/>
    <w:rsid w:val="00F050C7"/>
    <w:rsid w:val="00F056C8"/>
    <w:rsid w:val="00F0589F"/>
    <w:rsid w:val="00F05C62"/>
    <w:rsid w:val="00F05E7B"/>
    <w:rsid w:val="00F05EE8"/>
    <w:rsid w:val="00F06508"/>
    <w:rsid w:val="00F0669A"/>
    <w:rsid w:val="00F067DC"/>
    <w:rsid w:val="00F068E6"/>
    <w:rsid w:val="00F06CA0"/>
    <w:rsid w:val="00F06E66"/>
    <w:rsid w:val="00F07639"/>
    <w:rsid w:val="00F076EE"/>
    <w:rsid w:val="00F078A2"/>
    <w:rsid w:val="00F078CD"/>
    <w:rsid w:val="00F07A4A"/>
    <w:rsid w:val="00F07ADB"/>
    <w:rsid w:val="00F07BCF"/>
    <w:rsid w:val="00F07CE0"/>
    <w:rsid w:val="00F10288"/>
    <w:rsid w:val="00F10954"/>
    <w:rsid w:val="00F11097"/>
    <w:rsid w:val="00F110E7"/>
    <w:rsid w:val="00F11189"/>
    <w:rsid w:val="00F11349"/>
    <w:rsid w:val="00F116CF"/>
    <w:rsid w:val="00F11738"/>
    <w:rsid w:val="00F11CCD"/>
    <w:rsid w:val="00F12416"/>
    <w:rsid w:val="00F128E3"/>
    <w:rsid w:val="00F12FE6"/>
    <w:rsid w:val="00F1306F"/>
    <w:rsid w:val="00F130F5"/>
    <w:rsid w:val="00F1334D"/>
    <w:rsid w:val="00F13416"/>
    <w:rsid w:val="00F13590"/>
    <w:rsid w:val="00F1363C"/>
    <w:rsid w:val="00F13B6C"/>
    <w:rsid w:val="00F13E57"/>
    <w:rsid w:val="00F13EF6"/>
    <w:rsid w:val="00F13F1F"/>
    <w:rsid w:val="00F14445"/>
    <w:rsid w:val="00F1473E"/>
    <w:rsid w:val="00F15021"/>
    <w:rsid w:val="00F1511A"/>
    <w:rsid w:val="00F15559"/>
    <w:rsid w:val="00F159B8"/>
    <w:rsid w:val="00F16146"/>
    <w:rsid w:val="00F165E6"/>
    <w:rsid w:val="00F169D7"/>
    <w:rsid w:val="00F16A5D"/>
    <w:rsid w:val="00F16A64"/>
    <w:rsid w:val="00F1756F"/>
    <w:rsid w:val="00F17B89"/>
    <w:rsid w:val="00F204AA"/>
    <w:rsid w:val="00F208CA"/>
    <w:rsid w:val="00F20DF0"/>
    <w:rsid w:val="00F210A1"/>
    <w:rsid w:val="00F21378"/>
    <w:rsid w:val="00F21940"/>
    <w:rsid w:val="00F21A36"/>
    <w:rsid w:val="00F21F1B"/>
    <w:rsid w:val="00F2284B"/>
    <w:rsid w:val="00F22851"/>
    <w:rsid w:val="00F22900"/>
    <w:rsid w:val="00F2299D"/>
    <w:rsid w:val="00F229EB"/>
    <w:rsid w:val="00F22AD8"/>
    <w:rsid w:val="00F22B23"/>
    <w:rsid w:val="00F233FC"/>
    <w:rsid w:val="00F23E78"/>
    <w:rsid w:val="00F23EA0"/>
    <w:rsid w:val="00F24177"/>
    <w:rsid w:val="00F24799"/>
    <w:rsid w:val="00F248B9"/>
    <w:rsid w:val="00F24944"/>
    <w:rsid w:val="00F24C06"/>
    <w:rsid w:val="00F24CF6"/>
    <w:rsid w:val="00F24DDE"/>
    <w:rsid w:val="00F25616"/>
    <w:rsid w:val="00F257CA"/>
    <w:rsid w:val="00F25B09"/>
    <w:rsid w:val="00F25B71"/>
    <w:rsid w:val="00F2606F"/>
    <w:rsid w:val="00F261AD"/>
    <w:rsid w:val="00F26603"/>
    <w:rsid w:val="00F267B3"/>
    <w:rsid w:val="00F267DB"/>
    <w:rsid w:val="00F269A3"/>
    <w:rsid w:val="00F26DF9"/>
    <w:rsid w:val="00F271BB"/>
    <w:rsid w:val="00F272C0"/>
    <w:rsid w:val="00F27780"/>
    <w:rsid w:val="00F277A6"/>
    <w:rsid w:val="00F27A37"/>
    <w:rsid w:val="00F27A3F"/>
    <w:rsid w:val="00F27AB5"/>
    <w:rsid w:val="00F27AE0"/>
    <w:rsid w:val="00F301CC"/>
    <w:rsid w:val="00F303A1"/>
    <w:rsid w:val="00F304DF"/>
    <w:rsid w:val="00F30C81"/>
    <w:rsid w:val="00F30CDF"/>
    <w:rsid w:val="00F30F65"/>
    <w:rsid w:val="00F3104E"/>
    <w:rsid w:val="00F312B4"/>
    <w:rsid w:val="00F312B5"/>
    <w:rsid w:val="00F313F5"/>
    <w:rsid w:val="00F31A5B"/>
    <w:rsid w:val="00F31C91"/>
    <w:rsid w:val="00F31D19"/>
    <w:rsid w:val="00F31E3E"/>
    <w:rsid w:val="00F31E97"/>
    <w:rsid w:val="00F32008"/>
    <w:rsid w:val="00F3204F"/>
    <w:rsid w:val="00F327AA"/>
    <w:rsid w:val="00F3304D"/>
    <w:rsid w:val="00F331DA"/>
    <w:rsid w:val="00F33227"/>
    <w:rsid w:val="00F3389D"/>
    <w:rsid w:val="00F33E93"/>
    <w:rsid w:val="00F34047"/>
    <w:rsid w:val="00F3420C"/>
    <w:rsid w:val="00F3465B"/>
    <w:rsid w:val="00F34EAC"/>
    <w:rsid w:val="00F3523F"/>
    <w:rsid w:val="00F35979"/>
    <w:rsid w:val="00F35D9B"/>
    <w:rsid w:val="00F35FDF"/>
    <w:rsid w:val="00F36093"/>
    <w:rsid w:val="00F362CA"/>
    <w:rsid w:val="00F366C1"/>
    <w:rsid w:val="00F3676C"/>
    <w:rsid w:val="00F368D7"/>
    <w:rsid w:val="00F36C78"/>
    <w:rsid w:val="00F375AE"/>
    <w:rsid w:val="00F37B01"/>
    <w:rsid w:val="00F37E74"/>
    <w:rsid w:val="00F40403"/>
    <w:rsid w:val="00F4047D"/>
    <w:rsid w:val="00F40AB4"/>
    <w:rsid w:val="00F41112"/>
    <w:rsid w:val="00F411B4"/>
    <w:rsid w:val="00F4185B"/>
    <w:rsid w:val="00F418D3"/>
    <w:rsid w:val="00F42107"/>
    <w:rsid w:val="00F4260A"/>
    <w:rsid w:val="00F42A49"/>
    <w:rsid w:val="00F42A75"/>
    <w:rsid w:val="00F42A7A"/>
    <w:rsid w:val="00F42EFD"/>
    <w:rsid w:val="00F44062"/>
    <w:rsid w:val="00F44818"/>
    <w:rsid w:val="00F44C58"/>
    <w:rsid w:val="00F4541A"/>
    <w:rsid w:val="00F45720"/>
    <w:rsid w:val="00F457B1"/>
    <w:rsid w:val="00F45C9E"/>
    <w:rsid w:val="00F45CA1"/>
    <w:rsid w:val="00F468B7"/>
    <w:rsid w:val="00F47012"/>
    <w:rsid w:val="00F471B0"/>
    <w:rsid w:val="00F47307"/>
    <w:rsid w:val="00F4763B"/>
    <w:rsid w:val="00F4765A"/>
    <w:rsid w:val="00F47BCB"/>
    <w:rsid w:val="00F47D69"/>
    <w:rsid w:val="00F47F5A"/>
    <w:rsid w:val="00F47FD5"/>
    <w:rsid w:val="00F501F3"/>
    <w:rsid w:val="00F5023D"/>
    <w:rsid w:val="00F50B94"/>
    <w:rsid w:val="00F50C6C"/>
    <w:rsid w:val="00F50EDB"/>
    <w:rsid w:val="00F50F92"/>
    <w:rsid w:val="00F51056"/>
    <w:rsid w:val="00F51676"/>
    <w:rsid w:val="00F520FE"/>
    <w:rsid w:val="00F52A74"/>
    <w:rsid w:val="00F52E42"/>
    <w:rsid w:val="00F531E0"/>
    <w:rsid w:val="00F5331E"/>
    <w:rsid w:val="00F534CD"/>
    <w:rsid w:val="00F536DF"/>
    <w:rsid w:val="00F53818"/>
    <w:rsid w:val="00F538E5"/>
    <w:rsid w:val="00F53D55"/>
    <w:rsid w:val="00F54252"/>
    <w:rsid w:val="00F54320"/>
    <w:rsid w:val="00F549FB"/>
    <w:rsid w:val="00F54ACF"/>
    <w:rsid w:val="00F54D7B"/>
    <w:rsid w:val="00F55384"/>
    <w:rsid w:val="00F55EC3"/>
    <w:rsid w:val="00F560C2"/>
    <w:rsid w:val="00F560F9"/>
    <w:rsid w:val="00F56360"/>
    <w:rsid w:val="00F568C1"/>
    <w:rsid w:val="00F569C8"/>
    <w:rsid w:val="00F56DE0"/>
    <w:rsid w:val="00F56FD2"/>
    <w:rsid w:val="00F57133"/>
    <w:rsid w:val="00F5713F"/>
    <w:rsid w:val="00F57931"/>
    <w:rsid w:val="00F57EDB"/>
    <w:rsid w:val="00F60202"/>
    <w:rsid w:val="00F606C1"/>
    <w:rsid w:val="00F60818"/>
    <w:rsid w:val="00F6092F"/>
    <w:rsid w:val="00F60940"/>
    <w:rsid w:val="00F60AB8"/>
    <w:rsid w:val="00F6141B"/>
    <w:rsid w:val="00F619F6"/>
    <w:rsid w:val="00F61ADE"/>
    <w:rsid w:val="00F61DAA"/>
    <w:rsid w:val="00F61FC8"/>
    <w:rsid w:val="00F62154"/>
    <w:rsid w:val="00F62269"/>
    <w:rsid w:val="00F62809"/>
    <w:rsid w:val="00F63172"/>
    <w:rsid w:val="00F634BB"/>
    <w:rsid w:val="00F63E68"/>
    <w:rsid w:val="00F63EC8"/>
    <w:rsid w:val="00F6440A"/>
    <w:rsid w:val="00F64B58"/>
    <w:rsid w:val="00F64D45"/>
    <w:rsid w:val="00F64D52"/>
    <w:rsid w:val="00F64F51"/>
    <w:rsid w:val="00F65061"/>
    <w:rsid w:val="00F652DA"/>
    <w:rsid w:val="00F65345"/>
    <w:rsid w:val="00F655CD"/>
    <w:rsid w:val="00F65622"/>
    <w:rsid w:val="00F658D1"/>
    <w:rsid w:val="00F658E4"/>
    <w:rsid w:val="00F65936"/>
    <w:rsid w:val="00F65A37"/>
    <w:rsid w:val="00F65AD5"/>
    <w:rsid w:val="00F65C86"/>
    <w:rsid w:val="00F66384"/>
    <w:rsid w:val="00F663C4"/>
    <w:rsid w:val="00F6666A"/>
    <w:rsid w:val="00F66782"/>
    <w:rsid w:val="00F667EF"/>
    <w:rsid w:val="00F67155"/>
    <w:rsid w:val="00F672D7"/>
    <w:rsid w:val="00F674E3"/>
    <w:rsid w:val="00F6751D"/>
    <w:rsid w:val="00F67C84"/>
    <w:rsid w:val="00F700B6"/>
    <w:rsid w:val="00F7012D"/>
    <w:rsid w:val="00F70286"/>
    <w:rsid w:val="00F7061C"/>
    <w:rsid w:val="00F7081B"/>
    <w:rsid w:val="00F70890"/>
    <w:rsid w:val="00F71580"/>
    <w:rsid w:val="00F71EDC"/>
    <w:rsid w:val="00F7215C"/>
    <w:rsid w:val="00F72813"/>
    <w:rsid w:val="00F72868"/>
    <w:rsid w:val="00F72873"/>
    <w:rsid w:val="00F72A89"/>
    <w:rsid w:val="00F72DC1"/>
    <w:rsid w:val="00F731FF"/>
    <w:rsid w:val="00F733F4"/>
    <w:rsid w:val="00F73802"/>
    <w:rsid w:val="00F7399E"/>
    <w:rsid w:val="00F73B13"/>
    <w:rsid w:val="00F73DF8"/>
    <w:rsid w:val="00F73F66"/>
    <w:rsid w:val="00F7438C"/>
    <w:rsid w:val="00F74CA7"/>
    <w:rsid w:val="00F74D16"/>
    <w:rsid w:val="00F751BE"/>
    <w:rsid w:val="00F75223"/>
    <w:rsid w:val="00F760EE"/>
    <w:rsid w:val="00F76223"/>
    <w:rsid w:val="00F7653C"/>
    <w:rsid w:val="00F76B07"/>
    <w:rsid w:val="00F77306"/>
    <w:rsid w:val="00F77896"/>
    <w:rsid w:val="00F77BB3"/>
    <w:rsid w:val="00F805AB"/>
    <w:rsid w:val="00F80770"/>
    <w:rsid w:val="00F8097E"/>
    <w:rsid w:val="00F8149A"/>
    <w:rsid w:val="00F816B7"/>
    <w:rsid w:val="00F8178C"/>
    <w:rsid w:val="00F81E14"/>
    <w:rsid w:val="00F824E8"/>
    <w:rsid w:val="00F8258C"/>
    <w:rsid w:val="00F8333D"/>
    <w:rsid w:val="00F836D5"/>
    <w:rsid w:val="00F83C7B"/>
    <w:rsid w:val="00F84106"/>
    <w:rsid w:val="00F842BF"/>
    <w:rsid w:val="00F84520"/>
    <w:rsid w:val="00F849FF"/>
    <w:rsid w:val="00F84D4A"/>
    <w:rsid w:val="00F84F59"/>
    <w:rsid w:val="00F85101"/>
    <w:rsid w:val="00F851AE"/>
    <w:rsid w:val="00F858E0"/>
    <w:rsid w:val="00F85F58"/>
    <w:rsid w:val="00F86066"/>
    <w:rsid w:val="00F864E7"/>
    <w:rsid w:val="00F8670F"/>
    <w:rsid w:val="00F86963"/>
    <w:rsid w:val="00F87086"/>
    <w:rsid w:val="00F8709B"/>
    <w:rsid w:val="00F871B0"/>
    <w:rsid w:val="00F90134"/>
    <w:rsid w:val="00F905B1"/>
    <w:rsid w:val="00F90753"/>
    <w:rsid w:val="00F907C7"/>
    <w:rsid w:val="00F9198D"/>
    <w:rsid w:val="00F91B7E"/>
    <w:rsid w:val="00F91E64"/>
    <w:rsid w:val="00F92016"/>
    <w:rsid w:val="00F9243E"/>
    <w:rsid w:val="00F925F6"/>
    <w:rsid w:val="00F93AA3"/>
    <w:rsid w:val="00F93AD2"/>
    <w:rsid w:val="00F9443B"/>
    <w:rsid w:val="00F94C33"/>
    <w:rsid w:val="00F952C5"/>
    <w:rsid w:val="00F953FE"/>
    <w:rsid w:val="00F956EF"/>
    <w:rsid w:val="00F95BDD"/>
    <w:rsid w:val="00F96183"/>
    <w:rsid w:val="00F96A41"/>
    <w:rsid w:val="00F96B15"/>
    <w:rsid w:val="00F97198"/>
    <w:rsid w:val="00F97540"/>
    <w:rsid w:val="00F9777B"/>
    <w:rsid w:val="00F979B0"/>
    <w:rsid w:val="00F97F0B"/>
    <w:rsid w:val="00F97FB0"/>
    <w:rsid w:val="00FA05F6"/>
    <w:rsid w:val="00FA0937"/>
    <w:rsid w:val="00FA0BCC"/>
    <w:rsid w:val="00FA0C2E"/>
    <w:rsid w:val="00FA0F46"/>
    <w:rsid w:val="00FA1070"/>
    <w:rsid w:val="00FA1189"/>
    <w:rsid w:val="00FA164F"/>
    <w:rsid w:val="00FA165E"/>
    <w:rsid w:val="00FA1A25"/>
    <w:rsid w:val="00FA1ACB"/>
    <w:rsid w:val="00FA1BB5"/>
    <w:rsid w:val="00FA1FDF"/>
    <w:rsid w:val="00FA21C9"/>
    <w:rsid w:val="00FA21F4"/>
    <w:rsid w:val="00FA2F3A"/>
    <w:rsid w:val="00FA304B"/>
    <w:rsid w:val="00FA3214"/>
    <w:rsid w:val="00FA3AD1"/>
    <w:rsid w:val="00FA4C7D"/>
    <w:rsid w:val="00FA4ED6"/>
    <w:rsid w:val="00FA4FAE"/>
    <w:rsid w:val="00FA4FD7"/>
    <w:rsid w:val="00FA5874"/>
    <w:rsid w:val="00FA5BDA"/>
    <w:rsid w:val="00FA6341"/>
    <w:rsid w:val="00FA6476"/>
    <w:rsid w:val="00FA66CF"/>
    <w:rsid w:val="00FA6915"/>
    <w:rsid w:val="00FA6A95"/>
    <w:rsid w:val="00FA6E13"/>
    <w:rsid w:val="00FA6E57"/>
    <w:rsid w:val="00FA70CC"/>
    <w:rsid w:val="00FA77D4"/>
    <w:rsid w:val="00FA798A"/>
    <w:rsid w:val="00FB0173"/>
    <w:rsid w:val="00FB0FF2"/>
    <w:rsid w:val="00FB18B5"/>
    <w:rsid w:val="00FB197F"/>
    <w:rsid w:val="00FB22DC"/>
    <w:rsid w:val="00FB23DD"/>
    <w:rsid w:val="00FB2707"/>
    <w:rsid w:val="00FB2EBC"/>
    <w:rsid w:val="00FB312F"/>
    <w:rsid w:val="00FB3299"/>
    <w:rsid w:val="00FB3FE1"/>
    <w:rsid w:val="00FB409D"/>
    <w:rsid w:val="00FB4172"/>
    <w:rsid w:val="00FB4272"/>
    <w:rsid w:val="00FB493A"/>
    <w:rsid w:val="00FB512D"/>
    <w:rsid w:val="00FB546C"/>
    <w:rsid w:val="00FB580C"/>
    <w:rsid w:val="00FB5EF1"/>
    <w:rsid w:val="00FB6343"/>
    <w:rsid w:val="00FB6A75"/>
    <w:rsid w:val="00FB6BF7"/>
    <w:rsid w:val="00FB746B"/>
    <w:rsid w:val="00FB74A0"/>
    <w:rsid w:val="00FB7BFD"/>
    <w:rsid w:val="00FC0142"/>
    <w:rsid w:val="00FC03A1"/>
    <w:rsid w:val="00FC1215"/>
    <w:rsid w:val="00FC12E5"/>
    <w:rsid w:val="00FC1B1E"/>
    <w:rsid w:val="00FC1D06"/>
    <w:rsid w:val="00FC1FB3"/>
    <w:rsid w:val="00FC2855"/>
    <w:rsid w:val="00FC3001"/>
    <w:rsid w:val="00FC317B"/>
    <w:rsid w:val="00FC34C2"/>
    <w:rsid w:val="00FC3623"/>
    <w:rsid w:val="00FC3C61"/>
    <w:rsid w:val="00FC3C67"/>
    <w:rsid w:val="00FC3CCA"/>
    <w:rsid w:val="00FC42C3"/>
    <w:rsid w:val="00FC47DE"/>
    <w:rsid w:val="00FC48B4"/>
    <w:rsid w:val="00FC4A9E"/>
    <w:rsid w:val="00FC4BAB"/>
    <w:rsid w:val="00FC4DDB"/>
    <w:rsid w:val="00FC51A3"/>
    <w:rsid w:val="00FC5353"/>
    <w:rsid w:val="00FC539A"/>
    <w:rsid w:val="00FC5DF3"/>
    <w:rsid w:val="00FC6049"/>
    <w:rsid w:val="00FC65FC"/>
    <w:rsid w:val="00FC66C1"/>
    <w:rsid w:val="00FC6703"/>
    <w:rsid w:val="00FC6922"/>
    <w:rsid w:val="00FC6984"/>
    <w:rsid w:val="00FC6BA8"/>
    <w:rsid w:val="00FC6FBD"/>
    <w:rsid w:val="00FC76C0"/>
    <w:rsid w:val="00FD067F"/>
    <w:rsid w:val="00FD0AD2"/>
    <w:rsid w:val="00FD0DC2"/>
    <w:rsid w:val="00FD0F80"/>
    <w:rsid w:val="00FD19A1"/>
    <w:rsid w:val="00FD245D"/>
    <w:rsid w:val="00FD296C"/>
    <w:rsid w:val="00FD3406"/>
    <w:rsid w:val="00FD3499"/>
    <w:rsid w:val="00FD358A"/>
    <w:rsid w:val="00FD3644"/>
    <w:rsid w:val="00FD376D"/>
    <w:rsid w:val="00FD3BEE"/>
    <w:rsid w:val="00FD3D3D"/>
    <w:rsid w:val="00FD40D1"/>
    <w:rsid w:val="00FD415C"/>
    <w:rsid w:val="00FD49B4"/>
    <w:rsid w:val="00FD4B84"/>
    <w:rsid w:val="00FD5F8B"/>
    <w:rsid w:val="00FD5FFD"/>
    <w:rsid w:val="00FD61DA"/>
    <w:rsid w:val="00FD61E3"/>
    <w:rsid w:val="00FD6281"/>
    <w:rsid w:val="00FD6751"/>
    <w:rsid w:val="00FD6980"/>
    <w:rsid w:val="00FD6AAB"/>
    <w:rsid w:val="00FD6D30"/>
    <w:rsid w:val="00FD7001"/>
    <w:rsid w:val="00FD701C"/>
    <w:rsid w:val="00FD755A"/>
    <w:rsid w:val="00FD76D9"/>
    <w:rsid w:val="00FD7C64"/>
    <w:rsid w:val="00FD7DCF"/>
    <w:rsid w:val="00FD7F1A"/>
    <w:rsid w:val="00FE00DF"/>
    <w:rsid w:val="00FE01E9"/>
    <w:rsid w:val="00FE0398"/>
    <w:rsid w:val="00FE0888"/>
    <w:rsid w:val="00FE0C08"/>
    <w:rsid w:val="00FE1448"/>
    <w:rsid w:val="00FE156E"/>
    <w:rsid w:val="00FE1855"/>
    <w:rsid w:val="00FE1B15"/>
    <w:rsid w:val="00FE1C44"/>
    <w:rsid w:val="00FE21FE"/>
    <w:rsid w:val="00FE222A"/>
    <w:rsid w:val="00FE22B4"/>
    <w:rsid w:val="00FE22B8"/>
    <w:rsid w:val="00FE31B9"/>
    <w:rsid w:val="00FE32BC"/>
    <w:rsid w:val="00FE3716"/>
    <w:rsid w:val="00FE37FF"/>
    <w:rsid w:val="00FE389E"/>
    <w:rsid w:val="00FE423A"/>
    <w:rsid w:val="00FE449D"/>
    <w:rsid w:val="00FE4949"/>
    <w:rsid w:val="00FE4B78"/>
    <w:rsid w:val="00FE55DF"/>
    <w:rsid w:val="00FE5641"/>
    <w:rsid w:val="00FE5A58"/>
    <w:rsid w:val="00FE5CAA"/>
    <w:rsid w:val="00FE6915"/>
    <w:rsid w:val="00FE6B67"/>
    <w:rsid w:val="00FE72AE"/>
    <w:rsid w:val="00FE75ED"/>
    <w:rsid w:val="00FE79DD"/>
    <w:rsid w:val="00FE7BC4"/>
    <w:rsid w:val="00FF0038"/>
    <w:rsid w:val="00FF0A09"/>
    <w:rsid w:val="00FF0BE3"/>
    <w:rsid w:val="00FF0BF3"/>
    <w:rsid w:val="00FF11C6"/>
    <w:rsid w:val="00FF1384"/>
    <w:rsid w:val="00FF2495"/>
    <w:rsid w:val="00FF289D"/>
    <w:rsid w:val="00FF28E2"/>
    <w:rsid w:val="00FF2AC3"/>
    <w:rsid w:val="00FF2EC4"/>
    <w:rsid w:val="00FF2FD4"/>
    <w:rsid w:val="00FF2FDF"/>
    <w:rsid w:val="00FF32EE"/>
    <w:rsid w:val="00FF36AA"/>
    <w:rsid w:val="00FF37A7"/>
    <w:rsid w:val="00FF3C3C"/>
    <w:rsid w:val="00FF3D9F"/>
    <w:rsid w:val="00FF3EE1"/>
    <w:rsid w:val="00FF4055"/>
    <w:rsid w:val="00FF4786"/>
    <w:rsid w:val="00FF4BA5"/>
    <w:rsid w:val="00FF5328"/>
    <w:rsid w:val="00FF5399"/>
    <w:rsid w:val="00FF58CC"/>
    <w:rsid w:val="00FF69BA"/>
    <w:rsid w:val="00FF6A50"/>
    <w:rsid w:val="00FF70E3"/>
    <w:rsid w:val="00FF74EF"/>
    <w:rsid w:val="00FF75FD"/>
    <w:rsid w:val="00FF786F"/>
    <w:rsid w:val="00FF7896"/>
    <w:rsid w:val="00FF79BD"/>
    <w:rsid w:val="00FF7C50"/>
    <w:rsid w:val="00FF7F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342CCA3A"/>
  <w15:docId w15:val="{FEAF850D-C5B4-4065-AA8A-A625EBE2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000000" w:themeColor="text1"/>
        <w:sz w:val="22"/>
        <w:szCs w:val="22"/>
        <w:lang w:val="en-AU" w:eastAsia="en-AU" w:bidi="ar-SA"/>
      </w:rPr>
    </w:rPrDefault>
    <w:pPrDefault>
      <w:pPr>
        <w:spacing w:before="200" w:after="200"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644"/>
  </w:style>
  <w:style w:type="paragraph" w:styleId="Heading1">
    <w:name w:val="heading 1"/>
    <w:basedOn w:val="Normal"/>
    <w:next w:val="BodyText"/>
    <w:link w:val="Heading1Char"/>
    <w:qFormat/>
    <w:rsid w:val="005A746E"/>
    <w:pPr>
      <w:keepNext/>
      <w:keepLines/>
      <w:pageBreakBefore/>
      <w:spacing w:after="360" w:line="240" w:lineRule="auto"/>
      <w:outlineLvl w:val="0"/>
    </w:pPr>
    <w:rPr>
      <w:rFonts w:ascii="Arial Bold" w:eastAsiaTheme="majorEastAsia" w:hAnsi="Arial Bold" w:cstheme="majorBidi"/>
      <w:bCs/>
      <w:color w:val="auto"/>
      <w:sz w:val="40"/>
      <w:szCs w:val="28"/>
    </w:rPr>
  </w:style>
  <w:style w:type="paragraph" w:styleId="Heading2">
    <w:name w:val="heading 2"/>
    <w:basedOn w:val="Normal"/>
    <w:next w:val="BodyText"/>
    <w:link w:val="Heading2Char"/>
    <w:qFormat/>
    <w:rsid w:val="00417B1B"/>
    <w:pPr>
      <w:keepNext/>
      <w:keepLines/>
      <w:spacing w:before="240" w:after="120" w:line="360" w:lineRule="atLeast"/>
      <w:outlineLvl w:val="1"/>
    </w:pPr>
    <w:rPr>
      <w:rFonts w:ascii="Arial Bold" w:eastAsiaTheme="majorEastAsia" w:hAnsi="Arial Bold" w:cstheme="majorBidi"/>
      <w:bCs/>
      <w:color w:val="auto"/>
      <w:sz w:val="26"/>
      <w:szCs w:val="26"/>
    </w:rPr>
  </w:style>
  <w:style w:type="paragraph" w:styleId="Heading3">
    <w:name w:val="heading 3"/>
    <w:basedOn w:val="Normal"/>
    <w:next w:val="BodyText"/>
    <w:link w:val="Heading3Char"/>
    <w:qFormat/>
    <w:rsid w:val="009C456B"/>
    <w:pPr>
      <w:keepNext/>
      <w:keepLines/>
      <w:spacing w:before="240" w:after="120" w:line="320" w:lineRule="atLeast"/>
      <w:outlineLvl w:val="2"/>
    </w:pPr>
    <w:rPr>
      <w:rFonts w:ascii="Arial Bold" w:eastAsiaTheme="majorEastAsia" w:hAnsi="Arial Bold" w:cstheme="majorBidi"/>
      <w:bCs/>
      <w:color w:val="auto"/>
      <w:sz w:val="24"/>
    </w:rPr>
  </w:style>
  <w:style w:type="paragraph" w:styleId="Heading4">
    <w:name w:val="heading 4"/>
    <w:basedOn w:val="Normal"/>
    <w:next w:val="BodyText"/>
    <w:link w:val="Heading4Char"/>
    <w:qFormat/>
    <w:rsid w:val="009C456B"/>
    <w:pPr>
      <w:keepNext/>
      <w:keepLines/>
      <w:spacing w:before="240" w:after="120"/>
      <w:outlineLvl w:val="3"/>
    </w:pPr>
    <w:rPr>
      <w:rFonts w:ascii="Arial Bold" w:hAnsi="Arial Bold" w:cs="Times New Roman"/>
      <w:bCs/>
      <w:iCs/>
      <w:color w:val="auto"/>
    </w:rPr>
  </w:style>
  <w:style w:type="paragraph" w:styleId="Heading5">
    <w:name w:val="heading 5"/>
    <w:basedOn w:val="Normal"/>
    <w:next w:val="BodyText"/>
    <w:link w:val="Heading5Char"/>
    <w:qFormat/>
    <w:rsid w:val="00BC1B8F"/>
    <w:pPr>
      <w:keepNext/>
      <w:keepLines/>
      <w:spacing w:before="120" w:after="120"/>
      <w:outlineLvl w:val="4"/>
    </w:pPr>
    <w:rPr>
      <w:rFonts w:ascii="Arial Bold" w:eastAsiaTheme="majorEastAsia" w:hAnsi="Arial Bold" w:cstheme="majorBidi"/>
      <w:color w:val="auto"/>
      <w:sz w:val="20"/>
    </w:rPr>
  </w:style>
  <w:style w:type="paragraph" w:styleId="Heading6">
    <w:name w:val="heading 6"/>
    <w:basedOn w:val="Normal"/>
    <w:next w:val="BodyText"/>
    <w:link w:val="Heading6Char"/>
    <w:qFormat/>
    <w:rsid w:val="009C6EFB"/>
    <w:pPr>
      <w:keepNext/>
      <w:keepLines/>
      <w:spacing w:before="120" w:after="12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semiHidden/>
    <w:rsid w:val="00E61CAF"/>
    <w:pPr>
      <w:keepNext/>
      <w:keepLines/>
      <w:spacing w:before="120" w:after="60"/>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2"/>
    <w:semiHidden/>
    <w:rsid w:val="00EE5532"/>
    <w:pPr>
      <w:outlineLvl w:val="7"/>
    </w:pPr>
  </w:style>
  <w:style w:type="paragraph" w:styleId="Heading9">
    <w:name w:val="heading 9"/>
    <w:basedOn w:val="Heading8"/>
    <w:next w:val="BodyText"/>
    <w:link w:val="Heading9Char"/>
    <w:uiPriority w:val="2"/>
    <w:semiHidden/>
    <w:rsid w:val="00EE553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cessibleTableNumerical">
    <w:name w:val="Accessible Table Numerical"/>
    <w:basedOn w:val="TableNormal"/>
    <w:uiPriority w:val="99"/>
    <w:rsid w:val="005123D2"/>
    <w:pPr>
      <w:spacing w:before="40" w:after="40" w:line="240" w:lineRule="auto"/>
      <w:jc w:val="right"/>
    </w:pPr>
    <w:tblPr>
      <w:tblBorders>
        <w:top w:val="single" w:sz="4" w:space="0" w:color="auto"/>
        <w:bottom w:val="single" w:sz="4" w:space="0" w:color="auto"/>
      </w:tblBorders>
      <w:tblCellMar>
        <w:left w:w="28" w:type="dxa"/>
        <w:right w:w="28" w:type="dxa"/>
      </w:tblCellMar>
    </w:tblPr>
    <w:tblStylePr w:type="firstRow">
      <w:pPr>
        <w:keepNext w:val="0"/>
        <w:wordWrap/>
        <w:jc w:val="right"/>
      </w:pPr>
      <w:rPr>
        <w:rFonts w:ascii="Arial Bold" w:hAnsi="Arial Bold"/>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Pr/>
      <w:tcPr>
        <w:vAlign w:val="bottom"/>
      </w:tcPr>
    </w:tblStylePr>
  </w:style>
  <w:style w:type="paragraph" w:styleId="Footer">
    <w:name w:val="footer"/>
    <w:basedOn w:val="Normal"/>
    <w:link w:val="FooterChar"/>
    <w:uiPriority w:val="99"/>
    <w:rsid w:val="00B21199"/>
    <w:pPr>
      <w:tabs>
        <w:tab w:val="right" w:pos="7938"/>
      </w:tabs>
      <w:spacing w:before="0" w:after="0" w:line="160" w:lineRule="atLeast"/>
      <w:jc w:val="right"/>
    </w:pPr>
    <w:rPr>
      <w:noProof/>
      <w:sz w:val="14"/>
    </w:rPr>
  </w:style>
  <w:style w:type="character" w:styleId="PageNumber">
    <w:name w:val="page number"/>
    <w:basedOn w:val="DefaultParagraphFont"/>
    <w:semiHidden/>
    <w:rsid w:val="003C3BC2"/>
    <w:rPr>
      <w:rFonts w:ascii="Arial" w:hAnsi="Arial"/>
      <w:b/>
      <w:color w:val="auto"/>
      <w:sz w:val="16"/>
    </w:rPr>
  </w:style>
  <w:style w:type="table" w:styleId="TableGrid">
    <w:name w:val="Table Grid"/>
    <w:basedOn w:val="TableNormal"/>
    <w:uiPriority w:val="39"/>
    <w:rsid w:val="00E57EEE"/>
    <w:pPr>
      <w:spacing w:before="70" w:after="70" w:line="260" w:lineRule="atLeast"/>
    </w:pPr>
    <w:tblPr>
      <w:tblBorders>
        <w:top w:val="single" w:sz="4" w:space="0" w:color="auto"/>
        <w:bottom w:val="single" w:sz="4" w:space="0" w:color="auto"/>
        <w:insideH w:val="single" w:sz="4" w:space="0" w:color="auto"/>
        <w:insideV w:val="single" w:sz="4" w:space="0" w:color="auto"/>
      </w:tblBorders>
    </w:tblPr>
    <w:tblStylePr w:type="firstRow">
      <w:rPr>
        <w:rFonts w:ascii="Arial Bold" w:hAnsi="Arial Bold"/>
      </w:rPr>
      <w:tblPr/>
      <w:trPr>
        <w:tblHeader/>
      </w:trPr>
    </w:tblStylePr>
  </w:style>
  <w:style w:type="character" w:customStyle="1" w:styleId="FooterChar">
    <w:name w:val="Footer Char"/>
    <w:basedOn w:val="DefaultParagraphFont"/>
    <w:link w:val="Footer"/>
    <w:uiPriority w:val="99"/>
    <w:rsid w:val="00B21199"/>
    <w:rPr>
      <w:noProof/>
      <w:sz w:val="14"/>
    </w:rPr>
  </w:style>
  <w:style w:type="paragraph" w:customStyle="1" w:styleId="FootnoteSeparator">
    <w:name w:val="Footnote Separator"/>
    <w:basedOn w:val="Normal"/>
    <w:uiPriority w:val="99"/>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qFormat/>
    <w:rsid w:val="005257D2"/>
    <w:pPr>
      <w:spacing w:before="100" w:after="100"/>
      <w:ind w:left="454"/>
    </w:pPr>
  </w:style>
  <w:style w:type="paragraph" w:styleId="ListContinue2">
    <w:name w:val="List Continue 2"/>
    <w:basedOn w:val="Normal"/>
    <w:qFormat/>
    <w:rsid w:val="005257D2"/>
    <w:pPr>
      <w:spacing w:before="100" w:after="100"/>
      <w:ind w:left="907"/>
    </w:pPr>
  </w:style>
  <w:style w:type="paragraph" w:styleId="ListNumber">
    <w:name w:val="List Number"/>
    <w:basedOn w:val="Normal"/>
    <w:qFormat/>
    <w:rsid w:val="00720DE9"/>
    <w:pPr>
      <w:numPr>
        <w:numId w:val="6"/>
      </w:numPr>
      <w:spacing w:before="100" w:after="100"/>
    </w:pPr>
    <w:rPr>
      <w:rFonts w:eastAsia="Arial" w:cs="Times New Roman"/>
    </w:rPr>
  </w:style>
  <w:style w:type="paragraph" w:styleId="ListNumber2">
    <w:name w:val="List Number 2"/>
    <w:basedOn w:val="Normal"/>
    <w:rsid w:val="00720DE9"/>
    <w:pPr>
      <w:numPr>
        <w:ilvl w:val="1"/>
        <w:numId w:val="6"/>
      </w:numPr>
      <w:spacing w:before="100" w:after="100"/>
    </w:pPr>
    <w:rPr>
      <w:rFonts w:eastAsia="Arial" w:cs="Times New Roman"/>
    </w:rPr>
  </w:style>
  <w:style w:type="paragraph" w:styleId="ListNumber3">
    <w:name w:val="List Number 3"/>
    <w:basedOn w:val="Normal"/>
    <w:unhideWhenUsed/>
    <w:rsid w:val="00720DE9"/>
    <w:pPr>
      <w:numPr>
        <w:ilvl w:val="2"/>
        <w:numId w:val="6"/>
      </w:numPr>
      <w:spacing w:before="100" w:after="100"/>
    </w:pPr>
    <w:rPr>
      <w:rFonts w:eastAsia="Arial" w:cs="Times New Roman"/>
    </w:rPr>
  </w:style>
  <w:style w:type="numbering" w:styleId="1ai">
    <w:name w:val="Outline List 1"/>
    <w:basedOn w:val="NoList"/>
    <w:rsid w:val="00606818"/>
    <w:pPr>
      <w:numPr>
        <w:numId w:val="1"/>
      </w:numPr>
    </w:pPr>
  </w:style>
  <w:style w:type="paragraph" w:styleId="BalloonText">
    <w:name w:val="Balloon Text"/>
    <w:basedOn w:val="Normal"/>
    <w:link w:val="BalloonTextChar"/>
    <w:semiHidden/>
    <w:unhideWhenUsed/>
    <w:rsid w:val="00606818"/>
    <w:rPr>
      <w:rFonts w:ascii="Tahoma" w:hAnsi="Tahoma" w:cs="Tahoma"/>
      <w:sz w:val="16"/>
      <w:szCs w:val="16"/>
    </w:rPr>
  </w:style>
  <w:style w:type="paragraph" w:styleId="Header">
    <w:name w:val="header"/>
    <w:basedOn w:val="Normal"/>
    <w:link w:val="HeaderChar"/>
    <w:uiPriority w:val="99"/>
    <w:unhideWhenUsed/>
    <w:rsid w:val="00B21199"/>
    <w:pPr>
      <w:tabs>
        <w:tab w:val="center" w:pos="4513"/>
        <w:tab w:val="right" w:pos="9026"/>
      </w:tabs>
      <w:spacing w:before="0" w:after="0" w:line="240" w:lineRule="auto"/>
    </w:pPr>
  </w:style>
  <w:style w:type="paragraph" w:customStyle="1" w:styleId="TableTextBullet2">
    <w:name w:val="Table Text Bullet 2"/>
    <w:basedOn w:val="TableTextBullet1"/>
    <w:qFormat/>
    <w:rsid w:val="00BA3B7E"/>
    <w:pPr>
      <w:numPr>
        <w:ilvl w:val="1"/>
      </w:numPr>
    </w:pPr>
    <w:rPr>
      <w:bCs/>
    </w:rPr>
  </w:style>
  <w:style w:type="paragraph" w:customStyle="1" w:styleId="TableTextBullet3">
    <w:name w:val="Table Text Bullet 3"/>
    <w:basedOn w:val="TableTextBullet2"/>
    <w:qFormat/>
    <w:rsid w:val="00093051"/>
    <w:pPr>
      <w:numPr>
        <w:ilvl w:val="2"/>
      </w:numPr>
    </w:pPr>
    <w:rPr>
      <w:bCs w:val="0"/>
    </w:rPr>
  </w:style>
  <w:style w:type="paragraph" w:styleId="BodyText">
    <w:name w:val="Body Text"/>
    <w:basedOn w:val="Normal"/>
    <w:link w:val="BodyTextChar"/>
    <w:qFormat/>
    <w:rsid w:val="00793F32"/>
  </w:style>
  <w:style w:type="character" w:customStyle="1" w:styleId="BodyTextChar">
    <w:name w:val="Body Text Char"/>
    <w:basedOn w:val="DefaultParagraphFont"/>
    <w:link w:val="BodyText"/>
    <w:rsid w:val="00793F32"/>
  </w:style>
  <w:style w:type="paragraph" w:customStyle="1" w:styleId="NotesNumberedList">
    <w:name w:val="Notes Numbered List"/>
    <w:basedOn w:val="Normal"/>
    <w:rsid w:val="00A15DCB"/>
    <w:pPr>
      <w:keepLines/>
      <w:numPr>
        <w:numId w:val="5"/>
      </w:numPr>
      <w:spacing w:before="60" w:after="240" w:line="210" w:lineRule="atLeast"/>
      <w:contextualSpacing/>
    </w:pPr>
    <w:rPr>
      <w:sz w:val="18"/>
    </w:rPr>
  </w:style>
  <w:style w:type="paragraph" w:customStyle="1" w:styleId="TableHeading">
    <w:name w:val="Table Heading"/>
    <w:basedOn w:val="TableText"/>
    <w:qFormat/>
    <w:rsid w:val="00800B5A"/>
    <w:rPr>
      <w:rFonts w:ascii="Arial Bold" w:hAnsi="Arial Bold"/>
      <w:color w:val="FFFFFF" w:themeColor="background1"/>
    </w:rPr>
  </w:style>
  <w:style w:type="character" w:styleId="Hyperlink">
    <w:name w:val="Hyperlink"/>
    <w:basedOn w:val="DefaultParagraphFont"/>
    <w:uiPriority w:val="99"/>
    <w:unhideWhenUsed/>
    <w:rsid w:val="005243A7"/>
    <w:rPr>
      <w:color w:val="0000FF"/>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qFormat/>
    <w:rsid w:val="000C7EC1"/>
    <w:pPr>
      <w:keepNext/>
      <w:tabs>
        <w:tab w:val="left" w:pos="1134"/>
      </w:tabs>
      <w:spacing w:before="120" w:after="120" w:line="240" w:lineRule="auto"/>
      <w:ind w:left="1134" w:hanging="1134"/>
    </w:pPr>
    <w:rPr>
      <w:rFonts w:ascii="Arial Bold" w:hAnsi="Arial Bold"/>
      <w:bCs/>
      <w:color w:val="auto"/>
      <w:sz w:val="20"/>
    </w:rPr>
  </w:style>
  <w:style w:type="character" w:styleId="FootnoteReference">
    <w:name w:val="footnote reference"/>
    <w:basedOn w:val="DefaultParagraphFont"/>
    <w:uiPriority w:val="99"/>
    <w:rsid w:val="00791E42"/>
    <w:rPr>
      <w:color w:val="000000" w:themeColor="text1"/>
      <w:vertAlign w:val="superscript"/>
    </w:rPr>
  </w:style>
  <w:style w:type="paragraph" w:styleId="FootnoteText">
    <w:name w:val="footnote text"/>
    <w:basedOn w:val="Normal"/>
    <w:link w:val="FootnoteTextChar"/>
    <w:uiPriority w:val="99"/>
    <w:rsid w:val="000C7EC1"/>
    <w:pPr>
      <w:tabs>
        <w:tab w:val="left" w:pos="426"/>
      </w:tabs>
      <w:spacing w:before="100" w:after="100" w:line="240" w:lineRule="auto"/>
      <w:ind w:left="425" w:hanging="425"/>
      <w:contextualSpacing/>
    </w:pPr>
    <w:rPr>
      <w:kern w:val="16"/>
      <w:sz w:val="16"/>
    </w:rPr>
  </w:style>
  <w:style w:type="character" w:customStyle="1" w:styleId="FootnoteTextChar">
    <w:name w:val="Footnote Text Char"/>
    <w:basedOn w:val="DefaultParagraphFont"/>
    <w:link w:val="FootnoteText"/>
    <w:uiPriority w:val="99"/>
    <w:rsid w:val="000C7EC1"/>
    <w:rPr>
      <w:kern w:val="16"/>
      <w:sz w:val="16"/>
    </w:rPr>
  </w:style>
  <w:style w:type="paragraph" w:styleId="ListBullet">
    <w:name w:val="List Bullet"/>
    <w:basedOn w:val="Normal"/>
    <w:qFormat/>
    <w:rsid w:val="00B36596"/>
    <w:pPr>
      <w:numPr>
        <w:numId w:val="4"/>
      </w:numPr>
      <w:spacing w:before="110" w:after="110"/>
    </w:pPr>
    <w:rPr>
      <w:rFonts w:eastAsia="Arial" w:cs="Times New Roman"/>
    </w:rPr>
  </w:style>
  <w:style w:type="paragraph" w:styleId="ListBullet2">
    <w:name w:val="List Bullet 2"/>
    <w:basedOn w:val="Normal"/>
    <w:unhideWhenUsed/>
    <w:rsid w:val="00255F65"/>
    <w:pPr>
      <w:numPr>
        <w:ilvl w:val="1"/>
        <w:numId w:val="4"/>
      </w:numPr>
      <w:spacing w:before="110" w:after="120"/>
    </w:pPr>
    <w:rPr>
      <w:rFonts w:eastAsia="Arial" w:cs="Times New Roman"/>
    </w:rPr>
  </w:style>
  <w:style w:type="paragraph" w:styleId="ListBullet3">
    <w:name w:val="List Bullet 3"/>
    <w:basedOn w:val="Normal"/>
    <w:rsid w:val="00255F65"/>
    <w:pPr>
      <w:numPr>
        <w:ilvl w:val="2"/>
        <w:numId w:val="4"/>
      </w:numPr>
      <w:spacing w:before="110" w:after="120"/>
    </w:pPr>
    <w:rPr>
      <w:rFonts w:eastAsia="Arial" w:cs="Times New Roman"/>
    </w:rPr>
  </w:style>
  <w:style w:type="paragraph" w:styleId="Subtitle">
    <w:name w:val="Subtitle"/>
    <w:basedOn w:val="Normal"/>
    <w:next w:val="Normal"/>
    <w:link w:val="SubtitleChar"/>
    <w:rsid w:val="00A11BA2"/>
    <w:pPr>
      <w:numPr>
        <w:ilvl w:val="1"/>
      </w:numPr>
    </w:pPr>
    <w:rPr>
      <w:rFonts w:asciiTheme="majorHAnsi" w:eastAsiaTheme="majorEastAsia" w:hAnsiTheme="majorHAnsi" w:cstheme="majorBidi"/>
      <w:iCs/>
      <w:sz w:val="32"/>
    </w:rPr>
  </w:style>
  <w:style w:type="character" w:customStyle="1" w:styleId="SubtitleChar">
    <w:name w:val="Subtitle Char"/>
    <w:basedOn w:val="DefaultParagraphFont"/>
    <w:link w:val="Subtitle"/>
    <w:rsid w:val="00A11BA2"/>
    <w:rPr>
      <w:rFonts w:asciiTheme="majorHAnsi" w:eastAsiaTheme="majorEastAsia" w:hAnsiTheme="majorHAnsi" w:cstheme="majorBidi"/>
      <w:iCs/>
      <w:sz w:val="32"/>
    </w:rPr>
  </w:style>
  <w:style w:type="paragraph" w:customStyle="1" w:styleId="TableText">
    <w:name w:val="Table Text"/>
    <w:basedOn w:val="Normal"/>
    <w:qFormat/>
    <w:rsid w:val="00793F32"/>
    <w:pPr>
      <w:spacing w:before="70" w:after="70" w:line="260" w:lineRule="atLeast"/>
    </w:pPr>
    <w:rPr>
      <w:sz w:val="20"/>
    </w:rPr>
  </w:style>
  <w:style w:type="paragraph" w:customStyle="1" w:styleId="TableTextBullet1">
    <w:name w:val="Table Text Bullet 1"/>
    <w:basedOn w:val="TableText"/>
    <w:rsid w:val="00966357"/>
    <w:pPr>
      <w:numPr>
        <w:numId w:val="2"/>
      </w:numPr>
      <w:spacing w:line="228" w:lineRule="auto"/>
    </w:pPr>
    <w:rPr>
      <w:rFonts w:cs="Times New Roman"/>
    </w:rPr>
  </w:style>
  <w:style w:type="paragraph" w:customStyle="1" w:styleId="TableTextNumbered1">
    <w:name w:val="Table Text Numbered 1"/>
    <w:basedOn w:val="TableText"/>
    <w:qFormat/>
    <w:rsid w:val="00793F32"/>
    <w:pPr>
      <w:numPr>
        <w:numId w:val="8"/>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xInlineShape">
    <w:name w:val="xInlineShape"/>
    <w:basedOn w:val="Normal"/>
    <w:next w:val="BodyText"/>
    <w:rsid w:val="00F25B09"/>
    <w:pPr>
      <w:keepNext/>
      <w:spacing w:before="120" w:after="120"/>
    </w:pPr>
  </w:style>
  <w:style w:type="character" w:customStyle="1" w:styleId="Heading4Char">
    <w:name w:val="Heading 4 Char"/>
    <w:basedOn w:val="DefaultParagraphFont"/>
    <w:link w:val="Heading4"/>
    <w:rsid w:val="009C456B"/>
    <w:rPr>
      <w:rFonts w:ascii="Arial Bold" w:hAnsi="Arial Bold" w:cs="Times New Roman"/>
      <w:bCs/>
      <w:iCs/>
      <w:color w:val="auto"/>
    </w:rPr>
  </w:style>
  <w:style w:type="paragraph" w:styleId="Title">
    <w:name w:val="Title"/>
    <w:basedOn w:val="Normal"/>
    <w:next w:val="Normal"/>
    <w:link w:val="TitleChar"/>
    <w:rsid w:val="00A11BA2"/>
    <w:pPr>
      <w:spacing w:line="720" w:lineRule="atLeast"/>
      <w:ind w:right="283"/>
    </w:pPr>
    <w:rPr>
      <w:rFonts w:ascii="Arial Bold" w:eastAsiaTheme="majorEastAsia" w:hAnsi="Arial Bold" w:cstheme="majorBidi"/>
      <w:color w:val="auto"/>
      <w:sz w:val="52"/>
      <w:szCs w:val="52"/>
    </w:rPr>
  </w:style>
  <w:style w:type="character" w:customStyle="1" w:styleId="TitleChar">
    <w:name w:val="Title Char"/>
    <w:basedOn w:val="DefaultParagraphFont"/>
    <w:link w:val="Title"/>
    <w:rsid w:val="00A11BA2"/>
    <w:rPr>
      <w:rFonts w:ascii="Arial Bold" w:eastAsiaTheme="majorEastAsia" w:hAnsi="Arial Bold" w:cstheme="majorBidi"/>
      <w:color w:val="auto"/>
      <w:sz w:val="52"/>
      <w:szCs w:val="52"/>
    </w:rPr>
  </w:style>
  <w:style w:type="table" w:customStyle="1" w:styleId="TableAsPlaceholder">
    <w:name w:val="Table As Placeholder"/>
    <w:basedOn w:val="TableNormal"/>
    <w:uiPriority w:val="99"/>
    <w:rsid w:val="00DC3267"/>
    <w:pPr>
      <w:spacing w:line="240" w:lineRule="auto"/>
    </w:pPr>
    <w:tblPr>
      <w:tblCellMar>
        <w:top w:w="28" w:type="dxa"/>
        <w:left w:w="0" w:type="dxa"/>
        <w:bottom w:w="255" w:type="dxa"/>
        <w:right w:w="85" w:type="dxa"/>
      </w:tblCellMar>
    </w:tblPr>
  </w:style>
  <w:style w:type="paragraph" w:styleId="TOC1">
    <w:name w:val="toc 1"/>
    <w:basedOn w:val="Normal"/>
    <w:next w:val="Normal"/>
    <w:uiPriority w:val="39"/>
    <w:rsid w:val="001A02D7"/>
    <w:pPr>
      <w:tabs>
        <w:tab w:val="right" w:leader="dot" w:pos="9638"/>
      </w:tabs>
      <w:spacing w:before="100" w:after="60" w:line="240" w:lineRule="auto"/>
      <w:ind w:left="454" w:right="851" w:hanging="454"/>
    </w:pPr>
    <w:rPr>
      <w:rFonts w:eastAsia="Arial" w:cs="Times New Roman"/>
      <w:b/>
      <w:noProof/>
      <w:sz w:val="20"/>
    </w:rPr>
  </w:style>
  <w:style w:type="paragraph" w:styleId="TOCHeading">
    <w:name w:val="TOC Heading"/>
    <w:basedOn w:val="Normal"/>
    <w:rsid w:val="00800B5A"/>
    <w:pPr>
      <w:keepNext/>
      <w:pageBreakBefore/>
      <w:tabs>
        <w:tab w:val="left" w:pos="1134"/>
        <w:tab w:val="left" w:pos="2268"/>
        <w:tab w:val="left" w:pos="3402"/>
        <w:tab w:val="left" w:pos="4536"/>
        <w:tab w:val="left" w:pos="5103"/>
      </w:tabs>
      <w:spacing w:after="360" w:line="240" w:lineRule="auto"/>
    </w:pPr>
    <w:rPr>
      <w:rFonts w:asciiTheme="majorHAnsi" w:hAnsiTheme="majorHAnsi" w:cstheme="majorHAnsi"/>
      <w:sz w:val="44"/>
      <w:szCs w:val="26"/>
    </w:rPr>
  </w:style>
  <w:style w:type="paragraph" w:styleId="TOC2">
    <w:name w:val="toc 2"/>
    <w:basedOn w:val="Normal"/>
    <w:next w:val="Normal"/>
    <w:uiPriority w:val="39"/>
    <w:rsid w:val="001A02D7"/>
    <w:pPr>
      <w:tabs>
        <w:tab w:val="left" w:pos="1418"/>
        <w:tab w:val="right" w:leader="dot" w:pos="9638"/>
      </w:tabs>
      <w:spacing w:before="60" w:after="60" w:line="228" w:lineRule="auto"/>
      <w:ind w:left="1077" w:right="851" w:hanging="624"/>
    </w:pPr>
    <w:rPr>
      <w:rFonts w:eastAsia="Arial" w:cs="Times New Roman"/>
      <w:noProof/>
      <w:sz w:val="20"/>
    </w:rPr>
  </w:style>
  <w:style w:type="paragraph" w:styleId="TOC3">
    <w:name w:val="toc 3"/>
    <w:basedOn w:val="TOC2"/>
    <w:next w:val="Normal"/>
    <w:uiPriority w:val="39"/>
    <w:rsid w:val="00B47097"/>
    <w:pPr>
      <w:ind w:left="1984" w:hanging="907"/>
    </w:pPr>
  </w:style>
  <w:style w:type="paragraph" w:styleId="TOC4">
    <w:name w:val="toc 4"/>
    <w:basedOn w:val="Normal"/>
    <w:uiPriority w:val="39"/>
    <w:rsid w:val="008107C7"/>
    <w:pPr>
      <w:spacing w:before="100" w:after="60"/>
      <w:ind w:right="680"/>
    </w:pPr>
    <w:rPr>
      <w:b/>
    </w:rPr>
  </w:style>
  <w:style w:type="paragraph" w:styleId="TableofFigures">
    <w:name w:val="table of figures"/>
    <w:basedOn w:val="Normal"/>
    <w:next w:val="Normal"/>
    <w:uiPriority w:val="99"/>
    <w:rsid w:val="003B4DF4"/>
    <w:pPr>
      <w:tabs>
        <w:tab w:val="left" w:pos="1134"/>
        <w:tab w:val="right" w:leader="dot" w:pos="9639"/>
      </w:tabs>
      <w:spacing w:before="60" w:after="60" w:line="228" w:lineRule="auto"/>
      <w:ind w:left="1134" w:right="851" w:hanging="1134"/>
    </w:pPr>
    <w:rPr>
      <w:noProof/>
    </w:rPr>
  </w:style>
  <w:style w:type="character" w:customStyle="1" w:styleId="Heading7Char">
    <w:name w:val="Heading 7 Char"/>
    <w:basedOn w:val="DefaultParagraphFont"/>
    <w:link w:val="Heading7"/>
    <w:semiHidden/>
    <w:rsid w:val="00E61CAF"/>
    <w:rPr>
      <w:rFonts w:asciiTheme="majorHAnsi" w:eastAsiaTheme="majorEastAsia" w:hAnsiTheme="majorHAnsi" w:cstheme="majorBidi"/>
      <w:i/>
      <w:iCs/>
    </w:rPr>
  </w:style>
  <w:style w:type="character" w:customStyle="1" w:styleId="Heading9Char">
    <w:name w:val="Heading 9 Char"/>
    <w:basedOn w:val="DefaultParagraphFont"/>
    <w:link w:val="Heading9"/>
    <w:uiPriority w:val="2"/>
    <w:semiHidden/>
    <w:rsid w:val="00EE5532"/>
  </w:style>
  <w:style w:type="paragraph" w:styleId="TOC5">
    <w:name w:val="toc 5"/>
    <w:basedOn w:val="Normal"/>
    <w:next w:val="Normal"/>
    <w:autoRedefine/>
    <w:uiPriority w:val="39"/>
    <w:rsid w:val="00EE5532"/>
    <w:pPr>
      <w:tabs>
        <w:tab w:val="right" w:leader="dot" w:pos="9629"/>
      </w:tabs>
      <w:spacing w:before="180"/>
      <w:ind w:right="851"/>
    </w:pPr>
    <w:rPr>
      <w:noProof/>
      <w:color w:val="auto"/>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DE27B9"/>
    <w:pPr>
      <w:spacing w:after="100"/>
      <w:ind w:left="1400"/>
    </w:pPr>
  </w:style>
  <w:style w:type="paragraph" w:styleId="TOC9">
    <w:name w:val="toc 9"/>
    <w:basedOn w:val="Normal"/>
    <w:next w:val="Normal"/>
    <w:autoRedefine/>
    <w:uiPriority w:val="39"/>
    <w:rsid w:val="00DE27B9"/>
    <w:pPr>
      <w:spacing w:after="100"/>
      <w:ind w:left="1600"/>
    </w:pPr>
  </w:style>
  <w:style w:type="character" w:customStyle="1" w:styleId="Heading8Char">
    <w:name w:val="Heading 8 Char"/>
    <w:basedOn w:val="DefaultParagraphFont"/>
    <w:link w:val="Heading8"/>
    <w:uiPriority w:val="2"/>
    <w:semiHidden/>
    <w:rsid w:val="00EE5532"/>
  </w:style>
  <w:style w:type="paragraph" w:styleId="Quote">
    <w:name w:val="Quote"/>
    <w:basedOn w:val="Normal"/>
    <w:link w:val="QuoteChar"/>
    <w:qFormat/>
    <w:rsid w:val="007E5AD9"/>
    <w:pPr>
      <w:tabs>
        <w:tab w:val="left" w:pos="1134"/>
        <w:tab w:val="left" w:pos="1701"/>
        <w:tab w:val="left" w:pos="2268"/>
        <w:tab w:val="left" w:pos="2835"/>
        <w:tab w:val="left" w:pos="3402"/>
        <w:tab w:val="left" w:pos="3969"/>
        <w:tab w:val="left" w:pos="4536"/>
      </w:tabs>
      <w:spacing w:before="120" w:after="120"/>
      <w:ind w:left="567" w:right="567"/>
    </w:pPr>
    <w:rPr>
      <w:i/>
      <w:iCs/>
    </w:rPr>
  </w:style>
  <w:style w:type="character" w:customStyle="1" w:styleId="QuoteChar">
    <w:name w:val="Quote Char"/>
    <w:basedOn w:val="DefaultParagraphFont"/>
    <w:link w:val="Quote"/>
    <w:rsid w:val="007E5AD9"/>
    <w:rPr>
      <w:i/>
      <w:iCs/>
      <w:color w:val="000000" w:themeColor="text1"/>
      <w:spacing w:val="1"/>
    </w:rPr>
  </w:style>
  <w:style w:type="character" w:styleId="IntenseEmphasis">
    <w:name w:val="Intense Emphasis"/>
    <w:rsid w:val="00644027"/>
    <w:rPr>
      <w:b/>
      <w:bCs/>
      <w:i/>
      <w:iCs/>
      <w:color w:val="auto"/>
    </w:rPr>
  </w:style>
  <w:style w:type="character" w:customStyle="1" w:styleId="Heading6Char">
    <w:name w:val="Heading 6 Char"/>
    <w:basedOn w:val="DefaultParagraphFont"/>
    <w:link w:val="Heading6"/>
    <w:rsid w:val="009C6EFB"/>
    <w:rPr>
      <w:rFonts w:asciiTheme="majorHAnsi" w:eastAsiaTheme="majorEastAsia" w:hAnsiTheme="majorHAnsi" w:cstheme="majorBidi"/>
      <w:i/>
      <w:iCs/>
      <w:color w:val="auto"/>
    </w:rPr>
  </w:style>
  <w:style w:type="character" w:customStyle="1" w:styleId="Heading5Char">
    <w:name w:val="Heading 5 Char"/>
    <w:basedOn w:val="DefaultParagraphFont"/>
    <w:link w:val="Heading5"/>
    <w:rsid w:val="00BC1B8F"/>
    <w:rPr>
      <w:rFonts w:ascii="Arial Bold" w:eastAsiaTheme="majorEastAsia" w:hAnsi="Arial Bold" w:cstheme="majorBidi"/>
      <w:color w:val="auto"/>
      <w:sz w:val="20"/>
    </w:rPr>
  </w:style>
  <w:style w:type="paragraph" w:styleId="BlockText">
    <w:name w:val="Block Text"/>
    <w:basedOn w:val="Normal"/>
    <w:semiHidden/>
    <w:unhideWhenUsed/>
    <w:rsid w:val="0049165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styleId="IntenseQuote">
    <w:name w:val="Intense Quote"/>
    <w:basedOn w:val="Normal"/>
    <w:next w:val="Normal"/>
    <w:link w:val="IntenseQuoteChar"/>
    <w:rsid w:val="00D35C58"/>
    <w:pPr>
      <w:pBdr>
        <w:bottom w:val="single" w:sz="4" w:space="4" w:color="4472C4" w:themeColor="accent1"/>
      </w:pBdr>
      <w:spacing w:after="280"/>
      <w:ind w:left="936" w:right="936"/>
    </w:pPr>
    <w:rPr>
      <w:b/>
      <w:bCs/>
      <w:i/>
      <w:iCs/>
      <w:color w:val="44546A" w:themeColor="text2"/>
    </w:rPr>
  </w:style>
  <w:style w:type="character" w:customStyle="1" w:styleId="IntenseQuoteChar">
    <w:name w:val="Intense Quote Char"/>
    <w:basedOn w:val="DefaultParagraphFont"/>
    <w:link w:val="IntenseQuote"/>
    <w:rsid w:val="00D35C58"/>
    <w:rPr>
      <w:b/>
      <w:bCs/>
      <w:i/>
      <w:iCs/>
      <w:color w:val="44546A" w:themeColor="text2"/>
      <w:sz w:val="22"/>
    </w:rPr>
  </w:style>
  <w:style w:type="paragraph" w:customStyle="1" w:styleId="PullOutBoxBodyText">
    <w:name w:val="Pull Out Box Body Text"/>
    <w:basedOn w:val="Normal"/>
    <w:qFormat/>
    <w:rsid w:val="00455290"/>
    <w:pPr>
      <w:pBdr>
        <w:top w:val="single" w:sz="4" w:space="10" w:color="auto"/>
        <w:left w:val="single" w:sz="4" w:space="12" w:color="auto"/>
        <w:bottom w:val="single" w:sz="4" w:space="10" w:color="auto"/>
        <w:right w:val="single" w:sz="4" w:space="12" w:color="auto"/>
      </w:pBdr>
      <w:spacing w:before="120" w:after="120"/>
      <w:ind w:left="284" w:right="284"/>
    </w:pPr>
  </w:style>
  <w:style w:type="paragraph" w:customStyle="1" w:styleId="PullOutBoxHeading">
    <w:name w:val="Pull Out Box Heading"/>
    <w:basedOn w:val="PullOutBoxBodyText"/>
    <w:qFormat/>
    <w:rsid w:val="009C6EFB"/>
    <w:rPr>
      <w:rFonts w:ascii="Arial Bold" w:hAnsi="Arial Bold"/>
    </w:rPr>
  </w:style>
  <w:style w:type="paragraph" w:customStyle="1" w:styleId="PullOutBoxBullet">
    <w:name w:val="Pull Out Box Bullet"/>
    <w:basedOn w:val="PullOutBoxBodyText"/>
    <w:qFormat/>
    <w:rsid w:val="009C6EFB"/>
    <w:pPr>
      <w:numPr>
        <w:numId w:val="9"/>
      </w:numPr>
    </w:pPr>
  </w:style>
  <w:style w:type="paragraph" w:customStyle="1" w:styleId="Source">
    <w:name w:val="Source"/>
    <w:basedOn w:val="Normal"/>
    <w:next w:val="BodyText"/>
    <w:rsid w:val="00A15DCB"/>
    <w:pPr>
      <w:spacing w:before="120" w:after="300" w:line="210" w:lineRule="atLeast"/>
    </w:pPr>
    <w:rPr>
      <w:sz w:val="18"/>
    </w:rPr>
  </w:style>
  <w:style w:type="paragraph" w:styleId="NoSpacing">
    <w:name w:val="No Spacing"/>
    <w:basedOn w:val="Normal"/>
    <w:qFormat/>
    <w:rsid w:val="0032480B"/>
    <w:pPr>
      <w:spacing w:before="0" w:after="0"/>
    </w:pPr>
  </w:style>
  <w:style w:type="paragraph" w:styleId="Date">
    <w:name w:val="Date"/>
    <w:basedOn w:val="Normal"/>
    <w:next w:val="Normal"/>
    <w:link w:val="DateChar"/>
    <w:semiHidden/>
    <w:rsid w:val="009F022D"/>
    <w:pPr>
      <w:spacing w:after="480"/>
    </w:pPr>
  </w:style>
  <w:style w:type="character" w:customStyle="1" w:styleId="DateChar">
    <w:name w:val="Date Char"/>
    <w:basedOn w:val="DefaultParagraphFont"/>
    <w:link w:val="Date"/>
    <w:semiHidden/>
    <w:rsid w:val="009F022D"/>
  </w:style>
  <w:style w:type="paragraph" w:customStyle="1" w:styleId="PullOutBoxNumbered">
    <w:name w:val="Pull Out Box Numbered"/>
    <w:basedOn w:val="PullOutBoxBodyText"/>
    <w:qFormat/>
    <w:rsid w:val="009C6EFB"/>
    <w:pPr>
      <w:numPr>
        <w:numId w:val="3"/>
      </w:numPr>
    </w:pPr>
  </w:style>
  <w:style w:type="paragraph" w:styleId="NormalWeb">
    <w:name w:val="Normal (Web)"/>
    <w:basedOn w:val="Normal"/>
    <w:uiPriority w:val="99"/>
    <w:unhideWhenUsed/>
    <w:rsid w:val="00E3556F"/>
  </w:style>
  <w:style w:type="paragraph" w:styleId="ListBullet4">
    <w:name w:val="List Bullet 4"/>
    <w:basedOn w:val="Normal"/>
    <w:rsid w:val="00255F65"/>
    <w:pPr>
      <w:numPr>
        <w:ilvl w:val="3"/>
        <w:numId w:val="4"/>
      </w:numPr>
      <w:spacing w:before="110" w:after="120"/>
    </w:pPr>
  </w:style>
  <w:style w:type="paragraph" w:customStyle="1" w:styleId="NotesText">
    <w:name w:val="Notes Text"/>
    <w:basedOn w:val="Normal"/>
    <w:qFormat/>
    <w:rsid w:val="005C74B3"/>
    <w:pPr>
      <w:keepNext/>
      <w:spacing w:before="60" w:after="60" w:line="210" w:lineRule="atLeast"/>
      <w:contextualSpacing/>
    </w:pPr>
    <w:rPr>
      <w:rFonts w:eastAsia="Arial" w:cs="Times New Roman"/>
      <w:sz w:val="18"/>
    </w:rPr>
  </w:style>
  <w:style w:type="paragraph" w:styleId="ListBullet5">
    <w:name w:val="List Bullet 5"/>
    <w:basedOn w:val="Normal"/>
    <w:rsid w:val="00255F65"/>
    <w:pPr>
      <w:numPr>
        <w:ilvl w:val="4"/>
        <w:numId w:val="4"/>
      </w:numPr>
      <w:spacing w:before="110" w:after="120"/>
    </w:pPr>
  </w:style>
  <w:style w:type="character" w:customStyle="1" w:styleId="Heading1Char">
    <w:name w:val="Heading 1 Char"/>
    <w:basedOn w:val="DefaultParagraphFont"/>
    <w:link w:val="Heading1"/>
    <w:rsid w:val="005A746E"/>
    <w:rPr>
      <w:rFonts w:ascii="Arial Bold" w:eastAsiaTheme="majorEastAsia" w:hAnsi="Arial Bold" w:cstheme="majorBidi"/>
      <w:bCs/>
      <w:color w:val="auto"/>
      <w:sz w:val="40"/>
      <w:szCs w:val="28"/>
    </w:rPr>
  </w:style>
  <w:style w:type="character" w:customStyle="1" w:styleId="Heading2Char">
    <w:name w:val="Heading 2 Char"/>
    <w:basedOn w:val="DefaultParagraphFont"/>
    <w:link w:val="Heading2"/>
    <w:rsid w:val="00417B1B"/>
    <w:rPr>
      <w:rFonts w:ascii="Arial Bold" w:eastAsiaTheme="majorEastAsia" w:hAnsi="Arial Bold" w:cstheme="majorBidi"/>
      <w:bCs/>
      <w:color w:val="auto"/>
      <w:sz w:val="26"/>
      <w:szCs w:val="26"/>
    </w:rPr>
  </w:style>
  <w:style w:type="character" w:customStyle="1" w:styleId="Heading3Char">
    <w:name w:val="Heading 3 Char"/>
    <w:basedOn w:val="DefaultParagraphFont"/>
    <w:link w:val="Heading3"/>
    <w:rsid w:val="009C456B"/>
    <w:rPr>
      <w:rFonts w:ascii="Arial Bold" w:eastAsiaTheme="majorEastAsia" w:hAnsi="Arial Bold" w:cstheme="majorBidi"/>
      <w:bCs/>
      <w:color w:val="auto"/>
      <w:sz w:val="24"/>
    </w:rPr>
  </w:style>
  <w:style w:type="paragraph" w:styleId="ListNumber4">
    <w:name w:val="List Number 4"/>
    <w:basedOn w:val="Normal"/>
    <w:unhideWhenUsed/>
    <w:rsid w:val="00720DE9"/>
    <w:pPr>
      <w:numPr>
        <w:ilvl w:val="3"/>
        <w:numId w:val="6"/>
      </w:numPr>
      <w:spacing w:before="100" w:after="100"/>
    </w:pPr>
    <w:rPr>
      <w:rFonts w:eastAsia="Arial" w:cs="Times New Roman"/>
    </w:rPr>
  </w:style>
  <w:style w:type="paragraph" w:styleId="ListNumber5">
    <w:name w:val="List Number 5"/>
    <w:basedOn w:val="Normal"/>
    <w:unhideWhenUsed/>
    <w:rsid w:val="00720DE9"/>
    <w:pPr>
      <w:numPr>
        <w:ilvl w:val="4"/>
        <w:numId w:val="6"/>
      </w:numPr>
      <w:spacing w:before="100" w:after="100"/>
    </w:pPr>
    <w:rPr>
      <w:rFonts w:eastAsia="Arial" w:cs="Times New Roman"/>
    </w:rPr>
  </w:style>
  <w:style w:type="paragraph" w:styleId="ListContinue3">
    <w:name w:val="List Continue 3"/>
    <w:basedOn w:val="Normal"/>
    <w:rsid w:val="005257D2"/>
    <w:pPr>
      <w:spacing w:before="100" w:after="100"/>
      <w:ind w:left="1361"/>
    </w:pPr>
  </w:style>
  <w:style w:type="paragraph" w:styleId="ListContinue4">
    <w:name w:val="List Continue 4"/>
    <w:basedOn w:val="Normal"/>
    <w:rsid w:val="005257D2"/>
    <w:pPr>
      <w:spacing w:before="100" w:after="100"/>
      <w:ind w:left="1814"/>
    </w:pPr>
  </w:style>
  <w:style w:type="paragraph" w:styleId="ListContinue5">
    <w:name w:val="List Continue 5"/>
    <w:basedOn w:val="Normal"/>
    <w:rsid w:val="005257D2"/>
    <w:pPr>
      <w:spacing w:before="100" w:after="100"/>
      <w:ind w:left="2268"/>
    </w:pPr>
  </w:style>
  <w:style w:type="table" w:styleId="ColourfulGrid">
    <w:name w:val="Colorful Grid"/>
    <w:basedOn w:val="TableNormal"/>
    <w:uiPriority w:val="73"/>
    <w:semiHidden/>
    <w:rsid w:val="0095131B"/>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rsid w:val="0095131B"/>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2">
    <w:name w:val="Colorful Grid Accent 2"/>
    <w:basedOn w:val="TableNormal"/>
    <w:uiPriority w:val="73"/>
    <w:semiHidden/>
    <w:rsid w:val="0095131B"/>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semiHidden/>
    <w:rsid w:val="0095131B"/>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semiHidden/>
    <w:rsid w:val="0095131B"/>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semiHidden/>
    <w:rsid w:val="0095131B"/>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urfulGridAccent6">
    <w:name w:val="Colorful Grid Accent 6"/>
    <w:basedOn w:val="TableNormal"/>
    <w:uiPriority w:val="73"/>
    <w:semiHidden/>
    <w:rsid w:val="0095131B"/>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semiHidden/>
    <w:rsid w:val="0095131B"/>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rsid w:val="0095131B"/>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urfulListAccent2">
    <w:name w:val="Colorful List Accent 2"/>
    <w:basedOn w:val="TableNormal"/>
    <w:uiPriority w:val="72"/>
    <w:semiHidden/>
    <w:rsid w:val="0095131B"/>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semiHidden/>
    <w:rsid w:val="0095131B"/>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semiHidden/>
    <w:rsid w:val="0095131B"/>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semiHidden/>
    <w:rsid w:val="0095131B"/>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urfulListAccent6">
    <w:name w:val="Colorful List Accent 6"/>
    <w:basedOn w:val="TableNormal"/>
    <w:uiPriority w:val="72"/>
    <w:semiHidden/>
    <w:rsid w:val="0095131B"/>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semiHidden/>
    <w:rsid w:val="0095131B"/>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95131B"/>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rsid w:val="0095131B"/>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95131B"/>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semiHidden/>
    <w:rsid w:val="0095131B"/>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95131B"/>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rsid w:val="0095131B"/>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5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5131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95131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95131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95131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95131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95131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95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131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131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5131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5131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131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5131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5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131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5131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5131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5131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5131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5131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urful">
    <w:name w:val="Grid Table 6 Colorful"/>
    <w:basedOn w:val="TableNormal"/>
    <w:uiPriority w:val="51"/>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95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2">
    <w:name w:val="Grid Table 6 Colorful Accent 2"/>
    <w:basedOn w:val="TableNormal"/>
    <w:uiPriority w:val="51"/>
    <w:rsid w:val="0095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3">
    <w:name w:val="Grid Table 6 Colorful Accent 3"/>
    <w:basedOn w:val="TableNormal"/>
    <w:uiPriority w:val="51"/>
    <w:rsid w:val="0095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4">
    <w:name w:val="Grid Table 6 Colorful Accent 4"/>
    <w:basedOn w:val="TableNormal"/>
    <w:uiPriority w:val="51"/>
    <w:rsid w:val="0095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5">
    <w:name w:val="Grid Table 6 Colorful Accent 5"/>
    <w:basedOn w:val="TableNormal"/>
    <w:uiPriority w:val="51"/>
    <w:rsid w:val="0095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urfulAccent6">
    <w:name w:val="Grid Table 6 Colorful Accent 6"/>
    <w:basedOn w:val="TableNormal"/>
    <w:uiPriority w:val="51"/>
    <w:rsid w:val="0095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urful">
    <w:name w:val="Grid Table 7 Colorful"/>
    <w:basedOn w:val="TableNormal"/>
    <w:uiPriority w:val="52"/>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95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urfulAccent2">
    <w:name w:val="Grid Table 7 Colorful Accent 2"/>
    <w:basedOn w:val="TableNormal"/>
    <w:uiPriority w:val="52"/>
    <w:rsid w:val="0095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3">
    <w:name w:val="Grid Table 7 Colorful Accent 3"/>
    <w:basedOn w:val="TableNormal"/>
    <w:uiPriority w:val="52"/>
    <w:rsid w:val="0095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urfulAccent4">
    <w:name w:val="Grid Table 7 Colorful Accent 4"/>
    <w:basedOn w:val="TableNormal"/>
    <w:uiPriority w:val="52"/>
    <w:rsid w:val="0095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urfulAccent5">
    <w:name w:val="Grid Table 7 Colorful Accent 5"/>
    <w:basedOn w:val="TableNormal"/>
    <w:uiPriority w:val="52"/>
    <w:rsid w:val="0095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urfulAccent6">
    <w:name w:val="Grid Table 7 Colorful Accent 6"/>
    <w:basedOn w:val="TableNormal"/>
    <w:uiPriority w:val="52"/>
    <w:rsid w:val="0095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5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95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95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95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95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95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5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95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95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95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95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95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95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5131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95131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95131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95131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95131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95131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95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5131B"/>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95131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5131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5131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5131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95131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5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5131B"/>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5131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5131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5131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5131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95131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5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5131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95131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5131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5131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5131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95131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5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5131B"/>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5131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5131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5131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5131B"/>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5131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9513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95131B"/>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urfulAccent2">
    <w:name w:val="List Table 6 Colorful Accent 2"/>
    <w:basedOn w:val="TableNormal"/>
    <w:uiPriority w:val="51"/>
    <w:rsid w:val="0095131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urfulAccent3">
    <w:name w:val="List Table 6 Colorful Accent 3"/>
    <w:basedOn w:val="TableNormal"/>
    <w:uiPriority w:val="51"/>
    <w:rsid w:val="0095131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Accent4">
    <w:name w:val="List Table 6 Colorful Accent 4"/>
    <w:basedOn w:val="TableNormal"/>
    <w:uiPriority w:val="51"/>
    <w:rsid w:val="0095131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urfulAccent5">
    <w:name w:val="List Table 6 Colorful Accent 5"/>
    <w:basedOn w:val="TableNormal"/>
    <w:uiPriority w:val="51"/>
    <w:rsid w:val="0095131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urfulAccent6">
    <w:name w:val="List Table 6 Colorful Accent 6"/>
    <w:basedOn w:val="TableNormal"/>
    <w:uiPriority w:val="51"/>
    <w:rsid w:val="0095131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urful">
    <w:name w:val="List Table 7 Colorful"/>
    <w:basedOn w:val="TableNormal"/>
    <w:uiPriority w:val="52"/>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95131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95131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95131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95131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95131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95131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5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95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95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95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95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95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95131B"/>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5131B"/>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95131B"/>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95131B"/>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95131B"/>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95131B"/>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95131B"/>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5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5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5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5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5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5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95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5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5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5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Alpha1">
    <w:name w:val="List Alpha 1"/>
    <w:basedOn w:val="BodyText"/>
    <w:qFormat/>
    <w:rsid w:val="001F0C8C"/>
    <w:pPr>
      <w:numPr>
        <w:numId w:val="7"/>
      </w:numPr>
      <w:spacing w:before="100"/>
    </w:pPr>
  </w:style>
  <w:style w:type="paragraph" w:customStyle="1" w:styleId="ListAlpha2">
    <w:name w:val="List Alpha 2"/>
    <w:basedOn w:val="BodyText"/>
    <w:qFormat/>
    <w:rsid w:val="001F0C8C"/>
    <w:pPr>
      <w:numPr>
        <w:ilvl w:val="1"/>
        <w:numId w:val="7"/>
      </w:numPr>
      <w:spacing w:before="100"/>
    </w:pPr>
  </w:style>
  <w:style w:type="paragraph" w:customStyle="1" w:styleId="ListAlpha3">
    <w:name w:val="List Alpha 3"/>
    <w:basedOn w:val="BodyText"/>
    <w:qFormat/>
    <w:rsid w:val="001F0C8C"/>
    <w:pPr>
      <w:numPr>
        <w:ilvl w:val="2"/>
        <w:numId w:val="7"/>
      </w:numPr>
      <w:spacing w:before="100"/>
    </w:pPr>
  </w:style>
  <w:style w:type="paragraph" w:customStyle="1" w:styleId="ListAlpha4">
    <w:name w:val="List Alpha 4"/>
    <w:basedOn w:val="BodyText"/>
    <w:qFormat/>
    <w:rsid w:val="00451413"/>
    <w:pPr>
      <w:numPr>
        <w:ilvl w:val="3"/>
        <w:numId w:val="7"/>
      </w:numPr>
    </w:pPr>
  </w:style>
  <w:style w:type="paragraph" w:styleId="EndnoteText">
    <w:name w:val="endnote text"/>
    <w:basedOn w:val="Normal"/>
    <w:link w:val="EndnoteTextChar"/>
    <w:semiHidden/>
    <w:unhideWhenUsed/>
    <w:rsid w:val="00C71635"/>
    <w:pPr>
      <w:spacing w:line="240" w:lineRule="auto"/>
    </w:pPr>
  </w:style>
  <w:style w:type="character" w:customStyle="1" w:styleId="EndnoteTextChar">
    <w:name w:val="Endnote Text Char"/>
    <w:basedOn w:val="DefaultParagraphFont"/>
    <w:link w:val="EndnoteText"/>
    <w:semiHidden/>
    <w:rsid w:val="00C71635"/>
    <w:rPr>
      <w:sz w:val="20"/>
      <w:szCs w:val="20"/>
    </w:rPr>
  </w:style>
  <w:style w:type="character" w:styleId="EndnoteReference">
    <w:name w:val="endnote reference"/>
    <w:basedOn w:val="DefaultParagraphFont"/>
    <w:semiHidden/>
    <w:unhideWhenUsed/>
    <w:rsid w:val="00C71635"/>
    <w:rPr>
      <w:vertAlign w:val="superscript"/>
    </w:rPr>
  </w:style>
  <w:style w:type="paragraph" w:customStyle="1" w:styleId="BodyTextfollowingListTable">
    <w:name w:val="Body Text following List/Table"/>
    <w:basedOn w:val="BodyText"/>
    <w:next w:val="BodyText"/>
    <w:qFormat/>
    <w:rsid w:val="00EB6757"/>
    <w:pPr>
      <w:spacing w:before="240"/>
    </w:pPr>
  </w:style>
  <w:style w:type="character" w:customStyle="1" w:styleId="HeaderChar">
    <w:name w:val="Header Char"/>
    <w:basedOn w:val="DefaultParagraphFont"/>
    <w:link w:val="Header"/>
    <w:uiPriority w:val="99"/>
    <w:rsid w:val="00B21199"/>
  </w:style>
  <w:style w:type="table" w:customStyle="1" w:styleId="AccessibleTableNormal">
    <w:name w:val="Accessible Table Normal"/>
    <w:basedOn w:val="TableNormal"/>
    <w:uiPriority w:val="99"/>
    <w:rsid w:val="002F6100"/>
    <w:pPr>
      <w:spacing w:before="70" w:after="70"/>
    </w:pPr>
    <w:tblPr>
      <w:tblCellMar>
        <w:top w:w="11" w:type="dxa"/>
        <w:left w:w="113" w:type="dxa"/>
        <w:bottom w:w="11" w:type="dxa"/>
        <w:right w:w="113" w:type="dxa"/>
      </w:tblCellMar>
    </w:tblPr>
    <w:tblStylePr w:type="firstRow">
      <w:rPr>
        <w:sz w:val="22"/>
      </w:rPr>
    </w:tblStylePr>
  </w:style>
  <w:style w:type="character" w:customStyle="1" w:styleId="UnresolvedMention1">
    <w:name w:val="Unresolved Mention1"/>
    <w:basedOn w:val="DefaultParagraphFont"/>
    <w:uiPriority w:val="99"/>
    <w:semiHidden/>
    <w:unhideWhenUsed/>
    <w:rsid w:val="003907CF"/>
    <w:rPr>
      <w:color w:val="605E5C"/>
      <w:shd w:val="clear" w:color="auto" w:fill="E1DFDD"/>
    </w:rPr>
  </w:style>
  <w:style w:type="paragraph" w:customStyle="1" w:styleId="TableListNumber">
    <w:name w:val="Table List Number"/>
    <w:basedOn w:val="Normal"/>
    <w:qFormat/>
    <w:rsid w:val="00ED2096"/>
    <w:pPr>
      <w:numPr>
        <w:numId w:val="10"/>
      </w:numPr>
      <w:spacing w:before="40" w:after="0" w:line="288" w:lineRule="auto"/>
      <w:ind w:right="113"/>
    </w:pPr>
    <w:rPr>
      <w:rFonts w:ascii="Arial" w:hAnsi="Arial" w:cs="Times New Roman"/>
      <w:color w:val="000000"/>
      <w:sz w:val="18"/>
      <w:szCs w:val="20"/>
    </w:rPr>
  </w:style>
  <w:style w:type="paragraph" w:customStyle="1" w:styleId="TableListNumber2">
    <w:name w:val="Table List Number 2"/>
    <w:basedOn w:val="TableListNumber"/>
    <w:qFormat/>
    <w:rsid w:val="00ED2096"/>
    <w:pPr>
      <w:numPr>
        <w:ilvl w:val="1"/>
      </w:numPr>
    </w:pPr>
  </w:style>
  <w:style w:type="paragraph" w:customStyle="1" w:styleId="TableListNumber3">
    <w:name w:val="Table List Number 3"/>
    <w:basedOn w:val="TableListNumber2"/>
    <w:qFormat/>
    <w:rsid w:val="00ED2096"/>
    <w:pPr>
      <w:numPr>
        <w:ilvl w:val="2"/>
      </w:numPr>
    </w:pPr>
  </w:style>
  <w:style w:type="character" w:customStyle="1" w:styleId="BalloonTextChar">
    <w:name w:val="Balloon Text Char"/>
    <w:basedOn w:val="DefaultParagraphFont"/>
    <w:link w:val="BalloonText"/>
    <w:semiHidden/>
    <w:rsid w:val="004B6BAC"/>
    <w:rPr>
      <w:rFonts w:ascii="Tahoma" w:hAnsi="Tahoma" w:cs="Tahoma"/>
      <w:sz w:val="16"/>
      <w:szCs w:val="16"/>
    </w:rPr>
  </w:style>
  <w:style w:type="paragraph" w:styleId="CommentText">
    <w:name w:val="annotation text"/>
    <w:basedOn w:val="Normal"/>
    <w:link w:val="CommentTextChar"/>
    <w:uiPriority w:val="39"/>
    <w:semiHidden/>
    <w:unhideWhenUsed/>
    <w:rsid w:val="004B6BAC"/>
    <w:pPr>
      <w:spacing w:line="240" w:lineRule="auto"/>
    </w:pPr>
    <w:rPr>
      <w:sz w:val="20"/>
      <w:szCs w:val="20"/>
    </w:rPr>
  </w:style>
  <w:style w:type="character" w:customStyle="1" w:styleId="CommentTextChar">
    <w:name w:val="Comment Text Char"/>
    <w:basedOn w:val="DefaultParagraphFont"/>
    <w:link w:val="CommentText"/>
    <w:uiPriority w:val="39"/>
    <w:semiHidden/>
    <w:rsid w:val="004B6BAC"/>
    <w:rPr>
      <w:sz w:val="20"/>
      <w:szCs w:val="20"/>
    </w:rPr>
  </w:style>
  <w:style w:type="paragraph" w:styleId="CommentSubject">
    <w:name w:val="annotation subject"/>
    <w:basedOn w:val="CommentText"/>
    <w:next w:val="CommentText"/>
    <w:link w:val="CommentSubjectChar"/>
    <w:uiPriority w:val="39"/>
    <w:semiHidden/>
    <w:unhideWhenUsed/>
    <w:rsid w:val="004B6BAC"/>
    <w:rPr>
      <w:b/>
      <w:bCs/>
    </w:rPr>
  </w:style>
  <w:style w:type="character" w:customStyle="1" w:styleId="CommentSubjectChar">
    <w:name w:val="Comment Subject Char"/>
    <w:basedOn w:val="CommentTextChar"/>
    <w:link w:val="CommentSubject"/>
    <w:uiPriority w:val="39"/>
    <w:semiHidden/>
    <w:rsid w:val="004B6BAC"/>
    <w:rPr>
      <w:b/>
      <w:bCs/>
      <w:sz w:val="20"/>
      <w:szCs w:val="20"/>
    </w:rPr>
  </w:style>
  <w:style w:type="character" w:styleId="CommentReference">
    <w:name w:val="annotation reference"/>
    <w:basedOn w:val="DefaultParagraphFont"/>
    <w:uiPriority w:val="39"/>
    <w:semiHidden/>
    <w:unhideWhenUsed/>
    <w:rsid w:val="004B6BAC"/>
    <w:rPr>
      <w:sz w:val="16"/>
      <w:szCs w:val="16"/>
    </w:rPr>
  </w:style>
  <w:style w:type="paragraph" w:styleId="DocumentMap">
    <w:name w:val="Document Map"/>
    <w:basedOn w:val="Normal"/>
    <w:link w:val="DocumentMapChar"/>
    <w:uiPriority w:val="39"/>
    <w:semiHidden/>
    <w:unhideWhenUsed/>
    <w:rsid w:val="004B6BA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4B6BAC"/>
    <w:rPr>
      <w:rFonts w:ascii="Segoe UI" w:hAnsi="Segoe UI" w:cs="Segoe UI"/>
      <w:sz w:val="16"/>
      <w:szCs w:val="16"/>
    </w:rPr>
  </w:style>
  <w:style w:type="paragraph" w:styleId="PlainText">
    <w:name w:val="Plain Text"/>
    <w:basedOn w:val="Normal"/>
    <w:link w:val="PlainTextChar"/>
    <w:uiPriority w:val="39"/>
    <w:semiHidden/>
    <w:unhideWhenUsed/>
    <w:rsid w:val="004B6B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39"/>
    <w:semiHidden/>
    <w:rsid w:val="004B6BAC"/>
    <w:rPr>
      <w:rFonts w:ascii="Consolas" w:hAnsi="Consolas"/>
      <w:sz w:val="21"/>
      <w:szCs w:val="21"/>
    </w:rPr>
  </w:style>
  <w:style w:type="paragraph" w:customStyle="1" w:styleId="ListBulletContinue">
    <w:name w:val="List Bullet Continue"/>
    <w:basedOn w:val="ListContinue"/>
    <w:qFormat/>
    <w:rsid w:val="009F62B5"/>
    <w:pPr>
      <w:ind w:left="227"/>
    </w:pPr>
  </w:style>
  <w:style w:type="character" w:customStyle="1" w:styleId="Bold">
    <w:name w:val="Bold"/>
    <w:qFormat/>
    <w:rsid w:val="00D23179"/>
    <w:rPr>
      <w:rFonts w:ascii="Arial Bold" w:hAnsi="Arial Bold"/>
    </w:rPr>
  </w:style>
  <w:style w:type="paragraph" w:customStyle="1" w:styleId="TableHeader">
    <w:name w:val="Table Header"/>
    <w:basedOn w:val="Normal"/>
    <w:uiPriority w:val="99"/>
    <w:qFormat/>
    <w:rsid w:val="00417B1B"/>
    <w:pPr>
      <w:tabs>
        <w:tab w:val="left" w:pos="540"/>
        <w:tab w:val="left" w:pos="772"/>
      </w:tabs>
      <w:suppressAutoHyphens/>
      <w:autoSpaceDE w:val="0"/>
      <w:autoSpaceDN w:val="0"/>
      <w:adjustRightInd w:val="0"/>
      <w:spacing w:before="0" w:after="170" w:line="240" w:lineRule="atLeast"/>
      <w:textAlignment w:val="center"/>
    </w:pPr>
    <w:rPr>
      <w:rFonts w:ascii="DIN (T1) Medium" w:hAnsi="DIN (T1) Medium" w:cs="DIN (T1) Medium"/>
      <w:color w:val="FFFFFF"/>
      <w:sz w:val="18"/>
      <w:szCs w:val="18"/>
      <w:lang w:val="en-US"/>
    </w:rPr>
  </w:style>
  <w:style w:type="numbering" w:customStyle="1" w:styleId="ListNumbers">
    <w:name w:val="ListNumbers"/>
    <w:uiPriority w:val="99"/>
    <w:rsid w:val="009D43BD"/>
    <w:pPr>
      <w:numPr>
        <w:numId w:val="17"/>
      </w:numPr>
    </w:pPr>
  </w:style>
  <w:style w:type="character" w:customStyle="1" w:styleId="Italics">
    <w:name w:val="Italics"/>
    <w:qFormat/>
    <w:locked/>
    <w:rsid w:val="009D43BD"/>
    <w:rPr>
      <w:b w:val="0"/>
      <w:i/>
      <w:vertAlign w:val="baseline"/>
    </w:rPr>
  </w:style>
  <w:style w:type="paragraph" w:customStyle="1" w:styleId="TableParagraph">
    <w:name w:val="Table Paragraph"/>
    <w:basedOn w:val="Normal"/>
    <w:uiPriority w:val="1"/>
    <w:qFormat/>
    <w:rsid w:val="00417B1B"/>
    <w:pPr>
      <w:spacing w:before="0"/>
    </w:pPr>
  </w:style>
  <w:style w:type="character" w:customStyle="1" w:styleId="UnresolvedMention10">
    <w:name w:val="Unresolved Mention1"/>
    <w:basedOn w:val="DefaultParagraphFont"/>
    <w:uiPriority w:val="99"/>
    <w:semiHidden/>
    <w:unhideWhenUsed/>
    <w:rsid w:val="00417B1B"/>
    <w:rPr>
      <w:color w:val="605E5C"/>
      <w:shd w:val="clear" w:color="auto" w:fill="E1DFDD"/>
    </w:rPr>
  </w:style>
  <w:style w:type="paragraph" w:customStyle="1" w:styleId="NoParagraphStyle">
    <w:name w:val="[No Paragraph Style]"/>
    <w:rsid w:val="00AC0BBF"/>
    <w:pPr>
      <w:autoSpaceDE w:val="0"/>
      <w:autoSpaceDN w:val="0"/>
      <w:adjustRightInd w:val="0"/>
      <w:spacing w:before="0" w:after="0" w:line="288" w:lineRule="auto"/>
      <w:textAlignment w:val="center"/>
    </w:pPr>
    <w:rPr>
      <w:rFonts w:ascii="DIN (T1) Medium" w:hAnsi="DIN (T1) Medium"/>
      <w:color w:val="000000"/>
      <w:sz w:val="24"/>
      <w:szCs w:val="24"/>
      <w:lang w:val="en-US"/>
    </w:rPr>
  </w:style>
  <w:style w:type="character" w:styleId="UnresolvedMention">
    <w:name w:val="Unresolved Mention"/>
    <w:basedOn w:val="DefaultParagraphFont"/>
    <w:uiPriority w:val="99"/>
    <w:semiHidden/>
    <w:unhideWhenUsed/>
    <w:rsid w:val="004E222A"/>
    <w:rPr>
      <w:color w:val="605E5C"/>
      <w:shd w:val="clear" w:color="auto" w:fill="E1DFDD"/>
    </w:rPr>
  </w:style>
  <w:style w:type="character" w:styleId="FollowedHyperlink">
    <w:name w:val="FollowedHyperlink"/>
    <w:basedOn w:val="DefaultParagraphFont"/>
    <w:semiHidden/>
    <w:unhideWhenUsed/>
    <w:rsid w:val="005B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5227">
      <w:bodyDiv w:val="1"/>
      <w:marLeft w:val="0"/>
      <w:marRight w:val="0"/>
      <w:marTop w:val="0"/>
      <w:marBottom w:val="0"/>
      <w:divBdr>
        <w:top w:val="none" w:sz="0" w:space="0" w:color="auto"/>
        <w:left w:val="none" w:sz="0" w:space="0" w:color="auto"/>
        <w:bottom w:val="none" w:sz="0" w:space="0" w:color="auto"/>
        <w:right w:val="none" w:sz="0" w:space="0" w:color="auto"/>
      </w:divBdr>
    </w:div>
    <w:div w:id="85153829">
      <w:bodyDiv w:val="1"/>
      <w:marLeft w:val="0"/>
      <w:marRight w:val="0"/>
      <w:marTop w:val="0"/>
      <w:marBottom w:val="0"/>
      <w:divBdr>
        <w:top w:val="none" w:sz="0" w:space="0" w:color="auto"/>
        <w:left w:val="none" w:sz="0" w:space="0" w:color="auto"/>
        <w:bottom w:val="none" w:sz="0" w:space="0" w:color="auto"/>
        <w:right w:val="none" w:sz="0" w:space="0" w:color="auto"/>
      </w:divBdr>
    </w:div>
    <w:div w:id="1401951282">
      <w:bodyDiv w:val="1"/>
      <w:marLeft w:val="0"/>
      <w:marRight w:val="0"/>
      <w:marTop w:val="0"/>
      <w:marBottom w:val="0"/>
      <w:divBdr>
        <w:top w:val="none" w:sz="0" w:space="0" w:color="auto"/>
        <w:left w:val="none" w:sz="0" w:space="0" w:color="auto"/>
        <w:bottom w:val="none" w:sz="0" w:space="0" w:color="auto"/>
        <w:right w:val="none" w:sz="0" w:space="0" w:color="auto"/>
      </w:divBdr>
    </w:div>
    <w:div w:id="1520969427">
      <w:bodyDiv w:val="1"/>
      <w:marLeft w:val="0"/>
      <w:marRight w:val="0"/>
      <w:marTop w:val="0"/>
      <w:marBottom w:val="0"/>
      <w:divBdr>
        <w:top w:val="none" w:sz="0" w:space="0" w:color="auto"/>
        <w:left w:val="none" w:sz="0" w:space="0" w:color="auto"/>
        <w:bottom w:val="none" w:sz="0" w:space="0" w:color="auto"/>
        <w:right w:val="none" w:sz="0" w:space="0" w:color="auto"/>
      </w:divBdr>
    </w:div>
    <w:div w:id="1720518016">
      <w:bodyDiv w:val="1"/>
      <w:marLeft w:val="0"/>
      <w:marRight w:val="0"/>
      <w:marTop w:val="0"/>
      <w:marBottom w:val="0"/>
      <w:divBdr>
        <w:top w:val="none" w:sz="0" w:space="0" w:color="auto"/>
        <w:left w:val="none" w:sz="0" w:space="0" w:color="auto"/>
        <w:bottom w:val="none" w:sz="0" w:space="0" w:color="auto"/>
        <w:right w:val="none" w:sz="0" w:space="0" w:color="auto"/>
      </w:divBdr>
    </w:div>
    <w:div w:id="2027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header" Target="header2.xml"/><Relationship Id="rId21" Type="http://schemas.openxmlformats.org/officeDocument/2006/relationships/image" Target="media/image12.jpg"/><Relationship Id="rId34" Type="http://schemas.openxmlformats.org/officeDocument/2006/relationships/hyperlink" Target="https://ovic.vic.gov.au/" TargetMode="External"/><Relationship Id="rId42" Type="http://schemas.openxmlformats.org/officeDocument/2006/relationships/header" Target="header3.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9" Type="http://schemas.openxmlformats.org/officeDocument/2006/relationships/image" Target="media/image20.jpg"/><Relationship Id="rId11" Type="http://schemas.openxmlformats.org/officeDocument/2006/relationships/image" Target="media/image2.png"/><Relationship Id="rId24" Type="http://schemas.openxmlformats.org/officeDocument/2006/relationships/image" Target="media/image15.jpg"/><Relationship Id="rId32" Type="http://schemas.openxmlformats.org/officeDocument/2006/relationships/hyperlink" Target="mailto:feedback@courts.vic.gov.au" TargetMode="External"/><Relationship Id="rId37" Type="http://schemas.openxmlformats.org/officeDocument/2006/relationships/hyperlink" Target="https://www.audit.vic.gov.au/" TargetMode="External"/><Relationship Id="rId40" Type="http://schemas.openxmlformats.org/officeDocument/2006/relationships/footer" Target="footer1.xml"/><Relationship Id="rId45" Type="http://schemas.openxmlformats.org/officeDocument/2006/relationships/image" Target="media/image22.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feedback@courts.vic.gov.au" TargetMode="External"/><Relationship Id="rId19" Type="http://schemas.openxmlformats.org/officeDocument/2006/relationships/image" Target="media/image10.jpg"/><Relationship Id="rId31" Type="http://schemas.openxmlformats.org/officeDocument/2006/relationships/hyperlink" Target="https://www.ibac.vic.gov.au/" TargetMode="External"/><Relationship Id="rId44" Type="http://schemas.openxmlformats.org/officeDocument/2006/relationships/hyperlink" Target="https://fundsincourt.vic.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ts.vic.gov.au/"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hyperlink" Target="mailto:feedback@courts.vic.gov.au" TargetMode="External"/><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hyperlink" Target="mailto:foi@courts.vic.gov.au" TargetMode="External"/><Relationship Id="rId38" Type="http://schemas.openxmlformats.org/officeDocument/2006/relationships/header" Target="header1.xml"/><Relationship Id="rId46" Type="http://schemas.openxmlformats.org/officeDocument/2006/relationships/header" Target="header4.xml"/><Relationship Id="rId20" Type="http://schemas.openxmlformats.org/officeDocument/2006/relationships/image" Target="media/image11.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hyperlink" Target="mailto:enquiries@audit.vic.gov.au" TargetMode="External"/><Relationship Id="rId49" Type="http://schemas.openxmlformats.org/officeDocument/2006/relationships/footer" Target="footer5.xml"/></Relationships>
</file>

<file path=word/theme/theme1.xml><?xml version="1.0" encoding="utf-8"?>
<a:theme xmlns:a="http://schemas.openxmlformats.org/drawingml/2006/main" name="Western Powe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5079-757B-4D25-A344-76B91F4E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146</Pages>
  <Words>49975</Words>
  <Characters>284858</Characters>
  <Application>Microsoft Office Word</Application>
  <DocSecurity>0</DocSecurity>
  <Lines>2373</Lines>
  <Paragraphs>668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Court Services Victoria Annual Report 2018-2019</vt:lpstr>
      <vt:lpstr>Message from the Chair</vt:lpstr>
      <vt:lpstr>    Acknowledgements</vt:lpstr>
      <vt:lpstr>Message from the Chief Executive Officer</vt:lpstr>
      <vt:lpstr>Section 1: Governance and Organisational Structure</vt:lpstr>
      <vt:lpstr>    About Court Services Victoria</vt:lpstr>
      <vt:lpstr>        Establishment and Ministerial Powers</vt:lpstr>
      <vt:lpstr>        Governance Structure</vt:lpstr>
      <vt:lpstr>    Governing Body</vt:lpstr>
      <vt:lpstr>        Courts Council</vt:lpstr>
      <vt:lpstr>        Courts Council Members</vt:lpstr>
      <vt:lpstr>        Committees</vt:lpstr>
      <vt:lpstr>        Senior Executive</vt:lpstr>
      <vt:lpstr>Section 2: Year in Review</vt:lpstr>
      <vt:lpstr>    Response to Coronavirus (COVID-19)</vt:lpstr>
      <vt:lpstr>    Judicial Independence</vt:lpstr>
      <vt:lpstr>        Governance and Strategic Directions Review</vt:lpstr>
      <vt:lpstr>        Court Services Victoria Strategic Plan 2020 – 2025</vt:lpstr>
      <vt:lpstr>    Support the Administration of Justice</vt:lpstr>
      <vt:lpstr>        People and Culture</vt:lpstr>
      <vt:lpstr>        Health, Safety and Wellbeing</vt:lpstr>
      <vt:lpstr>        Aboriginal Justice Agreement 4</vt:lpstr>
      <vt:lpstr>        Koori Programs and Initiatives</vt:lpstr>
      <vt:lpstr>        Court Services Victoria Self-determination Plan</vt:lpstr>
      <vt:lpstr>        Koori Employment Plan</vt:lpstr>
      <vt:lpstr>        Koori Specific Training</vt:lpstr>
      <vt:lpstr>        Koori Cultural Awareness Training</vt:lpstr>
      <vt:lpstr>        Aboriginal Justice Forum Responsibilities</vt:lpstr>
      <vt:lpstr>        Victorian Government Reporting Service</vt:lpstr>
      <vt:lpstr>        Court Security Model</vt:lpstr>
      <vt:lpstr>        2019–20 Victorian Fire Season</vt:lpstr>
      <vt:lpstr>    Responsible Management and Accountability</vt:lpstr>
      <vt:lpstr>        Integrity Framework</vt:lpstr>
      <vt:lpstr>        Data and Reporting</vt:lpstr>
      <vt:lpstr>        Risk and Audit</vt:lpstr>
      <vt:lpstr>        Finance Services</vt:lpstr>
      <vt:lpstr>        Procurement</vt:lpstr>
      <vt:lpstr>        Legal and Governance</vt:lpstr>
      <vt:lpstr>        Courts Asset Information Management System</vt:lpstr>
      <vt:lpstr>        Asset Management Accountability Framework</vt:lpstr>
      <vt:lpstr>    Excellence in Court, Tribunal and Judicial Support Services</vt:lpstr>
      <vt:lpstr>        Case Management System Project</vt:lpstr>
      <vt:lpstr>        Safe, Secure and Sustainable Courts and Tribunals</vt:lpstr>
      <vt:lpstr>        Design and Development of Specialist Court Facilities</vt:lpstr>
      <vt:lpstr>        Bendigo Law Court Development</vt:lpstr>
      <vt:lpstr>        Strategic Asset Plan</vt:lpstr>
      <vt:lpstr>        Property Transactions</vt:lpstr>
      <vt:lpstr>        Design and Sustainable Planning</vt:lpstr>
      <vt:lpstr>        Learning and Development</vt:lpstr>
      <vt:lpstr>        Information Technology</vt:lpstr>
      <vt:lpstr>        Technology Independence for Court Services Victoria</vt:lpstr>
      <vt:lpstr>        In-Court Technology</vt:lpstr>
      <vt:lpstr>    Output Performance</vt:lpstr>
      <vt:lpstr>        Courts Mission Statement</vt:lpstr>
      <vt:lpstr>        Courts Objective</vt:lpstr>
      <vt:lpstr>        Courts Indicators</vt:lpstr>
      <vt:lpstr>        International Framework for Court Excellence</vt:lpstr>
      <vt:lpstr>    Performance Against Measures</vt:lpstr>
    </vt:vector>
  </TitlesOfParts>
  <Company/>
  <LinksUpToDate>false</LinksUpToDate>
  <CharactersWithSpaces>334165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Services Victoria Annual Report 2018-2019</dc:title>
  <dc:subject/>
  <dc:creator>Owner</dc:creator>
  <cp:keywords/>
  <cp:lastModifiedBy>Microsoft Office User</cp:lastModifiedBy>
  <cp:revision>3</cp:revision>
  <cp:lastPrinted>2019-08-21T11:15:00Z</cp:lastPrinted>
  <dcterms:created xsi:type="dcterms:W3CDTF">2021-01-28T23:59:00Z</dcterms:created>
  <dcterms:modified xsi:type="dcterms:W3CDTF">2021-01-29T00:17:00Z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BorderAboveAndBelow_1" visible="true" label="TemplateProject.modFormatting.BorderAboveAndBelow" imageMso="SelectionPaneHidden" onAction="BorderAboveAndBelow"/>
        <mso:button idQ="doc:BoldChrs_1" visible="true" label="TemplateProject.modFormatting.BoldChrs" imageMso="MagicEightBall" onAction="BoldChrs"/>
        <mso:button idQ="doc:SixPointsAbove_1" visible="true" label="TemplateProject.modFormatting.SixPointsAbove" imageMso="OutlineMoveUp" onAction="SixPointsAbove"/>
        <mso:control idQ="mso:TableStyleTotalRowWord" visible="true"/>
      </mso:documentControls>
    </mso:qat>
  </mso:ribbon>
</mso:customUI>
</file>