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56" w:rsidRDefault="00E946F1" w:rsidP="00440FE9">
      <w:pPr>
        <w:pStyle w:val="Title"/>
        <w:spacing w:before="5400"/>
        <w:outlineLvl w:val="9"/>
      </w:pPr>
      <w:r>
        <w:t>Court Services Victoria</w:t>
      </w:r>
      <w:r w:rsidR="00697F56">
        <w:t xml:space="preserve"> </w:t>
      </w:r>
    </w:p>
    <w:p w:rsidR="00E66B2C" w:rsidRDefault="00E946F1" w:rsidP="00EC2F7A">
      <w:pPr>
        <w:pStyle w:val="Title"/>
        <w:outlineLvl w:val="9"/>
      </w:pPr>
      <w:r>
        <w:t>Financial Statements</w:t>
      </w:r>
    </w:p>
    <w:p w:rsidR="00E946F1" w:rsidRDefault="00E946F1" w:rsidP="00EC2F7A">
      <w:pPr>
        <w:pStyle w:val="Title"/>
        <w:outlineLvl w:val="9"/>
      </w:pPr>
      <w:r>
        <w:t>For the financial year ended 30 June 2016</w:t>
      </w:r>
    </w:p>
    <w:p w:rsidR="00E946F1" w:rsidRDefault="00E946F1" w:rsidP="00FF098B">
      <w:pPr>
        <w:pStyle w:val="BodyText"/>
        <w:sectPr w:rsidR="00E946F1" w:rsidSect="003475E2">
          <w:footerReference w:type="default" r:id="rId9"/>
          <w:footerReference w:type="first" r:id="rId10"/>
          <w:pgSz w:w="11906" w:h="16838"/>
          <w:pgMar w:top="1134" w:right="1134" w:bottom="1134" w:left="1134" w:header="708" w:footer="284" w:gutter="0"/>
          <w:cols w:space="708"/>
          <w:titlePg/>
          <w:docGrid w:linePitch="360"/>
        </w:sectPr>
      </w:pPr>
      <w:bookmarkStart w:id="0" w:name="InsideCover"/>
      <w:bookmarkEnd w:id="0"/>
    </w:p>
    <w:p w:rsidR="00E946F1" w:rsidRPr="00851AAA" w:rsidRDefault="00E946F1" w:rsidP="00440FE9">
      <w:pPr>
        <w:pStyle w:val="TOCHeading"/>
      </w:pPr>
      <w:r w:rsidRPr="00851AAA">
        <w:lastRenderedPageBreak/>
        <w:t>Contents</w:t>
      </w:r>
    </w:p>
    <w:p w:rsidR="00BD6E5E" w:rsidRDefault="00E946F1">
      <w:pPr>
        <w:pStyle w:val="TOC1"/>
        <w:rPr>
          <w:rFonts w:asciiTheme="minorHAnsi" w:eastAsiaTheme="minorEastAsia" w:hAnsiTheme="minorHAnsi" w:cstheme="minorBidi"/>
          <w:color w:val="auto"/>
          <w:sz w:val="22"/>
          <w:szCs w:val="22"/>
        </w:rPr>
      </w:pPr>
      <w:r>
        <w:fldChar w:fldCharType="begin"/>
      </w:r>
      <w:r>
        <w:instrText xml:space="preserve"> TOC \o "1-</w:instrText>
      </w:r>
      <w:r w:rsidR="00440FE9">
        <w:instrText>2</w:instrText>
      </w:r>
      <w:r>
        <w:instrText xml:space="preserve">" \h \z \u </w:instrText>
      </w:r>
      <w:r>
        <w:fldChar w:fldCharType="separate"/>
      </w:r>
      <w:hyperlink w:anchor="_Toc497125446" w:history="1">
        <w:r w:rsidR="00BD6E5E" w:rsidRPr="00CE04B6">
          <w:rPr>
            <w:rStyle w:val="Hyperlink"/>
          </w:rPr>
          <w:t xml:space="preserve">Court Services Victoria </w:t>
        </w:r>
        <w:r w:rsidR="00BD6E5E" w:rsidRPr="00CE04B6">
          <w:rPr>
            <w:rStyle w:val="Hyperlink"/>
            <w:rFonts w:ascii="Cambria Math" w:hAnsi="Cambria Math" w:cs="Cambria Math"/>
          </w:rPr>
          <w:t>‐</w:t>
        </w:r>
        <w:r w:rsidR="00BD6E5E" w:rsidRPr="00CE04B6">
          <w:rPr>
            <w:rStyle w:val="Hyperlink"/>
          </w:rPr>
          <w:t xml:space="preserve"> Financial Statements</w:t>
        </w:r>
        <w:r w:rsidR="00BD6E5E">
          <w:rPr>
            <w:webHidden/>
          </w:rPr>
          <w:tab/>
        </w:r>
        <w:r w:rsidR="00BD6E5E">
          <w:rPr>
            <w:webHidden/>
          </w:rPr>
          <w:fldChar w:fldCharType="begin"/>
        </w:r>
        <w:r w:rsidR="00BD6E5E">
          <w:rPr>
            <w:webHidden/>
          </w:rPr>
          <w:instrText xml:space="preserve"> PAGEREF _Toc497125446 \h </w:instrText>
        </w:r>
        <w:r w:rsidR="00BD6E5E">
          <w:rPr>
            <w:webHidden/>
          </w:rPr>
        </w:r>
        <w:r w:rsidR="00BD6E5E">
          <w:rPr>
            <w:webHidden/>
          </w:rPr>
          <w:fldChar w:fldCharType="separate"/>
        </w:r>
        <w:r w:rsidR="00972891">
          <w:rPr>
            <w:webHidden/>
          </w:rPr>
          <w:t>4</w:t>
        </w:r>
        <w:r w:rsidR="00BD6E5E">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447" w:history="1">
        <w:r w:rsidRPr="00CE04B6">
          <w:rPr>
            <w:rStyle w:val="Hyperlink"/>
          </w:rPr>
          <w:t>How this report is structured</w:t>
        </w:r>
        <w:r>
          <w:rPr>
            <w:webHidden/>
          </w:rPr>
          <w:tab/>
        </w:r>
        <w:r>
          <w:rPr>
            <w:webHidden/>
          </w:rPr>
          <w:fldChar w:fldCharType="begin"/>
        </w:r>
        <w:r>
          <w:rPr>
            <w:webHidden/>
          </w:rPr>
          <w:instrText xml:space="preserve"> PAGEREF _Toc497125447 \h </w:instrText>
        </w:r>
        <w:r>
          <w:rPr>
            <w:webHidden/>
          </w:rPr>
        </w:r>
        <w:r>
          <w:rPr>
            <w:webHidden/>
          </w:rPr>
          <w:fldChar w:fldCharType="separate"/>
        </w:r>
        <w:r w:rsidR="00972891">
          <w:rPr>
            <w:webHidden/>
          </w:rPr>
          <w:t>4</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448" w:history="1">
        <w:r w:rsidRPr="00CE04B6">
          <w:rPr>
            <w:rStyle w:val="Hyperlink"/>
          </w:rPr>
          <w:t>Financial Statements</w:t>
        </w:r>
        <w:r>
          <w:rPr>
            <w:webHidden/>
          </w:rPr>
          <w:tab/>
        </w:r>
        <w:r>
          <w:rPr>
            <w:webHidden/>
          </w:rPr>
          <w:fldChar w:fldCharType="begin"/>
        </w:r>
        <w:r>
          <w:rPr>
            <w:webHidden/>
          </w:rPr>
          <w:instrText xml:space="preserve"> PAGEREF _Toc497125448 \h </w:instrText>
        </w:r>
        <w:r>
          <w:rPr>
            <w:webHidden/>
          </w:rPr>
        </w:r>
        <w:r>
          <w:rPr>
            <w:webHidden/>
          </w:rPr>
          <w:fldChar w:fldCharType="separate"/>
        </w:r>
        <w:r w:rsidR="00972891">
          <w:rPr>
            <w:webHidden/>
          </w:rPr>
          <w:t>4</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449" w:history="1">
        <w:r w:rsidRPr="00CE04B6">
          <w:rPr>
            <w:rStyle w:val="Hyperlink"/>
          </w:rPr>
          <w:t>Notes to the financial statements</w:t>
        </w:r>
        <w:r>
          <w:rPr>
            <w:webHidden/>
          </w:rPr>
          <w:tab/>
        </w:r>
        <w:r>
          <w:rPr>
            <w:webHidden/>
          </w:rPr>
          <w:fldChar w:fldCharType="begin"/>
        </w:r>
        <w:r>
          <w:rPr>
            <w:webHidden/>
          </w:rPr>
          <w:instrText xml:space="preserve"> PAGEREF _Toc497125449 \h </w:instrText>
        </w:r>
        <w:r>
          <w:rPr>
            <w:webHidden/>
          </w:rPr>
        </w:r>
        <w:r>
          <w:rPr>
            <w:webHidden/>
          </w:rPr>
          <w:fldChar w:fldCharType="separate"/>
        </w:r>
        <w:r w:rsidR="00972891">
          <w:rPr>
            <w:webHidden/>
          </w:rPr>
          <w:t>4</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50" w:history="1">
        <w:r w:rsidRPr="00CE04B6">
          <w:rPr>
            <w:rStyle w:val="Hyperlink"/>
          </w:rPr>
          <w:t>Declaration in the Financial Statements</w:t>
        </w:r>
        <w:r>
          <w:rPr>
            <w:webHidden/>
          </w:rPr>
          <w:tab/>
        </w:r>
        <w:r>
          <w:rPr>
            <w:webHidden/>
          </w:rPr>
          <w:fldChar w:fldCharType="begin"/>
        </w:r>
        <w:r>
          <w:rPr>
            <w:webHidden/>
          </w:rPr>
          <w:instrText xml:space="preserve"> PAGEREF _Toc497125450 \h </w:instrText>
        </w:r>
        <w:r>
          <w:rPr>
            <w:webHidden/>
          </w:rPr>
        </w:r>
        <w:r>
          <w:rPr>
            <w:webHidden/>
          </w:rPr>
          <w:fldChar w:fldCharType="separate"/>
        </w:r>
        <w:r w:rsidR="00972891">
          <w:rPr>
            <w:webHidden/>
          </w:rPr>
          <w:t>6</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51" w:history="1">
        <w:r w:rsidRPr="00CE04B6">
          <w:rPr>
            <w:rStyle w:val="Hyperlink"/>
          </w:rPr>
          <w:t>Comprehensive operating statement</w:t>
        </w:r>
        <w:r>
          <w:rPr>
            <w:webHidden/>
          </w:rPr>
          <w:tab/>
        </w:r>
        <w:r>
          <w:rPr>
            <w:webHidden/>
          </w:rPr>
          <w:fldChar w:fldCharType="begin"/>
        </w:r>
        <w:r>
          <w:rPr>
            <w:webHidden/>
          </w:rPr>
          <w:instrText xml:space="preserve"> PAGEREF _Toc497125451 \h </w:instrText>
        </w:r>
        <w:r>
          <w:rPr>
            <w:webHidden/>
          </w:rPr>
        </w:r>
        <w:r>
          <w:rPr>
            <w:webHidden/>
          </w:rPr>
          <w:fldChar w:fldCharType="separate"/>
        </w:r>
        <w:r w:rsidR="00972891">
          <w:rPr>
            <w:webHidden/>
          </w:rPr>
          <w:t>7</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52" w:history="1">
        <w:r w:rsidRPr="00CE04B6">
          <w:rPr>
            <w:rStyle w:val="Hyperlink"/>
          </w:rPr>
          <w:t>Balance sheet</w:t>
        </w:r>
        <w:r>
          <w:rPr>
            <w:webHidden/>
          </w:rPr>
          <w:tab/>
        </w:r>
        <w:r>
          <w:rPr>
            <w:webHidden/>
          </w:rPr>
          <w:fldChar w:fldCharType="begin"/>
        </w:r>
        <w:r>
          <w:rPr>
            <w:webHidden/>
          </w:rPr>
          <w:instrText xml:space="preserve"> PAGEREF _Toc497125452 \h </w:instrText>
        </w:r>
        <w:r>
          <w:rPr>
            <w:webHidden/>
          </w:rPr>
        </w:r>
        <w:r>
          <w:rPr>
            <w:webHidden/>
          </w:rPr>
          <w:fldChar w:fldCharType="separate"/>
        </w:r>
        <w:r w:rsidR="00972891">
          <w:rPr>
            <w:webHidden/>
          </w:rPr>
          <w:t>8</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53" w:history="1">
        <w:r w:rsidRPr="00CE04B6">
          <w:rPr>
            <w:rStyle w:val="Hyperlink"/>
          </w:rPr>
          <w:t>Statement of changes in equity</w:t>
        </w:r>
        <w:r>
          <w:rPr>
            <w:webHidden/>
          </w:rPr>
          <w:tab/>
        </w:r>
        <w:r>
          <w:rPr>
            <w:webHidden/>
          </w:rPr>
          <w:fldChar w:fldCharType="begin"/>
        </w:r>
        <w:r>
          <w:rPr>
            <w:webHidden/>
          </w:rPr>
          <w:instrText xml:space="preserve"> PAGEREF _Toc497125453 \h </w:instrText>
        </w:r>
        <w:r>
          <w:rPr>
            <w:webHidden/>
          </w:rPr>
        </w:r>
        <w:r>
          <w:rPr>
            <w:webHidden/>
          </w:rPr>
          <w:fldChar w:fldCharType="separate"/>
        </w:r>
        <w:r w:rsidR="00972891">
          <w:rPr>
            <w:webHidden/>
          </w:rPr>
          <w:t>9</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54" w:history="1">
        <w:r w:rsidRPr="00CE04B6">
          <w:rPr>
            <w:rStyle w:val="Hyperlink"/>
          </w:rPr>
          <w:t>Cash flow statement</w:t>
        </w:r>
        <w:r>
          <w:rPr>
            <w:webHidden/>
          </w:rPr>
          <w:tab/>
        </w:r>
        <w:r>
          <w:rPr>
            <w:webHidden/>
          </w:rPr>
          <w:fldChar w:fldCharType="begin"/>
        </w:r>
        <w:r>
          <w:rPr>
            <w:webHidden/>
          </w:rPr>
          <w:instrText xml:space="preserve"> PAGEREF _Toc497125454 \h </w:instrText>
        </w:r>
        <w:r>
          <w:rPr>
            <w:webHidden/>
          </w:rPr>
        </w:r>
        <w:r>
          <w:rPr>
            <w:webHidden/>
          </w:rPr>
          <w:fldChar w:fldCharType="separate"/>
        </w:r>
        <w:r w:rsidR="00972891">
          <w:rPr>
            <w:webHidden/>
          </w:rPr>
          <w:t>10</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55" w:history="1">
        <w:r w:rsidRPr="00CE04B6">
          <w:rPr>
            <w:rStyle w:val="Hyperlink"/>
          </w:rPr>
          <w:t>1.</w:t>
        </w:r>
        <w:r>
          <w:rPr>
            <w:rFonts w:asciiTheme="minorHAnsi" w:eastAsiaTheme="minorEastAsia" w:hAnsiTheme="minorHAnsi" w:cstheme="minorBidi"/>
            <w:color w:val="auto"/>
            <w:sz w:val="22"/>
            <w:szCs w:val="22"/>
          </w:rPr>
          <w:tab/>
        </w:r>
        <w:r w:rsidRPr="00CE04B6">
          <w:rPr>
            <w:rStyle w:val="Hyperlink"/>
          </w:rPr>
          <w:t>About this report</w:t>
        </w:r>
        <w:r>
          <w:rPr>
            <w:webHidden/>
          </w:rPr>
          <w:tab/>
        </w:r>
        <w:r>
          <w:rPr>
            <w:webHidden/>
          </w:rPr>
          <w:fldChar w:fldCharType="begin"/>
        </w:r>
        <w:r>
          <w:rPr>
            <w:webHidden/>
          </w:rPr>
          <w:instrText xml:space="preserve"> PAGEREF _Toc497125455 \h </w:instrText>
        </w:r>
        <w:r>
          <w:rPr>
            <w:webHidden/>
          </w:rPr>
        </w:r>
        <w:r>
          <w:rPr>
            <w:webHidden/>
          </w:rPr>
          <w:fldChar w:fldCharType="separate"/>
        </w:r>
        <w:r w:rsidR="00972891">
          <w:rPr>
            <w:webHidden/>
          </w:rPr>
          <w:t>11</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456" w:history="1">
        <w:r w:rsidRPr="00CE04B6">
          <w:rPr>
            <w:rStyle w:val="Hyperlink"/>
          </w:rPr>
          <w:t>Basis of preparation</w:t>
        </w:r>
        <w:r>
          <w:rPr>
            <w:webHidden/>
          </w:rPr>
          <w:tab/>
        </w:r>
        <w:r>
          <w:rPr>
            <w:webHidden/>
          </w:rPr>
          <w:fldChar w:fldCharType="begin"/>
        </w:r>
        <w:r>
          <w:rPr>
            <w:webHidden/>
          </w:rPr>
          <w:instrText xml:space="preserve"> PAGEREF _Toc497125456 \h </w:instrText>
        </w:r>
        <w:r>
          <w:rPr>
            <w:webHidden/>
          </w:rPr>
        </w:r>
        <w:r>
          <w:rPr>
            <w:webHidden/>
          </w:rPr>
          <w:fldChar w:fldCharType="separate"/>
        </w:r>
        <w:r w:rsidR="00972891">
          <w:rPr>
            <w:webHidden/>
          </w:rPr>
          <w:t>11</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457" w:history="1">
        <w:r w:rsidRPr="00CE04B6">
          <w:rPr>
            <w:rStyle w:val="Hyperlink"/>
          </w:rPr>
          <w:t>Compliance information</w:t>
        </w:r>
        <w:r>
          <w:rPr>
            <w:webHidden/>
          </w:rPr>
          <w:tab/>
        </w:r>
        <w:r>
          <w:rPr>
            <w:webHidden/>
          </w:rPr>
          <w:fldChar w:fldCharType="begin"/>
        </w:r>
        <w:r>
          <w:rPr>
            <w:webHidden/>
          </w:rPr>
          <w:instrText xml:space="preserve"> PAGEREF _Toc497125457 \h </w:instrText>
        </w:r>
        <w:r>
          <w:rPr>
            <w:webHidden/>
          </w:rPr>
        </w:r>
        <w:r>
          <w:rPr>
            <w:webHidden/>
          </w:rPr>
          <w:fldChar w:fldCharType="separate"/>
        </w:r>
        <w:r w:rsidR="00972891">
          <w:rPr>
            <w:webHidden/>
          </w:rPr>
          <w:t>12</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58" w:history="1">
        <w:r w:rsidRPr="00CE04B6">
          <w:rPr>
            <w:rStyle w:val="Hyperlink"/>
          </w:rPr>
          <w:t>2.</w:t>
        </w:r>
        <w:r>
          <w:rPr>
            <w:rFonts w:asciiTheme="minorHAnsi" w:eastAsiaTheme="minorEastAsia" w:hAnsiTheme="minorHAnsi" w:cstheme="minorBidi"/>
            <w:color w:val="auto"/>
            <w:sz w:val="22"/>
            <w:szCs w:val="22"/>
          </w:rPr>
          <w:tab/>
        </w:r>
        <w:r w:rsidRPr="00CE04B6">
          <w:rPr>
            <w:rStyle w:val="Hyperlink"/>
          </w:rPr>
          <w:t>Funding delivery of our services</w:t>
        </w:r>
        <w:r>
          <w:rPr>
            <w:webHidden/>
          </w:rPr>
          <w:tab/>
        </w:r>
        <w:r>
          <w:rPr>
            <w:webHidden/>
          </w:rPr>
          <w:fldChar w:fldCharType="begin"/>
        </w:r>
        <w:r>
          <w:rPr>
            <w:webHidden/>
          </w:rPr>
          <w:instrText xml:space="preserve"> PAGEREF _Toc497125458 \h </w:instrText>
        </w:r>
        <w:r>
          <w:rPr>
            <w:webHidden/>
          </w:rPr>
        </w:r>
        <w:r>
          <w:rPr>
            <w:webHidden/>
          </w:rPr>
          <w:fldChar w:fldCharType="separate"/>
        </w:r>
        <w:r w:rsidR="00972891">
          <w:rPr>
            <w:webHidden/>
          </w:rPr>
          <w:t>13</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59" w:history="1">
        <w:r w:rsidRPr="00CE04B6">
          <w:rPr>
            <w:rStyle w:val="Hyperlink"/>
          </w:rPr>
          <w:t>2.1</w:t>
        </w:r>
        <w:r>
          <w:rPr>
            <w:rFonts w:asciiTheme="minorHAnsi" w:eastAsiaTheme="minorEastAsia" w:hAnsiTheme="minorHAnsi" w:cstheme="minorBidi"/>
            <w:color w:val="auto"/>
            <w:sz w:val="22"/>
            <w:szCs w:val="22"/>
          </w:rPr>
          <w:tab/>
        </w:r>
        <w:r w:rsidRPr="00CE04B6">
          <w:rPr>
            <w:rStyle w:val="Hyperlink"/>
          </w:rPr>
          <w:t>Summary of income that funds the delivery of our services</w:t>
        </w:r>
        <w:r>
          <w:rPr>
            <w:webHidden/>
          </w:rPr>
          <w:tab/>
        </w:r>
        <w:r>
          <w:rPr>
            <w:webHidden/>
          </w:rPr>
          <w:fldChar w:fldCharType="begin"/>
        </w:r>
        <w:r>
          <w:rPr>
            <w:webHidden/>
          </w:rPr>
          <w:instrText xml:space="preserve"> PAGEREF _Toc497125459 \h </w:instrText>
        </w:r>
        <w:r>
          <w:rPr>
            <w:webHidden/>
          </w:rPr>
        </w:r>
        <w:r>
          <w:rPr>
            <w:webHidden/>
          </w:rPr>
          <w:fldChar w:fldCharType="separate"/>
        </w:r>
        <w:r w:rsidR="00972891">
          <w:rPr>
            <w:webHidden/>
          </w:rPr>
          <w:t>13</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0" w:history="1">
        <w:r w:rsidRPr="00CE04B6">
          <w:rPr>
            <w:rStyle w:val="Hyperlink"/>
          </w:rPr>
          <w:t>2.2</w:t>
        </w:r>
        <w:r>
          <w:rPr>
            <w:rFonts w:asciiTheme="minorHAnsi" w:eastAsiaTheme="minorEastAsia" w:hAnsiTheme="minorHAnsi" w:cstheme="minorBidi"/>
            <w:color w:val="auto"/>
            <w:sz w:val="22"/>
            <w:szCs w:val="22"/>
          </w:rPr>
          <w:tab/>
        </w:r>
        <w:r w:rsidRPr="00CE04B6">
          <w:rPr>
            <w:rStyle w:val="Hyperlink"/>
          </w:rPr>
          <w:t>Appropriations</w:t>
        </w:r>
        <w:r>
          <w:rPr>
            <w:webHidden/>
          </w:rPr>
          <w:tab/>
        </w:r>
        <w:r>
          <w:rPr>
            <w:webHidden/>
          </w:rPr>
          <w:fldChar w:fldCharType="begin"/>
        </w:r>
        <w:r>
          <w:rPr>
            <w:webHidden/>
          </w:rPr>
          <w:instrText xml:space="preserve"> PAGEREF _Toc497125460 \h </w:instrText>
        </w:r>
        <w:r>
          <w:rPr>
            <w:webHidden/>
          </w:rPr>
        </w:r>
        <w:r>
          <w:rPr>
            <w:webHidden/>
          </w:rPr>
          <w:fldChar w:fldCharType="separate"/>
        </w:r>
        <w:r w:rsidR="00972891">
          <w:rPr>
            <w:webHidden/>
          </w:rPr>
          <w:t>13</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1" w:history="1">
        <w:r w:rsidRPr="00CE04B6">
          <w:rPr>
            <w:rStyle w:val="Hyperlink"/>
          </w:rPr>
          <w:t>2.3</w:t>
        </w:r>
        <w:r>
          <w:rPr>
            <w:rFonts w:asciiTheme="minorHAnsi" w:eastAsiaTheme="minorEastAsia" w:hAnsiTheme="minorHAnsi" w:cstheme="minorBidi"/>
            <w:color w:val="auto"/>
            <w:sz w:val="22"/>
            <w:szCs w:val="22"/>
          </w:rPr>
          <w:tab/>
        </w:r>
        <w:r w:rsidRPr="00CE04B6">
          <w:rPr>
            <w:rStyle w:val="Hyperlink"/>
          </w:rPr>
          <w:t>Summary of compliance with annual Parliamentary and special appropriations</w:t>
        </w:r>
        <w:r>
          <w:rPr>
            <w:webHidden/>
          </w:rPr>
          <w:tab/>
        </w:r>
        <w:r>
          <w:rPr>
            <w:webHidden/>
          </w:rPr>
          <w:fldChar w:fldCharType="begin"/>
        </w:r>
        <w:r>
          <w:rPr>
            <w:webHidden/>
          </w:rPr>
          <w:instrText xml:space="preserve"> PAGEREF _Toc497125461 \h </w:instrText>
        </w:r>
        <w:r>
          <w:rPr>
            <w:webHidden/>
          </w:rPr>
        </w:r>
        <w:r>
          <w:rPr>
            <w:webHidden/>
          </w:rPr>
          <w:fldChar w:fldCharType="separate"/>
        </w:r>
        <w:r w:rsidR="00972891">
          <w:rPr>
            <w:webHidden/>
          </w:rPr>
          <w:t>13</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2" w:history="1">
        <w:r w:rsidRPr="00CE04B6">
          <w:rPr>
            <w:rStyle w:val="Hyperlink"/>
          </w:rPr>
          <w:t>2.4</w:t>
        </w:r>
        <w:r>
          <w:rPr>
            <w:rFonts w:asciiTheme="minorHAnsi" w:eastAsiaTheme="minorEastAsia" w:hAnsiTheme="minorHAnsi" w:cstheme="minorBidi"/>
            <w:color w:val="auto"/>
            <w:sz w:val="22"/>
            <w:szCs w:val="22"/>
          </w:rPr>
          <w:tab/>
        </w:r>
        <w:r w:rsidRPr="00CE04B6">
          <w:rPr>
            <w:rStyle w:val="Hyperlink"/>
          </w:rPr>
          <w:t>Income from transactions</w:t>
        </w:r>
        <w:r>
          <w:rPr>
            <w:webHidden/>
          </w:rPr>
          <w:tab/>
        </w:r>
        <w:r>
          <w:rPr>
            <w:webHidden/>
          </w:rPr>
          <w:fldChar w:fldCharType="begin"/>
        </w:r>
        <w:r>
          <w:rPr>
            <w:webHidden/>
          </w:rPr>
          <w:instrText xml:space="preserve"> PAGEREF _Toc497125462 \h </w:instrText>
        </w:r>
        <w:r>
          <w:rPr>
            <w:webHidden/>
          </w:rPr>
        </w:r>
        <w:r>
          <w:rPr>
            <w:webHidden/>
          </w:rPr>
          <w:fldChar w:fldCharType="separate"/>
        </w:r>
        <w:r w:rsidR="00972891">
          <w:rPr>
            <w:webHidden/>
          </w:rPr>
          <w:t>15</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3" w:history="1">
        <w:r w:rsidRPr="00CE04B6">
          <w:rPr>
            <w:rStyle w:val="Hyperlink"/>
          </w:rPr>
          <w:t>2.5</w:t>
        </w:r>
        <w:r>
          <w:rPr>
            <w:rFonts w:asciiTheme="minorHAnsi" w:eastAsiaTheme="minorEastAsia" w:hAnsiTheme="minorHAnsi" w:cstheme="minorBidi"/>
            <w:color w:val="auto"/>
            <w:sz w:val="22"/>
            <w:szCs w:val="22"/>
          </w:rPr>
          <w:tab/>
        </w:r>
        <w:r w:rsidRPr="00CE04B6">
          <w:rPr>
            <w:rStyle w:val="Hyperlink"/>
          </w:rPr>
          <w:t>Annotated income agreements</w:t>
        </w:r>
        <w:r>
          <w:rPr>
            <w:webHidden/>
          </w:rPr>
          <w:tab/>
        </w:r>
        <w:r>
          <w:rPr>
            <w:webHidden/>
          </w:rPr>
          <w:fldChar w:fldCharType="begin"/>
        </w:r>
        <w:r>
          <w:rPr>
            <w:webHidden/>
          </w:rPr>
          <w:instrText xml:space="preserve"> PAGEREF _Toc497125463 \h </w:instrText>
        </w:r>
        <w:r>
          <w:rPr>
            <w:webHidden/>
          </w:rPr>
        </w:r>
        <w:r>
          <w:rPr>
            <w:webHidden/>
          </w:rPr>
          <w:fldChar w:fldCharType="separate"/>
        </w:r>
        <w:r w:rsidR="00972891">
          <w:rPr>
            <w:webHidden/>
          </w:rPr>
          <w:t>16</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64" w:history="1">
        <w:r w:rsidRPr="00CE04B6">
          <w:rPr>
            <w:rStyle w:val="Hyperlink"/>
          </w:rPr>
          <w:t>3.</w:t>
        </w:r>
        <w:r>
          <w:rPr>
            <w:rFonts w:asciiTheme="minorHAnsi" w:eastAsiaTheme="minorEastAsia" w:hAnsiTheme="minorHAnsi" w:cstheme="minorBidi"/>
            <w:color w:val="auto"/>
            <w:sz w:val="22"/>
            <w:szCs w:val="22"/>
          </w:rPr>
          <w:tab/>
        </w:r>
        <w:r w:rsidRPr="00CE04B6">
          <w:rPr>
            <w:rStyle w:val="Hyperlink"/>
          </w:rPr>
          <w:t>The cost of delivering services</w:t>
        </w:r>
        <w:r>
          <w:rPr>
            <w:webHidden/>
          </w:rPr>
          <w:tab/>
        </w:r>
        <w:r>
          <w:rPr>
            <w:webHidden/>
          </w:rPr>
          <w:fldChar w:fldCharType="begin"/>
        </w:r>
        <w:r>
          <w:rPr>
            <w:webHidden/>
          </w:rPr>
          <w:instrText xml:space="preserve"> PAGEREF _Toc497125464 \h </w:instrText>
        </w:r>
        <w:r>
          <w:rPr>
            <w:webHidden/>
          </w:rPr>
        </w:r>
        <w:r>
          <w:rPr>
            <w:webHidden/>
          </w:rPr>
          <w:fldChar w:fldCharType="separate"/>
        </w:r>
        <w:r w:rsidR="00972891">
          <w:rPr>
            <w:webHidden/>
          </w:rPr>
          <w:t>17</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5" w:history="1">
        <w:r w:rsidRPr="00CE04B6">
          <w:rPr>
            <w:rStyle w:val="Hyperlink"/>
          </w:rPr>
          <w:t>3.1</w:t>
        </w:r>
        <w:r>
          <w:rPr>
            <w:rFonts w:asciiTheme="minorHAnsi" w:eastAsiaTheme="minorEastAsia" w:hAnsiTheme="minorHAnsi" w:cstheme="minorBidi"/>
            <w:color w:val="auto"/>
            <w:sz w:val="22"/>
            <w:szCs w:val="22"/>
          </w:rPr>
          <w:tab/>
        </w:r>
        <w:r w:rsidRPr="00CE04B6">
          <w:rPr>
            <w:rStyle w:val="Hyperlink"/>
          </w:rPr>
          <w:t>Expenses incurred in delivery of services</w:t>
        </w:r>
        <w:r>
          <w:rPr>
            <w:webHidden/>
          </w:rPr>
          <w:tab/>
        </w:r>
        <w:r>
          <w:rPr>
            <w:webHidden/>
          </w:rPr>
          <w:fldChar w:fldCharType="begin"/>
        </w:r>
        <w:r>
          <w:rPr>
            <w:webHidden/>
          </w:rPr>
          <w:instrText xml:space="preserve"> PAGEREF _Toc497125465 \h </w:instrText>
        </w:r>
        <w:r>
          <w:rPr>
            <w:webHidden/>
          </w:rPr>
        </w:r>
        <w:r>
          <w:rPr>
            <w:webHidden/>
          </w:rPr>
          <w:fldChar w:fldCharType="separate"/>
        </w:r>
        <w:r w:rsidR="00972891">
          <w:rPr>
            <w:webHidden/>
          </w:rPr>
          <w:t>17</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6" w:history="1">
        <w:r w:rsidRPr="00CE04B6">
          <w:rPr>
            <w:rStyle w:val="Hyperlink"/>
          </w:rPr>
          <w:t>3.2</w:t>
        </w:r>
        <w:r>
          <w:rPr>
            <w:rFonts w:asciiTheme="minorHAnsi" w:eastAsiaTheme="minorEastAsia" w:hAnsiTheme="minorHAnsi" w:cstheme="minorBidi"/>
            <w:color w:val="auto"/>
            <w:sz w:val="22"/>
            <w:szCs w:val="22"/>
          </w:rPr>
          <w:tab/>
        </w:r>
        <w:r w:rsidRPr="00CE04B6">
          <w:rPr>
            <w:rStyle w:val="Hyperlink"/>
          </w:rPr>
          <w:t>Grants and other transfers</w:t>
        </w:r>
        <w:r>
          <w:rPr>
            <w:webHidden/>
          </w:rPr>
          <w:tab/>
        </w:r>
        <w:r>
          <w:rPr>
            <w:webHidden/>
          </w:rPr>
          <w:fldChar w:fldCharType="begin"/>
        </w:r>
        <w:r>
          <w:rPr>
            <w:webHidden/>
          </w:rPr>
          <w:instrText xml:space="preserve"> PAGEREF _Toc497125466 \h </w:instrText>
        </w:r>
        <w:r>
          <w:rPr>
            <w:webHidden/>
          </w:rPr>
        </w:r>
        <w:r>
          <w:rPr>
            <w:webHidden/>
          </w:rPr>
          <w:fldChar w:fldCharType="separate"/>
        </w:r>
        <w:r w:rsidR="00972891">
          <w:rPr>
            <w:webHidden/>
          </w:rPr>
          <w:t>20</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7" w:history="1">
        <w:r w:rsidRPr="00CE04B6">
          <w:rPr>
            <w:rStyle w:val="Hyperlink"/>
          </w:rPr>
          <w:t>3.3</w:t>
        </w:r>
        <w:r>
          <w:rPr>
            <w:rFonts w:asciiTheme="minorHAnsi" w:eastAsiaTheme="minorEastAsia" w:hAnsiTheme="minorHAnsi" w:cstheme="minorBidi"/>
            <w:color w:val="auto"/>
            <w:sz w:val="22"/>
            <w:szCs w:val="22"/>
          </w:rPr>
          <w:tab/>
        </w:r>
        <w:r w:rsidRPr="00CE04B6">
          <w:rPr>
            <w:rStyle w:val="Hyperlink"/>
          </w:rPr>
          <w:t>Capital asset charge</w:t>
        </w:r>
        <w:r>
          <w:rPr>
            <w:webHidden/>
          </w:rPr>
          <w:tab/>
        </w:r>
        <w:r>
          <w:rPr>
            <w:webHidden/>
          </w:rPr>
          <w:fldChar w:fldCharType="begin"/>
        </w:r>
        <w:r>
          <w:rPr>
            <w:webHidden/>
          </w:rPr>
          <w:instrText xml:space="preserve"> PAGEREF _Toc497125467 \h </w:instrText>
        </w:r>
        <w:r>
          <w:rPr>
            <w:webHidden/>
          </w:rPr>
        </w:r>
        <w:r>
          <w:rPr>
            <w:webHidden/>
          </w:rPr>
          <w:fldChar w:fldCharType="separate"/>
        </w:r>
        <w:r w:rsidR="00972891">
          <w:rPr>
            <w:webHidden/>
          </w:rPr>
          <w:t>20</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68" w:history="1">
        <w:r w:rsidRPr="00CE04B6">
          <w:rPr>
            <w:rStyle w:val="Hyperlink"/>
          </w:rPr>
          <w:t>3.4</w:t>
        </w:r>
        <w:r>
          <w:rPr>
            <w:rFonts w:asciiTheme="minorHAnsi" w:eastAsiaTheme="minorEastAsia" w:hAnsiTheme="minorHAnsi" w:cstheme="minorBidi"/>
            <w:color w:val="auto"/>
            <w:sz w:val="22"/>
            <w:szCs w:val="22"/>
          </w:rPr>
          <w:tab/>
        </w:r>
        <w:r w:rsidRPr="00CE04B6">
          <w:rPr>
            <w:rStyle w:val="Hyperlink"/>
          </w:rPr>
          <w:t>Supplies and services</w:t>
        </w:r>
        <w:r>
          <w:rPr>
            <w:webHidden/>
          </w:rPr>
          <w:tab/>
        </w:r>
        <w:r>
          <w:rPr>
            <w:webHidden/>
          </w:rPr>
          <w:fldChar w:fldCharType="begin"/>
        </w:r>
        <w:r>
          <w:rPr>
            <w:webHidden/>
          </w:rPr>
          <w:instrText xml:space="preserve"> PAGEREF _Toc497125468 \h </w:instrText>
        </w:r>
        <w:r>
          <w:rPr>
            <w:webHidden/>
          </w:rPr>
        </w:r>
        <w:r>
          <w:rPr>
            <w:webHidden/>
          </w:rPr>
          <w:fldChar w:fldCharType="separate"/>
        </w:r>
        <w:r w:rsidR="00972891">
          <w:rPr>
            <w:webHidden/>
          </w:rPr>
          <w:t>21</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69" w:history="1">
        <w:r w:rsidRPr="00CE04B6">
          <w:rPr>
            <w:rStyle w:val="Hyperlink"/>
          </w:rPr>
          <w:t>4.</w:t>
        </w:r>
        <w:r>
          <w:rPr>
            <w:rFonts w:asciiTheme="minorHAnsi" w:eastAsiaTheme="minorEastAsia" w:hAnsiTheme="minorHAnsi" w:cstheme="minorBidi"/>
            <w:color w:val="auto"/>
            <w:sz w:val="22"/>
            <w:szCs w:val="22"/>
          </w:rPr>
          <w:tab/>
        </w:r>
        <w:r w:rsidRPr="00CE04B6">
          <w:rPr>
            <w:rStyle w:val="Hyperlink"/>
          </w:rPr>
          <w:t>Disaggregated financial information by output</w:t>
        </w:r>
        <w:r>
          <w:rPr>
            <w:webHidden/>
          </w:rPr>
          <w:tab/>
        </w:r>
        <w:r>
          <w:rPr>
            <w:webHidden/>
          </w:rPr>
          <w:fldChar w:fldCharType="begin"/>
        </w:r>
        <w:r>
          <w:rPr>
            <w:webHidden/>
          </w:rPr>
          <w:instrText xml:space="preserve"> PAGEREF _Toc497125469 \h </w:instrText>
        </w:r>
        <w:r>
          <w:rPr>
            <w:webHidden/>
          </w:rPr>
        </w:r>
        <w:r>
          <w:rPr>
            <w:webHidden/>
          </w:rPr>
          <w:fldChar w:fldCharType="separate"/>
        </w:r>
        <w:r w:rsidR="00972891">
          <w:rPr>
            <w:webHidden/>
          </w:rPr>
          <w:t>22</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0" w:history="1">
        <w:r w:rsidRPr="00CE04B6">
          <w:rPr>
            <w:rStyle w:val="Hyperlink"/>
          </w:rPr>
          <w:t>4.1</w:t>
        </w:r>
        <w:r>
          <w:rPr>
            <w:rFonts w:asciiTheme="minorHAnsi" w:eastAsiaTheme="minorEastAsia" w:hAnsiTheme="minorHAnsi" w:cstheme="minorBidi"/>
            <w:color w:val="auto"/>
            <w:sz w:val="22"/>
            <w:szCs w:val="22"/>
          </w:rPr>
          <w:tab/>
        </w:r>
        <w:r w:rsidRPr="00CE04B6">
          <w:rPr>
            <w:rStyle w:val="Hyperlink"/>
          </w:rPr>
          <w:t xml:space="preserve">CSV outputs </w:t>
        </w:r>
        <w:r w:rsidRPr="00CE04B6">
          <w:rPr>
            <w:rStyle w:val="Hyperlink"/>
            <w:rFonts w:ascii="Cambria Math" w:hAnsi="Cambria Math" w:cs="Cambria Math"/>
          </w:rPr>
          <w:t>‐</w:t>
        </w:r>
        <w:r w:rsidRPr="00CE04B6">
          <w:rPr>
            <w:rStyle w:val="Hyperlink"/>
          </w:rPr>
          <w:t xml:space="preserve"> descriptions and objectives</w:t>
        </w:r>
        <w:r>
          <w:rPr>
            <w:webHidden/>
          </w:rPr>
          <w:tab/>
        </w:r>
        <w:r>
          <w:rPr>
            <w:webHidden/>
          </w:rPr>
          <w:fldChar w:fldCharType="begin"/>
        </w:r>
        <w:r>
          <w:rPr>
            <w:webHidden/>
          </w:rPr>
          <w:instrText xml:space="preserve"> PAGEREF _Toc497125470 \h </w:instrText>
        </w:r>
        <w:r>
          <w:rPr>
            <w:webHidden/>
          </w:rPr>
        </w:r>
        <w:r>
          <w:rPr>
            <w:webHidden/>
          </w:rPr>
          <w:fldChar w:fldCharType="separate"/>
        </w:r>
        <w:r w:rsidR="00972891">
          <w:rPr>
            <w:webHidden/>
          </w:rPr>
          <w:t>22</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1" w:history="1">
        <w:r w:rsidRPr="00CE04B6">
          <w:rPr>
            <w:rStyle w:val="Hyperlink"/>
          </w:rPr>
          <w:t>4.2</w:t>
        </w:r>
        <w:r>
          <w:rPr>
            <w:rFonts w:asciiTheme="minorHAnsi" w:eastAsiaTheme="minorEastAsia" w:hAnsiTheme="minorHAnsi" w:cstheme="minorBidi"/>
            <w:color w:val="auto"/>
            <w:sz w:val="22"/>
            <w:szCs w:val="22"/>
          </w:rPr>
          <w:tab/>
        </w:r>
        <w:r w:rsidRPr="00CE04B6">
          <w:rPr>
            <w:rStyle w:val="Hyperlink"/>
          </w:rPr>
          <w:t>Administered (non</w:t>
        </w:r>
        <w:r w:rsidRPr="00CE04B6">
          <w:rPr>
            <w:rStyle w:val="Hyperlink"/>
            <w:rFonts w:ascii="Cambria Math" w:hAnsi="Cambria Math" w:cs="Cambria Math"/>
          </w:rPr>
          <w:t>‐</w:t>
        </w:r>
        <w:r w:rsidRPr="00CE04B6">
          <w:rPr>
            <w:rStyle w:val="Hyperlink"/>
          </w:rPr>
          <w:t>controlled) items for the financial year ended 30 June 2017</w:t>
        </w:r>
        <w:r>
          <w:rPr>
            <w:webHidden/>
          </w:rPr>
          <w:tab/>
        </w:r>
        <w:r>
          <w:rPr>
            <w:webHidden/>
          </w:rPr>
          <w:fldChar w:fldCharType="begin"/>
        </w:r>
        <w:r>
          <w:rPr>
            <w:webHidden/>
          </w:rPr>
          <w:instrText xml:space="preserve"> PAGEREF _Toc497125471 \h </w:instrText>
        </w:r>
        <w:r>
          <w:rPr>
            <w:webHidden/>
          </w:rPr>
        </w:r>
        <w:r>
          <w:rPr>
            <w:webHidden/>
          </w:rPr>
          <w:fldChar w:fldCharType="separate"/>
        </w:r>
        <w:r w:rsidR="00972891">
          <w:rPr>
            <w:webHidden/>
          </w:rPr>
          <w:t>24</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2" w:history="1">
        <w:r w:rsidRPr="00CE04B6">
          <w:rPr>
            <w:rStyle w:val="Hyperlink"/>
          </w:rPr>
          <w:t>4.3</w:t>
        </w:r>
        <w:r>
          <w:rPr>
            <w:rFonts w:asciiTheme="minorHAnsi" w:eastAsiaTheme="minorEastAsia" w:hAnsiTheme="minorHAnsi" w:cstheme="minorBidi"/>
            <w:color w:val="auto"/>
            <w:sz w:val="22"/>
            <w:szCs w:val="22"/>
          </w:rPr>
          <w:tab/>
        </w:r>
        <w:r w:rsidRPr="00CE04B6">
          <w:rPr>
            <w:rStyle w:val="Hyperlink"/>
          </w:rPr>
          <w:t>Restructuring of administrative arrangements</w:t>
        </w:r>
        <w:r>
          <w:rPr>
            <w:webHidden/>
          </w:rPr>
          <w:tab/>
        </w:r>
        <w:r>
          <w:rPr>
            <w:webHidden/>
          </w:rPr>
          <w:fldChar w:fldCharType="begin"/>
        </w:r>
        <w:r>
          <w:rPr>
            <w:webHidden/>
          </w:rPr>
          <w:instrText xml:space="preserve"> PAGEREF _Toc497125472 \h </w:instrText>
        </w:r>
        <w:r>
          <w:rPr>
            <w:webHidden/>
          </w:rPr>
        </w:r>
        <w:r>
          <w:rPr>
            <w:webHidden/>
          </w:rPr>
          <w:fldChar w:fldCharType="separate"/>
        </w:r>
        <w:r w:rsidR="00972891">
          <w:rPr>
            <w:webHidden/>
          </w:rPr>
          <w:t>25</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73" w:history="1">
        <w:r w:rsidRPr="00CE04B6">
          <w:rPr>
            <w:rStyle w:val="Hyperlink"/>
          </w:rPr>
          <w:t>5.</w:t>
        </w:r>
        <w:r>
          <w:rPr>
            <w:rFonts w:asciiTheme="minorHAnsi" w:eastAsiaTheme="minorEastAsia" w:hAnsiTheme="minorHAnsi" w:cstheme="minorBidi"/>
            <w:color w:val="auto"/>
            <w:sz w:val="22"/>
            <w:szCs w:val="22"/>
          </w:rPr>
          <w:tab/>
        </w:r>
        <w:r w:rsidRPr="00CE04B6">
          <w:rPr>
            <w:rStyle w:val="Hyperlink"/>
          </w:rPr>
          <w:t>Key assets available to support output delivery</w:t>
        </w:r>
        <w:r>
          <w:rPr>
            <w:webHidden/>
          </w:rPr>
          <w:tab/>
        </w:r>
        <w:r>
          <w:rPr>
            <w:webHidden/>
          </w:rPr>
          <w:fldChar w:fldCharType="begin"/>
        </w:r>
        <w:r>
          <w:rPr>
            <w:webHidden/>
          </w:rPr>
          <w:instrText xml:space="preserve"> PAGEREF _Toc497125473 \h </w:instrText>
        </w:r>
        <w:r>
          <w:rPr>
            <w:webHidden/>
          </w:rPr>
        </w:r>
        <w:r>
          <w:rPr>
            <w:webHidden/>
          </w:rPr>
          <w:fldChar w:fldCharType="separate"/>
        </w:r>
        <w:r w:rsidR="00972891">
          <w:rPr>
            <w:webHidden/>
          </w:rPr>
          <w:t>26</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4" w:history="1">
        <w:r w:rsidRPr="00CE04B6">
          <w:rPr>
            <w:rStyle w:val="Hyperlink"/>
          </w:rPr>
          <w:t>5.1</w:t>
        </w:r>
        <w:r>
          <w:rPr>
            <w:rFonts w:asciiTheme="minorHAnsi" w:eastAsiaTheme="minorEastAsia" w:hAnsiTheme="minorHAnsi" w:cstheme="minorBidi"/>
            <w:color w:val="auto"/>
            <w:sz w:val="22"/>
            <w:szCs w:val="22"/>
          </w:rPr>
          <w:tab/>
        </w:r>
        <w:r w:rsidRPr="00CE04B6">
          <w:rPr>
            <w:rStyle w:val="Hyperlink"/>
          </w:rPr>
          <w:t>Property, plant and equipment</w:t>
        </w:r>
        <w:r>
          <w:rPr>
            <w:webHidden/>
          </w:rPr>
          <w:tab/>
        </w:r>
        <w:r>
          <w:rPr>
            <w:webHidden/>
          </w:rPr>
          <w:fldChar w:fldCharType="begin"/>
        </w:r>
        <w:r>
          <w:rPr>
            <w:webHidden/>
          </w:rPr>
          <w:instrText xml:space="preserve"> PAGEREF _Toc497125474 \h </w:instrText>
        </w:r>
        <w:r>
          <w:rPr>
            <w:webHidden/>
          </w:rPr>
        </w:r>
        <w:r>
          <w:rPr>
            <w:webHidden/>
          </w:rPr>
          <w:fldChar w:fldCharType="separate"/>
        </w:r>
        <w:r w:rsidR="00972891">
          <w:rPr>
            <w:webHidden/>
          </w:rPr>
          <w:t>26</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5" w:history="1">
        <w:r w:rsidRPr="00CE04B6">
          <w:rPr>
            <w:rStyle w:val="Hyperlink"/>
          </w:rPr>
          <w:t>5.2</w:t>
        </w:r>
        <w:r>
          <w:rPr>
            <w:rFonts w:asciiTheme="minorHAnsi" w:eastAsiaTheme="minorEastAsia" w:hAnsiTheme="minorHAnsi" w:cstheme="minorBidi"/>
            <w:color w:val="auto"/>
            <w:sz w:val="22"/>
            <w:szCs w:val="22"/>
          </w:rPr>
          <w:tab/>
        </w:r>
        <w:r w:rsidRPr="00CE04B6">
          <w:rPr>
            <w:rStyle w:val="Hyperlink"/>
          </w:rPr>
          <w:t>Intangible assets</w:t>
        </w:r>
        <w:r>
          <w:rPr>
            <w:webHidden/>
          </w:rPr>
          <w:tab/>
        </w:r>
        <w:r>
          <w:rPr>
            <w:webHidden/>
          </w:rPr>
          <w:fldChar w:fldCharType="begin"/>
        </w:r>
        <w:r>
          <w:rPr>
            <w:webHidden/>
          </w:rPr>
          <w:instrText xml:space="preserve"> PAGEREF _Toc497125475 \h </w:instrText>
        </w:r>
        <w:r>
          <w:rPr>
            <w:webHidden/>
          </w:rPr>
        </w:r>
        <w:r>
          <w:rPr>
            <w:webHidden/>
          </w:rPr>
          <w:fldChar w:fldCharType="separate"/>
        </w:r>
        <w:r w:rsidR="00972891">
          <w:rPr>
            <w:webHidden/>
          </w:rPr>
          <w:t>31</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76" w:history="1">
        <w:r w:rsidRPr="00CE04B6">
          <w:rPr>
            <w:rStyle w:val="Hyperlink"/>
          </w:rPr>
          <w:t>6.</w:t>
        </w:r>
        <w:r>
          <w:rPr>
            <w:rFonts w:asciiTheme="minorHAnsi" w:eastAsiaTheme="minorEastAsia" w:hAnsiTheme="minorHAnsi" w:cstheme="minorBidi"/>
            <w:color w:val="auto"/>
            <w:sz w:val="22"/>
            <w:szCs w:val="22"/>
          </w:rPr>
          <w:tab/>
        </w:r>
        <w:r w:rsidRPr="00CE04B6">
          <w:rPr>
            <w:rStyle w:val="Hyperlink"/>
          </w:rPr>
          <w:t>Other assets and liabilities</w:t>
        </w:r>
        <w:r>
          <w:rPr>
            <w:webHidden/>
          </w:rPr>
          <w:tab/>
        </w:r>
        <w:r>
          <w:rPr>
            <w:webHidden/>
          </w:rPr>
          <w:fldChar w:fldCharType="begin"/>
        </w:r>
        <w:r>
          <w:rPr>
            <w:webHidden/>
          </w:rPr>
          <w:instrText xml:space="preserve"> PAGEREF _Toc497125476 \h </w:instrText>
        </w:r>
        <w:r>
          <w:rPr>
            <w:webHidden/>
          </w:rPr>
        </w:r>
        <w:r>
          <w:rPr>
            <w:webHidden/>
          </w:rPr>
          <w:fldChar w:fldCharType="separate"/>
        </w:r>
        <w:r w:rsidR="00972891">
          <w:rPr>
            <w:webHidden/>
          </w:rPr>
          <w:t>33</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7" w:history="1">
        <w:r w:rsidRPr="00CE04B6">
          <w:rPr>
            <w:rStyle w:val="Hyperlink"/>
          </w:rPr>
          <w:t>6.1</w:t>
        </w:r>
        <w:r>
          <w:rPr>
            <w:rFonts w:asciiTheme="minorHAnsi" w:eastAsiaTheme="minorEastAsia" w:hAnsiTheme="minorHAnsi" w:cstheme="minorBidi"/>
            <w:color w:val="auto"/>
            <w:sz w:val="22"/>
            <w:szCs w:val="22"/>
          </w:rPr>
          <w:tab/>
        </w:r>
        <w:r w:rsidRPr="00CE04B6">
          <w:rPr>
            <w:rStyle w:val="Hyperlink"/>
          </w:rPr>
          <w:t>Receivables</w:t>
        </w:r>
        <w:r>
          <w:rPr>
            <w:webHidden/>
          </w:rPr>
          <w:tab/>
        </w:r>
        <w:r>
          <w:rPr>
            <w:webHidden/>
          </w:rPr>
          <w:fldChar w:fldCharType="begin"/>
        </w:r>
        <w:r>
          <w:rPr>
            <w:webHidden/>
          </w:rPr>
          <w:instrText xml:space="preserve"> PAGEREF _Toc497125477 \h </w:instrText>
        </w:r>
        <w:r>
          <w:rPr>
            <w:webHidden/>
          </w:rPr>
        </w:r>
        <w:r>
          <w:rPr>
            <w:webHidden/>
          </w:rPr>
          <w:fldChar w:fldCharType="separate"/>
        </w:r>
        <w:r w:rsidR="00972891">
          <w:rPr>
            <w:webHidden/>
          </w:rPr>
          <w:t>33</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8" w:history="1">
        <w:r w:rsidRPr="00CE04B6">
          <w:rPr>
            <w:rStyle w:val="Hyperlink"/>
          </w:rPr>
          <w:t>6.2</w:t>
        </w:r>
        <w:r>
          <w:rPr>
            <w:rFonts w:asciiTheme="minorHAnsi" w:eastAsiaTheme="minorEastAsia" w:hAnsiTheme="minorHAnsi" w:cstheme="minorBidi"/>
            <w:color w:val="auto"/>
            <w:sz w:val="22"/>
            <w:szCs w:val="22"/>
          </w:rPr>
          <w:tab/>
        </w:r>
        <w:r w:rsidRPr="00CE04B6">
          <w:rPr>
            <w:rStyle w:val="Hyperlink"/>
          </w:rPr>
          <w:t>Payables</w:t>
        </w:r>
        <w:r>
          <w:rPr>
            <w:webHidden/>
          </w:rPr>
          <w:tab/>
        </w:r>
        <w:r>
          <w:rPr>
            <w:webHidden/>
          </w:rPr>
          <w:fldChar w:fldCharType="begin"/>
        </w:r>
        <w:r>
          <w:rPr>
            <w:webHidden/>
          </w:rPr>
          <w:instrText xml:space="preserve"> PAGEREF _Toc497125478 \h </w:instrText>
        </w:r>
        <w:r>
          <w:rPr>
            <w:webHidden/>
          </w:rPr>
        </w:r>
        <w:r>
          <w:rPr>
            <w:webHidden/>
          </w:rPr>
          <w:fldChar w:fldCharType="separate"/>
        </w:r>
        <w:r w:rsidR="00972891">
          <w:rPr>
            <w:webHidden/>
          </w:rPr>
          <w:t>34</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79" w:history="1">
        <w:r w:rsidRPr="00CE04B6">
          <w:rPr>
            <w:rStyle w:val="Hyperlink"/>
          </w:rPr>
          <w:t>6.3</w:t>
        </w:r>
        <w:r>
          <w:rPr>
            <w:rFonts w:asciiTheme="minorHAnsi" w:eastAsiaTheme="minorEastAsia" w:hAnsiTheme="minorHAnsi" w:cstheme="minorBidi"/>
            <w:color w:val="auto"/>
            <w:sz w:val="22"/>
            <w:szCs w:val="22"/>
          </w:rPr>
          <w:tab/>
        </w:r>
        <w:r w:rsidRPr="00CE04B6">
          <w:rPr>
            <w:rStyle w:val="Hyperlink"/>
          </w:rPr>
          <w:t>Other non</w:t>
        </w:r>
        <w:r w:rsidRPr="00CE04B6">
          <w:rPr>
            <w:rStyle w:val="Hyperlink"/>
            <w:rFonts w:ascii="Cambria Math" w:hAnsi="Cambria Math" w:cs="Cambria Math"/>
          </w:rPr>
          <w:t>‐</w:t>
        </w:r>
        <w:r w:rsidRPr="00CE04B6">
          <w:rPr>
            <w:rStyle w:val="Hyperlink"/>
          </w:rPr>
          <w:t>financial assets</w:t>
        </w:r>
        <w:r>
          <w:rPr>
            <w:webHidden/>
          </w:rPr>
          <w:tab/>
        </w:r>
        <w:r>
          <w:rPr>
            <w:webHidden/>
          </w:rPr>
          <w:fldChar w:fldCharType="begin"/>
        </w:r>
        <w:r>
          <w:rPr>
            <w:webHidden/>
          </w:rPr>
          <w:instrText xml:space="preserve"> PAGEREF _Toc497125479 \h </w:instrText>
        </w:r>
        <w:r>
          <w:rPr>
            <w:webHidden/>
          </w:rPr>
        </w:r>
        <w:r>
          <w:rPr>
            <w:webHidden/>
          </w:rPr>
          <w:fldChar w:fldCharType="separate"/>
        </w:r>
        <w:r w:rsidR="00972891">
          <w:rPr>
            <w:webHidden/>
          </w:rPr>
          <w:t>35</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80" w:history="1">
        <w:r w:rsidRPr="00CE04B6">
          <w:rPr>
            <w:rStyle w:val="Hyperlink"/>
          </w:rPr>
          <w:t>7.</w:t>
        </w:r>
        <w:r>
          <w:rPr>
            <w:rFonts w:asciiTheme="minorHAnsi" w:eastAsiaTheme="minorEastAsia" w:hAnsiTheme="minorHAnsi" w:cstheme="minorBidi"/>
            <w:color w:val="auto"/>
            <w:sz w:val="22"/>
            <w:szCs w:val="22"/>
          </w:rPr>
          <w:tab/>
        </w:r>
        <w:r w:rsidRPr="00CE04B6">
          <w:rPr>
            <w:rStyle w:val="Hyperlink"/>
          </w:rPr>
          <w:t>How we financed our operations</w:t>
        </w:r>
        <w:r>
          <w:rPr>
            <w:webHidden/>
          </w:rPr>
          <w:tab/>
        </w:r>
        <w:r>
          <w:rPr>
            <w:webHidden/>
          </w:rPr>
          <w:fldChar w:fldCharType="begin"/>
        </w:r>
        <w:r>
          <w:rPr>
            <w:webHidden/>
          </w:rPr>
          <w:instrText xml:space="preserve"> PAGEREF _Toc497125480 \h </w:instrText>
        </w:r>
        <w:r>
          <w:rPr>
            <w:webHidden/>
          </w:rPr>
        </w:r>
        <w:r>
          <w:rPr>
            <w:webHidden/>
          </w:rPr>
          <w:fldChar w:fldCharType="separate"/>
        </w:r>
        <w:r w:rsidR="00972891">
          <w:rPr>
            <w:webHidden/>
          </w:rPr>
          <w:t>36</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1" w:history="1">
        <w:r w:rsidRPr="00CE04B6">
          <w:rPr>
            <w:rStyle w:val="Hyperlink"/>
          </w:rPr>
          <w:t>7.1</w:t>
        </w:r>
        <w:r>
          <w:rPr>
            <w:rFonts w:asciiTheme="minorHAnsi" w:eastAsiaTheme="minorEastAsia" w:hAnsiTheme="minorHAnsi" w:cstheme="minorBidi"/>
            <w:color w:val="auto"/>
            <w:sz w:val="22"/>
            <w:szCs w:val="22"/>
          </w:rPr>
          <w:tab/>
        </w:r>
        <w:r w:rsidRPr="00CE04B6">
          <w:rPr>
            <w:rStyle w:val="Hyperlink"/>
          </w:rPr>
          <w:t>Borrowings</w:t>
        </w:r>
        <w:r>
          <w:rPr>
            <w:webHidden/>
          </w:rPr>
          <w:tab/>
        </w:r>
        <w:r>
          <w:rPr>
            <w:webHidden/>
          </w:rPr>
          <w:fldChar w:fldCharType="begin"/>
        </w:r>
        <w:r>
          <w:rPr>
            <w:webHidden/>
          </w:rPr>
          <w:instrText xml:space="preserve"> PAGEREF _Toc497125481 \h </w:instrText>
        </w:r>
        <w:r>
          <w:rPr>
            <w:webHidden/>
          </w:rPr>
        </w:r>
        <w:r>
          <w:rPr>
            <w:webHidden/>
          </w:rPr>
          <w:fldChar w:fldCharType="separate"/>
        </w:r>
        <w:r w:rsidR="00972891">
          <w:rPr>
            <w:webHidden/>
          </w:rPr>
          <w:t>36</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2" w:history="1">
        <w:r w:rsidRPr="00CE04B6">
          <w:rPr>
            <w:rStyle w:val="Hyperlink"/>
          </w:rPr>
          <w:t>7.2</w:t>
        </w:r>
        <w:r>
          <w:rPr>
            <w:rFonts w:asciiTheme="minorHAnsi" w:eastAsiaTheme="minorEastAsia" w:hAnsiTheme="minorHAnsi" w:cstheme="minorBidi"/>
            <w:color w:val="auto"/>
            <w:sz w:val="22"/>
            <w:szCs w:val="22"/>
          </w:rPr>
          <w:tab/>
        </w:r>
        <w:r w:rsidRPr="00CE04B6">
          <w:rPr>
            <w:rStyle w:val="Hyperlink"/>
          </w:rPr>
          <w:t>Leases</w:t>
        </w:r>
        <w:r>
          <w:rPr>
            <w:webHidden/>
          </w:rPr>
          <w:tab/>
        </w:r>
        <w:r>
          <w:rPr>
            <w:webHidden/>
          </w:rPr>
          <w:fldChar w:fldCharType="begin"/>
        </w:r>
        <w:r>
          <w:rPr>
            <w:webHidden/>
          </w:rPr>
          <w:instrText xml:space="preserve"> PAGEREF _Toc497125482 \h </w:instrText>
        </w:r>
        <w:r>
          <w:rPr>
            <w:webHidden/>
          </w:rPr>
        </w:r>
        <w:r>
          <w:rPr>
            <w:webHidden/>
          </w:rPr>
          <w:fldChar w:fldCharType="separate"/>
        </w:r>
        <w:r w:rsidR="00972891">
          <w:rPr>
            <w:webHidden/>
          </w:rPr>
          <w:t>38</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3" w:history="1">
        <w:r w:rsidRPr="00CE04B6">
          <w:rPr>
            <w:rStyle w:val="Hyperlink"/>
          </w:rPr>
          <w:t>7.3</w:t>
        </w:r>
        <w:r>
          <w:rPr>
            <w:rFonts w:asciiTheme="minorHAnsi" w:eastAsiaTheme="minorEastAsia" w:hAnsiTheme="minorHAnsi" w:cstheme="minorBidi"/>
            <w:color w:val="auto"/>
            <w:sz w:val="22"/>
            <w:szCs w:val="22"/>
          </w:rPr>
          <w:tab/>
        </w:r>
        <w:r w:rsidRPr="00CE04B6">
          <w:rPr>
            <w:rStyle w:val="Hyperlink"/>
          </w:rPr>
          <w:t>Cash flow information and balances</w:t>
        </w:r>
        <w:r>
          <w:rPr>
            <w:webHidden/>
          </w:rPr>
          <w:tab/>
        </w:r>
        <w:r>
          <w:rPr>
            <w:webHidden/>
          </w:rPr>
          <w:fldChar w:fldCharType="begin"/>
        </w:r>
        <w:r>
          <w:rPr>
            <w:webHidden/>
          </w:rPr>
          <w:instrText xml:space="preserve"> PAGEREF _Toc497125483 \h </w:instrText>
        </w:r>
        <w:r>
          <w:rPr>
            <w:webHidden/>
          </w:rPr>
        </w:r>
        <w:r>
          <w:rPr>
            <w:webHidden/>
          </w:rPr>
          <w:fldChar w:fldCharType="separate"/>
        </w:r>
        <w:r w:rsidR="00972891">
          <w:rPr>
            <w:webHidden/>
          </w:rPr>
          <w:t>38</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4" w:history="1">
        <w:r w:rsidRPr="00CE04B6">
          <w:rPr>
            <w:rStyle w:val="Hyperlink"/>
          </w:rPr>
          <w:t>7.4</w:t>
        </w:r>
        <w:r>
          <w:rPr>
            <w:rFonts w:asciiTheme="minorHAnsi" w:eastAsiaTheme="minorEastAsia" w:hAnsiTheme="minorHAnsi" w:cstheme="minorBidi"/>
            <w:color w:val="auto"/>
            <w:sz w:val="22"/>
            <w:szCs w:val="22"/>
          </w:rPr>
          <w:tab/>
        </w:r>
        <w:r w:rsidRPr="00CE04B6">
          <w:rPr>
            <w:rStyle w:val="Hyperlink"/>
          </w:rPr>
          <w:t>Trust account balances</w:t>
        </w:r>
        <w:r>
          <w:rPr>
            <w:webHidden/>
          </w:rPr>
          <w:tab/>
        </w:r>
        <w:r>
          <w:rPr>
            <w:webHidden/>
          </w:rPr>
          <w:fldChar w:fldCharType="begin"/>
        </w:r>
        <w:r>
          <w:rPr>
            <w:webHidden/>
          </w:rPr>
          <w:instrText xml:space="preserve"> PAGEREF _Toc497125484 \h </w:instrText>
        </w:r>
        <w:r>
          <w:rPr>
            <w:webHidden/>
          </w:rPr>
        </w:r>
        <w:r>
          <w:rPr>
            <w:webHidden/>
          </w:rPr>
          <w:fldChar w:fldCharType="separate"/>
        </w:r>
        <w:r w:rsidR="00972891">
          <w:rPr>
            <w:webHidden/>
          </w:rPr>
          <w:t>39</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5" w:history="1">
        <w:r w:rsidRPr="00CE04B6">
          <w:rPr>
            <w:rStyle w:val="Hyperlink"/>
          </w:rPr>
          <w:t>7.5</w:t>
        </w:r>
        <w:r>
          <w:rPr>
            <w:rFonts w:asciiTheme="minorHAnsi" w:eastAsiaTheme="minorEastAsia" w:hAnsiTheme="minorHAnsi" w:cstheme="minorBidi"/>
            <w:color w:val="auto"/>
            <w:sz w:val="22"/>
            <w:szCs w:val="22"/>
          </w:rPr>
          <w:tab/>
        </w:r>
        <w:r w:rsidRPr="00CE04B6">
          <w:rPr>
            <w:rStyle w:val="Hyperlink"/>
          </w:rPr>
          <w:t>Commitments for expenditure</w:t>
        </w:r>
        <w:r>
          <w:rPr>
            <w:webHidden/>
          </w:rPr>
          <w:tab/>
        </w:r>
        <w:r>
          <w:rPr>
            <w:webHidden/>
          </w:rPr>
          <w:fldChar w:fldCharType="begin"/>
        </w:r>
        <w:r>
          <w:rPr>
            <w:webHidden/>
          </w:rPr>
          <w:instrText xml:space="preserve"> PAGEREF _Toc497125485 \h </w:instrText>
        </w:r>
        <w:r>
          <w:rPr>
            <w:webHidden/>
          </w:rPr>
        </w:r>
        <w:r>
          <w:rPr>
            <w:webHidden/>
          </w:rPr>
          <w:fldChar w:fldCharType="separate"/>
        </w:r>
        <w:r w:rsidR="00972891">
          <w:rPr>
            <w:webHidden/>
          </w:rPr>
          <w:t>42</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86" w:history="1">
        <w:r w:rsidRPr="00CE04B6">
          <w:rPr>
            <w:rStyle w:val="Hyperlink"/>
          </w:rPr>
          <w:t>8.</w:t>
        </w:r>
        <w:r>
          <w:rPr>
            <w:rFonts w:asciiTheme="minorHAnsi" w:eastAsiaTheme="minorEastAsia" w:hAnsiTheme="minorHAnsi" w:cstheme="minorBidi"/>
            <w:color w:val="auto"/>
            <w:sz w:val="22"/>
            <w:szCs w:val="22"/>
          </w:rPr>
          <w:tab/>
        </w:r>
        <w:r w:rsidRPr="00CE04B6">
          <w:rPr>
            <w:rStyle w:val="Hyperlink"/>
          </w:rPr>
          <w:t>Risks, contingencies and valuation judgements</w:t>
        </w:r>
        <w:r>
          <w:rPr>
            <w:webHidden/>
          </w:rPr>
          <w:tab/>
        </w:r>
        <w:r>
          <w:rPr>
            <w:webHidden/>
          </w:rPr>
          <w:fldChar w:fldCharType="begin"/>
        </w:r>
        <w:r>
          <w:rPr>
            <w:webHidden/>
          </w:rPr>
          <w:instrText xml:space="preserve"> PAGEREF _Toc497125486 \h </w:instrText>
        </w:r>
        <w:r>
          <w:rPr>
            <w:webHidden/>
          </w:rPr>
        </w:r>
        <w:r>
          <w:rPr>
            <w:webHidden/>
          </w:rPr>
          <w:fldChar w:fldCharType="separate"/>
        </w:r>
        <w:r w:rsidR="00972891">
          <w:rPr>
            <w:webHidden/>
          </w:rPr>
          <w:t>44</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7" w:history="1">
        <w:r w:rsidRPr="00CE04B6">
          <w:rPr>
            <w:rStyle w:val="Hyperlink"/>
          </w:rPr>
          <w:t>8.1</w:t>
        </w:r>
        <w:r>
          <w:rPr>
            <w:rFonts w:asciiTheme="minorHAnsi" w:eastAsiaTheme="minorEastAsia" w:hAnsiTheme="minorHAnsi" w:cstheme="minorBidi"/>
            <w:color w:val="auto"/>
            <w:sz w:val="22"/>
            <w:szCs w:val="22"/>
          </w:rPr>
          <w:tab/>
        </w:r>
        <w:r w:rsidRPr="00CE04B6">
          <w:rPr>
            <w:rStyle w:val="Hyperlink"/>
          </w:rPr>
          <w:t>Financial instruments specific disclosures</w:t>
        </w:r>
        <w:r>
          <w:rPr>
            <w:webHidden/>
          </w:rPr>
          <w:tab/>
        </w:r>
        <w:r>
          <w:rPr>
            <w:webHidden/>
          </w:rPr>
          <w:fldChar w:fldCharType="begin"/>
        </w:r>
        <w:r>
          <w:rPr>
            <w:webHidden/>
          </w:rPr>
          <w:instrText xml:space="preserve"> PAGEREF _Toc497125487 \h </w:instrText>
        </w:r>
        <w:r>
          <w:rPr>
            <w:webHidden/>
          </w:rPr>
        </w:r>
        <w:r>
          <w:rPr>
            <w:webHidden/>
          </w:rPr>
          <w:fldChar w:fldCharType="separate"/>
        </w:r>
        <w:r w:rsidR="00972891">
          <w:rPr>
            <w:webHidden/>
          </w:rPr>
          <w:t>44</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8" w:history="1">
        <w:r w:rsidRPr="00CE04B6">
          <w:rPr>
            <w:rStyle w:val="Hyperlink"/>
          </w:rPr>
          <w:t>8.2</w:t>
        </w:r>
        <w:r>
          <w:rPr>
            <w:rFonts w:asciiTheme="minorHAnsi" w:eastAsiaTheme="minorEastAsia" w:hAnsiTheme="minorHAnsi" w:cstheme="minorBidi"/>
            <w:color w:val="auto"/>
            <w:sz w:val="22"/>
            <w:szCs w:val="22"/>
          </w:rPr>
          <w:tab/>
        </w:r>
        <w:r w:rsidRPr="00CE04B6">
          <w:rPr>
            <w:rStyle w:val="Hyperlink"/>
          </w:rPr>
          <w:t>Contingent assets and contingent liabilities</w:t>
        </w:r>
        <w:r>
          <w:rPr>
            <w:webHidden/>
          </w:rPr>
          <w:tab/>
        </w:r>
        <w:r>
          <w:rPr>
            <w:webHidden/>
          </w:rPr>
          <w:fldChar w:fldCharType="begin"/>
        </w:r>
        <w:r>
          <w:rPr>
            <w:webHidden/>
          </w:rPr>
          <w:instrText xml:space="preserve"> PAGEREF _Toc497125488 \h </w:instrText>
        </w:r>
        <w:r>
          <w:rPr>
            <w:webHidden/>
          </w:rPr>
        </w:r>
        <w:r>
          <w:rPr>
            <w:webHidden/>
          </w:rPr>
          <w:fldChar w:fldCharType="separate"/>
        </w:r>
        <w:r w:rsidR="00972891">
          <w:rPr>
            <w:webHidden/>
          </w:rPr>
          <w:t>48</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89" w:history="1">
        <w:r w:rsidRPr="00CE04B6">
          <w:rPr>
            <w:rStyle w:val="Hyperlink"/>
          </w:rPr>
          <w:t>8.3</w:t>
        </w:r>
        <w:r>
          <w:rPr>
            <w:rFonts w:asciiTheme="minorHAnsi" w:eastAsiaTheme="minorEastAsia" w:hAnsiTheme="minorHAnsi" w:cstheme="minorBidi"/>
            <w:color w:val="auto"/>
            <w:sz w:val="22"/>
            <w:szCs w:val="22"/>
          </w:rPr>
          <w:tab/>
        </w:r>
        <w:r w:rsidRPr="00CE04B6">
          <w:rPr>
            <w:rStyle w:val="Hyperlink"/>
          </w:rPr>
          <w:t>Fair value determination</w:t>
        </w:r>
        <w:r>
          <w:rPr>
            <w:webHidden/>
          </w:rPr>
          <w:tab/>
        </w:r>
        <w:r>
          <w:rPr>
            <w:webHidden/>
          </w:rPr>
          <w:fldChar w:fldCharType="begin"/>
        </w:r>
        <w:r>
          <w:rPr>
            <w:webHidden/>
          </w:rPr>
          <w:instrText xml:space="preserve"> PAGEREF _Toc497125489 \h </w:instrText>
        </w:r>
        <w:r>
          <w:rPr>
            <w:webHidden/>
          </w:rPr>
        </w:r>
        <w:r>
          <w:rPr>
            <w:webHidden/>
          </w:rPr>
          <w:fldChar w:fldCharType="separate"/>
        </w:r>
        <w:r w:rsidR="00972891">
          <w:rPr>
            <w:webHidden/>
          </w:rPr>
          <w:t>49</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90" w:history="1">
        <w:r w:rsidRPr="00CE04B6">
          <w:rPr>
            <w:rStyle w:val="Hyperlink"/>
          </w:rPr>
          <w:t>9.</w:t>
        </w:r>
        <w:r>
          <w:rPr>
            <w:rFonts w:asciiTheme="minorHAnsi" w:eastAsiaTheme="minorEastAsia" w:hAnsiTheme="minorHAnsi" w:cstheme="minorBidi"/>
            <w:color w:val="auto"/>
            <w:sz w:val="22"/>
            <w:szCs w:val="22"/>
          </w:rPr>
          <w:tab/>
        </w:r>
        <w:r w:rsidRPr="00CE04B6">
          <w:rPr>
            <w:rStyle w:val="Hyperlink"/>
          </w:rPr>
          <w:t>Other disclosures</w:t>
        </w:r>
        <w:r>
          <w:rPr>
            <w:webHidden/>
          </w:rPr>
          <w:tab/>
        </w:r>
        <w:r>
          <w:rPr>
            <w:webHidden/>
          </w:rPr>
          <w:fldChar w:fldCharType="begin"/>
        </w:r>
        <w:r>
          <w:rPr>
            <w:webHidden/>
          </w:rPr>
          <w:instrText xml:space="preserve"> PAGEREF _Toc497125490 \h </w:instrText>
        </w:r>
        <w:r>
          <w:rPr>
            <w:webHidden/>
          </w:rPr>
        </w:r>
        <w:r>
          <w:rPr>
            <w:webHidden/>
          </w:rPr>
          <w:fldChar w:fldCharType="separate"/>
        </w:r>
        <w:r w:rsidR="00972891">
          <w:rPr>
            <w:webHidden/>
          </w:rPr>
          <w:t>57</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91" w:history="1">
        <w:r w:rsidRPr="00CE04B6">
          <w:rPr>
            <w:rStyle w:val="Hyperlink"/>
          </w:rPr>
          <w:t>9.1</w:t>
        </w:r>
        <w:r>
          <w:rPr>
            <w:rFonts w:asciiTheme="minorHAnsi" w:eastAsiaTheme="minorEastAsia" w:hAnsiTheme="minorHAnsi" w:cstheme="minorBidi"/>
            <w:color w:val="auto"/>
            <w:sz w:val="22"/>
            <w:szCs w:val="22"/>
          </w:rPr>
          <w:tab/>
        </w:r>
        <w:r w:rsidRPr="00CE04B6">
          <w:rPr>
            <w:rStyle w:val="Hyperlink"/>
          </w:rPr>
          <w:t>Other economic flows included in net result</w:t>
        </w:r>
        <w:r>
          <w:rPr>
            <w:webHidden/>
          </w:rPr>
          <w:tab/>
        </w:r>
        <w:r>
          <w:rPr>
            <w:webHidden/>
          </w:rPr>
          <w:fldChar w:fldCharType="begin"/>
        </w:r>
        <w:r>
          <w:rPr>
            <w:webHidden/>
          </w:rPr>
          <w:instrText xml:space="preserve"> PAGEREF _Toc497125491 \h </w:instrText>
        </w:r>
        <w:r>
          <w:rPr>
            <w:webHidden/>
          </w:rPr>
        </w:r>
        <w:r>
          <w:rPr>
            <w:webHidden/>
          </w:rPr>
          <w:fldChar w:fldCharType="separate"/>
        </w:r>
        <w:r w:rsidR="00972891">
          <w:rPr>
            <w:webHidden/>
          </w:rPr>
          <w:t>57</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92" w:history="1">
        <w:r w:rsidRPr="00CE04B6">
          <w:rPr>
            <w:rStyle w:val="Hyperlink"/>
          </w:rPr>
          <w:t>9.2</w:t>
        </w:r>
        <w:r>
          <w:rPr>
            <w:rFonts w:asciiTheme="minorHAnsi" w:eastAsiaTheme="minorEastAsia" w:hAnsiTheme="minorHAnsi" w:cstheme="minorBidi"/>
            <w:color w:val="auto"/>
            <w:sz w:val="22"/>
            <w:szCs w:val="22"/>
          </w:rPr>
          <w:tab/>
        </w:r>
        <w:r w:rsidRPr="00CE04B6">
          <w:rPr>
            <w:rStyle w:val="Hyperlink"/>
          </w:rPr>
          <w:t>Non</w:t>
        </w:r>
        <w:r w:rsidRPr="00CE04B6">
          <w:rPr>
            <w:rStyle w:val="Hyperlink"/>
            <w:rFonts w:ascii="Cambria Math" w:hAnsi="Cambria Math" w:cs="Cambria Math"/>
          </w:rPr>
          <w:t>‐</w:t>
        </w:r>
        <w:r w:rsidRPr="00CE04B6">
          <w:rPr>
            <w:rStyle w:val="Hyperlink"/>
          </w:rPr>
          <w:t>financial physical assets classified as held for sale</w:t>
        </w:r>
        <w:r>
          <w:rPr>
            <w:webHidden/>
          </w:rPr>
          <w:tab/>
        </w:r>
        <w:r>
          <w:rPr>
            <w:webHidden/>
          </w:rPr>
          <w:fldChar w:fldCharType="begin"/>
        </w:r>
        <w:r>
          <w:rPr>
            <w:webHidden/>
          </w:rPr>
          <w:instrText xml:space="preserve"> PAGEREF _Toc497125492 \h </w:instrText>
        </w:r>
        <w:r>
          <w:rPr>
            <w:webHidden/>
          </w:rPr>
        </w:r>
        <w:r>
          <w:rPr>
            <w:webHidden/>
          </w:rPr>
          <w:fldChar w:fldCharType="separate"/>
        </w:r>
        <w:r w:rsidR="00972891">
          <w:rPr>
            <w:webHidden/>
          </w:rPr>
          <w:t>57</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93" w:history="1">
        <w:r w:rsidRPr="00CE04B6">
          <w:rPr>
            <w:rStyle w:val="Hyperlink"/>
          </w:rPr>
          <w:t>9.3</w:t>
        </w:r>
        <w:r>
          <w:rPr>
            <w:rFonts w:asciiTheme="minorHAnsi" w:eastAsiaTheme="minorEastAsia" w:hAnsiTheme="minorHAnsi" w:cstheme="minorBidi"/>
            <w:color w:val="auto"/>
            <w:sz w:val="22"/>
            <w:szCs w:val="22"/>
          </w:rPr>
          <w:tab/>
        </w:r>
        <w:r w:rsidRPr="00CE04B6">
          <w:rPr>
            <w:rStyle w:val="Hyperlink"/>
          </w:rPr>
          <w:t>Responsible persons</w:t>
        </w:r>
        <w:r>
          <w:rPr>
            <w:webHidden/>
          </w:rPr>
          <w:tab/>
        </w:r>
        <w:r>
          <w:rPr>
            <w:webHidden/>
          </w:rPr>
          <w:fldChar w:fldCharType="begin"/>
        </w:r>
        <w:r>
          <w:rPr>
            <w:webHidden/>
          </w:rPr>
          <w:instrText xml:space="preserve"> PAGEREF _Toc497125493 \h </w:instrText>
        </w:r>
        <w:r>
          <w:rPr>
            <w:webHidden/>
          </w:rPr>
        </w:r>
        <w:r>
          <w:rPr>
            <w:webHidden/>
          </w:rPr>
          <w:fldChar w:fldCharType="separate"/>
        </w:r>
        <w:r w:rsidR="00972891">
          <w:rPr>
            <w:webHidden/>
          </w:rPr>
          <w:t>58</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94" w:history="1">
        <w:r w:rsidRPr="00CE04B6">
          <w:rPr>
            <w:rStyle w:val="Hyperlink"/>
          </w:rPr>
          <w:t>9.4</w:t>
        </w:r>
        <w:r>
          <w:rPr>
            <w:rFonts w:asciiTheme="minorHAnsi" w:eastAsiaTheme="minorEastAsia" w:hAnsiTheme="minorHAnsi" w:cstheme="minorBidi"/>
            <w:color w:val="auto"/>
            <w:sz w:val="22"/>
            <w:szCs w:val="22"/>
          </w:rPr>
          <w:tab/>
        </w:r>
        <w:r w:rsidRPr="00CE04B6">
          <w:rPr>
            <w:rStyle w:val="Hyperlink"/>
          </w:rPr>
          <w:t>Remuneration of executives and other personnel</w:t>
        </w:r>
        <w:r>
          <w:rPr>
            <w:webHidden/>
          </w:rPr>
          <w:tab/>
        </w:r>
        <w:r>
          <w:rPr>
            <w:webHidden/>
          </w:rPr>
          <w:fldChar w:fldCharType="begin"/>
        </w:r>
        <w:r>
          <w:rPr>
            <w:webHidden/>
          </w:rPr>
          <w:instrText xml:space="preserve"> PAGEREF _Toc497125494 \h </w:instrText>
        </w:r>
        <w:r>
          <w:rPr>
            <w:webHidden/>
          </w:rPr>
        </w:r>
        <w:r>
          <w:rPr>
            <w:webHidden/>
          </w:rPr>
          <w:fldChar w:fldCharType="separate"/>
        </w:r>
        <w:r w:rsidR="00972891">
          <w:rPr>
            <w:webHidden/>
          </w:rPr>
          <w:t>59</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95" w:history="1">
        <w:r w:rsidRPr="00CE04B6">
          <w:rPr>
            <w:rStyle w:val="Hyperlink"/>
          </w:rPr>
          <w:t>9.5</w:t>
        </w:r>
        <w:r>
          <w:rPr>
            <w:rFonts w:asciiTheme="minorHAnsi" w:eastAsiaTheme="minorEastAsia" w:hAnsiTheme="minorHAnsi" w:cstheme="minorBidi"/>
            <w:color w:val="auto"/>
            <w:sz w:val="22"/>
            <w:szCs w:val="22"/>
          </w:rPr>
          <w:tab/>
        </w:r>
        <w:r w:rsidRPr="00CE04B6">
          <w:rPr>
            <w:rStyle w:val="Hyperlink"/>
          </w:rPr>
          <w:t>Remuneration of auditors</w:t>
        </w:r>
        <w:r>
          <w:rPr>
            <w:webHidden/>
          </w:rPr>
          <w:tab/>
        </w:r>
        <w:r>
          <w:rPr>
            <w:webHidden/>
          </w:rPr>
          <w:fldChar w:fldCharType="begin"/>
        </w:r>
        <w:r>
          <w:rPr>
            <w:webHidden/>
          </w:rPr>
          <w:instrText xml:space="preserve"> PAGEREF _Toc497125495 \h </w:instrText>
        </w:r>
        <w:r>
          <w:rPr>
            <w:webHidden/>
          </w:rPr>
        </w:r>
        <w:r>
          <w:rPr>
            <w:webHidden/>
          </w:rPr>
          <w:fldChar w:fldCharType="separate"/>
        </w:r>
        <w:r w:rsidR="00972891">
          <w:rPr>
            <w:webHidden/>
          </w:rPr>
          <w:t>60</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96" w:history="1">
        <w:r w:rsidRPr="00CE04B6">
          <w:rPr>
            <w:rStyle w:val="Hyperlink"/>
          </w:rPr>
          <w:t>9.6</w:t>
        </w:r>
        <w:r>
          <w:rPr>
            <w:rFonts w:asciiTheme="minorHAnsi" w:eastAsiaTheme="minorEastAsia" w:hAnsiTheme="minorHAnsi" w:cstheme="minorBidi"/>
            <w:color w:val="auto"/>
            <w:sz w:val="22"/>
            <w:szCs w:val="22"/>
          </w:rPr>
          <w:tab/>
        </w:r>
        <w:r w:rsidRPr="00CE04B6">
          <w:rPr>
            <w:rStyle w:val="Hyperlink"/>
          </w:rPr>
          <w:t>Other accounting policies</w:t>
        </w:r>
        <w:r>
          <w:rPr>
            <w:webHidden/>
          </w:rPr>
          <w:tab/>
        </w:r>
        <w:r>
          <w:rPr>
            <w:webHidden/>
          </w:rPr>
          <w:fldChar w:fldCharType="begin"/>
        </w:r>
        <w:r>
          <w:rPr>
            <w:webHidden/>
          </w:rPr>
          <w:instrText xml:space="preserve"> PAGEREF _Toc497125496 \h </w:instrText>
        </w:r>
        <w:r>
          <w:rPr>
            <w:webHidden/>
          </w:rPr>
        </w:r>
        <w:r>
          <w:rPr>
            <w:webHidden/>
          </w:rPr>
          <w:fldChar w:fldCharType="separate"/>
        </w:r>
        <w:r w:rsidR="00972891">
          <w:rPr>
            <w:webHidden/>
          </w:rPr>
          <w:t>60</w:t>
        </w:r>
        <w:r>
          <w:rPr>
            <w:webHidden/>
          </w:rPr>
          <w:fldChar w:fldCharType="end"/>
        </w:r>
      </w:hyperlink>
    </w:p>
    <w:p w:rsidR="00BD6E5E" w:rsidRDefault="00BD6E5E">
      <w:pPr>
        <w:pStyle w:val="TOC2"/>
        <w:tabs>
          <w:tab w:val="left" w:pos="567"/>
        </w:tabs>
        <w:rPr>
          <w:rFonts w:asciiTheme="minorHAnsi" w:eastAsiaTheme="minorEastAsia" w:hAnsiTheme="minorHAnsi" w:cstheme="minorBidi"/>
          <w:color w:val="auto"/>
          <w:sz w:val="22"/>
          <w:szCs w:val="22"/>
        </w:rPr>
      </w:pPr>
      <w:hyperlink w:anchor="_Toc497125497" w:history="1">
        <w:r w:rsidRPr="00CE04B6">
          <w:rPr>
            <w:rStyle w:val="Hyperlink"/>
          </w:rPr>
          <w:t>9.7</w:t>
        </w:r>
        <w:r>
          <w:rPr>
            <w:rFonts w:asciiTheme="minorHAnsi" w:eastAsiaTheme="minorEastAsia" w:hAnsiTheme="minorHAnsi" w:cstheme="minorBidi"/>
            <w:color w:val="auto"/>
            <w:sz w:val="22"/>
            <w:szCs w:val="22"/>
          </w:rPr>
          <w:tab/>
        </w:r>
        <w:r w:rsidRPr="00CE04B6">
          <w:rPr>
            <w:rStyle w:val="Hyperlink"/>
          </w:rPr>
          <w:t>Australian Accounting Standards issued that are not yet effective</w:t>
        </w:r>
        <w:r>
          <w:rPr>
            <w:webHidden/>
          </w:rPr>
          <w:tab/>
        </w:r>
        <w:r>
          <w:rPr>
            <w:webHidden/>
          </w:rPr>
          <w:fldChar w:fldCharType="begin"/>
        </w:r>
        <w:r>
          <w:rPr>
            <w:webHidden/>
          </w:rPr>
          <w:instrText xml:space="preserve"> PAGEREF _Toc497125497 \h </w:instrText>
        </w:r>
        <w:r>
          <w:rPr>
            <w:webHidden/>
          </w:rPr>
        </w:r>
        <w:r>
          <w:rPr>
            <w:webHidden/>
          </w:rPr>
          <w:fldChar w:fldCharType="separate"/>
        </w:r>
        <w:r w:rsidR="00972891">
          <w:rPr>
            <w:webHidden/>
          </w:rPr>
          <w:t>61</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98" w:history="1">
        <w:r w:rsidRPr="00CE04B6">
          <w:rPr>
            <w:rStyle w:val="Hyperlink"/>
          </w:rPr>
          <w:t>10.</w:t>
        </w:r>
        <w:r>
          <w:rPr>
            <w:rFonts w:asciiTheme="minorHAnsi" w:eastAsiaTheme="minorEastAsia" w:hAnsiTheme="minorHAnsi" w:cstheme="minorBidi"/>
            <w:color w:val="auto"/>
            <w:sz w:val="22"/>
            <w:szCs w:val="22"/>
          </w:rPr>
          <w:tab/>
        </w:r>
        <w:r w:rsidRPr="00CE04B6">
          <w:rPr>
            <w:rStyle w:val="Hyperlink"/>
          </w:rPr>
          <w:t>Glossary</w:t>
        </w:r>
        <w:r>
          <w:rPr>
            <w:webHidden/>
          </w:rPr>
          <w:tab/>
        </w:r>
        <w:r>
          <w:rPr>
            <w:webHidden/>
          </w:rPr>
          <w:fldChar w:fldCharType="begin"/>
        </w:r>
        <w:r>
          <w:rPr>
            <w:webHidden/>
          </w:rPr>
          <w:instrText xml:space="preserve"> PAGEREF _Toc497125498 \h </w:instrText>
        </w:r>
        <w:r>
          <w:rPr>
            <w:webHidden/>
          </w:rPr>
        </w:r>
        <w:r>
          <w:rPr>
            <w:webHidden/>
          </w:rPr>
          <w:fldChar w:fldCharType="separate"/>
        </w:r>
        <w:r w:rsidR="00972891">
          <w:rPr>
            <w:webHidden/>
          </w:rPr>
          <w:t>64</w:t>
        </w:r>
        <w:r>
          <w:rPr>
            <w:webHidden/>
          </w:rPr>
          <w:fldChar w:fldCharType="end"/>
        </w:r>
      </w:hyperlink>
    </w:p>
    <w:p w:rsidR="00BD6E5E" w:rsidRDefault="00BD6E5E">
      <w:pPr>
        <w:pStyle w:val="TOC1"/>
        <w:rPr>
          <w:rFonts w:asciiTheme="minorHAnsi" w:eastAsiaTheme="minorEastAsia" w:hAnsiTheme="minorHAnsi" w:cstheme="minorBidi"/>
          <w:color w:val="auto"/>
          <w:sz w:val="22"/>
          <w:szCs w:val="22"/>
        </w:rPr>
      </w:pPr>
      <w:hyperlink w:anchor="_Toc497125499" w:history="1">
        <w:r w:rsidRPr="00CE04B6">
          <w:rPr>
            <w:rStyle w:val="Hyperlink"/>
          </w:rPr>
          <w:t>Appendix 1 Budgetary Reporting: Explanation of material variances between budget and actual outcome</w:t>
        </w:r>
        <w:r>
          <w:rPr>
            <w:webHidden/>
          </w:rPr>
          <w:tab/>
        </w:r>
        <w:r>
          <w:rPr>
            <w:webHidden/>
          </w:rPr>
          <w:fldChar w:fldCharType="begin"/>
        </w:r>
        <w:r>
          <w:rPr>
            <w:webHidden/>
          </w:rPr>
          <w:instrText xml:space="preserve"> PAGEREF _Toc497125499 \h </w:instrText>
        </w:r>
        <w:r>
          <w:rPr>
            <w:webHidden/>
          </w:rPr>
        </w:r>
        <w:r>
          <w:rPr>
            <w:webHidden/>
          </w:rPr>
          <w:fldChar w:fldCharType="separate"/>
        </w:r>
        <w:r w:rsidR="00972891">
          <w:rPr>
            <w:webHidden/>
          </w:rPr>
          <w:t>68</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500" w:history="1">
        <w:r w:rsidRPr="00CE04B6">
          <w:rPr>
            <w:rStyle w:val="Hyperlink"/>
          </w:rPr>
          <w:t>Comprehensive operating statement for the financial year ended 30 June 2017</w:t>
        </w:r>
        <w:r>
          <w:rPr>
            <w:webHidden/>
          </w:rPr>
          <w:tab/>
        </w:r>
        <w:r>
          <w:rPr>
            <w:webHidden/>
          </w:rPr>
          <w:fldChar w:fldCharType="begin"/>
        </w:r>
        <w:r>
          <w:rPr>
            <w:webHidden/>
          </w:rPr>
          <w:instrText xml:space="preserve"> PAGEREF _Toc497125500 \h </w:instrText>
        </w:r>
        <w:r>
          <w:rPr>
            <w:webHidden/>
          </w:rPr>
        </w:r>
        <w:r>
          <w:rPr>
            <w:webHidden/>
          </w:rPr>
          <w:fldChar w:fldCharType="separate"/>
        </w:r>
        <w:r w:rsidR="00972891">
          <w:rPr>
            <w:webHidden/>
          </w:rPr>
          <w:t>68</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501" w:history="1">
        <w:r w:rsidRPr="00CE04B6">
          <w:rPr>
            <w:rStyle w:val="Hyperlink"/>
          </w:rPr>
          <w:t>Balance sheet as at 30 June 2017</w:t>
        </w:r>
        <w:r>
          <w:rPr>
            <w:webHidden/>
          </w:rPr>
          <w:tab/>
        </w:r>
        <w:r>
          <w:rPr>
            <w:webHidden/>
          </w:rPr>
          <w:fldChar w:fldCharType="begin"/>
        </w:r>
        <w:r>
          <w:rPr>
            <w:webHidden/>
          </w:rPr>
          <w:instrText xml:space="preserve"> PAGEREF _Toc497125501 \h </w:instrText>
        </w:r>
        <w:r>
          <w:rPr>
            <w:webHidden/>
          </w:rPr>
        </w:r>
        <w:r>
          <w:rPr>
            <w:webHidden/>
          </w:rPr>
          <w:fldChar w:fldCharType="separate"/>
        </w:r>
        <w:r w:rsidR="00972891">
          <w:rPr>
            <w:webHidden/>
          </w:rPr>
          <w:t>69</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502" w:history="1">
        <w:r w:rsidRPr="00CE04B6">
          <w:rPr>
            <w:rStyle w:val="Hyperlink"/>
          </w:rPr>
          <w:t>Statement of changes in equity for the financial year ended 30 June 2017</w:t>
        </w:r>
        <w:r>
          <w:rPr>
            <w:webHidden/>
          </w:rPr>
          <w:tab/>
        </w:r>
        <w:r>
          <w:rPr>
            <w:webHidden/>
          </w:rPr>
          <w:fldChar w:fldCharType="begin"/>
        </w:r>
        <w:r>
          <w:rPr>
            <w:webHidden/>
          </w:rPr>
          <w:instrText xml:space="preserve"> PAGEREF _Toc497125502 \h </w:instrText>
        </w:r>
        <w:r>
          <w:rPr>
            <w:webHidden/>
          </w:rPr>
        </w:r>
        <w:r>
          <w:rPr>
            <w:webHidden/>
          </w:rPr>
          <w:fldChar w:fldCharType="separate"/>
        </w:r>
        <w:r w:rsidR="00972891">
          <w:rPr>
            <w:webHidden/>
          </w:rPr>
          <w:t>70</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503" w:history="1">
        <w:r w:rsidRPr="00CE04B6">
          <w:rPr>
            <w:rStyle w:val="Hyperlink"/>
          </w:rPr>
          <w:t>Cash flow statement for the financial year ended 30 June 2017</w:t>
        </w:r>
        <w:r>
          <w:rPr>
            <w:webHidden/>
          </w:rPr>
          <w:tab/>
        </w:r>
        <w:r>
          <w:rPr>
            <w:webHidden/>
          </w:rPr>
          <w:fldChar w:fldCharType="begin"/>
        </w:r>
        <w:r>
          <w:rPr>
            <w:webHidden/>
          </w:rPr>
          <w:instrText xml:space="preserve"> PAGEREF _Toc497125503 \h </w:instrText>
        </w:r>
        <w:r>
          <w:rPr>
            <w:webHidden/>
          </w:rPr>
        </w:r>
        <w:r>
          <w:rPr>
            <w:webHidden/>
          </w:rPr>
          <w:fldChar w:fldCharType="separate"/>
        </w:r>
        <w:r w:rsidR="00972891">
          <w:rPr>
            <w:webHidden/>
          </w:rPr>
          <w:t>71</w:t>
        </w:r>
        <w:r>
          <w:rPr>
            <w:webHidden/>
          </w:rPr>
          <w:fldChar w:fldCharType="end"/>
        </w:r>
      </w:hyperlink>
    </w:p>
    <w:p w:rsidR="00BD6E5E" w:rsidRDefault="00BD6E5E">
      <w:pPr>
        <w:pStyle w:val="TOC2"/>
        <w:rPr>
          <w:rFonts w:asciiTheme="minorHAnsi" w:eastAsiaTheme="minorEastAsia" w:hAnsiTheme="minorHAnsi" w:cstheme="minorBidi"/>
          <w:color w:val="auto"/>
          <w:sz w:val="22"/>
          <w:szCs w:val="22"/>
        </w:rPr>
      </w:pPr>
      <w:hyperlink w:anchor="_Toc497125504" w:history="1">
        <w:r w:rsidRPr="00CE04B6">
          <w:rPr>
            <w:rStyle w:val="Hyperlink"/>
          </w:rPr>
          <w:t>Administered (non</w:t>
        </w:r>
        <w:r w:rsidRPr="00CE04B6">
          <w:rPr>
            <w:rStyle w:val="Hyperlink"/>
            <w:rFonts w:ascii="Cambria Math" w:hAnsi="Cambria Math" w:cs="Cambria Math"/>
          </w:rPr>
          <w:t>‐</w:t>
        </w:r>
        <w:r w:rsidRPr="00CE04B6">
          <w:rPr>
            <w:rStyle w:val="Hyperlink"/>
          </w:rPr>
          <w:t>controlled) items</w:t>
        </w:r>
        <w:r>
          <w:rPr>
            <w:webHidden/>
          </w:rPr>
          <w:tab/>
        </w:r>
        <w:r>
          <w:rPr>
            <w:webHidden/>
          </w:rPr>
          <w:fldChar w:fldCharType="begin"/>
        </w:r>
        <w:r>
          <w:rPr>
            <w:webHidden/>
          </w:rPr>
          <w:instrText xml:space="preserve"> PAGEREF _Toc497125504 \h </w:instrText>
        </w:r>
        <w:r>
          <w:rPr>
            <w:webHidden/>
          </w:rPr>
        </w:r>
        <w:r>
          <w:rPr>
            <w:webHidden/>
          </w:rPr>
          <w:fldChar w:fldCharType="separate"/>
        </w:r>
        <w:r w:rsidR="00972891">
          <w:rPr>
            <w:webHidden/>
          </w:rPr>
          <w:t>72</w:t>
        </w:r>
        <w:r>
          <w:rPr>
            <w:webHidden/>
          </w:rPr>
          <w:fldChar w:fldCharType="end"/>
        </w:r>
      </w:hyperlink>
    </w:p>
    <w:p w:rsidR="00E946F1" w:rsidRDefault="00E946F1" w:rsidP="00FF098B">
      <w:pPr>
        <w:pStyle w:val="BodyText"/>
        <w:sectPr w:rsidR="00E946F1" w:rsidSect="003475E2">
          <w:pgSz w:w="11906" w:h="16838"/>
          <w:pgMar w:top="1134" w:right="1134" w:bottom="1134" w:left="1134" w:header="708" w:footer="284" w:gutter="0"/>
          <w:cols w:space="708"/>
          <w:titlePg/>
          <w:docGrid w:linePitch="360"/>
        </w:sectPr>
      </w:pPr>
      <w:r>
        <w:fldChar w:fldCharType="end"/>
      </w:r>
    </w:p>
    <w:p w:rsidR="007C59D7" w:rsidRDefault="00AF4B2A" w:rsidP="00877292">
      <w:pPr>
        <w:pStyle w:val="Heading1"/>
        <w:numPr>
          <w:ilvl w:val="0"/>
          <w:numId w:val="0"/>
        </w:numPr>
      </w:pPr>
      <w:bookmarkStart w:id="1" w:name="_Toc497125446"/>
      <w:r>
        <w:lastRenderedPageBreak/>
        <w:t xml:space="preserve">Court Services Victoria </w:t>
      </w:r>
      <w:r>
        <w:rPr>
          <w:rFonts w:ascii="Cambria Math" w:hAnsi="Cambria Math" w:cs="Cambria Math"/>
        </w:rPr>
        <w:t>‐</w:t>
      </w:r>
      <w:r>
        <w:t xml:space="preserve"> Financial Statements</w:t>
      </w:r>
      <w:bookmarkEnd w:id="1"/>
      <w:r>
        <w:t xml:space="preserve"> </w:t>
      </w:r>
    </w:p>
    <w:p w:rsidR="007C59D7" w:rsidRDefault="007C59D7" w:rsidP="00877292">
      <w:pPr>
        <w:pStyle w:val="Heading2"/>
        <w:numPr>
          <w:ilvl w:val="0"/>
          <w:numId w:val="0"/>
        </w:numPr>
      </w:pPr>
      <w:bookmarkStart w:id="2" w:name="_Toc497125447"/>
      <w:r>
        <w:t>How this report is structured</w:t>
      </w:r>
      <w:bookmarkEnd w:id="2"/>
    </w:p>
    <w:p w:rsidR="007C59D7" w:rsidRDefault="007C59D7" w:rsidP="007C59D7">
      <w:pPr>
        <w:pStyle w:val="BodyText"/>
      </w:pPr>
      <w:r>
        <w:t>The Courts Council of Court Services Victoria (CSV) has presented its audited general purpose financial statements for the financial year ended 30 June 2017 in the following structure to provide users with the information about CSV's stewardship of resources entrusted to it.</w:t>
      </w:r>
    </w:p>
    <w:p w:rsidR="007C59D7" w:rsidRDefault="007C59D7" w:rsidP="00877292">
      <w:pPr>
        <w:pStyle w:val="Heading2"/>
        <w:numPr>
          <w:ilvl w:val="0"/>
          <w:numId w:val="0"/>
        </w:numPr>
      </w:pPr>
      <w:bookmarkStart w:id="3" w:name="_Toc497125448"/>
      <w:r>
        <w:t>Financial Statements</w:t>
      </w:r>
      <w:bookmarkEnd w:id="3"/>
    </w:p>
    <w:p w:rsidR="007C59D7" w:rsidRDefault="007C59D7" w:rsidP="007C59D7">
      <w:pPr>
        <w:pStyle w:val="NoSpacing"/>
      </w:pPr>
      <w:r>
        <w:t xml:space="preserve">Comprehensive operating statement </w:t>
      </w:r>
    </w:p>
    <w:p w:rsidR="007C59D7" w:rsidRDefault="007C59D7" w:rsidP="007C59D7">
      <w:pPr>
        <w:pStyle w:val="NoSpacing"/>
      </w:pPr>
      <w:r>
        <w:t>Balance sheet</w:t>
      </w:r>
    </w:p>
    <w:p w:rsidR="007C59D7" w:rsidRDefault="007C59D7" w:rsidP="007C59D7">
      <w:pPr>
        <w:pStyle w:val="NoSpacing"/>
      </w:pPr>
      <w:r>
        <w:t>Statement of changes in equity</w:t>
      </w:r>
    </w:p>
    <w:p w:rsidR="007C59D7" w:rsidRDefault="007C59D7" w:rsidP="007C59D7">
      <w:pPr>
        <w:pStyle w:val="NoSpacing"/>
      </w:pPr>
      <w:r>
        <w:t xml:space="preserve">Cash flow statement </w:t>
      </w:r>
    </w:p>
    <w:p w:rsidR="007C59D7" w:rsidRDefault="007C59D7" w:rsidP="00877292">
      <w:pPr>
        <w:pStyle w:val="Heading2"/>
        <w:numPr>
          <w:ilvl w:val="0"/>
          <w:numId w:val="0"/>
        </w:numPr>
      </w:pPr>
      <w:bookmarkStart w:id="4" w:name="_Toc497125449"/>
      <w:r>
        <w:t>Notes to the financial statements</w:t>
      </w:r>
      <w:bookmarkEnd w:id="4"/>
    </w:p>
    <w:p w:rsidR="007C59D7" w:rsidRPr="00AF4B2A" w:rsidRDefault="007C59D7" w:rsidP="00AF4B2A">
      <w:pPr>
        <w:pStyle w:val="BodyText"/>
        <w:tabs>
          <w:tab w:val="left" w:pos="567"/>
        </w:tabs>
        <w:spacing w:beforeLines="60" w:before="144" w:afterLines="60" w:after="144"/>
      </w:pPr>
      <w:r w:rsidRPr="00AF4B2A">
        <w:t>1.</w:t>
      </w:r>
      <w:r w:rsidRPr="00AF4B2A">
        <w:tab/>
      </w:r>
      <w:proofErr w:type="gramStart"/>
      <w:r w:rsidRPr="00AF4B2A">
        <w:t>About</w:t>
      </w:r>
      <w:proofErr w:type="gramEnd"/>
      <w:r w:rsidRPr="00AF4B2A">
        <w:t xml:space="preserve"> this report</w:t>
      </w:r>
    </w:p>
    <w:p w:rsidR="007C59D7" w:rsidRPr="00AF4B2A" w:rsidRDefault="007C59D7" w:rsidP="00AF4B2A">
      <w:pPr>
        <w:pStyle w:val="BodyTextIndent"/>
        <w:spacing w:beforeLines="60" w:before="144" w:afterLines="60" w:after="144"/>
      </w:pPr>
      <w:r w:rsidRPr="00AF4B2A">
        <w:t>The basis on which the financial statements have been prepared and compliance with reporting regulations</w:t>
      </w:r>
    </w:p>
    <w:p w:rsidR="007C59D7" w:rsidRPr="00AF4B2A" w:rsidRDefault="007C59D7" w:rsidP="00AF4B2A">
      <w:pPr>
        <w:pStyle w:val="BodyText"/>
        <w:tabs>
          <w:tab w:val="left" w:pos="567"/>
        </w:tabs>
        <w:spacing w:beforeLines="60" w:before="144" w:afterLines="60" w:after="144"/>
      </w:pPr>
      <w:r w:rsidRPr="00AF4B2A">
        <w:t>2.</w:t>
      </w:r>
      <w:r w:rsidRPr="00AF4B2A">
        <w:tab/>
        <w:t>Funding delivery of our services</w:t>
      </w:r>
    </w:p>
    <w:p w:rsidR="007C59D7" w:rsidRPr="00AF4B2A" w:rsidRDefault="007C59D7" w:rsidP="00AF4B2A">
      <w:pPr>
        <w:pStyle w:val="BodyTextIndent"/>
        <w:spacing w:beforeLines="60" w:before="144" w:afterLines="60" w:after="144"/>
      </w:pPr>
      <w:r w:rsidRPr="00AF4B2A">
        <w:t>Revenue recognised from appropriation, grants, and other income sources</w:t>
      </w:r>
    </w:p>
    <w:p w:rsidR="007C59D7" w:rsidRPr="00AF4B2A" w:rsidRDefault="007C59D7" w:rsidP="00AF4B2A">
      <w:pPr>
        <w:pStyle w:val="BodyTextIndent"/>
        <w:spacing w:beforeLines="60" w:before="144" w:afterLines="60" w:after="144"/>
      </w:pPr>
      <w:r w:rsidRPr="00AF4B2A">
        <w:t>2.1</w:t>
      </w:r>
      <w:r w:rsidRPr="00AF4B2A">
        <w:tab/>
        <w:t>Summary of income that funds the delivery of our services</w:t>
      </w:r>
    </w:p>
    <w:p w:rsidR="007C59D7" w:rsidRPr="00AF4B2A" w:rsidRDefault="007C59D7" w:rsidP="00AF4B2A">
      <w:pPr>
        <w:pStyle w:val="BodyTextIndent"/>
        <w:spacing w:beforeLines="60" w:before="144" w:afterLines="60" w:after="144"/>
      </w:pPr>
      <w:r w:rsidRPr="00AF4B2A">
        <w:t>2.2</w:t>
      </w:r>
      <w:r w:rsidRPr="00AF4B2A">
        <w:tab/>
        <w:t>Appropriations</w:t>
      </w:r>
    </w:p>
    <w:p w:rsidR="007C59D7" w:rsidRPr="00AF4B2A" w:rsidRDefault="007C59D7" w:rsidP="00AF4B2A">
      <w:pPr>
        <w:pStyle w:val="BodyTextIndent"/>
        <w:spacing w:beforeLines="60" w:before="144" w:afterLines="60" w:after="144"/>
      </w:pPr>
      <w:r w:rsidRPr="00AF4B2A">
        <w:t>2.3</w:t>
      </w:r>
      <w:r w:rsidRPr="00AF4B2A">
        <w:tab/>
        <w:t>Summary of compliance with annual Parliamentary and special appropriations</w:t>
      </w:r>
    </w:p>
    <w:p w:rsidR="007C59D7" w:rsidRPr="00AF4B2A" w:rsidRDefault="007C59D7" w:rsidP="00AF4B2A">
      <w:pPr>
        <w:pStyle w:val="BodyTextIndent"/>
        <w:spacing w:beforeLines="60" w:before="144" w:afterLines="60" w:after="144"/>
      </w:pPr>
      <w:r w:rsidRPr="00AF4B2A">
        <w:t>2.4</w:t>
      </w:r>
      <w:r w:rsidRPr="00AF4B2A">
        <w:tab/>
        <w:t>Income from transactions</w:t>
      </w:r>
    </w:p>
    <w:p w:rsidR="007C59D7" w:rsidRPr="00AF4B2A" w:rsidRDefault="007C59D7" w:rsidP="00AF4B2A">
      <w:pPr>
        <w:pStyle w:val="BodyTextIndent"/>
        <w:spacing w:beforeLines="60" w:before="144" w:afterLines="60" w:after="144"/>
      </w:pPr>
      <w:r w:rsidRPr="00AF4B2A">
        <w:t>2.5</w:t>
      </w:r>
      <w:r w:rsidRPr="00AF4B2A">
        <w:tab/>
        <w:t>Annotated income agreements</w:t>
      </w:r>
    </w:p>
    <w:p w:rsidR="00CD638D" w:rsidRPr="00AF4B2A" w:rsidRDefault="007C59D7" w:rsidP="00AF4B2A">
      <w:pPr>
        <w:pStyle w:val="BodyText"/>
        <w:tabs>
          <w:tab w:val="left" w:pos="567"/>
        </w:tabs>
        <w:spacing w:beforeLines="60" w:before="144" w:afterLines="60" w:after="144"/>
      </w:pPr>
      <w:r w:rsidRPr="00AF4B2A">
        <w:t>3.</w:t>
      </w:r>
      <w:r w:rsidRPr="00AF4B2A">
        <w:tab/>
        <w:t>The cost of delivering services</w:t>
      </w:r>
    </w:p>
    <w:p w:rsidR="007C59D7" w:rsidRPr="00AF4B2A" w:rsidRDefault="007C59D7" w:rsidP="00AF4B2A">
      <w:pPr>
        <w:pStyle w:val="BodyTextIndent"/>
        <w:spacing w:beforeLines="60" w:before="144" w:afterLines="60" w:after="144"/>
      </w:pPr>
      <w:r w:rsidRPr="00AF4B2A">
        <w:t>Operating expenses of CSV</w:t>
      </w:r>
    </w:p>
    <w:p w:rsidR="007C59D7" w:rsidRPr="00AF4B2A" w:rsidRDefault="007C59D7" w:rsidP="00AF4B2A">
      <w:pPr>
        <w:pStyle w:val="BodyTextIndent"/>
        <w:spacing w:beforeLines="60" w:before="144" w:afterLines="60" w:after="144"/>
      </w:pPr>
      <w:r w:rsidRPr="00AF4B2A">
        <w:t>3.1</w:t>
      </w:r>
      <w:r w:rsidRPr="00AF4B2A">
        <w:tab/>
        <w:t>Expenses incurred in delivery of services</w:t>
      </w:r>
    </w:p>
    <w:p w:rsidR="007C59D7" w:rsidRPr="00AF4B2A" w:rsidRDefault="007C59D7" w:rsidP="00AF4B2A">
      <w:pPr>
        <w:pStyle w:val="BodyTextIndent"/>
        <w:spacing w:beforeLines="60" w:before="144" w:afterLines="60" w:after="144"/>
      </w:pPr>
      <w:r w:rsidRPr="00AF4B2A">
        <w:t>3.2</w:t>
      </w:r>
      <w:r w:rsidRPr="00AF4B2A">
        <w:tab/>
        <w:t>Grant and other transfers</w:t>
      </w:r>
    </w:p>
    <w:p w:rsidR="007C59D7" w:rsidRPr="00AF4B2A" w:rsidRDefault="007C59D7" w:rsidP="00AF4B2A">
      <w:pPr>
        <w:pStyle w:val="BodyTextIndent"/>
        <w:spacing w:beforeLines="60" w:before="144" w:afterLines="60" w:after="144"/>
      </w:pPr>
      <w:r w:rsidRPr="00AF4B2A">
        <w:t>3.3</w:t>
      </w:r>
      <w:r w:rsidRPr="00AF4B2A">
        <w:tab/>
        <w:t>Capital asset charge</w:t>
      </w:r>
    </w:p>
    <w:p w:rsidR="007C59D7" w:rsidRPr="00AF4B2A" w:rsidRDefault="007C59D7" w:rsidP="00AF4B2A">
      <w:pPr>
        <w:pStyle w:val="BodyTextIndent"/>
        <w:spacing w:beforeLines="60" w:before="144" w:afterLines="60" w:after="144"/>
      </w:pPr>
      <w:r w:rsidRPr="00AF4B2A">
        <w:t>3.4</w:t>
      </w:r>
      <w:r w:rsidRPr="00AF4B2A">
        <w:tab/>
        <w:t>Supplies and services</w:t>
      </w:r>
    </w:p>
    <w:p w:rsidR="007C59D7" w:rsidRPr="00AF4B2A" w:rsidRDefault="00CD638D" w:rsidP="00AF4B2A">
      <w:pPr>
        <w:pStyle w:val="BodyText"/>
        <w:tabs>
          <w:tab w:val="left" w:pos="567"/>
        </w:tabs>
        <w:spacing w:beforeLines="60" w:before="144" w:afterLines="60" w:after="144"/>
      </w:pPr>
      <w:r w:rsidRPr="00AF4B2A">
        <w:t>4.</w:t>
      </w:r>
      <w:r w:rsidRPr="00AF4B2A">
        <w:tab/>
        <w:t>Disaggregated financial information by output</w:t>
      </w:r>
    </w:p>
    <w:p w:rsidR="007C59D7" w:rsidRPr="00AF4B2A" w:rsidRDefault="007C59D7" w:rsidP="00AF4B2A">
      <w:pPr>
        <w:pStyle w:val="BodyTextIndent"/>
        <w:spacing w:beforeLines="60" w:before="144" w:afterLines="60" w:after="144"/>
      </w:pPr>
      <w:r w:rsidRPr="00AF4B2A">
        <w:t>CSV outputs and Administered (non</w:t>
      </w:r>
      <w:r w:rsidRPr="00AF4B2A">
        <w:rPr>
          <w:rFonts w:ascii="Cambria Math" w:hAnsi="Cambria Math" w:cs="Cambria Math"/>
        </w:rPr>
        <w:t>‐</w:t>
      </w:r>
      <w:r w:rsidRPr="00AF4B2A">
        <w:t>controlled) items</w:t>
      </w:r>
    </w:p>
    <w:p w:rsidR="007C59D7" w:rsidRPr="00AF4B2A" w:rsidRDefault="007C59D7" w:rsidP="00AF4B2A">
      <w:pPr>
        <w:pStyle w:val="BodyTextIndent"/>
        <w:spacing w:beforeLines="60" w:before="144" w:afterLines="60" w:after="144"/>
      </w:pPr>
      <w:r w:rsidRPr="00AF4B2A">
        <w:t>4.1</w:t>
      </w:r>
      <w:r w:rsidRPr="00AF4B2A">
        <w:tab/>
        <w:t xml:space="preserve">CSV's outputs </w:t>
      </w:r>
      <w:r w:rsidRPr="00AF4B2A">
        <w:rPr>
          <w:rFonts w:ascii="Cambria Math" w:hAnsi="Cambria Math" w:cs="Cambria Math"/>
        </w:rPr>
        <w:t>‐</w:t>
      </w:r>
      <w:r w:rsidRPr="00AF4B2A">
        <w:t xml:space="preserve"> Description and objectives</w:t>
      </w:r>
    </w:p>
    <w:p w:rsidR="007C59D7" w:rsidRPr="00AF4B2A" w:rsidRDefault="007C59D7" w:rsidP="00AF4B2A">
      <w:pPr>
        <w:pStyle w:val="BodyTextIndent"/>
        <w:spacing w:beforeLines="60" w:before="144" w:afterLines="60" w:after="144"/>
      </w:pPr>
      <w:r w:rsidRPr="00AF4B2A">
        <w:t>4.2</w:t>
      </w:r>
      <w:r w:rsidRPr="00AF4B2A">
        <w:tab/>
        <w:t>Administered (non</w:t>
      </w:r>
      <w:r w:rsidRPr="00AF4B2A">
        <w:rPr>
          <w:rFonts w:ascii="Cambria Math" w:hAnsi="Cambria Math" w:cs="Cambria Math"/>
        </w:rPr>
        <w:t>‐</w:t>
      </w:r>
      <w:r w:rsidRPr="00AF4B2A">
        <w:t>controlled) items</w:t>
      </w:r>
    </w:p>
    <w:p w:rsidR="007C59D7" w:rsidRPr="00AF4B2A" w:rsidRDefault="007C59D7" w:rsidP="00AF4B2A">
      <w:pPr>
        <w:pStyle w:val="BodyTextIndent"/>
        <w:spacing w:beforeLines="60" w:before="144" w:afterLines="60" w:after="144"/>
      </w:pPr>
      <w:r w:rsidRPr="00AF4B2A">
        <w:t>4.3</w:t>
      </w:r>
      <w:r w:rsidRPr="00AF4B2A">
        <w:tab/>
        <w:t>Restructuring of administrative arrangements</w:t>
      </w:r>
    </w:p>
    <w:p w:rsidR="007C59D7" w:rsidRPr="00AF4B2A" w:rsidRDefault="00CD638D" w:rsidP="00AF4B2A">
      <w:pPr>
        <w:pStyle w:val="BodyText"/>
        <w:keepNext/>
        <w:tabs>
          <w:tab w:val="left" w:pos="567"/>
        </w:tabs>
        <w:spacing w:beforeLines="60" w:before="144" w:afterLines="60" w:after="144"/>
      </w:pPr>
      <w:r w:rsidRPr="00AF4B2A">
        <w:t>5.</w:t>
      </w:r>
      <w:r w:rsidRPr="00AF4B2A">
        <w:tab/>
        <w:t>Key assets available to support output delivery</w:t>
      </w:r>
    </w:p>
    <w:p w:rsidR="007C59D7" w:rsidRPr="00AF4B2A" w:rsidRDefault="007C59D7" w:rsidP="00AF4B2A">
      <w:pPr>
        <w:pStyle w:val="BodyTextIndent"/>
        <w:spacing w:beforeLines="60" w:before="144" w:afterLines="60" w:after="144"/>
      </w:pPr>
      <w:r w:rsidRPr="00AF4B2A">
        <w:t>Land, buildings, plant and equipment and intangible assets</w:t>
      </w:r>
    </w:p>
    <w:p w:rsidR="007C59D7" w:rsidRPr="00AF4B2A" w:rsidRDefault="007C59D7" w:rsidP="00AF4B2A">
      <w:pPr>
        <w:pStyle w:val="BodyTextIndent"/>
        <w:spacing w:beforeLines="60" w:before="144" w:afterLines="60" w:after="144"/>
      </w:pPr>
      <w:r w:rsidRPr="00AF4B2A">
        <w:lastRenderedPageBreak/>
        <w:t>5.1</w:t>
      </w:r>
      <w:r w:rsidRPr="00AF4B2A">
        <w:tab/>
        <w:t>Property, plant and equipment</w:t>
      </w:r>
    </w:p>
    <w:p w:rsidR="007C59D7" w:rsidRPr="00AF4B2A" w:rsidRDefault="007C59D7" w:rsidP="00AF4B2A">
      <w:pPr>
        <w:pStyle w:val="BodyTextIndent"/>
        <w:spacing w:beforeLines="60" w:before="144" w:afterLines="60" w:after="144"/>
      </w:pPr>
      <w:r w:rsidRPr="00AF4B2A">
        <w:t>5.2</w:t>
      </w:r>
      <w:r w:rsidRPr="00AF4B2A">
        <w:tab/>
        <w:t>Intangible assets</w:t>
      </w:r>
    </w:p>
    <w:p w:rsidR="00CD638D" w:rsidRPr="00AF4B2A" w:rsidRDefault="00CD638D" w:rsidP="00AF4B2A">
      <w:pPr>
        <w:pStyle w:val="BodyText"/>
        <w:keepNext/>
        <w:tabs>
          <w:tab w:val="left" w:pos="567"/>
        </w:tabs>
        <w:spacing w:beforeLines="60" w:before="144" w:afterLines="60" w:after="144"/>
      </w:pPr>
      <w:r w:rsidRPr="00AF4B2A">
        <w:t>6.</w:t>
      </w:r>
      <w:r w:rsidRPr="00AF4B2A">
        <w:tab/>
        <w:t>Other assets and liabilities</w:t>
      </w:r>
    </w:p>
    <w:p w:rsidR="007C59D7" w:rsidRPr="00AF4B2A" w:rsidRDefault="007C59D7" w:rsidP="00AF4B2A">
      <w:pPr>
        <w:pStyle w:val="BodyTextIndent"/>
        <w:spacing w:beforeLines="60" w:before="144" w:afterLines="60" w:after="144"/>
      </w:pPr>
      <w:r w:rsidRPr="00AF4B2A">
        <w:t>Working capital balances and other key assets and liabilities</w:t>
      </w:r>
    </w:p>
    <w:p w:rsidR="007C59D7" w:rsidRPr="00AF4B2A" w:rsidRDefault="007C59D7" w:rsidP="00AF4B2A">
      <w:pPr>
        <w:pStyle w:val="BodyTextIndent"/>
        <w:spacing w:beforeLines="60" w:before="144" w:afterLines="60" w:after="144"/>
      </w:pPr>
      <w:r w:rsidRPr="00AF4B2A">
        <w:t>6.1</w:t>
      </w:r>
      <w:r w:rsidRPr="00AF4B2A">
        <w:tab/>
        <w:t>Receivables</w:t>
      </w:r>
    </w:p>
    <w:p w:rsidR="007C59D7" w:rsidRPr="00AF4B2A" w:rsidRDefault="007C59D7" w:rsidP="00AF4B2A">
      <w:pPr>
        <w:pStyle w:val="BodyTextIndent"/>
        <w:spacing w:beforeLines="60" w:before="144" w:afterLines="60" w:after="144"/>
      </w:pPr>
      <w:r w:rsidRPr="00AF4B2A">
        <w:t>6.2</w:t>
      </w:r>
      <w:r w:rsidRPr="00AF4B2A">
        <w:tab/>
        <w:t>Payables</w:t>
      </w:r>
    </w:p>
    <w:p w:rsidR="007C59D7" w:rsidRPr="00AF4B2A" w:rsidRDefault="007C59D7" w:rsidP="00AF4B2A">
      <w:pPr>
        <w:pStyle w:val="BodyTextIndent"/>
        <w:spacing w:beforeLines="60" w:before="144" w:afterLines="60" w:after="144"/>
      </w:pPr>
      <w:r w:rsidRPr="00AF4B2A">
        <w:t>6.3</w:t>
      </w:r>
      <w:r w:rsidRPr="00AF4B2A">
        <w:tab/>
        <w:t>Other non</w:t>
      </w:r>
      <w:r w:rsidRPr="00AF4B2A">
        <w:rPr>
          <w:rFonts w:ascii="Cambria Math" w:hAnsi="Cambria Math" w:cs="Cambria Math"/>
        </w:rPr>
        <w:t>‐</w:t>
      </w:r>
      <w:r w:rsidRPr="00AF4B2A">
        <w:t>financial assets</w:t>
      </w:r>
    </w:p>
    <w:p w:rsidR="00CD638D" w:rsidRPr="00AF4B2A" w:rsidRDefault="00CD638D" w:rsidP="00AF4B2A">
      <w:pPr>
        <w:pStyle w:val="BodyText"/>
        <w:tabs>
          <w:tab w:val="left" w:pos="567"/>
        </w:tabs>
        <w:spacing w:beforeLines="60" w:before="144" w:afterLines="60" w:after="144"/>
      </w:pPr>
      <w:r w:rsidRPr="00AF4B2A">
        <w:t>7.</w:t>
      </w:r>
      <w:r w:rsidRPr="00AF4B2A">
        <w:tab/>
        <w:t>Financing our operations</w:t>
      </w:r>
    </w:p>
    <w:p w:rsidR="007C59D7" w:rsidRPr="00AF4B2A" w:rsidRDefault="007C59D7" w:rsidP="00AF4B2A">
      <w:pPr>
        <w:pStyle w:val="BodyTextIndent"/>
        <w:spacing w:beforeLines="60" w:before="144" w:afterLines="60" w:after="144"/>
      </w:pPr>
      <w:r w:rsidRPr="00AF4B2A">
        <w:t>Borrowings, cash flow information and leases</w:t>
      </w:r>
    </w:p>
    <w:p w:rsidR="007C59D7" w:rsidRPr="00AF4B2A" w:rsidRDefault="007C59D7" w:rsidP="00AF4B2A">
      <w:pPr>
        <w:pStyle w:val="BodyTextIndent"/>
        <w:spacing w:beforeLines="60" w:before="144" w:afterLines="60" w:after="144"/>
      </w:pPr>
      <w:r w:rsidRPr="00AF4B2A">
        <w:t>7.1</w:t>
      </w:r>
      <w:r w:rsidRPr="00AF4B2A">
        <w:tab/>
        <w:t>Borrowings</w:t>
      </w:r>
    </w:p>
    <w:p w:rsidR="007C59D7" w:rsidRPr="00AF4B2A" w:rsidRDefault="007C59D7" w:rsidP="00AF4B2A">
      <w:pPr>
        <w:pStyle w:val="BodyTextIndent"/>
        <w:spacing w:beforeLines="60" w:before="144" w:afterLines="60" w:after="144"/>
      </w:pPr>
      <w:r w:rsidRPr="00AF4B2A">
        <w:t>7.2</w:t>
      </w:r>
      <w:r w:rsidRPr="00AF4B2A">
        <w:tab/>
        <w:t>Leases</w:t>
      </w:r>
    </w:p>
    <w:p w:rsidR="007C59D7" w:rsidRPr="00AF4B2A" w:rsidRDefault="007C59D7" w:rsidP="00AF4B2A">
      <w:pPr>
        <w:pStyle w:val="BodyTextIndent"/>
        <w:spacing w:beforeLines="60" w:before="144" w:afterLines="60" w:after="144"/>
      </w:pPr>
      <w:r w:rsidRPr="00AF4B2A">
        <w:t>7.3</w:t>
      </w:r>
      <w:r w:rsidRPr="00AF4B2A">
        <w:tab/>
        <w:t>Cash flow information and balances</w:t>
      </w:r>
    </w:p>
    <w:p w:rsidR="007C59D7" w:rsidRPr="00AF4B2A" w:rsidRDefault="007C59D7" w:rsidP="00AF4B2A">
      <w:pPr>
        <w:pStyle w:val="BodyTextIndent"/>
        <w:spacing w:beforeLines="60" w:before="144" w:afterLines="60" w:after="144"/>
      </w:pPr>
      <w:r w:rsidRPr="00AF4B2A">
        <w:t>7.4</w:t>
      </w:r>
      <w:r w:rsidRPr="00AF4B2A">
        <w:tab/>
        <w:t>Trust account balances</w:t>
      </w:r>
    </w:p>
    <w:p w:rsidR="007C59D7" w:rsidRPr="00AF4B2A" w:rsidRDefault="007C59D7" w:rsidP="00AF4B2A">
      <w:pPr>
        <w:pStyle w:val="BodyTextIndent"/>
        <w:spacing w:beforeLines="60" w:before="144" w:afterLines="60" w:after="144"/>
      </w:pPr>
      <w:r w:rsidRPr="00AF4B2A">
        <w:t>7.5</w:t>
      </w:r>
      <w:r w:rsidRPr="00AF4B2A">
        <w:tab/>
        <w:t>Commitments for expenditure</w:t>
      </w:r>
    </w:p>
    <w:p w:rsidR="00CD638D" w:rsidRPr="00AF4B2A" w:rsidRDefault="00CD638D" w:rsidP="00AF4B2A">
      <w:pPr>
        <w:pStyle w:val="BodyText"/>
        <w:tabs>
          <w:tab w:val="left" w:pos="567"/>
        </w:tabs>
        <w:spacing w:beforeLines="60" w:before="144" w:afterLines="60" w:after="144"/>
      </w:pPr>
      <w:r w:rsidRPr="00AF4B2A">
        <w:t>8.</w:t>
      </w:r>
      <w:r w:rsidRPr="00AF4B2A">
        <w:tab/>
        <w:t>Risks, contingencies and valuation judgements</w:t>
      </w:r>
    </w:p>
    <w:p w:rsidR="007C59D7" w:rsidRPr="00AF4B2A" w:rsidRDefault="007C59D7" w:rsidP="00AF4B2A">
      <w:pPr>
        <w:pStyle w:val="BodyTextIndent"/>
        <w:spacing w:beforeLines="60" w:before="144" w:afterLines="60" w:after="144"/>
      </w:pPr>
      <w:r w:rsidRPr="00AF4B2A">
        <w:t>Financial risk management, contingent assets and liabilities as well as fair value determination.</w:t>
      </w:r>
    </w:p>
    <w:p w:rsidR="007C59D7" w:rsidRPr="00AF4B2A" w:rsidRDefault="007C59D7" w:rsidP="00AF4B2A">
      <w:pPr>
        <w:pStyle w:val="BodyTextIndent"/>
        <w:spacing w:beforeLines="60" w:before="144" w:afterLines="60" w:after="144"/>
      </w:pPr>
      <w:r w:rsidRPr="00AF4B2A">
        <w:t>8.1</w:t>
      </w:r>
      <w:r w:rsidRPr="00AF4B2A">
        <w:tab/>
        <w:t>Financial instruments specific disclosures</w:t>
      </w:r>
    </w:p>
    <w:p w:rsidR="007C59D7" w:rsidRPr="00AF4B2A" w:rsidRDefault="007C59D7" w:rsidP="00AF4B2A">
      <w:pPr>
        <w:pStyle w:val="BodyTextIndent"/>
        <w:spacing w:beforeLines="60" w:before="144" w:afterLines="60" w:after="144"/>
      </w:pPr>
      <w:r w:rsidRPr="00AF4B2A">
        <w:t>8.2</w:t>
      </w:r>
      <w:r w:rsidRPr="00AF4B2A">
        <w:tab/>
        <w:t>Contingent assets and contingent liabilities</w:t>
      </w:r>
    </w:p>
    <w:p w:rsidR="007C59D7" w:rsidRPr="00AF4B2A" w:rsidRDefault="007C59D7" w:rsidP="00AF4B2A">
      <w:pPr>
        <w:pStyle w:val="BodyTextIndent"/>
        <w:spacing w:beforeLines="60" w:before="144" w:afterLines="60" w:after="144"/>
      </w:pPr>
      <w:r w:rsidRPr="00AF4B2A">
        <w:t>8.3</w:t>
      </w:r>
      <w:r w:rsidRPr="00AF4B2A">
        <w:tab/>
        <w:t>Fair value determination</w:t>
      </w:r>
    </w:p>
    <w:p w:rsidR="00CD638D" w:rsidRPr="00AF4B2A" w:rsidRDefault="00CD638D" w:rsidP="00AF4B2A">
      <w:pPr>
        <w:pStyle w:val="BodyText"/>
        <w:tabs>
          <w:tab w:val="left" w:pos="567"/>
        </w:tabs>
        <w:spacing w:beforeLines="60" w:before="144" w:afterLines="60" w:after="144"/>
      </w:pPr>
      <w:r w:rsidRPr="00AF4B2A">
        <w:t>9.</w:t>
      </w:r>
      <w:r w:rsidRPr="00AF4B2A">
        <w:tab/>
        <w:t>Other disclosures</w:t>
      </w:r>
    </w:p>
    <w:p w:rsidR="00CD638D" w:rsidRPr="00AF4B2A" w:rsidRDefault="00CD638D" w:rsidP="00AF4B2A">
      <w:pPr>
        <w:pStyle w:val="BodyTextIndent"/>
        <w:spacing w:beforeLines="60" w:before="144" w:afterLines="60" w:after="144"/>
      </w:pPr>
      <w:r w:rsidRPr="00AF4B2A">
        <w:t>9.1</w:t>
      </w:r>
      <w:r w:rsidRPr="00AF4B2A">
        <w:tab/>
        <w:t>Other economic flows included in net result</w:t>
      </w:r>
    </w:p>
    <w:p w:rsidR="00CD638D" w:rsidRPr="00AF4B2A" w:rsidRDefault="00CD638D" w:rsidP="00AF4B2A">
      <w:pPr>
        <w:pStyle w:val="BodyTextIndent"/>
        <w:spacing w:beforeLines="60" w:before="144" w:afterLines="60" w:after="144"/>
      </w:pPr>
      <w:r w:rsidRPr="00AF4B2A">
        <w:t>9.2</w:t>
      </w:r>
      <w:r w:rsidRPr="00AF4B2A">
        <w:tab/>
        <w:t>Non</w:t>
      </w:r>
      <w:r w:rsidRPr="00AF4B2A">
        <w:rPr>
          <w:rFonts w:ascii="Cambria Math" w:hAnsi="Cambria Math" w:cs="Cambria Math"/>
        </w:rPr>
        <w:t>‐</w:t>
      </w:r>
      <w:r w:rsidRPr="00AF4B2A">
        <w:t>financial physical assets classified as held for sale</w:t>
      </w:r>
    </w:p>
    <w:p w:rsidR="00CD638D" w:rsidRPr="00AF4B2A" w:rsidRDefault="00CD638D" w:rsidP="00AF4B2A">
      <w:pPr>
        <w:pStyle w:val="BodyTextIndent"/>
        <w:spacing w:beforeLines="60" w:before="144" w:afterLines="60" w:after="144"/>
      </w:pPr>
      <w:r w:rsidRPr="00AF4B2A">
        <w:t>9.3</w:t>
      </w:r>
      <w:r w:rsidRPr="00AF4B2A">
        <w:tab/>
        <w:t>Responsible persons</w:t>
      </w:r>
    </w:p>
    <w:p w:rsidR="00CD638D" w:rsidRPr="00AF4B2A" w:rsidRDefault="00CD638D" w:rsidP="00AF4B2A">
      <w:pPr>
        <w:pStyle w:val="BodyTextIndent"/>
        <w:spacing w:beforeLines="60" w:before="144" w:afterLines="60" w:after="144"/>
      </w:pPr>
      <w:r w:rsidRPr="00AF4B2A">
        <w:t>9.4</w:t>
      </w:r>
      <w:r w:rsidRPr="00AF4B2A">
        <w:tab/>
        <w:t>Remuneration of executives and other personnel</w:t>
      </w:r>
    </w:p>
    <w:p w:rsidR="00CD638D" w:rsidRPr="00AF4B2A" w:rsidRDefault="00CD638D" w:rsidP="00AF4B2A">
      <w:pPr>
        <w:pStyle w:val="BodyTextIndent"/>
        <w:spacing w:beforeLines="60" w:before="144" w:afterLines="60" w:after="144"/>
      </w:pPr>
      <w:r w:rsidRPr="00AF4B2A">
        <w:t>9.5</w:t>
      </w:r>
      <w:r w:rsidRPr="00AF4B2A">
        <w:tab/>
        <w:t>Remuneration of auditors</w:t>
      </w:r>
    </w:p>
    <w:p w:rsidR="00CD638D" w:rsidRPr="00AF4B2A" w:rsidRDefault="00CD638D" w:rsidP="00AF4B2A">
      <w:pPr>
        <w:pStyle w:val="BodyTextIndent"/>
        <w:spacing w:beforeLines="60" w:before="144" w:afterLines="60" w:after="144"/>
      </w:pPr>
      <w:r w:rsidRPr="00AF4B2A">
        <w:t>9.6</w:t>
      </w:r>
      <w:r w:rsidRPr="00AF4B2A">
        <w:tab/>
        <w:t>Other accounting policies</w:t>
      </w:r>
    </w:p>
    <w:p w:rsidR="00CD638D" w:rsidRPr="00AF4B2A" w:rsidRDefault="00CD638D" w:rsidP="00AF4B2A">
      <w:pPr>
        <w:pStyle w:val="BodyTextIndent"/>
        <w:spacing w:beforeLines="60" w:before="144" w:afterLines="60" w:after="144"/>
      </w:pPr>
      <w:r w:rsidRPr="00AF4B2A">
        <w:t>9.7</w:t>
      </w:r>
      <w:r w:rsidRPr="00AF4B2A">
        <w:tab/>
        <w:t>Australian Accounting Standards issued that are not yet effective</w:t>
      </w:r>
    </w:p>
    <w:p w:rsidR="00CD638D" w:rsidRPr="00AF4B2A" w:rsidRDefault="00CD638D" w:rsidP="00AF4B2A">
      <w:pPr>
        <w:pStyle w:val="BodyText"/>
        <w:tabs>
          <w:tab w:val="left" w:pos="567"/>
        </w:tabs>
        <w:spacing w:beforeLines="60" w:before="144" w:afterLines="60" w:after="144"/>
      </w:pPr>
      <w:r w:rsidRPr="00AF4B2A">
        <w:t>10.</w:t>
      </w:r>
      <w:r w:rsidRPr="00AF4B2A">
        <w:tab/>
        <w:t>Glossary of technical terms</w:t>
      </w:r>
    </w:p>
    <w:p w:rsidR="00CD638D" w:rsidRPr="00AF4B2A" w:rsidRDefault="00CD638D" w:rsidP="00AF4B2A">
      <w:pPr>
        <w:pStyle w:val="BodyTextIndent"/>
        <w:spacing w:beforeLines="60" w:before="144" w:afterLines="60" w:after="144"/>
      </w:pPr>
      <w:r w:rsidRPr="00AF4B2A">
        <w:t>Style conventions</w:t>
      </w:r>
    </w:p>
    <w:p w:rsidR="00CD638D" w:rsidRDefault="00CD638D" w:rsidP="00877292">
      <w:pPr>
        <w:pStyle w:val="Heading1"/>
        <w:numPr>
          <w:ilvl w:val="0"/>
          <w:numId w:val="0"/>
        </w:numPr>
      </w:pPr>
      <w:bookmarkStart w:id="5" w:name="_Toc497125450"/>
      <w:r w:rsidRPr="00CD638D">
        <w:lastRenderedPageBreak/>
        <w:t xml:space="preserve">Declaration in </w:t>
      </w:r>
      <w:r>
        <w:t>th</w:t>
      </w:r>
      <w:r w:rsidRPr="00CD638D">
        <w:t>e Financial Statements</w:t>
      </w:r>
      <w:bookmarkEnd w:id="5"/>
    </w:p>
    <w:p w:rsidR="00E72CB4" w:rsidRDefault="00E72CB4" w:rsidP="00E72CB4">
      <w:pPr>
        <w:pStyle w:val="BodyText"/>
      </w:pPr>
      <w:r>
        <w:t>The attached financial statements for Court Services Victoria have been prepared in accordance with Direction</w:t>
      </w:r>
    </w:p>
    <w:p w:rsidR="00E72CB4" w:rsidRDefault="00E72CB4" w:rsidP="00E72CB4">
      <w:pPr>
        <w:pStyle w:val="BodyText"/>
      </w:pPr>
      <w:r>
        <w:t>5.2 of the Standing Directions of the Minister for Finance under the Financial Management Act 1994, applicable Financial Reporting Directions, Australian Accounting Standards including Interpretations, and other mandatory professional reporting requirements.</w:t>
      </w:r>
    </w:p>
    <w:p w:rsidR="00E72CB4" w:rsidRDefault="00E72CB4" w:rsidP="00E72CB4">
      <w:pPr>
        <w:pStyle w:val="BodyText"/>
      </w:pPr>
      <w:r>
        <w:t>We further state that, in our opinion, the information set out in the comprehensive operating statement, balance sheet, statement of changes in equity, cash flow statement and accompanying notes, presents fairly the financial transactions during the year ended 30 June 2017 and financial position of Court Services Victoria at 30 June 2017.</w:t>
      </w:r>
    </w:p>
    <w:p w:rsidR="00E72CB4" w:rsidRDefault="00E72CB4" w:rsidP="00E72CB4">
      <w:pPr>
        <w:pStyle w:val="BodyText"/>
      </w:pPr>
      <w:r>
        <w:t>At the time of signing, we are not aware of any circumstance that would render any particulars included in the financial statements to be misleading or inaccurate.</w:t>
      </w:r>
    </w:p>
    <w:p w:rsidR="00E72CB4" w:rsidRDefault="00E72CB4" w:rsidP="00E72CB4">
      <w:pPr>
        <w:pStyle w:val="BodyText"/>
      </w:pPr>
      <w:r>
        <w:t>We authorise the attached financial statements for issue on 14 September 2017.</w:t>
      </w:r>
    </w:p>
    <w:p w:rsidR="00E72CB4" w:rsidRDefault="00E72CB4" w:rsidP="00E72CB4">
      <w:pPr>
        <w:pStyle w:val="NoSpacing"/>
        <w:spacing w:before="360"/>
      </w:pPr>
      <w:r>
        <w:t>The Honourable Chief Justice Marilyn Warren AC</w:t>
      </w:r>
    </w:p>
    <w:p w:rsidR="00E72CB4" w:rsidRDefault="00E72CB4" w:rsidP="00E72CB4">
      <w:pPr>
        <w:pStyle w:val="NoSpacing"/>
      </w:pPr>
      <w:r>
        <w:t>Chair of the Courts Council Court Services Victoria</w:t>
      </w:r>
    </w:p>
    <w:p w:rsidR="00E72CB4" w:rsidRDefault="00E72CB4" w:rsidP="00E72CB4">
      <w:pPr>
        <w:pStyle w:val="NoSpacing"/>
      </w:pPr>
      <w:r>
        <w:t>Melbourne</w:t>
      </w:r>
    </w:p>
    <w:p w:rsidR="00E72CB4" w:rsidRDefault="00E72CB4" w:rsidP="00E72CB4">
      <w:pPr>
        <w:pStyle w:val="NoSpacing"/>
      </w:pPr>
      <w:r>
        <w:t>14 September 2017</w:t>
      </w:r>
    </w:p>
    <w:p w:rsidR="00E72CB4" w:rsidRDefault="00E72CB4" w:rsidP="00E72CB4">
      <w:pPr>
        <w:pStyle w:val="NoSpacing"/>
        <w:spacing w:before="360"/>
      </w:pPr>
      <w:r>
        <w:t>David Ware</w:t>
      </w:r>
    </w:p>
    <w:p w:rsidR="00E72CB4" w:rsidRDefault="00E72CB4" w:rsidP="00E72CB4">
      <w:pPr>
        <w:pStyle w:val="NoSpacing"/>
      </w:pPr>
      <w:r>
        <w:t>Chief Executive Officer Court Services Victoria</w:t>
      </w:r>
    </w:p>
    <w:p w:rsidR="00E72CB4" w:rsidRDefault="00E72CB4" w:rsidP="00E72CB4">
      <w:pPr>
        <w:pStyle w:val="NoSpacing"/>
      </w:pPr>
      <w:r>
        <w:t>Melbourne</w:t>
      </w:r>
    </w:p>
    <w:p w:rsidR="00E72CB4" w:rsidRDefault="00E72CB4" w:rsidP="00E72CB4">
      <w:pPr>
        <w:pStyle w:val="NoSpacing"/>
      </w:pPr>
      <w:r>
        <w:t>14 September 2017</w:t>
      </w:r>
    </w:p>
    <w:p w:rsidR="00E72CB4" w:rsidRDefault="00E72CB4" w:rsidP="00E72CB4">
      <w:pPr>
        <w:pStyle w:val="NoSpacing"/>
        <w:spacing w:before="360"/>
      </w:pPr>
      <w:r>
        <w:t>Lisa Wills</w:t>
      </w:r>
    </w:p>
    <w:p w:rsidR="00E72CB4" w:rsidRDefault="00E72CB4" w:rsidP="00E72CB4">
      <w:pPr>
        <w:pStyle w:val="NoSpacing"/>
      </w:pPr>
      <w:r>
        <w:t>Chief Finance Officer Court Services Victoria</w:t>
      </w:r>
    </w:p>
    <w:p w:rsidR="00E72CB4" w:rsidRDefault="00E72CB4" w:rsidP="00E72CB4">
      <w:pPr>
        <w:pStyle w:val="NoSpacing"/>
      </w:pPr>
      <w:r>
        <w:t>Melbourne</w:t>
      </w:r>
    </w:p>
    <w:p w:rsidR="00E72CB4" w:rsidRDefault="00E72CB4" w:rsidP="00E72CB4">
      <w:pPr>
        <w:pStyle w:val="NoSpacing"/>
      </w:pPr>
      <w:r>
        <w:t>14 September 2017</w:t>
      </w:r>
    </w:p>
    <w:p w:rsidR="00E72CB4" w:rsidRDefault="00E72CB4" w:rsidP="00877292">
      <w:pPr>
        <w:pStyle w:val="Heading1"/>
        <w:numPr>
          <w:ilvl w:val="0"/>
          <w:numId w:val="0"/>
        </w:numPr>
      </w:pPr>
      <w:bookmarkStart w:id="6" w:name="_Toc497125451"/>
      <w:r w:rsidRPr="00E72CB4">
        <w:lastRenderedPageBreak/>
        <w:t>Comprehensive operating statement</w:t>
      </w:r>
      <w:bookmarkEnd w:id="6"/>
    </w:p>
    <w:p w:rsidR="00E72CB4" w:rsidRDefault="00E72CB4" w:rsidP="006F5486">
      <w:pPr>
        <w:pStyle w:val="NoSpacing"/>
        <w:spacing w:after="240"/>
      </w:pPr>
      <w:r w:rsidRPr="00E72CB4">
        <w:t>For the financial year ended 30 June 2017</w:t>
      </w:r>
    </w:p>
    <w:tbl>
      <w:tblPr>
        <w:tblStyle w:val="FinancialTable"/>
        <w:tblW w:w="5000" w:type="pct"/>
        <w:tblLook w:val="04A0" w:firstRow="1" w:lastRow="0" w:firstColumn="1" w:lastColumn="0" w:noHBand="0" w:noVBand="1"/>
      </w:tblPr>
      <w:tblGrid>
        <w:gridCol w:w="5884"/>
        <w:gridCol w:w="1276"/>
        <w:gridCol w:w="1239"/>
        <w:gridCol w:w="1239"/>
      </w:tblGrid>
      <w:tr w:rsidR="00E72CB4" w:rsidRPr="00E72CB4" w:rsidTr="00E72C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51" w:type="pct"/>
            <w:noWrap/>
            <w:hideMark/>
          </w:tcPr>
          <w:p w:rsidR="00E72CB4" w:rsidRPr="00E72CB4" w:rsidRDefault="00E72CB4" w:rsidP="00E72CB4">
            <w:pPr>
              <w:pStyle w:val="TableBodyText"/>
              <w:rPr>
                <w:rStyle w:val="Bold"/>
              </w:rPr>
            </w:pPr>
            <w:r w:rsidRPr="00E72CB4">
              <w:rPr>
                <w:rStyle w:val="Bold"/>
              </w:rPr>
              <w:t>Item</w:t>
            </w:r>
          </w:p>
        </w:tc>
        <w:tc>
          <w:tcPr>
            <w:tcW w:w="662" w:type="pct"/>
            <w:noWrap/>
            <w:hideMark/>
          </w:tcPr>
          <w:p w:rsidR="00E72CB4" w:rsidRPr="00E72CB4" w:rsidRDefault="00E72CB4" w:rsidP="00E72CB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72CB4">
              <w:rPr>
                <w:rStyle w:val="Bold"/>
              </w:rPr>
              <w:t>Note</w:t>
            </w:r>
          </w:p>
        </w:tc>
        <w:tc>
          <w:tcPr>
            <w:tcW w:w="643" w:type="pct"/>
            <w:shd w:val="clear" w:color="auto" w:fill="F3F3F3"/>
            <w:hideMark/>
          </w:tcPr>
          <w:p w:rsidR="00E72CB4" w:rsidRPr="00E72CB4" w:rsidRDefault="00E72CB4" w:rsidP="00E72CB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72CB4">
              <w:rPr>
                <w:rStyle w:val="Bold"/>
              </w:rPr>
              <w:t>2017</w:t>
            </w:r>
            <w:r w:rsidRPr="00E72CB4">
              <w:rPr>
                <w:rStyle w:val="Bold"/>
              </w:rPr>
              <w:br/>
              <w:t>$'000</w:t>
            </w:r>
          </w:p>
        </w:tc>
        <w:tc>
          <w:tcPr>
            <w:tcW w:w="643" w:type="pct"/>
            <w:hideMark/>
          </w:tcPr>
          <w:p w:rsidR="00E72CB4" w:rsidRPr="00E72CB4" w:rsidRDefault="00E72CB4" w:rsidP="00E72CB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72CB4">
              <w:rPr>
                <w:rStyle w:val="Bold"/>
              </w:rPr>
              <w:t>2016</w:t>
            </w:r>
            <w:r w:rsidRPr="00E72CB4">
              <w:rPr>
                <w:rStyle w:val="Bold"/>
              </w:rPr>
              <w:br/>
              <w:t>$'000</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rPr>
                <w:rStyle w:val="Bold"/>
              </w:rPr>
              <w:t>Continuing operations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shd w:val="clear" w:color="auto" w:fill="F3F3F3"/>
            <w:noWrap/>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rPr>
                <w:rStyle w:val="Bold"/>
              </w:rPr>
              <w:t>Income from transactions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shd w:val="clear" w:color="auto" w:fill="F3F3F3"/>
            <w:noWrap/>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Output appropriations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2.3</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332,215</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309,603</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Special appropriations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2.3</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125,548</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123,098</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Grants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2.4.1</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26,929</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21,870</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bottom w:val="single" w:sz="4" w:space="0" w:color="auto"/>
            </w:tcBorders>
            <w:noWrap/>
            <w:hideMark/>
          </w:tcPr>
          <w:p w:rsidR="00E72CB4" w:rsidRPr="00E72CB4" w:rsidRDefault="00E72CB4" w:rsidP="00E72CB4">
            <w:pPr>
              <w:pStyle w:val="TableBodyText"/>
            </w:pPr>
            <w:r w:rsidRPr="00E72CB4">
              <w:t>Other income</w:t>
            </w:r>
          </w:p>
        </w:tc>
        <w:tc>
          <w:tcPr>
            <w:tcW w:w="662"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2.4.2</w:t>
            </w:r>
          </w:p>
        </w:tc>
        <w:tc>
          <w:tcPr>
            <w:tcW w:w="643" w:type="pct"/>
            <w:tcBorders>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6,181</w:t>
            </w:r>
          </w:p>
        </w:tc>
        <w:tc>
          <w:tcPr>
            <w:tcW w:w="643"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3,248</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bottom w:val="nil"/>
            </w:tcBorders>
            <w:noWrap/>
            <w:hideMark/>
          </w:tcPr>
          <w:p w:rsidR="00E72CB4" w:rsidRPr="00E72CB4" w:rsidRDefault="00E72CB4" w:rsidP="00E72CB4">
            <w:pPr>
              <w:pStyle w:val="TableBodyText"/>
            </w:pPr>
            <w:r w:rsidRPr="00E72CB4">
              <w:rPr>
                <w:rStyle w:val="Bold"/>
              </w:rPr>
              <w:t>Total income from transactions</w:t>
            </w:r>
          </w:p>
        </w:tc>
        <w:tc>
          <w:tcPr>
            <w:tcW w:w="662" w:type="pct"/>
            <w:tcBorders>
              <w:top w:val="single" w:sz="4" w:space="0" w:color="auto"/>
              <w:bottom w:val="nil"/>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N/A</w:t>
            </w:r>
          </w:p>
        </w:tc>
        <w:tc>
          <w:tcPr>
            <w:tcW w:w="643" w:type="pct"/>
            <w:tcBorders>
              <w:top w:val="single" w:sz="4" w:space="0" w:color="auto"/>
              <w:bottom w:val="nil"/>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490,874</w:t>
            </w:r>
          </w:p>
        </w:tc>
        <w:tc>
          <w:tcPr>
            <w:tcW w:w="643" w:type="pct"/>
            <w:tcBorders>
              <w:top w:val="single" w:sz="4" w:space="0" w:color="auto"/>
              <w:bottom w:val="nil"/>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457,819</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nil"/>
            </w:tcBorders>
            <w:noWrap/>
            <w:hideMark/>
          </w:tcPr>
          <w:p w:rsidR="00E72CB4" w:rsidRPr="00E72CB4" w:rsidRDefault="00E72CB4" w:rsidP="00E72CB4">
            <w:pPr>
              <w:pStyle w:val="TableBodyText"/>
              <w:spacing w:before="120"/>
            </w:pPr>
            <w:r w:rsidRPr="00E72CB4">
              <w:rPr>
                <w:rStyle w:val="Bold"/>
              </w:rPr>
              <w:t>Expenses from transactions</w:t>
            </w:r>
          </w:p>
        </w:tc>
        <w:tc>
          <w:tcPr>
            <w:tcW w:w="662" w:type="pct"/>
            <w:tcBorders>
              <w:top w:val="nil"/>
            </w:tcBorders>
            <w:noWrap/>
            <w:hideMark/>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43" w:type="pct"/>
            <w:tcBorders>
              <w:top w:val="nil"/>
            </w:tcBorders>
            <w:shd w:val="clear" w:color="auto" w:fill="F3F3F3"/>
            <w:noWrap/>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43" w:type="pct"/>
            <w:tcBorders>
              <w:top w:val="nil"/>
            </w:tcBorders>
            <w:noWrap/>
            <w:hideMark/>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Employee expenses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3.1.1</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278,533</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264,574</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Depreciation and amortisation</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5.1.1</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43,895</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30,489</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Interest expense</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7.1.1</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7,174</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8,201</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Grants and other transfers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3.2</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8,535</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3,760</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Capital asset charge</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3.3</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39,846</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40,612</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bottom w:val="single" w:sz="4" w:space="0" w:color="auto"/>
            </w:tcBorders>
            <w:noWrap/>
            <w:hideMark/>
          </w:tcPr>
          <w:p w:rsidR="00E72CB4" w:rsidRPr="00E72CB4" w:rsidRDefault="00E72CB4" w:rsidP="00E72CB4">
            <w:pPr>
              <w:pStyle w:val="TableBodyText"/>
            </w:pPr>
            <w:r w:rsidRPr="00E72CB4">
              <w:t>Supplies and services</w:t>
            </w:r>
          </w:p>
        </w:tc>
        <w:tc>
          <w:tcPr>
            <w:tcW w:w="662"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3.4</w:t>
            </w:r>
          </w:p>
        </w:tc>
        <w:tc>
          <w:tcPr>
            <w:tcW w:w="643" w:type="pct"/>
            <w:tcBorders>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115,429</w:t>
            </w:r>
          </w:p>
        </w:tc>
        <w:tc>
          <w:tcPr>
            <w:tcW w:w="643"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110,655</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bottom w:val="single" w:sz="4" w:space="0" w:color="auto"/>
            </w:tcBorders>
            <w:noWrap/>
            <w:hideMark/>
          </w:tcPr>
          <w:p w:rsidR="00E72CB4" w:rsidRPr="00E72CB4" w:rsidRDefault="00E72CB4" w:rsidP="00E72CB4">
            <w:pPr>
              <w:pStyle w:val="TableBodyText"/>
              <w:rPr>
                <w:rStyle w:val="Bold"/>
              </w:rPr>
            </w:pPr>
            <w:r w:rsidRPr="00E72CB4">
              <w:rPr>
                <w:rStyle w:val="Bold"/>
              </w:rPr>
              <w:t>Total expenses from transactions</w:t>
            </w:r>
          </w:p>
        </w:tc>
        <w:tc>
          <w:tcPr>
            <w:tcW w:w="662" w:type="pct"/>
            <w:tcBorders>
              <w:top w:val="single" w:sz="4" w:space="0" w:color="auto"/>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N/A</w:t>
            </w:r>
          </w:p>
        </w:tc>
        <w:tc>
          <w:tcPr>
            <w:tcW w:w="643" w:type="pct"/>
            <w:tcBorders>
              <w:top w:val="single" w:sz="4" w:space="0" w:color="auto"/>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493,412</w:t>
            </w:r>
          </w:p>
        </w:tc>
        <w:tc>
          <w:tcPr>
            <w:tcW w:w="643" w:type="pct"/>
            <w:tcBorders>
              <w:top w:val="single" w:sz="4" w:space="0" w:color="auto"/>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458,291</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bottom w:val="single" w:sz="4" w:space="0" w:color="auto"/>
            </w:tcBorders>
            <w:noWrap/>
            <w:hideMark/>
          </w:tcPr>
          <w:p w:rsidR="00E72CB4" w:rsidRPr="00E72CB4" w:rsidRDefault="00E72CB4" w:rsidP="00E72CB4">
            <w:pPr>
              <w:pStyle w:val="TableBodyText"/>
              <w:rPr>
                <w:rStyle w:val="Bold"/>
              </w:rPr>
            </w:pPr>
            <w:r w:rsidRPr="00E72CB4">
              <w:rPr>
                <w:rStyle w:val="Bold"/>
              </w:rPr>
              <w:t>Net result from transactions (net operating balance)</w:t>
            </w:r>
          </w:p>
        </w:tc>
        <w:tc>
          <w:tcPr>
            <w:tcW w:w="662" w:type="pct"/>
            <w:tcBorders>
              <w:top w:val="single" w:sz="4" w:space="0" w:color="auto"/>
              <w:bottom w:val="single" w:sz="4" w:space="0" w:color="auto"/>
            </w:tcBorders>
            <w:noWrap/>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N/A</w:t>
            </w:r>
          </w:p>
        </w:tc>
        <w:tc>
          <w:tcPr>
            <w:tcW w:w="643" w:type="pct"/>
            <w:tcBorders>
              <w:top w:val="single" w:sz="4" w:space="0" w:color="auto"/>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(2,539)</w:t>
            </w:r>
          </w:p>
        </w:tc>
        <w:tc>
          <w:tcPr>
            <w:tcW w:w="643" w:type="pct"/>
            <w:tcBorders>
              <w:top w:val="single" w:sz="4" w:space="0" w:color="auto"/>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(472)</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tcBorders>
            <w:noWrap/>
            <w:hideMark/>
          </w:tcPr>
          <w:p w:rsidR="00E72CB4" w:rsidRPr="00E72CB4" w:rsidRDefault="00E72CB4" w:rsidP="00E72CB4">
            <w:pPr>
              <w:pStyle w:val="TableBodyText"/>
              <w:spacing w:before="120"/>
              <w:rPr>
                <w:rStyle w:val="Bold"/>
              </w:rPr>
            </w:pPr>
            <w:r w:rsidRPr="00E72CB4">
              <w:rPr>
                <w:rStyle w:val="Bold"/>
              </w:rPr>
              <w:t>Other economic flows included in net result</w:t>
            </w:r>
          </w:p>
        </w:tc>
        <w:tc>
          <w:tcPr>
            <w:tcW w:w="662" w:type="pct"/>
            <w:tcBorders>
              <w:top w:val="single" w:sz="4" w:space="0" w:color="auto"/>
            </w:tcBorders>
            <w:noWrap/>
            <w:hideMark/>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43" w:type="pct"/>
            <w:tcBorders>
              <w:top w:val="single" w:sz="4" w:space="0" w:color="auto"/>
            </w:tcBorders>
            <w:shd w:val="clear" w:color="auto" w:fill="F3F3F3"/>
            <w:noWrap/>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43" w:type="pct"/>
            <w:tcBorders>
              <w:top w:val="single" w:sz="4" w:space="0" w:color="auto"/>
            </w:tcBorders>
            <w:noWrap/>
            <w:hideMark/>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Net gain/(loss) on non-financial assets</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9.1</w:t>
            </w:r>
          </w:p>
        </w:tc>
        <w:tc>
          <w:tcPr>
            <w:tcW w:w="643" w:type="pct"/>
            <w:shd w:val="clear" w:color="auto" w:fill="F3F3F3"/>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 xml:space="preserve">461 </w:t>
            </w:r>
          </w:p>
        </w:tc>
        <w:tc>
          <w:tcPr>
            <w:tcW w:w="643" w:type="pct"/>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 xml:space="preserve">530 </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E72CB4" w:rsidRDefault="00E72CB4" w:rsidP="00E72CB4">
            <w:pPr>
              <w:pStyle w:val="TableBodyText"/>
            </w:pPr>
            <w:r w:rsidRPr="00E72CB4">
              <w:t xml:space="preserve">Net gain/(loss) on financial instruments </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9.1</w:t>
            </w:r>
          </w:p>
        </w:tc>
        <w:tc>
          <w:tcPr>
            <w:tcW w:w="643" w:type="pct"/>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(13)</w:t>
            </w:r>
          </w:p>
        </w:tc>
        <w:tc>
          <w:tcPr>
            <w:tcW w:w="643" w:type="pct"/>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 xml:space="preserve">8 </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bottom w:val="single" w:sz="4" w:space="0" w:color="auto"/>
            </w:tcBorders>
            <w:noWrap/>
            <w:hideMark/>
          </w:tcPr>
          <w:p w:rsidR="00E72CB4" w:rsidRPr="00E72CB4" w:rsidRDefault="00E72CB4" w:rsidP="00E72CB4">
            <w:pPr>
              <w:pStyle w:val="TableBodyText"/>
            </w:pPr>
            <w:r w:rsidRPr="00E72CB4">
              <w:t>Other gains/(losses) from other economic flows</w:t>
            </w:r>
          </w:p>
        </w:tc>
        <w:tc>
          <w:tcPr>
            <w:tcW w:w="662"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9.1</w:t>
            </w:r>
          </w:p>
        </w:tc>
        <w:tc>
          <w:tcPr>
            <w:tcW w:w="643" w:type="pct"/>
            <w:tcBorders>
              <w:bottom w:val="single" w:sz="4" w:space="0" w:color="auto"/>
            </w:tcBorders>
            <w:shd w:val="clear" w:color="auto" w:fill="F3F3F3"/>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 xml:space="preserve">3,774 </w:t>
            </w:r>
          </w:p>
        </w:tc>
        <w:tc>
          <w:tcPr>
            <w:tcW w:w="643"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(4,593)</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bottom w:val="single" w:sz="4" w:space="0" w:color="auto"/>
            </w:tcBorders>
            <w:noWrap/>
            <w:hideMark/>
          </w:tcPr>
          <w:p w:rsidR="00E72CB4" w:rsidRPr="00E72CB4" w:rsidRDefault="00E72CB4" w:rsidP="00E72CB4">
            <w:pPr>
              <w:pStyle w:val="TableBodyText"/>
              <w:rPr>
                <w:rStyle w:val="Bold"/>
              </w:rPr>
            </w:pPr>
            <w:r w:rsidRPr="00E72CB4">
              <w:rPr>
                <w:rStyle w:val="Bold"/>
              </w:rPr>
              <w:t>Total other economic flows included in net result</w:t>
            </w:r>
          </w:p>
        </w:tc>
        <w:tc>
          <w:tcPr>
            <w:tcW w:w="662" w:type="pct"/>
            <w:tcBorders>
              <w:top w:val="single" w:sz="4" w:space="0" w:color="auto"/>
              <w:bottom w:val="single" w:sz="4" w:space="0" w:color="auto"/>
            </w:tcBorders>
            <w:noWrap/>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N/A</w:t>
            </w:r>
          </w:p>
        </w:tc>
        <w:tc>
          <w:tcPr>
            <w:tcW w:w="643" w:type="pct"/>
            <w:tcBorders>
              <w:top w:val="single" w:sz="4" w:space="0" w:color="auto"/>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 xml:space="preserve">4,221 </w:t>
            </w:r>
          </w:p>
        </w:tc>
        <w:tc>
          <w:tcPr>
            <w:tcW w:w="643" w:type="pct"/>
            <w:tcBorders>
              <w:top w:val="single" w:sz="4" w:space="0" w:color="auto"/>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(4,054)</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bottom w:val="single" w:sz="4" w:space="0" w:color="auto"/>
            </w:tcBorders>
            <w:noWrap/>
            <w:hideMark/>
          </w:tcPr>
          <w:p w:rsidR="00E72CB4" w:rsidRPr="00E72CB4" w:rsidRDefault="00E72CB4" w:rsidP="00E72CB4">
            <w:pPr>
              <w:pStyle w:val="TableBodyText"/>
              <w:rPr>
                <w:rStyle w:val="Bold"/>
              </w:rPr>
            </w:pPr>
            <w:r w:rsidRPr="00E72CB4">
              <w:rPr>
                <w:rStyle w:val="Bold"/>
              </w:rPr>
              <w:t>Net result</w:t>
            </w:r>
          </w:p>
        </w:tc>
        <w:tc>
          <w:tcPr>
            <w:tcW w:w="662" w:type="pct"/>
            <w:tcBorders>
              <w:top w:val="single" w:sz="4" w:space="0" w:color="auto"/>
              <w:bottom w:val="single" w:sz="4" w:space="0" w:color="auto"/>
            </w:tcBorders>
            <w:noWrap/>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N/A</w:t>
            </w:r>
          </w:p>
        </w:tc>
        <w:tc>
          <w:tcPr>
            <w:tcW w:w="643" w:type="pct"/>
            <w:tcBorders>
              <w:top w:val="single" w:sz="4" w:space="0" w:color="auto"/>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 xml:space="preserve">1,682 </w:t>
            </w:r>
          </w:p>
        </w:tc>
        <w:tc>
          <w:tcPr>
            <w:tcW w:w="643" w:type="pct"/>
            <w:tcBorders>
              <w:top w:val="single" w:sz="4" w:space="0" w:color="auto"/>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72CB4">
              <w:rPr>
                <w:rStyle w:val="Bold"/>
              </w:rPr>
              <w:t>(4,526)</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tcBorders>
            <w:noWrap/>
            <w:hideMark/>
          </w:tcPr>
          <w:p w:rsidR="00E72CB4" w:rsidRPr="00E72CB4" w:rsidRDefault="00E72CB4" w:rsidP="00E72CB4">
            <w:pPr>
              <w:pStyle w:val="TableBodyText"/>
              <w:spacing w:before="120"/>
              <w:rPr>
                <w:rStyle w:val="Bold"/>
              </w:rPr>
            </w:pPr>
            <w:r w:rsidRPr="00E72CB4">
              <w:rPr>
                <w:rStyle w:val="Bold"/>
              </w:rPr>
              <w:t>Other economic flows - other comprehensive income</w:t>
            </w:r>
          </w:p>
        </w:tc>
        <w:tc>
          <w:tcPr>
            <w:tcW w:w="662" w:type="pct"/>
            <w:tcBorders>
              <w:top w:val="single" w:sz="4" w:space="0" w:color="auto"/>
            </w:tcBorders>
            <w:noWrap/>
            <w:hideMark/>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rsidRPr="00E72CB4">
              <w:t>N/A</w:t>
            </w:r>
          </w:p>
        </w:tc>
        <w:tc>
          <w:tcPr>
            <w:tcW w:w="643" w:type="pct"/>
            <w:tcBorders>
              <w:top w:val="single" w:sz="4" w:space="0" w:color="auto"/>
            </w:tcBorders>
            <w:shd w:val="clear" w:color="auto" w:fill="F3F3F3"/>
            <w:noWrap/>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rsidRPr="00E72CB4">
              <w:t>N/A</w:t>
            </w:r>
          </w:p>
        </w:tc>
        <w:tc>
          <w:tcPr>
            <w:tcW w:w="643" w:type="pct"/>
            <w:tcBorders>
              <w:top w:val="single" w:sz="4" w:space="0" w:color="auto"/>
            </w:tcBorders>
            <w:noWrap/>
            <w:hideMark/>
          </w:tcPr>
          <w:p w:rsidR="00E72CB4" w:rsidRPr="00E72CB4" w:rsidRDefault="00E72CB4" w:rsidP="00E72CB4">
            <w:pPr>
              <w:pStyle w:val="TableBodyText"/>
              <w:spacing w:before="120"/>
              <w:cnfStyle w:val="000000000000" w:firstRow="0" w:lastRow="0" w:firstColumn="0" w:lastColumn="0" w:oddVBand="0" w:evenVBand="0" w:oddHBand="0" w:evenHBand="0" w:firstRowFirstColumn="0" w:firstRowLastColumn="0" w:lastRowFirstColumn="0" w:lastRowLastColumn="0"/>
            </w:pPr>
            <w:r w:rsidRPr="00E72CB4">
              <w:t>N/A</w:t>
            </w:r>
          </w:p>
        </w:tc>
      </w:tr>
      <w:tr w:rsidR="00E72CB4" w:rsidRPr="00E72CB4" w:rsidTr="00E72CB4">
        <w:tc>
          <w:tcPr>
            <w:cnfStyle w:val="001000000000" w:firstRow="0" w:lastRow="0" w:firstColumn="1" w:lastColumn="0" w:oddVBand="0" w:evenVBand="0" w:oddHBand="0" w:evenHBand="0" w:firstRowFirstColumn="0" w:firstRowLastColumn="0" w:lastRowFirstColumn="0" w:lastRowLastColumn="0"/>
            <w:tcW w:w="3051" w:type="pct"/>
            <w:noWrap/>
            <w:hideMark/>
          </w:tcPr>
          <w:p w:rsidR="00E72CB4" w:rsidRPr="006F5486" w:rsidRDefault="00E72CB4" w:rsidP="00E72CB4">
            <w:pPr>
              <w:pStyle w:val="TableBodyText"/>
              <w:rPr>
                <w:rStyle w:val="Bold"/>
              </w:rPr>
            </w:pPr>
            <w:r w:rsidRPr="006F5486">
              <w:rPr>
                <w:rStyle w:val="Bold"/>
              </w:rPr>
              <w:t>Items that will not be reclassified to net result</w:t>
            </w:r>
          </w:p>
        </w:tc>
        <w:tc>
          <w:tcPr>
            <w:tcW w:w="662"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shd w:val="clear" w:color="auto" w:fill="F3F3F3"/>
            <w:noWrap/>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r>
      <w:tr w:rsidR="00E72CB4" w:rsidRPr="00E72CB4" w:rsidTr="006F5486">
        <w:tc>
          <w:tcPr>
            <w:cnfStyle w:val="001000000000" w:firstRow="0" w:lastRow="0" w:firstColumn="1" w:lastColumn="0" w:oddVBand="0" w:evenVBand="0" w:oddHBand="0" w:evenHBand="0" w:firstRowFirstColumn="0" w:firstRowLastColumn="0" w:lastRowFirstColumn="0" w:lastRowLastColumn="0"/>
            <w:tcW w:w="3051" w:type="pct"/>
            <w:tcBorders>
              <w:bottom w:val="single" w:sz="4" w:space="0" w:color="auto"/>
            </w:tcBorders>
            <w:noWrap/>
            <w:hideMark/>
          </w:tcPr>
          <w:p w:rsidR="00E72CB4" w:rsidRPr="00E72CB4" w:rsidRDefault="00E72CB4" w:rsidP="00E72CB4">
            <w:pPr>
              <w:pStyle w:val="TableBodyText"/>
            </w:pPr>
            <w:r w:rsidRPr="00E72CB4">
              <w:t>Changes in physical asset revaluation reserve</w:t>
            </w:r>
          </w:p>
        </w:tc>
        <w:tc>
          <w:tcPr>
            <w:tcW w:w="662"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tcBorders>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3,894</w:t>
            </w:r>
          </w:p>
        </w:tc>
        <w:tc>
          <w:tcPr>
            <w:tcW w:w="643" w:type="pct"/>
            <w:tcBorders>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182,874</w:t>
            </w:r>
          </w:p>
        </w:tc>
      </w:tr>
      <w:tr w:rsidR="00E72CB4" w:rsidRPr="00E72CB4" w:rsidTr="006F5486">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bottom w:val="single" w:sz="4" w:space="0" w:color="auto"/>
            </w:tcBorders>
            <w:noWrap/>
            <w:hideMark/>
          </w:tcPr>
          <w:p w:rsidR="00E72CB4" w:rsidRPr="006F5486" w:rsidRDefault="00E72CB4" w:rsidP="00E72CB4">
            <w:pPr>
              <w:pStyle w:val="TableBodyText"/>
              <w:rPr>
                <w:rStyle w:val="Bold"/>
              </w:rPr>
            </w:pPr>
            <w:r w:rsidRPr="006F5486">
              <w:rPr>
                <w:rStyle w:val="Bold"/>
              </w:rPr>
              <w:t>Total other economic flows - other comprehensive income</w:t>
            </w:r>
          </w:p>
        </w:tc>
        <w:tc>
          <w:tcPr>
            <w:tcW w:w="662" w:type="pct"/>
            <w:tcBorders>
              <w:top w:val="single" w:sz="4" w:space="0" w:color="auto"/>
              <w:bottom w:val="single" w:sz="4" w:space="0" w:color="auto"/>
            </w:tcBorders>
            <w:noWrap/>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43" w:type="pct"/>
            <w:tcBorders>
              <w:top w:val="single" w:sz="4" w:space="0" w:color="auto"/>
              <w:bottom w:val="single" w:sz="4" w:space="0" w:color="auto"/>
            </w:tcBorders>
            <w:shd w:val="clear" w:color="auto" w:fill="F3F3F3"/>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3,894</w:t>
            </w:r>
          </w:p>
        </w:tc>
        <w:tc>
          <w:tcPr>
            <w:tcW w:w="643" w:type="pct"/>
            <w:tcBorders>
              <w:top w:val="single" w:sz="4" w:space="0" w:color="auto"/>
              <w:bottom w:val="single" w:sz="4" w:space="0" w:color="auto"/>
            </w:tcBorders>
            <w:noWrap/>
            <w:hideMark/>
          </w:tcPr>
          <w:p w:rsidR="00E72CB4" w:rsidRPr="00E72CB4" w:rsidRDefault="00E72CB4" w:rsidP="00E72CB4">
            <w:pPr>
              <w:pStyle w:val="TableBodyText"/>
              <w:cnfStyle w:val="000000000000" w:firstRow="0" w:lastRow="0" w:firstColumn="0" w:lastColumn="0" w:oddVBand="0" w:evenVBand="0" w:oddHBand="0" w:evenHBand="0" w:firstRowFirstColumn="0" w:firstRowLastColumn="0" w:lastRowFirstColumn="0" w:lastRowLastColumn="0"/>
            </w:pPr>
            <w:r w:rsidRPr="00E72CB4">
              <w:t>182,874</w:t>
            </w:r>
          </w:p>
        </w:tc>
      </w:tr>
      <w:tr w:rsidR="00E72CB4" w:rsidRPr="006F5486" w:rsidTr="006F5486">
        <w:tc>
          <w:tcPr>
            <w:cnfStyle w:val="001000000000" w:firstRow="0" w:lastRow="0" w:firstColumn="1" w:lastColumn="0" w:oddVBand="0" w:evenVBand="0" w:oddHBand="0" w:evenHBand="0" w:firstRowFirstColumn="0" w:firstRowLastColumn="0" w:lastRowFirstColumn="0" w:lastRowLastColumn="0"/>
            <w:tcW w:w="3051" w:type="pct"/>
            <w:tcBorders>
              <w:top w:val="single" w:sz="4" w:space="0" w:color="auto"/>
              <w:bottom w:val="single" w:sz="4" w:space="0" w:color="auto"/>
            </w:tcBorders>
            <w:noWrap/>
            <w:hideMark/>
          </w:tcPr>
          <w:p w:rsidR="00E72CB4" w:rsidRPr="006F5486" w:rsidRDefault="00E72CB4" w:rsidP="00E72CB4">
            <w:pPr>
              <w:pStyle w:val="TableBodyText"/>
              <w:rPr>
                <w:rStyle w:val="Bold"/>
              </w:rPr>
            </w:pPr>
            <w:r w:rsidRPr="006F5486">
              <w:rPr>
                <w:rStyle w:val="Bold"/>
              </w:rPr>
              <w:t>Comprehensive result</w:t>
            </w:r>
          </w:p>
        </w:tc>
        <w:tc>
          <w:tcPr>
            <w:tcW w:w="662" w:type="pct"/>
            <w:tcBorders>
              <w:top w:val="single" w:sz="4" w:space="0" w:color="auto"/>
              <w:bottom w:val="single" w:sz="4" w:space="0" w:color="auto"/>
            </w:tcBorders>
            <w:noWrap/>
          </w:tcPr>
          <w:p w:rsidR="00E72CB4" w:rsidRPr="006F5486"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N/A</w:t>
            </w:r>
          </w:p>
        </w:tc>
        <w:tc>
          <w:tcPr>
            <w:tcW w:w="643" w:type="pct"/>
            <w:tcBorders>
              <w:top w:val="single" w:sz="4" w:space="0" w:color="auto"/>
              <w:bottom w:val="single" w:sz="4" w:space="0" w:color="auto"/>
            </w:tcBorders>
            <w:shd w:val="clear" w:color="auto" w:fill="F3F3F3"/>
            <w:noWrap/>
            <w:hideMark/>
          </w:tcPr>
          <w:p w:rsidR="00E72CB4" w:rsidRPr="006F5486"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 xml:space="preserve">5,577 </w:t>
            </w:r>
          </w:p>
        </w:tc>
        <w:tc>
          <w:tcPr>
            <w:tcW w:w="643" w:type="pct"/>
            <w:tcBorders>
              <w:top w:val="single" w:sz="4" w:space="0" w:color="auto"/>
              <w:bottom w:val="single" w:sz="4" w:space="0" w:color="auto"/>
            </w:tcBorders>
            <w:noWrap/>
            <w:hideMark/>
          </w:tcPr>
          <w:p w:rsidR="00E72CB4" w:rsidRPr="006F5486" w:rsidRDefault="00E72CB4" w:rsidP="00E72CB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178,348</w:t>
            </w:r>
          </w:p>
        </w:tc>
      </w:tr>
    </w:tbl>
    <w:p w:rsidR="00E72CB4" w:rsidRPr="00E72CB4" w:rsidRDefault="00E72CB4" w:rsidP="006F5486">
      <w:pPr>
        <w:pStyle w:val="BodyText"/>
      </w:pPr>
      <w:r w:rsidRPr="00E72CB4">
        <w:t>The accompanying notes form part of these financial statements.</w:t>
      </w:r>
    </w:p>
    <w:p w:rsidR="00E72CB4" w:rsidRDefault="006F5486" w:rsidP="00877292">
      <w:pPr>
        <w:pStyle w:val="Heading1"/>
        <w:numPr>
          <w:ilvl w:val="0"/>
          <w:numId w:val="0"/>
        </w:numPr>
      </w:pPr>
      <w:bookmarkStart w:id="7" w:name="_Toc497125452"/>
      <w:r w:rsidRPr="006F5486">
        <w:lastRenderedPageBreak/>
        <w:t>Balance sheet</w:t>
      </w:r>
      <w:bookmarkEnd w:id="7"/>
    </w:p>
    <w:p w:rsidR="006F5486" w:rsidRDefault="006F5486" w:rsidP="006F5486">
      <w:pPr>
        <w:pStyle w:val="NoSpacing"/>
        <w:spacing w:after="240"/>
      </w:pPr>
      <w:r w:rsidRPr="006F5486">
        <w:t>As at 30 June 2017</w:t>
      </w:r>
    </w:p>
    <w:tbl>
      <w:tblPr>
        <w:tblStyle w:val="FinancialTable"/>
        <w:tblW w:w="5000" w:type="pct"/>
        <w:tblLook w:val="04A0" w:firstRow="1" w:lastRow="0" w:firstColumn="1" w:lastColumn="0" w:noHBand="0" w:noVBand="1"/>
      </w:tblPr>
      <w:tblGrid>
        <w:gridCol w:w="6695"/>
        <w:gridCol w:w="813"/>
        <w:gridCol w:w="1041"/>
        <w:gridCol w:w="1089"/>
      </w:tblGrid>
      <w:tr w:rsidR="006F5486" w:rsidRPr="006F5486" w:rsidTr="006F54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73" w:type="pct"/>
            <w:noWrap/>
            <w:hideMark/>
          </w:tcPr>
          <w:p w:rsidR="006F5486" w:rsidRPr="006F5486" w:rsidRDefault="006F5486" w:rsidP="006F5486">
            <w:pPr>
              <w:pStyle w:val="TableBodyText"/>
              <w:rPr>
                <w:rStyle w:val="Bold"/>
              </w:rPr>
            </w:pPr>
            <w:r w:rsidRPr="006F5486">
              <w:rPr>
                <w:rStyle w:val="Bold"/>
              </w:rPr>
              <w:t>Item</w:t>
            </w:r>
          </w:p>
        </w:tc>
        <w:tc>
          <w:tcPr>
            <w:tcW w:w="422" w:type="pct"/>
            <w:noWrap/>
            <w:hideMark/>
          </w:tcPr>
          <w:p w:rsidR="006F5486" w:rsidRPr="006F5486" w:rsidRDefault="006F5486" w:rsidP="006F548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F5486">
              <w:rPr>
                <w:rStyle w:val="Bold"/>
              </w:rPr>
              <w:t>Note</w:t>
            </w:r>
          </w:p>
        </w:tc>
        <w:tc>
          <w:tcPr>
            <w:tcW w:w="540" w:type="pct"/>
            <w:shd w:val="clear" w:color="auto" w:fill="F3F3F3"/>
            <w:hideMark/>
          </w:tcPr>
          <w:p w:rsidR="006F5486" w:rsidRPr="006F5486" w:rsidRDefault="006F5486" w:rsidP="006F548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F5486">
              <w:rPr>
                <w:rStyle w:val="Bold"/>
              </w:rPr>
              <w:t>2017</w:t>
            </w:r>
            <w:r w:rsidRPr="006F5486">
              <w:rPr>
                <w:rStyle w:val="Bold"/>
              </w:rPr>
              <w:br/>
              <w:t>$'000</w:t>
            </w:r>
          </w:p>
        </w:tc>
        <w:tc>
          <w:tcPr>
            <w:tcW w:w="565" w:type="pct"/>
            <w:hideMark/>
          </w:tcPr>
          <w:p w:rsidR="006F5486" w:rsidRPr="006F5486" w:rsidRDefault="006F5486" w:rsidP="006F548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F5486">
              <w:rPr>
                <w:rStyle w:val="Bold"/>
              </w:rPr>
              <w:t>2016</w:t>
            </w:r>
            <w:r w:rsidRPr="006F5486">
              <w:rPr>
                <w:rStyle w:val="Bold"/>
              </w:rPr>
              <w:br/>
              <w:t>$'000</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rPr>
                <w:rStyle w:val="Bold"/>
              </w:rPr>
            </w:pPr>
            <w:r w:rsidRPr="006F5486">
              <w:rPr>
                <w:rStyle w:val="Bold"/>
              </w:rPr>
              <w:t>Financial assets</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0" w:type="pct"/>
            <w:shd w:val="clear" w:color="auto" w:fill="F3F3F3"/>
            <w:noWrap/>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pPr>
            <w:r w:rsidRPr="006F5486">
              <w:t>Cash and deposits</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7.3</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9,086</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8,379</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bottom w:val="single" w:sz="4" w:space="0" w:color="auto"/>
            </w:tcBorders>
            <w:noWrap/>
            <w:hideMark/>
          </w:tcPr>
          <w:p w:rsidR="006F5486" w:rsidRPr="006F5486" w:rsidRDefault="006F5486" w:rsidP="006F5486">
            <w:pPr>
              <w:pStyle w:val="TableBodyText"/>
            </w:pPr>
            <w:r w:rsidRPr="006F5486">
              <w:t>Receivables</w:t>
            </w:r>
          </w:p>
        </w:tc>
        <w:tc>
          <w:tcPr>
            <w:tcW w:w="422"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6.1</w:t>
            </w:r>
          </w:p>
        </w:tc>
        <w:tc>
          <w:tcPr>
            <w:tcW w:w="540" w:type="pct"/>
            <w:tcBorders>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81,879</w:t>
            </w:r>
          </w:p>
        </w:tc>
        <w:tc>
          <w:tcPr>
            <w:tcW w:w="565"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64,785</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bottom w:val="single" w:sz="4" w:space="0" w:color="auto"/>
            </w:tcBorders>
            <w:noWrap/>
            <w:hideMark/>
          </w:tcPr>
          <w:p w:rsidR="006F5486" w:rsidRPr="006F5486" w:rsidRDefault="006F5486" w:rsidP="006F5486">
            <w:pPr>
              <w:pStyle w:val="TableBodyText"/>
              <w:rPr>
                <w:rStyle w:val="Bold"/>
              </w:rPr>
            </w:pPr>
            <w:r w:rsidRPr="006F5486">
              <w:rPr>
                <w:rStyle w:val="Bold"/>
              </w:rPr>
              <w:t>Total financial assets</w:t>
            </w:r>
          </w:p>
        </w:tc>
        <w:tc>
          <w:tcPr>
            <w:tcW w:w="422" w:type="pct"/>
            <w:tcBorders>
              <w:top w:val="single" w:sz="4" w:space="0" w:color="auto"/>
              <w:bottom w:val="single" w:sz="4" w:space="0" w:color="auto"/>
            </w:tcBorders>
            <w:noWrap/>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N/A</w:t>
            </w:r>
          </w:p>
        </w:tc>
        <w:tc>
          <w:tcPr>
            <w:tcW w:w="540" w:type="pct"/>
            <w:tcBorders>
              <w:top w:val="single" w:sz="4" w:space="0" w:color="auto"/>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90,965</w:t>
            </w:r>
          </w:p>
        </w:tc>
        <w:tc>
          <w:tcPr>
            <w:tcW w:w="565" w:type="pct"/>
            <w:tcBorders>
              <w:top w:val="single" w:sz="4" w:space="0" w:color="auto"/>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73,165</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bottom w:val="nil"/>
            </w:tcBorders>
            <w:noWrap/>
            <w:hideMark/>
          </w:tcPr>
          <w:p w:rsidR="006F5486" w:rsidRPr="006F5486" w:rsidRDefault="006F5486" w:rsidP="006F5486">
            <w:pPr>
              <w:pStyle w:val="TableBodyText"/>
              <w:spacing w:before="120"/>
              <w:rPr>
                <w:rStyle w:val="Bold"/>
              </w:rPr>
            </w:pPr>
            <w:r w:rsidRPr="006F5486">
              <w:rPr>
                <w:rStyle w:val="Bold"/>
              </w:rPr>
              <w:t>Non-financial assets</w:t>
            </w:r>
          </w:p>
        </w:tc>
        <w:tc>
          <w:tcPr>
            <w:tcW w:w="422" w:type="pct"/>
            <w:tcBorders>
              <w:top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0" w:type="pct"/>
            <w:tcBorders>
              <w:top w:val="single" w:sz="4" w:space="0" w:color="auto"/>
            </w:tcBorders>
            <w:shd w:val="clear" w:color="auto" w:fill="F3F3F3"/>
            <w:noWrap/>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65" w:type="pct"/>
            <w:tcBorders>
              <w:top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nil"/>
            </w:tcBorders>
            <w:noWrap/>
            <w:hideMark/>
          </w:tcPr>
          <w:p w:rsidR="006F5486" w:rsidRPr="006F5486" w:rsidRDefault="006F5486" w:rsidP="006F5486">
            <w:pPr>
              <w:pStyle w:val="TableBodyText"/>
            </w:pPr>
            <w:r w:rsidRPr="006F5486">
              <w:t>Non-financial physical assets classified as held for sale</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9.3</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233</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153</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pPr>
            <w:r w:rsidRPr="006F5486">
              <w:t xml:space="preserve">Property, plant and equipment </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5.1</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975,236</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964,545</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pPr>
            <w:r w:rsidRPr="006F5486">
              <w:t>Intangible assets</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5.2</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18,254</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25,235</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bottom w:val="single" w:sz="4" w:space="0" w:color="auto"/>
            </w:tcBorders>
            <w:noWrap/>
            <w:hideMark/>
          </w:tcPr>
          <w:p w:rsidR="006F5486" w:rsidRPr="006F5486" w:rsidRDefault="006F5486" w:rsidP="006F5486">
            <w:pPr>
              <w:pStyle w:val="TableBodyText"/>
            </w:pPr>
            <w:r w:rsidRPr="006F5486">
              <w:t>Prepayments</w:t>
            </w:r>
          </w:p>
        </w:tc>
        <w:tc>
          <w:tcPr>
            <w:tcW w:w="422"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6.3</w:t>
            </w:r>
          </w:p>
        </w:tc>
        <w:tc>
          <w:tcPr>
            <w:tcW w:w="540" w:type="pct"/>
            <w:tcBorders>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2,129</w:t>
            </w:r>
          </w:p>
        </w:tc>
        <w:tc>
          <w:tcPr>
            <w:tcW w:w="565"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1,736</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bottom w:val="single" w:sz="4" w:space="0" w:color="auto"/>
            </w:tcBorders>
            <w:noWrap/>
            <w:hideMark/>
          </w:tcPr>
          <w:p w:rsidR="006F5486" w:rsidRPr="006F5486" w:rsidRDefault="006F5486" w:rsidP="006F5486">
            <w:pPr>
              <w:pStyle w:val="TableBodyText"/>
              <w:rPr>
                <w:rStyle w:val="Bold"/>
              </w:rPr>
            </w:pPr>
            <w:r w:rsidRPr="006F5486">
              <w:rPr>
                <w:rStyle w:val="Bold"/>
              </w:rPr>
              <w:t>Total non-financial assets</w:t>
            </w:r>
          </w:p>
        </w:tc>
        <w:tc>
          <w:tcPr>
            <w:tcW w:w="422" w:type="pct"/>
            <w:tcBorders>
              <w:top w:val="single" w:sz="4" w:space="0" w:color="auto"/>
              <w:bottom w:val="single" w:sz="4" w:space="0" w:color="auto"/>
            </w:tcBorders>
            <w:noWrap/>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N/A</w:t>
            </w:r>
          </w:p>
        </w:tc>
        <w:tc>
          <w:tcPr>
            <w:tcW w:w="540" w:type="pct"/>
            <w:tcBorders>
              <w:top w:val="single" w:sz="4" w:space="0" w:color="auto"/>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995,852</w:t>
            </w:r>
          </w:p>
        </w:tc>
        <w:tc>
          <w:tcPr>
            <w:tcW w:w="565" w:type="pct"/>
            <w:tcBorders>
              <w:top w:val="single" w:sz="4" w:space="0" w:color="auto"/>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991,668</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bottom w:val="nil"/>
            </w:tcBorders>
            <w:noWrap/>
            <w:hideMark/>
          </w:tcPr>
          <w:p w:rsidR="006F5486" w:rsidRPr="006F5486" w:rsidRDefault="006F5486" w:rsidP="006F5486">
            <w:pPr>
              <w:pStyle w:val="TableBodyText"/>
              <w:rPr>
                <w:rStyle w:val="Bold"/>
              </w:rPr>
            </w:pPr>
            <w:r w:rsidRPr="006F5486">
              <w:rPr>
                <w:rStyle w:val="Bold"/>
              </w:rPr>
              <w:t>Total assets</w:t>
            </w:r>
          </w:p>
        </w:tc>
        <w:tc>
          <w:tcPr>
            <w:tcW w:w="422" w:type="pct"/>
            <w:tcBorders>
              <w:top w:val="single" w:sz="4" w:space="0" w:color="auto"/>
              <w:bottom w:val="nil"/>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N/A</w:t>
            </w:r>
          </w:p>
        </w:tc>
        <w:tc>
          <w:tcPr>
            <w:tcW w:w="540" w:type="pct"/>
            <w:tcBorders>
              <w:top w:val="single" w:sz="4" w:space="0" w:color="auto"/>
              <w:bottom w:val="nil"/>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1,086,817</w:t>
            </w:r>
          </w:p>
        </w:tc>
        <w:tc>
          <w:tcPr>
            <w:tcW w:w="565" w:type="pct"/>
            <w:tcBorders>
              <w:top w:val="single" w:sz="4" w:space="0" w:color="auto"/>
              <w:bottom w:val="nil"/>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1,064,833</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nil"/>
            </w:tcBorders>
            <w:noWrap/>
            <w:hideMark/>
          </w:tcPr>
          <w:p w:rsidR="006F5486" w:rsidRPr="006F5486" w:rsidRDefault="006F5486" w:rsidP="006F5486">
            <w:pPr>
              <w:pStyle w:val="TableBodyText"/>
              <w:spacing w:before="120"/>
            </w:pPr>
            <w:r w:rsidRPr="006F5486">
              <w:t>Liabilities</w:t>
            </w:r>
          </w:p>
        </w:tc>
        <w:tc>
          <w:tcPr>
            <w:tcW w:w="422" w:type="pct"/>
            <w:tcBorders>
              <w:top w:val="nil"/>
            </w:tcBorders>
            <w:noWrap/>
            <w:hideMark/>
          </w:tcPr>
          <w:p w:rsidR="006F5486" w:rsidRPr="006F5486" w:rsidRDefault="006F5486" w:rsidP="006F548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40" w:type="pct"/>
            <w:tcBorders>
              <w:top w:val="nil"/>
            </w:tcBorders>
            <w:shd w:val="clear" w:color="auto" w:fill="F3F3F3"/>
            <w:noWrap/>
          </w:tcPr>
          <w:p w:rsidR="006F5486" w:rsidRPr="006F5486" w:rsidRDefault="006F5486" w:rsidP="006F548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65" w:type="pct"/>
            <w:tcBorders>
              <w:top w:val="nil"/>
            </w:tcBorders>
            <w:noWrap/>
            <w:hideMark/>
          </w:tcPr>
          <w:p w:rsidR="006F5486" w:rsidRPr="006F5486" w:rsidRDefault="006F5486" w:rsidP="006F548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pPr>
            <w:r w:rsidRPr="006F5486">
              <w:t>Payables</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6.2</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31,116</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22,894</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pPr>
            <w:r w:rsidRPr="006F5486">
              <w:t>Borrowings</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7.1</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79,075</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90,807</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bottom w:val="single" w:sz="4" w:space="0" w:color="auto"/>
            </w:tcBorders>
            <w:noWrap/>
            <w:hideMark/>
          </w:tcPr>
          <w:p w:rsidR="006F5486" w:rsidRPr="006F5486" w:rsidRDefault="006F5486" w:rsidP="006F5486">
            <w:pPr>
              <w:pStyle w:val="TableBodyText"/>
            </w:pPr>
            <w:r w:rsidRPr="006F5486">
              <w:t>Provisions</w:t>
            </w:r>
          </w:p>
        </w:tc>
        <w:tc>
          <w:tcPr>
            <w:tcW w:w="422"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3.1.2</w:t>
            </w:r>
          </w:p>
        </w:tc>
        <w:tc>
          <w:tcPr>
            <w:tcW w:w="540" w:type="pct"/>
            <w:tcBorders>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76,948</w:t>
            </w:r>
          </w:p>
        </w:tc>
        <w:tc>
          <w:tcPr>
            <w:tcW w:w="565"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76,555</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bottom w:val="single" w:sz="4" w:space="0" w:color="auto"/>
            </w:tcBorders>
            <w:noWrap/>
            <w:hideMark/>
          </w:tcPr>
          <w:p w:rsidR="006F5486" w:rsidRPr="006F5486" w:rsidRDefault="006F5486" w:rsidP="006F5486">
            <w:pPr>
              <w:pStyle w:val="TableBodyText"/>
              <w:rPr>
                <w:rStyle w:val="Bold"/>
              </w:rPr>
            </w:pPr>
            <w:r w:rsidRPr="006F5486">
              <w:rPr>
                <w:rStyle w:val="Bold"/>
              </w:rPr>
              <w:t>Total liabilities</w:t>
            </w:r>
          </w:p>
        </w:tc>
        <w:tc>
          <w:tcPr>
            <w:tcW w:w="422" w:type="pct"/>
            <w:tcBorders>
              <w:top w:val="single" w:sz="4" w:space="0" w:color="auto"/>
              <w:bottom w:val="single" w:sz="4" w:space="0" w:color="auto"/>
            </w:tcBorders>
            <w:noWrap/>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N/A</w:t>
            </w:r>
          </w:p>
        </w:tc>
        <w:tc>
          <w:tcPr>
            <w:tcW w:w="540" w:type="pct"/>
            <w:tcBorders>
              <w:top w:val="single" w:sz="4" w:space="0" w:color="auto"/>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187,139</w:t>
            </w:r>
          </w:p>
        </w:tc>
        <w:tc>
          <w:tcPr>
            <w:tcW w:w="565" w:type="pct"/>
            <w:tcBorders>
              <w:top w:val="single" w:sz="4" w:space="0" w:color="auto"/>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190,256</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bottom w:val="single" w:sz="4" w:space="0" w:color="auto"/>
            </w:tcBorders>
            <w:noWrap/>
            <w:hideMark/>
          </w:tcPr>
          <w:p w:rsidR="006F5486" w:rsidRPr="006F5486" w:rsidRDefault="006F5486" w:rsidP="006F5486">
            <w:pPr>
              <w:pStyle w:val="TableBodyText"/>
              <w:rPr>
                <w:rStyle w:val="Bold"/>
              </w:rPr>
            </w:pPr>
            <w:r w:rsidRPr="006F5486">
              <w:rPr>
                <w:rStyle w:val="Bold"/>
              </w:rPr>
              <w:t>Net assets</w:t>
            </w:r>
          </w:p>
        </w:tc>
        <w:tc>
          <w:tcPr>
            <w:tcW w:w="422" w:type="pct"/>
            <w:tcBorders>
              <w:top w:val="single" w:sz="4" w:space="0" w:color="auto"/>
              <w:bottom w:val="single" w:sz="4" w:space="0" w:color="auto"/>
            </w:tcBorders>
            <w:noWrap/>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N/A</w:t>
            </w:r>
          </w:p>
        </w:tc>
        <w:tc>
          <w:tcPr>
            <w:tcW w:w="540" w:type="pct"/>
            <w:tcBorders>
              <w:top w:val="single" w:sz="4" w:space="0" w:color="auto"/>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899,678</w:t>
            </w:r>
          </w:p>
        </w:tc>
        <w:tc>
          <w:tcPr>
            <w:tcW w:w="565" w:type="pct"/>
            <w:tcBorders>
              <w:top w:val="single" w:sz="4" w:space="0" w:color="auto"/>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874,577</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tcBorders>
            <w:noWrap/>
            <w:hideMark/>
          </w:tcPr>
          <w:p w:rsidR="006F5486" w:rsidRPr="006F5486" w:rsidRDefault="006F5486" w:rsidP="006F5486">
            <w:pPr>
              <w:pStyle w:val="TableBodyText"/>
              <w:spacing w:before="120"/>
              <w:rPr>
                <w:rStyle w:val="Bold"/>
              </w:rPr>
            </w:pPr>
            <w:r w:rsidRPr="006F5486">
              <w:rPr>
                <w:rStyle w:val="Bold"/>
              </w:rPr>
              <w:t>Equity</w:t>
            </w:r>
          </w:p>
        </w:tc>
        <w:tc>
          <w:tcPr>
            <w:tcW w:w="422" w:type="pct"/>
            <w:tcBorders>
              <w:top w:val="single" w:sz="4" w:space="0" w:color="auto"/>
            </w:tcBorders>
            <w:noWrap/>
            <w:hideMark/>
          </w:tcPr>
          <w:p w:rsidR="006F5486" w:rsidRPr="006F5486" w:rsidRDefault="006F5486" w:rsidP="006F548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40" w:type="pct"/>
            <w:tcBorders>
              <w:top w:val="single" w:sz="4" w:space="0" w:color="auto"/>
            </w:tcBorders>
            <w:shd w:val="clear" w:color="auto" w:fill="F3F3F3"/>
            <w:noWrap/>
          </w:tcPr>
          <w:p w:rsidR="006F5486" w:rsidRPr="006F5486" w:rsidRDefault="006F5486" w:rsidP="006F548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65" w:type="pct"/>
            <w:tcBorders>
              <w:top w:val="single" w:sz="4" w:space="0" w:color="auto"/>
            </w:tcBorders>
            <w:noWrap/>
            <w:hideMark/>
          </w:tcPr>
          <w:p w:rsidR="006F5486" w:rsidRPr="006F5486" w:rsidRDefault="006F5486" w:rsidP="006F548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pPr>
            <w:r w:rsidRPr="006F5486">
              <w:t>Accumulated surplus/(deficit)</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 xml:space="preserve">1,248 </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(434)</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noWrap/>
            <w:hideMark/>
          </w:tcPr>
          <w:p w:rsidR="006F5486" w:rsidRPr="006F5486" w:rsidRDefault="006F5486" w:rsidP="006F5486">
            <w:pPr>
              <w:pStyle w:val="TableBodyText"/>
            </w:pPr>
            <w:r w:rsidRPr="006F5486">
              <w:t>Contributed capital</w:t>
            </w:r>
          </w:p>
        </w:tc>
        <w:tc>
          <w:tcPr>
            <w:tcW w:w="422"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0" w:type="pct"/>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711,662</w:t>
            </w:r>
          </w:p>
        </w:tc>
        <w:tc>
          <w:tcPr>
            <w:tcW w:w="565" w:type="pct"/>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692,137</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bottom w:val="single" w:sz="4" w:space="0" w:color="auto"/>
            </w:tcBorders>
            <w:noWrap/>
            <w:hideMark/>
          </w:tcPr>
          <w:p w:rsidR="006F5486" w:rsidRPr="006F5486" w:rsidRDefault="006F5486" w:rsidP="006F5486">
            <w:pPr>
              <w:pStyle w:val="TableBodyText"/>
            </w:pPr>
            <w:r w:rsidRPr="006F5486">
              <w:t>Physical asset revaluation surplus</w:t>
            </w:r>
          </w:p>
        </w:tc>
        <w:tc>
          <w:tcPr>
            <w:tcW w:w="422"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0" w:type="pct"/>
            <w:tcBorders>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186,768</w:t>
            </w:r>
          </w:p>
        </w:tc>
        <w:tc>
          <w:tcPr>
            <w:tcW w:w="565" w:type="pct"/>
            <w:tcBorders>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pPr>
            <w:r w:rsidRPr="006F5486">
              <w:t>182,874</w:t>
            </w:r>
          </w:p>
        </w:tc>
      </w:tr>
      <w:tr w:rsidR="006F5486" w:rsidRPr="006F5486" w:rsidTr="006F5486">
        <w:tc>
          <w:tcPr>
            <w:cnfStyle w:val="001000000000" w:firstRow="0" w:lastRow="0" w:firstColumn="1" w:lastColumn="0" w:oddVBand="0" w:evenVBand="0" w:oddHBand="0" w:evenHBand="0" w:firstRowFirstColumn="0" w:firstRowLastColumn="0" w:lastRowFirstColumn="0" w:lastRowLastColumn="0"/>
            <w:tcW w:w="3473" w:type="pct"/>
            <w:tcBorders>
              <w:top w:val="single" w:sz="4" w:space="0" w:color="auto"/>
              <w:bottom w:val="single" w:sz="4" w:space="0" w:color="auto"/>
            </w:tcBorders>
            <w:noWrap/>
            <w:hideMark/>
          </w:tcPr>
          <w:p w:rsidR="006F5486" w:rsidRPr="006F5486" w:rsidRDefault="006F5486" w:rsidP="006F5486">
            <w:pPr>
              <w:pStyle w:val="TableBodyText"/>
              <w:rPr>
                <w:rStyle w:val="Bold"/>
              </w:rPr>
            </w:pPr>
            <w:r w:rsidRPr="006F5486">
              <w:rPr>
                <w:rStyle w:val="Bold"/>
              </w:rPr>
              <w:t>Net worth</w:t>
            </w:r>
          </w:p>
        </w:tc>
        <w:tc>
          <w:tcPr>
            <w:tcW w:w="422" w:type="pct"/>
            <w:tcBorders>
              <w:top w:val="single" w:sz="4" w:space="0" w:color="auto"/>
              <w:bottom w:val="single" w:sz="4" w:space="0" w:color="auto"/>
            </w:tcBorders>
            <w:noWrap/>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N/A</w:t>
            </w:r>
          </w:p>
        </w:tc>
        <w:tc>
          <w:tcPr>
            <w:tcW w:w="540" w:type="pct"/>
            <w:tcBorders>
              <w:top w:val="single" w:sz="4" w:space="0" w:color="auto"/>
              <w:bottom w:val="single" w:sz="4" w:space="0" w:color="auto"/>
            </w:tcBorders>
            <w:shd w:val="clear" w:color="auto" w:fill="F3F3F3"/>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899,678</w:t>
            </w:r>
          </w:p>
        </w:tc>
        <w:tc>
          <w:tcPr>
            <w:tcW w:w="565" w:type="pct"/>
            <w:tcBorders>
              <w:top w:val="single" w:sz="4" w:space="0" w:color="auto"/>
              <w:bottom w:val="single" w:sz="4" w:space="0" w:color="auto"/>
            </w:tcBorders>
            <w:noWrap/>
            <w:hideMark/>
          </w:tcPr>
          <w:p w:rsidR="006F5486" w:rsidRPr="006F5486" w:rsidRDefault="006F5486" w:rsidP="006F548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F5486">
              <w:rPr>
                <w:rStyle w:val="Bold"/>
              </w:rPr>
              <w:t>874,577</w:t>
            </w:r>
          </w:p>
        </w:tc>
      </w:tr>
    </w:tbl>
    <w:p w:rsidR="006F5486" w:rsidRDefault="006F5486" w:rsidP="006F5486">
      <w:pPr>
        <w:pStyle w:val="BodyText"/>
      </w:pPr>
      <w:r w:rsidRPr="006F5486">
        <w:t>The accompanying notes form part of these financial statements.</w:t>
      </w:r>
    </w:p>
    <w:p w:rsidR="006F5486" w:rsidRDefault="006F5486" w:rsidP="00877292">
      <w:pPr>
        <w:pStyle w:val="Heading1"/>
        <w:numPr>
          <w:ilvl w:val="0"/>
          <w:numId w:val="0"/>
        </w:numPr>
      </w:pPr>
      <w:bookmarkStart w:id="8" w:name="_Toc497125453"/>
      <w:r w:rsidRPr="006F5486">
        <w:lastRenderedPageBreak/>
        <w:t>Statement of changes in equity</w:t>
      </w:r>
      <w:bookmarkEnd w:id="8"/>
    </w:p>
    <w:p w:rsidR="006F5486" w:rsidRDefault="006F5486" w:rsidP="006F5486">
      <w:pPr>
        <w:pStyle w:val="NoSpacing"/>
      </w:pPr>
      <w:r w:rsidRPr="006F5486">
        <w:t>For the financial year ended 30 June 2017</w:t>
      </w:r>
    </w:p>
    <w:p w:rsidR="006F5486" w:rsidRDefault="004D348A" w:rsidP="00AF4B2A">
      <w:pPr>
        <w:pStyle w:val="Caption"/>
      </w:pPr>
      <w:r>
        <w:t>2016</w:t>
      </w:r>
    </w:p>
    <w:tbl>
      <w:tblPr>
        <w:tblStyle w:val="FinancialTable"/>
        <w:tblW w:w="5000" w:type="pct"/>
        <w:tblLook w:val="04A0" w:firstRow="1" w:lastRow="0" w:firstColumn="1" w:lastColumn="0" w:noHBand="0" w:noVBand="1"/>
      </w:tblPr>
      <w:tblGrid>
        <w:gridCol w:w="4385"/>
        <w:gridCol w:w="632"/>
        <w:gridCol w:w="1116"/>
        <w:gridCol w:w="1272"/>
        <w:gridCol w:w="1161"/>
        <w:gridCol w:w="1072"/>
      </w:tblGrid>
      <w:tr w:rsidR="004D348A" w:rsidRPr="004D348A" w:rsidTr="004D348A">
        <w:trPr>
          <w:cnfStyle w:val="100000000000" w:firstRow="1" w:lastRow="0" w:firstColumn="0" w:lastColumn="0" w:oddVBand="0" w:evenVBand="0" w:oddHBand="0" w:evenHBand="0" w:firstRowFirstColumn="0" w:firstRowLastColumn="0" w:lastRowFirstColumn="0" w:lastRowLastColumn="0"/>
          <w:trHeight w:val="1045"/>
        </w:trPr>
        <w:tc>
          <w:tcPr>
            <w:cnfStyle w:val="001000000100" w:firstRow="0" w:lastRow="0" w:firstColumn="1" w:lastColumn="0" w:oddVBand="0" w:evenVBand="0" w:oddHBand="0" w:evenHBand="0" w:firstRowFirstColumn="1" w:firstRowLastColumn="0" w:lastRowFirstColumn="0" w:lastRowLastColumn="0"/>
            <w:tcW w:w="2275" w:type="pct"/>
            <w:hideMark/>
          </w:tcPr>
          <w:p w:rsidR="004D348A" w:rsidRPr="004D348A" w:rsidRDefault="00AF4B2A" w:rsidP="004D348A">
            <w:pPr>
              <w:pStyle w:val="TableBodyText"/>
              <w:rPr>
                <w:rStyle w:val="Bold"/>
              </w:rPr>
            </w:pPr>
            <w:r>
              <w:rPr>
                <w:rStyle w:val="Bold"/>
              </w:rPr>
              <w:t>Item</w:t>
            </w:r>
          </w:p>
        </w:tc>
        <w:tc>
          <w:tcPr>
            <w:tcW w:w="328" w:type="pct"/>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Note</w:t>
            </w:r>
          </w:p>
        </w:tc>
        <w:tc>
          <w:tcPr>
            <w:tcW w:w="579" w:type="pct"/>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Physical asset revaluation surplus</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c>
          <w:tcPr>
            <w:tcW w:w="660" w:type="pct"/>
            <w:shd w:val="clear" w:color="auto" w:fill="F3F3F3"/>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Accumulated surplus/ (deficit)</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c>
          <w:tcPr>
            <w:tcW w:w="602" w:type="pct"/>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Contributed capital</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c>
          <w:tcPr>
            <w:tcW w:w="556" w:type="pct"/>
            <w:shd w:val="clear" w:color="auto" w:fill="F3F3F3"/>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Total</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75" w:type="pct"/>
            <w:hideMark/>
          </w:tcPr>
          <w:p w:rsidR="004D348A" w:rsidRPr="004D348A" w:rsidRDefault="004D348A" w:rsidP="004D348A">
            <w:pPr>
              <w:pStyle w:val="TableBodyText"/>
              <w:spacing w:before="120"/>
              <w:rPr>
                <w:rStyle w:val="Bold"/>
              </w:rPr>
            </w:pPr>
            <w:r w:rsidRPr="004D348A">
              <w:rPr>
                <w:rStyle w:val="Bold"/>
              </w:rPr>
              <w:t>Balance as at 1 July 2015</w:t>
            </w:r>
          </w:p>
        </w:tc>
        <w:tc>
          <w:tcPr>
            <w:tcW w:w="328" w:type="pct"/>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pPr>
            <w:r w:rsidRPr="004D348A">
              <w:t>N/A</w:t>
            </w:r>
          </w:p>
        </w:tc>
        <w:tc>
          <w:tcPr>
            <w:tcW w:w="579" w:type="pct"/>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pPr>
            <w:r w:rsidRPr="004D348A">
              <w:t>N/A</w:t>
            </w:r>
          </w:p>
        </w:tc>
        <w:tc>
          <w:tcPr>
            <w:tcW w:w="660" w:type="pct"/>
            <w:shd w:val="clear" w:color="auto" w:fill="F3F3F3"/>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4,092 </w:t>
            </w:r>
          </w:p>
        </w:tc>
        <w:tc>
          <w:tcPr>
            <w:tcW w:w="602" w:type="pct"/>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628,579 </w:t>
            </w:r>
          </w:p>
        </w:tc>
        <w:tc>
          <w:tcPr>
            <w:tcW w:w="556" w:type="pct"/>
            <w:shd w:val="clear" w:color="auto" w:fill="F3F3F3"/>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632,672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75" w:type="pct"/>
            <w:hideMark/>
          </w:tcPr>
          <w:p w:rsidR="004D348A" w:rsidRPr="004D348A" w:rsidRDefault="004D348A" w:rsidP="004D348A">
            <w:pPr>
              <w:pStyle w:val="TableBodyText"/>
            </w:pPr>
            <w:r w:rsidRPr="004D348A">
              <w:t>Net result for the year</w:t>
            </w:r>
          </w:p>
        </w:tc>
        <w:tc>
          <w:tcPr>
            <w:tcW w:w="328"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79"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660" w:type="pct"/>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(4,527)</w:t>
            </w:r>
          </w:p>
        </w:tc>
        <w:tc>
          <w:tcPr>
            <w:tcW w:w="602"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6" w:type="pct"/>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(4,527)</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75" w:type="pct"/>
            <w:hideMark/>
          </w:tcPr>
          <w:p w:rsidR="004D348A" w:rsidRPr="004D348A" w:rsidRDefault="004D348A" w:rsidP="004D348A">
            <w:pPr>
              <w:pStyle w:val="TableBodyText"/>
            </w:pPr>
            <w:r w:rsidRPr="004D348A">
              <w:t xml:space="preserve">Other comprehensive income </w:t>
            </w:r>
          </w:p>
        </w:tc>
        <w:tc>
          <w:tcPr>
            <w:tcW w:w="328"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79"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182,874</w:t>
            </w:r>
          </w:p>
        </w:tc>
        <w:tc>
          <w:tcPr>
            <w:tcW w:w="660" w:type="pct"/>
            <w:shd w:val="clear" w:color="auto" w:fill="F3F3F3"/>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02"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6" w:type="pct"/>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182,874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75" w:type="pct"/>
            <w:hideMark/>
          </w:tcPr>
          <w:p w:rsidR="004D348A" w:rsidRPr="004D348A" w:rsidRDefault="004D348A" w:rsidP="004D348A">
            <w:pPr>
              <w:pStyle w:val="TableBodyText"/>
            </w:pPr>
            <w:r w:rsidRPr="004D348A">
              <w:t>Administrative restructure - net assets received</w:t>
            </w:r>
          </w:p>
        </w:tc>
        <w:tc>
          <w:tcPr>
            <w:tcW w:w="328"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4.3</w:t>
            </w:r>
          </w:p>
        </w:tc>
        <w:tc>
          <w:tcPr>
            <w:tcW w:w="579"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660" w:type="pct"/>
            <w:shd w:val="clear" w:color="auto" w:fill="F3F3F3"/>
            <w:noWrap/>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02"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53,436 </w:t>
            </w:r>
          </w:p>
        </w:tc>
        <w:tc>
          <w:tcPr>
            <w:tcW w:w="556" w:type="pct"/>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53,436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75" w:type="pct"/>
            <w:tcBorders>
              <w:bottom w:val="single" w:sz="4" w:space="0" w:color="auto"/>
            </w:tcBorders>
            <w:hideMark/>
          </w:tcPr>
          <w:p w:rsidR="004D348A" w:rsidRPr="004D348A" w:rsidRDefault="004D348A" w:rsidP="004D348A">
            <w:pPr>
              <w:pStyle w:val="TableBodyText"/>
            </w:pPr>
            <w:r w:rsidRPr="004D348A">
              <w:t>Transactions with the State in its capacity as owners</w:t>
            </w:r>
          </w:p>
        </w:tc>
        <w:tc>
          <w:tcPr>
            <w:tcW w:w="328" w:type="pct"/>
            <w:tcBorders>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79" w:type="pct"/>
            <w:tcBorders>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660" w:type="pct"/>
            <w:tcBorders>
              <w:bottom w:val="single" w:sz="4" w:space="0" w:color="auto"/>
            </w:tcBorders>
            <w:shd w:val="clear" w:color="auto" w:fill="F3F3F3"/>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02" w:type="pct"/>
            <w:tcBorders>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10,122 </w:t>
            </w:r>
          </w:p>
        </w:tc>
        <w:tc>
          <w:tcPr>
            <w:tcW w:w="556" w:type="pct"/>
            <w:tcBorders>
              <w:bottom w:val="single" w:sz="4" w:space="0" w:color="auto"/>
            </w:tcBorders>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10,122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75" w:type="pct"/>
            <w:tcBorders>
              <w:top w:val="single" w:sz="4" w:space="0" w:color="auto"/>
              <w:bottom w:val="single" w:sz="4" w:space="0" w:color="auto"/>
            </w:tcBorders>
            <w:hideMark/>
          </w:tcPr>
          <w:p w:rsidR="004D348A" w:rsidRPr="004D348A" w:rsidRDefault="004D348A" w:rsidP="004D348A">
            <w:pPr>
              <w:pStyle w:val="TableBodyText"/>
              <w:rPr>
                <w:rStyle w:val="Bold"/>
              </w:rPr>
            </w:pPr>
            <w:r w:rsidRPr="004D348A">
              <w:rPr>
                <w:rStyle w:val="Bold"/>
              </w:rPr>
              <w:t>Balance at 30 June 2016</w:t>
            </w:r>
          </w:p>
        </w:tc>
        <w:tc>
          <w:tcPr>
            <w:tcW w:w="328" w:type="pct"/>
            <w:tcBorders>
              <w:top w:val="single" w:sz="4" w:space="0" w:color="auto"/>
              <w:bottom w:val="single" w:sz="4" w:space="0" w:color="auto"/>
            </w:tcBorders>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579" w:type="pct"/>
            <w:tcBorders>
              <w:top w:val="single" w:sz="4" w:space="0" w:color="auto"/>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182,874</w:t>
            </w:r>
          </w:p>
        </w:tc>
        <w:tc>
          <w:tcPr>
            <w:tcW w:w="660" w:type="pct"/>
            <w:tcBorders>
              <w:top w:val="single" w:sz="4" w:space="0" w:color="auto"/>
              <w:bottom w:val="single" w:sz="4" w:space="0" w:color="auto"/>
            </w:tcBorders>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(434)</w:t>
            </w:r>
          </w:p>
        </w:tc>
        <w:tc>
          <w:tcPr>
            <w:tcW w:w="602" w:type="pct"/>
            <w:tcBorders>
              <w:top w:val="single" w:sz="4" w:space="0" w:color="auto"/>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692,137 </w:t>
            </w:r>
          </w:p>
        </w:tc>
        <w:tc>
          <w:tcPr>
            <w:tcW w:w="556" w:type="pct"/>
            <w:tcBorders>
              <w:top w:val="single" w:sz="4" w:space="0" w:color="auto"/>
              <w:bottom w:val="single" w:sz="4" w:space="0" w:color="auto"/>
            </w:tcBorders>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874,577 </w:t>
            </w:r>
          </w:p>
        </w:tc>
      </w:tr>
    </w:tbl>
    <w:p w:rsidR="004D348A" w:rsidRDefault="004D348A" w:rsidP="00AF4B2A">
      <w:pPr>
        <w:pStyle w:val="Caption"/>
      </w:pPr>
      <w:r>
        <w:t>2017</w:t>
      </w:r>
    </w:p>
    <w:tbl>
      <w:tblPr>
        <w:tblStyle w:val="FinancialTable"/>
        <w:tblW w:w="5000" w:type="pct"/>
        <w:tblLook w:val="04A0" w:firstRow="1" w:lastRow="0" w:firstColumn="1" w:lastColumn="0" w:noHBand="0" w:noVBand="1"/>
      </w:tblPr>
      <w:tblGrid>
        <w:gridCol w:w="4391"/>
        <w:gridCol w:w="630"/>
        <w:gridCol w:w="1109"/>
        <w:gridCol w:w="1272"/>
        <w:gridCol w:w="1161"/>
        <w:gridCol w:w="1075"/>
      </w:tblGrid>
      <w:tr w:rsidR="004D348A" w:rsidRPr="004D348A" w:rsidTr="004D348A">
        <w:trPr>
          <w:cnfStyle w:val="100000000000" w:firstRow="1" w:lastRow="0" w:firstColumn="0" w:lastColumn="0" w:oddVBand="0" w:evenVBand="0" w:oddHBand="0" w:evenHBand="0" w:firstRowFirstColumn="0" w:firstRowLastColumn="0" w:lastRowFirstColumn="0" w:lastRowLastColumn="0"/>
          <w:trHeight w:val="838"/>
        </w:trPr>
        <w:tc>
          <w:tcPr>
            <w:cnfStyle w:val="001000000100" w:firstRow="0" w:lastRow="0" w:firstColumn="1" w:lastColumn="0" w:oddVBand="0" w:evenVBand="0" w:oddHBand="0" w:evenHBand="0" w:firstRowFirstColumn="1" w:firstRowLastColumn="0" w:lastRowFirstColumn="0" w:lastRowLastColumn="0"/>
            <w:tcW w:w="2294" w:type="pct"/>
            <w:hideMark/>
          </w:tcPr>
          <w:p w:rsidR="004D348A" w:rsidRPr="004D348A" w:rsidRDefault="00AF4B2A" w:rsidP="004D348A">
            <w:pPr>
              <w:pStyle w:val="TableBodyText"/>
              <w:rPr>
                <w:rStyle w:val="Bold"/>
              </w:rPr>
            </w:pPr>
            <w:r>
              <w:rPr>
                <w:rStyle w:val="Bold"/>
              </w:rPr>
              <w:t>Item</w:t>
            </w:r>
          </w:p>
        </w:tc>
        <w:tc>
          <w:tcPr>
            <w:tcW w:w="343" w:type="pct"/>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Note</w:t>
            </w:r>
          </w:p>
        </w:tc>
        <w:tc>
          <w:tcPr>
            <w:tcW w:w="591" w:type="pct"/>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Physical asset revaluation surplus</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c>
          <w:tcPr>
            <w:tcW w:w="613" w:type="pct"/>
            <w:shd w:val="clear" w:color="auto" w:fill="F3F3F3"/>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Accumulated Surplus/ (Deficit)</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c>
          <w:tcPr>
            <w:tcW w:w="586" w:type="pct"/>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Contributed capital</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c>
          <w:tcPr>
            <w:tcW w:w="573" w:type="pct"/>
            <w:shd w:val="clear" w:color="auto" w:fill="F3F3F3"/>
            <w:hideMark/>
          </w:tcPr>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Total</w:t>
            </w:r>
          </w:p>
          <w:p w:rsidR="004D348A" w:rsidRPr="004D348A" w:rsidRDefault="004D348A" w:rsidP="004D348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D348A">
              <w:rPr>
                <w:rStyle w:val="Bold"/>
              </w:rPr>
              <w:t>$’000</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94" w:type="pct"/>
            <w:hideMark/>
          </w:tcPr>
          <w:p w:rsidR="004D348A" w:rsidRPr="004D348A" w:rsidRDefault="004D348A" w:rsidP="004D348A">
            <w:pPr>
              <w:pStyle w:val="TableBodyText"/>
              <w:spacing w:before="120"/>
              <w:rPr>
                <w:rStyle w:val="Bold"/>
              </w:rPr>
            </w:pPr>
            <w:r w:rsidRPr="004D348A">
              <w:rPr>
                <w:rStyle w:val="Bold"/>
              </w:rPr>
              <w:t>Balance as at 1 July 2016</w:t>
            </w:r>
          </w:p>
        </w:tc>
        <w:tc>
          <w:tcPr>
            <w:tcW w:w="343" w:type="pct"/>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pPr>
            <w:r w:rsidRPr="004D348A">
              <w:t>N/A</w:t>
            </w:r>
          </w:p>
        </w:tc>
        <w:tc>
          <w:tcPr>
            <w:tcW w:w="591" w:type="pct"/>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pPr>
            <w:r w:rsidRPr="004D348A">
              <w:t>182,874</w:t>
            </w:r>
          </w:p>
        </w:tc>
        <w:tc>
          <w:tcPr>
            <w:tcW w:w="613" w:type="pct"/>
            <w:shd w:val="clear" w:color="auto" w:fill="F3F3F3"/>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(434)</w:t>
            </w:r>
          </w:p>
        </w:tc>
        <w:tc>
          <w:tcPr>
            <w:tcW w:w="586" w:type="pct"/>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692,137 </w:t>
            </w:r>
          </w:p>
        </w:tc>
        <w:tc>
          <w:tcPr>
            <w:tcW w:w="573" w:type="pct"/>
            <w:shd w:val="clear" w:color="auto" w:fill="F3F3F3"/>
            <w:hideMark/>
          </w:tcPr>
          <w:p w:rsidR="004D348A" w:rsidRPr="004D348A" w:rsidRDefault="004D348A" w:rsidP="004D348A">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874,577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94" w:type="pct"/>
            <w:hideMark/>
          </w:tcPr>
          <w:p w:rsidR="004D348A" w:rsidRPr="004D348A" w:rsidRDefault="004D348A" w:rsidP="004D348A">
            <w:pPr>
              <w:pStyle w:val="TableBodyText"/>
            </w:pPr>
            <w:r w:rsidRPr="004D348A">
              <w:t>Net result for the year</w:t>
            </w:r>
          </w:p>
        </w:tc>
        <w:tc>
          <w:tcPr>
            <w:tcW w:w="343"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591"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613" w:type="pct"/>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1,682 </w:t>
            </w:r>
          </w:p>
        </w:tc>
        <w:tc>
          <w:tcPr>
            <w:tcW w:w="586"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73" w:type="pct"/>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rPr>
                <w:rStyle w:val="Bold"/>
              </w:rPr>
              <w:t xml:space="preserve">1,682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94" w:type="pct"/>
            <w:hideMark/>
          </w:tcPr>
          <w:p w:rsidR="004D348A" w:rsidRPr="004D348A" w:rsidRDefault="004D348A" w:rsidP="004D348A">
            <w:pPr>
              <w:pStyle w:val="TableBodyText"/>
            </w:pPr>
            <w:r w:rsidRPr="004D348A">
              <w:t xml:space="preserve">Other comprehensive income </w:t>
            </w:r>
          </w:p>
        </w:tc>
        <w:tc>
          <w:tcPr>
            <w:tcW w:w="343"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591"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3,894</w:t>
            </w:r>
          </w:p>
        </w:tc>
        <w:tc>
          <w:tcPr>
            <w:tcW w:w="613" w:type="pct"/>
            <w:shd w:val="clear" w:color="auto" w:fill="F3F3F3"/>
            <w:noWrap/>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6" w:type="pct"/>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73" w:type="pct"/>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rPr>
                <w:rStyle w:val="Bold"/>
              </w:rPr>
              <w:t xml:space="preserve">3,894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94" w:type="pct"/>
            <w:tcBorders>
              <w:bottom w:val="single" w:sz="4" w:space="0" w:color="auto"/>
            </w:tcBorders>
            <w:hideMark/>
          </w:tcPr>
          <w:p w:rsidR="004D348A" w:rsidRPr="004D348A" w:rsidRDefault="004D348A" w:rsidP="004D348A">
            <w:pPr>
              <w:pStyle w:val="TableBodyText"/>
            </w:pPr>
            <w:r w:rsidRPr="004D348A">
              <w:t>Transactions with the State in its capacity as owners</w:t>
            </w:r>
          </w:p>
        </w:tc>
        <w:tc>
          <w:tcPr>
            <w:tcW w:w="343" w:type="pct"/>
            <w:tcBorders>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591" w:type="pct"/>
            <w:tcBorders>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613" w:type="pct"/>
            <w:tcBorders>
              <w:bottom w:val="single" w:sz="4" w:space="0" w:color="auto"/>
            </w:tcBorders>
            <w:shd w:val="clear" w:color="auto" w:fill="F3F3F3"/>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6" w:type="pct"/>
            <w:tcBorders>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19,525 </w:t>
            </w:r>
          </w:p>
        </w:tc>
        <w:tc>
          <w:tcPr>
            <w:tcW w:w="573" w:type="pct"/>
            <w:tcBorders>
              <w:bottom w:val="single" w:sz="4" w:space="0" w:color="auto"/>
            </w:tcBorders>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rPr>
                <w:rStyle w:val="Bold"/>
              </w:rPr>
              <w:t xml:space="preserve">19,525 </w:t>
            </w:r>
          </w:p>
        </w:tc>
      </w:tr>
      <w:tr w:rsidR="004D348A" w:rsidRPr="004D348A" w:rsidTr="004D348A">
        <w:tc>
          <w:tcPr>
            <w:cnfStyle w:val="001000000000" w:firstRow="0" w:lastRow="0" w:firstColumn="1" w:lastColumn="0" w:oddVBand="0" w:evenVBand="0" w:oddHBand="0" w:evenHBand="0" w:firstRowFirstColumn="0" w:firstRowLastColumn="0" w:lastRowFirstColumn="0" w:lastRowLastColumn="0"/>
            <w:tcW w:w="2294" w:type="pct"/>
            <w:tcBorders>
              <w:top w:val="single" w:sz="4" w:space="0" w:color="auto"/>
              <w:bottom w:val="single" w:sz="4" w:space="0" w:color="auto"/>
            </w:tcBorders>
            <w:hideMark/>
          </w:tcPr>
          <w:p w:rsidR="004D348A" w:rsidRPr="004D348A" w:rsidRDefault="004D348A" w:rsidP="004D348A">
            <w:pPr>
              <w:pStyle w:val="TableBodyText"/>
              <w:rPr>
                <w:rStyle w:val="Bold"/>
              </w:rPr>
            </w:pPr>
            <w:r w:rsidRPr="004D348A">
              <w:rPr>
                <w:rStyle w:val="Bold"/>
              </w:rPr>
              <w:t>Balance at 30 June 2017</w:t>
            </w:r>
          </w:p>
        </w:tc>
        <w:tc>
          <w:tcPr>
            <w:tcW w:w="343" w:type="pct"/>
            <w:tcBorders>
              <w:top w:val="single" w:sz="4" w:space="0" w:color="auto"/>
              <w:bottom w:val="single" w:sz="4" w:space="0" w:color="auto"/>
            </w:tcBorders>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N/A</w:t>
            </w:r>
          </w:p>
        </w:tc>
        <w:tc>
          <w:tcPr>
            <w:tcW w:w="591" w:type="pct"/>
            <w:tcBorders>
              <w:top w:val="single" w:sz="4" w:space="0" w:color="auto"/>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186,768 </w:t>
            </w:r>
          </w:p>
        </w:tc>
        <w:tc>
          <w:tcPr>
            <w:tcW w:w="613" w:type="pct"/>
            <w:tcBorders>
              <w:top w:val="single" w:sz="4" w:space="0" w:color="auto"/>
              <w:bottom w:val="single" w:sz="4" w:space="0" w:color="auto"/>
            </w:tcBorders>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1,248 </w:t>
            </w:r>
          </w:p>
        </w:tc>
        <w:tc>
          <w:tcPr>
            <w:tcW w:w="586" w:type="pct"/>
            <w:tcBorders>
              <w:top w:val="single" w:sz="4" w:space="0" w:color="auto"/>
              <w:bottom w:val="single" w:sz="4" w:space="0" w:color="auto"/>
            </w:tcBorders>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711,662 </w:t>
            </w:r>
          </w:p>
        </w:tc>
        <w:tc>
          <w:tcPr>
            <w:tcW w:w="573" w:type="pct"/>
            <w:tcBorders>
              <w:top w:val="single" w:sz="4" w:space="0" w:color="auto"/>
              <w:bottom w:val="single" w:sz="4" w:space="0" w:color="auto"/>
            </w:tcBorders>
            <w:shd w:val="clear" w:color="auto" w:fill="F3F3F3"/>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4D348A">
              <w:rPr>
                <w:rStyle w:val="Bold"/>
              </w:rPr>
              <w:t xml:space="preserve">899,678 </w:t>
            </w:r>
          </w:p>
        </w:tc>
      </w:tr>
    </w:tbl>
    <w:p w:rsidR="006F5486" w:rsidRDefault="006F5486" w:rsidP="006F5486">
      <w:pPr>
        <w:pStyle w:val="BodyText"/>
      </w:pPr>
      <w:r w:rsidRPr="006F5486">
        <w:t>The statement of changes in equity should be read in conjunction with the notes to the financial statements.</w:t>
      </w:r>
    </w:p>
    <w:p w:rsidR="004D348A" w:rsidRDefault="004D348A" w:rsidP="00877292">
      <w:pPr>
        <w:pStyle w:val="Heading1"/>
        <w:numPr>
          <w:ilvl w:val="0"/>
          <w:numId w:val="0"/>
        </w:numPr>
      </w:pPr>
      <w:bookmarkStart w:id="9" w:name="_Toc497125454"/>
      <w:r w:rsidRPr="004D348A">
        <w:lastRenderedPageBreak/>
        <w:t>Cash flow statement</w:t>
      </w:r>
      <w:bookmarkEnd w:id="9"/>
    </w:p>
    <w:p w:rsidR="004D348A" w:rsidRDefault="004D348A" w:rsidP="004D348A">
      <w:pPr>
        <w:pStyle w:val="NoSpacing"/>
        <w:spacing w:after="240"/>
      </w:pPr>
      <w:r w:rsidRPr="004D348A">
        <w:t>For the financial year ended 30 June 2017</w:t>
      </w:r>
    </w:p>
    <w:tbl>
      <w:tblPr>
        <w:tblStyle w:val="FinancialTable"/>
        <w:tblW w:w="5000" w:type="pct"/>
        <w:tblLook w:val="04A0" w:firstRow="1" w:lastRow="0" w:firstColumn="1" w:lastColumn="0" w:noHBand="0" w:noVBand="1"/>
      </w:tblPr>
      <w:tblGrid>
        <w:gridCol w:w="6681"/>
        <w:gridCol w:w="842"/>
        <w:gridCol w:w="1047"/>
        <w:gridCol w:w="1068"/>
      </w:tblGrid>
      <w:tr w:rsidR="004D348A" w:rsidRPr="000C5ACB" w:rsidTr="004C12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66" w:type="pct"/>
            <w:noWrap/>
            <w:hideMark/>
          </w:tcPr>
          <w:p w:rsidR="004D348A" w:rsidRPr="000C5ACB" w:rsidRDefault="004D348A" w:rsidP="000C5ACB">
            <w:pPr>
              <w:pStyle w:val="TableBodyText"/>
              <w:rPr>
                <w:rStyle w:val="Bold"/>
              </w:rPr>
            </w:pPr>
            <w:r w:rsidRPr="000C5ACB">
              <w:rPr>
                <w:rStyle w:val="Bold"/>
              </w:rPr>
              <w:t>Item</w:t>
            </w:r>
          </w:p>
        </w:tc>
        <w:tc>
          <w:tcPr>
            <w:tcW w:w="437" w:type="pct"/>
            <w:noWrap/>
            <w:hideMark/>
          </w:tcPr>
          <w:p w:rsidR="004D348A" w:rsidRPr="000C5ACB" w:rsidRDefault="004D348A" w:rsidP="000C5A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C5ACB">
              <w:rPr>
                <w:rStyle w:val="Bold"/>
              </w:rPr>
              <w:t>Note</w:t>
            </w:r>
          </w:p>
        </w:tc>
        <w:tc>
          <w:tcPr>
            <w:tcW w:w="543" w:type="pct"/>
            <w:shd w:val="clear" w:color="auto" w:fill="F3F3F3"/>
            <w:hideMark/>
          </w:tcPr>
          <w:p w:rsidR="004D348A" w:rsidRPr="000C5ACB" w:rsidRDefault="004D348A" w:rsidP="000C5A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C5ACB">
              <w:rPr>
                <w:rStyle w:val="Bold"/>
              </w:rPr>
              <w:t>2017</w:t>
            </w:r>
            <w:r w:rsidRPr="000C5ACB">
              <w:rPr>
                <w:rStyle w:val="Bold"/>
              </w:rPr>
              <w:br/>
              <w:t>$'000</w:t>
            </w:r>
          </w:p>
        </w:tc>
        <w:tc>
          <w:tcPr>
            <w:tcW w:w="554" w:type="pct"/>
            <w:hideMark/>
          </w:tcPr>
          <w:p w:rsidR="004D348A" w:rsidRPr="000C5ACB" w:rsidRDefault="004D348A" w:rsidP="000C5A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C5ACB">
              <w:rPr>
                <w:rStyle w:val="Bold"/>
              </w:rPr>
              <w:t>2016</w:t>
            </w:r>
            <w:r w:rsidRPr="000C5ACB">
              <w:rPr>
                <w:rStyle w:val="Bold"/>
              </w:rPr>
              <w:br/>
              <w:t>$'000</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0C5ACB" w:rsidRDefault="004D348A" w:rsidP="000C5ACB">
            <w:pPr>
              <w:pStyle w:val="TableBodyText"/>
              <w:rPr>
                <w:rStyle w:val="Bold"/>
              </w:rPr>
            </w:pPr>
            <w:r w:rsidRPr="000C5ACB">
              <w:rPr>
                <w:rStyle w:val="Bold"/>
              </w:rPr>
              <w:t>Cash flows from operating activities</w:t>
            </w:r>
          </w:p>
        </w:tc>
        <w:tc>
          <w:tcPr>
            <w:tcW w:w="437" w:type="pct"/>
            <w:noWrap/>
            <w:hideMark/>
          </w:tcPr>
          <w:p w:rsidR="004D348A" w:rsidRPr="000C5ACB"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rsidRPr="000C5ACB">
              <w:t>N/A</w:t>
            </w:r>
          </w:p>
        </w:tc>
        <w:tc>
          <w:tcPr>
            <w:tcW w:w="543" w:type="pct"/>
            <w:shd w:val="clear" w:color="auto" w:fill="F3F3F3"/>
            <w:noWrap/>
          </w:tcPr>
          <w:p w:rsidR="004D348A" w:rsidRPr="000C5ACB"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rsidRPr="000C5ACB">
              <w:t>N/A</w:t>
            </w:r>
          </w:p>
        </w:tc>
        <w:tc>
          <w:tcPr>
            <w:tcW w:w="554" w:type="pct"/>
            <w:noWrap/>
            <w:hideMark/>
          </w:tcPr>
          <w:p w:rsidR="004D348A" w:rsidRPr="000C5ACB"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rsidRPr="000C5ACB">
              <w:t>N/A</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0C5ACB">
              <w:rPr>
                <w:rStyle w:val="Bold"/>
              </w:rPr>
              <w:t>Receipts</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4"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4D348A">
              <w:t>Receipts from Government</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437,229</w:t>
            </w:r>
          </w:p>
        </w:tc>
        <w:tc>
          <w:tcPr>
            <w:tcW w:w="554" w:type="pct"/>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430,131 </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4D348A">
              <w:t>Receipts from other entities</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30,410</w:t>
            </w:r>
          </w:p>
        </w:tc>
        <w:tc>
          <w:tcPr>
            <w:tcW w:w="554" w:type="pct"/>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22,085 </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bottom w:val="single" w:sz="4" w:space="0" w:color="auto"/>
            </w:tcBorders>
            <w:noWrap/>
            <w:hideMark/>
          </w:tcPr>
          <w:p w:rsidR="004D348A" w:rsidRPr="004D348A" w:rsidRDefault="004D348A" w:rsidP="000C5ACB">
            <w:pPr>
              <w:pStyle w:val="TableBodyText"/>
            </w:pPr>
            <w:r w:rsidRPr="004D348A">
              <w:t>Goods and services tax recovered from the Australian Taxation Office</w:t>
            </w:r>
          </w:p>
        </w:tc>
        <w:tc>
          <w:tcPr>
            <w:tcW w:w="437" w:type="pct"/>
            <w:tcBorders>
              <w:bottom w:val="single" w:sz="4" w:space="0" w:color="auto"/>
            </w:tcBorders>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tcBorders>
              <w:bottom w:val="single" w:sz="4" w:space="0" w:color="auto"/>
            </w:tcBorders>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14,726</w:t>
            </w:r>
          </w:p>
        </w:tc>
        <w:tc>
          <w:tcPr>
            <w:tcW w:w="554" w:type="pct"/>
            <w:tcBorders>
              <w:bottom w:val="single" w:sz="4" w:space="0" w:color="auto"/>
            </w:tcBorders>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14,170 </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nil"/>
            </w:tcBorders>
            <w:noWrap/>
            <w:hideMark/>
          </w:tcPr>
          <w:p w:rsidR="004D348A" w:rsidRPr="000C5ACB" w:rsidRDefault="004D348A" w:rsidP="000C5ACB">
            <w:pPr>
              <w:pStyle w:val="TableBodyText"/>
              <w:rPr>
                <w:rStyle w:val="Bold"/>
              </w:rPr>
            </w:pPr>
            <w:r w:rsidRPr="000C5ACB">
              <w:rPr>
                <w:rStyle w:val="Bold"/>
              </w:rPr>
              <w:t>Total receipts</w:t>
            </w:r>
          </w:p>
        </w:tc>
        <w:tc>
          <w:tcPr>
            <w:tcW w:w="437" w:type="pct"/>
            <w:tcBorders>
              <w:top w:val="single" w:sz="4" w:space="0" w:color="auto"/>
              <w:bottom w:val="nil"/>
            </w:tcBorders>
            <w:noWrap/>
          </w:tcPr>
          <w:p w:rsidR="004D348A" w:rsidRPr="000C5ACB"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rsidRPr="000C5ACB">
              <w:t>N/A</w:t>
            </w:r>
          </w:p>
        </w:tc>
        <w:tc>
          <w:tcPr>
            <w:tcW w:w="543" w:type="pct"/>
            <w:tcBorders>
              <w:top w:val="single" w:sz="4" w:space="0" w:color="auto"/>
              <w:bottom w:val="nil"/>
            </w:tcBorders>
            <w:shd w:val="clear" w:color="auto" w:fill="F3F3F3"/>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482,365</w:t>
            </w:r>
          </w:p>
        </w:tc>
        <w:tc>
          <w:tcPr>
            <w:tcW w:w="554" w:type="pct"/>
            <w:tcBorders>
              <w:top w:val="single" w:sz="4" w:space="0" w:color="auto"/>
              <w:bottom w:val="nil"/>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 xml:space="preserve">466,386 </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top w:val="nil"/>
            </w:tcBorders>
            <w:noWrap/>
            <w:hideMark/>
          </w:tcPr>
          <w:p w:rsidR="004D348A" w:rsidRPr="000C5ACB" w:rsidRDefault="004D348A" w:rsidP="000C5ACB">
            <w:pPr>
              <w:pStyle w:val="TableBodyText"/>
              <w:spacing w:before="120"/>
              <w:rPr>
                <w:rStyle w:val="Bold"/>
              </w:rPr>
            </w:pPr>
            <w:r w:rsidRPr="000C5ACB">
              <w:rPr>
                <w:rStyle w:val="Bold"/>
              </w:rPr>
              <w:t>Payments</w:t>
            </w:r>
          </w:p>
        </w:tc>
        <w:tc>
          <w:tcPr>
            <w:tcW w:w="437" w:type="pct"/>
            <w:tcBorders>
              <w:top w:val="nil"/>
            </w:tcBorders>
            <w:noWrap/>
            <w:hideMark/>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43" w:type="pct"/>
            <w:tcBorders>
              <w:top w:val="nil"/>
            </w:tcBorders>
            <w:shd w:val="clear" w:color="auto" w:fill="F3F3F3"/>
            <w:noWrap/>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54" w:type="pct"/>
            <w:tcBorders>
              <w:top w:val="nil"/>
            </w:tcBorders>
            <w:noWrap/>
            <w:hideMark/>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4D348A">
              <w:t xml:space="preserve">Payments to suppliers and employees </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(397,624)</w:t>
            </w:r>
          </w:p>
        </w:tc>
        <w:tc>
          <w:tcPr>
            <w:tcW w:w="554" w:type="pct"/>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(389,955)</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4D348A">
              <w:t>Payments of grants and other transfers</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(6,076)</w:t>
            </w:r>
          </w:p>
        </w:tc>
        <w:tc>
          <w:tcPr>
            <w:tcW w:w="554" w:type="pct"/>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(1,661)</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4D348A">
              <w:t>Capital assets charge payments</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(39,846)</w:t>
            </w:r>
          </w:p>
        </w:tc>
        <w:tc>
          <w:tcPr>
            <w:tcW w:w="554" w:type="pct"/>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(40,612)</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bottom w:val="single" w:sz="4" w:space="0" w:color="auto"/>
            </w:tcBorders>
            <w:noWrap/>
            <w:hideMark/>
          </w:tcPr>
          <w:p w:rsidR="004D348A" w:rsidRPr="004D348A" w:rsidRDefault="004D348A" w:rsidP="000C5ACB">
            <w:pPr>
              <w:pStyle w:val="TableBodyText"/>
            </w:pPr>
            <w:r w:rsidRPr="004D348A">
              <w:t>Interest and other costs of finance paid</w:t>
            </w:r>
          </w:p>
        </w:tc>
        <w:tc>
          <w:tcPr>
            <w:tcW w:w="437" w:type="pct"/>
            <w:tcBorders>
              <w:bottom w:val="single" w:sz="4" w:space="0" w:color="auto"/>
            </w:tcBorders>
            <w:noWrap/>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tcBorders>
              <w:bottom w:val="single" w:sz="4" w:space="0" w:color="auto"/>
            </w:tcBorders>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(7,174)</w:t>
            </w:r>
          </w:p>
        </w:tc>
        <w:tc>
          <w:tcPr>
            <w:tcW w:w="554" w:type="pct"/>
            <w:tcBorders>
              <w:bottom w:val="single" w:sz="4" w:space="0" w:color="auto"/>
            </w:tcBorders>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(8,201)</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single" w:sz="4" w:space="0" w:color="auto"/>
            </w:tcBorders>
            <w:noWrap/>
            <w:hideMark/>
          </w:tcPr>
          <w:p w:rsidR="004D348A" w:rsidRPr="000C5ACB" w:rsidRDefault="004D348A" w:rsidP="000C5ACB">
            <w:pPr>
              <w:pStyle w:val="TableBodyText"/>
              <w:rPr>
                <w:rStyle w:val="Bold"/>
              </w:rPr>
            </w:pPr>
            <w:r w:rsidRPr="000C5ACB">
              <w:rPr>
                <w:rStyle w:val="Bold"/>
              </w:rPr>
              <w:t>Total payments</w:t>
            </w:r>
          </w:p>
        </w:tc>
        <w:tc>
          <w:tcPr>
            <w:tcW w:w="437" w:type="pct"/>
            <w:tcBorders>
              <w:top w:val="single" w:sz="4" w:space="0" w:color="auto"/>
              <w:bottom w:val="single" w:sz="4" w:space="0" w:color="auto"/>
            </w:tcBorders>
            <w:noWrap/>
            <w:hideMark/>
          </w:tcPr>
          <w:p w:rsidR="004D348A" w:rsidRPr="000C5ACB"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rsidRPr="000C5ACB">
              <w:t>N/A</w:t>
            </w:r>
          </w:p>
        </w:tc>
        <w:tc>
          <w:tcPr>
            <w:tcW w:w="543" w:type="pct"/>
            <w:tcBorders>
              <w:top w:val="single" w:sz="4" w:space="0" w:color="auto"/>
              <w:bottom w:val="single" w:sz="4" w:space="0" w:color="auto"/>
            </w:tcBorders>
            <w:shd w:val="clear" w:color="auto" w:fill="F3F3F3"/>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(450,719)</w:t>
            </w:r>
          </w:p>
        </w:tc>
        <w:tc>
          <w:tcPr>
            <w:tcW w:w="554" w:type="pct"/>
            <w:tcBorders>
              <w:top w:val="single" w:sz="4" w:space="0" w:color="auto"/>
              <w:bottom w:val="single" w:sz="4" w:space="0" w:color="auto"/>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(440,429)</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single" w:sz="4" w:space="0" w:color="auto"/>
            </w:tcBorders>
            <w:noWrap/>
            <w:hideMark/>
          </w:tcPr>
          <w:p w:rsidR="004D348A" w:rsidRPr="000C5ACB" w:rsidRDefault="004D348A" w:rsidP="000C5ACB">
            <w:pPr>
              <w:pStyle w:val="TableBodyText"/>
              <w:rPr>
                <w:rStyle w:val="Bold"/>
              </w:rPr>
            </w:pPr>
            <w:r w:rsidRPr="000C5ACB">
              <w:rPr>
                <w:rStyle w:val="Bold"/>
              </w:rPr>
              <w:t>Net cash flows from/(used in) operating activities</w:t>
            </w:r>
          </w:p>
        </w:tc>
        <w:tc>
          <w:tcPr>
            <w:tcW w:w="437" w:type="pct"/>
            <w:tcBorders>
              <w:top w:val="single" w:sz="4" w:space="0" w:color="auto"/>
              <w:bottom w:val="single" w:sz="4" w:space="0" w:color="auto"/>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0C5ACB">
              <w:t>7.3.1</w:t>
            </w:r>
          </w:p>
        </w:tc>
        <w:tc>
          <w:tcPr>
            <w:tcW w:w="543" w:type="pct"/>
            <w:tcBorders>
              <w:top w:val="single" w:sz="4" w:space="0" w:color="auto"/>
              <w:bottom w:val="single" w:sz="4" w:space="0" w:color="auto"/>
            </w:tcBorders>
            <w:shd w:val="clear" w:color="auto" w:fill="F3F3F3"/>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31,646</w:t>
            </w:r>
          </w:p>
        </w:tc>
        <w:tc>
          <w:tcPr>
            <w:tcW w:w="554" w:type="pct"/>
            <w:tcBorders>
              <w:top w:val="single" w:sz="4" w:space="0" w:color="auto"/>
              <w:bottom w:val="single" w:sz="4" w:space="0" w:color="auto"/>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 xml:space="preserve">25,957 </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tcBorders>
            <w:noWrap/>
            <w:hideMark/>
          </w:tcPr>
          <w:p w:rsidR="004D348A" w:rsidRPr="000C5ACB" w:rsidRDefault="004D348A" w:rsidP="000C5ACB">
            <w:pPr>
              <w:pStyle w:val="TableBodyText"/>
              <w:spacing w:before="120"/>
              <w:rPr>
                <w:rStyle w:val="Bold"/>
              </w:rPr>
            </w:pPr>
            <w:r w:rsidRPr="000C5ACB">
              <w:rPr>
                <w:rStyle w:val="Bold"/>
              </w:rPr>
              <w:t>Cash flows from investing activities</w:t>
            </w:r>
          </w:p>
        </w:tc>
        <w:tc>
          <w:tcPr>
            <w:tcW w:w="437" w:type="pct"/>
            <w:tcBorders>
              <w:top w:val="single" w:sz="4" w:space="0" w:color="auto"/>
            </w:tcBorders>
            <w:noWrap/>
            <w:hideMark/>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43" w:type="pct"/>
            <w:tcBorders>
              <w:top w:val="single" w:sz="4" w:space="0" w:color="auto"/>
            </w:tcBorders>
            <w:shd w:val="clear" w:color="auto" w:fill="F3F3F3"/>
            <w:noWrap/>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54" w:type="pct"/>
            <w:tcBorders>
              <w:top w:val="single" w:sz="4" w:space="0" w:color="auto"/>
            </w:tcBorders>
            <w:noWrap/>
            <w:hideMark/>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4D348A">
              <w:t>Purchases of non-financial assets</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(40,977)</w:t>
            </w:r>
          </w:p>
        </w:tc>
        <w:tc>
          <w:tcPr>
            <w:tcW w:w="554" w:type="pct"/>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(28,275)</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bottom w:val="single" w:sz="4" w:space="0" w:color="auto"/>
            </w:tcBorders>
            <w:noWrap/>
            <w:hideMark/>
          </w:tcPr>
          <w:p w:rsidR="004D348A" w:rsidRPr="004D348A" w:rsidRDefault="004D348A" w:rsidP="000C5ACB">
            <w:pPr>
              <w:pStyle w:val="TableBodyText"/>
            </w:pPr>
            <w:r w:rsidRPr="004D348A">
              <w:t xml:space="preserve">Proceeds from sales of non-financial assets </w:t>
            </w:r>
          </w:p>
        </w:tc>
        <w:tc>
          <w:tcPr>
            <w:tcW w:w="437" w:type="pct"/>
            <w:tcBorders>
              <w:bottom w:val="single" w:sz="4" w:space="0" w:color="auto"/>
            </w:tcBorders>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tcBorders>
              <w:bottom w:val="single" w:sz="4" w:space="0" w:color="auto"/>
            </w:tcBorders>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2,245</w:t>
            </w:r>
          </w:p>
        </w:tc>
        <w:tc>
          <w:tcPr>
            <w:tcW w:w="554" w:type="pct"/>
            <w:tcBorders>
              <w:bottom w:val="single" w:sz="4" w:space="0" w:color="auto"/>
            </w:tcBorders>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2,549 </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single" w:sz="4" w:space="0" w:color="auto"/>
            </w:tcBorders>
            <w:noWrap/>
            <w:hideMark/>
          </w:tcPr>
          <w:p w:rsidR="004D348A" w:rsidRPr="000C5ACB" w:rsidRDefault="004D348A" w:rsidP="000C5ACB">
            <w:pPr>
              <w:pStyle w:val="TableBodyText"/>
              <w:rPr>
                <w:rStyle w:val="Bold"/>
              </w:rPr>
            </w:pPr>
            <w:r w:rsidRPr="000C5ACB">
              <w:rPr>
                <w:rStyle w:val="Bold"/>
              </w:rPr>
              <w:t>Net cash flows from/(used in) investing activities</w:t>
            </w:r>
          </w:p>
        </w:tc>
        <w:tc>
          <w:tcPr>
            <w:tcW w:w="437" w:type="pct"/>
            <w:tcBorders>
              <w:top w:val="single" w:sz="4" w:space="0" w:color="auto"/>
              <w:bottom w:val="single" w:sz="4" w:space="0" w:color="auto"/>
            </w:tcBorders>
            <w:noWrap/>
          </w:tcPr>
          <w:p w:rsidR="004D348A" w:rsidRPr="000C5ACB"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rsidRPr="000C5ACB">
              <w:t>N/A</w:t>
            </w:r>
          </w:p>
        </w:tc>
        <w:tc>
          <w:tcPr>
            <w:tcW w:w="543" w:type="pct"/>
            <w:tcBorders>
              <w:top w:val="single" w:sz="4" w:space="0" w:color="auto"/>
              <w:bottom w:val="single" w:sz="4" w:space="0" w:color="auto"/>
            </w:tcBorders>
            <w:shd w:val="clear" w:color="auto" w:fill="F3F3F3"/>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(38,733)</w:t>
            </w:r>
          </w:p>
        </w:tc>
        <w:tc>
          <w:tcPr>
            <w:tcW w:w="554" w:type="pct"/>
            <w:tcBorders>
              <w:top w:val="single" w:sz="4" w:space="0" w:color="auto"/>
              <w:bottom w:val="single" w:sz="4" w:space="0" w:color="auto"/>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(25,726)</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tcBorders>
            <w:noWrap/>
            <w:hideMark/>
          </w:tcPr>
          <w:p w:rsidR="004D348A" w:rsidRPr="000C5ACB" w:rsidRDefault="004D348A" w:rsidP="000C5ACB">
            <w:pPr>
              <w:pStyle w:val="TableBodyText"/>
              <w:spacing w:before="120"/>
              <w:rPr>
                <w:rStyle w:val="Bold"/>
              </w:rPr>
            </w:pPr>
            <w:r w:rsidRPr="000C5ACB">
              <w:rPr>
                <w:rStyle w:val="Bold"/>
              </w:rPr>
              <w:t>Cash flows from financing activities</w:t>
            </w:r>
          </w:p>
        </w:tc>
        <w:tc>
          <w:tcPr>
            <w:tcW w:w="437" w:type="pct"/>
            <w:tcBorders>
              <w:top w:val="single" w:sz="4" w:space="0" w:color="auto"/>
            </w:tcBorders>
            <w:noWrap/>
            <w:hideMark/>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43" w:type="pct"/>
            <w:tcBorders>
              <w:top w:val="single" w:sz="4" w:space="0" w:color="auto"/>
            </w:tcBorders>
            <w:shd w:val="clear" w:color="auto" w:fill="F3F3F3"/>
            <w:noWrap/>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54" w:type="pct"/>
            <w:tcBorders>
              <w:top w:val="single" w:sz="4" w:space="0" w:color="auto"/>
            </w:tcBorders>
            <w:noWrap/>
            <w:hideMark/>
          </w:tcPr>
          <w:p w:rsidR="004D348A" w:rsidRPr="004D348A"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noWrap/>
            <w:hideMark/>
          </w:tcPr>
          <w:p w:rsidR="004D348A" w:rsidRPr="004D348A" w:rsidRDefault="004D348A" w:rsidP="000C5ACB">
            <w:pPr>
              <w:pStyle w:val="TableBodyText"/>
            </w:pPr>
            <w:r w:rsidRPr="004D348A">
              <w:t>Owner contributions by State Government</w:t>
            </w:r>
          </w:p>
        </w:tc>
        <w:tc>
          <w:tcPr>
            <w:tcW w:w="437" w:type="pct"/>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19,525</w:t>
            </w:r>
          </w:p>
        </w:tc>
        <w:tc>
          <w:tcPr>
            <w:tcW w:w="554" w:type="pct"/>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10,012 </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bottom w:val="single" w:sz="4" w:space="0" w:color="auto"/>
            </w:tcBorders>
            <w:noWrap/>
            <w:hideMark/>
          </w:tcPr>
          <w:p w:rsidR="004D348A" w:rsidRPr="004D348A" w:rsidRDefault="004D348A" w:rsidP="000C5ACB">
            <w:pPr>
              <w:pStyle w:val="TableBodyText"/>
            </w:pPr>
            <w:r w:rsidRPr="004D348A">
              <w:t>Repayment of borrowings and finance leases</w:t>
            </w:r>
          </w:p>
        </w:tc>
        <w:tc>
          <w:tcPr>
            <w:tcW w:w="437" w:type="pct"/>
            <w:tcBorders>
              <w:bottom w:val="single" w:sz="4" w:space="0" w:color="auto"/>
            </w:tcBorders>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tcBorders>
              <w:bottom w:val="single" w:sz="4" w:space="0" w:color="auto"/>
            </w:tcBorders>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(11,732)</w:t>
            </w:r>
          </w:p>
        </w:tc>
        <w:tc>
          <w:tcPr>
            <w:tcW w:w="554" w:type="pct"/>
            <w:tcBorders>
              <w:bottom w:val="single" w:sz="4" w:space="0" w:color="auto"/>
            </w:tcBorders>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(9,495)</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single" w:sz="4" w:space="0" w:color="auto"/>
            </w:tcBorders>
            <w:noWrap/>
            <w:hideMark/>
          </w:tcPr>
          <w:p w:rsidR="004D348A" w:rsidRPr="000C5ACB" w:rsidRDefault="004D348A" w:rsidP="000C5ACB">
            <w:pPr>
              <w:pStyle w:val="TableBodyText"/>
              <w:rPr>
                <w:rStyle w:val="Bold"/>
              </w:rPr>
            </w:pPr>
            <w:r w:rsidRPr="000C5ACB">
              <w:rPr>
                <w:rStyle w:val="Bold"/>
              </w:rPr>
              <w:t>Net cash provided by/(used in) financing activities</w:t>
            </w:r>
          </w:p>
        </w:tc>
        <w:tc>
          <w:tcPr>
            <w:tcW w:w="437" w:type="pct"/>
            <w:tcBorders>
              <w:top w:val="single" w:sz="4" w:space="0" w:color="auto"/>
              <w:bottom w:val="single" w:sz="4" w:space="0" w:color="auto"/>
            </w:tcBorders>
            <w:noWrap/>
          </w:tcPr>
          <w:p w:rsidR="004D348A" w:rsidRPr="000C5ACB"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rsidRPr="000C5ACB">
              <w:t>N/A</w:t>
            </w:r>
          </w:p>
        </w:tc>
        <w:tc>
          <w:tcPr>
            <w:tcW w:w="543" w:type="pct"/>
            <w:tcBorders>
              <w:top w:val="single" w:sz="4" w:space="0" w:color="auto"/>
              <w:bottom w:val="single" w:sz="4" w:space="0" w:color="auto"/>
            </w:tcBorders>
            <w:shd w:val="clear" w:color="auto" w:fill="F3F3F3"/>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 xml:space="preserve">7,793 </w:t>
            </w:r>
          </w:p>
        </w:tc>
        <w:tc>
          <w:tcPr>
            <w:tcW w:w="554" w:type="pct"/>
            <w:tcBorders>
              <w:top w:val="single" w:sz="4" w:space="0" w:color="auto"/>
              <w:bottom w:val="single" w:sz="4" w:space="0" w:color="auto"/>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 xml:space="preserve">517 </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single" w:sz="4" w:space="0" w:color="auto"/>
            </w:tcBorders>
            <w:noWrap/>
            <w:hideMark/>
          </w:tcPr>
          <w:p w:rsidR="004D348A" w:rsidRPr="000C5ACB" w:rsidRDefault="004D348A" w:rsidP="000C5ACB">
            <w:pPr>
              <w:pStyle w:val="TableBodyText"/>
              <w:spacing w:before="120"/>
              <w:rPr>
                <w:rStyle w:val="Bold"/>
              </w:rPr>
            </w:pPr>
            <w:r w:rsidRPr="000C5ACB">
              <w:rPr>
                <w:rStyle w:val="Bold"/>
              </w:rPr>
              <w:t>Net increase (decrease) in cash held</w:t>
            </w:r>
          </w:p>
        </w:tc>
        <w:tc>
          <w:tcPr>
            <w:tcW w:w="437" w:type="pct"/>
            <w:tcBorders>
              <w:top w:val="single" w:sz="4" w:space="0" w:color="auto"/>
              <w:bottom w:val="single" w:sz="4" w:space="0" w:color="auto"/>
            </w:tcBorders>
            <w:noWrap/>
          </w:tcPr>
          <w:p w:rsidR="004D348A" w:rsidRPr="000C5ACB" w:rsidRDefault="000C5ACB" w:rsidP="000C5ACB">
            <w:pPr>
              <w:pStyle w:val="TableBodyText"/>
              <w:spacing w:before="120"/>
              <w:cnfStyle w:val="000000000000" w:firstRow="0" w:lastRow="0" w:firstColumn="0" w:lastColumn="0" w:oddVBand="0" w:evenVBand="0" w:oddHBand="0" w:evenHBand="0" w:firstRowFirstColumn="0" w:firstRowLastColumn="0" w:lastRowFirstColumn="0" w:lastRowLastColumn="0"/>
            </w:pPr>
            <w:r w:rsidRPr="000C5ACB">
              <w:t>N/A</w:t>
            </w:r>
          </w:p>
        </w:tc>
        <w:tc>
          <w:tcPr>
            <w:tcW w:w="543" w:type="pct"/>
            <w:tcBorders>
              <w:top w:val="single" w:sz="4" w:space="0" w:color="auto"/>
              <w:bottom w:val="single" w:sz="4" w:space="0" w:color="auto"/>
            </w:tcBorders>
            <w:shd w:val="clear" w:color="auto" w:fill="F3F3F3"/>
            <w:noWrap/>
            <w:hideMark/>
          </w:tcPr>
          <w:p w:rsidR="004D348A" w:rsidRPr="000C5ACB" w:rsidRDefault="004D348A" w:rsidP="000C5ACB">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707</w:t>
            </w:r>
          </w:p>
        </w:tc>
        <w:tc>
          <w:tcPr>
            <w:tcW w:w="554" w:type="pct"/>
            <w:tcBorders>
              <w:top w:val="single" w:sz="4" w:space="0" w:color="auto"/>
              <w:bottom w:val="single" w:sz="4" w:space="0" w:color="auto"/>
            </w:tcBorders>
            <w:noWrap/>
            <w:hideMark/>
          </w:tcPr>
          <w:p w:rsidR="004D348A" w:rsidRPr="000C5ACB" w:rsidRDefault="004D348A" w:rsidP="000C5ACB">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 xml:space="preserve">748 </w:t>
            </w:r>
          </w:p>
        </w:tc>
      </w:tr>
      <w:tr w:rsidR="004D348A" w:rsidRPr="004D348A"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single" w:sz="4" w:space="0" w:color="auto"/>
            </w:tcBorders>
            <w:hideMark/>
          </w:tcPr>
          <w:p w:rsidR="004D348A" w:rsidRPr="004D348A" w:rsidRDefault="004D348A" w:rsidP="000C5ACB">
            <w:pPr>
              <w:pStyle w:val="TableBodyText"/>
            </w:pPr>
            <w:r w:rsidRPr="004D348A">
              <w:t>Cash and cash equivalents at the beginning of the financial year</w:t>
            </w:r>
          </w:p>
        </w:tc>
        <w:tc>
          <w:tcPr>
            <w:tcW w:w="437" w:type="pct"/>
            <w:tcBorders>
              <w:top w:val="single" w:sz="4" w:space="0" w:color="auto"/>
              <w:bottom w:val="single" w:sz="4" w:space="0" w:color="auto"/>
            </w:tcBorders>
            <w:noWrap/>
            <w:hideMark/>
          </w:tcPr>
          <w:p w:rsidR="004D348A" w:rsidRPr="004D348A" w:rsidRDefault="000C5ACB" w:rsidP="000C5A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43" w:type="pct"/>
            <w:tcBorders>
              <w:top w:val="single" w:sz="4" w:space="0" w:color="auto"/>
              <w:bottom w:val="single" w:sz="4" w:space="0" w:color="auto"/>
            </w:tcBorders>
            <w:shd w:val="clear" w:color="auto" w:fill="F3F3F3"/>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8,379</w:t>
            </w:r>
          </w:p>
        </w:tc>
        <w:tc>
          <w:tcPr>
            <w:tcW w:w="554" w:type="pct"/>
            <w:tcBorders>
              <w:top w:val="single" w:sz="4" w:space="0" w:color="auto"/>
              <w:bottom w:val="single" w:sz="4" w:space="0" w:color="auto"/>
            </w:tcBorders>
            <w:noWrap/>
            <w:hideMark/>
          </w:tcPr>
          <w:p w:rsidR="004D348A" w:rsidRPr="004D348A"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4D348A">
              <w:t xml:space="preserve">7,631 </w:t>
            </w:r>
          </w:p>
        </w:tc>
      </w:tr>
      <w:tr w:rsidR="004D348A" w:rsidRPr="000C5ACB" w:rsidTr="004C1238">
        <w:tc>
          <w:tcPr>
            <w:cnfStyle w:val="001000000000" w:firstRow="0" w:lastRow="0" w:firstColumn="1" w:lastColumn="0" w:oddVBand="0" w:evenVBand="0" w:oddHBand="0" w:evenHBand="0" w:firstRowFirstColumn="0" w:firstRowLastColumn="0" w:lastRowFirstColumn="0" w:lastRowLastColumn="0"/>
            <w:tcW w:w="3466" w:type="pct"/>
            <w:tcBorders>
              <w:top w:val="single" w:sz="4" w:space="0" w:color="auto"/>
              <w:bottom w:val="single" w:sz="4" w:space="0" w:color="auto"/>
            </w:tcBorders>
            <w:noWrap/>
            <w:hideMark/>
          </w:tcPr>
          <w:p w:rsidR="004D348A" w:rsidRPr="000C5ACB" w:rsidRDefault="004D348A" w:rsidP="000C5ACB">
            <w:pPr>
              <w:pStyle w:val="TableBodyText"/>
              <w:rPr>
                <w:rStyle w:val="Bold"/>
              </w:rPr>
            </w:pPr>
            <w:r w:rsidRPr="000C5ACB">
              <w:rPr>
                <w:rStyle w:val="Bold"/>
              </w:rPr>
              <w:t>Cash and cash equivalents at the end of the financial year</w:t>
            </w:r>
          </w:p>
        </w:tc>
        <w:tc>
          <w:tcPr>
            <w:tcW w:w="437" w:type="pct"/>
            <w:tcBorders>
              <w:top w:val="single" w:sz="4" w:space="0" w:color="auto"/>
              <w:bottom w:val="single" w:sz="4" w:space="0" w:color="auto"/>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pPr>
            <w:r w:rsidRPr="000C5ACB">
              <w:t>7.3</w:t>
            </w:r>
          </w:p>
        </w:tc>
        <w:tc>
          <w:tcPr>
            <w:tcW w:w="543" w:type="pct"/>
            <w:tcBorders>
              <w:top w:val="single" w:sz="4" w:space="0" w:color="auto"/>
              <w:bottom w:val="single" w:sz="4" w:space="0" w:color="auto"/>
            </w:tcBorders>
            <w:shd w:val="clear" w:color="auto" w:fill="F3F3F3"/>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9,086</w:t>
            </w:r>
          </w:p>
        </w:tc>
        <w:tc>
          <w:tcPr>
            <w:tcW w:w="554" w:type="pct"/>
            <w:tcBorders>
              <w:top w:val="single" w:sz="4" w:space="0" w:color="auto"/>
              <w:bottom w:val="single" w:sz="4" w:space="0" w:color="auto"/>
            </w:tcBorders>
            <w:noWrap/>
            <w:hideMark/>
          </w:tcPr>
          <w:p w:rsidR="004D348A" w:rsidRPr="000C5ACB" w:rsidRDefault="004D348A" w:rsidP="004D348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0C5ACB">
              <w:rPr>
                <w:rStyle w:val="Bold"/>
              </w:rPr>
              <w:t xml:space="preserve">8,379 </w:t>
            </w:r>
          </w:p>
        </w:tc>
      </w:tr>
    </w:tbl>
    <w:p w:rsidR="004D348A" w:rsidRDefault="004D348A" w:rsidP="004D348A">
      <w:pPr>
        <w:pStyle w:val="BodyText"/>
      </w:pPr>
      <w:r w:rsidRPr="004D348A">
        <w:t>The accompanying notes form part of these financial statements.</w:t>
      </w:r>
    </w:p>
    <w:p w:rsidR="000C5ACB" w:rsidRDefault="00877292" w:rsidP="000C5ACB">
      <w:pPr>
        <w:pStyle w:val="Heading1"/>
      </w:pPr>
      <w:bookmarkStart w:id="10" w:name="_Toc497125455"/>
      <w:r>
        <w:lastRenderedPageBreak/>
        <w:t xml:space="preserve">About </w:t>
      </w:r>
      <w:r w:rsidR="004C1238">
        <w:t>this report</w:t>
      </w:r>
      <w:bookmarkEnd w:id="10"/>
    </w:p>
    <w:p w:rsidR="000C5ACB" w:rsidRDefault="000C5ACB" w:rsidP="000C5ACB">
      <w:pPr>
        <w:pStyle w:val="BodyText"/>
      </w:pPr>
      <w:r>
        <w:t>Court Services Victoria (CSV) was established on 1 July 2014 under the Court Services Victoria Act 2014 as an independent statutory body to provide administrative services and facilities to support the Victorian courts and tribunals and the Judicial College of Victoria. CSV supports the performance of the judicial, quasi</w:t>
      </w:r>
      <w:r>
        <w:rPr>
          <w:rFonts w:ascii="Cambria Math" w:hAnsi="Cambria Math" w:cs="Cambria Math"/>
        </w:rPr>
        <w:t>‐</w:t>
      </w:r>
      <w:r>
        <w:t>judicial and administrative functions of the Supreme Court of Victoria, the County Court of Victoria, the Magistrates</w:t>
      </w:r>
      <w:r>
        <w:rPr>
          <w:rFonts w:cs="Arial"/>
        </w:rPr>
        <w:t>’</w:t>
      </w:r>
      <w:r>
        <w:t xml:space="preserve"> Court of Victoria, the Children</w:t>
      </w:r>
      <w:r>
        <w:rPr>
          <w:rFonts w:cs="Arial"/>
        </w:rPr>
        <w:t>’</w:t>
      </w:r>
      <w:r>
        <w:t>s Court of Victoria, the Coroners Court of Victoria and the Victorian Civil and Administrative Tribunal (</w:t>
      </w:r>
      <w:proofErr w:type="spellStart"/>
      <w:r>
        <w:t>VCAT</w:t>
      </w:r>
      <w:proofErr w:type="spellEnd"/>
      <w:r>
        <w:t>). The Court Services Victoria Act 2014 was amended on 19 April 2016 to require CSV to carry out the same functions for the Judicial Commission of Victoria, which commenced operations on 1 July 2017.</w:t>
      </w:r>
    </w:p>
    <w:p w:rsidR="000C5ACB" w:rsidRDefault="000C5ACB" w:rsidP="000C5ACB">
      <w:pPr>
        <w:pStyle w:val="BodyText"/>
      </w:pPr>
      <w:r>
        <w:t>CSV's status as a statutory body allows the courts to operate independently of the direction of the executive branch of government, thus supporting the independence of the judiciary.</w:t>
      </w:r>
    </w:p>
    <w:p w:rsidR="000C5ACB" w:rsidRDefault="000C5ACB" w:rsidP="000C5ACB">
      <w:pPr>
        <w:pStyle w:val="BodyText"/>
      </w:pPr>
      <w:r>
        <w:t xml:space="preserve">CSV's activities include overseeing court facilities and providing the people, information technology and financial management to deliver enhanced administrative services to the Victorian courts, </w:t>
      </w:r>
      <w:proofErr w:type="spellStart"/>
      <w:r>
        <w:t>VCAT</w:t>
      </w:r>
      <w:proofErr w:type="spellEnd"/>
      <w:r>
        <w:t xml:space="preserve"> and the Judicial College of Victoria. Some or all of these activities are provided through an administration function known as "Jurisdiction Services".</w:t>
      </w:r>
    </w:p>
    <w:p w:rsidR="000C5ACB" w:rsidRDefault="000C5ACB" w:rsidP="000C5ACB">
      <w:pPr>
        <w:pStyle w:val="BodyText"/>
      </w:pPr>
      <w:r>
        <w:t xml:space="preserve">The Courts Council is CSV’s governing body and comprises the head of each court jurisdiction and </w:t>
      </w:r>
      <w:proofErr w:type="spellStart"/>
      <w:r>
        <w:t>VCAT</w:t>
      </w:r>
      <w:proofErr w:type="spellEnd"/>
      <w:r>
        <w:t xml:space="preserve"> and up to two independent members. There are seven committees that inform the work of the Courts Council.</w:t>
      </w:r>
    </w:p>
    <w:p w:rsidR="000C5ACB" w:rsidRDefault="000C5ACB" w:rsidP="000C5ACB">
      <w:pPr>
        <w:pStyle w:val="BodyText"/>
      </w:pPr>
      <w:r>
        <w:t xml:space="preserve">Its principal address is: </w:t>
      </w:r>
    </w:p>
    <w:p w:rsidR="000C5ACB" w:rsidRDefault="000C5ACB" w:rsidP="000C5ACB">
      <w:pPr>
        <w:pStyle w:val="NoSpacing"/>
        <w:ind w:left="720"/>
      </w:pPr>
      <w:r>
        <w:t xml:space="preserve">Court Services Victoria </w:t>
      </w:r>
    </w:p>
    <w:p w:rsidR="000C5ACB" w:rsidRDefault="000C5ACB" w:rsidP="000C5ACB">
      <w:pPr>
        <w:pStyle w:val="NoSpacing"/>
        <w:ind w:left="720"/>
      </w:pPr>
      <w:r>
        <w:t xml:space="preserve">223 William Street </w:t>
      </w:r>
    </w:p>
    <w:p w:rsidR="000C5ACB" w:rsidRDefault="000C5ACB" w:rsidP="000C5ACB">
      <w:pPr>
        <w:pStyle w:val="NoSpacing"/>
        <w:ind w:left="720"/>
      </w:pPr>
      <w:r>
        <w:t>Melbourne, Vic 3000</w:t>
      </w:r>
    </w:p>
    <w:p w:rsidR="000C5ACB" w:rsidRDefault="000C5ACB" w:rsidP="00877292">
      <w:pPr>
        <w:pStyle w:val="Heading2"/>
        <w:numPr>
          <w:ilvl w:val="0"/>
          <w:numId w:val="0"/>
        </w:numPr>
      </w:pPr>
      <w:bookmarkStart w:id="11" w:name="_Toc497125456"/>
      <w:r>
        <w:t>Basis of preparation</w:t>
      </w:r>
      <w:bookmarkEnd w:id="11"/>
    </w:p>
    <w:p w:rsidR="000C5ACB" w:rsidRDefault="000C5ACB" w:rsidP="000C5ACB">
      <w:pPr>
        <w:pStyle w:val="BodyText"/>
      </w:pPr>
      <w:r>
        <w:t>These financial statements are in Australian dollars and the historical cost convention is used unless a different measurement basis is specifically disclosed in the note associated with the item measured on a different basis.</w:t>
      </w:r>
    </w:p>
    <w:p w:rsidR="000C5ACB" w:rsidRDefault="000C5ACB" w:rsidP="000C5ACB">
      <w:pPr>
        <w:pStyle w:val="BodyText"/>
      </w:pPr>
      <w:r>
        <w:t>The accrual basis of accounting has been applied in the preparation of these financial statements whereby assets, liabilities, equity, income and expenses are recognised in the reporting period to which they relate, regardless of when cash is received or paid.</w:t>
      </w:r>
    </w:p>
    <w:p w:rsidR="000C5ACB" w:rsidRDefault="000C5ACB" w:rsidP="000C5ACB">
      <w:pPr>
        <w:pStyle w:val="BodyText"/>
      </w:pPr>
      <w:r>
        <w:t xml:space="preserve">Consistent with the requirements of Australian Accounting Standard </w:t>
      </w:r>
      <w:proofErr w:type="spellStart"/>
      <w:r>
        <w:t>AASB</w:t>
      </w:r>
      <w:proofErr w:type="spellEnd"/>
      <w:r>
        <w:t xml:space="preserve"> 1004 Contributions, contributions by owners (that is contributed capital and its repayment) are treated as equity transactions and, therefore, do not form part of the income and expenses of CSV.</w:t>
      </w:r>
    </w:p>
    <w:p w:rsidR="000C5ACB" w:rsidRDefault="000C5ACB" w:rsidP="000C5ACB">
      <w:pPr>
        <w:pStyle w:val="BodyText"/>
      </w:pPr>
      <w:r>
        <w:t>Additions to net assets that have been designated as contributions by owners are recognised as contributed capital. Other transfers that are in the nature of contributions to or distributions by owners have also been designated as contributions by owner.</w:t>
      </w:r>
    </w:p>
    <w:p w:rsidR="000C5ACB" w:rsidRDefault="000C5ACB" w:rsidP="000C5ACB">
      <w:pPr>
        <w:pStyle w:val="BodyText"/>
      </w:pPr>
      <w:r>
        <w:t>Transfers of net assets arising from administrative restructurings are treated as distributions to or contributions by owners. Transfers of net liabilities arising from administrative restructurings are treated as distributions to owners.</w:t>
      </w:r>
    </w:p>
    <w:p w:rsidR="000C5ACB" w:rsidRDefault="000C5ACB" w:rsidP="000C5ACB">
      <w:pPr>
        <w:pStyle w:val="BodyText"/>
      </w:pPr>
      <w:r>
        <w:t xml:space="preserve">Judgements, estimates and assumptions are required to be made about financial information being presented. Significant judgements made in the preparation of these financial statements are disclosed in the notes where amounts affected by those judgements are disclosed. Estimates and associated assumptions </w:t>
      </w:r>
      <w:r>
        <w:lastRenderedPageBreak/>
        <w:t>are based on professional judgement derived from historical experience and various other factors that are believed to be reasonable under the circumstances. Actual results may differ from these estimates.</w:t>
      </w:r>
    </w:p>
    <w:p w:rsidR="000C5ACB" w:rsidRDefault="000C5ACB" w:rsidP="000C5ACB">
      <w:pPr>
        <w:pStyle w:val="BodyText"/>
      </w:pPr>
      <w:r>
        <w:t>Revisions to accounting estimates are recognised in the period in which the estimate is revised and also in future periods that are affected by the revision. Judgements and assumptions made by management in applying Australian Accounting Standards (AAS) that have significant effects on the financial statements and estimates are disclosed in the notes under the heading 'Significant judgement or estimates'.</w:t>
      </w:r>
    </w:p>
    <w:p w:rsidR="000C5ACB" w:rsidRDefault="000C5ACB" w:rsidP="000C5ACB">
      <w:pPr>
        <w:pStyle w:val="BodyText"/>
      </w:pPr>
      <w:r>
        <w:t>These financial statements cover CSV as an individual reporting entity and include all the controlled activities of CSV.</w:t>
      </w:r>
    </w:p>
    <w:p w:rsidR="000C5ACB" w:rsidRDefault="000C5ACB" w:rsidP="000C5ACB">
      <w:pPr>
        <w:pStyle w:val="BodyText"/>
      </w:pPr>
      <w:r>
        <w:t>All amounts in the financial statements have been rounded to the nearest $1,000 unless otherwise stated.</w:t>
      </w:r>
    </w:p>
    <w:p w:rsidR="000C5ACB" w:rsidRDefault="000C5ACB" w:rsidP="001D76BC">
      <w:pPr>
        <w:pStyle w:val="Heading2"/>
        <w:numPr>
          <w:ilvl w:val="0"/>
          <w:numId w:val="0"/>
        </w:numPr>
      </w:pPr>
      <w:bookmarkStart w:id="12" w:name="_Toc497125457"/>
      <w:r>
        <w:t>Compliance information</w:t>
      </w:r>
      <w:bookmarkEnd w:id="12"/>
    </w:p>
    <w:p w:rsidR="000C5ACB" w:rsidRDefault="000C5ACB" w:rsidP="000C5ACB">
      <w:pPr>
        <w:pStyle w:val="BodyText"/>
      </w:pPr>
      <w:r>
        <w:t>These general purpose</w:t>
      </w:r>
      <w:r w:rsidR="00877292">
        <w:t xml:space="preserve"> financial </w:t>
      </w:r>
      <w:r>
        <w:t xml:space="preserve">statements have been prepared in </w:t>
      </w:r>
      <w:r w:rsidR="00877292">
        <w:t>a</w:t>
      </w:r>
      <w:r>
        <w:t>ccordance with the Financial</w:t>
      </w:r>
    </w:p>
    <w:p w:rsidR="000C5ACB" w:rsidRDefault="000C5ACB" w:rsidP="000C5ACB">
      <w:pPr>
        <w:pStyle w:val="BodyText"/>
      </w:pPr>
      <w:r>
        <w:t>Management Act 1994 (</w:t>
      </w:r>
      <w:proofErr w:type="spellStart"/>
      <w:r>
        <w:t>FMA</w:t>
      </w:r>
      <w:proofErr w:type="spellEnd"/>
      <w:r>
        <w:t xml:space="preserve">) and applicable AAS, which include Interpretations issued by the </w:t>
      </w:r>
      <w:proofErr w:type="spellStart"/>
      <w:r>
        <w:t>AASB</w:t>
      </w:r>
      <w:proofErr w:type="spellEnd"/>
      <w:r>
        <w:t xml:space="preserve">. In particular, they are presented in a manner consistent with the requirements of </w:t>
      </w:r>
      <w:proofErr w:type="spellStart"/>
      <w:r>
        <w:t>AASB</w:t>
      </w:r>
      <w:proofErr w:type="spellEnd"/>
      <w:r>
        <w:t xml:space="preserve"> 1049 Whole of Government and General Government Sector Financial Reporting.</w:t>
      </w:r>
    </w:p>
    <w:p w:rsidR="000C5ACB" w:rsidRDefault="000C5ACB" w:rsidP="000C5ACB">
      <w:pPr>
        <w:pStyle w:val="BodyText"/>
      </w:pPr>
      <w:r>
        <w:t xml:space="preserve">Where appropriate, those </w:t>
      </w:r>
      <w:proofErr w:type="spellStart"/>
      <w:r>
        <w:t>AASs</w:t>
      </w:r>
      <w:proofErr w:type="spellEnd"/>
      <w:r>
        <w:t xml:space="preserve"> paragraphs applicable to not</w:t>
      </w:r>
      <w:r>
        <w:rPr>
          <w:rFonts w:ascii="Cambria Math" w:hAnsi="Cambria Math" w:cs="Cambria Math"/>
        </w:rPr>
        <w:t>‐</w:t>
      </w:r>
      <w:r>
        <w:t>for</w:t>
      </w:r>
      <w:r>
        <w:rPr>
          <w:rFonts w:ascii="Cambria Math" w:hAnsi="Cambria Math" w:cs="Cambria Math"/>
        </w:rPr>
        <w:t>‐</w:t>
      </w:r>
      <w:r>
        <w:t>profit entities have been applied. Accounting policies selected and applied in these financial statements ensure that the resulting financial information satisfies the concepts of relevance and reliability, thereby ensuring that the substance of the underlying transactions or other events is reported</w:t>
      </w:r>
    </w:p>
    <w:p w:rsidR="00877292" w:rsidRDefault="00877292" w:rsidP="00877292">
      <w:pPr>
        <w:pStyle w:val="Heading1"/>
      </w:pPr>
      <w:bookmarkStart w:id="13" w:name="_Toc497125458"/>
      <w:r w:rsidRPr="00877292">
        <w:lastRenderedPageBreak/>
        <w:t>Fu</w:t>
      </w:r>
      <w:r>
        <w:t xml:space="preserve">nding </w:t>
      </w:r>
      <w:r w:rsidR="004C1238">
        <w:t>delivery of our services</w:t>
      </w:r>
      <w:bookmarkEnd w:id="13"/>
    </w:p>
    <w:p w:rsidR="00877292" w:rsidRPr="00440FE9" w:rsidRDefault="00877292" w:rsidP="00440FE9">
      <w:pPr>
        <w:pStyle w:val="BodyText"/>
        <w:rPr>
          <w:rStyle w:val="Bold"/>
        </w:rPr>
      </w:pPr>
      <w:r w:rsidRPr="00440FE9">
        <w:rPr>
          <w:rStyle w:val="Bold"/>
        </w:rPr>
        <w:t>Introduction</w:t>
      </w:r>
    </w:p>
    <w:p w:rsidR="00877292" w:rsidRDefault="00877292" w:rsidP="00877292">
      <w:pPr>
        <w:pStyle w:val="BodyText"/>
      </w:pPr>
      <w:r>
        <w:t>CSV's overall objective is the fair, timely and efficient dispensing of justice.</w:t>
      </w:r>
    </w:p>
    <w:p w:rsidR="00877292" w:rsidRDefault="00877292" w:rsidP="00877292">
      <w:pPr>
        <w:pStyle w:val="BodyText"/>
      </w:pPr>
      <w:r>
        <w:t>To enable CSV to fulfil its objective and provide outputs as described in Note 4, it receives income which is predominantly accrual based Parliamentary appropriations.</w:t>
      </w:r>
    </w:p>
    <w:p w:rsidR="00877292" w:rsidRPr="00440FE9" w:rsidRDefault="00877292" w:rsidP="00440FE9">
      <w:pPr>
        <w:pStyle w:val="BodyText"/>
        <w:rPr>
          <w:rStyle w:val="Bold"/>
        </w:rPr>
      </w:pPr>
      <w:r w:rsidRPr="00440FE9">
        <w:rPr>
          <w:rStyle w:val="Bold"/>
        </w:rPr>
        <w:t>Structure</w:t>
      </w:r>
    </w:p>
    <w:p w:rsidR="00877292" w:rsidRDefault="00877292" w:rsidP="00877292">
      <w:pPr>
        <w:pStyle w:val="NoSpacing"/>
      </w:pPr>
      <w:r>
        <w:t>2.1</w:t>
      </w:r>
      <w:r>
        <w:tab/>
        <w:t>Summary of income that funds the delivery of our services</w:t>
      </w:r>
    </w:p>
    <w:p w:rsidR="00877292" w:rsidRDefault="00877292" w:rsidP="00877292">
      <w:pPr>
        <w:pStyle w:val="NoSpacing"/>
      </w:pPr>
      <w:r>
        <w:t>2.2</w:t>
      </w:r>
      <w:r>
        <w:tab/>
        <w:t>Appropriations</w:t>
      </w:r>
    </w:p>
    <w:p w:rsidR="00877292" w:rsidRDefault="00877292" w:rsidP="00877292">
      <w:pPr>
        <w:pStyle w:val="NoSpacing"/>
      </w:pPr>
      <w:r>
        <w:t>2.3</w:t>
      </w:r>
      <w:r>
        <w:tab/>
        <w:t>Summary of compliance with annual Parliamentary and special appropriations</w:t>
      </w:r>
    </w:p>
    <w:p w:rsidR="00877292" w:rsidRDefault="00877292" w:rsidP="00877292">
      <w:pPr>
        <w:pStyle w:val="NoSpacing"/>
      </w:pPr>
      <w:r>
        <w:t>2.4</w:t>
      </w:r>
      <w:r>
        <w:tab/>
        <w:t>Income from transactions</w:t>
      </w:r>
    </w:p>
    <w:p w:rsidR="00877292" w:rsidRDefault="00B25292" w:rsidP="00B25292">
      <w:pPr>
        <w:pStyle w:val="NoSpacing"/>
      </w:pPr>
      <w:r>
        <w:t>2.5</w:t>
      </w:r>
      <w:r>
        <w:tab/>
        <w:t>Annotated income agreements</w:t>
      </w:r>
    </w:p>
    <w:p w:rsidR="00877292" w:rsidRDefault="00877292" w:rsidP="00877292">
      <w:pPr>
        <w:pStyle w:val="Heading2"/>
      </w:pPr>
      <w:bookmarkStart w:id="14" w:name="_Toc497125459"/>
      <w:r>
        <w:t>Summary of income that funds the delivery of our services</w:t>
      </w:r>
      <w:bookmarkEnd w:id="14"/>
    </w:p>
    <w:tbl>
      <w:tblPr>
        <w:tblStyle w:val="FinancialTable"/>
        <w:tblW w:w="5000" w:type="pct"/>
        <w:tblLook w:val="04A0" w:firstRow="1" w:lastRow="0" w:firstColumn="1" w:lastColumn="0" w:noHBand="0" w:noVBand="1"/>
      </w:tblPr>
      <w:tblGrid>
        <w:gridCol w:w="6026"/>
        <w:gridCol w:w="1081"/>
        <w:gridCol w:w="1263"/>
        <w:gridCol w:w="1268"/>
      </w:tblGrid>
      <w:tr w:rsidR="00B25292" w:rsidRPr="00B25292" w:rsidTr="00B252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6" w:type="pct"/>
          </w:tcPr>
          <w:p w:rsidR="00B25292" w:rsidRPr="00B25292" w:rsidRDefault="00B25292" w:rsidP="00B6415B">
            <w:pPr>
              <w:pStyle w:val="TableHeading"/>
            </w:pPr>
            <w:r>
              <w:t>Item</w:t>
            </w:r>
          </w:p>
        </w:tc>
        <w:tc>
          <w:tcPr>
            <w:tcW w:w="561" w:type="pct"/>
            <w:shd w:val="clear" w:color="auto" w:fill="F3F3F3"/>
          </w:tcPr>
          <w:p w:rsidR="00B25292" w:rsidRPr="00B25292" w:rsidRDefault="00B25292" w:rsidP="00B6415B">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25292">
              <w:t>Notes</w:t>
            </w:r>
          </w:p>
        </w:tc>
        <w:tc>
          <w:tcPr>
            <w:tcW w:w="655" w:type="pct"/>
          </w:tcPr>
          <w:p w:rsidR="00B25292" w:rsidRPr="00B25292" w:rsidRDefault="00B25292" w:rsidP="00B6415B">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25292">
              <w:t>2017</w:t>
            </w:r>
          </w:p>
          <w:p w:rsidR="00B25292" w:rsidRPr="00B25292" w:rsidRDefault="00B25292" w:rsidP="00B6415B">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B25292">
              <w:t>$'000</w:t>
            </w:r>
          </w:p>
        </w:tc>
        <w:tc>
          <w:tcPr>
            <w:tcW w:w="658" w:type="pct"/>
            <w:shd w:val="clear" w:color="auto" w:fill="F3F3F3"/>
          </w:tcPr>
          <w:p w:rsidR="00B25292" w:rsidRPr="00B25292" w:rsidRDefault="00B25292" w:rsidP="00B25292">
            <w:pPr>
              <w:pStyle w:val="TableHeading"/>
              <w:pageBreakBefore/>
              <w:cnfStyle w:val="100000000000" w:firstRow="1" w:lastRow="0" w:firstColumn="0" w:lastColumn="0" w:oddVBand="0" w:evenVBand="0" w:oddHBand="0" w:evenHBand="0" w:firstRowFirstColumn="0" w:firstRowLastColumn="0" w:lastRowFirstColumn="0" w:lastRowLastColumn="0"/>
              <w:rPr>
                <w:rFonts w:eastAsia="Calibri"/>
              </w:rPr>
            </w:pPr>
            <w:r w:rsidRPr="00B25292">
              <w:t>2016</w:t>
            </w:r>
          </w:p>
          <w:p w:rsidR="00B25292" w:rsidRPr="00B25292" w:rsidRDefault="00B25292" w:rsidP="00B25292">
            <w:pPr>
              <w:pStyle w:val="TableHeading"/>
              <w:pageBreakBefore/>
              <w:cnfStyle w:val="100000000000" w:firstRow="1" w:lastRow="0" w:firstColumn="0" w:lastColumn="0" w:oddVBand="0" w:evenVBand="0" w:oddHBand="0" w:evenHBand="0" w:firstRowFirstColumn="0" w:firstRowLastColumn="0" w:lastRowFirstColumn="0" w:lastRowLastColumn="0"/>
              <w:rPr>
                <w:rFonts w:eastAsia="Calibri"/>
              </w:rPr>
            </w:pPr>
            <w:r w:rsidRPr="00B25292">
              <w:t>$'000</w:t>
            </w:r>
          </w:p>
        </w:tc>
      </w:tr>
      <w:tr w:rsidR="00B25292" w:rsidRPr="00B25292" w:rsidTr="00B25292">
        <w:tc>
          <w:tcPr>
            <w:cnfStyle w:val="001000000000" w:firstRow="0" w:lastRow="0" w:firstColumn="1" w:lastColumn="0" w:oddVBand="0" w:evenVBand="0" w:oddHBand="0" w:evenHBand="0" w:firstRowFirstColumn="0" w:firstRowLastColumn="0" w:lastRowFirstColumn="0" w:lastRowLastColumn="0"/>
            <w:tcW w:w="3126" w:type="pct"/>
          </w:tcPr>
          <w:p w:rsidR="00B25292" w:rsidRPr="00B25292" w:rsidRDefault="00B25292" w:rsidP="00B6415B">
            <w:pPr>
              <w:pStyle w:val="TableBodyText"/>
              <w:rPr>
                <w:rFonts w:eastAsia="Calibri"/>
              </w:rPr>
            </w:pPr>
            <w:r w:rsidRPr="00B25292">
              <w:t>Output appropriations</w:t>
            </w:r>
          </w:p>
        </w:tc>
        <w:tc>
          <w:tcPr>
            <w:tcW w:w="561" w:type="pct"/>
            <w:shd w:val="clear" w:color="auto" w:fill="F3F3F3"/>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2.3</w:t>
            </w:r>
          </w:p>
        </w:tc>
        <w:tc>
          <w:tcPr>
            <w:tcW w:w="655" w:type="pct"/>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332,215</w:t>
            </w:r>
          </w:p>
        </w:tc>
        <w:tc>
          <w:tcPr>
            <w:tcW w:w="658" w:type="pct"/>
            <w:shd w:val="clear" w:color="auto" w:fill="F3F3F3"/>
          </w:tcPr>
          <w:p w:rsidR="00B25292" w:rsidRPr="00B25292" w:rsidRDefault="00B25292" w:rsidP="00B25292">
            <w:pPr>
              <w:pStyle w:val="TableBodyText"/>
              <w:pageBreakBefore/>
              <w:cnfStyle w:val="000000000000" w:firstRow="0" w:lastRow="0" w:firstColumn="0" w:lastColumn="0" w:oddVBand="0" w:evenVBand="0" w:oddHBand="0" w:evenHBand="0" w:firstRowFirstColumn="0" w:firstRowLastColumn="0" w:lastRowFirstColumn="0" w:lastRowLastColumn="0"/>
              <w:rPr>
                <w:rFonts w:eastAsia="Calibri"/>
              </w:rPr>
            </w:pPr>
            <w:r w:rsidRPr="00B25292">
              <w:t>309,603</w:t>
            </w:r>
          </w:p>
        </w:tc>
      </w:tr>
      <w:tr w:rsidR="00B25292" w:rsidRPr="00B25292" w:rsidTr="00B25292">
        <w:tc>
          <w:tcPr>
            <w:cnfStyle w:val="001000000000" w:firstRow="0" w:lastRow="0" w:firstColumn="1" w:lastColumn="0" w:oddVBand="0" w:evenVBand="0" w:oddHBand="0" w:evenHBand="0" w:firstRowFirstColumn="0" w:firstRowLastColumn="0" w:lastRowFirstColumn="0" w:lastRowLastColumn="0"/>
            <w:tcW w:w="3126" w:type="pct"/>
          </w:tcPr>
          <w:p w:rsidR="00B25292" w:rsidRPr="00B25292" w:rsidRDefault="00B25292" w:rsidP="00B6415B">
            <w:pPr>
              <w:pStyle w:val="TableBodyText"/>
              <w:rPr>
                <w:rFonts w:eastAsia="Calibri"/>
              </w:rPr>
            </w:pPr>
            <w:r w:rsidRPr="00B25292">
              <w:t>Special appropriations</w:t>
            </w:r>
          </w:p>
        </w:tc>
        <w:tc>
          <w:tcPr>
            <w:tcW w:w="561" w:type="pct"/>
            <w:shd w:val="clear" w:color="auto" w:fill="F3F3F3"/>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2.3</w:t>
            </w:r>
          </w:p>
        </w:tc>
        <w:tc>
          <w:tcPr>
            <w:tcW w:w="655" w:type="pct"/>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125,548</w:t>
            </w:r>
          </w:p>
        </w:tc>
        <w:tc>
          <w:tcPr>
            <w:tcW w:w="658" w:type="pct"/>
            <w:shd w:val="clear" w:color="auto" w:fill="F3F3F3"/>
          </w:tcPr>
          <w:p w:rsidR="00B25292" w:rsidRPr="00B25292" w:rsidRDefault="00B25292" w:rsidP="00B25292">
            <w:pPr>
              <w:pStyle w:val="TableBodyText"/>
              <w:pageBreakBefore/>
              <w:cnfStyle w:val="000000000000" w:firstRow="0" w:lastRow="0" w:firstColumn="0" w:lastColumn="0" w:oddVBand="0" w:evenVBand="0" w:oddHBand="0" w:evenHBand="0" w:firstRowFirstColumn="0" w:firstRowLastColumn="0" w:lastRowFirstColumn="0" w:lastRowLastColumn="0"/>
              <w:rPr>
                <w:rFonts w:eastAsia="Calibri"/>
              </w:rPr>
            </w:pPr>
            <w:r w:rsidRPr="00B25292">
              <w:t>123,098</w:t>
            </w:r>
          </w:p>
        </w:tc>
      </w:tr>
      <w:tr w:rsidR="00B25292" w:rsidRPr="00B25292" w:rsidTr="00B25292">
        <w:tc>
          <w:tcPr>
            <w:cnfStyle w:val="001000000000" w:firstRow="0" w:lastRow="0" w:firstColumn="1" w:lastColumn="0" w:oddVBand="0" w:evenVBand="0" w:oddHBand="0" w:evenHBand="0" w:firstRowFirstColumn="0" w:firstRowLastColumn="0" w:lastRowFirstColumn="0" w:lastRowLastColumn="0"/>
            <w:tcW w:w="3126" w:type="pct"/>
          </w:tcPr>
          <w:p w:rsidR="00B25292" w:rsidRPr="00B25292" w:rsidRDefault="00B25292" w:rsidP="00B6415B">
            <w:pPr>
              <w:pStyle w:val="TableBodyText"/>
              <w:rPr>
                <w:rFonts w:eastAsia="Calibri"/>
              </w:rPr>
            </w:pPr>
            <w:r w:rsidRPr="00B25292">
              <w:t>Grants</w:t>
            </w:r>
          </w:p>
        </w:tc>
        <w:tc>
          <w:tcPr>
            <w:tcW w:w="561" w:type="pct"/>
            <w:shd w:val="clear" w:color="auto" w:fill="F3F3F3"/>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2.4.1</w:t>
            </w:r>
          </w:p>
        </w:tc>
        <w:tc>
          <w:tcPr>
            <w:tcW w:w="655" w:type="pct"/>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26,929</w:t>
            </w:r>
          </w:p>
        </w:tc>
        <w:tc>
          <w:tcPr>
            <w:tcW w:w="658" w:type="pct"/>
            <w:shd w:val="clear" w:color="auto" w:fill="F3F3F3"/>
          </w:tcPr>
          <w:p w:rsidR="00B25292" w:rsidRPr="00B25292" w:rsidRDefault="00B25292" w:rsidP="00B25292">
            <w:pPr>
              <w:pStyle w:val="TableBodyText"/>
              <w:pageBreakBefore/>
              <w:cnfStyle w:val="000000000000" w:firstRow="0" w:lastRow="0" w:firstColumn="0" w:lastColumn="0" w:oddVBand="0" w:evenVBand="0" w:oddHBand="0" w:evenHBand="0" w:firstRowFirstColumn="0" w:firstRowLastColumn="0" w:lastRowFirstColumn="0" w:lastRowLastColumn="0"/>
              <w:rPr>
                <w:rFonts w:eastAsia="Calibri"/>
              </w:rPr>
            </w:pPr>
            <w:r w:rsidRPr="00B25292">
              <w:t>21,870</w:t>
            </w:r>
          </w:p>
        </w:tc>
      </w:tr>
      <w:tr w:rsidR="00B25292" w:rsidRPr="00B25292" w:rsidTr="001D76BC">
        <w:tc>
          <w:tcPr>
            <w:cnfStyle w:val="001000000000" w:firstRow="0" w:lastRow="0" w:firstColumn="1" w:lastColumn="0" w:oddVBand="0" w:evenVBand="0" w:oddHBand="0" w:evenHBand="0" w:firstRowFirstColumn="0" w:firstRowLastColumn="0" w:lastRowFirstColumn="0" w:lastRowLastColumn="0"/>
            <w:tcW w:w="3126" w:type="pct"/>
            <w:tcBorders>
              <w:bottom w:val="single" w:sz="4" w:space="0" w:color="auto"/>
            </w:tcBorders>
          </w:tcPr>
          <w:p w:rsidR="00B25292" w:rsidRPr="00B25292" w:rsidRDefault="00B25292" w:rsidP="00B6415B">
            <w:pPr>
              <w:pStyle w:val="TableBodyText"/>
              <w:rPr>
                <w:rFonts w:eastAsia="Calibri"/>
              </w:rPr>
            </w:pPr>
            <w:r w:rsidRPr="00B25292">
              <w:t>Other income</w:t>
            </w:r>
          </w:p>
        </w:tc>
        <w:tc>
          <w:tcPr>
            <w:tcW w:w="561" w:type="pct"/>
            <w:tcBorders>
              <w:bottom w:val="single" w:sz="4" w:space="0" w:color="auto"/>
            </w:tcBorders>
            <w:shd w:val="clear" w:color="auto" w:fill="F3F3F3"/>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2.4.2</w:t>
            </w:r>
          </w:p>
        </w:tc>
        <w:tc>
          <w:tcPr>
            <w:tcW w:w="655" w:type="pct"/>
            <w:tcBorders>
              <w:bottom w:val="single" w:sz="4" w:space="0" w:color="auto"/>
            </w:tcBorders>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B25292">
              <w:t>6,181</w:t>
            </w:r>
          </w:p>
        </w:tc>
        <w:tc>
          <w:tcPr>
            <w:tcW w:w="658" w:type="pct"/>
            <w:tcBorders>
              <w:bottom w:val="single" w:sz="4" w:space="0" w:color="auto"/>
            </w:tcBorders>
            <w:shd w:val="clear" w:color="auto" w:fill="F3F3F3"/>
          </w:tcPr>
          <w:p w:rsidR="00B25292" w:rsidRPr="00B25292" w:rsidRDefault="00B25292" w:rsidP="00B25292">
            <w:pPr>
              <w:pStyle w:val="TableBodyText"/>
              <w:pageBreakBefore/>
              <w:cnfStyle w:val="000000000000" w:firstRow="0" w:lastRow="0" w:firstColumn="0" w:lastColumn="0" w:oddVBand="0" w:evenVBand="0" w:oddHBand="0" w:evenHBand="0" w:firstRowFirstColumn="0" w:firstRowLastColumn="0" w:lastRowFirstColumn="0" w:lastRowLastColumn="0"/>
              <w:rPr>
                <w:rFonts w:eastAsia="Calibri"/>
              </w:rPr>
            </w:pPr>
            <w:r w:rsidRPr="00B25292">
              <w:t>3,248</w:t>
            </w:r>
          </w:p>
        </w:tc>
      </w:tr>
      <w:tr w:rsidR="00B25292" w:rsidRPr="00B25292" w:rsidTr="001D76BC">
        <w:tc>
          <w:tcPr>
            <w:cnfStyle w:val="001000000000" w:firstRow="0" w:lastRow="0" w:firstColumn="1" w:lastColumn="0" w:oddVBand="0" w:evenVBand="0" w:oddHBand="0" w:evenHBand="0" w:firstRowFirstColumn="0" w:firstRowLastColumn="0" w:lastRowFirstColumn="0" w:lastRowLastColumn="0"/>
            <w:tcW w:w="3126" w:type="pct"/>
            <w:tcBorders>
              <w:top w:val="single" w:sz="4" w:space="0" w:color="auto"/>
              <w:bottom w:val="single" w:sz="4" w:space="0" w:color="auto"/>
            </w:tcBorders>
          </w:tcPr>
          <w:p w:rsidR="00B25292" w:rsidRPr="00B25292" w:rsidRDefault="00B25292" w:rsidP="00B6415B">
            <w:pPr>
              <w:pStyle w:val="TableBodyText"/>
              <w:rPr>
                <w:rStyle w:val="Bold"/>
                <w:rFonts w:eastAsia="Calibri"/>
              </w:rPr>
            </w:pPr>
            <w:r w:rsidRPr="00B25292">
              <w:rPr>
                <w:rStyle w:val="Bold"/>
              </w:rPr>
              <w:t>Total income from transactions</w:t>
            </w:r>
          </w:p>
        </w:tc>
        <w:tc>
          <w:tcPr>
            <w:tcW w:w="561" w:type="pct"/>
            <w:tcBorders>
              <w:top w:val="single" w:sz="4" w:space="0" w:color="auto"/>
              <w:bottom w:val="single" w:sz="4" w:space="0" w:color="auto"/>
            </w:tcBorders>
            <w:shd w:val="clear" w:color="auto" w:fill="F3F3F3"/>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Style w:val="Bold"/>
              </w:rPr>
            </w:pPr>
            <w:r>
              <w:rPr>
                <w:rStyle w:val="Bold"/>
              </w:rPr>
              <w:t>N/A</w:t>
            </w:r>
          </w:p>
        </w:tc>
        <w:tc>
          <w:tcPr>
            <w:tcW w:w="655" w:type="pct"/>
            <w:tcBorders>
              <w:top w:val="single" w:sz="4" w:space="0" w:color="auto"/>
              <w:bottom w:val="single" w:sz="4" w:space="0" w:color="auto"/>
            </w:tcBorders>
          </w:tcPr>
          <w:p w:rsidR="00B25292" w:rsidRPr="00B25292" w:rsidRDefault="00B25292" w:rsidP="00B6415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B25292">
              <w:rPr>
                <w:rStyle w:val="Bold"/>
              </w:rPr>
              <w:t>490,874</w:t>
            </w:r>
          </w:p>
        </w:tc>
        <w:tc>
          <w:tcPr>
            <w:tcW w:w="658" w:type="pct"/>
            <w:tcBorders>
              <w:top w:val="single" w:sz="4" w:space="0" w:color="auto"/>
              <w:bottom w:val="single" w:sz="4" w:space="0" w:color="auto"/>
            </w:tcBorders>
            <w:shd w:val="clear" w:color="auto" w:fill="F3F3F3"/>
          </w:tcPr>
          <w:p w:rsidR="00B25292" w:rsidRPr="00B25292" w:rsidRDefault="00B25292" w:rsidP="00B25292">
            <w:pPr>
              <w:pStyle w:val="TableBodyText"/>
              <w:pageBreakBefore/>
              <w:cnfStyle w:val="000000000000" w:firstRow="0" w:lastRow="0" w:firstColumn="0" w:lastColumn="0" w:oddVBand="0" w:evenVBand="0" w:oddHBand="0" w:evenHBand="0" w:firstRowFirstColumn="0" w:firstRowLastColumn="0" w:lastRowFirstColumn="0" w:lastRowLastColumn="0"/>
              <w:rPr>
                <w:rStyle w:val="Bold"/>
                <w:rFonts w:eastAsia="Calibri"/>
              </w:rPr>
            </w:pPr>
            <w:r w:rsidRPr="00B25292">
              <w:rPr>
                <w:rStyle w:val="Bold"/>
              </w:rPr>
              <w:t>457,819</w:t>
            </w:r>
          </w:p>
        </w:tc>
      </w:tr>
    </w:tbl>
    <w:p w:rsidR="00B25292" w:rsidRDefault="00B25292" w:rsidP="00B25292">
      <w:pPr>
        <w:pStyle w:val="BodyText"/>
      </w:pPr>
      <w:r>
        <w:t>Income is recognised to the extent it is probable that the economic benefits will flow to CSV and the income can be reliably measured at fair value. Where applicable, amounts disclosed as income are net of returns, allowances, duties and taxes. All amounts of income over which CSV does not have control are disclosed as administered income (see note 4.2).</w:t>
      </w:r>
    </w:p>
    <w:p w:rsidR="00B25292" w:rsidRDefault="00B25292" w:rsidP="00B25292">
      <w:pPr>
        <w:pStyle w:val="Heading2"/>
      </w:pPr>
      <w:bookmarkStart w:id="15" w:name="_Toc497125460"/>
      <w:r>
        <w:t>Appropriations</w:t>
      </w:r>
      <w:bookmarkEnd w:id="15"/>
    </w:p>
    <w:p w:rsidR="00B25292" w:rsidRDefault="00B25292" w:rsidP="00B25292">
      <w:pPr>
        <w:pStyle w:val="BodyText"/>
      </w:pPr>
      <w:r>
        <w:t>Once annual Parliamentary appropriations are applied by the Treasurer, they become controlled by CSV and are recognised as income when applied to the purposes defined under the relevant Appropriations Act.</w:t>
      </w:r>
    </w:p>
    <w:p w:rsidR="00B25292" w:rsidRDefault="00B25292" w:rsidP="00B25292">
      <w:pPr>
        <w:pStyle w:val="BodyText"/>
      </w:pPr>
      <w:r>
        <w:t>Output appropriations: Income received to deliver the outputs CSV provides to the Government is recognised when those outputs have been delivered and the relevant minister has certified delivery of those outputs in accordance with specified performance criteria.</w:t>
      </w:r>
    </w:p>
    <w:p w:rsidR="00B25292" w:rsidRDefault="00B25292" w:rsidP="00B25292">
      <w:pPr>
        <w:pStyle w:val="BodyText"/>
      </w:pPr>
      <w:r>
        <w:t>Special appropriations: Income from special appropriations is recognised on a cash basis when the amount appropriated for the relevant purpose is received by CSV.</w:t>
      </w:r>
    </w:p>
    <w:p w:rsidR="00B25292" w:rsidRDefault="00B25292" w:rsidP="00F5355E">
      <w:pPr>
        <w:pStyle w:val="Heading2"/>
      </w:pPr>
      <w:bookmarkStart w:id="16" w:name="_Toc497125461"/>
      <w:r w:rsidRPr="00B25292">
        <w:t>Summary of compliance with annual Parliamentary and special appropriations</w:t>
      </w:r>
      <w:bookmarkEnd w:id="16"/>
    </w:p>
    <w:p w:rsidR="00B25292" w:rsidRDefault="00B25292" w:rsidP="00F5355E">
      <w:pPr>
        <w:pStyle w:val="BodyText"/>
        <w:keepNext/>
      </w:pPr>
      <w:r>
        <w:t>The following table discloses the details of the various annual Parliamentary appropriations received by CSV for the year.</w:t>
      </w:r>
    </w:p>
    <w:p w:rsidR="00B25292" w:rsidRDefault="00B25292" w:rsidP="00B25292">
      <w:pPr>
        <w:pStyle w:val="BodyText"/>
        <w:sectPr w:rsidR="00B25292" w:rsidSect="003475E2">
          <w:pgSz w:w="11906" w:h="16838"/>
          <w:pgMar w:top="1134" w:right="1134" w:bottom="1134" w:left="1134" w:header="708" w:footer="284" w:gutter="0"/>
          <w:cols w:space="708"/>
          <w:titlePg/>
          <w:docGrid w:linePitch="360"/>
        </w:sectPr>
      </w:pPr>
      <w:r>
        <w:t>In accordance with accrual output</w:t>
      </w:r>
      <w:r>
        <w:rPr>
          <w:rFonts w:ascii="Cambria Math" w:hAnsi="Cambria Math" w:cs="Cambria Math"/>
        </w:rPr>
        <w:t>‑</w:t>
      </w:r>
      <w:r>
        <w:t>based management procedures, ‘provision of outputs’ and ‘additions to net assets’ are disclosed as ‘controlled’ activities of CSV. Administered transactions are those that are undertaken on behalf of the State over which CSV has no control or discretion.</w:t>
      </w:r>
    </w:p>
    <w:p w:rsidR="00B25292" w:rsidRDefault="00B25292" w:rsidP="00F92BCB">
      <w:pPr>
        <w:pStyle w:val="NoSpacing"/>
        <w:spacing w:before="240"/>
      </w:pPr>
      <w:r>
        <w:lastRenderedPageBreak/>
        <w:t>2017</w:t>
      </w:r>
    </w:p>
    <w:tbl>
      <w:tblPr>
        <w:tblStyle w:val="FinancialTable"/>
        <w:tblW w:w="4979" w:type="pct"/>
        <w:tblLayout w:type="fixed"/>
        <w:tblLook w:val="04A0" w:firstRow="1" w:lastRow="0" w:firstColumn="1" w:lastColumn="0" w:noHBand="0" w:noVBand="1"/>
      </w:tblPr>
      <w:tblGrid>
        <w:gridCol w:w="1757"/>
        <w:gridCol w:w="1417"/>
        <w:gridCol w:w="1417"/>
        <w:gridCol w:w="1417"/>
        <w:gridCol w:w="1417"/>
        <w:gridCol w:w="1417"/>
        <w:gridCol w:w="1417"/>
        <w:gridCol w:w="1507"/>
        <w:gridCol w:w="1327"/>
        <w:gridCol w:w="1416"/>
      </w:tblGrid>
      <w:tr w:rsidR="00F92BCB" w:rsidRPr="00B25292" w:rsidTr="00F92B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5" w:type="pct"/>
            <w:noWrap/>
          </w:tcPr>
          <w:p w:rsidR="00B25292" w:rsidRPr="00B25292" w:rsidRDefault="00B25292" w:rsidP="00F92BCB">
            <w:pPr>
              <w:pStyle w:val="TableBodyText"/>
              <w:rPr>
                <w:rStyle w:val="Bold"/>
              </w:rPr>
            </w:pPr>
            <w:r w:rsidRPr="00B25292">
              <w:rPr>
                <w:rStyle w:val="Bold"/>
              </w:rPr>
              <w:t>2017</w:t>
            </w:r>
          </w:p>
        </w:tc>
        <w:tc>
          <w:tcPr>
            <w:tcW w:w="488" w:type="pct"/>
            <w:shd w:val="clear" w:color="auto" w:fill="F3F3F3"/>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Appropriation Act</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Annual appropriation</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Appropriation Act</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Advance from Treasurer</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shd w:val="clear" w:color="auto" w:fill="F3F3F3"/>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Financial Management Act 1994</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Section 29</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Financial Management Act 1994</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Section 31A</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shd w:val="clear" w:color="auto" w:fill="F3F3F3"/>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Financial Management Act 1994</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Section 32</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Total Parliamentary authority</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519" w:type="pct"/>
            <w:shd w:val="clear" w:color="auto" w:fill="F3F3F3"/>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Appropriations applied</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57" w:type="pct"/>
            <w:noWrap/>
          </w:tcPr>
          <w:p w:rsidR="00B25292" w:rsidRPr="00B25292" w:rsidRDefault="004B6750" w:rsidP="00F92BCB">
            <w:pPr>
              <w:pStyle w:val="TableBodyText"/>
              <w:ind w:left="227"/>
              <w:jc w:val="left"/>
              <w:cnfStyle w:val="100000000000" w:firstRow="1" w:lastRow="0" w:firstColumn="0" w:lastColumn="0" w:oddVBand="0" w:evenVBand="0" w:oddHBand="0" w:evenHBand="0" w:firstRowFirstColumn="0" w:firstRowLastColumn="0" w:lastRowFirstColumn="0" w:lastRowLastColumn="0"/>
              <w:rPr>
                <w:rStyle w:val="Bold"/>
              </w:rPr>
            </w:pPr>
            <w:r>
              <w:rPr>
                <w:rStyle w:val="Bold"/>
              </w:rPr>
              <w:t>Reference</w:t>
            </w:r>
          </w:p>
        </w:tc>
        <w:tc>
          <w:tcPr>
            <w:tcW w:w="488" w:type="pct"/>
            <w:noWrap/>
          </w:tcPr>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Variance</w:t>
            </w:r>
          </w:p>
          <w:p w:rsidR="00B25292" w:rsidRPr="00B25292" w:rsidRDefault="00B25292"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r>
      <w:tr w:rsidR="00B25292" w:rsidRPr="00B25292" w:rsidTr="00F92BCB">
        <w:tc>
          <w:tcPr>
            <w:cnfStyle w:val="001000000000" w:firstRow="0" w:lastRow="0" w:firstColumn="1" w:lastColumn="0" w:oddVBand="0" w:evenVBand="0" w:oddHBand="0" w:evenHBand="0" w:firstRowFirstColumn="0" w:firstRowLastColumn="0" w:lastRowFirstColumn="0" w:lastRowLastColumn="0"/>
            <w:tcW w:w="605" w:type="pct"/>
            <w:noWrap/>
            <w:hideMark/>
          </w:tcPr>
          <w:p w:rsidR="00B25292" w:rsidRPr="00B25292" w:rsidRDefault="00B25292" w:rsidP="00F92BCB">
            <w:pPr>
              <w:pStyle w:val="TableBodyText"/>
            </w:pPr>
            <w:r w:rsidRPr="00B25292">
              <w:t>Controlled</w:t>
            </w:r>
          </w:p>
        </w:tc>
        <w:tc>
          <w:tcPr>
            <w:tcW w:w="488" w:type="pct"/>
            <w:shd w:val="clear" w:color="auto" w:fill="F3F3F3"/>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shd w:val="clear" w:color="auto" w:fill="F3F3F3"/>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shd w:val="clear" w:color="auto" w:fill="F3F3F3"/>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19" w:type="pct"/>
            <w:shd w:val="clear" w:color="auto" w:fill="F3F3F3"/>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57" w:type="pct"/>
            <w:noWrap/>
            <w:hideMark/>
          </w:tcPr>
          <w:p w:rsidR="00B25292" w:rsidRPr="00B25292" w:rsidRDefault="00F92BCB"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pPr>
            <w:r>
              <w:t>N/A</w:t>
            </w:r>
          </w:p>
        </w:tc>
        <w:tc>
          <w:tcPr>
            <w:tcW w:w="488" w:type="pct"/>
            <w:noWrap/>
            <w:hideMark/>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r>
      <w:tr w:rsidR="00B25292" w:rsidRPr="00B25292" w:rsidTr="00F92BCB">
        <w:tc>
          <w:tcPr>
            <w:cnfStyle w:val="001000000000" w:firstRow="0" w:lastRow="0" w:firstColumn="1" w:lastColumn="0" w:oddVBand="0" w:evenVBand="0" w:oddHBand="0" w:evenHBand="0" w:firstRowFirstColumn="0" w:firstRowLastColumn="0" w:lastRowFirstColumn="0" w:lastRowLastColumn="0"/>
            <w:tcW w:w="605" w:type="pct"/>
            <w:noWrap/>
            <w:hideMark/>
          </w:tcPr>
          <w:p w:rsidR="00B25292" w:rsidRPr="00B25292" w:rsidRDefault="00B25292" w:rsidP="00F92BCB">
            <w:pPr>
              <w:pStyle w:val="TableBodyText"/>
            </w:pPr>
            <w:r w:rsidRPr="00B25292">
              <w:t>Provision of outputs</w:t>
            </w:r>
          </w:p>
        </w:tc>
        <w:tc>
          <w:tcPr>
            <w:tcW w:w="488" w:type="pct"/>
            <w:shd w:val="clear" w:color="auto" w:fill="F3F3F3"/>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257,238</w:t>
            </w:r>
          </w:p>
        </w:tc>
        <w:tc>
          <w:tcPr>
            <w:tcW w:w="488" w:type="pct"/>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5,122</w:t>
            </w:r>
          </w:p>
        </w:tc>
        <w:tc>
          <w:tcPr>
            <w:tcW w:w="488" w:type="pct"/>
            <w:shd w:val="clear" w:color="auto" w:fill="F3F3F3"/>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70,725</w:t>
            </w:r>
          </w:p>
        </w:tc>
        <w:tc>
          <w:tcPr>
            <w:tcW w:w="488" w:type="pct"/>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 xml:space="preserve">9,703 </w:t>
            </w:r>
          </w:p>
        </w:tc>
        <w:tc>
          <w:tcPr>
            <w:tcW w:w="488" w:type="pct"/>
            <w:shd w:val="clear" w:color="auto" w:fill="F3F3F3"/>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 xml:space="preserve">9,840 </w:t>
            </w:r>
          </w:p>
        </w:tc>
        <w:tc>
          <w:tcPr>
            <w:tcW w:w="488" w:type="pct"/>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352,629</w:t>
            </w:r>
          </w:p>
        </w:tc>
        <w:tc>
          <w:tcPr>
            <w:tcW w:w="519" w:type="pct"/>
            <w:shd w:val="clear" w:color="auto" w:fill="F3F3F3"/>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 xml:space="preserve">332,215 </w:t>
            </w:r>
          </w:p>
        </w:tc>
        <w:tc>
          <w:tcPr>
            <w:tcW w:w="457" w:type="pct"/>
            <w:noWrap/>
            <w:hideMark/>
          </w:tcPr>
          <w:p w:rsidR="00B25292" w:rsidRPr="003D7434" w:rsidRDefault="003D7434"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pPr>
            <w:hyperlink w:anchor="Appropriations1" w:history="1">
              <w:r w:rsidR="004B6750" w:rsidRPr="003D7434">
                <w:rPr>
                  <w:rStyle w:val="Hyperlink"/>
                </w:rPr>
                <w:t>See note 1</w:t>
              </w:r>
            </w:hyperlink>
          </w:p>
        </w:tc>
        <w:tc>
          <w:tcPr>
            <w:tcW w:w="488" w:type="pct"/>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20,414</w:t>
            </w:r>
          </w:p>
        </w:tc>
      </w:tr>
      <w:tr w:rsidR="00B25292" w:rsidRPr="00B25292" w:rsidTr="001D76BC">
        <w:tc>
          <w:tcPr>
            <w:cnfStyle w:val="001000000000" w:firstRow="0" w:lastRow="0" w:firstColumn="1" w:lastColumn="0" w:oddVBand="0" w:evenVBand="0" w:oddHBand="0" w:evenHBand="0" w:firstRowFirstColumn="0" w:firstRowLastColumn="0" w:lastRowFirstColumn="0" w:lastRowLastColumn="0"/>
            <w:tcW w:w="605" w:type="pct"/>
            <w:tcBorders>
              <w:bottom w:val="single" w:sz="4" w:space="0" w:color="auto"/>
            </w:tcBorders>
            <w:noWrap/>
            <w:hideMark/>
          </w:tcPr>
          <w:p w:rsidR="00B25292" w:rsidRPr="00B25292" w:rsidRDefault="00B25292" w:rsidP="00F92BCB">
            <w:pPr>
              <w:pStyle w:val="TableBodyText"/>
            </w:pPr>
            <w:r w:rsidRPr="00B25292">
              <w:t>Additions to net assets</w:t>
            </w:r>
          </w:p>
        </w:tc>
        <w:tc>
          <w:tcPr>
            <w:tcW w:w="488" w:type="pct"/>
            <w:tcBorders>
              <w:bottom w:val="single" w:sz="4" w:space="0" w:color="auto"/>
            </w:tcBorders>
            <w:shd w:val="clear" w:color="auto" w:fill="F3F3F3"/>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28,766</w:t>
            </w:r>
          </w:p>
        </w:tc>
        <w:tc>
          <w:tcPr>
            <w:tcW w:w="488" w:type="pct"/>
            <w:tcBorders>
              <w:bottom w:val="single" w:sz="4" w:space="0" w:color="auto"/>
            </w:tcBorders>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272</w:t>
            </w:r>
          </w:p>
        </w:tc>
        <w:tc>
          <w:tcPr>
            <w:tcW w:w="488" w:type="pct"/>
            <w:tcBorders>
              <w:bottom w:val="single" w:sz="4" w:space="0" w:color="auto"/>
            </w:tcBorders>
            <w:shd w:val="clear" w:color="auto" w:fill="F3F3F3"/>
            <w:noWrap/>
          </w:tcPr>
          <w:p w:rsidR="00B25292" w:rsidRPr="00B25292"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tcBorders>
              <w:bottom w:val="single" w:sz="4" w:space="0" w:color="auto"/>
            </w:tcBorders>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(9,703)</w:t>
            </w:r>
          </w:p>
        </w:tc>
        <w:tc>
          <w:tcPr>
            <w:tcW w:w="488" w:type="pct"/>
            <w:tcBorders>
              <w:bottom w:val="single" w:sz="4" w:space="0" w:color="auto"/>
            </w:tcBorders>
            <w:shd w:val="clear" w:color="auto" w:fill="F3F3F3"/>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 xml:space="preserve">18,196 </w:t>
            </w:r>
          </w:p>
        </w:tc>
        <w:tc>
          <w:tcPr>
            <w:tcW w:w="488" w:type="pct"/>
            <w:tcBorders>
              <w:bottom w:val="single" w:sz="4" w:space="0" w:color="auto"/>
            </w:tcBorders>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37,530</w:t>
            </w:r>
          </w:p>
        </w:tc>
        <w:tc>
          <w:tcPr>
            <w:tcW w:w="519" w:type="pct"/>
            <w:tcBorders>
              <w:bottom w:val="single" w:sz="4" w:space="0" w:color="auto"/>
            </w:tcBorders>
            <w:shd w:val="clear" w:color="auto" w:fill="F3F3F3"/>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17,551</w:t>
            </w:r>
          </w:p>
        </w:tc>
        <w:tc>
          <w:tcPr>
            <w:tcW w:w="457" w:type="pct"/>
            <w:tcBorders>
              <w:bottom w:val="single" w:sz="4" w:space="0" w:color="auto"/>
            </w:tcBorders>
            <w:noWrap/>
            <w:hideMark/>
          </w:tcPr>
          <w:p w:rsidR="00B25292" w:rsidRPr="003D7434" w:rsidRDefault="003D7434"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pPr>
            <w:hyperlink w:anchor="Appropriations2" w:history="1">
              <w:r w:rsidR="004B6750" w:rsidRPr="003D7434">
                <w:rPr>
                  <w:rStyle w:val="Hyperlink"/>
                </w:rPr>
                <w:t>See note 2</w:t>
              </w:r>
            </w:hyperlink>
          </w:p>
        </w:tc>
        <w:tc>
          <w:tcPr>
            <w:tcW w:w="488" w:type="pct"/>
            <w:tcBorders>
              <w:bottom w:val="single" w:sz="4" w:space="0" w:color="auto"/>
            </w:tcBorders>
            <w:noWrap/>
            <w:hideMark/>
          </w:tcPr>
          <w:p w:rsidR="00B25292" w:rsidRPr="00B25292" w:rsidRDefault="00B25292" w:rsidP="00B25292">
            <w:pPr>
              <w:pStyle w:val="TableBodyText"/>
              <w:cnfStyle w:val="000000000000" w:firstRow="0" w:lastRow="0" w:firstColumn="0" w:lastColumn="0" w:oddVBand="0" w:evenVBand="0" w:oddHBand="0" w:evenHBand="0" w:firstRowFirstColumn="0" w:firstRowLastColumn="0" w:lastRowFirstColumn="0" w:lastRowLastColumn="0"/>
            </w:pPr>
            <w:r w:rsidRPr="00B25292">
              <w:t>19,980</w:t>
            </w:r>
          </w:p>
        </w:tc>
      </w:tr>
      <w:tr w:rsidR="00F92BCB" w:rsidRPr="00F92BCB" w:rsidTr="001D76BC">
        <w:tc>
          <w:tcPr>
            <w:cnfStyle w:val="001000000000" w:firstRow="0" w:lastRow="0" w:firstColumn="1" w:lastColumn="0" w:oddVBand="0" w:evenVBand="0" w:oddHBand="0" w:evenHBand="0" w:firstRowFirstColumn="0" w:firstRowLastColumn="0" w:lastRowFirstColumn="0" w:lastRowLastColumn="0"/>
            <w:tcW w:w="605" w:type="pct"/>
            <w:tcBorders>
              <w:top w:val="single" w:sz="4" w:space="0" w:color="auto"/>
              <w:bottom w:val="single" w:sz="4" w:space="0" w:color="auto"/>
            </w:tcBorders>
            <w:noWrap/>
          </w:tcPr>
          <w:p w:rsidR="00B25292" w:rsidRPr="00F92BCB" w:rsidRDefault="00B25292" w:rsidP="00F92BCB">
            <w:pPr>
              <w:pStyle w:val="TableBodyText"/>
              <w:rPr>
                <w:rStyle w:val="Bold"/>
              </w:rPr>
            </w:pPr>
            <w:r w:rsidRPr="00F92BCB">
              <w:rPr>
                <w:rStyle w:val="Bold"/>
              </w:rPr>
              <w:t>Total</w:t>
            </w:r>
          </w:p>
        </w:tc>
        <w:tc>
          <w:tcPr>
            <w:tcW w:w="488" w:type="pct"/>
            <w:tcBorders>
              <w:top w:val="single" w:sz="4" w:space="0" w:color="auto"/>
              <w:bottom w:val="single" w:sz="4" w:space="0" w:color="auto"/>
            </w:tcBorders>
            <w:shd w:val="clear" w:color="auto" w:fill="F3F3F3"/>
            <w:noWrap/>
          </w:tcPr>
          <w:p w:rsidR="00B25292" w:rsidRPr="00F92BCB" w:rsidRDefault="00B25292" w:rsidP="00B2529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286,004</w:t>
            </w:r>
          </w:p>
        </w:tc>
        <w:tc>
          <w:tcPr>
            <w:tcW w:w="488" w:type="pct"/>
            <w:tcBorders>
              <w:top w:val="single" w:sz="4" w:space="0" w:color="auto"/>
              <w:bottom w:val="single" w:sz="4" w:space="0" w:color="auto"/>
            </w:tcBorders>
            <w:noWrap/>
          </w:tcPr>
          <w:p w:rsidR="00B25292" w:rsidRPr="00F92BCB" w:rsidRDefault="00B25292" w:rsidP="00B2529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5,394</w:t>
            </w:r>
          </w:p>
        </w:tc>
        <w:tc>
          <w:tcPr>
            <w:tcW w:w="488" w:type="pct"/>
            <w:tcBorders>
              <w:top w:val="single" w:sz="4" w:space="0" w:color="auto"/>
              <w:bottom w:val="single" w:sz="4" w:space="0" w:color="auto"/>
            </w:tcBorders>
            <w:shd w:val="clear" w:color="auto" w:fill="F3F3F3"/>
            <w:noWrap/>
          </w:tcPr>
          <w:p w:rsidR="00B25292" w:rsidRPr="00F92BCB" w:rsidRDefault="00B25292" w:rsidP="00B2529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70,725</w:t>
            </w:r>
          </w:p>
        </w:tc>
        <w:tc>
          <w:tcPr>
            <w:tcW w:w="488" w:type="pct"/>
            <w:tcBorders>
              <w:top w:val="single" w:sz="4" w:space="0" w:color="auto"/>
              <w:bottom w:val="single" w:sz="4" w:space="0" w:color="auto"/>
            </w:tcBorders>
            <w:noWrap/>
          </w:tcPr>
          <w:p w:rsidR="00B25292" w:rsidRPr="00F92BCB" w:rsidRDefault="00B25292" w:rsidP="00B2529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0</w:t>
            </w:r>
          </w:p>
        </w:tc>
        <w:tc>
          <w:tcPr>
            <w:tcW w:w="488" w:type="pct"/>
            <w:tcBorders>
              <w:top w:val="single" w:sz="4" w:space="0" w:color="auto"/>
              <w:bottom w:val="single" w:sz="4" w:space="0" w:color="auto"/>
            </w:tcBorders>
            <w:shd w:val="clear" w:color="auto" w:fill="F3F3F3"/>
            <w:noWrap/>
          </w:tcPr>
          <w:p w:rsidR="00B25292" w:rsidRPr="00F92BCB" w:rsidRDefault="00B25292" w:rsidP="00B2529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28,036</w:t>
            </w:r>
          </w:p>
        </w:tc>
        <w:tc>
          <w:tcPr>
            <w:tcW w:w="488" w:type="pct"/>
            <w:tcBorders>
              <w:top w:val="single" w:sz="4" w:space="0" w:color="auto"/>
              <w:bottom w:val="single" w:sz="4" w:space="0" w:color="auto"/>
            </w:tcBorders>
            <w:noWrap/>
          </w:tcPr>
          <w:p w:rsidR="00B25292" w:rsidRPr="00F92BCB" w:rsidRDefault="00B25292" w:rsidP="00B2529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390,159</w:t>
            </w:r>
          </w:p>
        </w:tc>
        <w:tc>
          <w:tcPr>
            <w:tcW w:w="519" w:type="pct"/>
            <w:tcBorders>
              <w:top w:val="single" w:sz="4" w:space="0" w:color="auto"/>
              <w:bottom w:val="single" w:sz="4" w:space="0" w:color="auto"/>
            </w:tcBorders>
            <w:shd w:val="clear" w:color="auto" w:fill="F3F3F3"/>
            <w:noWrap/>
          </w:tcPr>
          <w:p w:rsidR="00B25292" w:rsidRPr="00F92BCB" w:rsidRDefault="00B25292"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349,766</w:t>
            </w:r>
          </w:p>
        </w:tc>
        <w:tc>
          <w:tcPr>
            <w:tcW w:w="457" w:type="pct"/>
            <w:tcBorders>
              <w:top w:val="single" w:sz="4" w:space="0" w:color="auto"/>
              <w:bottom w:val="single" w:sz="4" w:space="0" w:color="auto"/>
            </w:tcBorders>
            <w:noWrap/>
          </w:tcPr>
          <w:p w:rsidR="00B25292" w:rsidRPr="00F92BCB" w:rsidRDefault="00F92BCB"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N/A</w:t>
            </w:r>
          </w:p>
        </w:tc>
        <w:tc>
          <w:tcPr>
            <w:tcW w:w="488" w:type="pct"/>
            <w:tcBorders>
              <w:top w:val="single" w:sz="4" w:space="0" w:color="auto"/>
              <w:bottom w:val="single" w:sz="4" w:space="0" w:color="auto"/>
            </w:tcBorders>
            <w:noWrap/>
          </w:tcPr>
          <w:p w:rsidR="00B25292" w:rsidRPr="00F92BCB" w:rsidRDefault="00B25292" w:rsidP="00B2529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40,394</w:t>
            </w:r>
          </w:p>
        </w:tc>
      </w:tr>
    </w:tbl>
    <w:p w:rsidR="00B25292" w:rsidRDefault="00F92BCB" w:rsidP="00F92BCB">
      <w:pPr>
        <w:pStyle w:val="NoSpacing"/>
        <w:spacing w:before="240"/>
      </w:pPr>
      <w:r>
        <w:t>2016</w:t>
      </w:r>
    </w:p>
    <w:tbl>
      <w:tblPr>
        <w:tblStyle w:val="FinancialTable"/>
        <w:tblW w:w="4979" w:type="pct"/>
        <w:tblLayout w:type="fixed"/>
        <w:tblLook w:val="04A0" w:firstRow="1" w:lastRow="0" w:firstColumn="1" w:lastColumn="0" w:noHBand="0" w:noVBand="1"/>
      </w:tblPr>
      <w:tblGrid>
        <w:gridCol w:w="1757"/>
        <w:gridCol w:w="1417"/>
        <w:gridCol w:w="1417"/>
        <w:gridCol w:w="1417"/>
        <w:gridCol w:w="1417"/>
        <w:gridCol w:w="1417"/>
        <w:gridCol w:w="1417"/>
        <w:gridCol w:w="1507"/>
        <w:gridCol w:w="1327"/>
        <w:gridCol w:w="1416"/>
      </w:tblGrid>
      <w:tr w:rsidR="00F92BCB" w:rsidRPr="00B25292" w:rsidTr="00F92B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5" w:type="pct"/>
            <w:noWrap/>
          </w:tcPr>
          <w:p w:rsidR="00F92BCB" w:rsidRPr="00B25292" w:rsidRDefault="00F92BCB" w:rsidP="00F92BCB">
            <w:pPr>
              <w:pStyle w:val="TableBodyText"/>
              <w:rPr>
                <w:rStyle w:val="Bold"/>
              </w:rPr>
            </w:pPr>
            <w:r>
              <w:rPr>
                <w:rStyle w:val="Bold"/>
              </w:rPr>
              <w:t>2016</w:t>
            </w:r>
          </w:p>
        </w:tc>
        <w:tc>
          <w:tcPr>
            <w:tcW w:w="488" w:type="pct"/>
            <w:shd w:val="clear" w:color="auto" w:fill="F3F3F3"/>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Appropriation Act</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Annual appropriation</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Appropriation Act</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Advance from Treasurer</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shd w:val="clear" w:color="auto" w:fill="F3F3F3"/>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Financial Management Act 1994</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Section 29</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Financial Management Act 1994</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Section 31A</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shd w:val="clear" w:color="auto" w:fill="F3F3F3"/>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Financial Management Act 1994</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Section 32</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88" w:type="pct"/>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Total Parliamentary authority</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519" w:type="pct"/>
            <w:shd w:val="clear" w:color="auto" w:fill="F3F3F3"/>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Appropriations applied</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c>
          <w:tcPr>
            <w:tcW w:w="457" w:type="pct"/>
            <w:noWrap/>
          </w:tcPr>
          <w:p w:rsidR="00F92BCB" w:rsidRPr="00B25292" w:rsidRDefault="00F92BCB" w:rsidP="00F92BCB">
            <w:pPr>
              <w:pStyle w:val="TableBodyText"/>
              <w:ind w:left="227"/>
              <w:jc w:val="lef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Reference</w:t>
            </w:r>
          </w:p>
        </w:tc>
        <w:tc>
          <w:tcPr>
            <w:tcW w:w="488" w:type="pct"/>
            <w:noWrap/>
          </w:tcPr>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Variance</w:t>
            </w:r>
          </w:p>
          <w:p w:rsidR="00F92BCB" w:rsidRPr="00B25292" w:rsidRDefault="00F92BCB" w:rsidP="00F92BCB">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25292">
              <w:rPr>
                <w:rStyle w:val="Bold"/>
              </w:rPr>
              <w:t>$'000</w:t>
            </w:r>
          </w:p>
        </w:tc>
      </w:tr>
      <w:tr w:rsidR="00F92BCB" w:rsidRPr="00B25292" w:rsidTr="00F92BCB">
        <w:tc>
          <w:tcPr>
            <w:cnfStyle w:val="001000000000" w:firstRow="0" w:lastRow="0" w:firstColumn="1" w:lastColumn="0" w:oddVBand="0" w:evenVBand="0" w:oddHBand="0" w:evenHBand="0" w:firstRowFirstColumn="0" w:firstRowLastColumn="0" w:lastRowFirstColumn="0" w:lastRowLastColumn="0"/>
            <w:tcW w:w="605" w:type="pct"/>
            <w:noWrap/>
          </w:tcPr>
          <w:p w:rsidR="00F92BCB" w:rsidRPr="00F92BCB" w:rsidRDefault="00F92BCB" w:rsidP="00F92BCB">
            <w:pPr>
              <w:pStyle w:val="TableBodyText"/>
            </w:pPr>
            <w:r w:rsidRPr="00F92BCB">
              <w:t>Controlled</w:t>
            </w:r>
          </w:p>
        </w:tc>
        <w:tc>
          <w:tcPr>
            <w:tcW w:w="488"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19"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57" w:type="pct"/>
            <w:noWrap/>
          </w:tcPr>
          <w:p w:rsidR="00F92BCB" w:rsidRPr="00F92BCB" w:rsidRDefault="00F92BCB"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pPr>
            <w:r>
              <w:t>N/A</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t>N/A</w:t>
            </w:r>
          </w:p>
        </w:tc>
      </w:tr>
      <w:tr w:rsidR="00F92BCB" w:rsidRPr="00B25292" w:rsidTr="00F92BCB">
        <w:tc>
          <w:tcPr>
            <w:cnfStyle w:val="001000000000" w:firstRow="0" w:lastRow="0" w:firstColumn="1" w:lastColumn="0" w:oddVBand="0" w:evenVBand="0" w:oddHBand="0" w:evenHBand="0" w:firstRowFirstColumn="0" w:firstRowLastColumn="0" w:lastRowFirstColumn="0" w:lastRowLastColumn="0"/>
            <w:tcW w:w="605" w:type="pct"/>
            <w:noWrap/>
          </w:tcPr>
          <w:p w:rsidR="00F92BCB" w:rsidRPr="00F92BCB" w:rsidRDefault="00F92BCB" w:rsidP="00F92BCB">
            <w:pPr>
              <w:pStyle w:val="TableBodyText"/>
            </w:pPr>
            <w:r w:rsidRPr="00F92BCB">
              <w:t>Provision of outputs</w:t>
            </w:r>
          </w:p>
        </w:tc>
        <w:tc>
          <w:tcPr>
            <w:tcW w:w="488"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247,632</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991</w:t>
            </w:r>
          </w:p>
        </w:tc>
        <w:tc>
          <w:tcPr>
            <w:tcW w:w="488"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66,437</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(420)</w:t>
            </w:r>
          </w:p>
        </w:tc>
        <w:tc>
          <w:tcPr>
            <w:tcW w:w="488"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 xml:space="preserve">4,803 </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319,443</w:t>
            </w:r>
          </w:p>
        </w:tc>
        <w:tc>
          <w:tcPr>
            <w:tcW w:w="519" w:type="pct"/>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 xml:space="preserve">309,603 </w:t>
            </w:r>
          </w:p>
        </w:tc>
        <w:tc>
          <w:tcPr>
            <w:tcW w:w="457" w:type="pct"/>
            <w:noWrap/>
          </w:tcPr>
          <w:p w:rsidR="00F92BCB" w:rsidRPr="00F92BCB" w:rsidRDefault="00F92BCB"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pPr>
            <w:r>
              <w:t>N/A</w:t>
            </w:r>
          </w:p>
        </w:tc>
        <w:tc>
          <w:tcPr>
            <w:tcW w:w="488" w:type="pct"/>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9,840</w:t>
            </w:r>
          </w:p>
        </w:tc>
      </w:tr>
      <w:tr w:rsidR="00F92BCB" w:rsidRPr="00B25292" w:rsidTr="001D76BC">
        <w:tc>
          <w:tcPr>
            <w:cnfStyle w:val="001000000000" w:firstRow="0" w:lastRow="0" w:firstColumn="1" w:lastColumn="0" w:oddVBand="0" w:evenVBand="0" w:oddHBand="0" w:evenHBand="0" w:firstRowFirstColumn="0" w:firstRowLastColumn="0" w:lastRowFirstColumn="0" w:lastRowLastColumn="0"/>
            <w:tcW w:w="605" w:type="pct"/>
            <w:tcBorders>
              <w:bottom w:val="single" w:sz="4" w:space="0" w:color="auto"/>
            </w:tcBorders>
            <w:noWrap/>
          </w:tcPr>
          <w:p w:rsidR="00F92BCB" w:rsidRPr="00F92BCB" w:rsidRDefault="00F92BCB" w:rsidP="00F92BCB">
            <w:pPr>
              <w:pStyle w:val="TableBodyText"/>
            </w:pPr>
            <w:r w:rsidRPr="00F92BCB">
              <w:t>Additions to net assets</w:t>
            </w:r>
          </w:p>
        </w:tc>
        <w:tc>
          <w:tcPr>
            <w:tcW w:w="488" w:type="pct"/>
            <w:tcBorders>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23,597</w:t>
            </w:r>
          </w:p>
        </w:tc>
        <w:tc>
          <w:tcPr>
            <w:tcW w:w="488" w:type="pct"/>
            <w:tcBorders>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4,400</w:t>
            </w:r>
          </w:p>
        </w:tc>
        <w:tc>
          <w:tcPr>
            <w:tcW w:w="488" w:type="pct"/>
            <w:tcBorders>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0</w:t>
            </w:r>
          </w:p>
        </w:tc>
        <w:tc>
          <w:tcPr>
            <w:tcW w:w="488" w:type="pct"/>
            <w:tcBorders>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 xml:space="preserve">420 </w:t>
            </w:r>
          </w:p>
        </w:tc>
        <w:tc>
          <w:tcPr>
            <w:tcW w:w="488" w:type="pct"/>
            <w:tcBorders>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 xml:space="preserve">5,235 </w:t>
            </w:r>
          </w:p>
        </w:tc>
        <w:tc>
          <w:tcPr>
            <w:tcW w:w="488" w:type="pct"/>
            <w:tcBorders>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33,652</w:t>
            </w:r>
          </w:p>
        </w:tc>
        <w:tc>
          <w:tcPr>
            <w:tcW w:w="519" w:type="pct"/>
            <w:tcBorders>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7,781</w:t>
            </w:r>
          </w:p>
        </w:tc>
        <w:tc>
          <w:tcPr>
            <w:tcW w:w="457" w:type="pct"/>
            <w:tcBorders>
              <w:bottom w:val="single" w:sz="4" w:space="0" w:color="auto"/>
            </w:tcBorders>
            <w:noWrap/>
          </w:tcPr>
          <w:p w:rsidR="00F92BCB" w:rsidRPr="00F92BCB" w:rsidRDefault="00F92BCB"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pPr>
            <w:r>
              <w:t>N/A</w:t>
            </w:r>
          </w:p>
        </w:tc>
        <w:tc>
          <w:tcPr>
            <w:tcW w:w="488" w:type="pct"/>
            <w:tcBorders>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pPr>
            <w:r w:rsidRPr="00F92BCB">
              <w:t>25,871</w:t>
            </w:r>
          </w:p>
        </w:tc>
      </w:tr>
      <w:tr w:rsidR="00F92BCB" w:rsidRPr="00F92BCB" w:rsidTr="001D76BC">
        <w:tc>
          <w:tcPr>
            <w:cnfStyle w:val="001000000000" w:firstRow="0" w:lastRow="0" w:firstColumn="1" w:lastColumn="0" w:oddVBand="0" w:evenVBand="0" w:oddHBand="0" w:evenHBand="0" w:firstRowFirstColumn="0" w:firstRowLastColumn="0" w:lastRowFirstColumn="0" w:lastRowLastColumn="0"/>
            <w:tcW w:w="605" w:type="pct"/>
            <w:tcBorders>
              <w:top w:val="single" w:sz="4" w:space="0" w:color="auto"/>
              <w:bottom w:val="single" w:sz="4" w:space="0" w:color="auto"/>
            </w:tcBorders>
            <w:noWrap/>
          </w:tcPr>
          <w:p w:rsidR="00F92BCB" w:rsidRPr="00F92BCB" w:rsidRDefault="00F92BCB" w:rsidP="00F92BCB">
            <w:pPr>
              <w:pStyle w:val="TableBodyText"/>
              <w:rPr>
                <w:rStyle w:val="Bold"/>
              </w:rPr>
            </w:pPr>
            <w:r w:rsidRPr="00F92BCB">
              <w:rPr>
                <w:rStyle w:val="Bold"/>
              </w:rPr>
              <w:t>Total</w:t>
            </w:r>
          </w:p>
        </w:tc>
        <w:tc>
          <w:tcPr>
            <w:tcW w:w="488" w:type="pct"/>
            <w:tcBorders>
              <w:top w:val="single" w:sz="4" w:space="0" w:color="auto"/>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271,229</w:t>
            </w:r>
          </w:p>
        </w:tc>
        <w:tc>
          <w:tcPr>
            <w:tcW w:w="488" w:type="pct"/>
            <w:tcBorders>
              <w:top w:val="single" w:sz="4" w:space="0" w:color="auto"/>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5,391</w:t>
            </w:r>
          </w:p>
        </w:tc>
        <w:tc>
          <w:tcPr>
            <w:tcW w:w="488" w:type="pct"/>
            <w:tcBorders>
              <w:top w:val="single" w:sz="4" w:space="0" w:color="auto"/>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66,437</w:t>
            </w:r>
          </w:p>
        </w:tc>
        <w:tc>
          <w:tcPr>
            <w:tcW w:w="488" w:type="pct"/>
            <w:tcBorders>
              <w:top w:val="single" w:sz="4" w:space="0" w:color="auto"/>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0</w:t>
            </w:r>
          </w:p>
        </w:tc>
        <w:tc>
          <w:tcPr>
            <w:tcW w:w="488" w:type="pct"/>
            <w:tcBorders>
              <w:top w:val="single" w:sz="4" w:space="0" w:color="auto"/>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10,038</w:t>
            </w:r>
          </w:p>
        </w:tc>
        <w:tc>
          <w:tcPr>
            <w:tcW w:w="488" w:type="pct"/>
            <w:tcBorders>
              <w:top w:val="single" w:sz="4" w:space="0" w:color="auto"/>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353,094</w:t>
            </w:r>
          </w:p>
        </w:tc>
        <w:tc>
          <w:tcPr>
            <w:tcW w:w="519" w:type="pct"/>
            <w:tcBorders>
              <w:top w:val="single" w:sz="4" w:space="0" w:color="auto"/>
              <w:bottom w:val="single" w:sz="4" w:space="0" w:color="auto"/>
            </w:tcBorders>
            <w:shd w:val="clear" w:color="auto" w:fill="F3F3F3"/>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317,384</w:t>
            </w:r>
          </w:p>
        </w:tc>
        <w:tc>
          <w:tcPr>
            <w:tcW w:w="457" w:type="pct"/>
            <w:tcBorders>
              <w:top w:val="single" w:sz="4" w:space="0" w:color="auto"/>
              <w:bottom w:val="single" w:sz="4" w:space="0" w:color="auto"/>
            </w:tcBorders>
            <w:noWrap/>
          </w:tcPr>
          <w:p w:rsidR="00F92BCB" w:rsidRPr="00F92BCB" w:rsidRDefault="00F92BCB" w:rsidP="00F92BCB">
            <w:pPr>
              <w:pStyle w:val="TableBodyText"/>
              <w:ind w:left="227"/>
              <w:jc w:val="lef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N/A</w:t>
            </w:r>
          </w:p>
        </w:tc>
        <w:tc>
          <w:tcPr>
            <w:tcW w:w="488" w:type="pct"/>
            <w:tcBorders>
              <w:top w:val="single" w:sz="4" w:space="0" w:color="auto"/>
              <w:bottom w:val="single" w:sz="4" w:space="0" w:color="auto"/>
            </w:tcBorders>
            <w:noWrap/>
          </w:tcPr>
          <w:p w:rsidR="00F92BCB" w:rsidRPr="00F92BCB" w:rsidRDefault="00F92BCB" w:rsidP="00F92BC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92BCB">
              <w:rPr>
                <w:rStyle w:val="Bold"/>
              </w:rPr>
              <w:t>35,711</w:t>
            </w:r>
          </w:p>
        </w:tc>
      </w:tr>
    </w:tbl>
    <w:p w:rsidR="00F92BCB" w:rsidRPr="002744C7" w:rsidRDefault="00F92BCB" w:rsidP="00F92BCB">
      <w:pPr>
        <w:pStyle w:val="BodyText"/>
      </w:pPr>
      <w:r w:rsidRPr="002744C7">
        <w:t>Note:</w:t>
      </w:r>
    </w:p>
    <w:p w:rsidR="00F92BCB" w:rsidRDefault="00F92BCB" w:rsidP="004B6750">
      <w:pPr>
        <w:pStyle w:val="ListNumber"/>
      </w:pPr>
      <w:bookmarkStart w:id="17" w:name="Appropriations1"/>
      <w:bookmarkEnd w:id="17"/>
      <w:r>
        <w:t xml:space="preserve">The provisions of outputs variance of $20.414 million is primarily due to the delays in procurement and delivery schedules for </w:t>
      </w:r>
      <w:proofErr w:type="spellStart"/>
      <w:r>
        <w:t>ERSC</w:t>
      </w:r>
      <w:proofErr w:type="spellEnd"/>
      <w:r>
        <w:t xml:space="preserve"> initiatives and delayed approvals for 2016</w:t>
      </w:r>
      <w:r w:rsidRPr="00F92BCB">
        <w:rPr>
          <w:rFonts w:ascii="Cambria Math" w:hAnsi="Cambria Math" w:cs="Cambria Math"/>
        </w:rPr>
        <w:t>‐</w:t>
      </w:r>
      <w:r>
        <w:t>17 Court Fee Pool initiatives.</w:t>
      </w:r>
    </w:p>
    <w:p w:rsidR="00F92BCB" w:rsidRDefault="00F92BCB" w:rsidP="00440FE9">
      <w:pPr>
        <w:pStyle w:val="ListNumber"/>
      </w:pPr>
      <w:bookmarkStart w:id="18" w:name="Appropriations2"/>
      <w:bookmarkEnd w:id="18"/>
      <w:r>
        <w:t>The additions to net assets variance of $19.98 million is primarily due to project delays, the most significant being the Shepparton Law Courts construction that commenced later than anticipated due to the undertaking of a more inclusive project design and development phase and the Court Safety and Security initiative to refurbish and redevelop 16 courts to improve staff and court user safety.</w:t>
      </w:r>
    </w:p>
    <w:p w:rsidR="00F92BCB" w:rsidRDefault="00F92BCB" w:rsidP="00B25292">
      <w:pPr>
        <w:pStyle w:val="BodyText"/>
        <w:sectPr w:rsidR="00F92BCB" w:rsidSect="003475E2">
          <w:pgSz w:w="16838" w:h="11906" w:orient="landscape"/>
          <w:pgMar w:top="1134" w:right="1134" w:bottom="1134" w:left="1134" w:header="708" w:footer="284" w:gutter="0"/>
          <w:cols w:space="708"/>
          <w:titlePg/>
          <w:docGrid w:linePitch="360"/>
        </w:sectPr>
      </w:pPr>
    </w:p>
    <w:p w:rsidR="002744C7" w:rsidRDefault="002744C7" w:rsidP="002744C7">
      <w:pPr>
        <w:pStyle w:val="BodyText"/>
      </w:pPr>
      <w:r>
        <w:lastRenderedPageBreak/>
        <w:t>The following table discloses the details of the various annual Parliamentary appropriations received by CSV for the year.</w:t>
      </w:r>
    </w:p>
    <w:p w:rsidR="00B25292" w:rsidRDefault="002744C7" w:rsidP="009C1668">
      <w:pPr>
        <w:pStyle w:val="BodyText"/>
        <w:numPr>
          <w:ilvl w:val="0"/>
          <w:numId w:val="20"/>
        </w:numPr>
        <w:ind w:left="397" w:hanging="397"/>
      </w:pPr>
      <w:r>
        <w:t>Summary of compliance with special appropriations</w:t>
      </w:r>
    </w:p>
    <w:tbl>
      <w:tblPr>
        <w:tblStyle w:val="TableGrid"/>
        <w:tblW w:w="500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56"/>
        <w:gridCol w:w="2761"/>
        <w:gridCol w:w="4497"/>
        <w:gridCol w:w="914"/>
        <w:gridCol w:w="910"/>
      </w:tblGrid>
      <w:tr w:rsidR="008E6090" w:rsidRPr="008E6090" w:rsidTr="004B6750">
        <w:trPr>
          <w:cnfStyle w:val="100000000000" w:firstRow="1" w:lastRow="0" w:firstColumn="0" w:lastColumn="0" w:oddVBand="0" w:evenVBand="0" w:oddHBand="0" w:evenHBand="0" w:firstRowFirstColumn="0" w:firstRowLastColumn="0" w:lastRowFirstColumn="0" w:lastRowLastColumn="0"/>
        </w:trPr>
        <w:tc>
          <w:tcPr>
            <w:tcW w:w="288" w:type="pct"/>
            <w:noWrap/>
            <w:hideMark/>
          </w:tcPr>
          <w:p w:rsidR="008E6090" w:rsidRPr="008E6090" w:rsidRDefault="008E6090" w:rsidP="008E6090">
            <w:pPr>
              <w:pStyle w:val="TableBodyText"/>
              <w:rPr>
                <w:rStyle w:val="Bold"/>
              </w:rPr>
            </w:pPr>
            <w:r>
              <w:rPr>
                <w:rStyle w:val="Bold"/>
              </w:rPr>
              <w:t>No.</w:t>
            </w:r>
          </w:p>
        </w:tc>
        <w:tc>
          <w:tcPr>
            <w:tcW w:w="1433" w:type="pct"/>
            <w:hideMark/>
          </w:tcPr>
          <w:p w:rsidR="008E6090" w:rsidRPr="008E6090" w:rsidRDefault="008E6090" w:rsidP="008E6090">
            <w:pPr>
              <w:pStyle w:val="TableBodyText"/>
              <w:rPr>
                <w:rStyle w:val="Bold"/>
              </w:rPr>
            </w:pPr>
            <w:r w:rsidRPr="008E6090">
              <w:rPr>
                <w:rStyle w:val="Bold"/>
              </w:rPr>
              <w:t>Authority</w:t>
            </w:r>
          </w:p>
        </w:tc>
        <w:tc>
          <w:tcPr>
            <w:tcW w:w="2333" w:type="pct"/>
            <w:hideMark/>
          </w:tcPr>
          <w:p w:rsidR="008E6090" w:rsidRPr="008E6090" w:rsidRDefault="008E6090" w:rsidP="008E6090">
            <w:pPr>
              <w:pStyle w:val="TableBodyText"/>
              <w:rPr>
                <w:rStyle w:val="Bold"/>
              </w:rPr>
            </w:pPr>
            <w:r w:rsidRPr="008E6090">
              <w:rPr>
                <w:rStyle w:val="Bold"/>
              </w:rPr>
              <w:t>Purpose</w:t>
            </w:r>
          </w:p>
        </w:tc>
        <w:tc>
          <w:tcPr>
            <w:tcW w:w="474" w:type="pct"/>
            <w:shd w:val="clear" w:color="auto" w:fill="F3F3F3"/>
            <w:noWrap/>
            <w:hideMark/>
          </w:tcPr>
          <w:p w:rsidR="008E6090" w:rsidRPr="008E6090" w:rsidRDefault="008E6090" w:rsidP="008E6090">
            <w:pPr>
              <w:pStyle w:val="TableBodyText"/>
              <w:jc w:val="right"/>
              <w:rPr>
                <w:rStyle w:val="Bold"/>
              </w:rPr>
            </w:pPr>
            <w:r w:rsidRPr="008E6090">
              <w:rPr>
                <w:rStyle w:val="Bold"/>
              </w:rPr>
              <w:t>2017</w:t>
            </w:r>
          </w:p>
          <w:p w:rsidR="008E6090" w:rsidRPr="008E6090" w:rsidRDefault="008E6090" w:rsidP="008E6090">
            <w:pPr>
              <w:pStyle w:val="TableBodyText"/>
              <w:jc w:val="right"/>
              <w:rPr>
                <w:rStyle w:val="Bold"/>
              </w:rPr>
            </w:pPr>
            <w:r w:rsidRPr="008E6090">
              <w:rPr>
                <w:rStyle w:val="Bold"/>
              </w:rPr>
              <w:t>$'000</w:t>
            </w:r>
          </w:p>
        </w:tc>
        <w:tc>
          <w:tcPr>
            <w:tcW w:w="472" w:type="pct"/>
            <w:noWrap/>
            <w:hideMark/>
          </w:tcPr>
          <w:p w:rsidR="008E6090" w:rsidRPr="008E6090" w:rsidRDefault="008E6090" w:rsidP="008E6090">
            <w:pPr>
              <w:pStyle w:val="TableBodyText"/>
              <w:jc w:val="right"/>
              <w:rPr>
                <w:rStyle w:val="Bold"/>
              </w:rPr>
            </w:pPr>
            <w:r w:rsidRPr="008E6090">
              <w:rPr>
                <w:rStyle w:val="Bold"/>
              </w:rPr>
              <w:t>2016</w:t>
            </w:r>
          </w:p>
          <w:p w:rsidR="008E6090" w:rsidRPr="008E6090" w:rsidRDefault="008E6090" w:rsidP="008E6090">
            <w:pPr>
              <w:pStyle w:val="TableBodyText"/>
              <w:jc w:val="right"/>
              <w:rPr>
                <w:rStyle w:val="Bold"/>
              </w:rPr>
            </w:pPr>
            <w:r w:rsidRPr="008E6090">
              <w:rPr>
                <w:rStyle w:val="Bold"/>
              </w:rPr>
              <w:t>$'000</w:t>
            </w:r>
          </w:p>
        </w:tc>
      </w:tr>
      <w:tr w:rsidR="008E6090" w:rsidRPr="008E6090" w:rsidTr="004B6750">
        <w:tc>
          <w:tcPr>
            <w:tcW w:w="288" w:type="pct"/>
            <w:noWrap/>
            <w:hideMark/>
          </w:tcPr>
          <w:p w:rsidR="008E6090" w:rsidRPr="008E6090" w:rsidRDefault="008E6090" w:rsidP="008E6090">
            <w:pPr>
              <w:pStyle w:val="TableBodyText"/>
            </w:pPr>
            <w:r w:rsidRPr="008E6090">
              <w:t>1</w:t>
            </w:r>
          </w:p>
        </w:tc>
        <w:tc>
          <w:tcPr>
            <w:tcW w:w="1433" w:type="pct"/>
            <w:hideMark/>
          </w:tcPr>
          <w:p w:rsidR="008E6090" w:rsidRPr="008E6090" w:rsidRDefault="008E6090" w:rsidP="008E6090">
            <w:pPr>
              <w:pStyle w:val="TableBodyText"/>
            </w:pPr>
            <w:r w:rsidRPr="008E6090">
              <w:t>Constitution Act 1975 (No. 8750/1975), s.82 (7)</w:t>
            </w:r>
          </w:p>
        </w:tc>
        <w:tc>
          <w:tcPr>
            <w:tcW w:w="2333" w:type="pct"/>
            <w:hideMark/>
          </w:tcPr>
          <w:p w:rsidR="008E6090" w:rsidRPr="008E6090" w:rsidRDefault="008E6090" w:rsidP="008E6090">
            <w:pPr>
              <w:pStyle w:val="TableBodyText"/>
            </w:pPr>
            <w:r w:rsidRPr="008E6090">
              <w:t>Remuneration of Judges of the Supreme Court of Victoria and the Chief Justice</w:t>
            </w:r>
          </w:p>
        </w:tc>
        <w:tc>
          <w:tcPr>
            <w:tcW w:w="474" w:type="pct"/>
            <w:shd w:val="clear" w:color="auto" w:fill="F3F3F3"/>
            <w:noWrap/>
            <w:hideMark/>
          </w:tcPr>
          <w:p w:rsidR="008E6090" w:rsidRPr="008E6090" w:rsidRDefault="008E6090" w:rsidP="008E6090">
            <w:pPr>
              <w:pStyle w:val="TableBodyText"/>
              <w:jc w:val="right"/>
            </w:pPr>
            <w:r w:rsidRPr="008E6090">
              <w:t>20,005</w:t>
            </w:r>
          </w:p>
        </w:tc>
        <w:tc>
          <w:tcPr>
            <w:tcW w:w="472" w:type="pct"/>
            <w:noWrap/>
            <w:hideMark/>
          </w:tcPr>
          <w:p w:rsidR="008E6090" w:rsidRPr="008E6090" w:rsidRDefault="008E6090" w:rsidP="008E6090">
            <w:pPr>
              <w:pStyle w:val="TableBodyText"/>
              <w:jc w:val="right"/>
            </w:pPr>
            <w:r w:rsidRPr="008E6090">
              <w:t>20,430</w:t>
            </w:r>
          </w:p>
        </w:tc>
      </w:tr>
      <w:tr w:rsidR="008E6090" w:rsidRPr="008E6090" w:rsidTr="004B6750">
        <w:tc>
          <w:tcPr>
            <w:tcW w:w="288" w:type="pct"/>
            <w:noWrap/>
            <w:hideMark/>
          </w:tcPr>
          <w:p w:rsidR="008E6090" w:rsidRPr="008E6090" w:rsidRDefault="008E6090" w:rsidP="008E6090">
            <w:pPr>
              <w:pStyle w:val="TableBodyText"/>
            </w:pPr>
            <w:r w:rsidRPr="008E6090">
              <w:t>2</w:t>
            </w:r>
          </w:p>
        </w:tc>
        <w:tc>
          <w:tcPr>
            <w:tcW w:w="1433" w:type="pct"/>
            <w:hideMark/>
          </w:tcPr>
          <w:p w:rsidR="008E6090" w:rsidRPr="008E6090" w:rsidRDefault="008E6090" w:rsidP="008E6090">
            <w:pPr>
              <w:pStyle w:val="TableBodyText"/>
            </w:pPr>
            <w:r w:rsidRPr="008E6090">
              <w:t xml:space="preserve">Constitution Act 1975 (No. 8750/1975), s.82 (7)   </w:t>
            </w:r>
          </w:p>
        </w:tc>
        <w:tc>
          <w:tcPr>
            <w:tcW w:w="2333" w:type="pct"/>
            <w:hideMark/>
          </w:tcPr>
          <w:p w:rsidR="008E6090" w:rsidRPr="008E6090" w:rsidRDefault="008E6090" w:rsidP="008E6090">
            <w:pPr>
              <w:pStyle w:val="TableBodyText"/>
            </w:pPr>
            <w:r w:rsidRPr="008E6090">
              <w:t>Remuneration of the President and Judges of the Court of Appeal Division of the Supreme Court of Victoria</w:t>
            </w:r>
          </w:p>
        </w:tc>
        <w:tc>
          <w:tcPr>
            <w:tcW w:w="474" w:type="pct"/>
            <w:shd w:val="clear" w:color="auto" w:fill="F3F3F3"/>
            <w:noWrap/>
            <w:hideMark/>
          </w:tcPr>
          <w:p w:rsidR="008E6090" w:rsidRPr="008E6090" w:rsidRDefault="008E6090" w:rsidP="008E6090">
            <w:pPr>
              <w:pStyle w:val="TableBodyText"/>
              <w:jc w:val="right"/>
            </w:pPr>
            <w:r w:rsidRPr="008E6090">
              <w:t>6,873</w:t>
            </w:r>
          </w:p>
        </w:tc>
        <w:tc>
          <w:tcPr>
            <w:tcW w:w="472" w:type="pct"/>
            <w:noWrap/>
            <w:hideMark/>
          </w:tcPr>
          <w:p w:rsidR="008E6090" w:rsidRPr="008E6090" w:rsidRDefault="008E6090" w:rsidP="008E6090">
            <w:pPr>
              <w:pStyle w:val="TableBodyText"/>
              <w:jc w:val="right"/>
            </w:pPr>
            <w:r w:rsidRPr="008E6090">
              <w:t>7,220</w:t>
            </w:r>
          </w:p>
        </w:tc>
      </w:tr>
      <w:tr w:rsidR="008E6090" w:rsidRPr="008E6090" w:rsidTr="004B6750">
        <w:tc>
          <w:tcPr>
            <w:tcW w:w="288" w:type="pct"/>
            <w:noWrap/>
            <w:hideMark/>
          </w:tcPr>
          <w:p w:rsidR="008E6090" w:rsidRPr="008E6090" w:rsidRDefault="008E6090" w:rsidP="008E6090">
            <w:pPr>
              <w:pStyle w:val="TableBodyText"/>
            </w:pPr>
            <w:r w:rsidRPr="008E6090">
              <w:t>3</w:t>
            </w:r>
          </w:p>
        </w:tc>
        <w:tc>
          <w:tcPr>
            <w:tcW w:w="1433" w:type="pct"/>
            <w:hideMark/>
          </w:tcPr>
          <w:p w:rsidR="008E6090" w:rsidRPr="008E6090" w:rsidRDefault="008E6090" w:rsidP="008E6090">
            <w:pPr>
              <w:pStyle w:val="TableBodyText"/>
            </w:pPr>
            <w:r w:rsidRPr="008E6090">
              <w:t>County Court Act 1958 (No. 6230/1958) s.10 (7)</w:t>
            </w:r>
          </w:p>
        </w:tc>
        <w:tc>
          <w:tcPr>
            <w:tcW w:w="2333" w:type="pct"/>
            <w:hideMark/>
          </w:tcPr>
          <w:p w:rsidR="008E6090" w:rsidRPr="008E6090" w:rsidRDefault="008E6090" w:rsidP="008E6090">
            <w:pPr>
              <w:pStyle w:val="TableBodyText"/>
            </w:pPr>
            <w:r w:rsidRPr="008E6090">
              <w:t>Remuneration of Judges of the County Court of Victoria</w:t>
            </w:r>
          </w:p>
        </w:tc>
        <w:tc>
          <w:tcPr>
            <w:tcW w:w="474" w:type="pct"/>
            <w:shd w:val="clear" w:color="auto" w:fill="F3F3F3"/>
            <w:noWrap/>
            <w:hideMark/>
          </w:tcPr>
          <w:p w:rsidR="008E6090" w:rsidRPr="008E6090" w:rsidRDefault="008E6090" w:rsidP="008E6090">
            <w:pPr>
              <w:pStyle w:val="TableBodyText"/>
              <w:jc w:val="right"/>
            </w:pPr>
            <w:r w:rsidRPr="008E6090">
              <w:t>29,690</w:t>
            </w:r>
          </w:p>
        </w:tc>
        <w:tc>
          <w:tcPr>
            <w:tcW w:w="472" w:type="pct"/>
            <w:noWrap/>
            <w:hideMark/>
          </w:tcPr>
          <w:p w:rsidR="008E6090" w:rsidRPr="008E6090" w:rsidRDefault="008E6090" w:rsidP="008E6090">
            <w:pPr>
              <w:pStyle w:val="TableBodyText"/>
              <w:jc w:val="right"/>
            </w:pPr>
            <w:r w:rsidRPr="008E6090">
              <w:t>29,279</w:t>
            </w:r>
          </w:p>
        </w:tc>
      </w:tr>
      <w:tr w:rsidR="008E6090" w:rsidRPr="008E6090" w:rsidTr="004B6750">
        <w:tc>
          <w:tcPr>
            <w:tcW w:w="288" w:type="pct"/>
            <w:noWrap/>
            <w:hideMark/>
          </w:tcPr>
          <w:p w:rsidR="008E6090" w:rsidRPr="008E6090" w:rsidRDefault="008E6090" w:rsidP="008E6090">
            <w:pPr>
              <w:pStyle w:val="TableBodyText"/>
            </w:pPr>
            <w:r w:rsidRPr="008E6090">
              <w:t>4</w:t>
            </w:r>
          </w:p>
        </w:tc>
        <w:tc>
          <w:tcPr>
            <w:tcW w:w="1433" w:type="pct"/>
            <w:hideMark/>
          </w:tcPr>
          <w:p w:rsidR="008E6090" w:rsidRPr="008E6090" w:rsidRDefault="008E6090" w:rsidP="008E6090">
            <w:pPr>
              <w:pStyle w:val="TableBodyText"/>
            </w:pPr>
            <w:r w:rsidRPr="008E6090">
              <w:t>Victims of Crime Assistance Act 1996 (No. 81/1996), s.69</w:t>
            </w:r>
          </w:p>
        </w:tc>
        <w:tc>
          <w:tcPr>
            <w:tcW w:w="2333" w:type="pct"/>
            <w:hideMark/>
          </w:tcPr>
          <w:p w:rsidR="008E6090" w:rsidRPr="008E6090" w:rsidRDefault="008E6090" w:rsidP="008E6090">
            <w:pPr>
              <w:pStyle w:val="TableBodyText"/>
            </w:pPr>
            <w:r w:rsidRPr="008E6090">
              <w:t>Operating costs of the Victims of Crime Assistance Tribunal</w:t>
            </w:r>
          </w:p>
        </w:tc>
        <w:tc>
          <w:tcPr>
            <w:tcW w:w="474" w:type="pct"/>
            <w:shd w:val="clear" w:color="auto" w:fill="F3F3F3"/>
            <w:noWrap/>
            <w:hideMark/>
          </w:tcPr>
          <w:p w:rsidR="008E6090" w:rsidRPr="008E6090" w:rsidRDefault="008E6090" w:rsidP="008E6090">
            <w:pPr>
              <w:pStyle w:val="TableBodyText"/>
              <w:jc w:val="right"/>
            </w:pPr>
            <w:r w:rsidRPr="008E6090">
              <w:t>3,009</w:t>
            </w:r>
          </w:p>
        </w:tc>
        <w:tc>
          <w:tcPr>
            <w:tcW w:w="472" w:type="pct"/>
            <w:noWrap/>
            <w:hideMark/>
          </w:tcPr>
          <w:p w:rsidR="008E6090" w:rsidRPr="008E6090" w:rsidRDefault="008E6090" w:rsidP="008E6090">
            <w:pPr>
              <w:pStyle w:val="TableBodyText"/>
              <w:jc w:val="right"/>
            </w:pPr>
            <w:r w:rsidRPr="008E6090">
              <w:t>2,698</w:t>
            </w:r>
          </w:p>
        </w:tc>
      </w:tr>
      <w:tr w:rsidR="008E6090" w:rsidRPr="008E6090" w:rsidTr="004B6750">
        <w:tc>
          <w:tcPr>
            <w:tcW w:w="288" w:type="pct"/>
            <w:noWrap/>
            <w:hideMark/>
          </w:tcPr>
          <w:p w:rsidR="008E6090" w:rsidRPr="008E6090" w:rsidRDefault="008E6090" w:rsidP="008E6090">
            <w:pPr>
              <w:pStyle w:val="TableBodyText"/>
            </w:pPr>
            <w:r w:rsidRPr="008E6090">
              <w:t>5</w:t>
            </w:r>
          </w:p>
        </w:tc>
        <w:tc>
          <w:tcPr>
            <w:tcW w:w="1433" w:type="pct"/>
            <w:hideMark/>
          </w:tcPr>
          <w:p w:rsidR="008E6090" w:rsidRPr="008E6090" w:rsidRDefault="008E6090" w:rsidP="008E6090">
            <w:pPr>
              <w:pStyle w:val="TableBodyText"/>
            </w:pPr>
            <w:r w:rsidRPr="008E6090">
              <w:t>Magistrates’ Court Act 1989 (No. 51/1989), sch.1 Pt 1 cl.10</w:t>
            </w:r>
          </w:p>
        </w:tc>
        <w:tc>
          <w:tcPr>
            <w:tcW w:w="2333" w:type="pct"/>
            <w:hideMark/>
          </w:tcPr>
          <w:p w:rsidR="008E6090" w:rsidRPr="008E6090" w:rsidRDefault="008E6090" w:rsidP="008E6090">
            <w:pPr>
              <w:pStyle w:val="TableBodyText"/>
            </w:pPr>
            <w:r w:rsidRPr="008E6090">
              <w:t>Remuneration of Magistrates of the Magistrates’ Court of Victoria</w:t>
            </w:r>
          </w:p>
        </w:tc>
        <w:tc>
          <w:tcPr>
            <w:tcW w:w="474" w:type="pct"/>
            <w:shd w:val="clear" w:color="auto" w:fill="F3F3F3"/>
            <w:noWrap/>
            <w:hideMark/>
          </w:tcPr>
          <w:p w:rsidR="008E6090" w:rsidRPr="008E6090" w:rsidRDefault="008E6090" w:rsidP="008E6090">
            <w:pPr>
              <w:pStyle w:val="TableBodyText"/>
              <w:jc w:val="right"/>
            </w:pPr>
            <w:r w:rsidRPr="008E6090">
              <w:t>49,865</w:t>
            </w:r>
          </w:p>
        </w:tc>
        <w:tc>
          <w:tcPr>
            <w:tcW w:w="472" w:type="pct"/>
            <w:noWrap/>
            <w:hideMark/>
          </w:tcPr>
          <w:p w:rsidR="008E6090" w:rsidRPr="008E6090" w:rsidRDefault="008E6090" w:rsidP="008E6090">
            <w:pPr>
              <w:pStyle w:val="TableBodyText"/>
              <w:jc w:val="right"/>
            </w:pPr>
            <w:r w:rsidRPr="008E6090">
              <w:t>48,227</w:t>
            </w:r>
          </w:p>
        </w:tc>
      </w:tr>
      <w:tr w:rsidR="008E6090" w:rsidRPr="008E6090" w:rsidTr="004B6750">
        <w:tc>
          <w:tcPr>
            <w:tcW w:w="288" w:type="pct"/>
            <w:noWrap/>
            <w:hideMark/>
          </w:tcPr>
          <w:p w:rsidR="008E6090" w:rsidRPr="008E6090" w:rsidRDefault="008E6090" w:rsidP="008E6090">
            <w:pPr>
              <w:pStyle w:val="TableBodyText"/>
            </w:pPr>
            <w:r w:rsidRPr="008E6090">
              <w:t>6</w:t>
            </w:r>
          </w:p>
        </w:tc>
        <w:tc>
          <w:tcPr>
            <w:tcW w:w="1433" w:type="pct"/>
            <w:hideMark/>
          </w:tcPr>
          <w:p w:rsidR="008E6090" w:rsidRPr="008E6090" w:rsidRDefault="008E6090" w:rsidP="008E6090">
            <w:pPr>
              <w:pStyle w:val="TableBodyText"/>
            </w:pPr>
            <w:r w:rsidRPr="008E6090">
              <w:t>Victorian Civil and Administrative Tribunal Act 53 of 1998 section 17AA</w:t>
            </w:r>
          </w:p>
        </w:tc>
        <w:tc>
          <w:tcPr>
            <w:tcW w:w="2333" w:type="pct"/>
            <w:hideMark/>
          </w:tcPr>
          <w:p w:rsidR="008E6090" w:rsidRPr="008E6090" w:rsidRDefault="008E6090" w:rsidP="008E6090">
            <w:pPr>
              <w:pStyle w:val="TableBodyText"/>
            </w:pPr>
            <w:r w:rsidRPr="008E6090">
              <w:t>Remuneration of Members of the Victorian Civil and Administrative Tribunal</w:t>
            </w:r>
          </w:p>
        </w:tc>
        <w:tc>
          <w:tcPr>
            <w:tcW w:w="474" w:type="pct"/>
            <w:shd w:val="clear" w:color="auto" w:fill="F3F3F3"/>
            <w:noWrap/>
            <w:hideMark/>
          </w:tcPr>
          <w:p w:rsidR="008E6090" w:rsidRPr="008E6090" w:rsidRDefault="008E6090" w:rsidP="008E6090">
            <w:pPr>
              <w:pStyle w:val="TableBodyText"/>
              <w:jc w:val="right"/>
            </w:pPr>
            <w:r w:rsidRPr="008E6090">
              <w:t>16,082</w:t>
            </w:r>
          </w:p>
        </w:tc>
        <w:tc>
          <w:tcPr>
            <w:tcW w:w="472" w:type="pct"/>
            <w:noWrap/>
            <w:hideMark/>
          </w:tcPr>
          <w:p w:rsidR="008E6090" w:rsidRPr="008E6090" w:rsidRDefault="008E6090" w:rsidP="008E6090">
            <w:pPr>
              <w:pStyle w:val="TableBodyText"/>
              <w:jc w:val="right"/>
            </w:pPr>
            <w:r w:rsidRPr="008E6090">
              <w:t>15,244</w:t>
            </w:r>
          </w:p>
        </w:tc>
      </w:tr>
      <w:tr w:rsidR="008E6090" w:rsidRPr="008E6090" w:rsidTr="004B6750">
        <w:tc>
          <w:tcPr>
            <w:tcW w:w="288" w:type="pct"/>
            <w:tcBorders>
              <w:bottom w:val="single" w:sz="4" w:space="0" w:color="auto"/>
            </w:tcBorders>
            <w:noWrap/>
            <w:hideMark/>
          </w:tcPr>
          <w:p w:rsidR="008E6090" w:rsidRPr="008E6090" w:rsidRDefault="008E6090" w:rsidP="008E6090">
            <w:pPr>
              <w:pStyle w:val="TableBodyText"/>
            </w:pPr>
            <w:r w:rsidRPr="008E6090">
              <w:t>7</w:t>
            </w:r>
          </w:p>
        </w:tc>
        <w:tc>
          <w:tcPr>
            <w:tcW w:w="1433" w:type="pct"/>
            <w:tcBorders>
              <w:bottom w:val="single" w:sz="4" w:space="0" w:color="auto"/>
            </w:tcBorders>
            <w:hideMark/>
          </w:tcPr>
          <w:p w:rsidR="008E6090" w:rsidRPr="008E6090" w:rsidRDefault="008E6090" w:rsidP="008E6090">
            <w:pPr>
              <w:pStyle w:val="TableBodyText"/>
            </w:pPr>
            <w:r w:rsidRPr="008E6090">
              <w:t>Juries Act 2000 (No. 53/2000), s.59</w:t>
            </w:r>
          </w:p>
        </w:tc>
        <w:tc>
          <w:tcPr>
            <w:tcW w:w="2333" w:type="pct"/>
            <w:tcBorders>
              <w:bottom w:val="single" w:sz="4" w:space="0" w:color="auto"/>
            </w:tcBorders>
            <w:hideMark/>
          </w:tcPr>
          <w:p w:rsidR="008E6090" w:rsidRPr="008E6090" w:rsidRDefault="008E6090" w:rsidP="008E6090">
            <w:pPr>
              <w:pStyle w:val="TableBodyText"/>
            </w:pPr>
            <w:r w:rsidRPr="008E6090">
              <w:t>Compensation to jurors from the WorkCover Authority Fund under the Accident Compensation Act 1985</w:t>
            </w:r>
          </w:p>
        </w:tc>
        <w:tc>
          <w:tcPr>
            <w:tcW w:w="474" w:type="pct"/>
            <w:tcBorders>
              <w:bottom w:val="single" w:sz="4" w:space="0" w:color="auto"/>
            </w:tcBorders>
            <w:shd w:val="clear" w:color="auto" w:fill="F3F3F3"/>
            <w:noWrap/>
            <w:hideMark/>
          </w:tcPr>
          <w:p w:rsidR="008E6090" w:rsidRPr="008E6090" w:rsidRDefault="008E6090" w:rsidP="008E6090">
            <w:pPr>
              <w:pStyle w:val="TableBodyText"/>
              <w:jc w:val="right"/>
            </w:pPr>
            <w:r w:rsidRPr="008E6090">
              <w:t>24</w:t>
            </w:r>
          </w:p>
        </w:tc>
        <w:tc>
          <w:tcPr>
            <w:tcW w:w="472" w:type="pct"/>
            <w:tcBorders>
              <w:bottom w:val="single" w:sz="4" w:space="0" w:color="auto"/>
            </w:tcBorders>
            <w:noWrap/>
            <w:hideMark/>
          </w:tcPr>
          <w:p w:rsidR="008E6090" w:rsidRPr="008E6090" w:rsidRDefault="008E6090" w:rsidP="008E6090">
            <w:pPr>
              <w:pStyle w:val="TableBodyText"/>
              <w:jc w:val="right"/>
            </w:pPr>
            <w:r w:rsidRPr="008E6090">
              <w:t>0</w:t>
            </w:r>
          </w:p>
        </w:tc>
      </w:tr>
      <w:tr w:rsidR="008E6090" w:rsidRPr="008E6090" w:rsidTr="004B6750">
        <w:tc>
          <w:tcPr>
            <w:tcW w:w="288" w:type="pct"/>
            <w:tcBorders>
              <w:top w:val="single" w:sz="4" w:space="0" w:color="auto"/>
              <w:bottom w:val="single" w:sz="4" w:space="0" w:color="auto"/>
            </w:tcBorders>
            <w:noWrap/>
          </w:tcPr>
          <w:p w:rsidR="008E6090" w:rsidRPr="008E6090" w:rsidRDefault="008E6090" w:rsidP="008E6090">
            <w:pPr>
              <w:pStyle w:val="TableBodyText"/>
            </w:pPr>
            <w:r w:rsidRPr="008E6090">
              <w:t>N/A</w:t>
            </w:r>
          </w:p>
        </w:tc>
        <w:tc>
          <w:tcPr>
            <w:tcW w:w="1433" w:type="pct"/>
            <w:tcBorders>
              <w:top w:val="single" w:sz="4" w:space="0" w:color="auto"/>
              <w:bottom w:val="single" w:sz="4" w:space="0" w:color="auto"/>
            </w:tcBorders>
          </w:tcPr>
          <w:p w:rsidR="008E6090" w:rsidRPr="008E6090" w:rsidRDefault="008E6090" w:rsidP="008E6090">
            <w:pPr>
              <w:pStyle w:val="TableBodyText"/>
              <w:rPr>
                <w:rStyle w:val="Bold"/>
              </w:rPr>
            </w:pPr>
            <w:r w:rsidRPr="008E6090">
              <w:rPr>
                <w:rStyle w:val="Bold"/>
              </w:rPr>
              <w:t>Subtotal</w:t>
            </w:r>
          </w:p>
        </w:tc>
        <w:tc>
          <w:tcPr>
            <w:tcW w:w="2333" w:type="pct"/>
            <w:tcBorders>
              <w:top w:val="single" w:sz="4" w:space="0" w:color="auto"/>
              <w:bottom w:val="single" w:sz="4" w:space="0" w:color="auto"/>
            </w:tcBorders>
          </w:tcPr>
          <w:p w:rsidR="008E6090" w:rsidRPr="008E6090" w:rsidRDefault="008E6090" w:rsidP="008E6090">
            <w:pPr>
              <w:pStyle w:val="TableBodyText"/>
            </w:pPr>
            <w:r w:rsidRPr="008E6090">
              <w:t>N/A</w:t>
            </w:r>
          </w:p>
        </w:tc>
        <w:tc>
          <w:tcPr>
            <w:tcW w:w="474" w:type="pct"/>
            <w:tcBorders>
              <w:top w:val="single" w:sz="4" w:space="0" w:color="auto"/>
              <w:bottom w:val="single" w:sz="4" w:space="0" w:color="auto"/>
            </w:tcBorders>
            <w:shd w:val="clear" w:color="auto" w:fill="F3F3F3"/>
            <w:noWrap/>
            <w:hideMark/>
          </w:tcPr>
          <w:p w:rsidR="008E6090" w:rsidRPr="008E6090" w:rsidRDefault="008E6090" w:rsidP="008E6090">
            <w:pPr>
              <w:pStyle w:val="TableBodyText"/>
              <w:jc w:val="right"/>
              <w:rPr>
                <w:rStyle w:val="Bold"/>
              </w:rPr>
            </w:pPr>
            <w:r w:rsidRPr="008E6090">
              <w:rPr>
                <w:rStyle w:val="Bold"/>
              </w:rPr>
              <w:t>125,548</w:t>
            </w:r>
          </w:p>
        </w:tc>
        <w:tc>
          <w:tcPr>
            <w:tcW w:w="472" w:type="pct"/>
            <w:tcBorders>
              <w:top w:val="single" w:sz="4" w:space="0" w:color="auto"/>
              <w:bottom w:val="single" w:sz="4" w:space="0" w:color="auto"/>
            </w:tcBorders>
            <w:noWrap/>
            <w:hideMark/>
          </w:tcPr>
          <w:p w:rsidR="008E6090" w:rsidRPr="008E6090" w:rsidRDefault="008E6090" w:rsidP="008E6090">
            <w:pPr>
              <w:pStyle w:val="TableBodyText"/>
              <w:jc w:val="right"/>
              <w:rPr>
                <w:rStyle w:val="Bold"/>
              </w:rPr>
            </w:pPr>
            <w:r w:rsidRPr="008E6090">
              <w:rPr>
                <w:rStyle w:val="Bold"/>
              </w:rPr>
              <w:t>123,098</w:t>
            </w:r>
          </w:p>
        </w:tc>
      </w:tr>
      <w:tr w:rsidR="008E6090" w:rsidRPr="008E6090" w:rsidTr="004B6750">
        <w:tc>
          <w:tcPr>
            <w:tcW w:w="288" w:type="pct"/>
            <w:tcBorders>
              <w:top w:val="single" w:sz="4" w:space="0" w:color="auto"/>
            </w:tcBorders>
            <w:noWrap/>
            <w:hideMark/>
          </w:tcPr>
          <w:p w:rsidR="008E6090" w:rsidRPr="008E6090" w:rsidRDefault="008E6090" w:rsidP="008E6090">
            <w:pPr>
              <w:pStyle w:val="TableBodyText"/>
            </w:pPr>
            <w:r w:rsidRPr="008E6090">
              <w:t>8</w:t>
            </w:r>
          </w:p>
        </w:tc>
        <w:tc>
          <w:tcPr>
            <w:tcW w:w="1433" w:type="pct"/>
            <w:tcBorders>
              <w:top w:val="single" w:sz="4" w:space="0" w:color="auto"/>
            </w:tcBorders>
            <w:hideMark/>
          </w:tcPr>
          <w:p w:rsidR="008E6090" w:rsidRPr="008E6090" w:rsidRDefault="008E6090" w:rsidP="008E6090">
            <w:pPr>
              <w:pStyle w:val="TableBodyText"/>
            </w:pPr>
            <w:r w:rsidRPr="008E6090">
              <w:t>Constitution Act 1975 (No. 8750/1975), s.82 (7)</w:t>
            </w:r>
          </w:p>
        </w:tc>
        <w:tc>
          <w:tcPr>
            <w:tcW w:w="2333" w:type="pct"/>
            <w:tcBorders>
              <w:top w:val="single" w:sz="4" w:space="0" w:color="auto"/>
            </w:tcBorders>
            <w:hideMark/>
          </w:tcPr>
          <w:p w:rsidR="008E6090" w:rsidRPr="008E6090" w:rsidRDefault="008E6090" w:rsidP="008E6090">
            <w:pPr>
              <w:pStyle w:val="TableBodyText"/>
            </w:pPr>
            <w:r w:rsidRPr="008E6090">
              <w:t>Capital component of remuneration of Judges of the Supreme Court of Victoria.</w:t>
            </w:r>
          </w:p>
        </w:tc>
        <w:tc>
          <w:tcPr>
            <w:tcW w:w="474" w:type="pct"/>
            <w:tcBorders>
              <w:top w:val="single" w:sz="4" w:space="0" w:color="auto"/>
            </w:tcBorders>
            <w:shd w:val="clear" w:color="auto" w:fill="F3F3F3"/>
            <w:noWrap/>
            <w:hideMark/>
          </w:tcPr>
          <w:p w:rsidR="008E6090" w:rsidRPr="008E6090" w:rsidRDefault="008E6090" w:rsidP="008E6090">
            <w:pPr>
              <w:pStyle w:val="TableBodyText"/>
              <w:jc w:val="right"/>
            </w:pPr>
            <w:r w:rsidRPr="008E6090">
              <w:t>323</w:t>
            </w:r>
          </w:p>
        </w:tc>
        <w:tc>
          <w:tcPr>
            <w:tcW w:w="472" w:type="pct"/>
            <w:tcBorders>
              <w:top w:val="single" w:sz="4" w:space="0" w:color="auto"/>
            </w:tcBorders>
            <w:noWrap/>
            <w:hideMark/>
          </w:tcPr>
          <w:p w:rsidR="008E6090" w:rsidRPr="008E6090" w:rsidRDefault="008E6090" w:rsidP="008E6090">
            <w:pPr>
              <w:pStyle w:val="TableBodyText"/>
              <w:jc w:val="right"/>
            </w:pPr>
            <w:r w:rsidRPr="008E6090">
              <w:t>398</w:t>
            </w:r>
          </w:p>
        </w:tc>
      </w:tr>
      <w:tr w:rsidR="008E6090" w:rsidRPr="008E6090" w:rsidTr="004B6750">
        <w:tc>
          <w:tcPr>
            <w:tcW w:w="288" w:type="pct"/>
            <w:noWrap/>
            <w:hideMark/>
          </w:tcPr>
          <w:p w:rsidR="008E6090" w:rsidRPr="008E6090" w:rsidRDefault="008E6090" w:rsidP="008E6090">
            <w:pPr>
              <w:pStyle w:val="TableBodyText"/>
            </w:pPr>
            <w:r w:rsidRPr="008E6090">
              <w:t>9</w:t>
            </w:r>
          </w:p>
        </w:tc>
        <w:tc>
          <w:tcPr>
            <w:tcW w:w="1433" w:type="pct"/>
            <w:hideMark/>
          </w:tcPr>
          <w:p w:rsidR="008E6090" w:rsidRPr="008E6090" w:rsidRDefault="008E6090" w:rsidP="008E6090">
            <w:pPr>
              <w:pStyle w:val="TableBodyText"/>
            </w:pPr>
            <w:r w:rsidRPr="008E6090">
              <w:t xml:space="preserve">Constitution Act 1975 (No. 8750/1975), s.82 (7)   </w:t>
            </w:r>
          </w:p>
        </w:tc>
        <w:tc>
          <w:tcPr>
            <w:tcW w:w="2333" w:type="pct"/>
            <w:hideMark/>
          </w:tcPr>
          <w:p w:rsidR="008E6090" w:rsidRPr="008E6090" w:rsidRDefault="008E6090" w:rsidP="008E6090">
            <w:pPr>
              <w:pStyle w:val="TableBodyText"/>
            </w:pPr>
            <w:r w:rsidRPr="008E6090">
              <w:t>Capital component of remuneration of Judges</w:t>
            </w:r>
            <w:r w:rsidRPr="008E6090">
              <w:br/>
              <w:t>of the Court of Appeals Division of the Supreme</w:t>
            </w:r>
            <w:r w:rsidRPr="008E6090">
              <w:br/>
              <w:t>Court of Victoria</w:t>
            </w:r>
          </w:p>
        </w:tc>
        <w:tc>
          <w:tcPr>
            <w:tcW w:w="474" w:type="pct"/>
            <w:shd w:val="clear" w:color="auto" w:fill="F3F3F3"/>
            <w:noWrap/>
            <w:hideMark/>
          </w:tcPr>
          <w:p w:rsidR="008E6090" w:rsidRPr="008E6090" w:rsidRDefault="008E6090" w:rsidP="008E6090">
            <w:pPr>
              <w:pStyle w:val="TableBodyText"/>
              <w:jc w:val="right"/>
            </w:pPr>
            <w:r w:rsidRPr="008E6090">
              <w:t>98</w:t>
            </w:r>
          </w:p>
        </w:tc>
        <w:tc>
          <w:tcPr>
            <w:tcW w:w="472" w:type="pct"/>
            <w:noWrap/>
            <w:hideMark/>
          </w:tcPr>
          <w:p w:rsidR="008E6090" w:rsidRPr="008E6090" w:rsidRDefault="008E6090" w:rsidP="008E6090">
            <w:pPr>
              <w:pStyle w:val="TableBodyText"/>
              <w:jc w:val="right"/>
            </w:pPr>
            <w:r w:rsidRPr="008E6090">
              <w:t>102</w:t>
            </w:r>
          </w:p>
        </w:tc>
      </w:tr>
      <w:tr w:rsidR="008E6090" w:rsidRPr="008E6090" w:rsidTr="004B6750">
        <w:tc>
          <w:tcPr>
            <w:tcW w:w="288" w:type="pct"/>
            <w:noWrap/>
            <w:hideMark/>
          </w:tcPr>
          <w:p w:rsidR="008E6090" w:rsidRPr="008E6090" w:rsidRDefault="008E6090" w:rsidP="008E6090">
            <w:pPr>
              <w:pStyle w:val="TableBodyText"/>
            </w:pPr>
            <w:r w:rsidRPr="008E6090">
              <w:t>10</w:t>
            </w:r>
          </w:p>
        </w:tc>
        <w:tc>
          <w:tcPr>
            <w:tcW w:w="1433" w:type="pct"/>
            <w:hideMark/>
          </w:tcPr>
          <w:p w:rsidR="008E6090" w:rsidRPr="008E6090" w:rsidRDefault="008E6090" w:rsidP="008E6090">
            <w:pPr>
              <w:pStyle w:val="TableBodyText"/>
            </w:pPr>
            <w:r w:rsidRPr="008E6090">
              <w:t>County Court Act 1958 (No. 6230/1958) s.10 (7)</w:t>
            </w:r>
          </w:p>
        </w:tc>
        <w:tc>
          <w:tcPr>
            <w:tcW w:w="2333" w:type="pct"/>
            <w:hideMark/>
          </w:tcPr>
          <w:p w:rsidR="008E6090" w:rsidRPr="008E6090" w:rsidRDefault="008E6090" w:rsidP="008E6090">
            <w:pPr>
              <w:pStyle w:val="TableBodyText"/>
            </w:pPr>
            <w:r w:rsidRPr="008E6090">
              <w:t>Capital component of remuneration of Judges of the County Court of Victoria</w:t>
            </w:r>
          </w:p>
        </w:tc>
        <w:tc>
          <w:tcPr>
            <w:tcW w:w="474" w:type="pct"/>
            <w:shd w:val="clear" w:color="auto" w:fill="F3F3F3"/>
            <w:noWrap/>
            <w:hideMark/>
          </w:tcPr>
          <w:p w:rsidR="008E6090" w:rsidRPr="008E6090" w:rsidRDefault="008E6090" w:rsidP="008E6090">
            <w:pPr>
              <w:pStyle w:val="TableBodyText"/>
              <w:jc w:val="right"/>
            </w:pPr>
            <w:r w:rsidRPr="008E6090">
              <w:t>526</w:t>
            </w:r>
          </w:p>
        </w:tc>
        <w:tc>
          <w:tcPr>
            <w:tcW w:w="472" w:type="pct"/>
            <w:noWrap/>
            <w:hideMark/>
          </w:tcPr>
          <w:p w:rsidR="008E6090" w:rsidRPr="008E6090" w:rsidRDefault="008E6090" w:rsidP="008E6090">
            <w:pPr>
              <w:pStyle w:val="TableBodyText"/>
              <w:jc w:val="right"/>
            </w:pPr>
            <w:r w:rsidRPr="008E6090">
              <w:t>577</w:t>
            </w:r>
          </w:p>
        </w:tc>
      </w:tr>
      <w:tr w:rsidR="008E6090" w:rsidRPr="008E6090" w:rsidTr="004B6750">
        <w:tc>
          <w:tcPr>
            <w:tcW w:w="288" w:type="pct"/>
            <w:noWrap/>
            <w:hideMark/>
          </w:tcPr>
          <w:p w:rsidR="008E6090" w:rsidRPr="008E6090" w:rsidRDefault="008E6090" w:rsidP="008E6090">
            <w:pPr>
              <w:pStyle w:val="TableBodyText"/>
            </w:pPr>
            <w:r w:rsidRPr="008E6090">
              <w:t>11</w:t>
            </w:r>
          </w:p>
        </w:tc>
        <w:tc>
          <w:tcPr>
            <w:tcW w:w="1433" w:type="pct"/>
            <w:hideMark/>
          </w:tcPr>
          <w:p w:rsidR="008E6090" w:rsidRPr="008E6090" w:rsidRDefault="008E6090" w:rsidP="008E6090">
            <w:pPr>
              <w:pStyle w:val="TableBodyText"/>
            </w:pPr>
            <w:r w:rsidRPr="008E6090">
              <w:t>Magistrates’ Court Act 1989 (No. 51/1989), sch.1 Pt 1 cl.10</w:t>
            </w:r>
          </w:p>
        </w:tc>
        <w:tc>
          <w:tcPr>
            <w:tcW w:w="2333" w:type="pct"/>
            <w:hideMark/>
          </w:tcPr>
          <w:p w:rsidR="008E6090" w:rsidRPr="008E6090" w:rsidRDefault="008E6090" w:rsidP="008E6090">
            <w:pPr>
              <w:pStyle w:val="TableBodyText"/>
            </w:pPr>
            <w:r w:rsidRPr="008E6090">
              <w:t>Capital component of remuneration of</w:t>
            </w:r>
            <w:r w:rsidRPr="008E6090">
              <w:br/>
              <w:t>Magistrates of the Magistrates’ Court of Victoria</w:t>
            </w:r>
          </w:p>
        </w:tc>
        <w:tc>
          <w:tcPr>
            <w:tcW w:w="474" w:type="pct"/>
            <w:shd w:val="clear" w:color="auto" w:fill="F3F3F3"/>
            <w:noWrap/>
            <w:hideMark/>
          </w:tcPr>
          <w:p w:rsidR="008E6090" w:rsidRPr="008E6090" w:rsidRDefault="008E6090" w:rsidP="008E6090">
            <w:pPr>
              <w:pStyle w:val="TableBodyText"/>
              <w:jc w:val="right"/>
            </w:pPr>
            <w:r w:rsidRPr="008E6090">
              <w:t>853</w:t>
            </w:r>
          </w:p>
        </w:tc>
        <w:tc>
          <w:tcPr>
            <w:tcW w:w="472" w:type="pct"/>
            <w:noWrap/>
            <w:hideMark/>
          </w:tcPr>
          <w:p w:rsidR="008E6090" w:rsidRPr="008E6090" w:rsidRDefault="008E6090" w:rsidP="008E6090">
            <w:pPr>
              <w:pStyle w:val="TableBodyText"/>
              <w:jc w:val="right"/>
            </w:pPr>
            <w:r w:rsidRPr="008E6090">
              <w:t>991</w:t>
            </w:r>
          </w:p>
        </w:tc>
      </w:tr>
      <w:tr w:rsidR="008E6090" w:rsidRPr="008E6090" w:rsidTr="004B6750">
        <w:tc>
          <w:tcPr>
            <w:tcW w:w="288" w:type="pct"/>
            <w:tcBorders>
              <w:bottom w:val="single" w:sz="4" w:space="0" w:color="auto"/>
            </w:tcBorders>
            <w:noWrap/>
            <w:hideMark/>
          </w:tcPr>
          <w:p w:rsidR="008E6090" w:rsidRPr="008E6090" w:rsidRDefault="008E6090" w:rsidP="008E6090">
            <w:pPr>
              <w:pStyle w:val="TableBodyText"/>
            </w:pPr>
            <w:r w:rsidRPr="008E6090">
              <w:t>12</w:t>
            </w:r>
          </w:p>
        </w:tc>
        <w:tc>
          <w:tcPr>
            <w:tcW w:w="1433" w:type="pct"/>
            <w:tcBorders>
              <w:bottom w:val="single" w:sz="4" w:space="0" w:color="auto"/>
            </w:tcBorders>
            <w:hideMark/>
          </w:tcPr>
          <w:p w:rsidR="008E6090" w:rsidRPr="008E6090" w:rsidRDefault="008E6090" w:rsidP="008E6090">
            <w:pPr>
              <w:pStyle w:val="TableBodyText"/>
            </w:pPr>
            <w:r w:rsidRPr="008E6090">
              <w:t>Victorian Civil and Administrative Tribunal Act 53 of 1998 section 17AA</w:t>
            </w:r>
          </w:p>
        </w:tc>
        <w:tc>
          <w:tcPr>
            <w:tcW w:w="2333" w:type="pct"/>
            <w:tcBorders>
              <w:bottom w:val="single" w:sz="4" w:space="0" w:color="auto"/>
            </w:tcBorders>
            <w:hideMark/>
          </w:tcPr>
          <w:p w:rsidR="008E6090" w:rsidRPr="008E6090" w:rsidRDefault="008E6090" w:rsidP="008E6090">
            <w:pPr>
              <w:pStyle w:val="TableBodyText"/>
            </w:pPr>
            <w:r w:rsidRPr="008E6090">
              <w:t>Capital component of remuneration of Members of the Victorian Civil and Administrative Tribunal</w:t>
            </w:r>
          </w:p>
        </w:tc>
        <w:tc>
          <w:tcPr>
            <w:tcW w:w="474" w:type="pct"/>
            <w:tcBorders>
              <w:bottom w:val="single" w:sz="4" w:space="0" w:color="auto"/>
            </w:tcBorders>
            <w:shd w:val="clear" w:color="auto" w:fill="F3F3F3"/>
            <w:noWrap/>
            <w:hideMark/>
          </w:tcPr>
          <w:p w:rsidR="008E6090" w:rsidRPr="008E6090" w:rsidRDefault="008E6090" w:rsidP="008E6090">
            <w:pPr>
              <w:pStyle w:val="TableBodyText"/>
              <w:jc w:val="right"/>
            </w:pPr>
            <w:r w:rsidRPr="008E6090">
              <w:t>174</w:t>
            </w:r>
          </w:p>
        </w:tc>
        <w:tc>
          <w:tcPr>
            <w:tcW w:w="472" w:type="pct"/>
            <w:tcBorders>
              <w:bottom w:val="single" w:sz="4" w:space="0" w:color="auto"/>
            </w:tcBorders>
            <w:noWrap/>
            <w:hideMark/>
          </w:tcPr>
          <w:p w:rsidR="008E6090" w:rsidRPr="008E6090" w:rsidRDefault="008E6090" w:rsidP="008E6090">
            <w:pPr>
              <w:pStyle w:val="TableBodyText"/>
              <w:jc w:val="right"/>
            </w:pPr>
            <w:r w:rsidRPr="008E6090">
              <w:t>163</w:t>
            </w:r>
          </w:p>
        </w:tc>
      </w:tr>
      <w:tr w:rsidR="008E6090" w:rsidRPr="008E6090" w:rsidTr="004B6750">
        <w:tc>
          <w:tcPr>
            <w:tcW w:w="288" w:type="pct"/>
            <w:tcBorders>
              <w:top w:val="single" w:sz="4" w:space="0" w:color="auto"/>
              <w:bottom w:val="single" w:sz="4" w:space="0" w:color="auto"/>
            </w:tcBorders>
            <w:noWrap/>
          </w:tcPr>
          <w:p w:rsidR="008E6090" w:rsidRPr="008E6090" w:rsidRDefault="008E6090" w:rsidP="008E6090">
            <w:pPr>
              <w:pStyle w:val="TableBodyText"/>
            </w:pPr>
            <w:r w:rsidRPr="008E6090">
              <w:t>N/A</w:t>
            </w:r>
          </w:p>
        </w:tc>
        <w:tc>
          <w:tcPr>
            <w:tcW w:w="1433" w:type="pct"/>
            <w:tcBorders>
              <w:top w:val="single" w:sz="4" w:space="0" w:color="auto"/>
              <w:bottom w:val="single" w:sz="4" w:space="0" w:color="auto"/>
            </w:tcBorders>
          </w:tcPr>
          <w:p w:rsidR="008E6090" w:rsidRPr="008E6090" w:rsidRDefault="008E6090" w:rsidP="008E6090">
            <w:pPr>
              <w:pStyle w:val="TableBodyText"/>
              <w:rPr>
                <w:rStyle w:val="Bold"/>
              </w:rPr>
            </w:pPr>
            <w:r w:rsidRPr="008E6090">
              <w:rPr>
                <w:rStyle w:val="Bold"/>
              </w:rPr>
              <w:t>Subtotal</w:t>
            </w:r>
          </w:p>
        </w:tc>
        <w:tc>
          <w:tcPr>
            <w:tcW w:w="2333" w:type="pct"/>
            <w:tcBorders>
              <w:top w:val="single" w:sz="4" w:space="0" w:color="auto"/>
              <w:bottom w:val="single" w:sz="4" w:space="0" w:color="auto"/>
            </w:tcBorders>
          </w:tcPr>
          <w:p w:rsidR="008E6090" w:rsidRPr="008E6090" w:rsidRDefault="008E6090" w:rsidP="008E6090">
            <w:pPr>
              <w:pStyle w:val="TableBodyText"/>
            </w:pPr>
            <w:r w:rsidRPr="008E6090">
              <w:t>N/A</w:t>
            </w:r>
          </w:p>
        </w:tc>
        <w:tc>
          <w:tcPr>
            <w:tcW w:w="474" w:type="pct"/>
            <w:tcBorders>
              <w:top w:val="single" w:sz="4" w:space="0" w:color="auto"/>
              <w:bottom w:val="single" w:sz="4" w:space="0" w:color="auto"/>
            </w:tcBorders>
            <w:shd w:val="clear" w:color="auto" w:fill="F3F3F3"/>
            <w:noWrap/>
            <w:hideMark/>
          </w:tcPr>
          <w:p w:rsidR="008E6090" w:rsidRPr="008E6090" w:rsidRDefault="008E6090" w:rsidP="008E6090">
            <w:pPr>
              <w:pStyle w:val="TableBodyText"/>
              <w:jc w:val="right"/>
              <w:rPr>
                <w:rStyle w:val="Bold"/>
              </w:rPr>
            </w:pPr>
            <w:r w:rsidRPr="008E6090">
              <w:rPr>
                <w:rStyle w:val="Bold"/>
              </w:rPr>
              <w:t>1,974</w:t>
            </w:r>
          </w:p>
        </w:tc>
        <w:tc>
          <w:tcPr>
            <w:tcW w:w="472" w:type="pct"/>
            <w:tcBorders>
              <w:top w:val="single" w:sz="4" w:space="0" w:color="auto"/>
              <w:bottom w:val="single" w:sz="4" w:space="0" w:color="auto"/>
            </w:tcBorders>
            <w:noWrap/>
            <w:hideMark/>
          </w:tcPr>
          <w:p w:rsidR="008E6090" w:rsidRPr="008E6090" w:rsidRDefault="008E6090" w:rsidP="008E6090">
            <w:pPr>
              <w:pStyle w:val="TableBodyText"/>
              <w:jc w:val="right"/>
              <w:rPr>
                <w:rStyle w:val="Bold"/>
              </w:rPr>
            </w:pPr>
            <w:r w:rsidRPr="008E6090">
              <w:rPr>
                <w:rStyle w:val="Bold"/>
              </w:rPr>
              <w:t>2,231</w:t>
            </w:r>
          </w:p>
        </w:tc>
      </w:tr>
      <w:tr w:rsidR="008E6090" w:rsidRPr="008E6090" w:rsidTr="004B6750">
        <w:tc>
          <w:tcPr>
            <w:tcW w:w="288" w:type="pct"/>
            <w:tcBorders>
              <w:top w:val="single" w:sz="4" w:space="0" w:color="auto"/>
              <w:bottom w:val="single" w:sz="4" w:space="0" w:color="auto"/>
            </w:tcBorders>
            <w:noWrap/>
            <w:hideMark/>
          </w:tcPr>
          <w:p w:rsidR="008E6090" w:rsidRPr="008E6090" w:rsidRDefault="008E6090" w:rsidP="008E6090">
            <w:pPr>
              <w:pStyle w:val="TableBodyText"/>
            </w:pPr>
            <w:r>
              <w:t>N/A</w:t>
            </w:r>
          </w:p>
        </w:tc>
        <w:tc>
          <w:tcPr>
            <w:tcW w:w="1433" w:type="pct"/>
            <w:tcBorders>
              <w:top w:val="single" w:sz="4" w:space="0" w:color="auto"/>
              <w:bottom w:val="single" w:sz="4" w:space="0" w:color="auto"/>
            </w:tcBorders>
            <w:hideMark/>
          </w:tcPr>
          <w:p w:rsidR="008E6090" w:rsidRPr="008E6090" w:rsidRDefault="008E6090" w:rsidP="008E6090">
            <w:pPr>
              <w:pStyle w:val="TableBodyText"/>
            </w:pPr>
            <w:r w:rsidRPr="008E6090">
              <w:t>Administered Special Appropriations Applied: Victims of Crime Assistance Act 1996 (No 81/1996), s.69</w:t>
            </w:r>
          </w:p>
        </w:tc>
        <w:tc>
          <w:tcPr>
            <w:tcW w:w="2333" w:type="pct"/>
            <w:tcBorders>
              <w:top w:val="single" w:sz="4" w:space="0" w:color="auto"/>
              <w:bottom w:val="single" w:sz="4" w:space="0" w:color="auto"/>
            </w:tcBorders>
            <w:hideMark/>
          </w:tcPr>
          <w:p w:rsidR="008E6090" w:rsidRPr="008E6090" w:rsidRDefault="008E6090" w:rsidP="008E6090">
            <w:pPr>
              <w:pStyle w:val="TableBodyText"/>
            </w:pPr>
            <w:r w:rsidRPr="008E6090">
              <w:t>Costs incurred by the Victims of Crime Assistance Tribunal and payments to victims of crime</w:t>
            </w:r>
          </w:p>
        </w:tc>
        <w:tc>
          <w:tcPr>
            <w:tcW w:w="474" w:type="pct"/>
            <w:tcBorders>
              <w:top w:val="single" w:sz="4" w:space="0" w:color="auto"/>
              <w:bottom w:val="single" w:sz="4" w:space="0" w:color="auto"/>
            </w:tcBorders>
            <w:shd w:val="clear" w:color="auto" w:fill="F3F3F3"/>
            <w:noWrap/>
            <w:hideMark/>
          </w:tcPr>
          <w:p w:rsidR="008E6090" w:rsidRPr="008E6090" w:rsidRDefault="008E6090" w:rsidP="008E6090">
            <w:pPr>
              <w:pStyle w:val="TableBodyText"/>
              <w:jc w:val="right"/>
            </w:pPr>
            <w:r w:rsidRPr="008E6090">
              <w:t>42,609</w:t>
            </w:r>
          </w:p>
        </w:tc>
        <w:tc>
          <w:tcPr>
            <w:tcW w:w="472" w:type="pct"/>
            <w:tcBorders>
              <w:top w:val="single" w:sz="4" w:space="0" w:color="auto"/>
              <w:bottom w:val="single" w:sz="4" w:space="0" w:color="auto"/>
            </w:tcBorders>
            <w:noWrap/>
            <w:hideMark/>
          </w:tcPr>
          <w:p w:rsidR="008E6090" w:rsidRPr="008E6090" w:rsidRDefault="008E6090" w:rsidP="008E6090">
            <w:pPr>
              <w:pStyle w:val="TableBodyText"/>
              <w:jc w:val="right"/>
            </w:pPr>
            <w:r w:rsidRPr="008E6090">
              <w:t>36,157</w:t>
            </w:r>
          </w:p>
        </w:tc>
      </w:tr>
      <w:tr w:rsidR="008E6090" w:rsidRPr="008E6090" w:rsidTr="004B6750">
        <w:tc>
          <w:tcPr>
            <w:tcW w:w="288" w:type="pct"/>
            <w:tcBorders>
              <w:top w:val="single" w:sz="4" w:space="0" w:color="auto"/>
              <w:bottom w:val="single" w:sz="4" w:space="0" w:color="auto"/>
            </w:tcBorders>
            <w:noWrap/>
          </w:tcPr>
          <w:p w:rsidR="008E6090" w:rsidRPr="008E6090" w:rsidRDefault="008E6090" w:rsidP="008E6090">
            <w:pPr>
              <w:pStyle w:val="TableBodyText"/>
            </w:pPr>
            <w:r w:rsidRPr="008E6090">
              <w:t>N/A</w:t>
            </w:r>
          </w:p>
        </w:tc>
        <w:tc>
          <w:tcPr>
            <w:tcW w:w="1433" w:type="pct"/>
            <w:tcBorders>
              <w:top w:val="single" w:sz="4" w:space="0" w:color="auto"/>
              <w:bottom w:val="single" w:sz="4" w:space="0" w:color="auto"/>
            </w:tcBorders>
            <w:noWrap/>
          </w:tcPr>
          <w:p w:rsidR="008E6090" w:rsidRPr="008E6090" w:rsidRDefault="008E6090" w:rsidP="008E6090">
            <w:pPr>
              <w:pStyle w:val="TableBodyText"/>
              <w:rPr>
                <w:rStyle w:val="Bold"/>
              </w:rPr>
            </w:pPr>
            <w:r w:rsidRPr="008E6090">
              <w:rPr>
                <w:rStyle w:val="Bold"/>
              </w:rPr>
              <w:t>Total</w:t>
            </w:r>
          </w:p>
        </w:tc>
        <w:tc>
          <w:tcPr>
            <w:tcW w:w="2333" w:type="pct"/>
            <w:tcBorders>
              <w:top w:val="single" w:sz="4" w:space="0" w:color="auto"/>
              <w:bottom w:val="single" w:sz="4" w:space="0" w:color="auto"/>
            </w:tcBorders>
            <w:noWrap/>
          </w:tcPr>
          <w:p w:rsidR="008E6090" w:rsidRPr="008E6090" w:rsidRDefault="008E6090" w:rsidP="008E6090">
            <w:pPr>
              <w:pStyle w:val="TableBodyText"/>
            </w:pPr>
            <w:r w:rsidRPr="008E6090">
              <w:t>N/A</w:t>
            </w:r>
          </w:p>
        </w:tc>
        <w:tc>
          <w:tcPr>
            <w:tcW w:w="474" w:type="pct"/>
            <w:tcBorders>
              <w:top w:val="single" w:sz="4" w:space="0" w:color="auto"/>
              <w:bottom w:val="single" w:sz="4" w:space="0" w:color="auto"/>
            </w:tcBorders>
            <w:shd w:val="clear" w:color="auto" w:fill="F3F3F3"/>
            <w:noWrap/>
            <w:hideMark/>
          </w:tcPr>
          <w:p w:rsidR="008E6090" w:rsidRPr="008E6090" w:rsidRDefault="008E6090" w:rsidP="008E6090">
            <w:pPr>
              <w:pStyle w:val="TableBodyText"/>
              <w:jc w:val="right"/>
              <w:rPr>
                <w:rStyle w:val="Bold"/>
              </w:rPr>
            </w:pPr>
            <w:r w:rsidRPr="008E6090">
              <w:rPr>
                <w:rStyle w:val="Bold"/>
              </w:rPr>
              <w:t>42,609</w:t>
            </w:r>
          </w:p>
        </w:tc>
        <w:tc>
          <w:tcPr>
            <w:tcW w:w="472" w:type="pct"/>
            <w:tcBorders>
              <w:top w:val="single" w:sz="4" w:space="0" w:color="auto"/>
              <w:bottom w:val="single" w:sz="4" w:space="0" w:color="auto"/>
            </w:tcBorders>
            <w:noWrap/>
            <w:hideMark/>
          </w:tcPr>
          <w:p w:rsidR="008E6090" w:rsidRPr="008E6090" w:rsidRDefault="008E6090" w:rsidP="008E6090">
            <w:pPr>
              <w:pStyle w:val="TableBodyText"/>
              <w:jc w:val="right"/>
              <w:rPr>
                <w:rStyle w:val="Bold"/>
              </w:rPr>
            </w:pPr>
            <w:r w:rsidRPr="008E6090">
              <w:rPr>
                <w:rStyle w:val="Bold"/>
              </w:rPr>
              <w:t>36,157</w:t>
            </w:r>
          </w:p>
        </w:tc>
      </w:tr>
    </w:tbl>
    <w:p w:rsidR="008E6090" w:rsidRDefault="008E6090" w:rsidP="004B6750">
      <w:pPr>
        <w:pStyle w:val="Heading2"/>
      </w:pPr>
      <w:bookmarkStart w:id="19" w:name="_Toc497125462"/>
      <w:r>
        <w:t>Income from transactions</w:t>
      </w:r>
      <w:bookmarkEnd w:id="19"/>
    </w:p>
    <w:p w:rsidR="002744C7" w:rsidRDefault="008E6090" w:rsidP="004B6750">
      <w:pPr>
        <w:pStyle w:val="Heading3"/>
      </w:pPr>
      <w:r>
        <w:t>Grants</w:t>
      </w:r>
    </w:p>
    <w:tbl>
      <w:tblPr>
        <w:tblStyle w:val="FinancialTable"/>
        <w:tblW w:w="5000" w:type="pct"/>
        <w:tblLook w:val="04A0" w:firstRow="1" w:lastRow="0" w:firstColumn="1" w:lastColumn="0" w:noHBand="0" w:noVBand="1"/>
      </w:tblPr>
      <w:tblGrid>
        <w:gridCol w:w="7502"/>
        <w:gridCol w:w="1139"/>
        <w:gridCol w:w="997"/>
      </w:tblGrid>
      <w:tr w:rsidR="00F5355E" w:rsidRPr="00F5355E" w:rsidTr="00F535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2" w:type="pct"/>
          </w:tcPr>
          <w:p w:rsidR="00F5355E" w:rsidRPr="00F5355E" w:rsidRDefault="00F5355E" w:rsidP="004B6750">
            <w:pPr>
              <w:pStyle w:val="TableBodyText"/>
              <w:rPr>
                <w:rStyle w:val="Bold"/>
              </w:rPr>
            </w:pPr>
            <w:r w:rsidRPr="00F5355E">
              <w:rPr>
                <w:rStyle w:val="Bold"/>
              </w:rPr>
              <w:t>Item</w:t>
            </w:r>
          </w:p>
        </w:tc>
        <w:tc>
          <w:tcPr>
            <w:tcW w:w="591" w:type="pct"/>
            <w:shd w:val="clear" w:color="auto" w:fill="F3F3F3"/>
          </w:tcPr>
          <w:p w:rsidR="00F5355E" w:rsidRPr="00F5355E" w:rsidRDefault="00F5355E" w:rsidP="004B6750">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2017</w:t>
            </w:r>
          </w:p>
          <w:p w:rsidR="00F5355E" w:rsidRPr="00F5355E" w:rsidRDefault="00F5355E" w:rsidP="004B6750">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$'000</w:t>
            </w:r>
          </w:p>
        </w:tc>
        <w:tc>
          <w:tcPr>
            <w:tcW w:w="517" w:type="pct"/>
          </w:tcPr>
          <w:p w:rsidR="00F5355E" w:rsidRPr="00F5355E" w:rsidRDefault="00F5355E" w:rsidP="004B6750">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2016</w:t>
            </w:r>
          </w:p>
          <w:p w:rsidR="00F5355E" w:rsidRPr="00F5355E" w:rsidRDefault="00F5355E" w:rsidP="004B6750">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$'000</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F5355E" w:rsidRPr="00F5355E" w:rsidRDefault="00F5355E" w:rsidP="004B6750">
            <w:pPr>
              <w:pStyle w:val="TableBodyText"/>
              <w:keepNext/>
              <w:rPr>
                <w:rFonts w:eastAsia="Calibri"/>
              </w:rPr>
            </w:pPr>
            <w:r w:rsidRPr="00F5355E">
              <w:t xml:space="preserve">General government outside portfolio </w:t>
            </w:r>
          </w:p>
        </w:tc>
        <w:tc>
          <w:tcPr>
            <w:tcW w:w="591" w:type="pct"/>
            <w:shd w:val="clear" w:color="auto" w:fill="F3F3F3"/>
          </w:tcPr>
          <w:p w:rsidR="00F5355E" w:rsidRPr="00F5355E" w:rsidRDefault="00F5355E" w:rsidP="004B6750">
            <w:pPr>
              <w:pStyle w:val="TableBodyText"/>
              <w:keepNext/>
              <w:cnfStyle w:val="000000000000" w:firstRow="0" w:lastRow="0" w:firstColumn="0" w:lastColumn="0" w:oddVBand="0" w:evenVBand="0" w:oddHBand="0" w:evenHBand="0" w:firstRowFirstColumn="0" w:firstRowLastColumn="0" w:lastRowFirstColumn="0" w:lastRowLastColumn="0"/>
              <w:rPr>
                <w:rFonts w:eastAsia="Calibri"/>
              </w:rPr>
            </w:pPr>
            <w:r w:rsidRPr="00F5355E">
              <w:t>26,857</w:t>
            </w:r>
          </w:p>
        </w:tc>
        <w:tc>
          <w:tcPr>
            <w:tcW w:w="517" w:type="pct"/>
          </w:tcPr>
          <w:p w:rsidR="00F5355E" w:rsidRPr="00F5355E" w:rsidRDefault="00F5355E" w:rsidP="004B6750">
            <w:pPr>
              <w:pStyle w:val="TableBodyText"/>
              <w:keepNext/>
              <w:cnfStyle w:val="000000000000" w:firstRow="0" w:lastRow="0" w:firstColumn="0" w:lastColumn="0" w:oddVBand="0" w:evenVBand="0" w:oddHBand="0" w:evenHBand="0" w:firstRowFirstColumn="0" w:firstRowLastColumn="0" w:lastRowFirstColumn="0" w:lastRowLastColumn="0"/>
              <w:rPr>
                <w:rFonts w:eastAsia="Calibri"/>
              </w:rPr>
            </w:pPr>
            <w:r w:rsidRPr="00F5355E">
              <w:t>21,703</w:t>
            </w:r>
          </w:p>
        </w:tc>
      </w:tr>
      <w:tr w:rsidR="004B6750"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4B6750" w:rsidRPr="00F5355E" w:rsidRDefault="004B6750" w:rsidP="004B6750">
            <w:pPr>
              <w:pStyle w:val="TableBodyText"/>
              <w:keepNext/>
              <w:rPr>
                <w:rFonts w:eastAsia="Calibri"/>
              </w:rPr>
            </w:pPr>
            <w:r w:rsidRPr="00F5355E">
              <w:t>Other specific purpose</w:t>
            </w:r>
          </w:p>
        </w:tc>
        <w:tc>
          <w:tcPr>
            <w:tcW w:w="591" w:type="pct"/>
            <w:shd w:val="clear" w:color="auto" w:fill="F3F3F3"/>
          </w:tcPr>
          <w:p w:rsidR="004B6750" w:rsidRPr="00F5355E" w:rsidRDefault="004B6750" w:rsidP="004B6750">
            <w:pPr>
              <w:pStyle w:val="TableBodyText"/>
              <w:keepNext/>
              <w:cnfStyle w:val="000000000000" w:firstRow="0" w:lastRow="0" w:firstColumn="0" w:lastColumn="0" w:oddVBand="0" w:evenVBand="0" w:oddHBand="0" w:evenHBand="0" w:firstRowFirstColumn="0" w:firstRowLastColumn="0" w:lastRowFirstColumn="0" w:lastRowLastColumn="0"/>
              <w:rPr>
                <w:rFonts w:eastAsia="Calibri"/>
              </w:rPr>
            </w:pPr>
            <w:r w:rsidRPr="00F5355E">
              <w:t>73</w:t>
            </w:r>
          </w:p>
        </w:tc>
        <w:tc>
          <w:tcPr>
            <w:tcW w:w="517" w:type="pct"/>
          </w:tcPr>
          <w:p w:rsidR="004B6750" w:rsidRPr="00F5355E" w:rsidRDefault="004B6750" w:rsidP="004B6750">
            <w:pPr>
              <w:pStyle w:val="TableBodyText"/>
              <w:keepNext/>
              <w:cnfStyle w:val="000000000000" w:firstRow="0" w:lastRow="0" w:firstColumn="0" w:lastColumn="0" w:oddVBand="0" w:evenVBand="0" w:oddHBand="0" w:evenHBand="0" w:firstRowFirstColumn="0" w:firstRowLastColumn="0" w:lastRowFirstColumn="0" w:lastRowLastColumn="0"/>
              <w:rPr>
                <w:rFonts w:eastAsia="Calibri"/>
              </w:rPr>
            </w:pPr>
            <w:r w:rsidRPr="00F5355E">
              <w:t>168</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F5355E" w:rsidRPr="00F5355E" w:rsidRDefault="00F5355E" w:rsidP="00F5355E">
            <w:pPr>
              <w:pStyle w:val="TableBodyText"/>
              <w:rPr>
                <w:rStyle w:val="Bold"/>
                <w:rFonts w:eastAsia="Calibri"/>
              </w:rPr>
            </w:pPr>
            <w:r w:rsidRPr="00F5355E">
              <w:rPr>
                <w:rStyle w:val="Bold"/>
              </w:rPr>
              <w:t>Total grants</w:t>
            </w:r>
          </w:p>
        </w:tc>
        <w:tc>
          <w:tcPr>
            <w:tcW w:w="591" w:type="pct"/>
            <w:tcBorders>
              <w:bottom w:val="single" w:sz="4" w:space="0" w:color="auto"/>
            </w:tcBorders>
            <w:shd w:val="clear" w:color="auto" w:fill="F3F3F3"/>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5355E">
              <w:rPr>
                <w:rStyle w:val="Bold"/>
              </w:rPr>
              <w:t>26,929</w:t>
            </w:r>
          </w:p>
        </w:tc>
        <w:tc>
          <w:tcPr>
            <w:tcW w:w="517" w:type="pct"/>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5355E">
              <w:rPr>
                <w:rStyle w:val="Bold"/>
              </w:rPr>
              <w:t>21,870</w:t>
            </w:r>
          </w:p>
        </w:tc>
      </w:tr>
    </w:tbl>
    <w:p w:rsidR="00F5355E" w:rsidRDefault="00F5355E" w:rsidP="00F5355E">
      <w:pPr>
        <w:pStyle w:val="BodyText"/>
      </w:pPr>
      <w:r>
        <w:lastRenderedPageBreak/>
        <w:t>Grant income arises from transactions in which a party provides goods or assets (or extinguishes a liability) to CSV without receiving approximately equal value in return. While grants may result in the provision of some goods or services to the transferring party, they do not provide a claim to receive benefits directly of approximately equal value (and are termed ‘non</w:t>
      </w:r>
      <w:r>
        <w:rPr>
          <w:rFonts w:ascii="Cambria Math" w:hAnsi="Cambria Math" w:cs="Cambria Math"/>
        </w:rPr>
        <w:t>‐</w:t>
      </w:r>
      <w:r>
        <w:t>reciprocal</w:t>
      </w:r>
      <w:r>
        <w:rPr>
          <w:rFonts w:cs="Arial"/>
        </w:rPr>
        <w:t>’</w:t>
      </w:r>
      <w:r>
        <w:t xml:space="preserve"> transfers). Receipt and sacrifice of approximately equal value may occur, but only by coincidence. For non</w:t>
      </w:r>
      <w:r>
        <w:rPr>
          <w:rFonts w:ascii="Cambria Math" w:hAnsi="Cambria Math" w:cs="Cambria Math"/>
        </w:rPr>
        <w:t>‑</w:t>
      </w:r>
      <w:r>
        <w:t>reciprocal grants, CSV recognises revenue when the grant is receivable or received.</w:t>
      </w:r>
    </w:p>
    <w:p w:rsidR="00F5355E" w:rsidRDefault="00F5355E" w:rsidP="00F5355E">
      <w:pPr>
        <w:pStyle w:val="BodyText"/>
      </w:pPr>
      <w:r>
        <w:t xml:space="preserve">Grants can be received as general purpose </w:t>
      </w:r>
      <w:r w:rsidR="004B6750">
        <w:t>grants that</w:t>
      </w:r>
      <w:r>
        <w:t xml:space="preserve"> refers to grants which are not subject to conditions regarding their use. Alternatively, they may be received as specific purpose grants, which are paid for a particular purpose and/or have conditions attached regarding their use.</w:t>
      </w:r>
    </w:p>
    <w:p w:rsidR="00F5355E" w:rsidRDefault="00F5355E" w:rsidP="00F5355E">
      <w:pPr>
        <w:pStyle w:val="BodyText"/>
      </w:pPr>
      <w:r>
        <w:t>Some grants are reciprocal in nature (i.e. equal value is given back by the recipient of the grant to the provider). CSV recognises the income when it has satisfied its performance obligations under the terms of the grant.</w:t>
      </w:r>
    </w:p>
    <w:p w:rsidR="00F5355E" w:rsidRDefault="00F5355E" w:rsidP="00F5355E">
      <w:pPr>
        <w:pStyle w:val="Heading3"/>
      </w:pPr>
      <w:r>
        <w:t>Other Income</w:t>
      </w:r>
    </w:p>
    <w:tbl>
      <w:tblPr>
        <w:tblStyle w:val="FinancialTable"/>
        <w:tblW w:w="5000" w:type="pct"/>
        <w:tblLook w:val="04A0" w:firstRow="1" w:lastRow="0" w:firstColumn="1" w:lastColumn="0" w:noHBand="0" w:noVBand="1"/>
      </w:tblPr>
      <w:tblGrid>
        <w:gridCol w:w="7502"/>
        <w:gridCol w:w="1139"/>
        <w:gridCol w:w="997"/>
      </w:tblGrid>
      <w:tr w:rsidR="00F5355E" w:rsidRPr="00F5355E" w:rsidTr="00F535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2" w:type="pct"/>
          </w:tcPr>
          <w:p w:rsidR="00F5355E" w:rsidRPr="00F5355E" w:rsidRDefault="00F5355E" w:rsidP="00F5355E">
            <w:pPr>
              <w:pStyle w:val="TableBodyText"/>
              <w:rPr>
                <w:rStyle w:val="Bold"/>
                <w:rFonts w:eastAsia="Calibri"/>
              </w:rPr>
            </w:pPr>
            <w:r w:rsidRPr="00F5355E">
              <w:rPr>
                <w:rStyle w:val="Bold"/>
              </w:rPr>
              <w:t>Other Income</w:t>
            </w:r>
          </w:p>
        </w:tc>
        <w:tc>
          <w:tcPr>
            <w:tcW w:w="591" w:type="pct"/>
            <w:shd w:val="clear" w:color="auto" w:fill="F3F3F3"/>
          </w:tcPr>
          <w:p w:rsidR="00F5355E" w:rsidRPr="00F5355E" w:rsidRDefault="00F5355E" w:rsidP="00F5355E">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2017</w:t>
            </w:r>
          </w:p>
          <w:p w:rsidR="00F5355E" w:rsidRPr="00F5355E" w:rsidRDefault="00F5355E" w:rsidP="00F5355E">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$'000</w:t>
            </w:r>
          </w:p>
        </w:tc>
        <w:tc>
          <w:tcPr>
            <w:tcW w:w="517" w:type="pct"/>
          </w:tcPr>
          <w:p w:rsidR="00F5355E" w:rsidRPr="00F5355E" w:rsidRDefault="00F5355E" w:rsidP="00F5355E">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2016</w:t>
            </w:r>
          </w:p>
          <w:p w:rsidR="00F5355E" w:rsidRPr="00F5355E" w:rsidRDefault="00F5355E" w:rsidP="00F5355E">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5355E">
              <w:rPr>
                <w:rStyle w:val="Bold"/>
              </w:rPr>
              <w:t>$'000</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F5355E" w:rsidRPr="00F5355E" w:rsidRDefault="00F5355E" w:rsidP="00F5355E">
            <w:pPr>
              <w:pStyle w:val="TableBodyText"/>
              <w:rPr>
                <w:rFonts w:eastAsia="Calibri"/>
              </w:rPr>
            </w:pPr>
            <w:r w:rsidRPr="00F5355E">
              <w:t>Heidelberg insurance payout</w:t>
            </w:r>
          </w:p>
        </w:tc>
        <w:tc>
          <w:tcPr>
            <w:tcW w:w="591" w:type="pct"/>
            <w:shd w:val="clear" w:color="auto" w:fill="F3F3F3"/>
          </w:tcPr>
          <w:p w:rsidR="00F5355E" w:rsidRPr="00F5355E" w:rsidRDefault="004B6750" w:rsidP="00F5355E">
            <w:pPr>
              <w:pStyle w:val="TableBodyText"/>
              <w:cnfStyle w:val="000000000000" w:firstRow="0" w:lastRow="0" w:firstColumn="0" w:lastColumn="0" w:oddVBand="0" w:evenVBand="0" w:oddHBand="0" w:evenHBand="0" w:firstRowFirstColumn="0" w:firstRowLastColumn="0" w:lastRowFirstColumn="0" w:lastRowLastColumn="0"/>
            </w:pPr>
            <w:r>
              <w:t>0</w:t>
            </w:r>
          </w:p>
        </w:tc>
        <w:tc>
          <w:tcPr>
            <w:tcW w:w="517" w:type="pct"/>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3,000</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F5355E" w:rsidRPr="00F5355E" w:rsidRDefault="00F5355E" w:rsidP="00F5355E">
            <w:pPr>
              <w:pStyle w:val="TableBodyText"/>
              <w:rPr>
                <w:rFonts w:eastAsia="Calibri"/>
              </w:rPr>
            </w:pPr>
            <w:r w:rsidRPr="00F5355E">
              <w:rPr>
                <w:rFonts w:eastAsia="Calibri"/>
              </w:rPr>
              <w:t xml:space="preserve">RT </w:t>
            </w:r>
            <w:r w:rsidRPr="00F5355E">
              <w:rPr>
                <w:rFonts w:ascii="Cambria Math" w:eastAsia="Calibri" w:hAnsi="Cambria Math" w:cs="Cambria Math"/>
              </w:rPr>
              <w:t>‐</w:t>
            </w:r>
            <w:r w:rsidRPr="00F5355E">
              <w:rPr>
                <w:rFonts w:eastAsia="Calibri"/>
              </w:rPr>
              <w:t xml:space="preserve"> Application Fee</w:t>
            </w:r>
          </w:p>
        </w:tc>
        <w:tc>
          <w:tcPr>
            <w:tcW w:w="591" w:type="pct"/>
            <w:shd w:val="clear" w:color="auto" w:fill="F3F3F3"/>
          </w:tcPr>
          <w:p w:rsidR="00F5355E" w:rsidRPr="00F5355E" w:rsidRDefault="004B6750" w:rsidP="00F5355E">
            <w:pPr>
              <w:pStyle w:val="TableBodyText"/>
              <w:cnfStyle w:val="000000000000" w:firstRow="0" w:lastRow="0" w:firstColumn="0" w:lastColumn="0" w:oddVBand="0" w:evenVBand="0" w:oddHBand="0" w:evenHBand="0" w:firstRowFirstColumn="0" w:firstRowLastColumn="0" w:lastRowFirstColumn="0" w:lastRowLastColumn="0"/>
            </w:pPr>
            <w:r>
              <w:t>0</w:t>
            </w:r>
          </w:p>
        </w:tc>
        <w:tc>
          <w:tcPr>
            <w:tcW w:w="517" w:type="pct"/>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248</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F5355E" w:rsidRPr="00F5355E" w:rsidRDefault="00F5355E" w:rsidP="00F5355E">
            <w:pPr>
              <w:pStyle w:val="TableBodyText"/>
              <w:rPr>
                <w:rFonts w:eastAsia="Calibri"/>
              </w:rPr>
            </w:pPr>
            <w:r w:rsidRPr="00F5355E">
              <w:t>Capital contribution</w:t>
            </w:r>
          </w:p>
        </w:tc>
        <w:tc>
          <w:tcPr>
            <w:tcW w:w="591" w:type="pct"/>
            <w:shd w:val="clear" w:color="auto" w:fill="F3F3F3"/>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6,082</w:t>
            </w:r>
          </w:p>
        </w:tc>
        <w:tc>
          <w:tcPr>
            <w:tcW w:w="517" w:type="pct"/>
          </w:tcPr>
          <w:p w:rsidR="00F5355E" w:rsidRPr="00F5355E" w:rsidRDefault="004B6750" w:rsidP="00F5355E">
            <w:pPr>
              <w:pStyle w:val="TableBodyText"/>
              <w:cnfStyle w:val="000000000000" w:firstRow="0" w:lastRow="0" w:firstColumn="0" w:lastColumn="0" w:oddVBand="0" w:evenVBand="0" w:oddHBand="0" w:evenHBand="0" w:firstRowFirstColumn="0" w:firstRowLastColumn="0" w:lastRowFirstColumn="0" w:lastRowLastColumn="0"/>
            </w:pPr>
            <w:r>
              <w:t>0</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F5355E" w:rsidRPr="00F5355E" w:rsidRDefault="00F5355E" w:rsidP="00F5355E">
            <w:pPr>
              <w:pStyle w:val="TableBodyText"/>
              <w:rPr>
                <w:rFonts w:eastAsia="Calibri"/>
              </w:rPr>
            </w:pPr>
            <w:r w:rsidRPr="00F5355E">
              <w:t>Innovation and excellence in courts conference</w:t>
            </w:r>
          </w:p>
        </w:tc>
        <w:tc>
          <w:tcPr>
            <w:tcW w:w="591" w:type="pct"/>
            <w:shd w:val="clear" w:color="auto" w:fill="F3F3F3"/>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73</w:t>
            </w:r>
          </w:p>
        </w:tc>
        <w:tc>
          <w:tcPr>
            <w:tcW w:w="517" w:type="pct"/>
          </w:tcPr>
          <w:p w:rsidR="00F5355E" w:rsidRPr="00F5355E" w:rsidRDefault="004B6750" w:rsidP="00F5355E">
            <w:pPr>
              <w:pStyle w:val="TableBodyText"/>
              <w:cnfStyle w:val="000000000000" w:firstRow="0" w:lastRow="0" w:firstColumn="0" w:lastColumn="0" w:oddVBand="0" w:evenVBand="0" w:oddHBand="0" w:evenHBand="0" w:firstRowFirstColumn="0" w:firstRowLastColumn="0" w:lastRowFirstColumn="0" w:lastRowLastColumn="0"/>
            </w:pPr>
            <w:r>
              <w:t>0</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Pr>
          <w:p w:rsidR="00F5355E" w:rsidRPr="00F5355E" w:rsidRDefault="00F5355E" w:rsidP="00F5355E">
            <w:pPr>
              <w:pStyle w:val="TableBodyText"/>
              <w:rPr>
                <w:rFonts w:eastAsia="Calibri"/>
              </w:rPr>
            </w:pPr>
            <w:r w:rsidRPr="00F5355E">
              <w:rPr>
                <w:rFonts w:eastAsia="Calibri"/>
              </w:rPr>
              <w:t>Liberate e</w:t>
            </w:r>
            <w:r w:rsidRPr="00F5355E">
              <w:rPr>
                <w:rFonts w:ascii="Cambria Math" w:eastAsia="Calibri" w:hAnsi="Cambria Math" w:cs="Cambria Math"/>
              </w:rPr>
              <w:t>‐</w:t>
            </w:r>
            <w:r w:rsidRPr="00F5355E">
              <w:rPr>
                <w:rFonts w:eastAsia="Calibri"/>
              </w:rPr>
              <w:t>Learning</w:t>
            </w:r>
          </w:p>
        </w:tc>
        <w:tc>
          <w:tcPr>
            <w:tcW w:w="591" w:type="pct"/>
            <w:shd w:val="clear" w:color="auto" w:fill="F3F3F3"/>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12</w:t>
            </w:r>
          </w:p>
        </w:tc>
        <w:tc>
          <w:tcPr>
            <w:tcW w:w="517" w:type="pct"/>
          </w:tcPr>
          <w:p w:rsidR="00F5355E" w:rsidRPr="00F5355E" w:rsidRDefault="004B6750" w:rsidP="00F5355E">
            <w:pPr>
              <w:pStyle w:val="TableBodyText"/>
              <w:cnfStyle w:val="000000000000" w:firstRow="0" w:lastRow="0" w:firstColumn="0" w:lastColumn="0" w:oddVBand="0" w:evenVBand="0" w:oddHBand="0" w:evenHBand="0" w:firstRowFirstColumn="0" w:firstRowLastColumn="0" w:lastRowFirstColumn="0" w:lastRowLastColumn="0"/>
            </w:pPr>
            <w:r>
              <w:t>0</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Borders>
              <w:bottom w:val="single" w:sz="4" w:space="0" w:color="auto"/>
            </w:tcBorders>
          </w:tcPr>
          <w:p w:rsidR="00F5355E" w:rsidRPr="00F5355E" w:rsidRDefault="00F5355E" w:rsidP="00F5355E">
            <w:pPr>
              <w:pStyle w:val="TableBodyText"/>
              <w:rPr>
                <w:rFonts w:eastAsia="Calibri"/>
              </w:rPr>
            </w:pPr>
            <w:r w:rsidRPr="00F5355E">
              <w:t>Plant and equipment received free of charge</w:t>
            </w:r>
          </w:p>
        </w:tc>
        <w:tc>
          <w:tcPr>
            <w:tcW w:w="591" w:type="pct"/>
            <w:tcBorders>
              <w:bottom w:val="single" w:sz="4" w:space="0" w:color="auto"/>
            </w:tcBorders>
            <w:shd w:val="clear" w:color="auto" w:fill="F3F3F3"/>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13</w:t>
            </w:r>
          </w:p>
        </w:tc>
        <w:tc>
          <w:tcPr>
            <w:tcW w:w="517" w:type="pct"/>
            <w:tcBorders>
              <w:bottom w:val="single" w:sz="4" w:space="0" w:color="auto"/>
            </w:tcBorders>
          </w:tcPr>
          <w:p w:rsidR="00F5355E" w:rsidRPr="00F5355E" w:rsidRDefault="004B6750" w:rsidP="00F5355E">
            <w:pPr>
              <w:pStyle w:val="TableBodyText"/>
              <w:cnfStyle w:val="000000000000" w:firstRow="0" w:lastRow="0" w:firstColumn="0" w:lastColumn="0" w:oddVBand="0" w:evenVBand="0" w:oddHBand="0" w:evenHBand="0" w:firstRowFirstColumn="0" w:firstRowLastColumn="0" w:lastRowFirstColumn="0" w:lastRowLastColumn="0"/>
            </w:pPr>
            <w:r>
              <w:t>0</w:t>
            </w:r>
          </w:p>
        </w:tc>
      </w:tr>
      <w:tr w:rsidR="00F5355E" w:rsidRPr="00F5355E" w:rsidTr="00F5355E">
        <w:tc>
          <w:tcPr>
            <w:cnfStyle w:val="001000000000" w:firstRow="0" w:lastRow="0" w:firstColumn="1" w:lastColumn="0" w:oddVBand="0" w:evenVBand="0" w:oddHBand="0" w:evenHBand="0" w:firstRowFirstColumn="0" w:firstRowLastColumn="0" w:lastRowFirstColumn="0" w:lastRowLastColumn="0"/>
            <w:tcW w:w="3892" w:type="pct"/>
            <w:tcBorders>
              <w:top w:val="single" w:sz="4" w:space="0" w:color="auto"/>
              <w:bottom w:val="single" w:sz="4" w:space="0" w:color="auto"/>
            </w:tcBorders>
          </w:tcPr>
          <w:p w:rsidR="00F5355E" w:rsidRPr="00F5355E" w:rsidRDefault="00F5355E" w:rsidP="00F5355E">
            <w:pPr>
              <w:pStyle w:val="TableBodyText"/>
              <w:rPr>
                <w:rStyle w:val="Bold"/>
                <w:rFonts w:eastAsia="Calibri"/>
              </w:rPr>
            </w:pPr>
            <w:r w:rsidRPr="00F5355E">
              <w:rPr>
                <w:rStyle w:val="Bold"/>
              </w:rPr>
              <w:t>Total other income</w:t>
            </w:r>
          </w:p>
        </w:tc>
        <w:tc>
          <w:tcPr>
            <w:tcW w:w="591" w:type="pct"/>
            <w:tcBorders>
              <w:top w:val="single" w:sz="4" w:space="0" w:color="auto"/>
              <w:bottom w:val="single" w:sz="4" w:space="0" w:color="auto"/>
            </w:tcBorders>
            <w:shd w:val="clear" w:color="auto" w:fill="F3F3F3"/>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5355E">
              <w:rPr>
                <w:rStyle w:val="Bold"/>
              </w:rPr>
              <w:t>6,181</w:t>
            </w:r>
          </w:p>
        </w:tc>
        <w:tc>
          <w:tcPr>
            <w:tcW w:w="517" w:type="pct"/>
            <w:tcBorders>
              <w:top w:val="single" w:sz="4" w:space="0" w:color="auto"/>
              <w:bottom w:val="single" w:sz="4" w:space="0" w:color="auto"/>
            </w:tcBorders>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5355E">
              <w:rPr>
                <w:rStyle w:val="Bold"/>
              </w:rPr>
              <w:t>3,248</w:t>
            </w:r>
          </w:p>
        </w:tc>
      </w:tr>
    </w:tbl>
    <w:p w:rsidR="00F5355E" w:rsidRDefault="00F5355E" w:rsidP="00F5355E">
      <w:pPr>
        <w:pStyle w:val="Heading2"/>
      </w:pPr>
      <w:bookmarkStart w:id="20" w:name="_Toc497125463"/>
      <w:r>
        <w:t>Annotated income agreements</w:t>
      </w:r>
      <w:bookmarkEnd w:id="20"/>
    </w:p>
    <w:p w:rsidR="00F5355E" w:rsidRDefault="00F5355E" w:rsidP="00F5355E">
      <w:pPr>
        <w:pStyle w:val="BodyText"/>
      </w:pPr>
      <w:r>
        <w:t xml:space="preserve">CSV is permitted under section 29 of the </w:t>
      </w:r>
      <w:proofErr w:type="spellStart"/>
      <w:r>
        <w:t>FMA</w:t>
      </w:r>
      <w:proofErr w:type="spellEnd"/>
      <w:r>
        <w:t xml:space="preserve"> to have certain income annotated to the annual appropriation. The income which forms part of section 29 agreement is recognised by CSV and the receipts are paid into the consolidated fund as an administered item. At the point of income recognition, section 29 provides for an equivalent amount to be added to the annual appropriation.</w:t>
      </w:r>
    </w:p>
    <w:p w:rsidR="00F5355E" w:rsidRDefault="00F5355E" w:rsidP="00F5355E">
      <w:pPr>
        <w:pStyle w:val="BodyText"/>
      </w:pPr>
      <w:r>
        <w:t xml:space="preserve">The following is a listing of the </w:t>
      </w:r>
      <w:proofErr w:type="spellStart"/>
      <w:r>
        <w:t>FMA</w:t>
      </w:r>
      <w:proofErr w:type="spellEnd"/>
      <w:r>
        <w:t xml:space="preserve"> section 29 annotated income agreements approved by the Treasurer:</w:t>
      </w:r>
    </w:p>
    <w:tbl>
      <w:tblPr>
        <w:tblStyle w:val="FinancialTable"/>
        <w:tblW w:w="5000" w:type="pct"/>
        <w:tblLook w:val="04A0" w:firstRow="1" w:lastRow="0" w:firstColumn="1" w:lastColumn="0" w:noHBand="0" w:noVBand="1"/>
      </w:tblPr>
      <w:tblGrid>
        <w:gridCol w:w="7502"/>
        <w:gridCol w:w="1139"/>
        <w:gridCol w:w="997"/>
      </w:tblGrid>
      <w:tr w:rsidR="00164C14" w:rsidRPr="00164C14" w:rsidTr="001D76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2" w:type="pct"/>
          </w:tcPr>
          <w:p w:rsidR="00164C14" w:rsidRPr="00164C14" w:rsidRDefault="00164C14" w:rsidP="00164C14">
            <w:pPr>
              <w:pStyle w:val="TableBodyText"/>
              <w:rPr>
                <w:rStyle w:val="Bold"/>
              </w:rPr>
            </w:pPr>
            <w:r w:rsidRPr="00164C14">
              <w:rPr>
                <w:rStyle w:val="Bold"/>
              </w:rPr>
              <w:t>Item</w:t>
            </w:r>
          </w:p>
        </w:tc>
        <w:tc>
          <w:tcPr>
            <w:tcW w:w="591" w:type="pct"/>
            <w:shd w:val="clear" w:color="auto" w:fill="F3F3F3"/>
          </w:tcPr>
          <w:p w:rsidR="00164C14" w:rsidRPr="00164C14" w:rsidRDefault="00164C14" w:rsidP="00164C14">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2017</w:t>
            </w:r>
          </w:p>
          <w:p w:rsidR="00164C14" w:rsidRPr="00164C14" w:rsidRDefault="00164C14" w:rsidP="00164C14">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$'000</w:t>
            </w:r>
          </w:p>
        </w:tc>
        <w:tc>
          <w:tcPr>
            <w:tcW w:w="517" w:type="pct"/>
          </w:tcPr>
          <w:p w:rsidR="00164C14" w:rsidRPr="00164C14" w:rsidRDefault="00164C14" w:rsidP="00164C14">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2016</w:t>
            </w:r>
          </w:p>
          <w:p w:rsidR="00164C14" w:rsidRPr="00164C14" w:rsidRDefault="00164C14" w:rsidP="00164C14">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$'000</w:t>
            </w:r>
          </w:p>
        </w:tc>
      </w:tr>
      <w:tr w:rsidR="00164C14" w:rsidRPr="00F5355E" w:rsidTr="001D76BC">
        <w:tc>
          <w:tcPr>
            <w:cnfStyle w:val="001000000000" w:firstRow="0" w:lastRow="0" w:firstColumn="1" w:lastColumn="0" w:oddVBand="0" w:evenVBand="0" w:oddHBand="0" w:evenHBand="0" w:firstRowFirstColumn="0" w:firstRowLastColumn="0" w:lastRowFirstColumn="0" w:lastRowLastColumn="0"/>
            <w:tcW w:w="3892" w:type="pct"/>
          </w:tcPr>
          <w:p w:rsidR="00164C14" w:rsidRPr="00164C14" w:rsidRDefault="00164C14" w:rsidP="004B6750">
            <w:pPr>
              <w:pStyle w:val="TableBodyText"/>
              <w:rPr>
                <w:rStyle w:val="Bold"/>
              </w:rPr>
            </w:pPr>
            <w:r w:rsidRPr="00164C14">
              <w:rPr>
                <w:rStyle w:val="Bold"/>
              </w:rPr>
              <w:t>User charges, or sales of goods and services</w:t>
            </w:r>
          </w:p>
        </w:tc>
        <w:tc>
          <w:tcPr>
            <w:tcW w:w="591" w:type="pct"/>
            <w:shd w:val="clear" w:color="auto" w:fill="F3F3F3"/>
          </w:tcPr>
          <w:p w:rsidR="00164C14" w:rsidRPr="00F5355E" w:rsidRDefault="00164C14"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517" w:type="pct"/>
          </w:tcPr>
          <w:p w:rsidR="00164C14" w:rsidRPr="00F5355E" w:rsidRDefault="00164C14"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r>
      <w:tr w:rsidR="00F5355E" w:rsidRPr="00F5355E" w:rsidTr="001D76BC">
        <w:tc>
          <w:tcPr>
            <w:cnfStyle w:val="001000000000" w:firstRow="0" w:lastRow="0" w:firstColumn="1" w:lastColumn="0" w:oddVBand="0" w:evenVBand="0" w:oddHBand="0" w:evenHBand="0" w:firstRowFirstColumn="0" w:firstRowLastColumn="0" w:lastRowFirstColumn="0" w:lastRowLastColumn="0"/>
            <w:tcW w:w="3892" w:type="pct"/>
            <w:tcBorders>
              <w:bottom w:val="single" w:sz="4" w:space="0" w:color="auto"/>
            </w:tcBorders>
          </w:tcPr>
          <w:p w:rsidR="00F5355E" w:rsidRPr="00F5355E" w:rsidRDefault="00F5355E" w:rsidP="00164C14">
            <w:pPr>
              <w:pStyle w:val="TableBodyText"/>
              <w:rPr>
                <w:rFonts w:eastAsia="Calibri"/>
              </w:rPr>
            </w:pPr>
            <w:r w:rsidRPr="00F5355E">
              <w:t>Court fees and retail sale of courts data</w:t>
            </w:r>
          </w:p>
        </w:tc>
        <w:tc>
          <w:tcPr>
            <w:tcW w:w="591" w:type="pct"/>
            <w:tcBorders>
              <w:bottom w:val="single" w:sz="4" w:space="0" w:color="auto"/>
            </w:tcBorders>
            <w:shd w:val="clear" w:color="auto" w:fill="F3F3F3"/>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70,725</w:t>
            </w:r>
          </w:p>
        </w:tc>
        <w:tc>
          <w:tcPr>
            <w:tcW w:w="517" w:type="pct"/>
            <w:tcBorders>
              <w:bottom w:val="single" w:sz="4" w:space="0" w:color="auto"/>
            </w:tcBorders>
          </w:tcPr>
          <w:p w:rsidR="00F5355E" w:rsidRPr="00F5355E"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5355E">
              <w:t>66,437</w:t>
            </w:r>
          </w:p>
        </w:tc>
      </w:tr>
      <w:tr w:rsidR="00F5355E" w:rsidRPr="00164C14" w:rsidTr="001D76BC">
        <w:tc>
          <w:tcPr>
            <w:cnfStyle w:val="001000000000" w:firstRow="0" w:lastRow="0" w:firstColumn="1" w:lastColumn="0" w:oddVBand="0" w:evenVBand="0" w:oddHBand="0" w:evenHBand="0" w:firstRowFirstColumn="0" w:firstRowLastColumn="0" w:lastRowFirstColumn="0" w:lastRowLastColumn="0"/>
            <w:tcW w:w="3892" w:type="pct"/>
            <w:tcBorders>
              <w:top w:val="single" w:sz="4" w:space="0" w:color="auto"/>
              <w:bottom w:val="single" w:sz="4" w:space="0" w:color="auto"/>
            </w:tcBorders>
          </w:tcPr>
          <w:p w:rsidR="00F5355E" w:rsidRPr="00164C14" w:rsidRDefault="00F5355E" w:rsidP="00164C14">
            <w:pPr>
              <w:pStyle w:val="TableBodyText"/>
              <w:rPr>
                <w:rStyle w:val="Bold"/>
                <w:rFonts w:eastAsia="Calibri"/>
              </w:rPr>
            </w:pPr>
            <w:r w:rsidRPr="00164C14">
              <w:rPr>
                <w:rStyle w:val="Bold"/>
              </w:rPr>
              <w:t>Total annotated income agreements</w:t>
            </w:r>
          </w:p>
        </w:tc>
        <w:tc>
          <w:tcPr>
            <w:tcW w:w="591" w:type="pct"/>
            <w:tcBorders>
              <w:top w:val="single" w:sz="4" w:space="0" w:color="auto"/>
              <w:bottom w:val="single" w:sz="4" w:space="0" w:color="auto"/>
            </w:tcBorders>
            <w:shd w:val="clear" w:color="auto" w:fill="F3F3F3"/>
          </w:tcPr>
          <w:p w:rsidR="00F5355E" w:rsidRPr="00164C14"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64C14">
              <w:rPr>
                <w:rStyle w:val="Bold"/>
              </w:rPr>
              <w:t>70,725</w:t>
            </w:r>
          </w:p>
        </w:tc>
        <w:tc>
          <w:tcPr>
            <w:tcW w:w="517" w:type="pct"/>
            <w:tcBorders>
              <w:top w:val="single" w:sz="4" w:space="0" w:color="auto"/>
              <w:bottom w:val="single" w:sz="4" w:space="0" w:color="auto"/>
            </w:tcBorders>
          </w:tcPr>
          <w:p w:rsidR="00F5355E" w:rsidRPr="00164C14" w:rsidRDefault="00F5355E" w:rsidP="00F5355E">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64C14">
              <w:rPr>
                <w:rStyle w:val="Bold"/>
              </w:rPr>
              <w:t>66,437</w:t>
            </w:r>
          </w:p>
        </w:tc>
      </w:tr>
    </w:tbl>
    <w:p w:rsidR="00F5355E" w:rsidRDefault="00164C14" w:rsidP="00164C14">
      <w:pPr>
        <w:pStyle w:val="Heading1"/>
      </w:pPr>
      <w:bookmarkStart w:id="21" w:name="_Toc497125464"/>
      <w:r w:rsidRPr="00164C14">
        <w:lastRenderedPageBreak/>
        <w:t xml:space="preserve">The </w:t>
      </w:r>
      <w:r w:rsidR="003D7434" w:rsidRPr="00164C14">
        <w:t xml:space="preserve">cost </w:t>
      </w:r>
      <w:r w:rsidR="003D7434">
        <w:t>o</w:t>
      </w:r>
      <w:r w:rsidR="003D7434" w:rsidRPr="00164C14">
        <w:t>f delivering services</w:t>
      </w:r>
      <w:bookmarkEnd w:id="21"/>
    </w:p>
    <w:p w:rsidR="00164C14" w:rsidRPr="00440FE9" w:rsidRDefault="00164C14" w:rsidP="00440FE9">
      <w:pPr>
        <w:pStyle w:val="BodyText"/>
        <w:rPr>
          <w:rStyle w:val="Bold"/>
        </w:rPr>
      </w:pPr>
      <w:r w:rsidRPr="00440FE9">
        <w:rPr>
          <w:rStyle w:val="Bold"/>
        </w:rPr>
        <w:t>Introduction</w:t>
      </w:r>
    </w:p>
    <w:p w:rsidR="00164C14" w:rsidRDefault="00164C14" w:rsidP="00164C14">
      <w:pPr>
        <w:pStyle w:val="BodyText"/>
      </w:pPr>
      <w:r>
        <w:t>This section provides an account of the expenses incurred by CSV in delivering the services and outputs it received income for, as outlined in section 2.</w:t>
      </w:r>
    </w:p>
    <w:p w:rsidR="00164C14" w:rsidRPr="00440FE9" w:rsidRDefault="00164C14" w:rsidP="00440FE9">
      <w:pPr>
        <w:pStyle w:val="BodyText"/>
        <w:rPr>
          <w:rStyle w:val="Bold"/>
        </w:rPr>
      </w:pPr>
      <w:r w:rsidRPr="00440FE9">
        <w:rPr>
          <w:rStyle w:val="Bold"/>
        </w:rPr>
        <w:t>Structure</w:t>
      </w:r>
    </w:p>
    <w:p w:rsidR="00164C14" w:rsidRDefault="00164C14" w:rsidP="001F1EBE">
      <w:pPr>
        <w:pStyle w:val="NoSpacing"/>
      </w:pPr>
      <w:r>
        <w:t>3.1</w:t>
      </w:r>
      <w:r>
        <w:tab/>
        <w:t>Expenses incurred in delivery of services</w:t>
      </w:r>
    </w:p>
    <w:p w:rsidR="00164C14" w:rsidRDefault="00164C14" w:rsidP="00164C14">
      <w:pPr>
        <w:pStyle w:val="NoSpacing"/>
      </w:pPr>
      <w:r>
        <w:t>3.2</w:t>
      </w:r>
      <w:r>
        <w:tab/>
        <w:t>Grant and other tran</w:t>
      </w:r>
      <w:r w:rsidR="00F61C3C">
        <w:t>s</w:t>
      </w:r>
      <w:r>
        <w:t>fers</w:t>
      </w:r>
    </w:p>
    <w:p w:rsidR="00164C14" w:rsidRDefault="00164C14" w:rsidP="00164C14">
      <w:pPr>
        <w:pStyle w:val="NoSpacing"/>
      </w:pPr>
      <w:r>
        <w:t>3.3</w:t>
      </w:r>
      <w:r>
        <w:tab/>
        <w:t>Capital asset charge</w:t>
      </w:r>
    </w:p>
    <w:p w:rsidR="00164C14" w:rsidRDefault="00164C14" w:rsidP="00164C14">
      <w:pPr>
        <w:pStyle w:val="NoSpacing"/>
      </w:pPr>
      <w:r>
        <w:t>3.4</w:t>
      </w:r>
      <w:r>
        <w:tab/>
        <w:t>Supplies and services</w:t>
      </w:r>
    </w:p>
    <w:p w:rsidR="00164C14" w:rsidRDefault="00164C14" w:rsidP="00164C14">
      <w:pPr>
        <w:pStyle w:val="Heading2"/>
      </w:pPr>
      <w:bookmarkStart w:id="22" w:name="_Toc497125465"/>
      <w:r>
        <w:t>Expenses incurred in delivery of services</w:t>
      </w:r>
      <w:bookmarkEnd w:id="22"/>
    </w:p>
    <w:tbl>
      <w:tblPr>
        <w:tblStyle w:val="FinancialTable"/>
        <w:tblW w:w="5000" w:type="pct"/>
        <w:tblLook w:val="04A0" w:firstRow="1" w:lastRow="0" w:firstColumn="1" w:lastColumn="0" w:noHBand="0" w:noVBand="1"/>
      </w:tblPr>
      <w:tblGrid>
        <w:gridCol w:w="6521"/>
        <w:gridCol w:w="765"/>
        <w:gridCol w:w="1168"/>
        <w:gridCol w:w="1184"/>
      </w:tblGrid>
      <w:tr w:rsidR="00164C14" w:rsidRPr="00164C14" w:rsidTr="004B6750">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3383" w:type="pct"/>
          </w:tcPr>
          <w:p w:rsidR="00164C14" w:rsidRPr="00164C14" w:rsidRDefault="00164C14" w:rsidP="00164C14">
            <w:pPr>
              <w:pStyle w:val="TableHeading"/>
              <w:rPr>
                <w:rStyle w:val="Bold"/>
              </w:rPr>
            </w:pPr>
            <w:r w:rsidRPr="00164C14">
              <w:rPr>
                <w:rStyle w:val="Bold"/>
              </w:rPr>
              <w:t>Item</w:t>
            </w:r>
          </w:p>
        </w:tc>
        <w:tc>
          <w:tcPr>
            <w:tcW w:w="397" w:type="pct"/>
          </w:tcPr>
          <w:p w:rsidR="00164C14" w:rsidRPr="00164C14" w:rsidRDefault="00164C14" w:rsidP="004B6750">
            <w:pPr>
              <w:pStyle w:val="TableHeading"/>
              <w:jc w:val="lef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Notes</w:t>
            </w:r>
          </w:p>
        </w:tc>
        <w:tc>
          <w:tcPr>
            <w:tcW w:w="606" w:type="pct"/>
            <w:shd w:val="clear" w:color="auto" w:fill="F3F3F3"/>
          </w:tcPr>
          <w:p w:rsidR="00164C14" w:rsidRPr="00164C14" w:rsidRDefault="00164C14" w:rsidP="00164C14">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2017</w:t>
            </w:r>
          </w:p>
          <w:p w:rsidR="00164C14" w:rsidRPr="00164C14" w:rsidRDefault="00164C14" w:rsidP="00164C14">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$'000</w:t>
            </w:r>
          </w:p>
        </w:tc>
        <w:tc>
          <w:tcPr>
            <w:tcW w:w="614" w:type="pct"/>
          </w:tcPr>
          <w:p w:rsidR="00164C14" w:rsidRPr="00164C14" w:rsidRDefault="00164C14" w:rsidP="00164C14">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2016</w:t>
            </w:r>
          </w:p>
          <w:p w:rsidR="00164C14" w:rsidRPr="00164C14" w:rsidRDefault="00164C14" w:rsidP="00164C14">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$'000</w:t>
            </w:r>
          </w:p>
        </w:tc>
      </w:tr>
      <w:tr w:rsidR="00164C14" w:rsidRPr="00164C14" w:rsidTr="004B6750">
        <w:tc>
          <w:tcPr>
            <w:cnfStyle w:val="001000000000" w:firstRow="0" w:lastRow="0" w:firstColumn="1" w:lastColumn="0" w:oddVBand="0" w:evenVBand="0" w:oddHBand="0" w:evenHBand="0" w:firstRowFirstColumn="0" w:firstRowLastColumn="0" w:lastRowFirstColumn="0" w:lastRowLastColumn="0"/>
            <w:tcW w:w="3383" w:type="pct"/>
          </w:tcPr>
          <w:p w:rsidR="00164C14" w:rsidRPr="00164C14" w:rsidRDefault="00164C14" w:rsidP="00164C14">
            <w:pPr>
              <w:pStyle w:val="TableBodyText"/>
              <w:rPr>
                <w:rFonts w:eastAsia="Calibri"/>
              </w:rPr>
            </w:pPr>
            <w:r w:rsidRPr="00164C14">
              <w:t>Employee benefit expenses</w:t>
            </w:r>
          </w:p>
        </w:tc>
        <w:tc>
          <w:tcPr>
            <w:tcW w:w="397" w:type="pct"/>
          </w:tcPr>
          <w:p w:rsidR="00164C14" w:rsidRPr="00164C14" w:rsidRDefault="00164C14" w:rsidP="004B6750">
            <w:pPr>
              <w:pStyle w:val="TableBodyText"/>
              <w:jc w:val="left"/>
              <w:cnfStyle w:val="000000000000" w:firstRow="0" w:lastRow="0" w:firstColumn="0" w:lastColumn="0" w:oddVBand="0" w:evenVBand="0" w:oddHBand="0" w:evenHBand="0" w:firstRowFirstColumn="0" w:firstRowLastColumn="0" w:lastRowFirstColumn="0" w:lastRowLastColumn="0"/>
              <w:rPr>
                <w:rFonts w:eastAsia="Calibri"/>
              </w:rPr>
            </w:pPr>
            <w:r w:rsidRPr="00164C14">
              <w:t>3.1.1</w:t>
            </w:r>
          </w:p>
        </w:tc>
        <w:tc>
          <w:tcPr>
            <w:tcW w:w="606" w:type="pct"/>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278,533</w:t>
            </w:r>
          </w:p>
        </w:tc>
        <w:tc>
          <w:tcPr>
            <w:tcW w:w="614" w:type="pct"/>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264,574</w:t>
            </w:r>
          </w:p>
        </w:tc>
      </w:tr>
      <w:tr w:rsidR="00164C14" w:rsidRPr="00164C14" w:rsidTr="004B6750">
        <w:tc>
          <w:tcPr>
            <w:cnfStyle w:val="001000000000" w:firstRow="0" w:lastRow="0" w:firstColumn="1" w:lastColumn="0" w:oddVBand="0" w:evenVBand="0" w:oddHBand="0" w:evenHBand="0" w:firstRowFirstColumn="0" w:firstRowLastColumn="0" w:lastRowFirstColumn="0" w:lastRowLastColumn="0"/>
            <w:tcW w:w="3383" w:type="pct"/>
          </w:tcPr>
          <w:p w:rsidR="00164C14" w:rsidRPr="00164C14" w:rsidRDefault="00164C14" w:rsidP="00164C14">
            <w:pPr>
              <w:pStyle w:val="TableBodyText"/>
              <w:rPr>
                <w:rFonts w:eastAsia="Calibri"/>
              </w:rPr>
            </w:pPr>
            <w:r w:rsidRPr="00164C14">
              <w:t>Grants and other transfers</w:t>
            </w:r>
          </w:p>
        </w:tc>
        <w:tc>
          <w:tcPr>
            <w:tcW w:w="397" w:type="pct"/>
          </w:tcPr>
          <w:p w:rsidR="00164C14" w:rsidRPr="00164C14" w:rsidRDefault="00164C14" w:rsidP="004B6750">
            <w:pPr>
              <w:pStyle w:val="TableBodyText"/>
              <w:jc w:val="left"/>
              <w:cnfStyle w:val="000000000000" w:firstRow="0" w:lastRow="0" w:firstColumn="0" w:lastColumn="0" w:oddVBand="0" w:evenVBand="0" w:oddHBand="0" w:evenHBand="0" w:firstRowFirstColumn="0" w:firstRowLastColumn="0" w:lastRowFirstColumn="0" w:lastRowLastColumn="0"/>
              <w:rPr>
                <w:rFonts w:eastAsia="Calibri"/>
              </w:rPr>
            </w:pPr>
            <w:r w:rsidRPr="00164C14">
              <w:t>3.2</w:t>
            </w:r>
          </w:p>
        </w:tc>
        <w:tc>
          <w:tcPr>
            <w:tcW w:w="606" w:type="pct"/>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8,535</w:t>
            </w:r>
          </w:p>
        </w:tc>
        <w:tc>
          <w:tcPr>
            <w:tcW w:w="614" w:type="pct"/>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3,760</w:t>
            </w:r>
          </w:p>
        </w:tc>
      </w:tr>
      <w:tr w:rsidR="00164C14" w:rsidRPr="00164C14" w:rsidTr="004B6750">
        <w:tc>
          <w:tcPr>
            <w:cnfStyle w:val="001000000000" w:firstRow="0" w:lastRow="0" w:firstColumn="1" w:lastColumn="0" w:oddVBand="0" w:evenVBand="0" w:oddHBand="0" w:evenHBand="0" w:firstRowFirstColumn="0" w:firstRowLastColumn="0" w:lastRowFirstColumn="0" w:lastRowLastColumn="0"/>
            <w:tcW w:w="3383" w:type="pct"/>
          </w:tcPr>
          <w:p w:rsidR="00164C14" w:rsidRPr="00164C14" w:rsidRDefault="00164C14" w:rsidP="00164C14">
            <w:pPr>
              <w:pStyle w:val="TableBodyText"/>
              <w:rPr>
                <w:rFonts w:eastAsia="Calibri"/>
              </w:rPr>
            </w:pPr>
            <w:r w:rsidRPr="00164C14">
              <w:t>Capital asset charge</w:t>
            </w:r>
          </w:p>
        </w:tc>
        <w:tc>
          <w:tcPr>
            <w:tcW w:w="397" w:type="pct"/>
          </w:tcPr>
          <w:p w:rsidR="00164C14" w:rsidRPr="00164C14" w:rsidRDefault="00164C14" w:rsidP="004B6750">
            <w:pPr>
              <w:pStyle w:val="TableBodyText"/>
              <w:jc w:val="left"/>
              <w:cnfStyle w:val="000000000000" w:firstRow="0" w:lastRow="0" w:firstColumn="0" w:lastColumn="0" w:oddVBand="0" w:evenVBand="0" w:oddHBand="0" w:evenHBand="0" w:firstRowFirstColumn="0" w:firstRowLastColumn="0" w:lastRowFirstColumn="0" w:lastRowLastColumn="0"/>
              <w:rPr>
                <w:rFonts w:eastAsia="Calibri"/>
              </w:rPr>
            </w:pPr>
            <w:r w:rsidRPr="00164C14">
              <w:t>3.3</w:t>
            </w:r>
          </w:p>
        </w:tc>
        <w:tc>
          <w:tcPr>
            <w:tcW w:w="606" w:type="pct"/>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39,846</w:t>
            </w:r>
          </w:p>
        </w:tc>
        <w:tc>
          <w:tcPr>
            <w:tcW w:w="614" w:type="pct"/>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40,612</w:t>
            </w:r>
          </w:p>
        </w:tc>
      </w:tr>
      <w:tr w:rsidR="00164C14" w:rsidRPr="00164C14" w:rsidTr="004B6750">
        <w:tc>
          <w:tcPr>
            <w:cnfStyle w:val="001000000000" w:firstRow="0" w:lastRow="0" w:firstColumn="1" w:lastColumn="0" w:oddVBand="0" w:evenVBand="0" w:oddHBand="0" w:evenHBand="0" w:firstRowFirstColumn="0" w:firstRowLastColumn="0" w:lastRowFirstColumn="0" w:lastRowLastColumn="0"/>
            <w:tcW w:w="3383" w:type="pct"/>
            <w:tcBorders>
              <w:bottom w:val="single" w:sz="4" w:space="0" w:color="auto"/>
            </w:tcBorders>
          </w:tcPr>
          <w:p w:rsidR="00164C14" w:rsidRPr="00164C14" w:rsidRDefault="00164C14" w:rsidP="00164C14">
            <w:pPr>
              <w:pStyle w:val="TableBodyText"/>
              <w:rPr>
                <w:rFonts w:eastAsia="Calibri"/>
              </w:rPr>
            </w:pPr>
            <w:r w:rsidRPr="00164C14">
              <w:t>Supplies and services</w:t>
            </w:r>
          </w:p>
        </w:tc>
        <w:tc>
          <w:tcPr>
            <w:tcW w:w="397" w:type="pct"/>
            <w:tcBorders>
              <w:bottom w:val="single" w:sz="4" w:space="0" w:color="auto"/>
            </w:tcBorders>
          </w:tcPr>
          <w:p w:rsidR="00164C14" w:rsidRPr="00164C14" w:rsidRDefault="00164C14" w:rsidP="004B6750">
            <w:pPr>
              <w:pStyle w:val="TableBodyText"/>
              <w:jc w:val="left"/>
              <w:cnfStyle w:val="000000000000" w:firstRow="0" w:lastRow="0" w:firstColumn="0" w:lastColumn="0" w:oddVBand="0" w:evenVBand="0" w:oddHBand="0" w:evenHBand="0" w:firstRowFirstColumn="0" w:firstRowLastColumn="0" w:lastRowFirstColumn="0" w:lastRowLastColumn="0"/>
              <w:rPr>
                <w:rFonts w:eastAsia="Calibri"/>
              </w:rPr>
            </w:pPr>
            <w:r w:rsidRPr="00164C14">
              <w:t>3.4</w:t>
            </w:r>
          </w:p>
        </w:tc>
        <w:tc>
          <w:tcPr>
            <w:tcW w:w="606" w:type="pct"/>
            <w:tcBorders>
              <w:bottom w:val="single" w:sz="4" w:space="0" w:color="auto"/>
            </w:tcBorders>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115,429</w:t>
            </w:r>
          </w:p>
        </w:tc>
        <w:tc>
          <w:tcPr>
            <w:tcW w:w="614" w:type="pct"/>
            <w:tcBorders>
              <w:bottom w:val="single" w:sz="4" w:space="0" w:color="auto"/>
            </w:tcBorders>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110,655</w:t>
            </w:r>
          </w:p>
        </w:tc>
      </w:tr>
      <w:tr w:rsidR="004B6750" w:rsidRPr="00164C14" w:rsidTr="004B6750">
        <w:tc>
          <w:tcPr>
            <w:cnfStyle w:val="001000000000" w:firstRow="0" w:lastRow="0" w:firstColumn="1" w:lastColumn="0" w:oddVBand="0" w:evenVBand="0" w:oddHBand="0" w:evenHBand="0" w:firstRowFirstColumn="0" w:firstRowLastColumn="0" w:lastRowFirstColumn="0" w:lastRowLastColumn="0"/>
            <w:tcW w:w="3383" w:type="pct"/>
            <w:tcBorders>
              <w:bottom w:val="single" w:sz="4" w:space="0" w:color="auto"/>
            </w:tcBorders>
          </w:tcPr>
          <w:p w:rsidR="004B6750" w:rsidRPr="00164C14" w:rsidRDefault="004B6750" w:rsidP="004B6750">
            <w:pPr>
              <w:pStyle w:val="TableBodyText"/>
            </w:pPr>
            <w:r w:rsidRPr="00164C14">
              <w:rPr>
                <w:rStyle w:val="Bold"/>
              </w:rPr>
              <w:t>Total expenses incurred in delivery of services</w:t>
            </w:r>
          </w:p>
        </w:tc>
        <w:tc>
          <w:tcPr>
            <w:tcW w:w="397" w:type="pct"/>
            <w:tcBorders>
              <w:bottom w:val="single" w:sz="4" w:space="0" w:color="auto"/>
            </w:tcBorders>
          </w:tcPr>
          <w:p w:rsidR="004B6750" w:rsidRPr="00164C14" w:rsidRDefault="004B6750" w:rsidP="004B6750">
            <w:pPr>
              <w:pStyle w:val="TableBodyText"/>
              <w:jc w:val="left"/>
              <w:cnfStyle w:val="000000000000" w:firstRow="0" w:lastRow="0" w:firstColumn="0" w:lastColumn="0" w:oddVBand="0" w:evenVBand="0" w:oddHBand="0" w:evenHBand="0" w:firstRowFirstColumn="0" w:firstRowLastColumn="0" w:lastRowFirstColumn="0" w:lastRowLastColumn="0"/>
            </w:pPr>
            <w:r>
              <w:t>N/A</w:t>
            </w:r>
          </w:p>
        </w:tc>
        <w:tc>
          <w:tcPr>
            <w:tcW w:w="606" w:type="pct"/>
            <w:tcBorders>
              <w:bottom w:val="single" w:sz="4" w:space="0" w:color="auto"/>
            </w:tcBorders>
            <w:shd w:val="clear" w:color="auto" w:fill="F3F3F3"/>
          </w:tcPr>
          <w:p w:rsidR="004B6750" w:rsidRPr="00164C14"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64C14">
              <w:rPr>
                <w:rStyle w:val="Bold"/>
              </w:rPr>
              <w:t>442,343</w:t>
            </w:r>
          </w:p>
        </w:tc>
        <w:tc>
          <w:tcPr>
            <w:tcW w:w="614" w:type="pct"/>
            <w:tcBorders>
              <w:bottom w:val="single" w:sz="4" w:space="0" w:color="auto"/>
            </w:tcBorders>
          </w:tcPr>
          <w:p w:rsidR="004B6750" w:rsidRPr="00164C14"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64C14">
              <w:rPr>
                <w:rStyle w:val="Bold"/>
              </w:rPr>
              <w:t>419,601</w:t>
            </w:r>
          </w:p>
        </w:tc>
      </w:tr>
    </w:tbl>
    <w:p w:rsidR="00164C14" w:rsidRDefault="00164C14" w:rsidP="00164C14">
      <w:pPr>
        <w:pStyle w:val="Heading3"/>
      </w:pPr>
      <w:r w:rsidRPr="00164C14">
        <w:t>Employee benefit expenses in the comprehensive operating statement</w:t>
      </w:r>
    </w:p>
    <w:tbl>
      <w:tblPr>
        <w:tblStyle w:val="FinancialTable"/>
        <w:tblW w:w="5000" w:type="pct"/>
        <w:tblLook w:val="04A0" w:firstRow="1" w:lastRow="0" w:firstColumn="1" w:lastColumn="0" w:noHBand="0" w:noVBand="1"/>
      </w:tblPr>
      <w:tblGrid>
        <w:gridCol w:w="7286"/>
        <w:gridCol w:w="1168"/>
        <w:gridCol w:w="1184"/>
      </w:tblGrid>
      <w:tr w:rsidR="00164C14" w:rsidRPr="00164C14" w:rsidTr="00164C14">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3780" w:type="pct"/>
          </w:tcPr>
          <w:p w:rsidR="00164C14" w:rsidRPr="00164C14" w:rsidRDefault="00164C14" w:rsidP="00B6415B">
            <w:pPr>
              <w:pStyle w:val="TableHeading"/>
              <w:rPr>
                <w:rStyle w:val="Bold"/>
                <w:rFonts w:eastAsia="Calibri"/>
              </w:rPr>
            </w:pPr>
            <w:r w:rsidRPr="00164C14">
              <w:rPr>
                <w:rStyle w:val="Bold"/>
              </w:rPr>
              <w:t>Item</w:t>
            </w:r>
          </w:p>
        </w:tc>
        <w:tc>
          <w:tcPr>
            <w:tcW w:w="606" w:type="pct"/>
            <w:shd w:val="clear" w:color="auto" w:fill="F3F3F3"/>
          </w:tcPr>
          <w:p w:rsidR="00164C14" w:rsidRPr="00164C14" w:rsidRDefault="00164C14" w:rsidP="00B6415B">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2017</w:t>
            </w:r>
          </w:p>
          <w:p w:rsidR="00164C14" w:rsidRPr="00164C14" w:rsidRDefault="00164C14" w:rsidP="00B6415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$'000</w:t>
            </w:r>
          </w:p>
        </w:tc>
        <w:tc>
          <w:tcPr>
            <w:tcW w:w="614" w:type="pct"/>
          </w:tcPr>
          <w:p w:rsidR="00164C14" w:rsidRPr="00164C14" w:rsidRDefault="00164C14" w:rsidP="00B6415B">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2016</w:t>
            </w:r>
          </w:p>
          <w:p w:rsidR="00164C14" w:rsidRPr="00164C14" w:rsidRDefault="00164C14" w:rsidP="00B6415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164C14">
              <w:rPr>
                <w:rStyle w:val="Bold"/>
              </w:rPr>
              <w:t>$'000</w:t>
            </w:r>
          </w:p>
        </w:tc>
      </w:tr>
      <w:tr w:rsidR="00164C14" w:rsidRPr="00164C14" w:rsidTr="00B6415B">
        <w:tc>
          <w:tcPr>
            <w:cnfStyle w:val="001000000000" w:firstRow="0" w:lastRow="0" w:firstColumn="1" w:lastColumn="0" w:oddVBand="0" w:evenVBand="0" w:oddHBand="0" w:evenHBand="0" w:firstRowFirstColumn="0" w:firstRowLastColumn="0" w:lastRowFirstColumn="0" w:lastRowLastColumn="0"/>
            <w:tcW w:w="3780" w:type="pct"/>
          </w:tcPr>
          <w:p w:rsidR="00164C14" w:rsidRPr="00164C14" w:rsidRDefault="00164C14" w:rsidP="00B6415B">
            <w:pPr>
              <w:pStyle w:val="TableHeading"/>
              <w:rPr>
                <w:rFonts w:eastAsia="Calibri"/>
                <w:b w:val="0"/>
              </w:rPr>
            </w:pPr>
            <w:r w:rsidRPr="00164C14">
              <w:rPr>
                <w:b w:val="0"/>
              </w:rPr>
              <w:t>Defined contribution superannuation expense</w:t>
            </w:r>
          </w:p>
        </w:tc>
        <w:tc>
          <w:tcPr>
            <w:tcW w:w="606" w:type="pct"/>
            <w:shd w:val="clear" w:color="auto" w:fill="F3F3F3"/>
          </w:tcPr>
          <w:p w:rsidR="00164C14" w:rsidRPr="00164C14" w:rsidRDefault="00164C14" w:rsidP="00B6415B">
            <w:pPr>
              <w:pStyle w:val="TableHeading"/>
              <w:cnfStyle w:val="000000000000" w:firstRow="0" w:lastRow="0" w:firstColumn="0" w:lastColumn="0" w:oddVBand="0" w:evenVBand="0" w:oddHBand="0" w:evenHBand="0" w:firstRowFirstColumn="0" w:firstRowLastColumn="0" w:lastRowFirstColumn="0" w:lastRowLastColumn="0"/>
              <w:rPr>
                <w:rFonts w:eastAsia="Calibri"/>
                <w:b w:val="0"/>
              </w:rPr>
            </w:pPr>
            <w:r w:rsidRPr="00164C14">
              <w:rPr>
                <w:b w:val="0"/>
              </w:rPr>
              <w:t>15,869</w:t>
            </w:r>
          </w:p>
        </w:tc>
        <w:tc>
          <w:tcPr>
            <w:tcW w:w="614" w:type="pct"/>
          </w:tcPr>
          <w:p w:rsidR="00164C14" w:rsidRPr="00164C14" w:rsidRDefault="00164C14" w:rsidP="00B6415B">
            <w:pPr>
              <w:pStyle w:val="TableHeading"/>
              <w:cnfStyle w:val="000000000000" w:firstRow="0" w:lastRow="0" w:firstColumn="0" w:lastColumn="0" w:oddVBand="0" w:evenVBand="0" w:oddHBand="0" w:evenHBand="0" w:firstRowFirstColumn="0" w:firstRowLastColumn="0" w:lastRowFirstColumn="0" w:lastRowLastColumn="0"/>
              <w:rPr>
                <w:rFonts w:eastAsia="Calibri"/>
                <w:b w:val="0"/>
              </w:rPr>
            </w:pPr>
            <w:r w:rsidRPr="00164C14">
              <w:rPr>
                <w:b w:val="0"/>
              </w:rPr>
              <w:t>14,818</w:t>
            </w:r>
          </w:p>
        </w:tc>
      </w:tr>
      <w:tr w:rsidR="00164C14" w:rsidRPr="00164C14" w:rsidTr="00164C14">
        <w:tc>
          <w:tcPr>
            <w:cnfStyle w:val="001000000000" w:firstRow="0" w:lastRow="0" w:firstColumn="1" w:lastColumn="0" w:oddVBand="0" w:evenVBand="0" w:oddHBand="0" w:evenHBand="0" w:firstRowFirstColumn="0" w:firstRowLastColumn="0" w:lastRowFirstColumn="0" w:lastRowLastColumn="0"/>
            <w:tcW w:w="3780" w:type="pct"/>
          </w:tcPr>
          <w:p w:rsidR="00164C14" w:rsidRPr="00164C14" w:rsidRDefault="00164C14" w:rsidP="00164C14">
            <w:pPr>
              <w:pStyle w:val="TableBodyText"/>
              <w:rPr>
                <w:rFonts w:eastAsia="Calibri"/>
              </w:rPr>
            </w:pPr>
            <w:r w:rsidRPr="00164C14">
              <w:t>Defined benefit superannuation expense</w:t>
            </w:r>
          </w:p>
        </w:tc>
        <w:tc>
          <w:tcPr>
            <w:tcW w:w="606" w:type="pct"/>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2,038</w:t>
            </w:r>
          </w:p>
        </w:tc>
        <w:tc>
          <w:tcPr>
            <w:tcW w:w="614" w:type="pct"/>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2,213</w:t>
            </w:r>
          </w:p>
        </w:tc>
      </w:tr>
      <w:tr w:rsidR="00164C14" w:rsidRPr="00164C14" w:rsidTr="00164C14">
        <w:tc>
          <w:tcPr>
            <w:cnfStyle w:val="001000000000" w:firstRow="0" w:lastRow="0" w:firstColumn="1" w:lastColumn="0" w:oddVBand="0" w:evenVBand="0" w:oddHBand="0" w:evenHBand="0" w:firstRowFirstColumn="0" w:firstRowLastColumn="0" w:lastRowFirstColumn="0" w:lastRowLastColumn="0"/>
            <w:tcW w:w="3780" w:type="pct"/>
          </w:tcPr>
          <w:p w:rsidR="00164C14" w:rsidRPr="00164C14" w:rsidRDefault="00164C14" w:rsidP="00164C14">
            <w:pPr>
              <w:pStyle w:val="TableBodyText"/>
              <w:rPr>
                <w:rFonts w:eastAsia="Calibri"/>
              </w:rPr>
            </w:pPr>
            <w:r w:rsidRPr="00164C14">
              <w:t>Termination benefits</w:t>
            </w:r>
          </w:p>
        </w:tc>
        <w:tc>
          <w:tcPr>
            <w:tcW w:w="606" w:type="pct"/>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632</w:t>
            </w:r>
          </w:p>
        </w:tc>
        <w:tc>
          <w:tcPr>
            <w:tcW w:w="614" w:type="pct"/>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723</w:t>
            </w:r>
          </w:p>
        </w:tc>
      </w:tr>
      <w:tr w:rsidR="00164C14" w:rsidRPr="00164C14" w:rsidTr="00164C14">
        <w:tc>
          <w:tcPr>
            <w:cnfStyle w:val="001000000000" w:firstRow="0" w:lastRow="0" w:firstColumn="1" w:lastColumn="0" w:oddVBand="0" w:evenVBand="0" w:oddHBand="0" w:evenHBand="0" w:firstRowFirstColumn="0" w:firstRowLastColumn="0" w:lastRowFirstColumn="0" w:lastRowLastColumn="0"/>
            <w:tcW w:w="3780" w:type="pct"/>
          </w:tcPr>
          <w:p w:rsidR="00164C14" w:rsidRPr="00164C14" w:rsidRDefault="00164C14" w:rsidP="00164C14">
            <w:pPr>
              <w:pStyle w:val="TableBodyText"/>
              <w:rPr>
                <w:rFonts w:eastAsia="Calibri"/>
              </w:rPr>
            </w:pPr>
            <w:r w:rsidRPr="00164C14">
              <w:t>Salaries and wages</w:t>
            </w:r>
          </w:p>
        </w:tc>
        <w:tc>
          <w:tcPr>
            <w:tcW w:w="606" w:type="pct"/>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213,795</w:t>
            </w:r>
          </w:p>
        </w:tc>
        <w:tc>
          <w:tcPr>
            <w:tcW w:w="614" w:type="pct"/>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203,395</w:t>
            </w:r>
          </w:p>
        </w:tc>
      </w:tr>
      <w:tr w:rsidR="00164C14" w:rsidRPr="00164C14" w:rsidTr="00164C14">
        <w:tc>
          <w:tcPr>
            <w:cnfStyle w:val="001000000000" w:firstRow="0" w:lastRow="0" w:firstColumn="1" w:lastColumn="0" w:oddVBand="0" w:evenVBand="0" w:oddHBand="0" w:evenHBand="0" w:firstRowFirstColumn="0" w:firstRowLastColumn="0" w:lastRowFirstColumn="0" w:lastRowLastColumn="0"/>
            <w:tcW w:w="3780" w:type="pct"/>
          </w:tcPr>
          <w:p w:rsidR="00164C14" w:rsidRPr="00164C14" w:rsidRDefault="00164C14" w:rsidP="00164C14">
            <w:pPr>
              <w:pStyle w:val="TableBodyText"/>
              <w:rPr>
                <w:rFonts w:eastAsia="Calibri"/>
              </w:rPr>
            </w:pPr>
            <w:r w:rsidRPr="00164C14">
              <w:t>Leave expenses (annual leave and long service leave)</w:t>
            </w:r>
          </w:p>
        </w:tc>
        <w:tc>
          <w:tcPr>
            <w:tcW w:w="606" w:type="pct"/>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26,251</w:t>
            </w:r>
          </w:p>
        </w:tc>
        <w:tc>
          <w:tcPr>
            <w:tcW w:w="614" w:type="pct"/>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24,626</w:t>
            </w:r>
          </w:p>
        </w:tc>
      </w:tr>
      <w:tr w:rsidR="00164C14" w:rsidRPr="00164C14" w:rsidTr="00164C14">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164C14" w:rsidRPr="00164C14" w:rsidRDefault="00164C14" w:rsidP="00164C14">
            <w:pPr>
              <w:pStyle w:val="TableBodyText"/>
              <w:rPr>
                <w:rFonts w:eastAsia="Calibri"/>
              </w:rPr>
            </w:pPr>
            <w:r w:rsidRPr="00164C14">
              <w:rPr>
                <w:rFonts w:eastAsia="Calibri"/>
              </w:rPr>
              <w:t>Other on</w:t>
            </w:r>
            <w:r w:rsidRPr="00164C14">
              <w:rPr>
                <w:rFonts w:ascii="Cambria Math" w:eastAsia="Calibri" w:hAnsi="Cambria Math" w:cs="Cambria Math"/>
              </w:rPr>
              <w:t>‐</w:t>
            </w:r>
            <w:r w:rsidRPr="00164C14">
              <w:rPr>
                <w:rFonts w:eastAsia="Calibri"/>
              </w:rPr>
              <w:t xml:space="preserve">costs (fringe benefits tax, payroll tax, training and </w:t>
            </w:r>
            <w:proofErr w:type="spellStart"/>
            <w:r w:rsidRPr="00164C14">
              <w:rPr>
                <w:rFonts w:eastAsia="Calibri"/>
              </w:rPr>
              <w:t>workcover</w:t>
            </w:r>
            <w:proofErr w:type="spellEnd"/>
            <w:r w:rsidRPr="00164C14">
              <w:rPr>
                <w:rFonts w:eastAsia="Calibri"/>
              </w:rPr>
              <w:t xml:space="preserve"> levy)</w:t>
            </w:r>
          </w:p>
        </w:tc>
        <w:tc>
          <w:tcPr>
            <w:tcW w:w="606" w:type="pct"/>
            <w:tcBorders>
              <w:bottom w:val="single" w:sz="4" w:space="0" w:color="auto"/>
            </w:tcBorders>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19,949</w:t>
            </w:r>
          </w:p>
        </w:tc>
        <w:tc>
          <w:tcPr>
            <w:tcW w:w="614" w:type="pct"/>
            <w:tcBorders>
              <w:bottom w:val="single" w:sz="4" w:space="0" w:color="auto"/>
            </w:tcBorders>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64C14">
              <w:t>18,799</w:t>
            </w:r>
          </w:p>
        </w:tc>
      </w:tr>
      <w:tr w:rsidR="00164C14" w:rsidRPr="00164C14" w:rsidTr="00164C14">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164C14" w:rsidRPr="00164C14" w:rsidRDefault="00164C14" w:rsidP="00164C14">
            <w:pPr>
              <w:pStyle w:val="TableBodyText"/>
              <w:rPr>
                <w:rStyle w:val="Bold"/>
                <w:rFonts w:eastAsia="Calibri"/>
              </w:rPr>
            </w:pPr>
            <w:r w:rsidRPr="00164C14">
              <w:rPr>
                <w:rStyle w:val="Bold"/>
              </w:rPr>
              <w:t>Total employee expenses</w:t>
            </w:r>
          </w:p>
        </w:tc>
        <w:tc>
          <w:tcPr>
            <w:tcW w:w="606" w:type="pct"/>
            <w:tcBorders>
              <w:top w:val="single" w:sz="4" w:space="0" w:color="auto"/>
              <w:bottom w:val="single" w:sz="4" w:space="0" w:color="auto"/>
            </w:tcBorders>
            <w:shd w:val="clear" w:color="auto" w:fill="F3F3F3"/>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64C14">
              <w:rPr>
                <w:rStyle w:val="Bold"/>
              </w:rPr>
              <w:t>278,533</w:t>
            </w:r>
          </w:p>
        </w:tc>
        <w:tc>
          <w:tcPr>
            <w:tcW w:w="614" w:type="pct"/>
            <w:tcBorders>
              <w:top w:val="single" w:sz="4" w:space="0" w:color="auto"/>
              <w:bottom w:val="single" w:sz="4" w:space="0" w:color="auto"/>
            </w:tcBorders>
          </w:tcPr>
          <w:p w:rsidR="00164C14" w:rsidRPr="00164C14" w:rsidRDefault="00164C14" w:rsidP="00164C14">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64C14">
              <w:rPr>
                <w:rStyle w:val="Bold"/>
              </w:rPr>
              <w:t>264,574</w:t>
            </w:r>
          </w:p>
        </w:tc>
      </w:tr>
    </w:tbl>
    <w:p w:rsidR="00164C14" w:rsidRDefault="00164C14" w:rsidP="00164C14">
      <w:pPr>
        <w:pStyle w:val="BodyText"/>
      </w:pPr>
      <w:r>
        <w:t>Employee expenses encompasses all costs related to employment, including wages and salaries, fringe benefits tax, leave entitlements, termination payments and WorkCover premiums.</w:t>
      </w:r>
    </w:p>
    <w:p w:rsidR="00164C14" w:rsidRDefault="00164C14" w:rsidP="00164C14">
      <w:pPr>
        <w:pStyle w:val="BodyText"/>
      </w:pPr>
      <w:r>
        <w:t>The amount recognised in the comprehensive operating statement in relation to superannuation is employer contributions for members of both defined benefit and defined contribution superannuation plans that are paid or payable during the reporting period. CSV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rsidR="00164C14" w:rsidRDefault="00164C14" w:rsidP="00164C14">
      <w:pPr>
        <w:pStyle w:val="BodyText"/>
      </w:pPr>
      <w:r>
        <w:t xml:space="preserve">Termination benefits are payable when employment is terminated before normal retirement date, or when an employee accepts an offer of benefits in exchange for the termination of employment. Termination benefits are recognised when CSV is demonstrably committed to terminating the employment of current employees according to formal plans without possibility of withdrawal, or providing termination benefits as a result of an </w:t>
      </w:r>
      <w:r>
        <w:lastRenderedPageBreak/>
        <w:t>offer made to encourage voluntary redundancy. Benefits due more than 12 months after the end of the reporting period are discounted to present value.</w:t>
      </w:r>
    </w:p>
    <w:p w:rsidR="00F61C3C" w:rsidRDefault="00F61C3C" w:rsidP="00F61C3C">
      <w:pPr>
        <w:pStyle w:val="Heading3"/>
      </w:pPr>
      <w:r w:rsidRPr="00F61C3C">
        <w:t>Employee benefits in the balance sheet</w:t>
      </w:r>
    </w:p>
    <w:p w:rsidR="00F61C3C" w:rsidRDefault="00F61C3C" w:rsidP="00F61C3C">
      <w:pPr>
        <w:pStyle w:val="BodyText"/>
      </w:pPr>
      <w:r w:rsidRPr="00F61C3C">
        <w:t>Provision is made for benefits accruing to employees in respect of wages and salaries, annual leave and long service leave for services rendered to the reporting date and recorded as an expense during the period the services are delivered.</w:t>
      </w:r>
    </w:p>
    <w:tbl>
      <w:tblPr>
        <w:tblStyle w:val="FinancialTable"/>
        <w:tblW w:w="5000" w:type="pct"/>
        <w:tblLook w:val="04A0" w:firstRow="1" w:lastRow="0" w:firstColumn="1" w:lastColumn="0" w:noHBand="0" w:noVBand="1"/>
      </w:tblPr>
      <w:tblGrid>
        <w:gridCol w:w="7286"/>
        <w:gridCol w:w="1168"/>
        <w:gridCol w:w="1184"/>
      </w:tblGrid>
      <w:tr w:rsidR="00F61C3C" w:rsidRPr="00F61C3C" w:rsidTr="00F61C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0" w:type="pct"/>
          </w:tcPr>
          <w:p w:rsidR="00F61C3C" w:rsidRPr="00F61C3C" w:rsidRDefault="00F61C3C" w:rsidP="00F61C3C">
            <w:pPr>
              <w:pStyle w:val="TableBodyText"/>
              <w:rPr>
                <w:rStyle w:val="Bold"/>
              </w:rPr>
            </w:pPr>
            <w:r w:rsidRPr="00F61C3C">
              <w:rPr>
                <w:rStyle w:val="Bold"/>
              </w:rPr>
              <w:t>Item</w:t>
            </w:r>
          </w:p>
        </w:tc>
        <w:tc>
          <w:tcPr>
            <w:tcW w:w="606" w:type="pct"/>
            <w:shd w:val="clear" w:color="auto" w:fill="F3F3F3"/>
          </w:tcPr>
          <w:p w:rsidR="00F61C3C" w:rsidRPr="00F61C3C" w:rsidRDefault="00F61C3C" w:rsidP="00F61C3C">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61C3C">
              <w:rPr>
                <w:rStyle w:val="Bold"/>
              </w:rPr>
              <w:t>2017</w:t>
            </w:r>
          </w:p>
          <w:p w:rsidR="00F61C3C" w:rsidRPr="00F61C3C" w:rsidRDefault="00F61C3C" w:rsidP="00F61C3C">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61C3C">
              <w:rPr>
                <w:rStyle w:val="Bold"/>
              </w:rPr>
              <w:t>$'000</w:t>
            </w:r>
          </w:p>
        </w:tc>
        <w:tc>
          <w:tcPr>
            <w:tcW w:w="614" w:type="pct"/>
          </w:tcPr>
          <w:p w:rsidR="00F61C3C" w:rsidRPr="00F61C3C" w:rsidRDefault="00F61C3C" w:rsidP="00F61C3C">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61C3C">
              <w:rPr>
                <w:rStyle w:val="Bold"/>
              </w:rPr>
              <w:t>2016</w:t>
            </w:r>
          </w:p>
          <w:p w:rsidR="00F61C3C" w:rsidRPr="00F61C3C" w:rsidRDefault="00F61C3C" w:rsidP="00F61C3C">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F61C3C">
              <w:rPr>
                <w:rStyle w:val="Bold"/>
              </w:rPr>
              <w:t>$'000</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Style w:val="Bold"/>
                <w:rFonts w:eastAsia="Calibri"/>
              </w:rPr>
            </w:pPr>
            <w:r w:rsidRPr="00F61C3C">
              <w:rPr>
                <w:rStyle w:val="Bold"/>
              </w:rPr>
              <w:t>Current provisions:</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Style w:val="Bold"/>
                <w:rFonts w:eastAsia="Calibri"/>
              </w:rPr>
            </w:pPr>
            <w:r w:rsidRPr="00F61C3C">
              <w:rPr>
                <w:rStyle w:val="Bold"/>
              </w:rPr>
              <w:t>Annual leave</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Fonts w:eastAsia="Calibri"/>
              </w:rPr>
            </w:pPr>
            <w:r w:rsidRPr="00F61C3C">
              <w:t>Unconditional and expected to settle within 12 months</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9,335</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8,325</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Fonts w:eastAsia="Calibri"/>
              </w:rPr>
            </w:pPr>
            <w:r w:rsidRPr="00F61C3C">
              <w:t>Unconditional and expected to settle after 12 months</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1,853</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1,921</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Style w:val="Bold"/>
                <w:rFonts w:eastAsia="Calibri"/>
              </w:rPr>
            </w:pPr>
            <w:r w:rsidRPr="00F61C3C">
              <w:rPr>
                <w:rStyle w:val="Bold"/>
              </w:rPr>
              <w:t>Long service leave</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Fonts w:eastAsia="Calibri"/>
              </w:rPr>
            </w:pPr>
            <w:r w:rsidRPr="00F61C3C">
              <w:t>Unconditional and expected to settle within 12 months</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3,559</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4,761</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Fonts w:eastAsia="Calibri"/>
              </w:rPr>
            </w:pPr>
            <w:r w:rsidRPr="00F61C3C">
              <w:t>Unconditional and expected to settle after 12 months</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44,711</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43,475</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Style w:val="Bold"/>
                <w:rFonts w:eastAsia="Calibri"/>
              </w:rPr>
            </w:pPr>
            <w:r w:rsidRPr="00F61C3C">
              <w:rPr>
                <w:rStyle w:val="Bold"/>
                <w:rFonts w:eastAsia="Calibri"/>
              </w:rPr>
              <w:t>Provisions for on</w:t>
            </w:r>
            <w:r w:rsidRPr="00F61C3C">
              <w:rPr>
                <w:rStyle w:val="Bold"/>
                <w:rFonts w:ascii="Cambria Math" w:eastAsia="Calibri" w:hAnsi="Cambria Math" w:cs="Cambria Math"/>
              </w:rPr>
              <w:t>‐</w:t>
            </w:r>
            <w:r w:rsidRPr="00F61C3C">
              <w:rPr>
                <w:rStyle w:val="Bold"/>
                <w:rFonts w:eastAsia="Calibri"/>
              </w:rPr>
              <w:t>costs</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pPr>
            <w:r>
              <w:t>N/A</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Fonts w:eastAsia="Calibri"/>
              </w:rPr>
            </w:pPr>
            <w:r w:rsidRPr="00F61C3C">
              <w:t>Unconditional and expected to settle within 12 months</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3,055</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3,468</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F61C3C" w:rsidRPr="00F61C3C" w:rsidRDefault="00F61C3C" w:rsidP="00F61C3C">
            <w:pPr>
              <w:pStyle w:val="TableBodyText"/>
              <w:rPr>
                <w:rFonts w:eastAsia="Calibri"/>
              </w:rPr>
            </w:pPr>
            <w:r w:rsidRPr="00F61C3C">
              <w:t>Unconditional and expected to settle after 12 months</w:t>
            </w:r>
          </w:p>
        </w:tc>
        <w:tc>
          <w:tcPr>
            <w:tcW w:w="606" w:type="pct"/>
            <w:tcBorders>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5,874</w:t>
            </w:r>
          </w:p>
        </w:tc>
        <w:tc>
          <w:tcPr>
            <w:tcW w:w="614" w:type="pct"/>
            <w:tcBorders>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5,204</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F61C3C" w:rsidRPr="00F61C3C" w:rsidRDefault="00F61C3C" w:rsidP="00F61C3C">
            <w:pPr>
              <w:pStyle w:val="TableBodyText"/>
              <w:rPr>
                <w:rStyle w:val="Bold"/>
                <w:rFonts w:eastAsia="Calibri"/>
              </w:rPr>
            </w:pPr>
            <w:r w:rsidRPr="00F61C3C">
              <w:rPr>
                <w:rStyle w:val="Bold"/>
              </w:rPr>
              <w:t>Total current provisions for employee benefits</w:t>
            </w:r>
          </w:p>
        </w:tc>
        <w:tc>
          <w:tcPr>
            <w:tcW w:w="606" w:type="pct"/>
            <w:tcBorders>
              <w:top w:val="single" w:sz="4" w:space="0" w:color="auto"/>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68,387</w:t>
            </w:r>
          </w:p>
        </w:tc>
        <w:tc>
          <w:tcPr>
            <w:tcW w:w="614" w:type="pct"/>
            <w:tcBorders>
              <w:top w:val="single" w:sz="4" w:space="0" w:color="auto"/>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67,154</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nil"/>
            </w:tcBorders>
          </w:tcPr>
          <w:p w:rsidR="00F61C3C" w:rsidRPr="00F61C3C" w:rsidRDefault="00F61C3C" w:rsidP="00F61C3C">
            <w:pPr>
              <w:pStyle w:val="TableBodyText"/>
              <w:spacing w:before="120"/>
              <w:rPr>
                <w:rStyle w:val="Bold"/>
                <w:rFonts w:eastAsia="Calibri"/>
              </w:rPr>
            </w:pPr>
            <w:r w:rsidRPr="00F61C3C">
              <w:rPr>
                <w:rStyle w:val="Bold"/>
                <w:rFonts w:eastAsia="Calibri"/>
              </w:rPr>
              <w:t>Non</w:t>
            </w:r>
            <w:r w:rsidRPr="00F61C3C">
              <w:rPr>
                <w:rStyle w:val="Bold"/>
                <w:rFonts w:ascii="Cambria Math" w:eastAsia="Calibri" w:hAnsi="Cambria Math" w:cs="Cambria Math"/>
              </w:rPr>
              <w:t>‐</w:t>
            </w:r>
            <w:r w:rsidRPr="00F61C3C">
              <w:rPr>
                <w:rStyle w:val="Bold"/>
                <w:rFonts w:eastAsia="Calibri"/>
              </w:rPr>
              <w:t>current provisions</w:t>
            </w:r>
          </w:p>
        </w:tc>
        <w:tc>
          <w:tcPr>
            <w:tcW w:w="606" w:type="pct"/>
            <w:tcBorders>
              <w:top w:val="single" w:sz="4" w:space="0" w:color="auto"/>
              <w:bottom w:val="nil"/>
            </w:tcBorders>
            <w:shd w:val="clear" w:color="auto" w:fill="F3F3F3"/>
          </w:tcPr>
          <w:p w:rsidR="00F61C3C" w:rsidRPr="00F61C3C" w:rsidRDefault="00F61C3C" w:rsidP="003D7434">
            <w:pPr>
              <w:pStyle w:val="TableBodyText"/>
              <w:spacing w:before="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614" w:type="pct"/>
            <w:tcBorders>
              <w:top w:val="single" w:sz="4" w:space="0" w:color="auto"/>
              <w:bottom w:val="nil"/>
            </w:tcBorders>
          </w:tcPr>
          <w:p w:rsidR="00F61C3C" w:rsidRPr="00F61C3C" w:rsidRDefault="00F61C3C" w:rsidP="003D7434">
            <w:pPr>
              <w:pStyle w:val="TableBodyText"/>
              <w:spacing w:before="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nil"/>
            </w:tcBorders>
          </w:tcPr>
          <w:p w:rsidR="00F61C3C" w:rsidRPr="00F61C3C" w:rsidRDefault="00F61C3C" w:rsidP="00F61C3C">
            <w:pPr>
              <w:pStyle w:val="TableBodyText"/>
              <w:rPr>
                <w:rFonts w:eastAsia="Calibri"/>
              </w:rPr>
            </w:pPr>
            <w:r w:rsidRPr="00F61C3C">
              <w:t>Employee benefits</w:t>
            </w:r>
          </w:p>
        </w:tc>
        <w:tc>
          <w:tcPr>
            <w:tcW w:w="606" w:type="pct"/>
            <w:tcBorders>
              <w:top w:val="nil"/>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7,645</w:t>
            </w:r>
          </w:p>
        </w:tc>
        <w:tc>
          <w:tcPr>
            <w:tcW w:w="614" w:type="pct"/>
            <w:tcBorders>
              <w:top w:val="nil"/>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8,396</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F61C3C" w:rsidRPr="00F61C3C" w:rsidRDefault="00F61C3C" w:rsidP="00F61C3C">
            <w:pPr>
              <w:pStyle w:val="TableBodyText"/>
              <w:rPr>
                <w:rFonts w:eastAsia="Calibri"/>
              </w:rPr>
            </w:pPr>
            <w:r w:rsidRPr="00F61C3C">
              <w:rPr>
                <w:rFonts w:eastAsia="Calibri"/>
              </w:rPr>
              <w:t>On</w:t>
            </w:r>
            <w:r w:rsidRPr="00F61C3C">
              <w:rPr>
                <w:rFonts w:ascii="Cambria Math" w:eastAsia="Calibri" w:hAnsi="Cambria Math" w:cs="Cambria Math"/>
              </w:rPr>
              <w:t>‐</w:t>
            </w:r>
            <w:r w:rsidRPr="00F61C3C">
              <w:rPr>
                <w:rFonts w:eastAsia="Calibri"/>
              </w:rPr>
              <w:t>costs</w:t>
            </w:r>
          </w:p>
        </w:tc>
        <w:tc>
          <w:tcPr>
            <w:tcW w:w="606" w:type="pct"/>
            <w:tcBorders>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915</w:t>
            </w:r>
          </w:p>
        </w:tc>
        <w:tc>
          <w:tcPr>
            <w:tcW w:w="614" w:type="pct"/>
            <w:tcBorders>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1,005</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F61C3C" w:rsidRPr="00F61C3C" w:rsidRDefault="00F61C3C" w:rsidP="00F61C3C">
            <w:pPr>
              <w:pStyle w:val="TableBodyText"/>
              <w:rPr>
                <w:rStyle w:val="Bold"/>
                <w:rFonts w:eastAsia="Calibri"/>
              </w:rPr>
            </w:pPr>
            <w:r w:rsidRPr="00F61C3C">
              <w:rPr>
                <w:rStyle w:val="Bold"/>
                <w:rFonts w:eastAsia="Calibri"/>
              </w:rPr>
              <w:t>Total non</w:t>
            </w:r>
            <w:r w:rsidRPr="00F61C3C">
              <w:rPr>
                <w:rStyle w:val="Bold"/>
                <w:rFonts w:ascii="Cambria Math" w:eastAsia="Calibri" w:hAnsi="Cambria Math" w:cs="Cambria Math"/>
              </w:rPr>
              <w:t>‐</w:t>
            </w:r>
            <w:r w:rsidRPr="00F61C3C">
              <w:rPr>
                <w:rStyle w:val="Bold"/>
                <w:rFonts w:eastAsia="Calibri"/>
              </w:rPr>
              <w:t>current provisions for employee benefits</w:t>
            </w:r>
          </w:p>
        </w:tc>
        <w:tc>
          <w:tcPr>
            <w:tcW w:w="606" w:type="pct"/>
            <w:tcBorders>
              <w:top w:val="single" w:sz="4" w:space="0" w:color="auto"/>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8,561</w:t>
            </w:r>
          </w:p>
        </w:tc>
        <w:tc>
          <w:tcPr>
            <w:tcW w:w="614" w:type="pct"/>
            <w:tcBorders>
              <w:top w:val="single" w:sz="4" w:space="0" w:color="auto"/>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9,402</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F61C3C" w:rsidRPr="00F61C3C" w:rsidRDefault="00F61C3C" w:rsidP="00F61C3C">
            <w:pPr>
              <w:pStyle w:val="TableBodyText"/>
              <w:rPr>
                <w:rStyle w:val="Bold"/>
                <w:rFonts w:eastAsia="Calibri"/>
              </w:rPr>
            </w:pPr>
            <w:r w:rsidRPr="00F61C3C">
              <w:rPr>
                <w:rStyle w:val="Bold"/>
              </w:rPr>
              <w:t>Total provisions for employee benefits</w:t>
            </w:r>
          </w:p>
        </w:tc>
        <w:tc>
          <w:tcPr>
            <w:tcW w:w="606" w:type="pct"/>
            <w:tcBorders>
              <w:top w:val="single" w:sz="4" w:space="0" w:color="auto"/>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76,948</w:t>
            </w:r>
          </w:p>
        </w:tc>
        <w:tc>
          <w:tcPr>
            <w:tcW w:w="614" w:type="pct"/>
            <w:tcBorders>
              <w:top w:val="single" w:sz="4" w:space="0" w:color="auto"/>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76,555</w:t>
            </w:r>
          </w:p>
        </w:tc>
      </w:tr>
    </w:tbl>
    <w:p w:rsidR="00F61C3C" w:rsidRDefault="00F61C3C" w:rsidP="00440FE9">
      <w:pPr>
        <w:pStyle w:val="Heading4"/>
      </w:pPr>
      <w:r w:rsidRPr="00F61C3C">
        <w:t>Reconciliation of movement in on</w:t>
      </w:r>
      <w:r w:rsidRPr="00F61C3C">
        <w:rPr>
          <w:rFonts w:ascii="Cambria Math" w:hAnsi="Cambria Math" w:cs="Cambria Math"/>
        </w:rPr>
        <w:t>‐</w:t>
      </w:r>
      <w:r w:rsidRPr="00F61C3C">
        <w:t>cost provision</w:t>
      </w:r>
    </w:p>
    <w:tbl>
      <w:tblPr>
        <w:tblStyle w:val="FinancialTable"/>
        <w:tblW w:w="5000" w:type="pct"/>
        <w:tblLook w:val="04A0" w:firstRow="1" w:lastRow="0" w:firstColumn="1" w:lastColumn="0" w:noHBand="0" w:noVBand="1"/>
      </w:tblPr>
      <w:tblGrid>
        <w:gridCol w:w="7286"/>
        <w:gridCol w:w="1168"/>
        <w:gridCol w:w="1184"/>
      </w:tblGrid>
      <w:tr w:rsidR="00F61C3C" w:rsidRPr="00F61C3C" w:rsidTr="00F61C3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0" w:type="pct"/>
          </w:tcPr>
          <w:p w:rsidR="00F61C3C" w:rsidRPr="00F61C3C" w:rsidRDefault="00B6415B" w:rsidP="00F61C3C">
            <w:pPr>
              <w:pStyle w:val="TableHeading"/>
            </w:pPr>
            <w:r>
              <w:t>Item</w:t>
            </w:r>
          </w:p>
        </w:tc>
        <w:tc>
          <w:tcPr>
            <w:tcW w:w="606" w:type="pct"/>
            <w:shd w:val="clear" w:color="auto" w:fill="F3F3F3"/>
          </w:tcPr>
          <w:p w:rsidR="00F61C3C" w:rsidRPr="00F61C3C" w:rsidRDefault="00F61C3C" w:rsidP="00F61C3C">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F61C3C">
              <w:t>2017</w:t>
            </w:r>
          </w:p>
          <w:p w:rsidR="00F61C3C" w:rsidRPr="00F61C3C" w:rsidRDefault="00F61C3C" w:rsidP="00F61C3C">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F61C3C">
              <w:t>$'000</w:t>
            </w:r>
          </w:p>
        </w:tc>
        <w:tc>
          <w:tcPr>
            <w:tcW w:w="614" w:type="pct"/>
          </w:tcPr>
          <w:p w:rsidR="00F61C3C" w:rsidRPr="00F61C3C" w:rsidRDefault="00F61C3C" w:rsidP="00F61C3C">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F61C3C">
              <w:t>2016</w:t>
            </w:r>
          </w:p>
          <w:p w:rsidR="00F61C3C" w:rsidRPr="00F61C3C" w:rsidRDefault="00F61C3C" w:rsidP="00F61C3C">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F61C3C">
              <w:t>$'000</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Style w:val="Bold"/>
                <w:rFonts w:eastAsia="Calibri"/>
              </w:rPr>
            </w:pPr>
            <w:r w:rsidRPr="00F61C3C">
              <w:rPr>
                <w:rStyle w:val="Bold"/>
              </w:rPr>
              <w:t>Opening balance</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9,677</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9,445</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Pr>
          <w:p w:rsidR="00F61C3C" w:rsidRPr="00F61C3C" w:rsidRDefault="00F61C3C" w:rsidP="00F61C3C">
            <w:pPr>
              <w:pStyle w:val="TableBodyText"/>
              <w:rPr>
                <w:rFonts w:eastAsia="Calibri"/>
              </w:rPr>
            </w:pPr>
            <w:r w:rsidRPr="00F61C3C">
              <w:t>Additional provisions recognised</w:t>
            </w:r>
          </w:p>
        </w:tc>
        <w:tc>
          <w:tcPr>
            <w:tcW w:w="606" w:type="pct"/>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5,243</w:t>
            </w:r>
          </w:p>
        </w:tc>
        <w:tc>
          <w:tcPr>
            <w:tcW w:w="614" w:type="pct"/>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5,137</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F61C3C" w:rsidRPr="00F61C3C" w:rsidRDefault="00F61C3C" w:rsidP="00F61C3C">
            <w:pPr>
              <w:pStyle w:val="TableBodyText"/>
              <w:rPr>
                <w:rFonts w:eastAsia="Calibri"/>
              </w:rPr>
            </w:pPr>
            <w:r w:rsidRPr="00F61C3C">
              <w:t>Reductions arising from payments/other sacrifices of future economic benefits</w:t>
            </w:r>
          </w:p>
        </w:tc>
        <w:tc>
          <w:tcPr>
            <w:tcW w:w="606" w:type="pct"/>
            <w:tcBorders>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(5,076)</w:t>
            </w:r>
          </w:p>
        </w:tc>
        <w:tc>
          <w:tcPr>
            <w:tcW w:w="614" w:type="pct"/>
            <w:tcBorders>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(4,905)</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F61C3C" w:rsidRPr="00F61C3C" w:rsidRDefault="00F61C3C" w:rsidP="00F61C3C">
            <w:pPr>
              <w:pStyle w:val="TableBodyText"/>
              <w:rPr>
                <w:rStyle w:val="Bold"/>
                <w:rFonts w:eastAsia="Calibri"/>
              </w:rPr>
            </w:pPr>
            <w:r w:rsidRPr="00F61C3C">
              <w:rPr>
                <w:rStyle w:val="Bold"/>
              </w:rPr>
              <w:t>Closing balance</w:t>
            </w:r>
          </w:p>
        </w:tc>
        <w:tc>
          <w:tcPr>
            <w:tcW w:w="606" w:type="pct"/>
            <w:tcBorders>
              <w:top w:val="single" w:sz="4" w:space="0" w:color="auto"/>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9,844</w:t>
            </w:r>
          </w:p>
        </w:tc>
        <w:tc>
          <w:tcPr>
            <w:tcW w:w="614" w:type="pct"/>
            <w:tcBorders>
              <w:top w:val="single" w:sz="4" w:space="0" w:color="auto"/>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9,677</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tcBorders>
          </w:tcPr>
          <w:p w:rsidR="00F61C3C" w:rsidRPr="00F61C3C" w:rsidRDefault="00F61C3C" w:rsidP="00F61C3C">
            <w:pPr>
              <w:pStyle w:val="TableBodyText"/>
              <w:spacing w:before="120"/>
              <w:rPr>
                <w:rFonts w:eastAsia="Calibri"/>
              </w:rPr>
            </w:pPr>
            <w:r w:rsidRPr="00F61C3C">
              <w:t>Current</w:t>
            </w:r>
          </w:p>
        </w:tc>
        <w:tc>
          <w:tcPr>
            <w:tcW w:w="606" w:type="pct"/>
            <w:tcBorders>
              <w:top w:val="single" w:sz="4" w:space="0" w:color="auto"/>
            </w:tcBorders>
            <w:shd w:val="clear" w:color="auto" w:fill="F3F3F3"/>
          </w:tcPr>
          <w:p w:rsidR="00F61C3C" w:rsidRPr="00F61C3C" w:rsidRDefault="00F61C3C" w:rsidP="00F61C3C">
            <w:pPr>
              <w:pStyle w:val="TableBodyText"/>
              <w:spacing w:before="120"/>
              <w:cnfStyle w:val="000000000000" w:firstRow="0" w:lastRow="0" w:firstColumn="0" w:lastColumn="0" w:oddVBand="0" w:evenVBand="0" w:oddHBand="0" w:evenHBand="0" w:firstRowFirstColumn="0" w:firstRowLastColumn="0" w:lastRowFirstColumn="0" w:lastRowLastColumn="0"/>
              <w:rPr>
                <w:rFonts w:eastAsia="Calibri"/>
              </w:rPr>
            </w:pPr>
            <w:r w:rsidRPr="00F61C3C">
              <w:t>8,929</w:t>
            </w:r>
          </w:p>
        </w:tc>
        <w:tc>
          <w:tcPr>
            <w:tcW w:w="614" w:type="pct"/>
            <w:tcBorders>
              <w:top w:val="single" w:sz="4" w:space="0" w:color="auto"/>
            </w:tcBorders>
          </w:tcPr>
          <w:p w:rsidR="00F61C3C" w:rsidRPr="00F61C3C" w:rsidRDefault="00F61C3C" w:rsidP="00F61C3C">
            <w:pPr>
              <w:pStyle w:val="TableBodyText"/>
              <w:spacing w:before="120"/>
              <w:cnfStyle w:val="000000000000" w:firstRow="0" w:lastRow="0" w:firstColumn="0" w:lastColumn="0" w:oddVBand="0" w:evenVBand="0" w:oddHBand="0" w:evenHBand="0" w:firstRowFirstColumn="0" w:firstRowLastColumn="0" w:lastRowFirstColumn="0" w:lastRowLastColumn="0"/>
              <w:rPr>
                <w:rFonts w:eastAsia="Calibri"/>
              </w:rPr>
            </w:pPr>
            <w:r w:rsidRPr="00F61C3C">
              <w:t>8,672</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F61C3C" w:rsidRPr="00F61C3C" w:rsidRDefault="00F61C3C" w:rsidP="00F61C3C">
            <w:pPr>
              <w:pStyle w:val="TableBodyText"/>
              <w:rPr>
                <w:rFonts w:eastAsia="Calibri"/>
              </w:rPr>
            </w:pPr>
            <w:r w:rsidRPr="00F61C3C">
              <w:rPr>
                <w:rFonts w:eastAsia="Calibri"/>
              </w:rPr>
              <w:t>Non</w:t>
            </w:r>
            <w:r w:rsidRPr="00F61C3C">
              <w:rPr>
                <w:rFonts w:ascii="Cambria Math" w:eastAsia="Calibri" w:hAnsi="Cambria Math" w:cs="Cambria Math"/>
              </w:rPr>
              <w:t>‐</w:t>
            </w:r>
            <w:r w:rsidRPr="00F61C3C">
              <w:rPr>
                <w:rFonts w:eastAsia="Calibri"/>
              </w:rPr>
              <w:t>current</w:t>
            </w:r>
          </w:p>
        </w:tc>
        <w:tc>
          <w:tcPr>
            <w:tcW w:w="606" w:type="pct"/>
            <w:tcBorders>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915</w:t>
            </w:r>
          </w:p>
        </w:tc>
        <w:tc>
          <w:tcPr>
            <w:tcW w:w="614" w:type="pct"/>
            <w:tcBorders>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F61C3C">
              <w:t>1,005</w:t>
            </w:r>
          </w:p>
        </w:tc>
      </w:tr>
      <w:tr w:rsidR="00F61C3C" w:rsidRPr="00F61C3C" w:rsidTr="00F61C3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F61C3C" w:rsidRPr="00F61C3C" w:rsidRDefault="00F61C3C" w:rsidP="00F61C3C">
            <w:pPr>
              <w:pStyle w:val="TableBodyText"/>
              <w:rPr>
                <w:rStyle w:val="Bold"/>
                <w:rFonts w:eastAsia="Calibri"/>
              </w:rPr>
            </w:pPr>
            <w:r w:rsidRPr="00F61C3C">
              <w:rPr>
                <w:rStyle w:val="Bold"/>
              </w:rPr>
              <w:t>Total</w:t>
            </w:r>
          </w:p>
        </w:tc>
        <w:tc>
          <w:tcPr>
            <w:tcW w:w="606" w:type="pct"/>
            <w:tcBorders>
              <w:top w:val="single" w:sz="4" w:space="0" w:color="auto"/>
              <w:bottom w:val="single" w:sz="4" w:space="0" w:color="auto"/>
            </w:tcBorders>
            <w:shd w:val="clear" w:color="auto" w:fill="F3F3F3"/>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9,844</w:t>
            </w:r>
          </w:p>
        </w:tc>
        <w:tc>
          <w:tcPr>
            <w:tcW w:w="614" w:type="pct"/>
            <w:tcBorders>
              <w:top w:val="single" w:sz="4" w:space="0" w:color="auto"/>
              <w:bottom w:val="single" w:sz="4" w:space="0" w:color="auto"/>
            </w:tcBorders>
          </w:tcPr>
          <w:p w:rsidR="00F61C3C" w:rsidRPr="00F61C3C" w:rsidRDefault="00F61C3C" w:rsidP="00F61C3C">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F61C3C">
              <w:rPr>
                <w:rStyle w:val="Bold"/>
              </w:rPr>
              <w:t>9,677</w:t>
            </w:r>
          </w:p>
        </w:tc>
      </w:tr>
    </w:tbl>
    <w:p w:rsidR="00B6415B" w:rsidRDefault="00B6415B" w:rsidP="00B6415B">
      <w:pPr>
        <w:pStyle w:val="BodyText"/>
      </w:pPr>
      <w:r w:rsidRPr="004B6750">
        <w:rPr>
          <w:rStyle w:val="Bold"/>
        </w:rPr>
        <w:t xml:space="preserve">Wages and salaries, annual leave and sick leave: </w:t>
      </w:r>
      <w:r>
        <w:t>Liabilities for wages and salaries (including non</w:t>
      </w:r>
      <w:r>
        <w:rPr>
          <w:rFonts w:ascii="Cambria Math" w:hAnsi="Cambria Math" w:cs="Cambria Math"/>
        </w:rPr>
        <w:t>‐</w:t>
      </w:r>
      <w:r>
        <w:t>monetary benefits, annual leave and on</w:t>
      </w:r>
      <w:r>
        <w:rPr>
          <w:rFonts w:ascii="Cambria Math" w:hAnsi="Cambria Math" w:cs="Cambria Math"/>
        </w:rPr>
        <w:t>‐</w:t>
      </w:r>
      <w:r>
        <w:t>costs) are recognised as part of the employee benefit provision as current liabilities, because CSV does not have an unconditional right to defer settlements of these liabilities.</w:t>
      </w:r>
    </w:p>
    <w:p w:rsidR="00B6415B" w:rsidRDefault="00B6415B" w:rsidP="00B6415B">
      <w:pPr>
        <w:pStyle w:val="BodyText"/>
      </w:pPr>
      <w:r>
        <w:t>The liability for salaries and wages are recognised in the balance sheet at remuneration rates that are current at the reporting date. As CSV expects the liabilities to be wholly settled within 12 months of reporting date, they are measured at undiscounted amounts.</w:t>
      </w:r>
    </w:p>
    <w:p w:rsidR="00B6415B" w:rsidRDefault="00B6415B" w:rsidP="00B6415B">
      <w:pPr>
        <w:pStyle w:val="BodyText"/>
      </w:pPr>
      <w:r>
        <w:t>The annual leave liability is classified as a current liability and measured at the undiscounted amount expected to be paid, as CSV does not have an unconditional right to defer settlement of the liability for at least 12 months after the end of the reporting period.</w:t>
      </w:r>
    </w:p>
    <w:p w:rsidR="00B6415B" w:rsidRDefault="00B6415B" w:rsidP="00B6415B">
      <w:pPr>
        <w:pStyle w:val="BodyText"/>
      </w:pPr>
      <w:r>
        <w:lastRenderedPageBreak/>
        <w:t>No provision has been made for sick leave as all sick leave is non</w:t>
      </w:r>
      <w:r>
        <w:rPr>
          <w:rFonts w:ascii="Cambria Math" w:hAnsi="Cambria Math" w:cs="Cambria Math"/>
        </w:rPr>
        <w:t>‐</w:t>
      </w:r>
      <w:r>
        <w:t>vesting and it is not considered probable that the average sick leave taken in the future will be greater than the benefits accrued in the future. As sick leave is non</w:t>
      </w:r>
      <w:r>
        <w:rPr>
          <w:rFonts w:ascii="Cambria Math" w:hAnsi="Cambria Math" w:cs="Cambria Math"/>
        </w:rPr>
        <w:t>‐</w:t>
      </w:r>
      <w:r>
        <w:t>vesting, an expense is recognised in the Statement of Comprehensive Income as it is taken.</w:t>
      </w:r>
    </w:p>
    <w:p w:rsidR="00B6415B" w:rsidRDefault="00B6415B" w:rsidP="00B6415B">
      <w:pPr>
        <w:pStyle w:val="BodyText"/>
      </w:pPr>
      <w:r>
        <w:t>Employment on</w:t>
      </w:r>
      <w:r>
        <w:rPr>
          <w:rFonts w:ascii="Cambria Math" w:hAnsi="Cambria Math" w:cs="Cambria Math"/>
        </w:rPr>
        <w:t>‐</w:t>
      </w:r>
      <w:r>
        <w:t>costs such as payroll tax, workers compensation and superannuation are not employee benefits. They are disclosed separately as a component of the provision for employee benefits when the employment to which they relate has occurred.</w:t>
      </w:r>
    </w:p>
    <w:p w:rsidR="00B6415B" w:rsidRDefault="00B6415B" w:rsidP="00B6415B">
      <w:pPr>
        <w:pStyle w:val="BodyText"/>
      </w:pPr>
      <w:r w:rsidRPr="004B6750">
        <w:rPr>
          <w:rStyle w:val="Bold"/>
        </w:rPr>
        <w:t xml:space="preserve">Unconditional long service leave </w:t>
      </w:r>
      <w:r>
        <w:t>is disclosed as a current liability even where CSV does not expect to settle the liability within 12 months, as it will not have the unconditional right to defer the settlement of the entitlement should an employee take leave within 12 months.</w:t>
      </w:r>
    </w:p>
    <w:p w:rsidR="00B6415B" w:rsidRDefault="00B6415B" w:rsidP="00B6415B">
      <w:pPr>
        <w:pStyle w:val="BodyText"/>
      </w:pPr>
      <w:r>
        <w:t>The components of the current long service leave liability are measured at:</w:t>
      </w:r>
    </w:p>
    <w:p w:rsidR="00B6415B" w:rsidRDefault="00B6415B" w:rsidP="004B6750">
      <w:pPr>
        <w:pStyle w:val="ListBullet"/>
      </w:pPr>
      <w:r>
        <w:t>undiscounted value – if CSV expects to wholly settle within 12 months; or</w:t>
      </w:r>
    </w:p>
    <w:p w:rsidR="00B6415B" w:rsidRDefault="00B6415B" w:rsidP="004B6750">
      <w:pPr>
        <w:pStyle w:val="ListBullet"/>
      </w:pPr>
      <w:proofErr w:type="gramStart"/>
      <w:r>
        <w:t>present</w:t>
      </w:r>
      <w:proofErr w:type="gramEnd"/>
      <w:r>
        <w:t xml:space="preserve"> value – if CSV does not expect to wholly settle within 12 months.</w:t>
      </w:r>
    </w:p>
    <w:p w:rsidR="00B6415B" w:rsidRDefault="00B6415B" w:rsidP="00B6415B">
      <w:pPr>
        <w:pStyle w:val="BodyText"/>
      </w:pPr>
      <w:r w:rsidRPr="004B6750">
        <w:rPr>
          <w:rStyle w:val="Bold"/>
        </w:rPr>
        <w:t xml:space="preserve">Conditional long service leave </w:t>
      </w:r>
      <w:r>
        <w:t>is disclosed as a non</w:t>
      </w:r>
      <w:r>
        <w:rPr>
          <w:rFonts w:ascii="Cambria Math" w:hAnsi="Cambria Math" w:cs="Cambria Math"/>
        </w:rPr>
        <w:t>‐</w:t>
      </w:r>
      <w:r>
        <w:t>current liability. There is an unconditional right to defer the settlement of the entitlement until the employee has completed the requisite years of service. This non</w:t>
      </w:r>
      <w:r>
        <w:rPr>
          <w:rFonts w:ascii="Cambria Math" w:hAnsi="Cambria Math" w:cs="Cambria Math"/>
        </w:rPr>
        <w:t>‐</w:t>
      </w:r>
      <w:r>
        <w:t>current long service leave liability is measured at present value.</w:t>
      </w:r>
    </w:p>
    <w:p w:rsidR="00F61C3C" w:rsidRDefault="00B6415B" w:rsidP="00B6415B">
      <w:pPr>
        <w:pStyle w:val="BodyText"/>
      </w:pPr>
      <w:r>
        <w:t>Any gain or loss following revaluation of the present value of non</w:t>
      </w:r>
      <w:r>
        <w:rPr>
          <w:rFonts w:ascii="Cambria Math" w:hAnsi="Cambria Math" w:cs="Cambria Math"/>
        </w:rPr>
        <w:t>‐</w:t>
      </w:r>
      <w:r>
        <w:t>current long service leave liability is recognised as a transaction, except to the extent that a gain or loss arises due to changes in bond interest rates for which it is then recognised as an 'other economic flow' in the net result.</w:t>
      </w:r>
    </w:p>
    <w:p w:rsidR="00B6415B" w:rsidRDefault="00B6415B" w:rsidP="00B6415B">
      <w:pPr>
        <w:pStyle w:val="Heading3"/>
      </w:pPr>
      <w:r w:rsidRPr="00B6415B">
        <w:t>Superannuation contributions</w:t>
      </w:r>
    </w:p>
    <w:p w:rsidR="00B6415B" w:rsidRDefault="00B6415B" w:rsidP="00B6415B">
      <w:pPr>
        <w:pStyle w:val="BodyText"/>
      </w:pPr>
      <w:r>
        <w:t>Employees of CSV are entitled to receive superannuation benefits and CSV contributes to both defined benefit and defined contribution plans. The defined benefit plans provide benefits based on years of service and final average salary.</w:t>
      </w:r>
    </w:p>
    <w:p w:rsidR="00B6415B" w:rsidRDefault="00B6415B" w:rsidP="00B6415B">
      <w:pPr>
        <w:pStyle w:val="BodyText"/>
      </w:pPr>
      <w:r>
        <w:t>As noted previously, the defined benefit liability is recognised in DTF as an administered liability. However, superannuation contributions paid or payable for the reporting period are included as part of employee benefits in the comprehensive operating statement of CSV.</w:t>
      </w:r>
    </w:p>
    <w:tbl>
      <w:tblPr>
        <w:tblStyle w:val="FinancialTable"/>
        <w:tblW w:w="5000" w:type="pct"/>
        <w:tblLayout w:type="fixed"/>
        <w:tblLook w:val="04A0" w:firstRow="1" w:lastRow="0" w:firstColumn="1" w:lastColumn="0" w:noHBand="0" w:noVBand="1"/>
      </w:tblPr>
      <w:tblGrid>
        <w:gridCol w:w="4253"/>
        <w:gridCol w:w="1346"/>
        <w:gridCol w:w="1347"/>
        <w:gridCol w:w="1345"/>
        <w:gridCol w:w="1347"/>
      </w:tblGrid>
      <w:tr w:rsidR="004B6750" w:rsidRPr="00B6415B" w:rsidTr="004B6750">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2206" w:type="pct"/>
            <w:noWrap/>
            <w:hideMark/>
          </w:tcPr>
          <w:p w:rsidR="00B06CE5" w:rsidRPr="00933901" w:rsidRDefault="00933901" w:rsidP="00B06CE5">
            <w:pPr>
              <w:pStyle w:val="TableBodyText"/>
              <w:rPr>
                <w:rStyle w:val="Bold"/>
              </w:rPr>
            </w:pPr>
            <w:r w:rsidRPr="00933901">
              <w:rPr>
                <w:rStyle w:val="Bold"/>
              </w:rPr>
              <w:t>Item</w:t>
            </w:r>
          </w:p>
        </w:tc>
        <w:tc>
          <w:tcPr>
            <w:tcW w:w="698" w:type="pct"/>
            <w:shd w:val="clear" w:color="auto" w:fill="F3F3F3"/>
            <w:noWrap/>
            <w:hideMark/>
          </w:tcPr>
          <w:p w:rsidR="00933901" w:rsidRPr="00933901" w:rsidRDefault="00933901"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Paid contribution for the year</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2017</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$'000</w:t>
            </w:r>
          </w:p>
        </w:tc>
        <w:tc>
          <w:tcPr>
            <w:tcW w:w="699" w:type="pct"/>
            <w:noWrap/>
            <w:hideMark/>
          </w:tcPr>
          <w:p w:rsidR="00933901" w:rsidRPr="00933901" w:rsidRDefault="00933901"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Paid contribution for the year</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2016</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$'000</w:t>
            </w:r>
          </w:p>
        </w:tc>
        <w:tc>
          <w:tcPr>
            <w:tcW w:w="698" w:type="pct"/>
            <w:shd w:val="clear" w:color="auto" w:fill="F3F3F3"/>
            <w:noWrap/>
            <w:hideMark/>
          </w:tcPr>
          <w:p w:rsidR="00933901" w:rsidRPr="00933901" w:rsidRDefault="00933901"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Contribution outstanding at year end</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2017</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$'000</w:t>
            </w:r>
          </w:p>
        </w:tc>
        <w:tc>
          <w:tcPr>
            <w:tcW w:w="699" w:type="pct"/>
            <w:noWrap/>
            <w:hideMark/>
          </w:tcPr>
          <w:p w:rsidR="00933901" w:rsidRPr="00933901" w:rsidRDefault="00933901"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Contribution outstanding at year end</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2016</w:t>
            </w:r>
          </w:p>
          <w:p w:rsidR="00B06CE5" w:rsidRPr="00933901" w:rsidRDefault="00B06CE5" w:rsidP="0093390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33901">
              <w:rPr>
                <w:rStyle w:val="Bold"/>
              </w:rPr>
              <w:t>$'000</w:t>
            </w:r>
          </w:p>
        </w:tc>
      </w:tr>
      <w:tr w:rsidR="004B6750" w:rsidRPr="00B6415B" w:rsidTr="004B6750">
        <w:tc>
          <w:tcPr>
            <w:cnfStyle w:val="001000000000" w:firstRow="0" w:lastRow="0" w:firstColumn="1" w:lastColumn="0" w:oddVBand="0" w:evenVBand="0" w:oddHBand="0" w:evenHBand="0" w:firstRowFirstColumn="0" w:firstRowLastColumn="0" w:lastRowFirstColumn="0" w:lastRowLastColumn="0"/>
            <w:tcW w:w="2206" w:type="pct"/>
            <w:noWrap/>
            <w:hideMark/>
          </w:tcPr>
          <w:p w:rsidR="00B6415B" w:rsidRPr="00933901" w:rsidRDefault="00B6415B" w:rsidP="00B6415B">
            <w:pPr>
              <w:pStyle w:val="TableBodyText"/>
              <w:rPr>
                <w:rStyle w:val="Bold"/>
              </w:rPr>
            </w:pPr>
            <w:r w:rsidRPr="00933901">
              <w:rPr>
                <w:rStyle w:val="Bold"/>
              </w:rPr>
              <w:t>Defined benefit plans:</w:t>
            </w:r>
          </w:p>
        </w:tc>
        <w:tc>
          <w:tcPr>
            <w:tcW w:w="698" w:type="pct"/>
            <w:tcBorders>
              <w:top w:val="nil"/>
              <w:bottom w:val="nil"/>
            </w:tcBorders>
            <w:shd w:val="clear" w:color="auto" w:fill="F3F3F3"/>
            <w:noWrap/>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9" w:type="pct"/>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8" w:type="pct"/>
            <w:tcBorders>
              <w:top w:val="nil"/>
              <w:bottom w:val="nil"/>
            </w:tcBorders>
            <w:shd w:val="clear" w:color="auto" w:fill="F3F3F3"/>
            <w:noWrap/>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9" w:type="pct"/>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t>N/A</w:t>
            </w:r>
          </w:p>
        </w:tc>
      </w:tr>
      <w:tr w:rsidR="004B6750" w:rsidRPr="00B6415B" w:rsidTr="004B6750">
        <w:tc>
          <w:tcPr>
            <w:cnfStyle w:val="001000000000" w:firstRow="0" w:lastRow="0" w:firstColumn="1" w:lastColumn="0" w:oddVBand="0" w:evenVBand="0" w:oddHBand="0" w:evenHBand="0" w:firstRowFirstColumn="0" w:firstRowLastColumn="0" w:lastRowFirstColumn="0" w:lastRowLastColumn="0"/>
            <w:tcW w:w="2206" w:type="pct"/>
            <w:hideMark/>
          </w:tcPr>
          <w:p w:rsidR="00B6415B" w:rsidRPr="00B6415B" w:rsidRDefault="00B6415B" w:rsidP="00B6415B">
            <w:pPr>
              <w:pStyle w:val="TableBodyText"/>
            </w:pPr>
            <w:r w:rsidRPr="00B6415B">
              <w:t xml:space="preserve">Emergency Services and State Super - </w:t>
            </w:r>
            <w:r w:rsidR="004B6750">
              <w:br/>
            </w:r>
            <w:r w:rsidRPr="00B6415B">
              <w:t>revised and new</w:t>
            </w:r>
          </w:p>
        </w:tc>
        <w:tc>
          <w:tcPr>
            <w:tcW w:w="698" w:type="pct"/>
            <w:tcBorders>
              <w:top w:val="nil"/>
              <w:bottom w:val="nil"/>
            </w:tcBorders>
            <w:shd w:val="clear" w:color="auto" w:fill="F3F3F3"/>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2,038</w:t>
            </w:r>
          </w:p>
        </w:tc>
        <w:tc>
          <w:tcPr>
            <w:tcW w:w="699" w:type="pct"/>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2,184</w:t>
            </w:r>
          </w:p>
        </w:tc>
        <w:tc>
          <w:tcPr>
            <w:tcW w:w="698" w:type="pct"/>
            <w:tcBorders>
              <w:top w:val="nil"/>
              <w:bottom w:val="nil"/>
            </w:tcBorders>
            <w:shd w:val="clear" w:color="auto" w:fill="F3F3F3"/>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31</w:t>
            </w:r>
          </w:p>
        </w:tc>
        <w:tc>
          <w:tcPr>
            <w:tcW w:w="699" w:type="pct"/>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29</w:t>
            </w:r>
          </w:p>
        </w:tc>
      </w:tr>
      <w:tr w:rsidR="004B6750" w:rsidRPr="00B6415B" w:rsidTr="004B6750">
        <w:tc>
          <w:tcPr>
            <w:cnfStyle w:val="001000000000" w:firstRow="0" w:lastRow="0" w:firstColumn="1" w:lastColumn="0" w:oddVBand="0" w:evenVBand="0" w:oddHBand="0" w:evenHBand="0" w:firstRowFirstColumn="0" w:firstRowLastColumn="0" w:lastRowFirstColumn="0" w:lastRowLastColumn="0"/>
            <w:tcW w:w="2206" w:type="pct"/>
            <w:noWrap/>
            <w:hideMark/>
          </w:tcPr>
          <w:p w:rsidR="00B6415B" w:rsidRPr="00933901" w:rsidRDefault="00B6415B" w:rsidP="004B6750">
            <w:pPr>
              <w:pStyle w:val="TableBodyText"/>
              <w:spacing w:before="120"/>
              <w:rPr>
                <w:rStyle w:val="Bold"/>
              </w:rPr>
            </w:pPr>
            <w:r w:rsidRPr="00933901">
              <w:rPr>
                <w:rStyle w:val="Bold"/>
              </w:rPr>
              <w:t>Defined contribution plans:</w:t>
            </w:r>
          </w:p>
        </w:tc>
        <w:tc>
          <w:tcPr>
            <w:tcW w:w="698" w:type="pct"/>
            <w:tcBorders>
              <w:top w:val="nil"/>
              <w:bottom w:val="nil"/>
            </w:tcBorders>
            <w:shd w:val="clear" w:color="auto" w:fill="F3F3F3"/>
            <w:noWrap/>
          </w:tcPr>
          <w:p w:rsidR="00B6415B" w:rsidRPr="00B6415B" w:rsidRDefault="00B6415B" w:rsidP="004B675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noWrap/>
            <w:hideMark/>
          </w:tcPr>
          <w:p w:rsidR="00B6415B" w:rsidRPr="00B6415B" w:rsidRDefault="00B6415B" w:rsidP="004B675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tcBorders>
              <w:top w:val="nil"/>
              <w:bottom w:val="nil"/>
            </w:tcBorders>
            <w:shd w:val="clear" w:color="auto" w:fill="F3F3F3"/>
            <w:noWrap/>
          </w:tcPr>
          <w:p w:rsidR="00B6415B" w:rsidRPr="00B6415B" w:rsidRDefault="00B6415B" w:rsidP="004B675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noWrap/>
            <w:hideMark/>
          </w:tcPr>
          <w:p w:rsidR="00B6415B" w:rsidRPr="00B6415B" w:rsidRDefault="00B6415B" w:rsidP="004B675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4B6750" w:rsidRPr="00B6415B" w:rsidTr="004B6750">
        <w:tc>
          <w:tcPr>
            <w:cnfStyle w:val="001000000000" w:firstRow="0" w:lastRow="0" w:firstColumn="1" w:lastColumn="0" w:oddVBand="0" w:evenVBand="0" w:oddHBand="0" w:evenHBand="0" w:firstRowFirstColumn="0" w:firstRowLastColumn="0" w:lastRowFirstColumn="0" w:lastRowLastColumn="0"/>
            <w:tcW w:w="2206" w:type="pct"/>
            <w:noWrap/>
            <w:hideMark/>
          </w:tcPr>
          <w:p w:rsidR="00B6415B" w:rsidRPr="00B6415B" w:rsidRDefault="00B6415B" w:rsidP="00B6415B">
            <w:pPr>
              <w:pStyle w:val="TableBodyText"/>
            </w:pPr>
            <w:proofErr w:type="spellStart"/>
            <w:r w:rsidRPr="00B6415B">
              <w:t>VicSuper</w:t>
            </w:r>
            <w:proofErr w:type="spellEnd"/>
          </w:p>
        </w:tc>
        <w:tc>
          <w:tcPr>
            <w:tcW w:w="698" w:type="pct"/>
            <w:tcBorders>
              <w:top w:val="nil"/>
              <w:bottom w:val="nil"/>
            </w:tcBorders>
            <w:shd w:val="clear" w:color="auto" w:fill="F3F3F3"/>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10,993</w:t>
            </w:r>
          </w:p>
        </w:tc>
        <w:tc>
          <w:tcPr>
            <w:tcW w:w="699" w:type="pct"/>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10,419</w:t>
            </w:r>
          </w:p>
        </w:tc>
        <w:tc>
          <w:tcPr>
            <w:tcW w:w="698" w:type="pct"/>
            <w:tcBorders>
              <w:top w:val="nil"/>
              <w:bottom w:val="nil"/>
            </w:tcBorders>
            <w:shd w:val="clear" w:color="auto" w:fill="F3F3F3"/>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184</w:t>
            </w:r>
          </w:p>
        </w:tc>
        <w:tc>
          <w:tcPr>
            <w:tcW w:w="699" w:type="pct"/>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145</w:t>
            </w:r>
          </w:p>
        </w:tc>
      </w:tr>
      <w:tr w:rsidR="004B6750" w:rsidRPr="00B6415B" w:rsidTr="004B6750">
        <w:tc>
          <w:tcPr>
            <w:cnfStyle w:val="001000000000" w:firstRow="0" w:lastRow="0" w:firstColumn="1" w:lastColumn="0" w:oddVBand="0" w:evenVBand="0" w:oddHBand="0" w:evenHBand="0" w:firstRowFirstColumn="0" w:firstRowLastColumn="0" w:lastRowFirstColumn="0" w:lastRowLastColumn="0"/>
            <w:tcW w:w="2206" w:type="pct"/>
            <w:tcBorders>
              <w:bottom w:val="single" w:sz="4" w:space="0" w:color="auto"/>
            </w:tcBorders>
            <w:noWrap/>
            <w:hideMark/>
          </w:tcPr>
          <w:p w:rsidR="00B6415B" w:rsidRPr="00B6415B" w:rsidRDefault="00B6415B" w:rsidP="00B6415B">
            <w:pPr>
              <w:pStyle w:val="TableBodyText"/>
            </w:pPr>
            <w:r w:rsidRPr="00B6415B">
              <w:t>Various other</w:t>
            </w:r>
          </w:p>
        </w:tc>
        <w:tc>
          <w:tcPr>
            <w:tcW w:w="698" w:type="pct"/>
            <w:tcBorders>
              <w:top w:val="nil"/>
              <w:bottom w:val="single" w:sz="4" w:space="0" w:color="auto"/>
            </w:tcBorders>
            <w:shd w:val="clear" w:color="auto" w:fill="F3F3F3"/>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4,877</w:t>
            </w:r>
          </w:p>
        </w:tc>
        <w:tc>
          <w:tcPr>
            <w:tcW w:w="699" w:type="pct"/>
            <w:tcBorders>
              <w:bottom w:val="single" w:sz="4" w:space="0" w:color="auto"/>
            </w:tcBorders>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4,197</w:t>
            </w:r>
          </w:p>
        </w:tc>
        <w:tc>
          <w:tcPr>
            <w:tcW w:w="698" w:type="pct"/>
            <w:tcBorders>
              <w:top w:val="nil"/>
              <w:bottom w:val="single" w:sz="4" w:space="0" w:color="auto"/>
            </w:tcBorders>
            <w:shd w:val="clear" w:color="auto" w:fill="F3F3F3"/>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86</w:t>
            </w:r>
          </w:p>
        </w:tc>
        <w:tc>
          <w:tcPr>
            <w:tcW w:w="699" w:type="pct"/>
            <w:tcBorders>
              <w:bottom w:val="single" w:sz="4" w:space="0" w:color="auto"/>
            </w:tcBorders>
            <w:noWrap/>
            <w:hideMark/>
          </w:tcPr>
          <w:p w:rsidR="00B6415B" w:rsidRPr="00B6415B" w:rsidRDefault="00B6415B" w:rsidP="00933901">
            <w:pPr>
              <w:pStyle w:val="TableBodyText"/>
              <w:cnfStyle w:val="000000000000" w:firstRow="0" w:lastRow="0" w:firstColumn="0" w:lastColumn="0" w:oddVBand="0" w:evenVBand="0" w:oddHBand="0" w:evenHBand="0" w:firstRowFirstColumn="0" w:firstRowLastColumn="0" w:lastRowFirstColumn="0" w:lastRowLastColumn="0"/>
            </w:pPr>
            <w:r w:rsidRPr="00B6415B">
              <w:t>57</w:t>
            </w:r>
          </w:p>
        </w:tc>
      </w:tr>
      <w:tr w:rsidR="004B6750" w:rsidRPr="00933901" w:rsidTr="004B6750">
        <w:tc>
          <w:tcPr>
            <w:cnfStyle w:val="001000000000" w:firstRow="0" w:lastRow="0" w:firstColumn="1" w:lastColumn="0" w:oddVBand="0" w:evenVBand="0" w:oddHBand="0" w:evenHBand="0" w:firstRowFirstColumn="0" w:firstRowLastColumn="0" w:lastRowFirstColumn="0" w:lastRowLastColumn="0"/>
            <w:tcW w:w="2206" w:type="pct"/>
            <w:tcBorders>
              <w:top w:val="single" w:sz="4" w:space="0" w:color="auto"/>
              <w:bottom w:val="single" w:sz="4" w:space="0" w:color="auto"/>
            </w:tcBorders>
            <w:noWrap/>
            <w:hideMark/>
          </w:tcPr>
          <w:p w:rsidR="00B6415B" w:rsidRPr="00933901" w:rsidRDefault="00B6415B" w:rsidP="00B6415B">
            <w:pPr>
              <w:pStyle w:val="TableBodyText"/>
              <w:rPr>
                <w:rStyle w:val="Bold"/>
              </w:rPr>
            </w:pPr>
            <w:r w:rsidRPr="00933901">
              <w:rPr>
                <w:rStyle w:val="Bold"/>
              </w:rPr>
              <w:t>Total</w:t>
            </w:r>
          </w:p>
        </w:tc>
        <w:tc>
          <w:tcPr>
            <w:tcW w:w="698" w:type="pct"/>
            <w:tcBorders>
              <w:top w:val="single" w:sz="4" w:space="0" w:color="auto"/>
              <w:bottom w:val="single" w:sz="4" w:space="0" w:color="auto"/>
            </w:tcBorders>
            <w:shd w:val="clear" w:color="auto" w:fill="F3F3F3"/>
            <w:noWrap/>
            <w:hideMark/>
          </w:tcPr>
          <w:p w:rsidR="00B6415B" w:rsidRPr="00933901" w:rsidRDefault="00B6415B" w:rsidP="0093390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33901">
              <w:rPr>
                <w:rStyle w:val="Bold"/>
              </w:rPr>
              <w:t>17,907</w:t>
            </w:r>
          </w:p>
        </w:tc>
        <w:tc>
          <w:tcPr>
            <w:tcW w:w="699" w:type="pct"/>
            <w:tcBorders>
              <w:top w:val="single" w:sz="4" w:space="0" w:color="auto"/>
              <w:bottom w:val="single" w:sz="4" w:space="0" w:color="auto"/>
            </w:tcBorders>
            <w:noWrap/>
            <w:hideMark/>
          </w:tcPr>
          <w:p w:rsidR="00B6415B" w:rsidRPr="00933901" w:rsidRDefault="00B6415B" w:rsidP="0093390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33901">
              <w:rPr>
                <w:rStyle w:val="Bold"/>
              </w:rPr>
              <w:t>16,800</w:t>
            </w:r>
          </w:p>
        </w:tc>
        <w:tc>
          <w:tcPr>
            <w:tcW w:w="698" w:type="pct"/>
            <w:tcBorders>
              <w:top w:val="single" w:sz="4" w:space="0" w:color="auto"/>
              <w:bottom w:val="single" w:sz="4" w:space="0" w:color="auto"/>
            </w:tcBorders>
            <w:shd w:val="clear" w:color="auto" w:fill="F3F3F3"/>
            <w:noWrap/>
            <w:hideMark/>
          </w:tcPr>
          <w:p w:rsidR="00B6415B" w:rsidRPr="00933901" w:rsidRDefault="00B6415B" w:rsidP="0093390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33901">
              <w:rPr>
                <w:rStyle w:val="Bold"/>
              </w:rPr>
              <w:t>301</w:t>
            </w:r>
          </w:p>
        </w:tc>
        <w:tc>
          <w:tcPr>
            <w:tcW w:w="699" w:type="pct"/>
            <w:tcBorders>
              <w:top w:val="single" w:sz="4" w:space="0" w:color="auto"/>
              <w:bottom w:val="single" w:sz="4" w:space="0" w:color="auto"/>
            </w:tcBorders>
            <w:noWrap/>
            <w:hideMark/>
          </w:tcPr>
          <w:p w:rsidR="00B6415B" w:rsidRPr="00933901" w:rsidRDefault="00B6415B" w:rsidP="0093390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33901">
              <w:rPr>
                <w:rStyle w:val="Bold"/>
              </w:rPr>
              <w:t>231</w:t>
            </w:r>
          </w:p>
        </w:tc>
      </w:tr>
    </w:tbl>
    <w:p w:rsidR="00B6415B" w:rsidRDefault="00933901" w:rsidP="004B6750">
      <w:pPr>
        <w:pStyle w:val="BodyText"/>
        <w:tabs>
          <w:tab w:val="clear" w:pos="2268"/>
          <w:tab w:val="left" w:pos="851"/>
        </w:tabs>
        <w:ind w:left="851" w:hanging="851"/>
      </w:pPr>
      <w:r>
        <w:t>Note:</w:t>
      </w:r>
      <w:r>
        <w:tab/>
      </w:r>
      <w:r w:rsidRPr="00933901">
        <w:t>The basis for determining the level of contributions is determined by the various actuaries of the defined benefit superannuation plans.</w:t>
      </w:r>
    </w:p>
    <w:p w:rsidR="00933901" w:rsidRDefault="00933901" w:rsidP="00933901">
      <w:pPr>
        <w:pStyle w:val="Heading2"/>
      </w:pPr>
      <w:bookmarkStart w:id="23" w:name="_Toc497125466"/>
      <w:r w:rsidRPr="00933901">
        <w:lastRenderedPageBreak/>
        <w:t>Grants and other transfers</w:t>
      </w:r>
      <w:bookmarkEnd w:id="23"/>
    </w:p>
    <w:tbl>
      <w:tblPr>
        <w:tblStyle w:val="FinancialTable"/>
        <w:tblW w:w="5000" w:type="pct"/>
        <w:tblLook w:val="04A0" w:firstRow="1" w:lastRow="0" w:firstColumn="1" w:lastColumn="0" w:noHBand="0" w:noVBand="1"/>
      </w:tblPr>
      <w:tblGrid>
        <w:gridCol w:w="7286"/>
        <w:gridCol w:w="1168"/>
        <w:gridCol w:w="1184"/>
      </w:tblGrid>
      <w:tr w:rsidR="00933901" w:rsidRPr="00933901" w:rsidTr="009339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0" w:type="pct"/>
          </w:tcPr>
          <w:p w:rsidR="00933901" w:rsidRPr="00933901" w:rsidRDefault="00933901" w:rsidP="00933901">
            <w:pPr>
              <w:pStyle w:val="TableHeading"/>
              <w:rPr>
                <w:rFonts w:eastAsia="Calibri"/>
              </w:rPr>
            </w:pPr>
            <w:r w:rsidRPr="00933901">
              <w:t>Grants and other transfers</w:t>
            </w:r>
          </w:p>
        </w:tc>
        <w:tc>
          <w:tcPr>
            <w:tcW w:w="606" w:type="pct"/>
          </w:tcPr>
          <w:p w:rsidR="00933901" w:rsidRPr="00933901" w:rsidRDefault="00933901" w:rsidP="00933901">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933901">
              <w:t>2017</w:t>
            </w:r>
          </w:p>
          <w:p w:rsidR="00933901" w:rsidRPr="00933901" w:rsidRDefault="00933901" w:rsidP="00933901">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933901">
              <w:t>$'000</w:t>
            </w:r>
          </w:p>
        </w:tc>
        <w:tc>
          <w:tcPr>
            <w:tcW w:w="614" w:type="pct"/>
          </w:tcPr>
          <w:p w:rsidR="00933901" w:rsidRPr="00933901" w:rsidRDefault="00933901" w:rsidP="00933901">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933901">
              <w:t>2016</w:t>
            </w:r>
          </w:p>
          <w:p w:rsidR="00933901" w:rsidRPr="00933901" w:rsidRDefault="00933901" w:rsidP="00933901">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933901">
              <w:t>$'000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spacing w:before="120"/>
            </w:pPr>
            <w:r w:rsidRPr="00933901">
              <w:t>Payments for specific purposes to:</w:t>
            </w:r>
          </w:p>
        </w:tc>
        <w:tc>
          <w:tcPr>
            <w:tcW w:w="606" w:type="pct"/>
          </w:tcPr>
          <w:p w:rsidR="004B6750" w:rsidRPr="00933901" w:rsidRDefault="004B6750" w:rsidP="004B6750">
            <w:pPr>
              <w:pStyle w:val="TableBodyText"/>
              <w:spacing w:before="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614" w:type="pct"/>
          </w:tcPr>
          <w:p w:rsidR="004B6750" w:rsidRPr="00933901" w:rsidRDefault="004B6750" w:rsidP="004B6750">
            <w:pPr>
              <w:pStyle w:val="TableBodyText"/>
              <w:spacing w:before="120"/>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pPr>
            <w:r w:rsidRPr="00933901">
              <w:t>Judicial College of Victoria</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2,459</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2,099</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Corrections Victoria Housing Program</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1,825</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167</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Supreme Court Library</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925</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350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Department of Health and Human Services</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369</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Department of Justice and Regulation</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407</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Australian Bureau of Statistics</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76</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The Wellington Collingwood Gift Fund</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32</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Court Network</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857</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r w:rsidRPr="00933901">
              <w:t>Jesuit Social Services</w:t>
            </w:r>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20</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Pr>
          <w:p w:rsidR="004B6750" w:rsidRPr="00933901" w:rsidRDefault="004B6750" w:rsidP="004B6750">
            <w:pPr>
              <w:pStyle w:val="TableBodyText"/>
              <w:rPr>
                <w:rFonts w:eastAsia="Calibri"/>
              </w:rPr>
            </w:pPr>
            <w:proofErr w:type="spellStart"/>
            <w:r w:rsidRPr="00933901">
              <w:t>Forensicare</w:t>
            </w:r>
            <w:proofErr w:type="spellEnd"/>
          </w:p>
        </w:tc>
        <w:tc>
          <w:tcPr>
            <w:tcW w:w="606"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131</w:t>
            </w:r>
          </w:p>
        </w:tc>
        <w:tc>
          <w:tcPr>
            <w:tcW w:w="614" w:type="pct"/>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pPr>
            <w:r>
              <w:t>0</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4B6750" w:rsidRPr="00933901" w:rsidRDefault="004B6750" w:rsidP="004B6750">
            <w:pPr>
              <w:pStyle w:val="TableBodyText"/>
              <w:rPr>
                <w:rFonts w:eastAsia="Calibri"/>
              </w:rPr>
            </w:pPr>
            <w:r w:rsidRPr="00933901">
              <w:t>Other</w:t>
            </w:r>
          </w:p>
        </w:tc>
        <w:tc>
          <w:tcPr>
            <w:tcW w:w="606" w:type="pct"/>
            <w:tcBorders>
              <w:bottom w:val="single" w:sz="4" w:space="0" w:color="auto"/>
            </w:tcBorders>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1,433</w:t>
            </w:r>
          </w:p>
        </w:tc>
        <w:tc>
          <w:tcPr>
            <w:tcW w:w="614" w:type="pct"/>
            <w:tcBorders>
              <w:bottom w:val="single" w:sz="4" w:space="0" w:color="auto"/>
            </w:tcBorders>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933901">
              <w:t>1,144</w:t>
            </w:r>
          </w:p>
        </w:tc>
      </w:tr>
      <w:tr w:rsidR="004B6750" w:rsidRPr="00933901" w:rsidTr="00933901">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4B6750" w:rsidRPr="00933901" w:rsidRDefault="004B6750" w:rsidP="004B6750">
            <w:pPr>
              <w:pStyle w:val="TableBodyText"/>
              <w:rPr>
                <w:rStyle w:val="Bold"/>
                <w:rFonts w:eastAsia="Calibri"/>
              </w:rPr>
            </w:pPr>
            <w:r w:rsidRPr="00933901">
              <w:rPr>
                <w:rStyle w:val="Bold"/>
              </w:rPr>
              <w:t>Total grants and other transfers</w:t>
            </w:r>
          </w:p>
        </w:tc>
        <w:tc>
          <w:tcPr>
            <w:tcW w:w="606" w:type="pct"/>
            <w:tcBorders>
              <w:top w:val="single" w:sz="4" w:space="0" w:color="auto"/>
              <w:bottom w:val="single" w:sz="4" w:space="0" w:color="auto"/>
            </w:tcBorders>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933901">
              <w:rPr>
                <w:rStyle w:val="Bold"/>
              </w:rPr>
              <w:t>8,535</w:t>
            </w:r>
          </w:p>
        </w:tc>
        <w:tc>
          <w:tcPr>
            <w:tcW w:w="614" w:type="pct"/>
            <w:tcBorders>
              <w:top w:val="single" w:sz="4" w:space="0" w:color="auto"/>
              <w:bottom w:val="single" w:sz="4" w:space="0" w:color="auto"/>
            </w:tcBorders>
          </w:tcPr>
          <w:p w:rsidR="004B6750" w:rsidRPr="00933901" w:rsidRDefault="004B6750" w:rsidP="004B6750">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933901">
              <w:rPr>
                <w:rStyle w:val="Bold"/>
              </w:rPr>
              <w:t>3,760</w:t>
            </w:r>
          </w:p>
        </w:tc>
      </w:tr>
    </w:tbl>
    <w:p w:rsidR="0081606A" w:rsidRDefault="0081606A" w:rsidP="0081606A">
      <w:pPr>
        <w:pStyle w:val="BodyText"/>
      </w:pPr>
      <w:r>
        <w:t>Grant expenses represent contributions of CSV resources to another party for specific or general purposes where there is no expectation that the amount will be repaid in equal value (either by money, goods or services).</w:t>
      </w:r>
    </w:p>
    <w:p w:rsidR="0081606A" w:rsidRDefault="0081606A" w:rsidP="0081606A">
      <w:pPr>
        <w:pStyle w:val="BodyText"/>
      </w:pPr>
      <w:r>
        <w:t>Grants can either be operating or capital in nature. 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00933901" w:rsidRDefault="0081606A" w:rsidP="0081606A">
      <w:pPr>
        <w:pStyle w:val="BodyText"/>
      </w:pPr>
      <w:r>
        <w:t>Grant expenses are recognised in the reporting period in which they are paid or payable. Grants can take the form of money, assets, goods, services or forgiveness of liabilities.</w:t>
      </w:r>
    </w:p>
    <w:p w:rsidR="0081606A" w:rsidRPr="0081606A" w:rsidRDefault="0081606A" w:rsidP="0081606A">
      <w:pPr>
        <w:pStyle w:val="Heading2"/>
      </w:pPr>
      <w:bookmarkStart w:id="24" w:name="_Toc497125467"/>
      <w:r w:rsidRPr="0081606A">
        <w:t>Capital asset charge</w:t>
      </w:r>
      <w:bookmarkEnd w:id="24"/>
    </w:p>
    <w:tbl>
      <w:tblPr>
        <w:tblStyle w:val="FinancialTable"/>
        <w:tblW w:w="5000" w:type="pct"/>
        <w:tblLook w:val="04A0" w:firstRow="1" w:lastRow="0" w:firstColumn="1" w:lastColumn="0" w:noHBand="0" w:noVBand="1"/>
      </w:tblPr>
      <w:tblGrid>
        <w:gridCol w:w="7286"/>
        <w:gridCol w:w="1168"/>
        <w:gridCol w:w="1184"/>
      </w:tblGrid>
      <w:tr w:rsidR="0081606A" w:rsidRPr="0081606A" w:rsidTr="008160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0" w:type="pct"/>
          </w:tcPr>
          <w:p w:rsidR="0081606A" w:rsidRPr="0081606A" w:rsidRDefault="0081606A" w:rsidP="0081606A">
            <w:pPr>
              <w:pStyle w:val="TableHeading"/>
              <w:rPr>
                <w:rFonts w:eastAsia="Calibri"/>
              </w:rPr>
            </w:pPr>
            <w:r>
              <w:t>Item</w:t>
            </w:r>
          </w:p>
        </w:tc>
        <w:tc>
          <w:tcPr>
            <w:tcW w:w="606" w:type="pct"/>
            <w:shd w:val="clear" w:color="auto" w:fill="F3F3F3"/>
          </w:tcPr>
          <w:p w:rsidR="0081606A" w:rsidRPr="0081606A" w:rsidRDefault="0081606A" w:rsidP="0081606A">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81606A">
              <w:t>2017</w:t>
            </w:r>
          </w:p>
          <w:p w:rsidR="0081606A" w:rsidRPr="0081606A" w:rsidRDefault="0081606A" w:rsidP="0081606A">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81606A">
              <w:t>$'000</w:t>
            </w:r>
          </w:p>
        </w:tc>
        <w:tc>
          <w:tcPr>
            <w:tcW w:w="614" w:type="pct"/>
          </w:tcPr>
          <w:p w:rsidR="0081606A" w:rsidRPr="0081606A" w:rsidRDefault="0081606A" w:rsidP="0081606A">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81606A">
              <w:t>2016</w:t>
            </w:r>
          </w:p>
          <w:p w:rsidR="0081606A" w:rsidRPr="0081606A" w:rsidRDefault="0081606A" w:rsidP="0081606A">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81606A">
              <w:t>$'000</w:t>
            </w:r>
          </w:p>
        </w:tc>
      </w:tr>
      <w:tr w:rsidR="0081606A" w:rsidRPr="0081606A" w:rsidTr="0081606A">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81606A" w:rsidRPr="0081606A" w:rsidRDefault="0081606A" w:rsidP="0081606A">
            <w:pPr>
              <w:pStyle w:val="TableHeading"/>
              <w:rPr>
                <w:rFonts w:eastAsia="Calibri"/>
                <w:b w:val="0"/>
              </w:rPr>
            </w:pPr>
            <w:r w:rsidRPr="0081606A">
              <w:rPr>
                <w:b w:val="0"/>
              </w:rPr>
              <w:t>Capital asset charge</w:t>
            </w:r>
          </w:p>
        </w:tc>
        <w:tc>
          <w:tcPr>
            <w:tcW w:w="606" w:type="pct"/>
            <w:tcBorders>
              <w:top w:val="single" w:sz="4" w:space="0" w:color="auto"/>
              <w:bottom w:val="single" w:sz="4" w:space="0" w:color="auto"/>
            </w:tcBorders>
            <w:shd w:val="clear" w:color="auto" w:fill="F3F3F3"/>
          </w:tcPr>
          <w:p w:rsidR="0081606A" w:rsidRPr="0081606A" w:rsidRDefault="0081606A" w:rsidP="0081606A">
            <w:pPr>
              <w:pStyle w:val="TableHeading"/>
              <w:cnfStyle w:val="000000000000" w:firstRow="0" w:lastRow="0" w:firstColumn="0" w:lastColumn="0" w:oddVBand="0" w:evenVBand="0" w:oddHBand="0" w:evenHBand="0" w:firstRowFirstColumn="0" w:firstRowLastColumn="0" w:lastRowFirstColumn="0" w:lastRowLastColumn="0"/>
              <w:rPr>
                <w:b w:val="0"/>
              </w:rPr>
            </w:pPr>
            <w:r w:rsidRPr="0081606A">
              <w:rPr>
                <w:b w:val="0"/>
              </w:rPr>
              <w:t>39,846</w:t>
            </w:r>
          </w:p>
        </w:tc>
        <w:tc>
          <w:tcPr>
            <w:tcW w:w="614" w:type="pct"/>
            <w:tcBorders>
              <w:bottom w:val="single" w:sz="4" w:space="0" w:color="auto"/>
            </w:tcBorders>
          </w:tcPr>
          <w:p w:rsidR="0081606A" w:rsidRPr="0081606A" w:rsidRDefault="0081606A" w:rsidP="0081606A">
            <w:pPr>
              <w:pStyle w:val="TableHeading"/>
              <w:cnfStyle w:val="000000000000" w:firstRow="0" w:lastRow="0" w:firstColumn="0" w:lastColumn="0" w:oddVBand="0" w:evenVBand="0" w:oddHBand="0" w:evenHBand="0" w:firstRowFirstColumn="0" w:firstRowLastColumn="0" w:lastRowFirstColumn="0" w:lastRowLastColumn="0"/>
              <w:rPr>
                <w:b w:val="0"/>
              </w:rPr>
            </w:pPr>
            <w:r w:rsidRPr="0081606A">
              <w:rPr>
                <w:b w:val="0"/>
              </w:rPr>
              <w:t>40,612</w:t>
            </w:r>
          </w:p>
        </w:tc>
      </w:tr>
      <w:tr w:rsidR="0081606A" w:rsidRPr="0081606A" w:rsidTr="0081606A">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81606A" w:rsidRPr="0081606A" w:rsidRDefault="0081606A" w:rsidP="0081606A">
            <w:pPr>
              <w:pStyle w:val="TableBodyText"/>
              <w:rPr>
                <w:rStyle w:val="Bold"/>
              </w:rPr>
            </w:pPr>
            <w:r w:rsidRPr="0081606A">
              <w:rPr>
                <w:rStyle w:val="Bold"/>
              </w:rPr>
              <w:t>Total</w:t>
            </w:r>
          </w:p>
        </w:tc>
        <w:tc>
          <w:tcPr>
            <w:tcW w:w="606" w:type="pct"/>
            <w:tcBorders>
              <w:top w:val="single" w:sz="4" w:space="0" w:color="auto"/>
              <w:bottom w:val="single" w:sz="4" w:space="0" w:color="auto"/>
            </w:tcBorders>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81606A">
              <w:rPr>
                <w:rStyle w:val="Bold"/>
              </w:rPr>
              <w:t>39,846</w:t>
            </w:r>
          </w:p>
        </w:tc>
        <w:tc>
          <w:tcPr>
            <w:tcW w:w="614" w:type="pct"/>
            <w:tcBorders>
              <w:top w:val="single" w:sz="4" w:space="0" w:color="auto"/>
              <w:bottom w:val="single" w:sz="4" w:space="0" w:color="auto"/>
            </w:tcBorders>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81606A">
              <w:rPr>
                <w:rStyle w:val="Bold"/>
              </w:rPr>
              <w:t>40,612</w:t>
            </w:r>
          </w:p>
        </w:tc>
      </w:tr>
    </w:tbl>
    <w:p w:rsidR="0081606A" w:rsidRDefault="0081606A" w:rsidP="0081606A">
      <w:pPr>
        <w:pStyle w:val="BodyText"/>
      </w:pPr>
      <w:r w:rsidRPr="0081606A">
        <w:t>A capital asset charge is a charge levied on the written down value of controlled non</w:t>
      </w:r>
      <w:r w:rsidRPr="0081606A">
        <w:rPr>
          <w:rFonts w:ascii="Cambria Math" w:hAnsi="Cambria Math" w:cs="Cambria Math"/>
        </w:rPr>
        <w:t>‐</w:t>
      </w:r>
      <w:r w:rsidRPr="0081606A">
        <w:t>current physical assets in CSV's balance sheet. It aims to attribute to CSV's outputs, a cost of capital used in service delivery. Imposing this charge provides incentives for CSV to identify and dispose of underutilised or surplus non</w:t>
      </w:r>
      <w:r w:rsidRPr="0081606A">
        <w:rPr>
          <w:rFonts w:ascii="Cambria Math" w:hAnsi="Cambria Math" w:cs="Cambria Math"/>
        </w:rPr>
        <w:t>‐</w:t>
      </w:r>
      <w:r w:rsidRPr="0081606A">
        <w:t>current physical assets.</w:t>
      </w:r>
    </w:p>
    <w:p w:rsidR="0081606A" w:rsidRDefault="0081606A" w:rsidP="003D7434">
      <w:pPr>
        <w:pStyle w:val="Heading2"/>
        <w:pageBreakBefore/>
      </w:pPr>
      <w:bookmarkStart w:id="25" w:name="_Toc497125468"/>
      <w:r w:rsidRPr="0081606A">
        <w:lastRenderedPageBreak/>
        <w:t>Supplies and services</w:t>
      </w:r>
      <w:bookmarkEnd w:id="25"/>
    </w:p>
    <w:tbl>
      <w:tblPr>
        <w:tblStyle w:val="FinancialTable"/>
        <w:tblW w:w="5000" w:type="pct"/>
        <w:tblLook w:val="04A0" w:firstRow="1" w:lastRow="0" w:firstColumn="1" w:lastColumn="0" w:noHBand="0" w:noVBand="1"/>
      </w:tblPr>
      <w:tblGrid>
        <w:gridCol w:w="7286"/>
        <w:gridCol w:w="1168"/>
        <w:gridCol w:w="1184"/>
      </w:tblGrid>
      <w:tr w:rsidR="0081606A" w:rsidRPr="0081606A" w:rsidTr="001D76BC">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3780" w:type="pct"/>
          </w:tcPr>
          <w:p w:rsidR="0081606A" w:rsidRPr="0081606A" w:rsidRDefault="0081606A" w:rsidP="0081606A">
            <w:pPr>
              <w:pStyle w:val="TableHeading"/>
              <w:ind w:left="0"/>
              <w:rPr>
                <w:rStyle w:val="Bold"/>
                <w:rFonts w:eastAsia="Calibri"/>
              </w:rPr>
            </w:pPr>
            <w:bookmarkStart w:id="26" w:name="_Hlk496702787"/>
            <w:r w:rsidRPr="0081606A">
              <w:rPr>
                <w:rStyle w:val="Bold"/>
              </w:rPr>
              <w:t>Supplies and services</w:t>
            </w:r>
            <w:bookmarkEnd w:id="26"/>
          </w:p>
        </w:tc>
        <w:tc>
          <w:tcPr>
            <w:tcW w:w="606" w:type="pct"/>
            <w:shd w:val="clear" w:color="auto" w:fill="F3F3F3"/>
          </w:tcPr>
          <w:p w:rsidR="0081606A" w:rsidRPr="0081606A" w:rsidRDefault="0081606A" w:rsidP="0081606A">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81606A">
              <w:rPr>
                <w:rStyle w:val="Bold"/>
              </w:rPr>
              <w:t>2017</w:t>
            </w:r>
          </w:p>
          <w:p w:rsidR="0081606A" w:rsidRPr="0081606A" w:rsidRDefault="0081606A" w:rsidP="0081606A">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1606A">
              <w:rPr>
                <w:rStyle w:val="Bold"/>
              </w:rPr>
              <w:t>$'000</w:t>
            </w:r>
          </w:p>
        </w:tc>
        <w:tc>
          <w:tcPr>
            <w:tcW w:w="614" w:type="pct"/>
          </w:tcPr>
          <w:p w:rsidR="0081606A" w:rsidRPr="0081606A" w:rsidRDefault="0081606A" w:rsidP="0081606A">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81606A">
              <w:rPr>
                <w:rStyle w:val="Bold"/>
              </w:rPr>
              <w:t>2016</w:t>
            </w:r>
          </w:p>
          <w:p w:rsidR="0081606A" w:rsidRPr="0081606A" w:rsidRDefault="0081606A" w:rsidP="0081606A">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1606A">
              <w:rPr>
                <w:rStyle w:val="Bold"/>
              </w:rPr>
              <w:t>$'000</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Accommodation and property services</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26,608</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25,356</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Outsourced contracts</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20,507</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20,579</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Contractors, professional services and consultants</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17,742</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16,630</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Printing, stationery and other office expenses</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11,149</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11,223</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Technology services</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14,702</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16,309</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Juror payments</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3,123</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3,511</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Repairs and maintenance</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4,683</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4,432</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Deceased removals and transfer costs (Coroners Court)</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4,271</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4,262</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Pr>
          <w:p w:rsidR="0081606A" w:rsidRPr="0081606A" w:rsidRDefault="0081606A" w:rsidP="0081606A">
            <w:pPr>
              <w:pStyle w:val="TableBodyText"/>
              <w:rPr>
                <w:rFonts w:eastAsia="Calibri"/>
              </w:rPr>
            </w:pPr>
            <w:r w:rsidRPr="0081606A">
              <w:t>Interpreter and translation services</w:t>
            </w:r>
          </w:p>
        </w:tc>
        <w:tc>
          <w:tcPr>
            <w:tcW w:w="606" w:type="pct"/>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2,945</w:t>
            </w:r>
          </w:p>
        </w:tc>
        <w:tc>
          <w:tcPr>
            <w:tcW w:w="614" w:type="pct"/>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2,445</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Borders>
              <w:bottom w:val="single" w:sz="4" w:space="0" w:color="auto"/>
            </w:tcBorders>
          </w:tcPr>
          <w:p w:rsidR="0081606A" w:rsidRPr="0081606A" w:rsidRDefault="0081606A" w:rsidP="0081606A">
            <w:pPr>
              <w:pStyle w:val="TableBodyText"/>
              <w:rPr>
                <w:rFonts w:eastAsia="Calibri"/>
              </w:rPr>
            </w:pPr>
            <w:r w:rsidRPr="0081606A">
              <w:t>Other</w:t>
            </w:r>
          </w:p>
        </w:tc>
        <w:tc>
          <w:tcPr>
            <w:tcW w:w="606" w:type="pct"/>
            <w:tcBorders>
              <w:bottom w:val="single" w:sz="4" w:space="0" w:color="auto"/>
            </w:tcBorders>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9,697</w:t>
            </w:r>
          </w:p>
        </w:tc>
        <w:tc>
          <w:tcPr>
            <w:tcW w:w="614" w:type="pct"/>
            <w:tcBorders>
              <w:bottom w:val="single" w:sz="4" w:space="0" w:color="auto"/>
            </w:tcBorders>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1606A">
              <w:t>5,908</w:t>
            </w:r>
          </w:p>
        </w:tc>
      </w:tr>
      <w:tr w:rsidR="0081606A" w:rsidRPr="0081606A" w:rsidTr="001D76BC">
        <w:tc>
          <w:tcPr>
            <w:cnfStyle w:val="001000000000" w:firstRow="0" w:lastRow="0" w:firstColumn="1" w:lastColumn="0" w:oddVBand="0" w:evenVBand="0" w:oddHBand="0" w:evenHBand="0" w:firstRowFirstColumn="0" w:firstRowLastColumn="0" w:lastRowFirstColumn="0" w:lastRowLastColumn="0"/>
            <w:tcW w:w="3780" w:type="pct"/>
            <w:tcBorders>
              <w:top w:val="single" w:sz="4" w:space="0" w:color="auto"/>
              <w:bottom w:val="single" w:sz="4" w:space="0" w:color="auto"/>
            </w:tcBorders>
          </w:tcPr>
          <w:p w:rsidR="0081606A" w:rsidRPr="0081606A" w:rsidRDefault="0081606A" w:rsidP="0081606A">
            <w:pPr>
              <w:pStyle w:val="TableBodyText"/>
              <w:rPr>
                <w:rStyle w:val="Bold"/>
                <w:rFonts w:eastAsia="Calibri"/>
              </w:rPr>
            </w:pPr>
            <w:r w:rsidRPr="0081606A">
              <w:rPr>
                <w:rStyle w:val="Bold"/>
              </w:rPr>
              <w:t>Total supplies and services</w:t>
            </w:r>
          </w:p>
        </w:tc>
        <w:tc>
          <w:tcPr>
            <w:tcW w:w="606" w:type="pct"/>
            <w:tcBorders>
              <w:top w:val="single" w:sz="4" w:space="0" w:color="auto"/>
              <w:bottom w:val="single" w:sz="4" w:space="0" w:color="auto"/>
            </w:tcBorders>
            <w:shd w:val="clear" w:color="auto" w:fill="F3F3F3"/>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81606A">
              <w:rPr>
                <w:rStyle w:val="Bold"/>
              </w:rPr>
              <w:t>115,429</w:t>
            </w:r>
          </w:p>
        </w:tc>
        <w:tc>
          <w:tcPr>
            <w:tcW w:w="614" w:type="pct"/>
            <w:tcBorders>
              <w:top w:val="single" w:sz="4" w:space="0" w:color="auto"/>
              <w:bottom w:val="single" w:sz="4" w:space="0" w:color="auto"/>
            </w:tcBorders>
          </w:tcPr>
          <w:p w:rsidR="0081606A" w:rsidRPr="0081606A" w:rsidRDefault="0081606A" w:rsidP="0081606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81606A">
              <w:rPr>
                <w:rStyle w:val="Bold"/>
              </w:rPr>
              <w:t>110,655</w:t>
            </w:r>
          </w:p>
        </w:tc>
      </w:tr>
    </w:tbl>
    <w:p w:rsidR="0081606A" w:rsidRDefault="0081606A" w:rsidP="0081606A">
      <w:pPr>
        <w:pStyle w:val="BodyText"/>
      </w:pPr>
      <w:r>
        <w:t>Supplies and services expenses generally represent day</w:t>
      </w:r>
      <w:r>
        <w:rPr>
          <w:rFonts w:ascii="Cambria Math" w:hAnsi="Cambria Math" w:cs="Cambria Math"/>
        </w:rPr>
        <w:t>‐</w:t>
      </w:r>
      <w:r>
        <w:t>to</w:t>
      </w:r>
      <w:r>
        <w:rPr>
          <w:rFonts w:ascii="Cambria Math" w:hAnsi="Cambria Math" w:cs="Cambria Math"/>
        </w:rPr>
        <w:t>‐</w:t>
      </w:r>
      <w:r>
        <w:t>day running costs incurred in normal operations.</w:t>
      </w:r>
    </w:p>
    <w:p w:rsidR="0081606A" w:rsidRDefault="0081606A" w:rsidP="0081606A">
      <w:pPr>
        <w:pStyle w:val="BodyText"/>
      </w:pPr>
      <w:r>
        <w:t>Supplies and services are recognised as an expense in the reporting period in which they are incurred.</w:t>
      </w:r>
    </w:p>
    <w:p w:rsidR="0027169B" w:rsidRDefault="0027169B" w:rsidP="0027169B">
      <w:pPr>
        <w:pStyle w:val="Heading1"/>
      </w:pPr>
      <w:bookmarkStart w:id="27" w:name="_Toc497125469"/>
      <w:r w:rsidRPr="0027169B">
        <w:lastRenderedPageBreak/>
        <w:t>Disag</w:t>
      </w:r>
      <w:r>
        <w:t xml:space="preserve">gregated </w:t>
      </w:r>
      <w:r w:rsidR="003D7434">
        <w:t>financial information b</w:t>
      </w:r>
      <w:r w:rsidR="003D7434" w:rsidRPr="0027169B">
        <w:t>y output</w:t>
      </w:r>
      <w:bookmarkEnd w:id="27"/>
    </w:p>
    <w:p w:rsidR="0027169B" w:rsidRPr="00440FE9" w:rsidRDefault="0027169B" w:rsidP="00440FE9">
      <w:pPr>
        <w:pStyle w:val="BodyText"/>
        <w:rPr>
          <w:rStyle w:val="Bold"/>
        </w:rPr>
      </w:pPr>
      <w:r w:rsidRPr="00440FE9">
        <w:rPr>
          <w:rStyle w:val="Bold"/>
        </w:rPr>
        <w:t>Introduction</w:t>
      </w:r>
    </w:p>
    <w:p w:rsidR="0027169B" w:rsidRDefault="0027169B" w:rsidP="0027169B">
      <w:pPr>
        <w:pStyle w:val="BodyText"/>
      </w:pPr>
      <w:r>
        <w:t>CSV is predominantly funded by accrual based Parliamentary appropriations for the provision of outputs. This section provides a description of CSV outputs delivered during the year ended 30 June 2017 along with the objectives of those outputs.</w:t>
      </w:r>
    </w:p>
    <w:p w:rsidR="0027169B" w:rsidRDefault="0027169B" w:rsidP="0027169B">
      <w:pPr>
        <w:pStyle w:val="Heading2"/>
      </w:pPr>
      <w:bookmarkStart w:id="28" w:name="_Toc497125470"/>
      <w:r>
        <w:t xml:space="preserve">CSV outputs </w:t>
      </w:r>
      <w:r>
        <w:rPr>
          <w:rFonts w:ascii="Cambria Math" w:hAnsi="Cambria Math" w:cs="Cambria Math"/>
        </w:rPr>
        <w:t>‐</w:t>
      </w:r>
      <w:r>
        <w:t xml:space="preserve"> </w:t>
      </w:r>
      <w:r w:rsidR="003D7434">
        <w:t>descriptions and objectives</w:t>
      </w:r>
      <w:bookmarkEnd w:id="28"/>
    </w:p>
    <w:p w:rsidR="0027169B" w:rsidRDefault="0027169B" w:rsidP="0027169B">
      <w:pPr>
        <w:pStyle w:val="BodyText"/>
      </w:pPr>
      <w:r>
        <w:t>CSV provides administrative services and facilities to support the Victorian Courts and Statutory Tribunals in the dispensation of criminal and civil matters.</w:t>
      </w:r>
    </w:p>
    <w:p w:rsidR="0027169B" w:rsidRDefault="0027169B" w:rsidP="0027169B">
      <w:pPr>
        <w:pStyle w:val="BodyText"/>
      </w:pPr>
      <w:r>
        <w:t>CSV includes: Supreme Court of Victoria, County Court of Victoria, Magistrates’ Court of Victoria, Children’s Court of Victoria, Coroners Court of Victoria, Victorian Civil and Administrative Tribunal, and Jurisdiction Services, which provides corporate support to the Courts and the Tribunal, the cost of which is reflected in the Court's and Tribunal total output cost.</w:t>
      </w:r>
    </w:p>
    <w:p w:rsidR="0027169B" w:rsidRDefault="0027169B" w:rsidP="00440FE9">
      <w:pPr>
        <w:pStyle w:val="Heading3"/>
        <w:numPr>
          <w:ilvl w:val="0"/>
          <w:numId w:val="0"/>
        </w:numPr>
      </w:pPr>
      <w:r>
        <w:t>Objectives</w:t>
      </w:r>
    </w:p>
    <w:p w:rsidR="0027169B" w:rsidRDefault="0027169B" w:rsidP="0027169B">
      <w:pPr>
        <w:pStyle w:val="BodyText"/>
        <w:sectPr w:rsidR="0027169B" w:rsidSect="003475E2">
          <w:pgSz w:w="11906" w:h="16838"/>
          <w:pgMar w:top="1134" w:right="1134" w:bottom="1134" w:left="1134" w:header="708" w:footer="284" w:gutter="0"/>
          <w:cols w:space="708"/>
          <w:titlePg/>
          <w:docGrid w:linePitch="360"/>
        </w:sectPr>
      </w:pPr>
      <w:r>
        <w:t>CSV overall objective is the fair, timely and efficient dispensing of justice.</w:t>
      </w:r>
    </w:p>
    <w:p w:rsidR="00776AF9" w:rsidRPr="00047D04" w:rsidRDefault="00776AF9" w:rsidP="00047D04">
      <w:pPr>
        <w:pStyle w:val="Caption"/>
      </w:pPr>
      <w:r w:rsidRPr="00047D04">
        <w:lastRenderedPageBreak/>
        <w:t>Controlled income and expenses by jurisdiction for the year ended 30 June 2017</w:t>
      </w:r>
    </w:p>
    <w:tbl>
      <w:tblPr>
        <w:tblStyle w:val="FinancialTable"/>
        <w:tblW w:w="5000" w:type="pct"/>
        <w:tblLook w:val="04A0" w:firstRow="1" w:lastRow="0" w:firstColumn="1" w:lastColumn="0" w:noHBand="0" w:noVBand="1"/>
      </w:tblPr>
      <w:tblGrid>
        <w:gridCol w:w="4601"/>
        <w:gridCol w:w="948"/>
        <w:gridCol w:w="948"/>
        <w:gridCol w:w="948"/>
        <w:gridCol w:w="943"/>
        <w:gridCol w:w="1256"/>
        <w:gridCol w:w="1256"/>
        <w:gridCol w:w="1252"/>
        <w:gridCol w:w="1057"/>
        <w:gridCol w:w="1057"/>
        <w:gridCol w:w="1057"/>
        <w:gridCol w:w="1574"/>
        <w:gridCol w:w="1574"/>
        <w:gridCol w:w="1247"/>
        <w:gridCol w:w="1125"/>
        <w:gridCol w:w="939"/>
        <w:gridCol w:w="898"/>
      </w:tblGrid>
      <w:tr w:rsidR="00047D04" w:rsidRPr="006534DA" w:rsidTr="003D74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4" w:type="pct"/>
            <w:hideMark/>
          </w:tcPr>
          <w:p w:rsidR="00776AF9" w:rsidRPr="006534DA" w:rsidRDefault="00776AF9" w:rsidP="006534DA">
            <w:pPr>
              <w:pStyle w:val="TableBodyText"/>
              <w:ind w:right="28"/>
              <w:rPr>
                <w:rStyle w:val="Bold"/>
                <w:spacing w:val="-8"/>
                <w:szCs w:val="18"/>
              </w:rPr>
            </w:pPr>
            <w:r w:rsidRPr="006534DA">
              <w:rPr>
                <w:rStyle w:val="Bold"/>
                <w:spacing w:val="-8"/>
                <w:szCs w:val="18"/>
              </w:rPr>
              <w:t> Item</w:t>
            </w:r>
          </w:p>
        </w:tc>
        <w:tc>
          <w:tcPr>
            <w:tcW w:w="209"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Supreme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209"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Supreme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c>
          <w:tcPr>
            <w:tcW w:w="209"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County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208"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County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c>
          <w:tcPr>
            <w:tcW w:w="277"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Magistrates'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277"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Magistrates'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c>
          <w:tcPr>
            <w:tcW w:w="276"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Children's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233"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Children's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c>
          <w:tcPr>
            <w:tcW w:w="233"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Coroners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233"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Coroners Court of Victoria</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c>
          <w:tcPr>
            <w:tcW w:w="347"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Victorian Civil &amp; Administrative Tribunal</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347"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Victorian Civil &amp; Administrative Tribunal</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c>
          <w:tcPr>
            <w:tcW w:w="275"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Jurisdiction Services</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248"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Jurisdiction Services</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c>
          <w:tcPr>
            <w:tcW w:w="207" w:type="pct"/>
            <w:shd w:val="clear" w:color="auto" w:fill="F3F3F3"/>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Total</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2017</w:t>
            </w:r>
            <w:r w:rsidRPr="006534DA">
              <w:rPr>
                <w:rStyle w:val="Bold"/>
                <w:spacing w:val="-8"/>
                <w:szCs w:val="18"/>
              </w:rPr>
              <w:br/>
              <w:t>$'000</w:t>
            </w:r>
          </w:p>
        </w:tc>
        <w:tc>
          <w:tcPr>
            <w:tcW w:w="198" w:type="pct"/>
            <w:hideMark/>
          </w:tcPr>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Total</w:t>
            </w:r>
          </w:p>
          <w:p w:rsidR="00776AF9" w:rsidRPr="006534DA" w:rsidRDefault="00776AF9" w:rsidP="006534DA">
            <w:pPr>
              <w:pStyle w:val="TableBodyText"/>
              <w:ind w:right="28"/>
              <w:cnfStyle w:val="100000000000" w:firstRow="1" w:lastRow="0" w:firstColumn="0" w:lastColumn="0" w:oddVBand="0" w:evenVBand="0" w:oddHBand="0" w:evenHBand="0" w:firstRowFirstColumn="0" w:firstRowLastColumn="0" w:lastRowFirstColumn="0" w:lastRowLastColumn="0"/>
              <w:rPr>
                <w:rStyle w:val="Bold"/>
                <w:spacing w:val="-8"/>
                <w:szCs w:val="18"/>
              </w:rPr>
            </w:pPr>
            <w:r w:rsidRPr="006534DA">
              <w:rPr>
                <w:rStyle w:val="Bold"/>
                <w:spacing w:val="-8"/>
                <w:szCs w:val="18"/>
              </w:rPr>
              <w:t>2016</w:t>
            </w:r>
            <w:r w:rsidRPr="006534DA">
              <w:rPr>
                <w:rStyle w:val="Bold"/>
                <w:spacing w:val="-8"/>
                <w:szCs w:val="18"/>
              </w:rPr>
              <w:br/>
              <w:t>$'000</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rStyle w:val="Bold"/>
                <w:szCs w:val="18"/>
              </w:rPr>
            </w:pPr>
            <w:r w:rsidRPr="006534DA">
              <w:rPr>
                <w:rStyle w:val="Bold"/>
                <w:szCs w:val="18"/>
              </w:rPr>
              <w:t>Income from transactions</w:t>
            </w:r>
          </w:p>
        </w:tc>
        <w:tc>
          <w:tcPr>
            <w:tcW w:w="209"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8"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6"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5"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48"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7"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198"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Output appropriations</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43,104</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38,379</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54,956</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54,136</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92,062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79,861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14,518</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14,185</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11,304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11,167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14,717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12,366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101,554</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99,507</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332,215</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309,603</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Special appropriations</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26,913</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28,217</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29,690</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30,517</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43,688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43,802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5,682</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5,553</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3,493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3,563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16,082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14,997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(3,551)</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125,548</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123,098</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Grants</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73</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154</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7,577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3,224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349</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290</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18,591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17,893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339</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309</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26,929</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21,870</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bottom w:val="single" w:sz="4" w:space="0" w:color="auto"/>
            </w:tcBorders>
            <w:hideMark/>
          </w:tcPr>
          <w:p w:rsidR="00776AF9" w:rsidRPr="006534DA" w:rsidRDefault="00776AF9" w:rsidP="006534DA">
            <w:pPr>
              <w:pStyle w:val="TableBodyText"/>
              <w:ind w:right="28"/>
              <w:rPr>
                <w:szCs w:val="18"/>
              </w:rPr>
            </w:pPr>
            <w:r w:rsidRPr="006534DA">
              <w:rPr>
                <w:szCs w:val="18"/>
              </w:rPr>
              <w:t>Other income</w:t>
            </w:r>
          </w:p>
        </w:tc>
        <w:tc>
          <w:tcPr>
            <w:tcW w:w="209"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73</w:t>
            </w:r>
          </w:p>
        </w:tc>
        <w:tc>
          <w:tcPr>
            <w:tcW w:w="209"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5,378 </w:t>
            </w:r>
          </w:p>
        </w:tc>
        <w:tc>
          <w:tcPr>
            <w:tcW w:w="27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3,000 </w:t>
            </w:r>
          </w:p>
        </w:tc>
        <w:tc>
          <w:tcPr>
            <w:tcW w:w="276"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33"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w:t>
            </w:r>
          </w:p>
        </w:tc>
        <w:tc>
          <w:tcPr>
            <w:tcW w:w="275"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729</w:t>
            </w:r>
          </w:p>
        </w:tc>
        <w:tc>
          <w:tcPr>
            <w:tcW w:w="24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250</w:t>
            </w:r>
          </w:p>
        </w:tc>
        <w:tc>
          <w:tcPr>
            <w:tcW w:w="20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6,181</w:t>
            </w:r>
          </w:p>
        </w:tc>
        <w:tc>
          <w:tcPr>
            <w:tcW w:w="19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3,248</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bottom w:val="single" w:sz="4" w:space="0" w:color="auto"/>
            </w:tcBorders>
            <w:hideMark/>
          </w:tcPr>
          <w:p w:rsidR="00776AF9" w:rsidRPr="006534DA" w:rsidRDefault="00776AF9" w:rsidP="006534DA">
            <w:pPr>
              <w:pStyle w:val="TableBodyText"/>
              <w:ind w:right="28"/>
              <w:rPr>
                <w:rStyle w:val="Bold"/>
                <w:szCs w:val="18"/>
              </w:rPr>
            </w:pPr>
            <w:r w:rsidRPr="006534DA">
              <w:rPr>
                <w:rStyle w:val="Bold"/>
                <w:szCs w:val="18"/>
              </w:rPr>
              <w:t>Total income from transactions</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70,162</w:t>
            </w:r>
          </w:p>
        </w:tc>
        <w:tc>
          <w:tcPr>
            <w:tcW w:w="209"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66,750</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84,646</w:t>
            </w:r>
          </w:p>
        </w:tc>
        <w:tc>
          <w:tcPr>
            <w:tcW w:w="20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84,653</w:t>
            </w:r>
          </w:p>
        </w:tc>
        <w:tc>
          <w:tcPr>
            <w:tcW w:w="27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148,705 </w:t>
            </w:r>
          </w:p>
        </w:tc>
        <w:tc>
          <w:tcPr>
            <w:tcW w:w="27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129,888 </w:t>
            </w:r>
          </w:p>
        </w:tc>
        <w:tc>
          <w:tcPr>
            <w:tcW w:w="276"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20,549</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20,028</w:t>
            </w:r>
          </w:p>
        </w:tc>
        <w:tc>
          <w:tcPr>
            <w:tcW w:w="233"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14,798 </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14,730 </w:t>
            </w:r>
          </w:p>
        </w:tc>
        <w:tc>
          <w:tcPr>
            <w:tcW w:w="34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49,391 </w:t>
            </w:r>
          </w:p>
        </w:tc>
        <w:tc>
          <w:tcPr>
            <w:tcW w:w="34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45,255 </w:t>
            </w:r>
          </w:p>
        </w:tc>
        <w:tc>
          <w:tcPr>
            <w:tcW w:w="275"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102,622</w:t>
            </w:r>
          </w:p>
        </w:tc>
        <w:tc>
          <w:tcPr>
            <w:tcW w:w="24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96,516</w:t>
            </w:r>
          </w:p>
        </w:tc>
        <w:tc>
          <w:tcPr>
            <w:tcW w:w="20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490,874</w:t>
            </w:r>
          </w:p>
        </w:tc>
        <w:tc>
          <w:tcPr>
            <w:tcW w:w="19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457,819</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nil"/>
            </w:tcBorders>
            <w:hideMark/>
          </w:tcPr>
          <w:p w:rsidR="00776AF9" w:rsidRPr="006534DA" w:rsidRDefault="00776AF9" w:rsidP="006534DA">
            <w:pPr>
              <w:pStyle w:val="TableBodyText"/>
              <w:ind w:right="28"/>
              <w:rPr>
                <w:rStyle w:val="Bold"/>
                <w:szCs w:val="18"/>
              </w:rPr>
            </w:pPr>
            <w:r w:rsidRPr="006534DA">
              <w:rPr>
                <w:rStyle w:val="Bold"/>
                <w:szCs w:val="18"/>
              </w:rPr>
              <w:t>Expenses from transactions</w:t>
            </w:r>
          </w:p>
        </w:tc>
        <w:tc>
          <w:tcPr>
            <w:tcW w:w="209"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8"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6"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5"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48"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7" w:type="pct"/>
            <w:tcBorders>
              <w:top w:val="nil"/>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198" w:type="pct"/>
            <w:tcBorders>
              <w:top w:val="nil"/>
            </w:tcBorders>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Employee expenses</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50,408</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49,495</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47,087</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46,185</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94,040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85,525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14,629</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13,296</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8,390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8,058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40,367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37,639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23,613</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24,375</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278,533</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264,574</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Depreciation and amortisation</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6,341</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2,351</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8,212</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6,657</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15,088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9,022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1,645</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875</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2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14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562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528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12,047</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11,042</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43,895</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30,489</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Interest expense</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65</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79</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7,105</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8,151</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124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142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13</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13</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2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43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49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(177)</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(235)</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7,174</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8,201</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Grants and other transfers</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350</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462</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3,998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256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407</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136</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3,779</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2,904</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8,535</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3,760</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Capital asset charge</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39,846</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40,612</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39,846</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40,612</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bottom w:val="single" w:sz="4" w:space="0" w:color="auto"/>
            </w:tcBorders>
            <w:hideMark/>
          </w:tcPr>
          <w:p w:rsidR="00776AF9" w:rsidRPr="006534DA" w:rsidRDefault="00776AF9" w:rsidP="006534DA">
            <w:pPr>
              <w:pStyle w:val="TableBodyText"/>
              <w:ind w:right="28"/>
              <w:rPr>
                <w:szCs w:val="18"/>
              </w:rPr>
            </w:pPr>
            <w:r w:rsidRPr="006534DA">
              <w:rPr>
                <w:szCs w:val="18"/>
              </w:rPr>
              <w:t>Supplies and services</w:t>
            </w:r>
          </w:p>
        </w:tc>
        <w:tc>
          <w:tcPr>
            <w:tcW w:w="209"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14,982</w:t>
            </w:r>
          </w:p>
        </w:tc>
        <w:tc>
          <w:tcPr>
            <w:tcW w:w="209"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14,156</w:t>
            </w:r>
          </w:p>
        </w:tc>
        <w:tc>
          <w:tcPr>
            <w:tcW w:w="209"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24,505</w:t>
            </w:r>
          </w:p>
        </w:tc>
        <w:tc>
          <w:tcPr>
            <w:tcW w:w="20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23,670</w:t>
            </w:r>
          </w:p>
        </w:tc>
        <w:tc>
          <w:tcPr>
            <w:tcW w:w="27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34,558 </w:t>
            </w:r>
          </w:p>
        </w:tc>
        <w:tc>
          <w:tcPr>
            <w:tcW w:w="27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29,337 </w:t>
            </w:r>
          </w:p>
        </w:tc>
        <w:tc>
          <w:tcPr>
            <w:tcW w:w="276"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4,464</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5,029</w:t>
            </w:r>
          </w:p>
        </w:tc>
        <w:tc>
          <w:tcPr>
            <w:tcW w:w="233"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6,415 </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6,056 </w:t>
            </w:r>
          </w:p>
        </w:tc>
        <w:tc>
          <w:tcPr>
            <w:tcW w:w="34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8,646 </w:t>
            </w:r>
          </w:p>
        </w:tc>
        <w:tc>
          <w:tcPr>
            <w:tcW w:w="34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6,740 </w:t>
            </w:r>
          </w:p>
        </w:tc>
        <w:tc>
          <w:tcPr>
            <w:tcW w:w="275"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21,859</w:t>
            </w:r>
          </w:p>
        </w:tc>
        <w:tc>
          <w:tcPr>
            <w:tcW w:w="24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25,667</w:t>
            </w:r>
          </w:p>
        </w:tc>
        <w:tc>
          <w:tcPr>
            <w:tcW w:w="20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115,429</w:t>
            </w:r>
          </w:p>
        </w:tc>
        <w:tc>
          <w:tcPr>
            <w:tcW w:w="19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110,655</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bottom w:val="single" w:sz="4" w:space="0" w:color="auto"/>
            </w:tcBorders>
            <w:hideMark/>
          </w:tcPr>
          <w:p w:rsidR="00776AF9" w:rsidRPr="006534DA" w:rsidRDefault="00776AF9" w:rsidP="006534DA">
            <w:pPr>
              <w:pStyle w:val="TableBodyText"/>
              <w:ind w:right="28"/>
              <w:rPr>
                <w:rStyle w:val="Bold"/>
                <w:szCs w:val="18"/>
              </w:rPr>
            </w:pPr>
            <w:r w:rsidRPr="006534DA">
              <w:rPr>
                <w:rStyle w:val="Bold"/>
                <w:szCs w:val="18"/>
              </w:rPr>
              <w:t>Total expenses from transactions</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72,145</w:t>
            </w:r>
          </w:p>
        </w:tc>
        <w:tc>
          <w:tcPr>
            <w:tcW w:w="209"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66,543</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86,910</w:t>
            </w:r>
          </w:p>
        </w:tc>
        <w:tc>
          <w:tcPr>
            <w:tcW w:w="20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84,665</w:t>
            </w:r>
          </w:p>
        </w:tc>
        <w:tc>
          <w:tcPr>
            <w:tcW w:w="27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147,808 </w:t>
            </w:r>
          </w:p>
        </w:tc>
        <w:tc>
          <w:tcPr>
            <w:tcW w:w="27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124,282 </w:t>
            </w:r>
          </w:p>
        </w:tc>
        <w:tc>
          <w:tcPr>
            <w:tcW w:w="276"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21,158</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19,350</w:t>
            </w:r>
          </w:p>
        </w:tc>
        <w:tc>
          <w:tcPr>
            <w:tcW w:w="233"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14,807 </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14,130 </w:t>
            </w:r>
          </w:p>
        </w:tc>
        <w:tc>
          <w:tcPr>
            <w:tcW w:w="34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49,618 </w:t>
            </w:r>
          </w:p>
        </w:tc>
        <w:tc>
          <w:tcPr>
            <w:tcW w:w="34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44,956 </w:t>
            </w:r>
          </w:p>
        </w:tc>
        <w:tc>
          <w:tcPr>
            <w:tcW w:w="275"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100,966</w:t>
            </w:r>
          </w:p>
        </w:tc>
        <w:tc>
          <w:tcPr>
            <w:tcW w:w="24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104,365</w:t>
            </w:r>
          </w:p>
        </w:tc>
        <w:tc>
          <w:tcPr>
            <w:tcW w:w="20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493,412</w:t>
            </w:r>
          </w:p>
        </w:tc>
        <w:tc>
          <w:tcPr>
            <w:tcW w:w="19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458,291</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bottom w:val="single" w:sz="4" w:space="0" w:color="auto"/>
            </w:tcBorders>
            <w:hideMark/>
          </w:tcPr>
          <w:p w:rsidR="00776AF9" w:rsidRPr="006534DA" w:rsidRDefault="00776AF9" w:rsidP="006534DA">
            <w:pPr>
              <w:pStyle w:val="TableBodyText"/>
              <w:ind w:right="28"/>
              <w:rPr>
                <w:rStyle w:val="Bold"/>
                <w:szCs w:val="18"/>
              </w:rPr>
            </w:pPr>
            <w:r w:rsidRPr="006534DA">
              <w:rPr>
                <w:rStyle w:val="Bold"/>
                <w:szCs w:val="18"/>
              </w:rPr>
              <w:t>Net result from transactions (net operating balance)</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(1,983)</w:t>
            </w:r>
          </w:p>
        </w:tc>
        <w:tc>
          <w:tcPr>
            <w:tcW w:w="209"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207 </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(2,264)</w:t>
            </w:r>
          </w:p>
        </w:tc>
        <w:tc>
          <w:tcPr>
            <w:tcW w:w="20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(12)</w:t>
            </w:r>
          </w:p>
        </w:tc>
        <w:tc>
          <w:tcPr>
            <w:tcW w:w="27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898 </w:t>
            </w:r>
          </w:p>
        </w:tc>
        <w:tc>
          <w:tcPr>
            <w:tcW w:w="27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5,605 </w:t>
            </w:r>
          </w:p>
        </w:tc>
        <w:tc>
          <w:tcPr>
            <w:tcW w:w="276"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(609)</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678 </w:t>
            </w:r>
          </w:p>
        </w:tc>
        <w:tc>
          <w:tcPr>
            <w:tcW w:w="233"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(9)</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600 </w:t>
            </w:r>
          </w:p>
        </w:tc>
        <w:tc>
          <w:tcPr>
            <w:tcW w:w="34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(228)</w:t>
            </w:r>
          </w:p>
        </w:tc>
        <w:tc>
          <w:tcPr>
            <w:tcW w:w="34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298 </w:t>
            </w:r>
          </w:p>
        </w:tc>
        <w:tc>
          <w:tcPr>
            <w:tcW w:w="275"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1,657 </w:t>
            </w:r>
          </w:p>
        </w:tc>
        <w:tc>
          <w:tcPr>
            <w:tcW w:w="24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(7,849)</w:t>
            </w:r>
          </w:p>
        </w:tc>
        <w:tc>
          <w:tcPr>
            <w:tcW w:w="20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(2,539)</w:t>
            </w:r>
          </w:p>
        </w:tc>
        <w:tc>
          <w:tcPr>
            <w:tcW w:w="19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(472)</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tcBorders>
            <w:noWrap/>
            <w:hideMark/>
          </w:tcPr>
          <w:p w:rsidR="00776AF9" w:rsidRPr="006534DA" w:rsidRDefault="00776AF9" w:rsidP="006534DA">
            <w:pPr>
              <w:pStyle w:val="TableBodyText"/>
              <w:spacing w:before="120"/>
              <w:ind w:right="28"/>
              <w:rPr>
                <w:rStyle w:val="Bold"/>
                <w:szCs w:val="18"/>
              </w:rPr>
            </w:pPr>
            <w:r w:rsidRPr="006534DA">
              <w:rPr>
                <w:rStyle w:val="Bold"/>
                <w:szCs w:val="18"/>
              </w:rPr>
              <w:t>Other economic flows included in net result</w:t>
            </w:r>
          </w:p>
        </w:tc>
        <w:tc>
          <w:tcPr>
            <w:tcW w:w="209"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8"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6"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5"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48"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7" w:type="pct"/>
            <w:tcBorders>
              <w:top w:val="single" w:sz="4" w:space="0" w:color="auto"/>
            </w:tcBorders>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198" w:type="pct"/>
            <w:tcBorders>
              <w:top w:val="single" w:sz="4" w:space="0" w:color="auto"/>
            </w:tcBorders>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Net gain/(loss) on non-financial assets</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461</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534</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461 </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530</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hideMark/>
          </w:tcPr>
          <w:p w:rsidR="00776AF9" w:rsidRPr="006534DA" w:rsidRDefault="00776AF9" w:rsidP="006534DA">
            <w:pPr>
              <w:pStyle w:val="TableBodyText"/>
              <w:ind w:right="28"/>
              <w:rPr>
                <w:szCs w:val="18"/>
              </w:rPr>
            </w:pPr>
            <w:r w:rsidRPr="006534DA">
              <w:rPr>
                <w:szCs w:val="18"/>
              </w:rPr>
              <w:t xml:space="preserve">Net gain/(loss) on financial instruments </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0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7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6"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0 </w:t>
            </w:r>
          </w:p>
        </w:tc>
        <w:tc>
          <w:tcPr>
            <w:tcW w:w="233"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33"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34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347"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5"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(13)</w:t>
            </w:r>
          </w:p>
        </w:tc>
        <w:tc>
          <w:tcPr>
            <w:tcW w:w="24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8 </w:t>
            </w:r>
          </w:p>
        </w:tc>
        <w:tc>
          <w:tcPr>
            <w:tcW w:w="207" w:type="pct"/>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(13)</w:t>
            </w:r>
          </w:p>
        </w:tc>
        <w:tc>
          <w:tcPr>
            <w:tcW w:w="198" w:type="pct"/>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8</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bottom w:val="single" w:sz="4" w:space="0" w:color="auto"/>
            </w:tcBorders>
            <w:hideMark/>
          </w:tcPr>
          <w:p w:rsidR="00776AF9" w:rsidRPr="006534DA" w:rsidRDefault="00776AF9" w:rsidP="006534DA">
            <w:pPr>
              <w:pStyle w:val="TableBodyText"/>
              <w:ind w:right="28"/>
              <w:rPr>
                <w:szCs w:val="18"/>
              </w:rPr>
            </w:pPr>
            <w:r w:rsidRPr="006534DA">
              <w:rPr>
                <w:szCs w:val="18"/>
              </w:rPr>
              <w:t>Other gains/(losses) from other economic flows</w:t>
            </w:r>
          </w:p>
        </w:tc>
        <w:tc>
          <w:tcPr>
            <w:tcW w:w="209"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830 </w:t>
            </w:r>
          </w:p>
        </w:tc>
        <w:tc>
          <w:tcPr>
            <w:tcW w:w="209"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(769)</w:t>
            </w:r>
          </w:p>
        </w:tc>
        <w:tc>
          <w:tcPr>
            <w:tcW w:w="209"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903 </w:t>
            </w:r>
          </w:p>
        </w:tc>
        <w:tc>
          <w:tcPr>
            <w:tcW w:w="20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(1,031)</w:t>
            </w:r>
          </w:p>
        </w:tc>
        <w:tc>
          <w:tcPr>
            <w:tcW w:w="27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1,294 </w:t>
            </w:r>
          </w:p>
        </w:tc>
        <w:tc>
          <w:tcPr>
            <w:tcW w:w="27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(1,806)</w:t>
            </w:r>
          </w:p>
        </w:tc>
        <w:tc>
          <w:tcPr>
            <w:tcW w:w="276"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118 </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(215)</w:t>
            </w:r>
          </w:p>
        </w:tc>
        <w:tc>
          <w:tcPr>
            <w:tcW w:w="233"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94 </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(85)</w:t>
            </w:r>
          </w:p>
        </w:tc>
        <w:tc>
          <w:tcPr>
            <w:tcW w:w="34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292 </w:t>
            </w:r>
          </w:p>
        </w:tc>
        <w:tc>
          <w:tcPr>
            <w:tcW w:w="34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(328)</w:t>
            </w:r>
          </w:p>
        </w:tc>
        <w:tc>
          <w:tcPr>
            <w:tcW w:w="275"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243 </w:t>
            </w:r>
          </w:p>
        </w:tc>
        <w:tc>
          <w:tcPr>
            <w:tcW w:w="24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(360)</w:t>
            </w:r>
          </w:p>
        </w:tc>
        <w:tc>
          <w:tcPr>
            <w:tcW w:w="20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3,774 </w:t>
            </w:r>
          </w:p>
        </w:tc>
        <w:tc>
          <w:tcPr>
            <w:tcW w:w="19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(4,593)</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bottom w:val="single" w:sz="4" w:space="0" w:color="auto"/>
            </w:tcBorders>
            <w:hideMark/>
          </w:tcPr>
          <w:p w:rsidR="00776AF9" w:rsidRPr="006534DA" w:rsidRDefault="00776AF9" w:rsidP="006534DA">
            <w:pPr>
              <w:pStyle w:val="TableBodyText"/>
              <w:ind w:right="28"/>
              <w:rPr>
                <w:rStyle w:val="Bold"/>
                <w:szCs w:val="18"/>
              </w:rPr>
            </w:pPr>
            <w:r w:rsidRPr="006534DA">
              <w:rPr>
                <w:rStyle w:val="Bold"/>
                <w:szCs w:val="18"/>
              </w:rPr>
              <w:t>Total other economic flows included in net result</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830 </w:t>
            </w:r>
          </w:p>
        </w:tc>
        <w:tc>
          <w:tcPr>
            <w:tcW w:w="209"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(769)</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903 </w:t>
            </w:r>
          </w:p>
        </w:tc>
        <w:tc>
          <w:tcPr>
            <w:tcW w:w="20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(1,031)</w:t>
            </w:r>
          </w:p>
        </w:tc>
        <w:tc>
          <w:tcPr>
            <w:tcW w:w="27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1,294 </w:t>
            </w:r>
          </w:p>
        </w:tc>
        <w:tc>
          <w:tcPr>
            <w:tcW w:w="27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(1,806)</w:t>
            </w:r>
          </w:p>
        </w:tc>
        <w:tc>
          <w:tcPr>
            <w:tcW w:w="276"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118 </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(215)</w:t>
            </w:r>
          </w:p>
        </w:tc>
        <w:tc>
          <w:tcPr>
            <w:tcW w:w="233"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94 </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(85)</w:t>
            </w:r>
          </w:p>
        </w:tc>
        <w:tc>
          <w:tcPr>
            <w:tcW w:w="34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292 </w:t>
            </w:r>
          </w:p>
        </w:tc>
        <w:tc>
          <w:tcPr>
            <w:tcW w:w="34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(331)</w:t>
            </w:r>
          </w:p>
        </w:tc>
        <w:tc>
          <w:tcPr>
            <w:tcW w:w="275"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691 </w:t>
            </w:r>
          </w:p>
        </w:tc>
        <w:tc>
          <w:tcPr>
            <w:tcW w:w="24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182 </w:t>
            </w:r>
          </w:p>
        </w:tc>
        <w:tc>
          <w:tcPr>
            <w:tcW w:w="20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4,221 </w:t>
            </w:r>
          </w:p>
        </w:tc>
        <w:tc>
          <w:tcPr>
            <w:tcW w:w="19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(4,054)</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bottom w:val="single" w:sz="4" w:space="0" w:color="auto"/>
            </w:tcBorders>
            <w:hideMark/>
          </w:tcPr>
          <w:p w:rsidR="00776AF9" w:rsidRPr="006534DA" w:rsidRDefault="00776AF9" w:rsidP="006534DA">
            <w:pPr>
              <w:pStyle w:val="TableBodyText"/>
              <w:ind w:right="28"/>
              <w:rPr>
                <w:rStyle w:val="Bold"/>
                <w:szCs w:val="18"/>
              </w:rPr>
            </w:pPr>
            <w:r w:rsidRPr="006534DA">
              <w:rPr>
                <w:rStyle w:val="Bold"/>
                <w:szCs w:val="18"/>
              </w:rPr>
              <w:t>Net Result from continuing operations</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(1,153)</w:t>
            </w:r>
          </w:p>
        </w:tc>
        <w:tc>
          <w:tcPr>
            <w:tcW w:w="209"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(562)</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(1,362)</w:t>
            </w:r>
          </w:p>
        </w:tc>
        <w:tc>
          <w:tcPr>
            <w:tcW w:w="20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(1,044)</w:t>
            </w:r>
          </w:p>
        </w:tc>
        <w:tc>
          <w:tcPr>
            <w:tcW w:w="27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2,192 </w:t>
            </w:r>
          </w:p>
        </w:tc>
        <w:tc>
          <w:tcPr>
            <w:tcW w:w="27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3,799 </w:t>
            </w:r>
          </w:p>
        </w:tc>
        <w:tc>
          <w:tcPr>
            <w:tcW w:w="276"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(492)</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463 </w:t>
            </w:r>
          </w:p>
        </w:tc>
        <w:tc>
          <w:tcPr>
            <w:tcW w:w="233"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85 </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516 </w:t>
            </w:r>
          </w:p>
        </w:tc>
        <w:tc>
          <w:tcPr>
            <w:tcW w:w="34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65 </w:t>
            </w:r>
          </w:p>
        </w:tc>
        <w:tc>
          <w:tcPr>
            <w:tcW w:w="34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(33)</w:t>
            </w:r>
          </w:p>
        </w:tc>
        <w:tc>
          <w:tcPr>
            <w:tcW w:w="275"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2,347 </w:t>
            </w:r>
          </w:p>
        </w:tc>
        <w:tc>
          <w:tcPr>
            <w:tcW w:w="24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(8,031)</w:t>
            </w:r>
          </w:p>
        </w:tc>
        <w:tc>
          <w:tcPr>
            <w:tcW w:w="20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1,682 </w:t>
            </w:r>
          </w:p>
        </w:tc>
        <w:tc>
          <w:tcPr>
            <w:tcW w:w="19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(4,527)</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noWrap/>
            <w:hideMark/>
          </w:tcPr>
          <w:p w:rsidR="00776AF9" w:rsidRPr="006534DA" w:rsidRDefault="00776AF9" w:rsidP="006534DA">
            <w:pPr>
              <w:pStyle w:val="TableBodyText"/>
              <w:spacing w:before="120"/>
              <w:ind w:right="28"/>
              <w:rPr>
                <w:rStyle w:val="Bold"/>
                <w:szCs w:val="18"/>
              </w:rPr>
            </w:pPr>
            <w:r w:rsidRPr="006534DA">
              <w:rPr>
                <w:rStyle w:val="Bold"/>
                <w:szCs w:val="18"/>
              </w:rPr>
              <w:t>Other economic flows - other comprehensive income</w:t>
            </w:r>
          </w:p>
        </w:tc>
        <w:tc>
          <w:tcPr>
            <w:tcW w:w="209"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8"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6"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5"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48"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7" w:type="pct"/>
            <w:shd w:val="clear" w:color="auto" w:fill="F3F3F3"/>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198" w:type="pct"/>
            <w:noWrap/>
          </w:tcPr>
          <w:p w:rsidR="00776AF9" w:rsidRPr="006534DA" w:rsidRDefault="00776AF9" w:rsidP="006534DA">
            <w:pPr>
              <w:pStyle w:val="TableBodyText"/>
              <w:spacing w:before="120"/>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noWrap/>
            <w:hideMark/>
          </w:tcPr>
          <w:p w:rsidR="00776AF9" w:rsidRPr="006534DA" w:rsidRDefault="00776AF9" w:rsidP="006534DA">
            <w:pPr>
              <w:pStyle w:val="TableBodyText"/>
              <w:ind w:right="28"/>
              <w:rPr>
                <w:rStyle w:val="Bold"/>
                <w:szCs w:val="18"/>
              </w:rPr>
            </w:pPr>
            <w:r w:rsidRPr="006534DA">
              <w:rPr>
                <w:rStyle w:val="Bold"/>
                <w:szCs w:val="18"/>
              </w:rPr>
              <w:t>Items that will not be reclassified to net result</w:t>
            </w:r>
          </w:p>
        </w:tc>
        <w:tc>
          <w:tcPr>
            <w:tcW w:w="209"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8"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6"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5"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48"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7" w:type="pct"/>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198" w:type="pct"/>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bottom w:val="single" w:sz="4" w:space="0" w:color="auto"/>
            </w:tcBorders>
            <w:noWrap/>
            <w:hideMark/>
          </w:tcPr>
          <w:p w:rsidR="00776AF9" w:rsidRPr="006534DA" w:rsidRDefault="00776AF9" w:rsidP="006534DA">
            <w:pPr>
              <w:pStyle w:val="TableBodyText"/>
              <w:ind w:right="28"/>
              <w:rPr>
                <w:szCs w:val="18"/>
              </w:rPr>
            </w:pPr>
            <w:r w:rsidRPr="006534DA">
              <w:rPr>
                <w:szCs w:val="18"/>
              </w:rPr>
              <w:t>Changes in physical asset revaluation reserve</w:t>
            </w:r>
          </w:p>
        </w:tc>
        <w:tc>
          <w:tcPr>
            <w:tcW w:w="209" w:type="pct"/>
            <w:tcBorders>
              <w:bottom w:val="single" w:sz="4" w:space="0" w:color="auto"/>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9"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09" w:type="pct"/>
            <w:tcBorders>
              <w:bottom w:val="single" w:sz="4" w:space="0" w:color="auto"/>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0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7" w:type="pct"/>
            <w:tcBorders>
              <w:bottom w:val="single" w:sz="4" w:space="0" w:color="auto"/>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7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6" w:type="pct"/>
            <w:tcBorders>
              <w:bottom w:val="single" w:sz="4" w:space="0" w:color="auto"/>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33" w:type="pct"/>
            <w:tcBorders>
              <w:bottom w:val="single" w:sz="4" w:space="0" w:color="auto"/>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233"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347" w:type="pct"/>
            <w:tcBorders>
              <w:bottom w:val="single" w:sz="4" w:space="0" w:color="auto"/>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N/A</w:t>
            </w:r>
          </w:p>
        </w:tc>
        <w:tc>
          <w:tcPr>
            <w:tcW w:w="347"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0</w:t>
            </w:r>
          </w:p>
        </w:tc>
        <w:tc>
          <w:tcPr>
            <w:tcW w:w="275"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3,894</w:t>
            </w:r>
          </w:p>
        </w:tc>
        <w:tc>
          <w:tcPr>
            <w:tcW w:w="24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182,874</w:t>
            </w:r>
          </w:p>
        </w:tc>
        <w:tc>
          <w:tcPr>
            <w:tcW w:w="207" w:type="pct"/>
            <w:tcBorders>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 xml:space="preserve">3,894 </w:t>
            </w:r>
          </w:p>
        </w:tc>
        <w:tc>
          <w:tcPr>
            <w:tcW w:w="198" w:type="pct"/>
            <w:tcBorders>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szCs w:val="18"/>
              </w:rPr>
            </w:pPr>
            <w:r w:rsidRPr="006534DA">
              <w:rPr>
                <w:szCs w:val="18"/>
              </w:rPr>
              <w:t>182,874</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bottom w:val="single" w:sz="4" w:space="0" w:color="auto"/>
            </w:tcBorders>
            <w:hideMark/>
          </w:tcPr>
          <w:p w:rsidR="00776AF9" w:rsidRPr="006534DA" w:rsidRDefault="00776AF9" w:rsidP="006534DA">
            <w:pPr>
              <w:pStyle w:val="TableBodyText"/>
              <w:ind w:right="28"/>
              <w:rPr>
                <w:rStyle w:val="Bold"/>
                <w:szCs w:val="18"/>
              </w:rPr>
            </w:pPr>
            <w:r w:rsidRPr="006534DA">
              <w:rPr>
                <w:rStyle w:val="Bold"/>
                <w:szCs w:val="18"/>
              </w:rPr>
              <w:t>Total other economic flows - other comprehensive income</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09"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09" w:type="pct"/>
            <w:tcBorders>
              <w:top w:val="single" w:sz="4" w:space="0" w:color="auto"/>
              <w:bottom w:val="single" w:sz="4" w:space="0" w:color="auto"/>
            </w:tcBorders>
            <w:shd w:val="clear" w:color="auto" w:fill="F3F3F3"/>
            <w:noWrap/>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N/A</w:t>
            </w:r>
          </w:p>
        </w:tc>
        <w:tc>
          <w:tcPr>
            <w:tcW w:w="20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7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7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76"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33"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34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34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0</w:t>
            </w:r>
          </w:p>
        </w:tc>
        <w:tc>
          <w:tcPr>
            <w:tcW w:w="275"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3,894</w:t>
            </w:r>
          </w:p>
        </w:tc>
        <w:tc>
          <w:tcPr>
            <w:tcW w:w="24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182,874</w:t>
            </w:r>
          </w:p>
        </w:tc>
        <w:tc>
          <w:tcPr>
            <w:tcW w:w="20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3,894</w:t>
            </w:r>
          </w:p>
        </w:tc>
        <w:tc>
          <w:tcPr>
            <w:tcW w:w="19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182,874</w:t>
            </w:r>
          </w:p>
        </w:tc>
      </w:tr>
      <w:tr w:rsidR="00047D04" w:rsidRPr="006534DA" w:rsidTr="003D7434">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auto"/>
              <w:bottom w:val="single" w:sz="4" w:space="0" w:color="auto"/>
            </w:tcBorders>
            <w:noWrap/>
            <w:hideMark/>
          </w:tcPr>
          <w:p w:rsidR="00776AF9" w:rsidRPr="006534DA" w:rsidRDefault="00776AF9" w:rsidP="006534DA">
            <w:pPr>
              <w:pStyle w:val="TableBodyText"/>
              <w:ind w:right="28"/>
              <w:rPr>
                <w:rStyle w:val="Bold"/>
                <w:szCs w:val="18"/>
              </w:rPr>
            </w:pPr>
            <w:r w:rsidRPr="006534DA">
              <w:rPr>
                <w:rStyle w:val="Bold"/>
                <w:szCs w:val="18"/>
              </w:rPr>
              <w:t>Comprehensive result</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(1,153)</w:t>
            </w:r>
          </w:p>
        </w:tc>
        <w:tc>
          <w:tcPr>
            <w:tcW w:w="209"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(562)</w:t>
            </w:r>
          </w:p>
        </w:tc>
        <w:tc>
          <w:tcPr>
            <w:tcW w:w="209"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(1,362)</w:t>
            </w:r>
          </w:p>
        </w:tc>
        <w:tc>
          <w:tcPr>
            <w:tcW w:w="20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(1,044)</w:t>
            </w:r>
          </w:p>
        </w:tc>
        <w:tc>
          <w:tcPr>
            <w:tcW w:w="27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2,192 </w:t>
            </w:r>
          </w:p>
        </w:tc>
        <w:tc>
          <w:tcPr>
            <w:tcW w:w="27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3,799 </w:t>
            </w:r>
          </w:p>
        </w:tc>
        <w:tc>
          <w:tcPr>
            <w:tcW w:w="276"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(492)</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463 </w:t>
            </w:r>
          </w:p>
        </w:tc>
        <w:tc>
          <w:tcPr>
            <w:tcW w:w="233"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85 </w:t>
            </w:r>
          </w:p>
        </w:tc>
        <w:tc>
          <w:tcPr>
            <w:tcW w:w="233"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516 </w:t>
            </w:r>
          </w:p>
        </w:tc>
        <w:tc>
          <w:tcPr>
            <w:tcW w:w="34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65 </w:t>
            </w:r>
          </w:p>
        </w:tc>
        <w:tc>
          <w:tcPr>
            <w:tcW w:w="347"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(33)</w:t>
            </w:r>
          </w:p>
        </w:tc>
        <w:tc>
          <w:tcPr>
            <w:tcW w:w="275"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6,241 </w:t>
            </w:r>
          </w:p>
        </w:tc>
        <w:tc>
          <w:tcPr>
            <w:tcW w:w="24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174,843 </w:t>
            </w:r>
          </w:p>
        </w:tc>
        <w:tc>
          <w:tcPr>
            <w:tcW w:w="207" w:type="pct"/>
            <w:tcBorders>
              <w:top w:val="single" w:sz="4" w:space="0" w:color="auto"/>
              <w:bottom w:val="single" w:sz="4" w:space="0" w:color="auto"/>
            </w:tcBorders>
            <w:shd w:val="clear" w:color="auto" w:fill="F3F3F3"/>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 xml:space="preserve">5,577 </w:t>
            </w:r>
          </w:p>
        </w:tc>
        <w:tc>
          <w:tcPr>
            <w:tcW w:w="198" w:type="pct"/>
            <w:tcBorders>
              <w:top w:val="single" w:sz="4" w:space="0" w:color="auto"/>
              <w:bottom w:val="single" w:sz="4" w:space="0" w:color="auto"/>
            </w:tcBorders>
            <w:noWrap/>
            <w:hideMark/>
          </w:tcPr>
          <w:p w:rsidR="00776AF9" w:rsidRPr="006534DA" w:rsidRDefault="00776AF9" w:rsidP="006534DA">
            <w:pPr>
              <w:pStyle w:val="TableBodyText"/>
              <w:ind w:right="28"/>
              <w:cnfStyle w:val="000000000000" w:firstRow="0" w:lastRow="0" w:firstColumn="0" w:lastColumn="0" w:oddVBand="0" w:evenVBand="0" w:oddHBand="0" w:evenHBand="0" w:firstRowFirstColumn="0" w:firstRowLastColumn="0" w:lastRowFirstColumn="0" w:lastRowLastColumn="0"/>
              <w:rPr>
                <w:rStyle w:val="Bold"/>
                <w:szCs w:val="18"/>
              </w:rPr>
            </w:pPr>
            <w:r w:rsidRPr="006534DA">
              <w:rPr>
                <w:rStyle w:val="Bold"/>
                <w:szCs w:val="18"/>
              </w:rPr>
              <w:t>178,347</w:t>
            </w:r>
          </w:p>
        </w:tc>
      </w:tr>
    </w:tbl>
    <w:p w:rsidR="0027169B" w:rsidRPr="00047D04" w:rsidRDefault="00CA0D98" w:rsidP="00047D04">
      <w:pPr>
        <w:pStyle w:val="Caption"/>
      </w:pPr>
      <w:r w:rsidRPr="00047D04">
        <w:t xml:space="preserve">Schedule B </w:t>
      </w:r>
      <w:r w:rsidRPr="00047D04">
        <w:rPr>
          <w:rFonts w:ascii="Cambria Math" w:hAnsi="Cambria Math" w:cs="Cambria Math"/>
        </w:rPr>
        <w:t>‐</w:t>
      </w:r>
      <w:r w:rsidRPr="00047D04">
        <w:t xml:space="preserve"> Controlled assets and liabilities by jurisdiction for the year ended 30 June 2017</w:t>
      </w:r>
    </w:p>
    <w:tbl>
      <w:tblPr>
        <w:tblStyle w:val="FinancialTable"/>
        <w:tblW w:w="5000" w:type="pct"/>
        <w:tblLayout w:type="fixed"/>
        <w:tblLook w:val="04A0" w:firstRow="1" w:lastRow="0" w:firstColumn="1" w:lastColumn="0" w:noHBand="0" w:noVBand="1"/>
      </w:tblPr>
      <w:tblGrid>
        <w:gridCol w:w="4622"/>
        <w:gridCol w:w="912"/>
        <w:gridCol w:w="989"/>
        <w:gridCol w:w="853"/>
        <w:gridCol w:w="993"/>
        <w:gridCol w:w="1275"/>
        <w:gridCol w:w="1275"/>
        <w:gridCol w:w="1247"/>
        <w:gridCol w:w="1025"/>
        <w:gridCol w:w="1061"/>
        <w:gridCol w:w="1066"/>
        <w:gridCol w:w="1597"/>
        <w:gridCol w:w="1538"/>
        <w:gridCol w:w="1247"/>
        <w:gridCol w:w="1139"/>
        <w:gridCol w:w="943"/>
        <w:gridCol w:w="898"/>
      </w:tblGrid>
      <w:tr w:rsidR="00047D04" w:rsidRPr="00CA0D98" w:rsidTr="003D743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 w:type="pct"/>
          </w:tcPr>
          <w:p w:rsidR="00047D04" w:rsidRPr="00E0695E" w:rsidRDefault="00047D04" w:rsidP="00047D04">
            <w:pPr>
              <w:pStyle w:val="TableBodyText"/>
              <w:rPr>
                <w:rStyle w:val="Bold"/>
              </w:rPr>
            </w:pPr>
            <w:r w:rsidRPr="00E0695E">
              <w:rPr>
                <w:rStyle w:val="Bold"/>
              </w:rPr>
              <w:t>Assets</w:t>
            </w:r>
          </w:p>
        </w:tc>
        <w:tc>
          <w:tcPr>
            <w:tcW w:w="201"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Supreme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218"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Supreme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c>
          <w:tcPr>
            <w:tcW w:w="188"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County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219"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County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c>
          <w:tcPr>
            <w:tcW w:w="281"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Magistrates'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281"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Magistrates'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c>
          <w:tcPr>
            <w:tcW w:w="275"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Children's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226"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Children's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c>
          <w:tcPr>
            <w:tcW w:w="234"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Coroners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235"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Coroners Court of Victoria</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c>
          <w:tcPr>
            <w:tcW w:w="352"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Victorian Civil &amp; Administrative Tribunal</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339"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Victorian Civil &amp; Administrative Tribunal</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c>
          <w:tcPr>
            <w:tcW w:w="275"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Jurisdiction Services</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251"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D7434">
              <w:rPr>
                <w:rStyle w:val="Bold"/>
                <w:spacing w:val="-6"/>
              </w:rPr>
              <w:t>Jurisdiction</w:t>
            </w:r>
            <w:r w:rsidRPr="00E0695E">
              <w:rPr>
                <w:rStyle w:val="Bold"/>
              </w:rPr>
              <w:t xml:space="preserve"> Services</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c>
          <w:tcPr>
            <w:tcW w:w="208" w:type="pct"/>
            <w:shd w:val="clear" w:color="auto" w:fill="F3F3F3"/>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Total</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2017</w:t>
            </w:r>
            <w:r w:rsidRPr="00E0695E">
              <w:rPr>
                <w:rStyle w:val="Bold"/>
              </w:rPr>
              <w:br/>
              <w:t>$'000</w:t>
            </w:r>
          </w:p>
        </w:tc>
        <w:tc>
          <w:tcPr>
            <w:tcW w:w="198" w:type="pct"/>
            <w:noWrap/>
          </w:tcPr>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Total</w:t>
            </w:r>
          </w:p>
          <w:p w:rsidR="00047D04" w:rsidRPr="00E0695E" w:rsidRDefault="00047D04" w:rsidP="00047D0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0695E">
              <w:rPr>
                <w:rStyle w:val="Bold"/>
              </w:rPr>
              <w:t>2016</w:t>
            </w:r>
            <w:r w:rsidRPr="00E0695E">
              <w:rPr>
                <w:rStyle w:val="Bold"/>
              </w:rPr>
              <w:br/>
              <w:t>$'000</w:t>
            </w:r>
          </w:p>
        </w:tc>
      </w:tr>
      <w:tr w:rsidR="00047D04" w:rsidRPr="00CA0D98" w:rsidTr="003D7434">
        <w:tc>
          <w:tcPr>
            <w:cnfStyle w:val="001000000000" w:firstRow="0" w:lastRow="0" w:firstColumn="1" w:lastColumn="0" w:oddVBand="0" w:evenVBand="0" w:oddHBand="0" w:evenHBand="0" w:firstRowFirstColumn="0" w:firstRowLastColumn="0" w:lastRowFirstColumn="0" w:lastRowLastColumn="0"/>
            <w:tcW w:w="1019" w:type="pct"/>
            <w:hideMark/>
          </w:tcPr>
          <w:p w:rsidR="00047D04" w:rsidRPr="00CA0D98" w:rsidRDefault="00047D04" w:rsidP="00047D04">
            <w:pPr>
              <w:pStyle w:val="TableBodyText"/>
            </w:pPr>
            <w:r w:rsidRPr="00CA0D98">
              <w:t>Financial assets</w:t>
            </w:r>
          </w:p>
        </w:tc>
        <w:tc>
          <w:tcPr>
            <w:tcW w:w="201"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1,001</w:t>
            </w:r>
          </w:p>
        </w:tc>
        <w:tc>
          <w:tcPr>
            <w:tcW w:w="218"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346</w:t>
            </w:r>
          </w:p>
        </w:tc>
        <w:tc>
          <w:tcPr>
            <w:tcW w:w="188"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531</w:t>
            </w:r>
          </w:p>
        </w:tc>
        <w:tc>
          <w:tcPr>
            <w:tcW w:w="219"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345</w:t>
            </w:r>
          </w:p>
        </w:tc>
        <w:tc>
          <w:tcPr>
            <w:tcW w:w="281"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4,526</w:t>
            </w:r>
          </w:p>
        </w:tc>
        <w:tc>
          <w:tcPr>
            <w:tcW w:w="281"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4,747</w:t>
            </w:r>
          </w:p>
        </w:tc>
        <w:tc>
          <w:tcPr>
            <w:tcW w:w="275"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107</w:t>
            </w:r>
          </w:p>
        </w:tc>
        <w:tc>
          <w:tcPr>
            <w:tcW w:w="226"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869</w:t>
            </w:r>
          </w:p>
        </w:tc>
        <w:tc>
          <w:tcPr>
            <w:tcW w:w="234"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14</w:t>
            </w:r>
          </w:p>
        </w:tc>
        <w:tc>
          <w:tcPr>
            <w:tcW w:w="235"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164</w:t>
            </w:r>
          </w:p>
        </w:tc>
        <w:tc>
          <w:tcPr>
            <w:tcW w:w="352"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2,407</w:t>
            </w:r>
          </w:p>
        </w:tc>
        <w:tc>
          <w:tcPr>
            <w:tcW w:w="339"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2,721</w:t>
            </w:r>
          </w:p>
        </w:tc>
        <w:tc>
          <w:tcPr>
            <w:tcW w:w="275"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82,378</w:t>
            </w:r>
          </w:p>
        </w:tc>
        <w:tc>
          <w:tcPr>
            <w:tcW w:w="251"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63,973</w:t>
            </w:r>
          </w:p>
        </w:tc>
        <w:tc>
          <w:tcPr>
            <w:tcW w:w="208" w:type="pct"/>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90,965</w:t>
            </w:r>
          </w:p>
        </w:tc>
        <w:tc>
          <w:tcPr>
            <w:tcW w:w="198" w:type="pct"/>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73,165</w:t>
            </w:r>
          </w:p>
        </w:tc>
      </w:tr>
      <w:tr w:rsidR="00047D04" w:rsidRPr="00CA0D98" w:rsidTr="003D7434">
        <w:tc>
          <w:tcPr>
            <w:cnfStyle w:val="001000000000" w:firstRow="0" w:lastRow="0" w:firstColumn="1" w:lastColumn="0" w:oddVBand="0" w:evenVBand="0" w:oddHBand="0" w:evenHBand="0" w:firstRowFirstColumn="0" w:firstRowLastColumn="0" w:lastRowFirstColumn="0" w:lastRowLastColumn="0"/>
            <w:tcW w:w="1019" w:type="pct"/>
            <w:tcBorders>
              <w:bottom w:val="single" w:sz="4" w:space="0" w:color="auto"/>
            </w:tcBorders>
            <w:hideMark/>
          </w:tcPr>
          <w:p w:rsidR="00047D04" w:rsidRPr="00CA0D98" w:rsidRDefault="00047D04" w:rsidP="00003E8F">
            <w:pPr>
              <w:pStyle w:val="TableBodyText"/>
            </w:pPr>
            <w:r w:rsidRPr="00CA0D98">
              <w:t>Non-financial assets (</w:t>
            </w:r>
            <w:hyperlink w:anchor="ScheduleBNote" w:history="1">
              <w:r w:rsidR="00003E8F" w:rsidRPr="00003E8F">
                <w:rPr>
                  <w:rStyle w:val="Hyperlink"/>
                </w:rPr>
                <w:t>see note</w:t>
              </w:r>
            </w:hyperlink>
            <w:r w:rsidRPr="00CA0D98">
              <w:t>)</w:t>
            </w:r>
          </w:p>
        </w:tc>
        <w:tc>
          <w:tcPr>
            <w:tcW w:w="201" w:type="pct"/>
            <w:tcBorders>
              <w:bottom w:val="single" w:sz="4" w:space="0" w:color="auto"/>
            </w:tcBorders>
            <w:shd w:val="clear" w:color="auto" w:fill="F3F3F3"/>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18" w:type="pct"/>
            <w:tcBorders>
              <w:bottom w:val="single" w:sz="4" w:space="0" w:color="auto"/>
            </w:tcBorders>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188" w:type="pct"/>
            <w:tcBorders>
              <w:bottom w:val="single" w:sz="4" w:space="0" w:color="auto"/>
            </w:tcBorders>
            <w:shd w:val="clear" w:color="auto" w:fill="F3F3F3"/>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19" w:type="pct"/>
            <w:tcBorders>
              <w:bottom w:val="single" w:sz="4" w:space="0" w:color="auto"/>
            </w:tcBorders>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1" w:type="pct"/>
            <w:tcBorders>
              <w:bottom w:val="single" w:sz="4" w:space="0" w:color="auto"/>
            </w:tcBorders>
            <w:shd w:val="clear" w:color="auto" w:fill="F3F3F3"/>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1" w:type="pct"/>
            <w:tcBorders>
              <w:bottom w:val="single" w:sz="4" w:space="0" w:color="auto"/>
            </w:tcBorders>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5" w:type="pct"/>
            <w:tcBorders>
              <w:bottom w:val="single" w:sz="4" w:space="0" w:color="auto"/>
            </w:tcBorders>
            <w:shd w:val="clear" w:color="auto" w:fill="F3F3F3"/>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26" w:type="pct"/>
            <w:tcBorders>
              <w:bottom w:val="single" w:sz="4" w:space="0" w:color="auto"/>
            </w:tcBorders>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34" w:type="pct"/>
            <w:tcBorders>
              <w:bottom w:val="single" w:sz="4" w:space="0" w:color="auto"/>
            </w:tcBorders>
            <w:shd w:val="clear" w:color="auto" w:fill="F3F3F3"/>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35" w:type="pct"/>
            <w:tcBorders>
              <w:bottom w:val="single" w:sz="4" w:space="0" w:color="auto"/>
            </w:tcBorders>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52" w:type="pct"/>
            <w:tcBorders>
              <w:bottom w:val="single" w:sz="4" w:space="0" w:color="auto"/>
            </w:tcBorders>
            <w:shd w:val="clear" w:color="auto" w:fill="F3F3F3"/>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9" w:type="pct"/>
            <w:tcBorders>
              <w:bottom w:val="single" w:sz="4" w:space="0" w:color="auto"/>
            </w:tcBorders>
            <w:noWrap/>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5" w:type="pct"/>
            <w:tcBorders>
              <w:bottom w:val="single" w:sz="4" w:space="0" w:color="auto"/>
            </w:tcBorders>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995,852</w:t>
            </w:r>
          </w:p>
        </w:tc>
        <w:tc>
          <w:tcPr>
            <w:tcW w:w="251" w:type="pct"/>
            <w:tcBorders>
              <w:bottom w:val="single" w:sz="4" w:space="0" w:color="auto"/>
            </w:tcBorders>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991,668</w:t>
            </w:r>
          </w:p>
        </w:tc>
        <w:tc>
          <w:tcPr>
            <w:tcW w:w="208" w:type="pct"/>
            <w:tcBorders>
              <w:bottom w:val="single" w:sz="4" w:space="0" w:color="auto"/>
            </w:tcBorders>
            <w:shd w:val="clear" w:color="auto" w:fill="F3F3F3"/>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995,852</w:t>
            </w:r>
          </w:p>
        </w:tc>
        <w:tc>
          <w:tcPr>
            <w:tcW w:w="198" w:type="pct"/>
            <w:tcBorders>
              <w:bottom w:val="single" w:sz="4" w:space="0" w:color="auto"/>
            </w:tcBorders>
            <w:noWrap/>
            <w:hideMark/>
          </w:tcPr>
          <w:p w:rsidR="00047D04" w:rsidRPr="00CA0D98"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CA0D98">
              <w:t>991,668</w:t>
            </w:r>
          </w:p>
        </w:tc>
      </w:tr>
      <w:tr w:rsidR="00047D04" w:rsidRPr="00776AF9" w:rsidTr="003D7434">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auto"/>
              <w:bottom w:val="single" w:sz="4" w:space="0" w:color="auto"/>
            </w:tcBorders>
            <w:hideMark/>
          </w:tcPr>
          <w:p w:rsidR="00047D04" w:rsidRPr="00776AF9" w:rsidRDefault="00047D04" w:rsidP="00047D04">
            <w:pPr>
              <w:pStyle w:val="TableBodyText"/>
              <w:rPr>
                <w:rStyle w:val="Bold"/>
              </w:rPr>
            </w:pPr>
            <w:r w:rsidRPr="00776AF9">
              <w:rPr>
                <w:rStyle w:val="Bold"/>
              </w:rPr>
              <w:t>Total assets</w:t>
            </w:r>
          </w:p>
        </w:tc>
        <w:tc>
          <w:tcPr>
            <w:tcW w:w="20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1,001</w:t>
            </w:r>
          </w:p>
        </w:tc>
        <w:tc>
          <w:tcPr>
            <w:tcW w:w="218"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346</w:t>
            </w:r>
          </w:p>
        </w:tc>
        <w:tc>
          <w:tcPr>
            <w:tcW w:w="18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531</w:t>
            </w:r>
          </w:p>
        </w:tc>
        <w:tc>
          <w:tcPr>
            <w:tcW w:w="21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345</w:t>
            </w:r>
          </w:p>
        </w:tc>
        <w:tc>
          <w:tcPr>
            <w:tcW w:w="28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4,526</w:t>
            </w:r>
          </w:p>
        </w:tc>
        <w:tc>
          <w:tcPr>
            <w:tcW w:w="28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4,747</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107</w:t>
            </w:r>
          </w:p>
        </w:tc>
        <w:tc>
          <w:tcPr>
            <w:tcW w:w="226"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869</w:t>
            </w:r>
          </w:p>
        </w:tc>
        <w:tc>
          <w:tcPr>
            <w:tcW w:w="234"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14</w:t>
            </w:r>
          </w:p>
        </w:tc>
        <w:tc>
          <w:tcPr>
            <w:tcW w:w="235"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164</w:t>
            </w:r>
          </w:p>
        </w:tc>
        <w:tc>
          <w:tcPr>
            <w:tcW w:w="352"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2,407</w:t>
            </w:r>
          </w:p>
        </w:tc>
        <w:tc>
          <w:tcPr>
            <w:tcW w:w="33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2,721</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1,078,231</w:t>
            </w:r>
          </w:p>
        </w:tc>
        <w:tc>
          <w:tcPr>
            <w:tcW w:w="25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1,051,613</w:t>
            </w:r>
          </w:p>
        </w:tc>
        <w:tc>
          <w:tcPr>
            <w:tcW w:w="20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1,086,817</w:t>
            </w:r>
          </w:p>
        </w:tc>
        <w:tc>
          <w:tcPr>
            <w:tcW w:w="198" w:type="pct"/>
            <w:tcBorders>
              <w:top w:val="single" w:sz="4" w:space="0" w:color="auto"/>
              <w:bottom w:val="single" w:sz="4" w:space="0" w:color="auto"/>
            </w:tcBorders>
            <w:noWrap/>
            <w:hideMark/>
          </w:tcPr>
          <w:p w:rsidR="00047D04" w:rsidRPr="003D7434"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spacing w:val="-6"/>
              </w:rPr>
            </w:pPr>
            <w:r w:rsidRPr="003D7434">
              <w:rPr>
                <w:rStyle w:val="Bold"/>
                <w:spacing w:val="-6"/>
              </w:rPr>
              <w:t>1,064,833</w:t>
            </w:r>
          </w:p>
        </w:tc>
      </w:tr>
      <w:tr w:rsidR="00047D04" w:rsidRPr="00776AF9" w:rsidTr="003D7434">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auto"/>
              <w:bottom w:val="single" w:sz="4" w:space="0" w:color="auto"/>
            </w:tcBorders>
            <w:hideMark/>
          </w:tcPr>
          <w:p w:rsidR="00047D04" w:rsidRPr="00776AF9" w:rsidRDefault="00047D04" w:rsidP="00047D04">
            <w:pPr>
              <w:pStyle w:val="TableBodyText"/>
              <w:rPr>
                <w:rStyle w:val="Bold"/>
              </w:rPr>
            </w:pPr>
            <w:r w:rsidRPr="00776AF9">
              <w:rPr>
                <w:rStyle w:val="Bold"/>
              </w:rPr>
              <w:t>Liabilities</w:t>
            </w:r>
          </w:p>
        </w:tc>
        <w:tc>
          <w:tcPr>
            <w:tcW w:w="20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21,441</w:t>
            </w:r>
          </w:p>
        </w:tc>
        <w:tc>
          <w:tcPr>
            <w:tcW w:w="218"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19,632</w:t>
            </w:r>
          </w:p>
        </w:tc>
        <w:tc>
          <w:tcPr>
            <w:tcW w:w="18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91,192</w:t>
            </w:r>
          </w:p>
        </w:tc>
        <w:tc>
          <w:tcPr>
            <w:tcW w:w="21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103,505</w:t>
            </w:r>
          </w:p>
        </w:tc>
        <w:tc>
          <w:tcPr>
            <w:tcW w:w="28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37,950</w:t>
            </w:r>
          </w:p>
        </w:tc>
        <w:tc>
          <w:tcPr>
            <w:tcW w:w="28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34,066</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4,603</w:t>
            </w:r>
          </w:p>
        </w:tc>
        <w:tc>
          <w:tcPr>
            <w:tcW w:w="226"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3,978</w:t>
            </w:r>
          </w:p>
        </w:tc>
        <w:tc>
          <w:tcPr>
            <w:tcW w:w="234"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2,687</w:t>
            </w:r>
          </w:p>
        </w:tc>
        <w:tc>
          <w:tcPr>
            <w:tcW w:w="235"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2,130</w:t>
            </w:r>
          </w:p>
        </w:tc>
        <w:tc>
          <w:tcPr>
            <w:tcW w:w="352"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9,205</w:t>
            </w:r>
          </w:p>
        </w:tc>
        <w:tc>
          <w:tcPr>
            <w:tcW w:w="33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8,478</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20,061</w:t>
            </w:r>
          </w:p>
        </w:tc>
        <w:tc>
          <w:tcPr>
            <w:tcW w:w="25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18,467</w:t>
            </w:r>
          </w:p>
        </w:tc>
        <w:tc>
          <w:tcPr>
            <w:tcW w:w="20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187,139</w:t>
            </w:r>
          </w:p>
        </w:tc>
        <w:tc>
          <w:tcPr>
            <w:tcW w:w="198"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pPr>
            <w:r w:rsidRPr="00776AF9">
              <w:t>190,256</w:t>
            </w:r>
          </w:p>
        </w:tc>
      </w:tr>
      <w:tr w:rsidR="00047D04" w:rsidRPr="00776AF9" w:rsidTr="003D7434">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auto"/>
              <w:bottom w:val="single" w:sz="4" w:space="0" w:color="auto"/>
            </w:tcBorders>
            <w:hideMark/>
          </w:tcPr>
          <w:p w:rsidR="00047D04" w:rsidRPr="00776AF9" w:rsidRDefault="00047D04" w:rsidP="00047D04">
            <w:pPr>
              <w:pStyle w:val="TableBodyText"/>
              <w:rPr>
                <w:rStyle w:val="Bold"/>
              </w:rPr>
            </w:pPr>
            <w:r w:rsidRPr="00776AF9">
              <w:rPr>
                <w:rStyle w:val="Bold"/>
              </w:rPr>
              <w:t>Total liabilities</w:t>
            </w:r>
          </w:p>
        </w:tc>
        <w:tc>
          <w:tcPr>
            <w:tcW w:w="20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21,441</w:t>
            </w:r>
          </w:p>
        </w:tc>
        <w:tc>
          <w:tcPr>
            <w:tcW w:w="218"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 xml:space="preserve">19,632 </w:t>
            </w:r>
          </w:p>
        </w:tc>
        <w:tc>
          <w:tcPr>
            <w:tcW w:w="18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91,192</w:t>
            </w:r>
          </w:p>
        </w:tc>
        <w:tc>
          <w:tcPr>
            <w:tcW w:w="21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103,505</w:t>
            </w:r>
          </w:p>
        </w:tc>
        <w:tc>
          <w:tcPr>
            <w:tcW w:w="28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37,950</w:t>
            </w:r>
          </w:p>
        </w:tc>
        <w:tc>
          <w:tcPr>
            <w:tcW w:w="28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34,066</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4,603</w:t>
            </w:r>
          </w:p>
        </w:tc>
        <w:tc>
          <w:tcPr>
            <w:tcW w:w="226"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3,978</w:t>
            </w:r>
          </w:p>
        </w:tc>
        <w:tc>
          <w:tcPr>
            <w:tcW w:w="234"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2,687</w:t>
            </w:r>
          </w:p>
        </w:tc>
        <w:tc>
          <w:tcPr>
            <w:tcW w:w="235"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2,130</w:t>
            </w:r>
          </w:p>
        </w:tc>
        <w:tc>
          <w:tcPr>
            <w:tcW w:w="352"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9,205</w:t>
            </w:r>
          </w:p>
        </w:tc>
        <w:tc>
          <w:tcPr>
            <w:tcW w:w="33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8,478</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20,061</w:t>
            </w:r>
          </w:p>
        </w:tc>
        <w:tc>
          <w:tcPr>
            <w:tcW w:w="25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18,467</w:t>
            </w:r>
          </w:p>
        </w:tc>
        <w:tc>
          <w:tcPr>
            <w:tcW w:w="20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187,139</w:t>
            </w:r>
          </w:p>
        </w:tc>
        <w:tc>
          <w:tcPr>
            <w:tcW w:w="198"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190,256</w:t>
            </w:r>
          </w:p>
        </w:tc>
      </w:tr>
      <w:tr w:rsidR="00047D04" w:rsidRPr="00776AF9" w:rsidTr="003D7434">
        <w:tc>
          <w:tcPr>
            <w:cnfStyle w:val="001000000000" w:firstRow="0" w:lastRow="0" w:firstColumn="1" w:lastColumn="0" w:oddVBand="0" w:evenVBand="0" w:oddHBand="0" w:evenHBand="0" w:firstRowFirstColumn="0" w:firstRowLastColumn="0" w:lastRowFirstColumn="0" w:lastRowLastColumn="0"/>
            <w:tcW w:w="1019" w:type="pct"/>
            <w:tcBorders>
              <w:top w:val="single" w:sz="4" w:space="0" w:color="auto"/>
              <w:bottom w:val="single" w:sz="4" w:space="0" w:color="auto"/>
            </w:tcBorders>
            <w:hideMark/>
          </w:tcPr>
          <w:p w:rsidR="00047D04" w:rsidRPr="00776AF9" w:rsidRDefault="00047D04" w:rsidP="00047D04">
            <w:pPr>
              <w:pStyle w:val="TableBodyText"/>
              <w:rPr>
                <w:rStyle w:val="Bold"/>
              </w:rPr>
            </w:pPr>
            <w:r w:rsidRPr="00776AF9">
              <w:rPr>
                <w:rStyle w:val="Bold"/>
              </w:rPr>
              <w:t>Net assets</w:t>
            </w:r>
          </w:p>
        </w:tc>
        <w:tc>
          <w:tcPr>
            <w:tcW w:w="20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(20,440)</w:t>
            </w:r>
          </w:p>
        </w:tc>
        <w:tc>
          <w:tcPr>
            <w:tcW w:w="218"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(19,286)</w:t>
            </w:r>
          </w:p>
        </w:tc>
        <w:tc>
          <w:tcPr>
            <w:tcW w:w="18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(90,661)</w:t>
            </w:r>
          </w:p>
        </w:tc>
        <w:tc>
          <w:tcPr>
            <w:tcW w:w="21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(103,160)</w:t>
            </w:r>
          </w:p>
        </w:tc>
        <w:tc>
          <w:tcPr>
            <w:tcW w:w="281"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(33,424)</w:t>
            </w:r>
          </w:p>
        </w:tc>
        <w:tc>
          <w:tcPr>
            <w:tcW w:w="28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(29,319)</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(4,496)</w:t>
            </w:r>
          </w:p>
        </w:tc>
        <w:tc>
          <w:tcPr>
            <w:tcW w:w="226"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(3,109)</w:t>
            </w:r>
          </w:p>
        </w:tc>
        <w:tc>
          <w:tcPr>
            <w:tcW w:w="234"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(2,673)</w:t>
            </w:r>
          </w:p>
        </w:tc>
        <w:tc>
          <w:tcPr>
            <w:tcW w:w="235"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(1,966)</w:t>
            </w:r>
          </w:p>
        </w:tc>
        <w:tc>
          <w:tcPr>
            <w:tcW w:w="352"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(6,798)</w:t>
            </w:r>
          </w:p>
        </w:tc>
        <w:tc>
          <w:tcPr>
            <w:tcW w:w="339"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(5,757)</w:t>
            </w:r>
          </w:p>
        </w:tc>
        <w:tc>
          <w:tcPr>
            <w:tcW w:w="275"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1,058,170</w:t>
            </w:r>
          </w:p>
        </w:tc>
        <w:tc>
          <w:tcPr>
            <w:tcW w:w="251"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1,033,146</w:t>
            </w:r>
          </w:p>
        </w:tc>
        <w:tc>
          <w:tcPr>
            <w:tcW w:w="208" w:type="pct"/>
            <w:tcBorders>
              <w:top w:val="single" w:sz="4" w:space="0" w:color="auto"/>
              <w:bottom w:val="single" w:sz="4" w:space="0" w:color="auto"/>
            </w:tcBorders>
            <w:shd w:val="clear" w:color="auto" w:fill="F3F3F3"/>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899,678</w:t>
            </w:r>
          </w:p>
        </w:tc>
        <w:tc>
          <w:tcPr>
            <w:tcW w:w="198" w:type="pct"/>
            <w:tcBorders>
              <w:top w:val="single" w:sz="4" w:space="0" w:color="auto"/>
              <w:bottom w:val="single" w:sz="4" w:space="0" w:color="auto"/>
            </w:tcBorders>
            <w:noWrap/>
            <w:hideMark/>
          </w:tcPr>
          <w:p w:rsidR="00047D04" w:rsidRPr="00776AF9" w:rsidRDefault="00047D04" w:rsidP="00047D0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76AF9">
              <w:rPr>
                <w:rStyle w:val="Bold"/>
              </w:rPr>
              <w:t>874,577</w:t>
            </w:r>
          </w:p>
        </w:tc>
      </w:tr>
    </w:tbl>
    <w:p w:rsidR="00E0695E" w:rsidRDefault="00E0695E" w:rsidP="00047D04">
      <w:pPr>
        <w:pStyle w:val="BodyText"/>
      </w:pPr>
      <w:r w:rsidRPr="00E0695E">
        <w:t xml:space="preserve">Note: </w:t>
      </w:r>
    </w:p>
    <w:p w:rsidR="00CA0D98" w:rsidRDefault="00E0695E" w:rsidP="00047D04">
      <w:pPr>
        <w:pStyle w:val="ListNumber"/>
        <w:numPr>
          <w:ilvl w:val="0"/>
          <w:numId w:val="31"/>
        </w:numPr>
      </w:pPr>
      <w:bookmarkStart w:id="29" w:name="ScheduleBNote"/>
      <w:bookmarkEnd w:id="29"/>
      <w:r w:rsidRPr="00E0695E">
        <w:t>All non</w:t>
      </w:r>
      <w:r w:rsidRPr="00047D04">
        <w:rPr>
          <w:rFonts w:ascii="Cambria Math" w:hAnsi="Cambria Math" w:cs="Cambria Math"/>
        </w:rPr>
        <w:t>‐</w:t>
      </w:r>
      <w:r w:rsidRPr="00E0695E">
        <w:t>financial assets have been allocated to Jurisdiction Services as a number of buildings are used by various jurisdictions and tribunal</w:t>
      </w:r>
    </w:p>
    <w:p w:rsidR="00E0695E" w:rsidRDefault="00E0695E" w:rsidP="00175896">
      <w:pPr>
        <w:pStyle w:val="Heading2"/>
        <w:spacing w:after="0"/>
      </w:pPr>
      <w:bookmarkStart w:id="30" w:name="_Toc497125471"/>
      <w:r>
        <w:lastRenderedPageBreak/>
        <w:t>Administered (non</w:t>
      </w:r>
      <w:r w:rsidRPr="002A2BBA">
        <w:rPr>
          <w:rFonts w:ascii="Cambria Math" w:hAnsi="Cambria Math" w:cs="Cambria Math"/>
        </w:rPr>
        <w:t>‐</w:t>
      </w:r>
      <w:r w:rsidR="00424E64">
        <w:t>controlled) items</w:t>
      </w:r>
      <w:r w:rsidR="002A2BBA">
        <w:br/>
      </w:r>
      <w:r w:rsidR="003D7434">
        <w:t>for</w:t>
      </w:r>
      <w:r>
        <w:t xml:space="preserve"> the financial year ended 30 June 2017</w:t>
      </w:r>
      <w:bookmarkEnd w:id="30"/>
    </w:p>
    <w:p w:rsidR="00E0695E" w:rsidRDefault="00E0695E" w:rsidP="00E0695E">
      <w:pPr>
        <w:pStyle w:val="BodyText"/>
      </w:pPr>
      <w:r>
        <w:t>Administered income includes taxes, fees and fines. Administered expenses include payments made on behalf of the State and payments into the consolidated fund. Administered assets include</w:t>
      </w:r>
      <w:r w:rsidR="00003E8F">
        <w:t xml:space="preserve"> </w:t>
      </w:r>
      <w:r>
        <w:t xml:space="preserve">government income earned but yet to be collected. Administered liabilities include government expenses incurred but yet to be paid. Administered income is accounted for on a cash basis, with the only exception of </w:t>
      </w:r>
      <w:proofErr w:type="spellStart"/>
      <w:r>
        <w:t>VCAT</w:t>
      </w:r>
      <w:proofErr w:type="spellEnd"/>
      <w:r>
        <w:t xml:space="preserve"> fees collected on behalf of Consumer Affairs Victoria and the County Court, which are recognised on an accrual basis. CSV's controlled and administered items are consolidated into the financial statements of the State.</w:t>
      </w:r>
    </w:p>
    <w:p w:rsidR="00003E8F" w:rsidRDefault="00E0695E" w:rsidP="00E0695E">
      <w:pPr>
        <w:pStyle w:val="BodyText"/>
      </w:pPr>
      <w:r>
        <w:t>CSV does not gain control over assets arising from taxes and fines, consequently no income is recognised in CSV's financial statements. CSV collects these amounts on behalf of the State. Accordingly, the amounts are disclosed as income in the schedule of administered items.</w:t>
      </w:r>
    </w:p>
    <w:tbl>
      <w:tblPr>
        <w:tblStyle w:val="FinancialTable"/>
        <w:tblW w:w="5000" w:type="pct"/>
        <w:tblLayout w:type="fixed"/>
        <w:tblLook w:val="04A0" w:firstRow="1" w:lastRow="0" w:firstColumn="1" w:lastColumn="0" w:noHBand="0" w:noVBand="1"/>
      </w:tblPr>
      <w:tblGrid>
        <w:gridCol w:w="4604"/>
        <w:gridCol w:w="1247"/>
        <w:gridCol w:w="1252"/>
        <w:gridCol w:w="1252"/>
        <w:gridCol w:w="1252"/>
        <w:gridCol w:w="1247"/>
        <w:gridCol w:w="1252"/>
        <w:gridCol w:w="1252"/>
        <w:gridCol w:w="1252"/>
        <w:gridCol w:w="1637"/>
        <w:gridCol w:w="1615"/>
        <w:gridCol w:w="1275"/>
        <w:gridCol w:w="1275"/>
        <w:gridCol w:w="1134"/>
        <w:gridCol w:w="1134"/>
      </w:tblGrid>
      <w:tr w:rsidR="00003E8F" w:rsidRPr="00C7473A" w:rsidTr="00003E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5" w:type="pct"/>
            <w:noWrap/>
          </w:tcPr>
          <w:p w:rsidR="00424E64" w:rsidRPr="00C7473A" w:rsidRDefault="00DC66B3" w:rsidP="00DC66B3">
            <w:pPr>
              <w:pStyle w:val="TableBodyText"/>
              <w:rPr>
                <w:rStyle w:val="Bold"/>
              </w:rPr>
            </w:pPr>
            <w:r w:rsidRPr="00C7473A">
              <w:rPr>
                <w:rStyle w:val="Bold"/>
              </w:rPr>
              <w:t>Item</w:t>
            </w:r>
          </w:p>
        </w:tc>
        <w:tc>
          <w:tcPr>
            <w:tcW w:w="275" w:type="pct"/>
            <w:shd w:val="clear" w:color="auto" w:fill="F3F3F3"/>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Supreme Court of Victoria</w:t>
            </w:r>
            <w:r w:rsidRPr="00C7473A">
              <w:rPr>
                <w:rStyle w:val="Bold"/>
              </w:rPr>
              <w:br/>
            </w:r>
            <w:r w:rsidR="00424E64" w:rsidRPr="00C7473A">
              <w:rPr>
                <w:rStyle w:val="Bold"/>
              </w:rPr>
              <w:t>2017</w:t>
            </w:r>
            <w:r w:rsidR="00424E64" w:rsidRPr="00C7473A">
              <w:rPr>
                <w:rStyle w:val="Bold"/>
              </w:rPr>
              <w:br/>
              <w:t>$'000</w:t>
            </w:r>
          </w:p>
        </w:tc>
        <w:tc>
          <w:tcPr>
            <w:tcW w:w="276" w:type="pct"/>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Supreme Court of Victoria</w:t>
            </w:r>
            <w:r w:rsidRPr="00C7473A">
              <w:rPr>
                <w:rStyle w:val="Bold"/>
              </w:rPr>
              <w:br/>
            </w:r>
            <w:r w:rsidR="00424E64" w:rsidRPr="00C7473A">
              <w:rPr>
                <w:rStyle w:val="Bold"/>
              </w:rPr>
              <w:t>2016</w:t>
            </w:r>
            <w:r w:rsidR="00424E64" w:rsidRPr="00C7473A">
              <w:rPr>
                <w:rStyle w:val="Bold"/>
              </w:rPr>
              <w:br/>
              <w:t xml:space="preserve">$'000 </w:t>
            </w:r>
          </w:p>
        </w:tc>
        <w:tc>
          <w:tcPr>
            <w:tcW w:w="276" w:type="pct"/>
            <w:shd w:val="clear" w:color="auto" w:fill="F3F3F3"/>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County Court of Victoria</w:t>
            </w:r>
            <w:r w:rsidRPr="00C7473A">
              <w:rPr>
                <w:rStyle w:val="Bold"/>
              </w:rPr>
              <w:br/>
            </w:r>
            <w:r w:rsidR="00424E64" w:rsidRPr="00C7473A">
              <w:rPr>
                <w:rStyle w:val="Bold"/>
              </w:rPr>
              <w:t>2017</w:t>
            </w:r>
            <w:r w:rsidR="00424E64" w:rsidRPr="00C7473A">
              <w:rPr>
                <w:rStyle w:val="Bold"/>
              </w:rPr>
              <w:br/>
              <w:t xml:space="preserve">$'000 </w:t>
            </w:r>
          </w:p>
        </w:tc>
        <w:tc>
          <w:tcPr>
            <w:tcW w:w="276" w:type="pct"/>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County Court of Victoria</w:t>
            </w:r>
            <w:r w:rsidRPr="00C7473A">
              <w:rPr>
                <w:rStyle w:val="Bold"/>
              </w:rPr>
              <w:br/>
            </w:r>
            <w:r w:rsidR="00424E64" w:rsidRPr="00C7473A">
              <w:rPr>
                <w:rStyle w:val="Bold"/>
              </w:rPr>
              <w:t>2016</w:t>
            </w:r>
            <w:r w:rsidR="00424E64" w:rsidRPr="00C7473A">
              <w:rPr>
                <w:rStyle w:val="Bold"/>
              </w:rPr>
              <w:br/>
              <w:t xml:space="preserve">$'000 </w:t>
            </w:r>
          </w:p>
        </w:tc>
        <w:tc>
          <w:tcPr>
            <w:tcW w:w="275" w:type="pct"/>
            <w:shd w:val="clear" w:color="auto" w:fill="F3F3F3"/>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Magistrates' Court of Victoria</w:t>
            </w:r>
            <w:r w:rsidRPr="00C7473A">
              <w:rPr>
                <w:rStyle w:val="Bold"/>
              </w:rPr>
              <w:br/>
            </w:r>
            <w:r w:rsidR="00424E64" w:rsidRPr="00C7473A">
              <w:rPr>
                <w:rStyle w:val="Bold"/>
              </w:rPr>
              <w:t>2017</w:t>
            </w:r>
            <w:r w:rsidR="00424E64" w:rsidRPr="00C7473A">
              <w:rPr>
                <w:rStyle w:val="Bold"/>
              </w:rPr>
              <w:br/>
              <w:t xml:space="preserve">$'000 </w:t>
            </w:r>
          </w:p>
        </w:tc>
        <w:tc>
          <w:tcPr>
            <w:tcW w:w="276" w:type="pct"/>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Magistrates' Court of Victoria</w:t>
            </w:r>
            <w:r w:rsidRPr="00C7473A">
              <w:rPr>
                <w:rStyle w:val="Bold"/>
              </w:rPr>
              <w:br/>
            </w:r>
            <w:r w:rsidR="00424E64" w:rsidRPr="00C7473A">
              <w:rPr>
                <w:rStyle w:val="Bold"/>
              </w:rPr>
              <w:t>2016</w:t>
            </w:r>
            <w:r w:rsidR="00424E64" w:rsidRPr="00C7473A">
              <w:rPr>
                <w:rStyle w:val="Bold"/>
              </w:rPr>
              <w:br/>
              <w:t xml:space="preserve">$'000 </w:t>
            </w:r>
          </w:p>
        </w:tc>
        <w:tc>
          <w:tcPr>
            <w:tcW w:w="276" w:type="pct"/>
            <w:shd w:val="clear" w:color="auto" w:fill="F3F3F3"/>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Children's Court of Victoria</w:t>
            </w:r>
            <w:r w:rsidRPr="00C7473A">
              <w:rPr>
                <w:rStyle w:val="Bold"/>
              </w:rPr>
              <w:br/>
            </w:r>
            <w:r w:rsidR="00424E64" w:rsidRPr="00C7473A">
              <w:rPr>
                <w:rStyle w:val="Bold"/>
              </w:rPr>
              <w:t>2017</w:t>
            </w:r>
            <w:r w:rsidR="00424E64" w:rsidRPr="00C7473A">
              <w:rPr>
                <w:rStyle w:val="Bold"/>
              </w:rPr>
              <w:br/>
              <w:t xml:space="preserve">$'000 </w:t>
            </w:r>
          </w:p>
        </w:tc>
        <w:tc>
          <w:tcPr>
            <w:tcW w:w="276" w:type="pct"/>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Children's Court of Victoria</w:t>
            </w:r>
            <w:r w:rsidRPr="00C7473A">
              <w:rPr>
                <w:rStyle w:val="Bold"/>
              </w:rPr>
              <w:br/>
            </w:r>
            <w:r w:rsidR="00424E64" w:rsidRPr="00C7473A">
              <w:rPr>
                <w:rStyle w:val="Bold"/>
              </w:rPr>
              <w:t>2016</w:t>
            </w:r>
            <w:r w:rsidR="00424E64" w:rsidRPr="00C7473A">
              <w:rPr>
                <w:rStyle w:val="Bold"/>
              </w:rPr>
              <w:br/>
              <w:t xml:space="preserve">$'000 </w:t>
            </w:r>
          </w:p>
        </w:tc>
        <w:tc>
          <w:tcPr>
            <w:tcW w:w="361" w:type="pct"/>
            <w:shd w:val="clear" w:color="auto" w:fill="F3F3F3"/>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Victorian Civil &amp; Administrative Tribunal</w:t>
            </w:r>
            <w:r w:rsidRPr="00C7473A">
              <w:rPr>
                <w:rStyle w:val="Bold"/>
              </w:rPr>
              <w:br/>
            </w:r>
            <w:r w:rsidR="00424E64" w:rsidRPr="00C7473A">
              <w:rPr>
                <w:rStyle w:val="Bold"/>
              </w:rPr>
              <w:t>2017</w:t>
            </w:r>
            <w:r w:rsidR="00424E64" w:rsidRPr="00C7473A">
              <w:rPr>
                <w:rStyle w:val="Bold"/>
              </w:rPr>
              <w:br/>
              <w:t xml:space="preserve">$'000 </w:t>
            </w:r>
          </w:p>
        </w:tc>
        <w:tc>
          <w:tcPr>
            <w:tcW w:w="356" w:type="pct"/>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Victorian Civil &amp; Administrative Tribunal</w:t>
            </w:r>
            <w:r w:rsidRPr="00C7473A">
              <w:rPr>
                <w:rStyle w:val="Bold"/>
              </w:rPr>
              <w:br/>
            </w:r>
            <w:r w:rsidR="00424E64" w:rsidRPr="00C7473A">
              <w:rPr>
                <w:rStyle w:val="Bold"/>
              </w:rPr>
              <w:t>2016</w:t>
            </w:r>
            <w:r w:rsidR="00424E64" w:rsidRPr="00C7473A">
              <w:rPr>
                <w:rStyle w:val="Bold"/>
              </w:rPr>
              <w:br/>
              <w:t xml:space="preserve">$'000 </w:t>
            </w:r>
          </w:p>
        </w:tc>
        <w:tc>
          <w:tcPr>
            <w:tcW w:w="281" w:type="pct"/>
            <w:shd w:val="clear" w:color="auto" w:fill="F3F3F3"/>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Jurisdiction Services</w:t>
            </w:r>
            <w:r w:rsidRPr="00C7473A">
              <w:rPr>
                <w:rStyle w:val="Bold"/>
              </w:rPr>
              <w:br/>
            </w:r>
            <w:r w:rsidR="00424E64" w:rsidRPr="00C7473A">
              <w:rPr>
                <w:rStyle w:val="Bold"/>
              </w:rPr>
              <w:t>2017</w:t>
            </w:r>
            <w:r w:rsidR="00424E64" w:rsidRPr="00C7473A">
              <w:rPr>
                <w:rStyle w:val="Bold"/>
              </w:rPr>
              <w:br/>
              <w:t xml:space="preserve">$'000 </w:t>
            </w:r>
          </w:p>
        </w:tc>
        <w:tc>
          <w:tcPr>
            <w:tcW w:w="281" w:type="pct"/>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Jurisdiction Services</w:t>
            </w:r>
            <w:r w:rsidRPr="00C7473A">
              <w:rPr>
                <w:rStyle w:val="Bold"/>
              </w:rPr>
              <w:br/>
            </w:r>
            <w:r w:rsidR="00424E64" w:rsidRPr="00C7473A">
              <w:rPr>
                <w:rStyle w:val="Bold"/>
              </w:rPr>
              <w:t>2016</w:t>
            </w:r>
            <w:r w:rsidR="00424E64" w:rsidRPr="00C7473A">
              <w:rPr>
                <w:rStyle w:val="Bold"/>
              </w:rPr>
              <w:br/>
              <w:t xml:space="preserve">$'000 </w:t>
            </w:r>
          </w:p>
        </w:tc>
        <w:tc>
          <w:tcPr>
            <w:tcW w:w="250" w:type="pct"/>
            <w:shd w:val="clear" w:color="auto" w:fill="F3F3F3"/>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Total</w:t>
            </w:r>
            <w:r w:rsidRPr="00C7473A">
              <w:rPr>
                <w:rStyle w:val="Bold"/>
              </w:rPr>
              <w:br/>
            </w:r>
            <w:r w:rsidR="00424E64" w:rsidRPr="00C7473A">
              <w:rPr>
                <w:rStyle w:val="Bold"/>
              </w:rPr>
              <w:t>2017</w:t>
            </w:r>
            <w:r w:rsidR="00424E64" w:rsidRPr="00C7473A">
              <w:rPr>
                <w:rStyle w:val="Bold"/>
              </w:rPr>
              <w:br/>
              <w:t xml:space="preserve">$'000 </w:t>
            </w:r>
          </w:p>
        </w:tc>
        <w:tc>
          <w:tcPr>
            <w:tcW w:w="250" w:type="pct"/>
            <w:hideMark/>
          </w:tcPr>
          <w:p w:rsidR="00424E64" w:rsidRPr="00C7473A" w:rsidRDefault="00DC66B3" w:rsidP="00DC66B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7473A">
              <w:rPr>
                <w:rStyle w:val="Bold"/>
              </w:rPr>
              <w:t>Total</w:t>
            </w:r>
            <w:r w:rsidRPr="00C7473A">
              <w:rPr>
                <w:rStyle w:val="Bold"/>
              </w:rPr>
              <w:br/>
            </w:r>
            <w:r w:rsidR="00424E64" w:rsidRPr="00C7473A">
              <w:rPr>
                <w:rStyle w:val="Bold"/>
              </w:rPr>
              <w:t>2016</w:t>
            </w:r>
            <w:r w:rsidR="00424E64" w:rsidRPr="00C7473A">
              <w:rPr>
                <w:rStyle w:val="Bold"/>
              </w:rPr>
              <w:br/>
              <w:t xml:space="preserve">$'000 </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noWrap/>
            <w:hideMark/>
          </w:tcPr>
          <w:p w:rsidR="00424E64" w:rsidRPr="00DC66B3" w:rsidRDefault="00424E64" w:rsidP="00DC66B3">
            <w:pPr>
              <w:pStyle w:val="TableBodyText"/>
              <w:rPr>
                <w:rStyle w:val="Bold"/>
              </w:rPr>
            </w:pPr>
            <w:r w:rsidRPr="00DC66B3">
              <w:rPr>
                <w:rStyle w:val="Bold"/>
              </w:rPr>
              <w:t>Administered income from transactions</w:t>
            </w:r>
          </w:p>
        </w:tc>
        <w:tc>
          <w:tcPr>
            <w:tcW w:w="275" w:type="pct"/>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noWrap/>
            <w:hideMark/>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noWrap/>
            <w:hideMark/>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5" w:type="pct"/>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noWrap/>
            <w:hideMark/>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noWrap/>
            <w:hideMark/>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56" w:type="pct"/>
            <w:noWrap/>
            <w:hideMark/>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1" w:type="pct"/>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1" w:type="pct"/>
            <w:noWrap/>
            <w:hideMark/>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50" w:type="pct"/>
            <w:shd w:val="clear" w:color="auto" w:fill="F3F3F3"/>
            <w:noWrap/>
          </w:tcPr>
          <w:p w:rsidR="00424E64" w:rsidRPr="00C7473A" w:rsidRDefault="00DC66B3" w:rsidP="00DC66B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N/A</w:t>
            </w:r>
          </w:p>
        </w:tc>
        <w:tc>
          <w:tcPr>
            <w:tcW w:w="250" w:type="pct"/>
            <w:noWrap/>
            <w:hideMark/>
          </w:tcPr>
          <w:p w:rsidR="00424E64" w:rsidRPr="00C7473A" w:rsidRDefault="00DC66B3" w:rsidP="00DC66B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N/A</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noWrap/>
            <w:hideMark/>
          </w:tcPr>
          <w:p w:rsidR="00424E64" w:rsidRPr="00424E64" w:rsidRDefault="00424E64" w:rsidP="00DC66B3">
            <w:pPr>
              <w:pStyle w:val="TableBodyText"/>
            </w:pPr>
            <w:r w:rsidRPr="00424E64">
              <w:t>Special appropriations applied</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42,609 </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36,157</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6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8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81"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50" w:type="pct"/>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42,609</w:t>
            </w:r>
          </w:p>
        </w:tc>
        <w:tc>
          <w:tcPr>
            <w:tcW w:w="250" w:type="pct"/>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36,157</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noWrap/>
            <w:hideMark/>
          </w:tcPr>
          <w:p w:rsidR="00424E64" w:rsidRPr="00424E64" w:rsidRDefault="00424E64" w:rsidP="00DC66B3">
            <w:pPr>
              <w:pStyle w:val="TableBodyText"/>
            </w:pPr>
            <w:r w:rsidRPr="00424E64">
              <w:t>Fines</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305</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25</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1,584</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516</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26,122</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26,434</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6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10</w:t>
            </w:r>
          </w:p>
        </w:tc>
        <w:tc>
          <w:tcPr>
            <w:tcW w:w="28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81"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50" w:type="pct"/>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28,011</w:t>
            </w:r>
          </w:p>
        </w:tc>
        <w:tc>
          <w:tcPr>
            <w:tcW w:w="250" w:type="pct"/>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26,986</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hideMark/>
          </w:tcPr>
          <w:p w:rsidR="00424E64" w:rsidRPr="00424E64" w:rsidRDefault="00424E64" w:rsidP="00DC66B3">
            <w:pPr>
              <w:pStyle w:val="TableBodyText"/>
            </w:pPr>
            <w:r w:rsidRPr="00424E64">
              <w:t>Sales of goods and services (including fees)</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20,055</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19,853</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12,110</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10,833</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21,002</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19,725</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4</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w:t>
            </w:r>
          </w:p>
        </w:tc>
        <w:tc>
          <w:tcPr>
            <w:tcW w:w="36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9,143</w:t>
            </w:r>
          </w:p>
        </w:tc>
        <w:tc>
          <w:tcPr>
            <w:tcW w:w="35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7,687</w:t>
            </w:r>
          </w:p>
        </w:tc>
        <w:tc>
          <w:tcPr>
            <w:tcW w:w="28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64</w:t>
            </w:r>
          </w:p>
        </w:tc>
        <w:tc>
          <w:tcPr>
            <w:tcW w:w="281"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55</w:t>
            </w:r>
          </w:p>
        </w:tc>
        <w:tc>
          <w:tcPr>
            <w:tcW w:w="250" w:type="pct"/>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62,378</w:t>
            </w:r>
          </w:p>
        </w:tc>
        <w:tc>
          <w:tcPr>
            <w:tcW w:w="250" w:type="pct"/>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58,155</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tcBorders>
              <w:bottom w:val="single" w:sz="4" w:space="0" w:color="auto"/>
            </w:tcBorders>
            <w:noWrap/>
            <w:hideMark/>
          </w:tcPr>
          <w:p w:rsidR="00424E64" w:rsidRPr="00424E64" w:rsidRDefault="00424E64" w:rsidP="00DC66B3">
            <w:pPr>
              <w:pStyle w:val="TableBodyText"/>
            </w:pPr>
            <w:r w:rsidRPr="00424E64">
              <w:t>Other income</w:t>
            </w:r>
          </w:p>
        </w:tc>
        <w:tc>
          <w:tcPr>
            <w:tcW w:w="275"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877</w:t>
            </w:r>
          </w:p>
        </w:tc>
        <w:tc>
          <w:tcPr>
            <w:tcW w:w="27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62</w:t>
            </w:r>
          </w:p>
        </w:tc>
        <w:tc>
          <w:tcPr>
            <w:tcW w:w="276"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70</w:t>
            </w:r>
          </w:p>
        </w:tc>
        <w:tc>
          <w:tcPr>
            <w:tcW w:w="27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145</w:t>
            </w:r>
          </w:p>
        </w:tc>
        <w:tc>
          <w:tcPr>
            <w:tcW w:w="275"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1,968</w:t>
            </w:r>
          </w:p>
        </w:tc>
        <w:tc>
          <w:tcPr>
            <w:tcW w:w="27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1,925</w:t>
            </w:r>
          </w:p>
        </w:tc>
        <w:tc>
          <w:tcPr>
            <w:tcW w:w="276"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61"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81"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771</w:t>
            </w:r>
          </w:p>
        </w:tc>
        <w:tc>
          <w:tcPr>
            <w:tcW w:w="281"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783</w:t>
            </w:r>
          </w:p>
        </w:tc>
        <w:tc>
          <w:tcPr>
            <w:tcW w:w="250" w:type="pct"/>
            <w:tcBorders>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3,686</w:t>
            </w:r>
          </w:p>
        </w:tc>
        <w:tc>
          <w:tcPr>
            <w:tcW w:w="250" w:type="pct"/>
            <w:tcBorders>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2,915</w:t>
            </w:r>
          </w:p>
        </w:tc>
      </w:tr>
      <w:tr w:rsidR="00003E8F" w:rsidRPr="00DC66B3" w:rsidTr="00003E8F">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bottom w:val="single" w:sz="4" w:space="0" w:color="auto"/>
            </w:tcBorders>
            <w:hideMark/>
          </w:tcPr>
          <w:p w:rsidR="00424E64" w:rsidRPr="00DC66B3" w:rsidRDefault="00424E64" w:rsidP="00DC66B3">
            <w:pPr>
              <w:pStyle w:val="TableBodyText"/>
              <w:rPr>
                <w:rStyle w:val="Bold"/>
              </w:rPr>
            </w:pPr>
            <w:r w:rsidRPr="00DC66B3">
              <w:rPr>
                <w:rStyle w:val="Bold"/>
              </w:rPr>
              <w:t>Total administered income from transactions</w:t>
            </w:r>
          </w:p>
        </w:tc>
        <w:tc>
          <w:tcPr>
            <w:tcW w:w="275"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21,237</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19,940</w:t>
            </w:r>
          </w:p>
        </w:tc>
        <w:tc>
          <w:tcPr>
            <w:tcW w:w="276"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13,764</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11,495</w:t>
            </w:r>
          </w:p>
        </w:tc>
        <w:tc>
          <w:tcPr>
            <w:tcW w:w="275"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 xml:space="preserve">91,701 </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84,241</w:t>
            </w:r>
          </w:p>
        </w:tc>
        <w:tc>
          <w:tcPr>
            <w:tcW w:w="276"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4</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w:t>
            </w:r>
          </w:p>
        </w:tc>
        <w:tc>
          <w:tcPr>
            <w:tcW w:w="361"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9,143</w:t>
            </w:r>
          </w:p>
        </w:tc>
        <w:tc>
          <w:tcPr>
            <w:tcW w:w="35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7,697</w:t>
            </w:r>
          </w:p>
        </w:tc>
        <w:tc>
          <w:tcPr>
            <w:tcW w:w="281"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834</w:t>
            </w:r>
          </w:p>
        </w:tc>
        <w:tc>
          <w:tcPr>
            <w:tcW w:w="281"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838</w:t>
            </w:r>
          </w:p>
        </w:tc>
        <w:tc>
          <w:tcPr>
            <w:tcW w:w="250"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136,683</w:t>
            </w:r>
          </w:p>
        </w:tc>
        <w:tc>
          <w:tcPr>
            <w:tcW w:w="250"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124,213</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tcBorders>
            <w:noWrap/>
            <w:hideMark/>
          </w:tcPr>
          <w:p w:rsidR="00424E64" w:rsidRPr="00DC66B3" w:rsidRDefault="00424E64" w:rsidP="00DC66B3">
            <w:pPr>
              <w:pStyle w:val="TableBodyText"/>
              <w:spacing w:before="120"/>
              <w:rPr>
                <w:rStyle w:val="Bold"/>
              </w:rPr>
            </w:pPr>
            <w:r w:rsidRPr="00DC66B3">
              <w:rPr>
                <w:rStyle w:val="Bold"/>
              </w:rPr>
              <w:t>Administered expenses from transactions</w:t>
            </w:r>
          </w:p>
        </w:tc>
        <w:tc>
          <w:tcPr>
            <w:tcW w:w="275" w:type="pct"/>
            <w:tcBorders>
              <w:top w:val="single" w:sz="4" w:space="0" w:color="auto"/>
            </w:tcBorders>
            <w:shd w:val="clear" w:color="auto" w:fill="F3F3F3"/>
            <w:noWrap/>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noWrap/>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shd w:val="clear" w:color="auto" w:fill="F3F3F3"/>
            <w:noWrap/>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noWrap/>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5" w:type="pct"/>
            <w:tcBorders>
              <w:top w:val="single" w:sz="4" w:space="0" w:color="auto"/>
            </w:tcBorders>
            <w:shd w:val="clear" w:color="auto" w:fill="F3F3F3"/>
            <w:noWrap/>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noWrap/>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shd w:val="clear" w:color="auto" w:fill="F3F3F3"/>
            <w:noWrap/>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noWrap/>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1" w:type="pct"/>
            <w:tcBorders>
              <w:top w:val="single" w:sz="4" w:space="0" w:color="auto"/>
            </w:tcBorders>
            <w:shd w:val="clear" w:color="auto" w:fill="F3F3F3"/>
            <w:noWrap/>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56" w:type="pct"/>
            <w:tcBorders>
              <w:top w:val="single" w:sz="4" w:space="0" w:color="auto"/>
            </w:tcBorders>
            <w:noWrap/>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81" w:type="pct"/>
            <w:tcBorders>
              <w:top w:val="single" w:sz="4" w:space="0" w:color="auto"/>
            </w:tcBorders>
            <w:shd w:val="clear" w:color="auto" w:fill="F3F3F3"/>
            <w:noWrap/>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81" w:type="pct"/>
            <w:tcBorders>
              <w:top w:val="single" w:sz="4" w:space="0" w:color="auto"/>
            </w:tcBorders>
            <w:noWrap/>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50" w:type="pct"/>
            <w:tcBorders>
              <w:top w:val="single" w:sz="4" w:space="0" w:color="auto"/>
            </w:tcBorders>
            <w:shd w:val="clear" w:color="auto" w:fill="F3F3F3"/>
            <w:noWrap/>
          </w:tcPr>
          <w:p w:rsidR="00424E64" w:rsidRPr="00C7473A"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N/A</w:t>
            </w:r>
          </w:p>
        </w:tc>
        <w:tc>
          <w:tcPr>
            <w:tcW w:w="250" w:type="pct"/>
            <w:tcBorders>
              <w:top w:val="single" w:sz="4" w:space="0" w:color="auto"/>
            </w:tcBorders>
            <w:noWrap/>
            <w:hideMark/>
          </w:tcPr>
          <w:p w:rsidR="00424E64" w:rsidRPr="00C7473A"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N/A</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noWrap/>
            <w:hideMark/>
          </w:tcPr>
          <w:p w:rsidR="00424E64" w:rsidRPr="00424E64" w:rsidRDefault="00424E64" w:rsidP="00DC66B3">
            <w:pPr>
              <w:pStyle w:val="TableBodyText"/>
            </w:pPr>
            <w:r w:rsidRPr="00424E64">
              <w:t>Payments into the Consolidated Fund</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(20,055)</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(19,853)</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(13,697)</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(10,833)</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(20,958)</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(19,687)</w:t>
            </w:r>
          </w:p>
        </w:tc>
        <w:tc>
          <w:tcPr>
            <w:tcW w:w="276"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36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(9,143)</w:t>
            </w:r>
          </w:p>
        </w:tc>
        <w:tc>
          <w:tcPr>
            <w:tcW w:w="35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(7,687)</w:t>
            </w:r>
          </w:p>
        </w:tc>
        <w:tc>
          <w:tcPr>
            <w:tcW w:w="28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(28,267)</w:t>
            </w:r>
          </w:p>
        </w:tc>
        <w:tc>
          <w:tcPr>
            <w:tcW w:w="281"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(29,819)</w:t>
            </w:r>
          </w:p>
        </w:tc>
        <w:tc>
          <w:tcPr>
            <w:tcW w:w="250" w:type="pct"/>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(92,119)</w:t>
            </w:r>
          </w:p>
        </w:tc>
        <w:tc>
          <w:tcPr>
            <w:tcW w:w="250" w:type="pct"/>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(87,880)</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noWrap/>
            <w:hideMark/>
          </w:tcPr>
          <w:p w:rsidR="00424E64" w:rsidRPr="00424E64" w:rsidRDefault="00424E64" w:rsidP="00DC66B3">
            <w:pPr>
              <w:pStyle w:val="TableBodyText"/>
            </w:pPr>
            <w:r w:rsidRPr="00424E64">
              <w:t>Criminal injuries compensation</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5"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(43,409)</w:t>
            </w:r>
          </w:p>
        </w:tc>
        <w:tc>
          <w:tcPr>
            <w:tcW w:w="27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(36,157)</w:t>
            </w:r>
          </w:p>
        </w:tc>
        <w:tc>
          <w:tcPr>
            <w:tcW w:w="276"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36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81" w:type="pct"/>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81" w:type="pct"/>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50" w:type="pct"/>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(43,409)</w:t>
            </w:r>
          </w:p>
        </w:tc>
        <w:tc>
          <w:tcPr>
            <w:tcW w:w="250" w:type="pct"/>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(36,157)</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tcBorders>
              <w:bottom w:val="single" w:sz="4" w:space="0" w:color="auto"/>
            </w:tcBorders>
            <w:noWrap/>
            <w:hideMark/>
          </w:tcPr>
          <w:p w:rsidR="00424E64" w:rsidRPr="00424E64" w:rsidRDefault="00424E64" w:rsidP="00DC66B3">
            <w:pPr>
              <w:pStyle w:val="TableBodyText"/>
            </w:pPr>
            <w:r w:rsidRPr="00424E64">
              <w:t>Other expenses</w:t>
            </w:r>
          </w:p>
        </w:tc>
        <w:tc>
          <w:tcPr>
            <w:tcW w:w="275"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76"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(1,602)</w:t>
            </w:r>
          </w:p>
        </w:tc>
        <w:tc>
          <w:tcPr>
            <w:tcW w:w="276"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783 </w:t>
            </w:r>
          </w:p>
        </w:tc>
        <w:tc>
          <w:tcPr>
            <w:tcW w:w="275"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(52)</w:t>
            </w:r>
          </w:p>
        </w:tc>
        <w:tc>
          <w:tcPr>
            <w:tcW w:w="27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(57)</w:t>
            </w:r>
          </w:p>
        </w:tc>
        <w:tc>
          <w:tcPr>
            <w:tcW w:w="276" w:type="pct"/>
            <w:tcBorders>
              <w:bottom w:val="single" w:sz="4" w:space="0" w:color="auto"/>
            </w:tcBorders>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361"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281" w:type="pct"/>
            <w:tcBorders>
              <w:bottom w:val="single" w:sz="4" w:space="0" w:color="auto"/>
            </w:tcBorders>
            <w:shd w:val="clear" w:color="auto" w:fill="F3F3F3"/>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(826)</w:t>
            </w:r>
          </w:p>
        </w:tc>
        <w:tc>
          <w:tcPr>
            <w:tcW w:w="281" w:type="pct"/>
            <w:tcBorders>
              <w:bottom w:val="single" w:sz="4" w:space="0" w:color="auto"/>
            </w:tcBorders>
            <w:noWrap/>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(690)</w:t>
            </w:r>
          </w:p>
        </w:tc>
        <w:tc>
          <w:tcPr>
            <w:tcW w:w="250" w:type="pct"/>
            <w:tcBorders>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(2,481)</w:t>
            </w:r>
          </w:p>
        </w:tc>
        <w:tc>
          <w:tcPr>
            <w:tcW w:w="250" w:type="pct"/>
            <w:tcBorders>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36</w:t>
            </w:r>
          </w:p>
        </w:tc>
      </w:tr>
      <w:tr w:rsidR="00003E8F" w:rsidRPr="00DC66B3" w:rsidTr="00003E8F">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bottom w:val="single" w:sz="4" w:space="0" w:color="auto"/>
            </w:tcBorders>
            <w:hideMark/>
          </w:tcPr>
          <w:p w:rsidR="00424E64" w:rsidRPr="00DC66B3" w:rsidRDefault="00424E64" w:rsidP="00DC66B3">
            <w:pPr>
              <w:pStyle w:val="TableBodyText"/>
              <w:rPr>
                <w:rStyle w:val="Bold"/>
              </w:rPr>
            </w:pPr>
            <w:r w:rsidRPr="00DC66B3">
              <w:rPr>
                <w:rStyle w:val="Bold"/>
              </w:rPr>
              <w:t>Total administered expenses from transactions</w:t>
            </w:r>
          </w:p>
        </w:tc>
        <w:tc>
          <w:tcPr>
            <w:tcW w:w="275"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(20,055)</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(19,853)</w:t>
            </w:r>
          </w:p>
        </w:tc>
        <w:tc>
          <w:tcPr>
            <w:tcW w:w="276"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(15,299)</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(10,050)</w:t>
            </w:r>
          </w:p>
        </w:tc>
        <w:tc>
          <w:tcPr>
            <w:tcW w:w="275"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(64,419)</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(55,901)</w:t>
            </w:r>
          </w:p>
        </w:tc>
        <w:tc>
          <w:tcPr>
            <w:tcW w:w="276"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0</w:t>
            </w:r>
          </w:p>
        </w:tc>
        <w:tc>
          <w:tcPr>
            <w:tcW w:w="27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0</w:t>
            </w:r>
          </w:p>
        </w:tc>
        <w:tc>
          <w:tcPr>
            <w:tcW w:w="361"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(9,143)</w:t>
            </w:r>
          </w:p>
        </w:tc>
        <w:tc>
          <w:tcPr>
            <w:tcW w:w="356"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(7,687)</w:t>
            </w:r>
          </w:p>
        </w:tc>
        <w:tc>
          <w:tcPr>
            <w:tcW w:w="281" w:type="pct"/>
            <w:tcBorders>
              <w:top w:val="single" w:sz="4" w:space="0" w:color="auto"/>
              <w:bottom w:val="single" w:sz="4" w:space="0" w:color="auto"/>
            </w:tcBorders>
            <w:shd w:val="clear" w:color="auto" w:fill="F3F3F3"/>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(29,093)</w:t>
            </w:r>
          </w:p>
        </w:tc>
        <w:tc>
          <w:tcPr>
            <w:tcW w:w="281" w:type="pct"/>
            <w:tcBorders>
              <w:top w:val="single" w:sz="4" w:space="0" w:color="auto"/>
              <w:bottom w:val="single" w:sz="4" w:space="0" w:color="auto"/>
            </w:tcBorders>
            <w:noWrap/>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(30,509)</w:t>
            </w:r>
          </w:p>
        </w:tc>
        <w:tc>
          <w:tcPr>
            <w:tcW w:w="250"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(138,008)</w:t>
            </w:r>
          </w:p>
        </w:tc>
        <w:tc>
          <w:tcPr>
            <w:tcW w:w="250"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(124,001)</w:t>
            </w:r>
          </w:p>
        </w:tc>
      </w:tr>
      <w:tr w:rsidR="00003E8F" w:rsidRPr="00DC66B3" w:rsidTr="00003E8F">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bottom w:val="single" w:sz="4" w:space="0" w:color="auto"/>
            </w:tcBorders>
            <w:hideMark/>
          </w:tcPr>
          <w:p w:rsidR="00424E64" w:rsidRPr="00DC66B3" w:rsidRDefault="00424E64" w:rsidP="00DC66B3">
            <w:pPr>
              <w:pStyle w:val="TableBodyText"/>
              <w:rPr>
                <w:rStyle w:val="Bold"/>
              </w:rPr>
            </w:pPr>
            <w:r w:rsidRPr="00DC66B3">
              <w:rPr>
                <w:rStyle w:val="Bold"/>
              </w:rPr>
              <w:t>Total administered net result from transactions (net operating balance)</w:t>
            </w:r>
          </w:p>
        </w:tc>
        <w:tc>
          <w:tcPr>
            <w:tcW w:w="275" w:type="pct"/>
            <w:tcBorders>
              <w:top w:val="single" w:sz="4" w:space="0" w:color="auto"/>
              <w:bottom w:val="single" w:sz="4" w:space="0" w:color="auto"/>
            </w:tcBorders>
            <w:shd w:val="clear" w:color="auto" w:fill="F3F3F3"/>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1,183</w:t>
            </w:r>
          </w:p>
        </w:tc>
        <w:tc>
          <w:tcPr>
            <w:tcW w:w="276" w:type="pct"/>
            <w:tcBorders>
              <w:top w:val="single" w:sz="4" w:space="0" w:color="auto"/>
              <w:bottom w:val="single" w:sz="4" w:space="0" w:color="auto"/>
            </w:tcBorders>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 xml:space="preserve">87 </w:t>
            </w:r>
          </w:p>
        </w:tc>
        <w:tc>
          <w:tcPr>
            <w:tcW w:w="276" w:type="pct"/>
            <w:tcBorders>
              <w:top w:val="single" w:sz="4" w:space="0" w:color="auto"/>
              <w:bottom w:val="single" w:sz="4" w:space="0" w:color="auto"/>
            </w:tcBorders>
            <w:shd w:val="clear" w:color="auto" w:fill="F3F3F3"/>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(1,535)</w:t>
            </w:r>
          </w:p>
        </w:tc>
        <w:tc>
          <w:tcPr>
            <w:tcW w:w="276" w:type="pct"/>
            <w:tcBorders>
              <w:top w:val="single" w:sz="4" w:space="0" w:color="auto"/>
              <w:bottom w:val="single" w:sz="4" w:space="0" w:color="auto"/>
            </w:tcBorders>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 xml:space="preserve">1,444 </w:t>
            </w:r>
          </w:p>
        </w:tc>
        <w:tc>
          <w:tcPr>
            <w:tcW w:w="275" w:type="pct"/>
            <w:tcBorders>
              <w:top w:val="single" w:sz="4" w:space="0" w:color="auto"/>
              <w:bottom w:val="single" w:sz="4" w:space="0" w:color="auto"/>
            </w:tcBorders>
            <w:shd w:val="clear" w:color="auto" w:fill="F3F3F3"/>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27,281</w:t>
            </w:r>
          </w:p>
        </w:tc>
        <w:tc>
          <w:tcPr>
            <w:tcW w:w="276" w:type="pct"/>
            <w:tcBorders>
              <w:top w:val="single" w:sz="4" w:space="0" w:color="auto"/>
              <w:bottom w:val="single" w:sz="4" w:space="0" w:color="auto"/>
            </w:tcBorders>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 xml:space="preserve">28,341 </w:t>
            </w:r>
          </w:p>
        </w:tc>
        <w:tc>
          <w:tcPr>
            <w:tcW w:w="276" w:type="pct"/>
            <w:tcBorders>
              <w:top w:val="single" w:sz="4" w:space="0" w:color="auto"/>
              <w:bottom w:val="single" w:sz="4" w:space="0" w:color="auto"/>
            </w:tcBorders>
            <w:shd w:val="clear" w:color="auto" w:fill="F3F3F3"/>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4</w:t>
            </w:r>
          </w:p>
        </w:tc>
        <w:tc>
          <w:tcPr>
            <w:tcW w:w="276" w:type="pct"/>
            <w:tcBorders>
              <w:top w:val="single" w:sz="4" w:space="0" w:color="auto"/>
              <w:bottom w:val="single" w:sz="4" w:space="0" w:color="auto"/>
            </w:tcBorders>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1</w:t>
            </w:r>
          </w:p>
        </w:tc>
        <w:tc>
          <w:tcPr>
            <w:tcW w:w="361" w:type="pct"/>
            <w:tcBorders>
              <w:top w:val="single" w:sz="4" w:space="0" w:color="auto"/>
              <w:bottom w:val="single" w:sz="4" w:space="0" w:color="auto"/>
            </w:tcBorders>
            <w:shd w:val="clear" w:color="auto" w:fill="F3F3F3"/>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0</w:t>
            </w:r>
          </w:p>
        </w:tc>
        <w:tc>
          <w:tcPr>
            <w:tcW w:w="356" w:type="pct"/>
            <w:tcBorders>
              <w:top w:val="single" w:sz="4" w:space="0" w:color="auto"/>
              <w:bottom w:val="single" w:sz="4" w:space="0" w:color="auto"/>
            </w:tcBorders>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 xml:space="preserve">10 </w:t>
            </w:r>
          </w:p>
        </w:tc>
        <w:tc>
          <w:tcPr>
            <w:tcW w:w="281" w:type="pct"/>
            <w:tcBorders>
              <w:top w:val="single" w:sz="4" w:space="0" w:color="auto"/>
              <w:bottom w:val="single" w:sz="4" w:space="0" w:color="auto"/>
            </w:tcBorders>
            <w:shd w:val="clear" w:color="auto" w:fill="F3F3F3"/>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(28,258)</w:t>
            </w:r>
          </w:p>
        </w:tc>
        <w:tc>
          <w:tcPr>
            <w:tcW w:w="281" w:type="pct"/>
            <w:tcBorders>
              <w:top w:val="single" w:sz="4" w:space="0" w:color="auto"/>
              <w:bottom w:val="single" w:sz="4" w:space="0" w:color="auto"/>
            </w:tcBorders>
            <w:hideMark/>
          </w:tcPr>
          <w:p w:rsidR="00424E64" w:rsidRPr="00DC66B3"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C66B3">
              <w:rPr>
                <w:rStyle w:val="Bold"/>
              </w:rPr>
              <w:t>(29,671)</w:t>
            </w:r>
          </w:p>
        </w:tc>
        <w:tc>
          <w:tcPr>
            <w:tcW w:w="250"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(1,325)</w:t>
            </w:r>
          </w:p>
        </w:tc>
        <w:tc>
          <w:tcPr>
            <w:tcW w:w="250"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212</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tcBorders>
            <w:hideMark/>
          </w:tcPr>
          <w:p w:rsidR="00424E64" w:rsidRPr="00DC66B3" w:rsidRDefault="00424E64" w:rsidP="00DC66B3">
            <w:pPr>
              <w:pStyle w:val="TableBodyText"/>
              <w:spacing w:before="120"/>
              <w:rPr>
                <w:rStyle w:val="Bold"/>
              </w:rPr>
            </w:pPr>
            <w:r w:rsidRPr="00DC66B3">
              <w:rPr>
                <w:rStyle w:val="Bold"/>
              </w:rPr>
              <w:t>Administered other economic flows</w:t>
            </w:r>
            <w:r w:rsidR="00C7473A">
              <w:rPr>
                <w:rStyle w:val="Bold"/>
              </w:rPr>
              <w:t xml:space="preserve"> </w:t>
            </w:r>
            <w:r w:rsidRPr="00DC66B3">
              <w:rPr>
                <w:rStyle w:val="Bold"/>
              </w:rPr>
              <w:t>included in administered net result</w:t>
            </w:r>
          </w:p>
        </w:tc>
        <w:tc>
          <w:tcPr>
            <w:tcW w:w="275" w:type="pct"/>
            <w:tcBorders>
              <w:top w:val="single" w:sz="4" w:space="0" w:color="auto"/>
            </w:tcBorders>
            <w:shd w:val="clear" w:color="auto" w:fill="F3F3F3"/>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shd w:val="clear" w:color="auto" w:fill="F3F3F3"/>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5" w:type="pct"/>
            <w:tcBorders>
              <w:top w:val="single" w:sz="4" w:space="0" w:color="auto"/>
            </w:tcBorders>
            <w:shd w:val="clear" w:color="auto" w:fill="F3F3F3"/>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shd w:val="clear" w:color="auto" w:fill="F3F3F3"/>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76" w:type="pct"/>
            <w:tcBorders>
              <w:top w:val="single" w:sz="4" w:space="0" w:color="auto"/>
            </w:tcBorders>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1" w:type="pct"/>
            <w:tcBorders>
              <w:top w:val="single" w:sz="4" w:space="0" w:color="auto"/>
            </w:tcBorders>
            <w:shd w:val="clear" w:color="auto" w:fill="F3F3F3"/>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56" w:type="pct"/>
            <w:tcBorders>
              <w:top w:val="single" w:sz="4" w:space="0" w:color="auto"/>
            </w:tcBorders>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81" w:type="pct"/>
            <w:tcBorders>
              <w:top w:val="single" w:sz="4" w:space="0" w:color="auto"/>
            </w:tcBorders>
            <w:shd w:val="clear" w:color="auto" w:fill="F3F3F3"/>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81" w:type="pct"/>
            <w:tcBorders>
              <w:top w:val="single" w:sz="4" w:space="0" w:color="auto"/>
            </w:tcBorders>
            <w:hideMark/>
          </w:tcPr>
          <w:p w:rsidR="00424E64" w:rsidRPr="00424E64"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250" w:type="pct"/>
            <w:tcBorders>
              <w:top w:val="single" w:sz="4" w:space="0" w:color="auto"/>
            </w:tcBorders>
            <w:shd w:val="clear" w:color="auto" w:fill="F3F3F3"/>
          </w:tcPr>
          <w:p w:rsidR="00424E64" w:rsidRPr="00C7473A"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N/A</w:t>
            </w:r>
          </w:p>
        </w:tc>
        <w:tc>
          <w:tcPr>
            <w:tcW w:w="250" w:type="pct"/>
            <w:tcBorders>
              <w:top w:val="single" w:sz="4" w:space="0" w:color="auto"/>
            </w:tcBorders>
            <w:hideMark/>
          </w:tcPr>
          <w:p w:rsidR="00424E64" w:rsidRPr="00C7473A" w:rsidRDefault="00DC66B3" w:rsidP="00DC66B3">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N/A</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hideMark/>
          </w:tcPr>
          <w:p w:rsidR="00424E64" w:rsidRPr="00424E64" w:rsidRDefault="00424E64" w:rsidP="00DC66B3">
            <w:pPr>
              <w:pStyle w:val="TableBodyText"/>
            </w:pPr>
            <w:r w:rsidRPr="00424E64">
              <w:t>Net gain/(loss) on non-financial assets</w:t>
            </w:r>
          </w:p>
        </w:tc>
        <w:tc>
          <w:tcPr>
            <w:tcW w:w="275" w:type="pct"/>
            <w:shd w:val="clear" w:color="auto" w:fill="F3F3F3"/>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shd w:val="clear" w:color="auto" w:fill="F3F3F3"/>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5" w:type="pct"/>
            <w:shd w:val="clear" w:color="auto" w:fill="F3F3F3"/>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361"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81"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81"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50" w:type="pct"/>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 xml:space="preserve">0 </w:t>
            </w:r>
          </w:p>
        </w:tc>
        <w:tc>
          <w:tcPr>
            <w:tcW w:w="250" w:type="pct"/>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noWrap/>
            <w:hideMark/>
          </w:tcPr>
          <w:p w:rsidR="00424E64" w:rsidRPr="00424E64" w:rsidRDefault="00424E64" w:rsidP="00DC66B3">
            <w:pPr>
              <w:pStyle w:val="TableBodyText"/>
            </w:pPr>
            <w:r w:rsidRPr="00424E64">
              <w:t>Net gain/(loss) on financial instruments</w:t>
            </w:r>
          </w:p>
        </w:tc>
        <w:tc>
          <w:tcPr>
            <w:tcW w:w="275" w:type="pct"/>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shd w:val="clear" w:color="auto" w:fill="F3F3F3"/>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5" w:type="pct"/>
            <w:shd w:val="clear" w:color="auto" w:fill="F3F3F3"/>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361"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81" w:type="pct"/>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81" w:type="pct"/>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50" w:type="pct"/>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 xml:space="preserve">0 </w:t>
            </w:r>
          </w:p>
        </w:tc>
        <w:tc>
          <w:tcPr>
            <w:tcW w:w="250" w:type="pct"/>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r>
      <w:tr w:rsidR="00003E8F" w:rsidRPr="00424E64" w:rsidTr="00003E8F">
        <w:tc>
          <w:tcPr>
            <w:cnfStyle w:val="001000000000" w:firstRow="0" w:lastRow="0" w:firstColumn="1" w:lastColumn="0" w:oddVBand="0" w:evenVBand="0" w:oddHBand="0" w:evenHBand="0" w:firstRowFirstColumn="0" w:firstRowLastColumn="0" w:lastRowFirstColumn="0" w:lastRowLastColumn="0"/>
            <w:tcW w:w="1015" w:type="pct"/>
            <w:tcBorders>
              <w:bottom w:val="single" w:sz="4" w:space="0" w:color="auto"/>
            </w:tcBorders>
            <w:hideMark/>
          </w:tcPr>
          <w:p w:rsidR="00424E64" w:rsidRPr="00424E64" w:rsidRDefault="00424E64" w:rsidP="00DC66B3">
            <w:pPr>
              <w:pStyle w:val="TableBodyText"/>
            </w:pPr>
            <w:r w:rsidRPr="00424E64">
              <w:t>Other gains/(losses) from other economic flows</w:t>
            </w:r>
          </w:p>
        </w:tc>
        <w:tc>
          <w:tcPr>
            <w:tcW w:w="275" w:type="pct"/>
            <w:tcBorders>
              <w:bottom w:val="single" w:sz="4" w:space="0" w:color="auto"/>
            </w:tcBorders>
            <w:shd w:val="clear" w:color="auto" w:fill="F3F3F3"/>
            <w:noWrap/>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tcBorders>
              <w:bottom w:val="single" w:sz="4" w:space="0" w:color="auto"/>
            </w:tcBorders>
            <w:shd w:val="clear" w:color="auto" w:fill="F3F3F3"/>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5" w:type="pct"/>
            <w:tcBorders>
              <w:bottom w:val="single" w:sz="4" w:space="0" w:color="auto"/>
            </w:tcBorders>
            <w:shd w:val="clear" w:color="auto" w:fill="F3F3F3"/>
          </w:tcPr>
          <w:p w:rsidR="00424E64" w:rsidRPr="00424E64" w:rsidRDefault="00DC66B3" w:rsidP="00DC66B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76"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tcBorders>
              <w:bottom w:val="single" w:sz="4" w:space="0" w:color="auto"/>
            </w:tcBorders>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76"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361" w:type="pct"/>
            <w:tcBorders>
              <w:bottom w:val="single" w:sz="4" w:space="0" w:color="auto"/>
            </w:tcBorders>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0</w:t>
            </w:r>
          </w:p>
        </w:tc>
        <w:tc>
          <w:tcPr>
            <w:tcW w:w="356"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81" w:type="pct"/>
            <w:tcBorders>
              <w:bottom w:val="single" w:sz="4" w:space="0" w:color="auto"/>
            </w:tcBorders>
            <w:shd w:val="clear" w:color="auto" w:fill="F3F3F3"/>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81" w:type="pct"/>
            <w:tcBorders>
              <w:bottom w:val="single" w:sz="4" w:space="0" w:color="auto"/>
            </w:tcBorders>
            <w:hideMark/>
          </w:tcPr>
          <w:p w:rsidR="00424E64" w:rsidRPr="00424E64" w:rsidRDefault="00424E64" w:rsidP="00424E64">
            <w:pPr>
              <w:pStyle w:val="TableBodyText"/>
              <w:cnfStyle w:val="000000000000" w:firstRow="0" w:lastRow="0" w:firstColumn="0" w:lastColumn="0" w:oddVBand="0" w:evenVBand="0" w:oddHBand="0" w:evenHBand="0" w:firstRowFirstColumn="0" w:firstRowLastColumn="0" w:lastRowFirstColumn="0" w:lastRowLastColumn="0"/>
            </w:pPr>
            <w:r w:rsidRPr="00424E64">
              <w:t xml:space="preserve">0 </w:t>
            </w:r>
          </w:p>
        </w:tc>
        <w:tc>
          <w:tcPr>
            <w:tcW w:w="250" w:type="pct"/>
            <w:tcBorders>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 xml:space="preserve">0 </w:t>
            </w:r>
          </w:p>
        </w:tc>
        <w:tc>
          <w:tcPr>
            <w:tcW w:w="250" w:type="pct"/>
            <w:tcBorders>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r>
      <w:tr w:rsidR="00003E8F" w:rsidRPr="00C7473A" w:rsidTr="00003E8F">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bottom w:val="single" w:sz="4" w:space="0" w:color="auto"/>
            </w:tcBorders>
            <w:hideMark/>
          </w:tcPr>
          <w:p w:rsidR="00424E64" w:rsidRPr="00C7473A" w:rsidRDefault="00424E64" w:rsidP="00DC66B3">
            <w:pPr>
              <w:pStyle w:val="TableBodyText"/>
              <w:rPr>
                <w:rStyle w:val="Bold"/>
              </w:rPr>
            </w:pPr>
            <w:r w:rsidRPr="00C7473A">
              <w:rPr>
                <w:rStyle w:val="Bold"/>
              </w:rPr>
              <w:t>Total administered other economic flows</w:t>
            </w:r>
          </w:p>
        </w:tc>
        <w:tc>
          <w:tcPr>
            <w:tcW w:w="275" w:type="pct"/>
            <w:tcBorders>
              <w:top w:val="single" w:sz="4" w:space="0" w:color="auto"/>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76" w:type="pct"/>
            <w:tcBorders>
              <w:top w:val="single" w:sz="4" w:space="0" w:color="auto"/>
              <w:bottom w:val="single" w:sz="4" w:space="0" w:color="auto"/>
            </w:tcBorders>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76" w:type="pct"/>
            <w:tcBorders>
              <w:top w:val="single" w:sz="4" w:space="0" w:color="auto"/>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76" w:type="pct"/>
            <w:tcBorders>
              <w:top w:val="single" w:sz="4" w:space="0" w:color="auto"/>
              <w:bottom w:val="single" w:sz="4" w:space="0" w:color="auto"/>
            </w:tcBorders>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75" w:type="pct"/>
            <w:tcBorders>
              <w:top w:val="single" w:sz="4" w:space="0" w:color="auto"/>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76" w:type="pct"/>
            <w:tcBorders>
              <w:top w:val="single" w:sz="4" w:space="0" w:color="auto"/>
              <w:bottom w:val="single" w:sz="4" w:space="0" w:color="auto"/>
            </w:tcBorders>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76" w:type="pct"/>
            <w:tcBorders>
              <w:top w:val="single" w:sz="4" w:space="0" w:color="auto"/>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76" w:type="pct"/>
            <w:tcBorders>
              <w:top w:val="single" w:sz="4" w:space="0" w:color="auto"/>
              <w:bottom w:val="single" w:sz="4" w:space="0" w:color="auto"/>
            </w:tcBorders>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361" w:type="pct"/>
            <w:tcBorders>
              <w:top w:val="single" w:sz="4" w:space="0" w:color="auto"/>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356" w:type="pct"/>
            <w:tcBorders>
              <w:top w:val="single" w:sz="4" w:space="0" w:color="auto"/>
              <w:bottom w:val="single" w:sz="4" w:space="0" w:color="auto"/>
            </w:tcBorders>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81" w:type="pct"/>
            <w:tcBorders>
              <w:top w:val="single" w:sz="4" w:space="0" w:color="auto"/>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81" w:type="pct"/>
            <w:tcBorders>
              <w:top w:val="single" w:sz="4" w:space="0" w:color="auto"/>
              <w:bottom w:val="single" w:sz="4" w:space="0" w:color="auto"/>
            </w:tcBorders>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50" w:type="pct"/>
            <w:tcBorders>
              <w:top w:val="single" w:sz="4" w:space="0" w:color="auto"/>
              <w:bottom w:val="single" w:sz="4" w:space="0" w:color="auto"/>
            </w:tcBorders>
            <w:shd w:val="clear" w:color="auto" w:fill="F3F3F3"/>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250" w:type="pct"/>
            <w:tcBorders>
              <w:top w:val="single" w:sz="4" w:space="0" w:color="auto"/>
              <w:bottom w:val="single" w:sz="4" w:space="0" w:color="auto"/>
            </w:tcBorders>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r>
      <w:tr w:rsidR="00003E8F" w:rsidRPr="00C7473A" w:rsidTr="00003E8F">
        <w:tc>
          <w:tcPr>
            <w:cnfStyle w:val="001000000000" w:firstRow="0" w:lastRow="0" w:firstColumn="1" w:lastColumn="0" w:oddVBand="0" w:evenVBand="0" w:oddHBand="0" w:evenHBand="0" w:firstRowFirstColumn="0" w:firstRowLastColumn="0" w:lastRowFirstColumn="0" w:lastRowLastColumn="0"/>
            <w:tcW w:w="1015" w:type="pct"/>
            <w:tcBorders>
              <w:top w:val="single" w:sz="4" w:space="0" w:color="auto"/>
              <w:bottom w:val="single" w:sz="4" w:space="0" w:color="auto"/>
            </w:tcBorders>
            <w:noWrap/>
            <w:hideMark/>
          </w:tcPr>
          <w:p w:rsidR="00424E64" w:rsidRPr="00C7473A" w:rsidRDefault="00424E64" w:rsidP="00DC66B3">
            <w:pPr>
              <w:pStyle w:val="TableBodyText"/>
              <w:rPr>
                <w:rStyle w:val="Bold"/>
              </w:rPr>
            </w:pPr>
            <w:r w:rsidRPr="00C7473A">
              <w:rPr>
                <w:rStyle w:val="Bold"/>
              </w:rPr>
              <w:t>Total administered net result</w:t>
            </w:r>
          </w:p>
        </w:tc>
        <w:tc>
          <w:tcPr>
            <w:tcW w:w="275"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1,183</w:t>
            </w:r>
          </w:p>
        </w:tc>
        <w:tc>
          <w:tcPr>
            <w:tcW w:w="276"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 xml:space="preserve">87 </w:t>
            </w:r>
          </w:p>
        </w:tc>
        <w:tc>
          <w:tcPr>
            <w:tcW w:w="276"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(1,535)</w:t>
            </w:r>
          </w:p>
        </w:tc>
        <w:tc>
          <w:tcPr>
            <w:tcW w:w="276"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 xml:space="preserve">1,444 </w:t>
            </w:r>
          </w:p>
        </w:tc>
        <w:tc>
          <w:tcPr>
            <w:tcW w:w="275"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27,281</w:t>
            </w:r>
          </w:p>
        </w:tc>
        <w:tc>
          <w:tcPr>
            <w:tcW w:w="276"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 xml:space="preserve">28,341 </w:t>
            </w:r>
          </w:p>
        </w:tc>
        <w:tc>
          <w:tcPr>
            <w:tcW w:w="276"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4</w:t>
            </w:r>
          </w:p>
        </w:tc>
        <w:tc>
          <w:tcPr>
            <w:tcW w:w="276"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w:t>
            </w:r>
          </w:p>
        </w:tc>
        <w:tc>
          <w:tcPr>
            <w:tcW w:w="361"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0</w:t>
            </w:r>
          </w:p>
        </w:tc>
        <w:tc>
          <w:tcPr>
            <w:tcW w:w="356"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 xml:space="preserve">10 </w:t>
            </w:r>
          </w:p>
        </w:tc>
        <w:tc>
          <w:tcPr>
            <w:tcW w:w="281"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(28,258)</w:t>
            </w:r>
          </w:p>
        </w:tc>
        <w:tc>
          <w:tcPr>
            <w:tcW w:w="281"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(29,671)</w:t>
            </w:r>
          </w:p>
        </w:tc>
        <w:tc>
          <w:tcPr>
            <w:tcW w:w="250" w:type="pct"/>
            <w:tcBorders>
              <w:top w:val="single" w:sz="4" w:space="0" w:color="auto"/>
              <w:bottom w:val="single" w:sz="4" w:space="0" w:color="auto"/>
            </w:tcBorders>
            <w:shd w:val="clear" w:color="auto" w:fill="F3F3F3"/>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(1,325)</w:t>
            </w:r>
          </w:p>
        </w:tc>
        <w:tc>
          <w:tcPr>
            <w:tcW w:w="250" w:type="pct"/>
            <w:tcBorders>
              <w:top w:val="single" w:sz="4" w:space="0" w:color="auto"/>
              <w:bottom w:val="single" w:sz="4" w:space="0" w:color="auto"/>
            </w:tcBorders>
            <w:noWrap/>
            <w:hideMark/>
          </w:tcPr>
          <w:p w:rsidR="00424E64" w:rsidRPr="00C7473A" w:rsidRDefault="00424E64" w:rsidP="00424E6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7473A">
              <w:rPr>
                <w:rStyle w:val="Bold"/>
              </w:rPr>
              <w:t>212</w:t>
            </w:r>
          </w:p>
        </w:tc>
      </w:tr>
    </w:tbl>
    <w:p w:rsidR="00C7473A" w:rsidRDefault="00C7473A" w:rsidP="00C7473A">
      <w:pPr>
        <w:pStyle w:val="BodyText"/>
      </w:pPr>
      <w:r>
        <w:t>Note</w:t>
      </w:r>
    </w:p>
    <w:p w:rsidR="00C7473A" w:rsidRDefault="00C7473A" w:rsidP="00003E8F">
      <w:pPr>
        <w:pStyle w:val="ListNumber"/>
        <w:numPr>
          <w:ilvl w:val="0"/>
          <w:numId w:val="32"/>
        </w:numPr>
        <w:sectPr w:rsidR="00C7473A" w:rsidSect="003475E2">
          <w:pgSz w:w="23814" w:h="16840" w:orient="landscape" w:code="8"/>
          <w:pgMar w:top="1134" w:right="567" w:bottom="1134" w:left="567" w:header="709" w:footer="284" w:gutter="0"/>
          <w:cols w:space="708"/>
          <w:titlePg/>
          <w:docGrid w:linePitch="360"/>
        </w:sectPr>
      </w:pPr>
      <w:r>
        <w:t xml:space="preserve">Payments into the Consolidated Fund by </w:t>
      </w:r>
      <w:proofErr w:type="spellStart"/>
      <w:r>
        <w:t>Jurisdicition</w:t>
      </w:r>
      <w:proofErr w:type="spellEnd"/>
      <w:r>
        <w:t xml:space="preserve"> Services relates to fines and other income paid on behalf of the jurisdictions.</w:t>
      </w:r>
    </w:p>
    <w:p w:rsidR="00C7473A" w:rsidRDefault="00C7473A" w:rsidP="00440FE9">
      <w:pPr>
        <w:pStyle w:val="Caption"/>
      </w:pPr>
      <w:r w:rsidRPr="00C7473A">
        <w:lastRenderedPageBreak/>
        <w:t>Administered (non</w:t>
      </w:r>
      <w:r w:rsidRPr="00C7473A">
        <w:rPr>
          <w:rFonts w:ascii="Cambria Math" w:hAnsi="Cambria Math" w:cs="Cambria Math"/>
        </w:rPr>
        <w:t>‐</w:t>
      </w:r>
      <w:r>
        <w:t>controlled) items (continued)</w:t>
      </w:r>
      <w:r w:rsidR="00440FE9">
        <w:t xml:space="preserve"> </w:t>
      </w:r>
      <w:r w:rsidR="003D7434">
        <w:t>f</w:t>
      </w:r>
      <w:r w:rsidRPr="00C7473A">
        <w:t>or the financial year ended 30 June 2017</w:t>
      </w:r>
    </w:p>
    <w:tbl>
      <w:tblPr>
        <w:tblStyle w:val="FinancialTable"/>
        <w:tblW w:w="5000" w:type="pct"/>
        <w:tblLook w:val="04A0" w:firstRow="1" w:lastRow="0" w:firstColumn="1" w:lastColumn="0" w:noHBand="0" w:noVBand="1"/>
      </w:tblPr>
      <w:tblGrid>
        <w:gridCol w:w="3748"/>
        <w:gridCol w:w="1090"/>
        <w:gridCol w:w="1090"/>
        <w:gridCol w:w="961"/>
        <w:gridCol w:w="961"/>
        <w:gridCol w:w="1418"/>
        <w:gridCol w:w="1418"/>
        <w:gridCol w:w="1215"/>
        <w:gridCol w:w="1215"/>
        <w:gridCol w:w="1668"/>
        <w:gridCol w:w="1668"/>
        <w:gridCol w:w="1573"/>
        <w:gridCol w:w="1573"/>
        <w:gridCol w:w="974"/>
        <w:gridCol w:w="974"/>
      </w:tblGrid>
      <w:tr w:rsidR="009B65F8" w:rsidRPr="009B65F8" w:rsidTr="009B65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0" w:type="pct"/>
            <w:noWrap/>
          </w:tcPr>
          <w:p w:rsidR="00C7473A" w:rsidRPr="009B65F8" w:rsidRDefault="009B65F8" w:rsidP="009B65F8">
            <w:pPr>
              <w:pStyle w:val="TableBodyText"/>
              <w:rPr>
                <w:rStyle w:val="Bold"/>
              </w:rPr>
            </w:pPr>
            <w:r>
              <w:rPr>
                <w:rStyle w:val="Bold"/>
              </w:rPr>
              <w:t>Item</w:t>
            </w:r>
          </w:p>
        </w:tc>
        <w:tc>
          <w:tcPr>
            <w:tcW w:w="253" w:type="pct"/>
            <w:shd w:val="clear" w:color="auto" w:fill="F3F3F3"/>
            <w:hideMark/>
          </w:tcPr>
          <w:p w:rsidR="00C7473A" w:rsidRPr="009B65F8" w:rsidRDefault="00C7473A"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Supreme Court of Victoria</w:t>
            </w:r>
            <w:r w:rsidRPr="009B65F8">
              <w:rPr>
                <w:rStyle w:val="Bold"/>
              </w:rPr>
              <w:br/>
              <w:t>2017</w:t>
            </w:r>
            <w:r w:rsidRPr="009B65F8">
              <w:rPr>
                <w:rStyle w:val="Bold"/>
              </w:rPr>
              <w:br/>
              <w:t>$'000</w:t>
            </w:r>
          </w:p>
        </w:tc>
        <w:tc>
          <w:tcPr>
            <w:tcW w:w="253" w:type="pct"/>
            <w:hideMark/>
          </w:tcPr>
          <w:p w:rsidR="00C7473A" w:rsidRPr="009B65F8" w:rsidRDefault="00C7473A"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Supreme Court of Victoria</w:t>
            </w:r>
            <w:r w:rsidRPr="009B65F8">
              <w:rPr>
                <w:rStyle w:val="Bold"/>
              </w:rPr>
              <w:br/>
              <w:t>2016</w:t>
            </w:r>
            <w:r w:rsidRPr="009B65F8">
              <w:rPr>
                <w:rStyle w:val="Bold"/>
              </w:rPr>
              <w:br/>
              <w:t xml:space="preserve">$'000 </w:t>
            </w:r>
          </w:p>
        </w:tc>
        <w:tc>
          <w:tcPr>
            <w:tcW w:w="223" w:type="pct"/>
            <w:shd w:val="clear" w:color="auto" w:fill="F3F3F3"/>
            <w:hideMark/>
          </w:tcPr>
          <w:p w:rsidR="00C7473A" w:rsidRPr="009B65F8" w:rsidRDefault="00C7473A"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County Court of Victoria</w:t>
            </w:r>
            <w:r w:rsidRPr="009B65F8">
              <w:rPr>
                <w:rStyle w:val="Bold"/>
              </w:rPr>
              <w:br/>
              <w:t>2017</w:t>
            </w:r>
            <w:r w:rsidRPr="009B65F8">
              <w:rPr>
                <w:rStyle w:val="Bold"/>
              </w:rPr>
              <w:br/>
              <w:t xml:space="preserve">$'000 </w:t>
            </w:r>
          </w:p>
        </w:tc>
        <w:tc>
          <w:tcPr>
            <w:tcW w:w="223" w:type="pct"/>
            <w:hideMark/>
          </w:tcPr>
          <w:p w:rsidR="00C7473A" w:rsidRPr="009B65F8" w:rsidRDefault="00C7473A"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County Court of Victoria</w:t>
            </w:r>
            <w:r w:rsidRPr="009B65F8">
              <w:rPr>
                <w:rStyle w:val="Bold"/>
              </w:rPr>
              <w:br/>
              <w:t>2016</w:t>
            </w:r>
            <w:r w:rsidRPr="009B65F8">
              <w:rPr>
                <w:rStyle w:val="Bold"/>
              </w:rPr>
              <w:br/>
              <w:t xml:space="preserve">$'000 </w:t>
            </w:r>
          </w:p>
        </w:tc>
        <w:tc>
          <w:tcPr>
            <w:tcW w:w="329" w:type="pct"/>
            <w:shd w:val="clear" w:color="auto" w:fill="F3F3F3"/>
            <w:hideMark/>
          </w:tcPr>
          <w:p w:rsidR="00C7473A" w:rsidRPr="009B65F8" w:rsidRDefault="00C7473A"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Magistrates' Court of Victoria</w:t>
            </w:r>
            <w:r w:rsidRPr="009B65F8">
              <w:rPr>
                <w:rStyle w:val="Bold"/>
              </w:rPr>
              <w:br/>
              <w:t>2017</w:t>
            </w:r>
            <w:r w:rsidRPr="009B65F8">
              <w:rPr>
                <w:rStyle w:val="Bold"/>
              </w:rPr>
              <w:br/>
              <w:t xml:space="preserve">$'000 </w:t>
            </w:r>
          </w:p>
        </w:tc>
        <w:tc>
          <w:tcPr>
            <w:tcW w:w="329" w:type="pct"/>
            <w:hideMark/>
          </w:tcPr>
          <w:p w:rsidR="00C7473A" w:rsidRPr="009B65F8" w:rsidRDefault="00C7473A"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Magistrates' Court of Victoria</w:t>
            </w:r>
            <w:r w:rsidRPr="009B65F8">
              <w:rPr>
                <w:rStyle w:val="Bold"/>
              </w:rPr>
              <w:br/>
              <w:t>2016</w:t>
            </w:r>
            <w:r w:rsidRPr="009B65F8">
              <w:rPr>
                <w:rStyle w:val="Bold"/>
              </w:rPr>
              <w:br/>
              <w:t xml:space="preserve">$'000 </w:t>
            </w:r>
          </w:p>
        </w:tc>
        <w:tc>
          <w:tcPr>
            <w:tcW w:w="282" w:type="pct"/>
            <w:shd w:val="clear" w:color="auto" w:fill="F3F3F3"/>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Children's Court of Victoria</w:t>
            </w:r>
            <w:r w:rsidRPr="009B65F8">
              <w:rPr>
                <w:rStyle w:val="Bold"/>
              </w:rPr>
              <w:br/>
            </w:r>
            <w:r w:rsidR="00C7473A" w:rsidRPr="009B65F8">
              <w:rPr>
                <w:rStyle w:val="Bold"/>
              </w:rPr>
              <w:t>2017</w:t>
            </w:r>
            <w:r w:rsidR="00C7473A" w:rsidRPr="009B65F8">
              <w:rPr>
                <w:rStyle w:val="Bold"/>
              </w:rPr>
              <w:br/>
              <w:t xml:space="preserve">$'000 </w:t>
            </w:r>
          </w:p>
        </w:tc>
        <w:tc>
          <w:tcPr>
            <w:tcW w:w="282" w:type="pct"/>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Children's Court of Victoria</w:t>
            </w:r>
            <w:r w:rsidRPr="009B65F8">
              <w:rPr>
                <w:rStyle w:val="Bold"/>
              </w:rPr>
              <w:br/>
            </w:r>
            <w:r w:rsidR="00C7473A" w:rsidRPr="009B65F8">
              <w:rPr>
                <w:rStyle w:val="Bold"/>
              </w:rPr>
              <w:t>2016</w:t>
            </w:r>
            <w:r w:rsidR="00C7473A" w:rsidRPr="009B65F8">
              <w:rPr>
                <w:rStyle w:val="Bold"/>
              </w:rPr>
              <w:br/>
              <w:t xml:space="preserve">$'000 </w:t>
            </w:r>
          </w:p>
        </w:tc>
        <w:tc>
          <w:tcPr>
            <w:tcW w:w="387" w:type="pct"/>
            <w:shd w:val="clear" w:color="auto" w:fill="F3F3F3"/>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Victorian Civil &amp; Administrative Tribunal</w:t>
            </w:r>
            <w:r w:rsidRPr="009B65F8">
              <w:rPr>
                <w:rStyle w:val="Bold"/>
              </w:rPr>
              <w:br/>
            </w:r>
            <w:r w:rsidR="00C7473A" w:rsidRPr="009B65F8">
              <w:rPr>
                <w:rStyle w:val="Bold"/>
              </w:rPr>
              <w:t>2017</w:t>
            </w:r>
            <w:r w:rsidR="00C7473A" w:rsidRPr="009B65F8">
              <w:rPr>
                <w:rStyle w:val="Bold"/>
              </w:rPr>
              <w:br/>
              <w:t xml:space="preserve">$'000 </w:t>
            </w:r>
          </w:p>
        </w:tc>
        <w:tc>
          <w:tcPr>
            <w:tcW w:w="387" w:type="pct"/>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Victorian Civil &amp; Administrative Tribunal</w:t>
            </w:r>
            <w:r w:rsidRPr="009B65F8">
              <w:rPr>
                <w:rStyle w:val="Bold"/>
              </w:rPr>
              <w:br/>
            </w:r>
            <w:r w:rsidR="00C7473A" w:rsidRPr="009B65F8">
              <w:rPr>
                <w:rStyle w:val="Bold"/>
              </w:rPr>
              <w:t>2016</w:t>
            </w:r>
            <w:r w:rsidR="00C7473A" w:rsidRPr="009B65F8">
              <w:rPr>
                <w:rStyle w:val="Bold"/>
              </w:rPr>
              <w:br/>
              <w:t xml:space="preserve">$'000 </w:t>
            </w:r>
          </w:p>
        </w:tc>
        <w:tc>
          <w:tcPr>
            <w:tcW w:w="365" w:type="pct"/>
            <w:shd w:val="clear" w:color="auto" w:fill="F3F3F3"/>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Jurisdictional Services</w:t>
            </w:r>
            <w:r w:rsidRPr="009B65F8">
              <w:rPr>
                <w:rStyle w:val="Bold"/>
              </w:rPr>
              <w:br/>
            </w:r>
            <w:r w:rsidR="00C7473A" w:rsidRPr="009B65F8">
              <w:rPr>
                <w:rStyle w:val="Bold"/>
              </w:rPr>
              <w:t>2017</w:t>
            </w:r>
            <w:r w:rsidR="00C7473A" w:rsidRPr="009B65F8">
              <w:rPr>
                <w:rStyle w:val="Bold"/>
              </w:rPr>
              <w:br/>
              <w:t xml:space="preserve">$'000 </w:t>
            </w:r>
          </w:p>
        </w:tc>
        <w:tc>
          <w:tcPr>
            <w:tcW w:w="365" w:type="pct"/>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Jurisdictional Services</w:t>
            </w:r>
            <w:r w:rsidRPr="009B65F8">
              <w:rPr>
                <w:rStyle w:val="Bold"/>
              </w:rPr>
              <w:br/>
            </w:r>
            <w:r w:rsidR="00C7473A" w:rsidRPr="009B65F8">
              <w:rPr>
                <w:rStyle w:val="Bold"/>
              </w:rPr>
              <w:t>2016</w:t>
            </w:r>
            <w:r w:rsidR="00C7473A" w:rsidRPr="009B65F8">
              <w:rPr>
                <w:rStyle w:val="Bold"/>
              </w:rPr>
              <w:br/>
              <w:t xml:space="preserve">$'000 </w:t>
            </w:r>
          </w:p>
        </w:tc>
        <w:tc>
          <w:tcPr>
            <w:tcW w:w="226" w:type="pct"/>
            <w:shd w:val="clear" w:color="auto" w:fill="F3F3F3"/>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Total</w:t>
            </w:r>
            <w:r w:rsidRPr="009B65F8">
              <w:rPr>
                <w:rStyle w:val="Bold"/>
              </w:rPr>
              <w:br/>
            </w:r>
            <w:r w:rsidR="00C7473A" w:rsidRPr="009B65F8">
              <w:rPr>
                <w:rStyle w:val="Bold"/>
              </w:rPr>
              <w:t>2017</w:t>
            </w:r>
            <w:r w:rsidR="00C7473A" w:rsidRPr="009B65F8">
              <w:rPr>
                <w:rStyle w:val="Bold"/>
              </w:rPr>
              <w:br/>
              <w:t xml:space="preserve">$'000 </w:t>
            </w:r>
          </w:p>
        </w:tc>
        <w:tc>
          <w:tcPr>
            <w:tcW w:w="226" w:type="pct"/>
            <w:hideMark/>
          </w:tcPr>
          <w:p w:rsidR="00C7473A" w:rsidRPr="009B65F8" w:rsidRDefault="009B65F8" w:rsidP="009B65F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B65F8">
              <w:rPr>
                <w:rStyle w:val="Bold"/>
              </w:rPr>
              <w:t>Total</w:t>
            </w:r>
            <w:r w:rsidRPr="009B65F8">
              <w:rPr>
                <w:rStyle w:val="Bold"/>
              </w:rPr>
              <w:br/>
            </w:r>
            <w:r w:rsidR="00C7473A" w:rsidRPr="009B65F8">
              <w:rPr>
                <w:rStyle w:val="Bold"/>
              </w:rPr>
              <w:t>2016</w:t>
            </w:r>
            <w:r w:rsidR="00C7473A" w:rsidRPr="009B65F8">
              <w:rPr>
                <w:rStyle w:val="Bold"/>
              </w:rPr>
              <w:br/>
              <w:t xml:space="preserve">$'000 </w:t>
            </w:r>
          </w:p>
        </w:tc>
      </w:tr>
      <w:tr w:rsidR="009B65F8" w:rsidRPr="00C7473A" w:rsidTr="009B65F8">
        <w:tc>
          <w:tcPr>
            <w:cnfStyle w:val="001000000000" w:firstRow="0" w:lastRow="0" w:firstColumn="1" w:lastColumn="0" w:oddVBand="0" w:evenVBand="0" w:oddHBand="0" w:evenHBand="0" w:firstRowFirstColumn="0" w:firstRowLastColumn="0" w:lastRowFirstColumn="0" w:lastRowLastColumn="0"/>
            <w:tcW w:w="870" w:type="pct"/>
            <w:noWrap/>
            <w:hideMark/>
          </w:tcPr>
          <w:p w:rsidR="00C7473A" w:rsidRPr="009B65F8" w:rsidRDefault="00C7473A" w:rsidP="009B65F8">
            <w:pPr>
              <w:pStyle w:val="TableBodyText"/>
              <w:rPr>
                <w:rStyle w:val="Bold"/>
              </w:rPr>
            </w:pPr>
            <w:r w:rsidRPr="009B65F8">
              <w:rPr>
                <w:rStyle w:val="Bold"/>
              </w:rPr>
              <w:t>Administered financial assets</w:t>
            </w:r>
          </w:p>
        </w:tc>
        <w:tc>
          <w:tcPr>
            <w:tcW w:w="253" w:type="pct"/>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53" w:type="pct"/>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23" w:type="pct"/>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23" w:type="pct"/>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9" w:type="pct"/>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9" w:type="pct"/>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2" w:type="pct"/>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2" w:type="pct"/>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87" w:type="pct"/>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87" w:type="pct"/>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5" w:type="pct"/>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5" w:type="pct"/>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26" w:type="pct"/>
            <w:shd w:val="clear" w:color="auto" w:fill="F3F3F3"/>
            <w:noWrap/>
          </w:tcPr>
          <w:p w:rsidR="00C7473A" w:rsidRPr="009B65F8" w:rsidRDefault="009B65F8" w:rsidP="009B65F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N/A</w:t>
            </w:r>
          </w:p>
        </w:tc>
        <w:tc>
          <w:tcPr>
            <w:tcW w:w="226" w:type="pct"/>
            <w:noWrap/>
            <w:hideMark/>
          </w:tcPr>
          <w:p w:rsidR="00C7473A" w:rsidRPr="009B65F8" w:rsidRDefault="009B65F8" w:rsidP="009B65F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N/A</w:t>
            </w:r>
          </w:p>
        </w:tc>
      </w:tr>
      <w:tr w:rsidR="009B65F8" w:rsidRPr="00C7473A" w:rsidTr="009B65F8">
        <w:tc>
          <w:tcPr>
            <w:cnfStyle w:val="001000000000" w:firstRow="0" w:lastRow="0" w:firstColumn="1" w:lastColumn="0" w:oddVBand="0" w:evenVBand="0" w:oddHBand="0" w:evenHBand="0" w:firstRowFirstColumn="0" w:firstRowLastColumn="0" w:lastRowFirstColumn="0" w:lastRowLastColumn="0"/>
            <w:tcW w:w="870" w:type="pct"/>
            <w:noWrap/>
            <w:hideMark/>
          </w:tcPr>
          <w:p w:rsidR="00C7473A" w:rsidRPr="00C7473A" w:rsidRDefault="00C7473A" w:rsidP="009B65F8">
            <w:pPr>
              <w:pStyle w:val="TableBodyText"/>
            </w:pPr>
            <w:r w:rsidRPr="00C7473A">
              <w:t>Cash and deposits</w:t>
            </w:r>
          </w:p>
        </w:tc>
        <w:tc>
          <w:tcPr>
            <w:tcW w:w="253"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66</w:t>
            </w:r>
          </w:p>
        </w:tc>
        <w:tc>
          <w:tcPr>
            <w:tcW w:w="253"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136 </w:t>
            </w:r>
          </w:p>
        </w:tc>
        <w:tc>
          <w:tcPr>
            <w:tcW w:w="223"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2,191 </w:t>
            </w:r>
          </w:p>
        </w:tc>
        <w:tc>
          <w:tcPr>
            <w:tcW w:w="223"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2,594 </w:t>
            </w:r>
          </w:p>
        </w:tc>
        <w:tc>
          <w:tcPr>
            <w:tcW w:w="329"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3,370 </w:t>
            </w:r>
          </w:p>
        </w:tc>
        <w:tc>
          <w:tcPr>
            <w:tcW w:w="329"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2,542 </w:t>
            </w:r>
          </w:p>
        </w:tc>
        <w:tc>
          <w:tcPr>
            <w:tcW w:w="282"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82"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87"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132 </w:t>
            </w:r>
          </w:p>
        </w:tc>
        <w:tc>
          <w:tcPr>
            <w:tcW w:w="387"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145 </w:t>
            </w:r>
          </w:p>
        </w:tc>
        <w:tc>
          <w:tcPr>
            <w:tcW w:w="365"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65"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26" w:type="pct"/>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5,759</w:t>
            </w:r>
          </w:p>
        </w:tc>
        <w:tc>
          <w:tcPr>
            <w:tcW w:w="226" w:type="pct"/>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5,418</w:t>
            </w:r>
          </w:p>
        </w:tc>
      </w:tr>
      <w:tr w:rsidR="009B65F8" w:rsidRPr="00C7473A" w:rsidTr="009B65F8">
        <w:tc>
          <w:tcPr>
            <w:cnfStyle w:val="001000000000" w:firstRow="0" w:lastRow="0" w:firstColumn="1" w:lastColumn="0" w:oddVBand="0" w:evenVBand="0" w:oddHBand="0" w:evenHBand="0" w:firstRowFirstColumn="0" w:firstRowLastColumn="0" w:lastRowFirstColumn="0" w:lastRowLastColumn="0"/>
            <w:tcW w:w="870" w:type="pct"/>
            <w:tcBorders>
              <w:bottom w:val="single" w:sz="4" w:space="0" w:color="auto"/>
            </w:tcBorders>
            <w:noWrap/>
            <w:hideMark/>
          </w:tcPr>
          <w:p w:rsidR="00C7473A" w:rsidRPr="00C7473A" w:rsidRDefault="00C7473A" w:rsidP="009B65F8">
            <w:pPr>
              <w:pStyle w:val="TableBodyText"/>
            </w:pPr>
            <w:r w:rsidRPr="00C7473A">
              <w:t>Receivables</w:t>
            </w:r>
          </w:p>
        </w:tc>
        <w:tc>
          <w:tcPr>
            <w:tcW w:w="253"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30</w:t>
            </w:r>
          </w:p>
        </w:tc>
        <w:tc>
          <w:tcPr>
            <w:tcW w:w="253"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177 </w:t>
            </w:r>
          </w:p>
        </w:tc>
        <w:tc>
          <w:tcPr>
            <w:tcW w:w="223"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2,336 </w:t>
            </w:r>
          </w:p>
        </w:tc>
        <w:tc>
          <w:tcPr>
            <w:tcW w:w="223"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2,893 </w:t>
            </w:r>
          </w:p>
        </w:tc>
        <w:tc>
          <w:tcPr>
            <w:tcW w:w="329"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943 </w:t>
            </w:r>
          </w:p>
        </w:tc>
        <w:tc>
          <w:tcPr>
            <w:tcW w:w="329"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942 </w:t>
            </w:r>
          </w:p>
        </w:tc>
        <w:tc>
          <w:tcPr>
            <w:tcW w:w="282"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82"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87"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240 </w:t>
            </w:r>
          </w:p>
        </w:tc>
        <w:tc>
          <w:tcPr>
            <w:tcW w:w="387"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650 </w:t>
            </w:r>
          </w:p>
        </w:tc>
        <w:tc>
          <w:tcPr>
            <w:tcW w:w="365"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2,832 </w:t>
            </w:r>
          </w:p>
        </w:tc>
        <w:tc>
          <w:tcPr>
            <w:tcW w:w="365"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1,879 </w:t>
            </w:r>
          </w:p>
        </w:tc>
        <w:tc>
          <w:tcPr>
            <w:tcW w:w="226" w:type="pct"/>
            <w:tcBorders>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6,381</w:t>
            </w:r>
          </w:p>
        </w:tc>
        <w:tc>
          <w:tcPr>
            <w:tcW w:w="226" w:type="pct"/>
            <w:tcBorders>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6,541</w:t>
            </w:r>
          </w:p>
        </w:tc>
      </w:tr>
      <w:tr w:rsidR="009B65F8" w:rsidRPr="009B65F8" w:rsidTr="009B65F8">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bottom w:val="single" w:sz="4" w:space="0" w:color="auto"/>
            </w:tcBorders>
            <w:noWrap/>
            <w:hideMark/>
          </w:tcPr>
          <w:p w:rsidR="00C7473A" w:rsidRPr="009B65F8" w:rsidRDefault="00C7473A" w:rsidP="009B65F8">
            <w:pPr>
              <w:pStyle w:val="TableBodyText"/>
              <w:rPr>
                <w:rStyle w:val="Bold"/>
              </w:rPr>
            </w:pPr>
            <w:r w:rsidRPr="009B65F8">
              <w:rPr>
                <w:rStyle w:val="Bold"/>
              </w:rPr>
              <w:t>Total administered financial assets</w:t>
            </w:r>
          </w:p>
        </w:tc>
        <w:tc>
          <w:tcPr>
            <w:tcW w:w="253"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96</w:t>
            </w:r>
          </w:p>
        </w:tc>
        <w:tc>
          <w:tcPr>
            <w:tcW w:w="253"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313 </w:t>
            </w:r>
          </w:p>
        </w:tc>
        <w:tc>
          <w:tcPr>
            <w:tcW w:w="223"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4,526 </w:t>
            </w:r>
          </w:p>
        </w:tc>
        <w:tc>
          <w:tcPr>
            <w:tcW w:w="223"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5,488 </w:t>
            </w:r>
          </w:p>
        </w:tc>
        <w:tc>
          <w:tcPr>
            <w:tcW w:w="329"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4,314 </w:t>
            </w:r>
          </w:p>
        </w:tc>
        <w:tc>
          <w:tcPr>
            <w:tcW w:w="329"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3,484 </w:t>
            </w:r>
          </w:p>
        </w:tc>
        <w:tc>
          <w:tcPr>
            <w:tcW w:w="282"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0 </w:t>
            </w:r>
          </w:p>
        </w:tc>
        <w:tc>
          <w:tcPr>
            <w:tcW w:w="282"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0 </w:t>
            </w:r>
          </w:p>
        </w:tc>
        <w:tc>
          <w:tcPr>
            <w:tcW w:w="387"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371 </w:t>
            </w:r>
          </w:p>
        </w:tc>
        <w:tc>
          <w:tcPr>
            <w:tcW w:w="387"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795 </w:t>
            </w:r>
          </w:p>
        </w:tc>
        <w:tc>
          <w:tcPr>
            <w:tcW w:w="365"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2,832 </w:t>
            </w:r>
          </w:p>
        </w:tc>
        <w:tc>
          <w:tcPr>
            <w:tcW w:w="365"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1,879 </w:t>
            </w:r>
          </w:p>
        </w:tc>
        <w:tc>
          <w:tcPr>
            <w:tcW w:w="226"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12,140 </w:t>
            </w:r>
          </w:p>
        </w:tc>
        <w:tc>
          <w:tcPr>
            <w:tcW w:w="226"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11,959 </w:t>
            </w:r>
          </w:p>
        </w:tc>
      </w:tr>
      <w:tr w:rsidR="009B65F8" w:rsidRPr="00C7473A" w:rsidTr="009B65F8">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tcBorders>
            <w:noWrap/>
            <w:hideMark/>
          </w:tcPr>
          <w:p w:rsidR="00C7473A" w:rsidRPr="009B65F8" w:rsidRDefault="00C7473A" w:rsidP="009B65F8">
            <w:pPr>
              <w:pStyle w:val="TableBodyText"/>
              <w:spacing w:before="120"/>
              <w:rPr>
                <w:rStyle w:val="Bold"/>
              </w:rPr>
            </w:pPr>
            <w:r w:rsidRPr="009B65F8">
              <w:rPr>
                <w:rStyle w:val="Bold"/>
              </w:rPr>
              <w:t>Administered liabilities</w:t>
            </w:r>
          </w:p>
        </w:tc>
        <w:tc>
          <w:tcPr>
            <w:tcW w:w="253" w:type="pct"/>
            <w:tcBorders>
              <w:top w:val="single" w:sz="4" w:space="0" w:color="auto"/>
            </w:tcBorders>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53" w:type="pct"/>
            <w:tcBorders>
              <w:top w:val="single" w:sz="4" w:space="0" w:color="auto"/>
            </w:tcBorders>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23" w:type="pct"/>
            <w:tcBorders>
              <w:top w:val="single" w:sz="4" w:space="0" w:color="auto"/>
            </w:tcBorders>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23" w:type="pct"/>
            <w:tcBorders>
              <w:top w:val="single" w:sz="4" w:space="0" w:color="auto"/>
            </w:tcBorders>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9" w:type="pct"/>
            <w:tcBorders>
              <w:top w:val="single" w:sz="4" w:space="0" w:color="auto"/>
            </w:tcBorders>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9" w:type="pct"/>
            <w:tcBorders>
              <w:top w:val="single" w:sz="4" w:space="0" w:color="auto"/>
            </w:tcBorders>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2" w:type="pct"/>
            <w:tcBorders>
              <w:top w:val="single" w:sz="4" w:space="0" w:color="auto"/>
            </w:tcBorders>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2" w:type="pct"/>
            <w:tcBorders>
              <w:top w:val="single" w:sz="4" w:space="0" w:color="auto"/>
            </w:tcBorders>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87" w:type="pct"/>
            <w:tcBorders>
              <w:top w:val="single" w:sz="4" w:space="0" w:color="auto"/>
            </w:tcBorders>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87" w:type="pct"/>
            <w:tcBorders>
              <w:top w:val="single" w:sz="4" w:space="0" w:color="auto"/>
            </w:tcBorders>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5" w:type="pct"/>
            <w:tcBorders>
              <w:top w:val="single" w:sz="4" w:space="0" w:color="auto"/>
            </w:tcBorders>
            <w:shd w:val="clear" w:color="auto" w:fill="F3F3F3"/>
            <w:noWrap/>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5" w:type="pct"/>
            <w:tcBorders>
              <w:top w:val="single" w:sz="4" w:space="0" w:color="auto"/>
            </w:tcBorders>
            <w:noWrap/>
            <w:hideMark/>
          </w:tcPr>
          <w:p w:rsidR="00C7473A" w:rsidRPr="00C7473A" w:rsidRDefault="009B65F8" w:rsidP="009B65F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26" w:type="pct"/>
            <w:tcBorders>
              <w:top w:val="single" w:sz="4" w:space="0" w:color="auto"/>
            </w:tcBorders>
            <w:shd w:val="clear" w:color="auto" w:fill="F3F3F3"/>
            <w:noWrap/>
          </w:tcPr>
          <w:p w:rsidR="00C7473A" w:rsidRPr="009B65F8" w:rsidRDefault="009B65F8" w:rsidP="009B65F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N/A</w:t>
            </w:r>
          </w:p>
        </w:tc>
        <w:tc>
          <w:tcPr>
            <w:tcW w:w="226" w:type="pct"/>
            <w:tcBorders>
              <w:top w:val="single" w:sz="4" w:space="0" w:color="auto"/>
            </w:tcBorders>
            <w:noWrap/>
            <w:hideMark/>
          </w:tcPr>
          <w:p w:rsidR="00C7473A" w:rsidRPr="009B65F8" w:rsidRDefault="009B65F8" w:rsidP="009B65F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N/A</w:t>
            </w:r>
          </w:p>
        </w:tc>
      </w:tr>
      <w:tr w:rsidR="009B65F8" w:rsidRPr="00C7473A" w:rsidTr="009B65F8">
        <w:tc>
          <w:tcPr>
            <w:cnfStyle w:val="001000000000" w:firstRow="0" w:lastRow="0" w:firstColumn="1" w:lastColumn="0" w:oddVBand="0" w:evenVBand="0" w:oddHBand="0" w:evenHBand="0" w:firstRowFirstColumn="0" w:firstRowLastColumn="0" w:lastRowFirstColumn="0" w:lastRowLastColumn="0"/>
            <w:tcW w:w="870" w:type="pct"/>
            <w:noWrap/>
            <w:hideMark/>
          </w:tcPr>
          <w:p w:rsidR="00C7473A" w:rsidRPr="00C7473A" w:rsidRDefault="00C7473A" w:rsidP="009B65F8">
            <w:pPr>
              <w:pStyle w:val="TableBodyText"/>
            </w:pPr>
            <w:r w:rsidRPr="00C7473A">
              <w:t>Creditors and accruals</w:t>
            </w:r>
          </w:p>
        </w:tc>
        <w:tc>
          <w:tcPr>
            <w:tcW w:w="253"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0</w:t>
            </w:r>
          </w:p>
        </w:tc>
        <w:tc>
          <w:tcPr>
            <w:tcW w:w="253"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23"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23"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29"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29"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(376)</w:t>
            </w:r>
          </w:p>
        </w:tc>
        <w:tc>
          <w:tcPr>
            <w:tcW w:w="282"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82"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87"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(320)</w:t>
            </w:r>
          </w:p>
        </w:tc>
        <w:tc>
          <w:tcPr>
            <w:tcW w:w="387"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(751)</w:t>
            </w:r>
          </w:p>
        </w:tc>
        <w:tc>
          <w:tcPr>
            <w:tcW w:w="365"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(472)</w:t>
            </w:r>
          </w:p>
        </w:tc>
        <w:tc>
          <w:tcPr>
            <w:tcW w:w="365"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276 </w:t>
            </w:r>
          </w:p>
        </w:tc>
        <w:tc>
          <w:tcPr>
            <w:tcW w:w="226" w:type="pct"/>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(792)</w:t>
            </w:r>
          </w:p>
        </w:tc>
        <w:tc>
          <w:tcPr>
            <w:tcW w:w="226" w:type="pct"/>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(850)</w:t>
            </w:r>
          </w:p>
        </w:tc>
      </w:tr>
      <w:tr w:rsidR="009B65F8" w:rsidRPr="00C7473A" w:rsidTr="009B65F8">
        <w:tc>
          <w:tcPr>
            <w:cnfStyle w:val="001000000000" w:firstRow="0" w:lastRow="0" w:firstColumn="1" w:lastColumn="0" w:oddVBand="0" w:evenVBand="0" w:oddHBand="0" w:evenHBand="0" w:firstRowFirstColumn="0" w:firstRowLastColumn="0" w:lastRowFirstColumn="0" w:lastRowLastColumn="0"/>
            <w:tcW w:w="870" w:type="pct"/>
            <w:noWrap/>
            <w:hideMark/>
          </w:tcPr>
          <w:p w:rsidR="00C7473A" w:rsidRPr="00C7473A" w:rsidRDefault="00C7473A" w:rsidP="009B65F8">
            <w:pPr>
              <w:pStyle w:val="TableBodyText"/>
            </w:pPr>
            <w:r w:rsidRPr="00C7473A">
              <w:t>Deposits payable</w:t>
            </w:r>
          </w:p>
        </w:tc>
        <w:tc>
          <w:tcPr>
            <w:tcW w:w="253"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51</w:t>
            </w:r>
          </w:p>
        </w:tc>
        <w:tc>
          <w:tcPr>
            <w:tcW w:w="253"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(27)</w:t>
            </w:r>
          </w:p>
        </w:tc>
        <w:tc>
          <w:tcPr>
            <w:tcW w:w="223"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(1,314)</w:t>
            </w:r>
          </w:p>
        </w:tc>
        <w:tc>
          <w:tcPr>
            <w:tcW w:w="223"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(1,715)</w:t>
            </w:r>
          </w:p>
        </w:tc>
        <w:tc>
          <w:tcPr>
            <w:tcW w:w="329"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(5,944)</w:t>
            </w:r>
          </w:p>
        </w:tc>
        <w:tc>
          <w:tcPr>
            <w:tcW w:w="329"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(5,080)</w:t>
            </w:r>
          </w:p>
        </w:tc>
        <w:tc>
          <w:tcPr>
            <w:tcW w:w="282"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82"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87"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600 </w:t>
            </w:r>
          </w:p>
        </w:tc>
        <w:tc>
          <w:tcPr>
            <w:tcW w:w="387"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607 </w:t>
            </w:r>
          </w:p>
        </w:tc>
        <w:tc>
          <w:tcPr>
            <w:tcW w:w="365" w:type="pct"/>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(1,866)</w:t>
            </w:r>
          </w:p>
        </w:tc>
        <w:tc>
          <w:tcPr>
            <w:tcW w:w="365" w:type="pct"/>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(1,492)</w:t>
            </w:r>
          </w:p>
        </w:tc>
        <w:tc>
          <w:tcPr>
            <w:tcW w:w="226" w:type="pct"/>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(8,472)</w:t>
            </w:r>
          </w:p>
        </w:tc>
        <w:tc>
          <w:tcPr>
            <w:tcW w:w="226" w:type="pct"/>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(7,708)</w:t>
            </w:r>
          </w:p>
        </w:tc>
      </w:tr>
      <w:tr w:rsidR="009B65F8" w:rsidRPr="00C7473A" w:rsidTr="009B65F8">
        <w:tc>
          <w:tcPr>
            <w:cnfStyle w:val="001000000000" w:firstRow="0" w:lastRow="0" w:firstColumn="1" w:lastColumn="0" w:oddVBand="0" w:evenVBand="0" w:oddHBand="0" w:evenHBand="0" w:firstRowFirstColumn="0" w:firstRowLastColumn="0" w:lastRowFirstColumn="0" w:lastRowLastColumn="0"/>
            <w:tcW w:w="870" w:type="pct"/>
            <w:tcBorders>
              <w:bottom w:val="single" w:sz="4" w:space="0" w:color="auto"/>
            </w:tcBorders>
            <w:noWrap/>
            <w:hideMark/>
          </w:tcPr>
          <w:p w:rsidR="00C7473A" w:rsidRPr="00C7473A" w:rsidRDefault="00C7473A" w:rsidP="009B65F8">
            <w:pPr>
              <w:pStyle w:val="TableBodyText"/>
            </w:pPr>
            <w:r w:rsidRPr="00C7473A">
              <w:t>Provisions</w:t>
            </w:r>
          </w:p>
        </w:tc>
        <w:tc>
          <w:tcPr>
            <w:tcW w:w="253"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0</w:t>
            </w:r>
          </w:p>
        </w:tc>
        <w:tc>
          <w:tcPr>
            <w:tcW w:w="253"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23"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23"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29"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(3,300)</w:t>
            </w:r>
          </w:p>
        </w:tc>
        <w:tc>
          <w:tcPr>
            <w:tcW w:w="329"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(2,500)</w:t>
            </w:r>
          </w:p>
        </w:tc>
        <w:tc>
          <w:tcPr>
            <w:tcW w:w="282"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82"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87"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87"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65" w:type="pct"/>
            <w:tcBorders>
              <w:bottom w:val="single" w:sz="4" w:space="0" w:color="auto"/>
            </w:tcBorders>
            <w:shd w:val="clear" w:color="auto" w:fill="F3F3F3"/>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365" w:type="pct"/>
            <w:tcBorders>
              <w:bottom w:val="single" w:sz="4" w:space="0" w:color="auto"/>
            </w:tcBorders>
            <w:noWrap/>
            <w:hideMark/>
          </w:tcPr>
          <w:p w:rsidR="00C7473A" w:rsidRPr="00C7473A" w:rsidRDefault="00C7473A" w:rsidP="00C7473A">
            <w:pPr>
              <w:pStyle w:val="TableBodyText"/>
              <w:cnfStyle w:val="000000000000" w:firstRow="0" w:lastRow="0" w:firstColumn="0" w:lastColumn="0" w:oddVBand="0" w:evenVBand="0" w:oddHBand="0" w:evenHBand="0" w:firstRowFirstColumn="0" w:firstRowLastColumn="0" w:lastRowFirstColumn="0" w:lastRowLastColumn="0"/>
            </w:pPr>
            <w:r w:rsidRPr="00C7473A">
              <w:t xml:space="preserve">0 </w:t>
            </w:r>
          </w:p>
        </w:tc>
        <w:tc>
          <w:tcPr>
            <w:tcW w:w="226" w:type="pct"/>
            <w:tcBorders>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(3,300)</w:t>
            </w:r>
          </w:p>
        </w:tc>
        <w:tc>
          <w:tcPr>
            <w:tcW w:w="226" w:type="pct"/>
            <w:tcBorders>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(2,500)</w:t>
            </w:r>
          </w:p>
        </w:tc>
      </w:tr>
      <w:tr w:rsidR="009B65F8" w:rsidRPr="009B65F8" w:rsidTr="009B65F8">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bottom w:val="single" w:sz="4" w:space="0" w:color="auto"/>
            </w:tcBorders>
            <w:noWrap/>
            <w:hideMark/>
          </w:tcPr>
          <w:p w:rsidR="00C7473A" w:rsidRPr="009B65F8" w:rsidRDefault="00C7473A" w:rsidP="009B65F8">
            <w:pPr>
              <w:pStyle w:val="TableBodyText"/>
              <w:rPr>
                <w:rStyle w:val="Bold"/>
              </w:rPr>
            </w:pPr>
            <w:r w:rsidRPr="009B65F8">
              <w:rPr>
                <w:rStyle w:val="Bold"/>
              </w:rPr>
              <w:t>Total administered liabilities</w:t>
            </w:r>
          </w:p>
        </w:tc>
        <w:tc>
          <w:tcPr>
            <w:tcW w:w="253"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51</w:t>
            </w:r>
          </w:p>
        </w:tc>
        <w:tc>
          <w:tcPr>
            <w:tcW w:w="253"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(27)</w:t>
            </w:r>
          </w:p>
        </w:tc>
        <w:tc>
          <w:tcPr>
            <w:tcW w:w="223"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(1,314)</w:t>
            </w:r>
          </w:p>
        </w:tc>
        <w:tc>
          <w:tcPr>
            <w:tcW w:w="223"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(1,715)</w:t>
            </w:r>
          </w:p>
        </w:tc>
        <w:tc>
          <w:tcPr>
            <w:tcW w:w="329"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(9,244)</w:t>
            </w:r>
          </w:p>
        </w:tc>
        <w:tc>
          <w:tcPr>
            <w:tcW w:w="329"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(7,956)</w:t>
            </w:r>
          </w:p>
        </w:tc>
        <w:tc>
          <w:tcPr>
            <w:tcW w:w="282"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0 </w:t>
            </w:r>
          </w:p>
        </w:tc>
        <w:tc>
          <w:tcPr>
            <w:tcW w:w="282"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0 </w:t>
            </w:r>
          </w:p>
        </w:tc>
        <w:tc>
          <w:tcPr>
            <w:tcW w:w="387"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280 </w:t>
            </w:r>
          </w:p>
        </w:tc>
        <w:tc>
          <w:tcPr>
            <w:tcW w:w="387"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(144)</w:t>
            </w:r>
          </w:p>
        </w:tc>
        <w:tc>
          <w:tcPr>
            <w:tcW w:w="365"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(2,338)</w:t>
            </w:r>
          </w:p>
        </w:tc>
        <w:tc>
          <w:tcPr>
            <w:tcW w:w="365"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(1,216)</w:t>
            </w:r>
          </w:p>
        </w:tc>
        <w:tc>
          <w:tcPr>
            <w:tcW w:w="226"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(12,564)</w:t>
            </w:r>
          </w:p>
        </w:tc>
        <w:tc>
          <w:tcPr>
            <w:tcW w:w="226"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(11,058)</w:t>
            </w:r>
          </w:p>
        </w:tc>
      </w:tr>
      <w:tr w:rsidR="009B65F8" w:rsidRPr="009B65F8" w:rsidTr="009B65F8">
        <w:tc>
          <w:tcPr>
            <w:cnfStyle w:val="001000000000" w:firstRow="0" w:lastRow="0" w:firstColumn="1" w:lastColumn="0" w:oddVBand="0" w:evenVBand="0" w:oddHBand="0" w:evenHBand="0" w:firstRowFirstColumn="0" w:firstRowLastColumn="0" w:lastRowFirstColumn="0" w:lastRowLastColumn="0"/>
            <w:tcW w:w="870" w:type="pct"/>
            <w:tcBorders>
              <w:top w:val="single" w:sz="4" w:space="0" w:color="auto"/>
              <w:bottom w:val="single" w:sz="4" w:space="0" w:color="auto"/>
            </w:tcBorders>
            <w:noWrap/>
            <w:hideMark/>
          </w:tcPr>
          <w:p w:rsidR="00C7473A" w:rsidRPr="009B65F8" w:rsidRDefault="00C7473A" w:rsidP="009B65F8">
            <w:pPr>
              <w:pStyle w:val="TableBodyText"/>
              <w:rPr>
                <w:rStyle w:val="Bold"/>
              </w:rPr>
            </w:pPr>
            <w:r w:rsidRPr="009B65F8">
              <w:rPr>
                <w:rStyle w:val="Bold"/>
              </w:rPr>
              <w:t>Total administered net assets</w:t>
            </w:r>
          </w:p>
        </w:tc>
        <w:tc>
          <w:tcPr>
            <w:tcW w:w="253"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147</w:t>
            </w:r>
          </w:p>
        </w:tc>
        <w:tc>
          <w:tcPr>
            <w:tcW w:w="253"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286 </w:t>
            </w:r>
          </w:p>
        </w:tc>
        <w:tc>
          <w:tcPr>
            <w:tcW w:w="223"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3,213</w:t>
            </w:r>
          </w:p>
        </w:tc>
        <w:tc>
          <w:tcPr>
            <w:tcW w:w="223"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3,772 </w:t>
            </w:r>
          </w:p>
        </w:tc>
        <w:tc>
          <w:tcPr>
            <w:tcW w:w="329"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(4,930)</w:t>
            </w:r>
          </w:p>
        </w:tc>
        <w:tc>
          <w:tcPr>
            <w:tcW w:w="329"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(4,472)</w:t>
            </w:r>
          </w:p>
        </w:tc>
        <w:tc>
          <w:tcPr>
            <w:tcW w:w="282"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0</w:t>
            </w:r>
          </w:p>
        </w:tc>
        <w:tc>
          <w:tcPr>
            <w:tcW w:w="282"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0 </w:t>
            </w:r>
          </w:p>
        </w:tc>
        <w:tc>
          <w:tcPr>
            <w:tcW w:w="387"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651</w:t>
            </w:r>
          </w:p>
        </w:tc>
        <w:tc>
          <w:tcPr>
            <w:tcW w:w="387"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651 </w:t>
            </w:r>
          </w:p>
        </w:tc>
        <w:tc>
          <w:tcPr>
            <w:tcW w:w="365"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494</w:t>
            </w:r>
          </w:p>
        </w:tc>
        <w:tc>
          <w:tcPr>
            <w:tcW w:w="365"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 xml:space="preserve">663 </w:t>
            </w:r>
          </w:p>
        </w:tc>
        <w:tc>
          <w:tcPr>
            <w:tcW w:w="226" w:type="pct"/>
            <w:tcBorders>
              <w:top w:val="single" w:sz="4" w:space="0" w:color="auto"/>
              <w:bottom w:val="single" w:sz="4" w:space="0" w:color="auto"/>
            </w:tcBorders>
            <w:shd w:val="clear" w:color="auto" w:fill="F3F3F3"/>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(425)</w:t>
            </w:r>
          </w:p>
        </w:tc>
        <w:tc>
          <w:tcPr>
            <w:tcW w:w="226" w:type="pct"/>
            <w:tcBorders>
              <w:top w:val="single" w:sz="4" w:space="0" w:color="auto"/>
              <w:bottom w:val="single" w:sz="4" w:space="0" w:color="auto"/>
            </w:tcBorders>
            <w:noWrap/>
            <w:hideMark/>
          </w:tcPr>
          <w:p w:rsidR="00C7473A" w:rsidRPr="009B65F8" w:rsidRDefault="00C7473A" w:rsidP="00C7473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B65F8">
              <w:rPr>
                <w:rStyle w:val="Bold"/>
              </w:rPr>
              <w:t>900</w:t>
            </w:r>
          </w:p>
        </w:tc>
      </w:tr>
    </w:tbl>
    <w:p w:rsidR="002A2BBA" w:rsidRDefault="002A2BBA" w:rsidP="002A2BBA">
      <w:pPr>
        <w:pStyle w:val="Heading2"/>
      </w:pPr>
      <w:bookmarkStart w:id="31" w:name="_Toc497125472"/>
      <w:r>
        <w:t>Restructuring of administrative arrangements</w:t>
      </w:r>
      <w:bookmarkEnd w:id="31"/>
    </w:p>
    <w:p w:rsidR="002A2BBA" w:rsidRDefault="002A2BBA" w:rsidP="002A2BBA">
      <w:pPr>
        <w:pStyle w:val="BodyText"/>
      </w:pPr>
      <w:r>
        <w:t>The following net assets of the Department of Justice and Regulation became the net assets of CSV for the financial year 2015</w:t>
      </w:r>
      <w:r>
        <w:rPr>
          <w:rFonts w:ascii="Cambria Math" w:hAnsi="Cambria Math" w:cs="Cambria Math"/>
        </w:rPr>
        <w:t>‐</w:t>
      </w:r>
      <w:r>
        <w:t>16. CSV was not subject to any such restructuring in 2016</w:t>
      </w:r>
      <w:r>
        <w:rPr>
          <w:rFonts w:ascii="Cambria Math" w:hAnsi="Cambria Math" w:cs="Cambria Math"/>
        </w:rPr>
        <w:t>‐</w:t>
      </w:r>
      <w:r>
        <w:t>17. The net assets transfer to CSV is treated as a contribution of capital by the Crown.</w:t>
      </w:r>
    </w:p>
    <w:tbl>
      <w:tblPr>
        <w:tblStyle w:val="FinancialTable"/>
        <w:tblW w:w="1645" w:type="pct"/>
        <w:tblLook w:val="04A0" w:firstRow="1" w:lastRow="0" w:firstColumn="1" w:lastColumn="0" w:noHBand="0" w:noVBand="1"/>
      </w:tblPr>
      <w:tblGrid>
        <w:gridCol w:w="4805"/>
        <w:gridCol w:w="1142"/>
        <w:gridCol w:w="1142"/>
      </w:tblGrid>
      <w:tr w:rsidR="002A2BBA" w:rsidRPr="00C47177" w:rsidTr="002A2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0" w:type="pct"/>
            <w:noWrap/>
            <w:hideMark/>
          </w:tcPr>
          <w:p w:rsidR="002A2BBA" w:rsidRPr="00C47177" w:rsidRDefault="002A2BBA" w:rsidP="00175896">
            <w:pPr>
              <w:pStyle w:val="TableBodyText"/>
              <w:rPr>
                <w:rStyle w:val="Bold"/>
              </w:rPr>
            </w:pPr>
            <w:r>
              <w:rPr>
                <w:rStyle w:val="Bold"/>
              </w:rPr>
              <w:t>Item</w:t>
            </w:r>
          </w:p>
        </w:tc>
        <w:tc>
          <w:tcPr>
            <w:tcW w:w="800" w:type="pct"/>
            <w:shd w:val="clear" w:color="auto" w:fill="F3F3F3"/>
            <w:hideMark/>
          </w:tcPr>
          <w:p w:rsidR="002A2BBA" w:rsidRPr="00C47177" w:rsidRDefault="002A2BB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47177">
              <w:rPr>
                <w:rStyle w:val="Bold"/>
              </w:rPr>
              <w:t xml:space="preserve">Transferred </w:t>
            </w:r>
            <w:r w:rsidRPr="00C47177">
              <w:rPr>
                <w:rStyle w:val="Bold"/>
              </w:rPr>
              <w:br/>
              <w:t xml:space="preserve">from </w:t>
            </w:r>
            <w:proofErr w:type="spellStart"/>
            <w:r w:rsidRPr="00C47177">
              <w:rPr>
                <w:rStyle w:val="Bold"/>
              </w:rPr>
              <w:t>DJR</w:t>
            </w:r>
            <w:proofErr w:type="spellEnd"/>
            <w:r w:rsidRPr="00C47177">
              <w:rPr>
                <w:rStyle w:val="Bold"/>
              </w:rPr>
              <w:br/>
              <w:t>2017</w:t>
            </w:r>
            <w:r w:rsidRPr="00C47177">
              <w:rPr>
                <w:rStyle w:val="Bold"/>
              </w:rPr>
              <w:br/>
              <w:t>$'000</w:t>
            </w:r>
          </w:p>
        </w:tc>
        <w:tc>
          <w:tcPr>
            <w:tcW w:w="800" w:type="pct"/>
            <w:hideMark/>
          </w:tcPr>
          <w:p w:rsidR="002A2BBA" w:rsidRPr="00C47177" w:rsidRDefault="002A2BB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C47177">
              <w:rPr>
                <w:rStyle w:val="Bold"/>
              </w:rPr>
              <w:t xml:space="preserve">Transferred </w:t>
            </w:r>
            <w:r w:rsidRPr="00C47177">
              <w:rPr>
                <w:rStyle w:val="Bold"/>
              </w:rPr>
              <w:br/>
              <w:t xml:space="preserve">from </w:t>
            </w:r>
            <w:proofErr w:type="spellStart"/>
            <w:r w:rsidRPr="00C47177">
              <w:rPr>
                <w:rStyle w:val="Bold"/>
              </w:rPr>
              <w:t>DJR</w:t>
            </w:r>
            <w:proofErr w:type="spellEnd"/>
            <w:r w:rsidRPr="00C47177">
              <w:rPr>
                <w:rStyle w:val="Bold"/>
              </w:rPr>
              <w:br/>
              <w:t>2016</w:t>
            </w:r>
            <w:r w:rsidRPr="00C47177">
              <w:rPr>
                <w:rStyle w:val="Bold"/>
              </w:rPr>
              <w:br/>
              <w:t>$'000</w:t>
            </w:r>
          </w:p>
        </w:tc>
      </w:tr>
      <w:tr w:rsidR="002A2BBA" w:rsidRPr="00C47177" w:rsidTr="002A2BBA">
        <w:tc>
          <w:tcPr>
            <w:cnfStyle w:val="001000000000" w:firstRow="0" w:lastRow="0" w:firstColumn="1" w:lastColumn="0" w:oddVBand="0" w:evenVBand="0" w:oddHBand="0" w:evenHBand="0" w:firstRowFirstColumn="0" w:firstRowLastColumn="0" w:lastRowFirstColumn="0" w:lastRowLastColumn="0"/>
            <w:tcW w:w="3400" w:type="pct"/>
            <w:noWrap/>
            <w:hideMark/>
          </w:tcPr>
          <w:p w:rsidR="002A2BBA" w:rsidRPr="00C47177" w:rsidRDefault="002A2BBA" w:rsidP="00175896">
            <w:pPr>
              <w:pStyle w:val="TableBodyText"/>
              <w:rPr>
                <w:rStyle w:val="Bold"/>
              </w:rPr>
            </w:pPr>
            <w:r w:rsidRPr="00C47177">
              <w:rPr>
                <w:rStyle w:val="Bold"/>
              </w:rPr>
              <w:t>Controlled</w:t>
            </w:r>
          </w:p>
        </w:tc>
        <w:tc>
          <w:tcPr>
            <w:tcW w:w="800" w:type="pct"/>
            <w:shd w:val="clear" w:color="auto" w:fill="F3F3F3"/>
            <w:noWrap/>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pPr>
            <w:r w:rsidRPr="00C47177">
              <w:t>N/A</w:t>
            </w:r>
          </w:p>
        </w:tc>
        <w:tc>
          <w:tcPr>
            <w:tcW w:w="800" w:type="pct"/>
            <w:noWrap/>
            <w:hideMark/>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pPr>
            <w:r w:rsidRPr="00C47177">
              <w:t>N/A</w:t>
            </w:r>
          </w:p>
        </w:tc>
      </w:tr>
      <w:tr w:rsidR="002A2BBA" w:rsidRPr="00C47177" w:rsidTr="002A2BBA">
        <w:tc>
          <w:tcPr>
            <w:cnfStyle w:val="001000000000" w:firstRow="0" w:lastRow="0" w:firstColumn="1" w:lastColumn="0" w:oddVBand="0" w:evenVBand="0" w:oddHBand="0" w:evenHBand="0" w:firstRowFirstColumn="0" w:firstRowLastColumn="0" w:lastRowFirstColumn="0" w:lastRowLastColumn="0"/>
            <w:tcW w:w="3400" w:type="pct"/>
            <w:tcBorders>
              <w:bottom w:val="single" w:sz="4" w:space="0" w:color="auto"/>
            </w:tcBorders>
            <w:noWrap/>
            <w:hideMark/>
          </w:tcPr>
          <w:p w:rsidR="002A2BBA" w:rsidRPr="00C47177" w:rsidRDefault="002A2BBA" w:rsidP="00175896">
            <w:pPr>
              <w:pStyle w:val="TableBodyText"/>
            </w:pPr>
            <w:r w:rsidRPr="00C47177">
              <w:t>Property, plant and equipment - carrying value</w:t>
            </w:r>
          </w:p>
        </w:tc>
        <w:tc>
          <w:tcPr>
            <w:tcW w:w="800" w:type="pct"/>
            <w:tcBorders>
              <w:bottom w:val="single" w:sz="4" w:space="0" w:color="auto"/>
            </w:tcBorders>
            <w:shd w:val="clear" w:color="auto" w:fill="F3F3F3"/>
            <w:noWrap/>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pPr>
            <w:r w:rsidRPr="00C47177">
              <w:t>N/A</w:t>
            </w:r>
          </w:p>
        </w:tc>
        <w:tc>
          <w:tcPr>
            <w:tcW w:w="800" w:type="pct"/>
            <w:tcBorders>
              <w:bottom w:val="single" w:sz="4" w:space="0" w:color="auto"/>
            </w:tcBorders>
            <w:noWrap/>
            <w:hideMark/>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pPr>
            <w:r w:rsidRPr="00C47177">
              <w:t>53,436</w:t>
            </w:r>
          </w:p>
        </w:tc>
      </w:tr>
      <w:tr w:rsidR="002A2BBA" w:rsidRPr="00C47177" w:rsidTr="002A2BBA">
        <w:tc>
          <w:tcPr>
            <w:cnfStyle w:val="001000000000" w:firstRow="0" w:lastRow="0" w:firstColumn="1" w:lastColumn="0" w:oddVBand="0" w:evenVBand="0" w:oddHBand="0" w:evenHBand="0" w:firstRowFirstColumn="0" w:firstRowLastColumn="0" w:lastRowFirstColumn="0" w:lastRowLastColumn="0"/>
            <w:tcW w:w="3400" w:type="pct"/>
            <w:tcBorders>
              <w:top w:val="single" w:sz="4" w:space="0" w:color="auto"/>
              <w:bottom w:val="single" w:sz="4" w:space="0" w:color="auto"/>
            </w:tcBorders>
            <w:noWrap/>
            <w:hideMark/>
          </w:tcPr>
          <w:p w:rsidR="002A2BBA" w:rsidRPr="00C47177" w:rsidRDefault="002A2BBA" w:rsidP="00175896">
            <w:pPr>
              <w:pStyle w:val="TableBodyText"/>
              <w:rPr>
                <w:rStyle w:val="Bold"/>
              </w:rPr>
            </w:pPr>
            <w:r w:rsidRPr="00C47177">
              <w:rPr>
                <w:rStyle w:val="Bold"/>
              </w:rPr>
              <w:t>Controlled net assets transferred</w:t>
            </w:r>
          </w:p>
        </w:tc>
        <w:tc>
          <w:tcPr>
            <w:tcW w:w="800" w:type="pct"/>
            <w:tcBorders>
              <w:top w:val="single" w:sz="4" w:space="0" w:color="auto"/>
              <w:bottom w:val="single" w:sz="4" w:space="0" w:color="auto"/>
            </w:tcBorders>
            <w:shd w:val="clear" w:color="auto" w:fill="F3F3F3"/>
            <w:noWrap/>
            <w:hideMark/>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47177">
              <w:rPr>
                <w:rStyle w:val="Bold"/>
              </w:rPr>
              <w:t>0</w:t>
            </w:r>
          </w:p>
        </w:tc>
        <w:tc>
          <w:tcPr>
            <w:tcW w:w="800" w:type="pct"/>
            <w:tcBorders>
              <w:top w:val="single" w:sz="4" w:space="0" w:color="auto"/>
              <w:bottom w:val="single" w:sz="4" w:space="0" w:color="auto"/>
            </w:tcBorders>
            <w:noWrap/>
            <w:hideMark/>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47177">
              <w:rPr>
                <w:rStyle w:val="Bold"/>
              </w:rPr>
              <w:t>53,436</w:t>
            </w:r>
          </w:p>
        </w:tc>
      </w:tr>
      <w:tr w:rsidR="002A2BBA" w:rsidRPr="00C47177" w:rsidTr="002A2BBA">
        <w:tc>
          <w:tcPr>
            <w:cnfStyle w:val="001000000000" w:firstRow="0" w:lastRow="0" w:firstColumn="1" w:lastColumn="0" w:oddVBand="0" w:evenVBand="0" w:oddHBand="0" w:evenHBand="0" w:firstRowFirstColumn="0" w:firstRowLastColumn="0" w:lastRowFirstColumn="0" w:lastRowLastColumn="0"/>
            <w:tcW w:w="3400" w:type="pct"/>
            <w:tcBorders>
              <w:top w:val="single" w:sz="4" w:space="0" w:color="auto"/>
              <w:bottom w:val="single" w:sz="4" w:space="0" w:color="auto"/>
            </w:tcBorders>
            <w:noWrap/>
            <w:hideMark/>
          </w:tcPr>
          <w:p w:rsidR="002A2BBA" w:rsidRPr="00C47177" w:rsidRDefault="002A2BBA" w:rsidP="00175896">
            <w:pPr>
              <w:pStyle w:val="TableBodyText"/>
              <w:rPr>
                <w:rStyle w:val="Bold"/>
              </w:rPr>
            </w:pPr>
            <w:r w:rsidRPr="00C47177">
              <w:rPr>
                <w:rStyle w:val="Bold"/>
              </w:rPr>
              <w:t>Net capital contribution</w:t>
            </w:r>
          </w:p>
        </w:tc>
        <w:tc>
          <w:tcPr>
            <w:tcW w:w="800" w:type="pct"/>
            <w:tcBorders>
              <w:top w:val="single" w:sz="4" w:space="0" w:color="auto"/>
              <w:bottom w:val="single" w:sz="4" w:space="0" w:color="auto"/>
            </w:tcBorders>
            <w:shd w:val="clear" w:color="auto" w:fill="F3F3F3"/>
            <w:noWrap/>
            <w:hideMark/>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47177">
              <w:rPr>
                <w:rStyle w:val="Bold"/>
              </w:rPr>
              <w:t>0</w:t>
            </w:r>
          </w:p>
        </w:tc>
        <w:tc>
          <w:tcPr>
            <w:tcW w:w="800" w:type="pct"/>
            <w:tcBorders>
              <w:top w:val="single" w:sz="4" w:space="0" w:color="auto"/>
              <w:bottom w:val="single" w:sz="4" w:space="0" w:color="auto"/>
            </w:tcBorders>
            <w:noWrap/>
            <w:hideMark/>
          </w:tcPr>
          <w:p w:rsidR="002A2BBA" w:rsidRPr="00C47177" w:rsidRDefault="002A2BBA" w:rsidP="0017589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C47177">
              <w:rPr>
                <w:rStyle w:val="Bold"/>
              </w:rPr>
              <w:t>53,436</w:t>
            </w:r>
          </w:p>
        </w:tc>
      </w:tr>
    </w:tbl>
    <w:p w:rsidR="002A2BBA" w:rsidRDefault="002A2BBA" w:rsidP="002A2BBA">
      <w:pPr>
        <w:pStyle w:val="BodyText"/>
      </w:pPr>
    </w:p>
    <w:p w:rsidR="002A2BBA" w:rsidRDefault="002A2BBA" w:rsidP="002A2BBA">
      <w:pPr>
        <w:pStyle w:val="BodyText"/>
        <w:sectPr w:rsidR="002A2BBA" w:rsidSect="003475E2">
          <w:pgSz w:w="23814" w:h="16840" w:orient="landscape" w:code="8"/>
          <w:pgMar w:top="1134" w:right="1134" w:bottom="1134" w:left="1134" w:header="709" w:footer="284" w:gutter="0"/>
          <w:cols w:space="708"/>
          <w:titlePg/>
          <w:docGrid w:linePitch="360"/>
        </w:sectPr>
      </w:pPr>
    </w:p>
    <w:p w:rsidR="009B65F8" w:rsidRDefault="001F1EBE" w:rsidP="00BD7B09">
      <w:pPr>
        <w:pStyle w:val="Heading1"/>
      </w:pPr>
      <w:bookmarkStart w:id="32" w:name="_Toc497125473"/>
      <w:r>
        <w:lastRenderedPageBreak/>
        <w:t xml:space="preserve">Key </w:t>
      </w:r>
      <w:r w:rsidR="003D7434">
        <w:t>assets available t</w:t>
      </w:r>
      <w:r w:rsidR="003D7434" w:rsidRPr="00BD7B09">
        <w:t>o support output delivery</w:t>
      </w:r>
      <w:bookmarkEnd w:id="32"/>
    </w:p>
    <w:p w:rsidR="001F1EBE" w:rsidRPr="00440FE9" w:rsidRDefault="001F1EBE" w:rsidP="00440FE9">
      <w:pPr>
        <w:pStyle w:val="BodyText"/>
        <w:rPr>
          <w:rStyle w:val="Bold"/>
        </w:rPr>
      </w:pPr>
      <w:r w:rsidRPr="00440FE9">
        <w:rPr>
          <w:rStyle w:val="Bold"/>
        </w:rPr>
        <w:t>Introduction</w:t>
      </w:r>
    </w:p>
    <w:p w:rsidR="001F1EBE" w:rsidRDefault="001F1EBE" w:rsidP="001F1EBE">
      <w:pPr>
        <w:pStyle w:val="BodyText"/>
      </w:pPr>
      <w:r>
        <w:t>CSV controls infrastructure that is utilised in fulfilling its objectives and conducting activities. The infrastructure represents the key resources that have been entrusted to CSV to be utilised for delivery of its outputs.</w:t>
      </w:r>
    </w:p>
    <w:p w:rsidR="002A2BBA" w:rsidRPr="00440FE9" w:rsidRDefault="002A2BBA" w:rsidP="00440FE9">
      <w:pPr>
        <w:pStyle w:val="BodyText"/>
        <w:rPr>
          <w:rStyle w:val="Bold"/>
        </w:rPr>
      </w:pPr>
      <w:r w:rsidRPr="00440FE9">
        <w:rPr>
          <w:rStyle w:val="Bold"/>
        </w:rPr>
        <w:t>Fair value measurement</w:t>
      </w:r>
    </w:p>
    <w:p w:rsidR="001F1EBE" w:rsidRDefault="001F1EBE" w:rsidP="001F1EBE">
      <w:pPr>
        <w:pStyle w:val="BodyText"/>
      </w:pPr>
      <w:r>
        <w:t>Where the assets included in this section are carried at fair value, additional i</w:t>
      </w:r>
      <w:r w:rsidR="00440FE9">
        <w:t>nformation is disclosed in Note </w:t>
      </w:r>
      <w:r>
        <w:t xml:space="preserve">8.3 in connection with how </w:t>
      </w:r>
      <w:r w:rsidR="002A2BBA">
        <w:t>those</w:t>
      </w:r>
      <w:r>
        <w:t xml:space="preserve"> fair values were determined.</w:t>
      </w:r>
    </w:p>
    <w:p w:rsidR="001F1EBE" w:rsidRPr="00440FE9" w:rsidRDefault="001F1EBE" w:rsidP="00440FE9">
      <w:pPr>
        <w:pStyle w:val="BodyText"/>
        <w:rPr>
          <w:rStyle w:val="Bold"/>
        </w:rPr>
      </w:pPr>
      <w:r w:rsidRPr="00440FE9">
        <w:rPr>
          <w:rStyle w:val="Bold"/>
        </w:rPr>
        <w:t>Structure</w:t>
      </w:r>
    </w:p>
    <w:p w:rsidR="001F1EBE" w:rsidRDefault="001F1EBE" w:rsidP="001F1EBE">
      <w:pPr>
        <w:pStyle w:val="NoSpacing"/>
      </w:pPr>
      <w:r>
        <w:t>5.1</w:t>
      </w:r>
      <w:r>
        <w:tab/>
        <w:t>Property, plant and equipment</w:t>
      </w:r>
    </w:p>
    <w:p w:rsidR="001F1EBE" w:rsidRDefault="001F1EBE" w:rsidP="001F1EBE">
      <w:pPr>
        <w:pStyle w:val="NoSpacing"/>
      </w:pPr>
      <w:r>
        <w:t>5.2</w:t>
      </w:r>
      <w:r>
        <w:tab/>
        <w:t>Intangible assets</w:t>
      </w:r>
    </w:p>
    <w:p w:rsidR="001F1EBE" w:rsidRDefault="001F1EBE" w:rsidP="001F1EBE">
      <w:pPr>
        <w:pStyle w:val="Heading2"/>
      </w:pPr>
      <w:bookmarkStart w:id="33" w:name="_Toc497125474"/>
      <w:r w:rsidRPr="001F1EBE">
        <w:t>Property, plant and equipment</w:t>
      </w:r>
      <w:bookmarkEnd w:id="33"/>
    </w:p>
    <w:tbl>
      <w:tblPr>
        <w:tblStyle w:val="FinancialTable"/>
        <w:tblW w:w="5000" w:type="pct"/>
        <w:tblLayout w:type="fixed"/>
        <w:tblLook w:val="04A0" w:firstRow="1" w:lastRow="0" w:firstColumn="1" w:lastColumn="0" w:noHBand="0" w:noVBand="1"/>
      </w:tblPr>
      <w:tblGrid>
        <w:gridCol w:w="2551"/>
        <w:gridCol w:w="1180"/>
        <w:gridCol w:w="1182"/>
        <w:gridCol w:w="1324"/>
        <w:gridCol w:w="1276"/>
        <w:gridCol w:w="945"/>
        <w:gridCol w:w="1180"/>
      </w:tblGrid>
      <w:tr w:rsidR="00352A8F" w:rsidRPr="00352A8F" w:rsidTr="002A2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3" w:type="pct"/>
            <w:noWrap/>
            <w:hideMark/>
          </w:tcPr>
          <w:p w:rsidR="00352A8F" w:rsidRPr="00352A8F" w:rsidRDefault="00352A8F" w:rsidP="00352A8F">
            <w:pPr>
              <w:pStyle w:val="TableBodyText"/>
              <w:jc w:val="right"/>
              <w:rPr>
                <w:rStyle w:val="Bold"/>
              </w:rPr>
            </w:pPr>
          </w:p>
        </w:tc>
        <w:tc>
          <w:tcPr>
            <w:tcW w:w="612" w:type="pct"/>
            <w:shd w:val="clear" w:color="auto" w:fill="F3F3F3"/>
            <w:noWrap/>
            <w:hideMark/>
          </w:tcPr>
          <w:p w:rsidR="00352A8F" w:rsidRPr="00352A8F"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52A8F">
              <w:rPr>
                <w:rStyle w:val="Bold"/>
              </w:rPr>
              <w:t xml:space="preserve">Gross carrying </w:t>
            </w:r>
            <w:r w:rsidRPr="00352A8F">
              <w:rPr>
                <w:rStyle w:val="Bold"/>
              </w:rPr>
              <w:br/>
              <w:t>amount</w:t>
            </w:r>
            <w:r w:rsidRPr="00352A8F">
              <w:rPr>
                <w:rStyle w:val="Bold"/>
              </w:rPr>
              <w:br/>
              <w:t>2017</w:t>
            </w:r>
            <w:r w:rsidRPr="00352A8F">
              <w:rPr>
                <w:rStyle w:val="Bold"/>
              </w:rPr>
              <w:br/>
              <w:t>$'000</w:t>
            </w:r>
          </w:p>
        </w:tc>
        <w:tc>
          <w:tcPr>
            <w:tcW w:w="613" w:type="pct"/>
            <w:noWrap/>
            <w:hideMark/>
          </w:tcPr>
          <w:p w:rsidR="00352A8F" w:rsidRPr="00352A8F"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52A8F">
              <w:rPr>
                <w:rStyle w:val="Bold"/>
              </w:rPr>
              <w:t xml:space="preserve">Gross carrying </w:t>
            </w:r>
            <w:r w:rsidRPr="00352A8F">
              <w:rPr>
                <w:rStyle w:val="Bold"/>
              </w:rPr>
              <w:br/>
              <w:t>amount</w:t>
            </w:r>
            <w:r w:rsidRPr="00352A8F">
              <w:rPr>
                <w:rStyle w:val="Bold"/>
              </w:rPr>
              <w:br/>
              <w:t>2016</w:t>
            </w:r>
            <w:r w:rsidRPr="00352A8F">
              <w:rPr>
                <w:rStyle w:val="Bold"/>
              </w:rPr>
              <w:br/>
              <w:t>$'0006</w:t>
            </w:r>
          </w:p>
        </w:tc>
        <w:tc>
          <w:tcPr>
            <w:tcW w:w="687" w:type="pct"/>
            <w:shd w:val="clear" w:color="auto" w:fill="F3F3F3"/>
            <w:noWrap/>
            <w:hideMark/>
          </w:tcPr>
          <w:p w:rsidR="00352A8F" w:rsidRPr="00352A8F" w:rsidRDefault="00352A8F" w:rsidP="00352A8F">
            <w:pPr>
              <w:pStyle w:val="TableBodyText"/>
              <w:pageBreakBefore/>
              <w:cnfStyle w:val="100000000000" w:firstRow="1" w:lastRow="0" w:firstColumn="0" w:lastColumn="0" w:oddVBand="0" w:evenVBand="0" w:oddHBand="0" w:evenHBand="0" w:firstRowFirstColumn="0" w:firstRowLastColumn="0" w:lastRowFirstColumn="0" w:lastRowLastColumn="0"/>
              <w:rPr>
                <w:rStyle w:val="Bold"/>
              </w:rPr>
            </w:pPr>
            <w:r w:rsidRPr="00352A8F">
              <w:rPr>
                <w:rStyle w:val="Bold"/>
              </w:rPr>
              <w:t>Accumulated Depreciation</w:t>
            </w:r>
            <w:r w:rsidRPr="00352A8F">
              <w:rPr>
                <w:rStyle w:val="Bold"/>
              </w:rPr>
              <w:br/>
              <w:t>2017</w:t>
            </w:r>
            <w:r w:rsidRPr="00352A8F">
              <w:rPr>
                <w:rStyle w:val="Bold"/>
              </w:rPr>
              <w:br/>
              <w:t>$'000</w:t>
            </w:r>
          </w:p>
        </w:tc>
        <w:tc>
          <w:tcPr>
            <w:tcW w:w="662" w:type="pct"/>
            <w:noWrap/>
            <w:hideMark/>
          </w:tcPr>
          <w:p w:rsidR="00352A8F" w:rsidRPr="00352A8F"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52A8F">
              <w:rPr>
                <w:rStyle w:val="Bold"/>
              </w:rPr>
              <w:t>Accumulated Depreciation</w:t>
            </w:r>
            <w:r w:rsidRPr="00352A8F">
              <w:rPr>
                <w:rStyle w:val="Bold"/>
              </w:rPr>
              <w:br/>
              <w:t>2016</w:t>
            </w:r>
            <w:r w:rsidRPr="00352A8F">
              <w:rPr>
                <w:rStyle w:val="Bold"/>
              </w:rPr>
              <w:br/>
              <w:t>$'000</w:t>
            </w:r>
          </w:p>
        </w:tc>
        <w:tc>
          <w:tcPr>
            <w:tcW w:w="490" w:type="pct"/>
            <w:shd w:val="clear" w:color="auto" w:fill="F3F3F3"/>
            <w:noWrap/>
            <w:hideMark/>
          </w:tcPr>
          <w:p w:rsidR="00352A8F" w:rsidRPr="00352A8F"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52A8F">
              <w:rPr>
                <w:rStyle w:val="Bold"/>
              </w:rPr>
              <w:t xml:space="preserve">Net carrying </w:t>
            </w:r>
            <w:r w:rsidRPr="00352A8F">
              <w:rPr>
                <w:rStyle w:val="Bold"/>
              </w:rPr>
              <w:br/>
              <w:t xml:space="preserve">amount </w:t>
            </w:r>
            <w:r w:rsidRPr="00352A8F">
              <w:rPr>
                <w:rStyle w:val="Bold"/>
              </w:rPr>
              <w:br/>
              <w:t>2017</w:t>
            </w:r>
            <w:r w:rsidRPr="00352A8F">
              <w:rPr>
                <w:rStyle w:val="Bold"/>
              </w:rPr>
              <w:br/>
              <w:t>$'000</w:t>
            </w:r>
          </w:p>
        </w:tc>
        <w:tc>
          <w:tcPr>
            <w:tcW w:w="612" w:type="pct"/>
            <w:noWrap/>
            <w:hideMark/>
          </w:tcPr>
          <w:p w:rsidR="00352A8F" w:rsidRPr="00352A8F"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52A8F">
              <w:rPr>
                <w:rStyle w:val="Bold"/>
              </w:rPr>
              <w:t xml:space="preserve">Net carrying </w:t>
            </w:r>
            <w:r w:rsidRPr="00352A8F">
              <w:rPr>
                <w:rStyle w:val="Bold"/>
              </w:rPr>
              <w:br/>
              <w:t xml:space="preserve">amount </w:t>
            </w:r>
            <w:r w:rsidRPr="00352A8F">
              <w:rPr>
                <w:rStyle w:val="Bold"/>
              </w:rPr>
              <w:br/>
              <w:t>2016</w:t>
            </w:r>
            <w:r w:rsidRPr="00352A8F">
              <w:rPr>
                <w:rStyle w:val="Bold"/>
              </w:rPr>
              <w:br/>
              <w:t>$'000</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noWrap/>
            <w:hideMark/>
          </w:tcPr>
          <w:p w:rsidR="001F1EBE" w:rsidRPr="001F1EBE" w:rsidRDefault="001F1EBE" w:rsidP="001F1EBE">
            <w:pPr>
              <w:pStyle w:val="TableBodyText"/>
            </w:pPr>
            <w:r w:rsidRPr="001F1EBE">
              <w:t xml:space="preserve">Land at fair value </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343,911</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343,911</w:t>
            </w:r>
          </w:p>
        </w:tc>
        <w:tc>
          <w:tcPr>
            <w:tcW w:w="687"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 </w:t>
            </w:r>
            <w:r w:rsidR="003D7434">
              <w:t>0</w:t>
            </w:r>
          </w:p>
        </w:tc>
        <w:tc>
          <w:tcPr>
            <w:tcW w:w="662" w:type="pct"/>
            <w:noWrap/>
            <w:hideMark/>
          </w:tcPr>
          <w:p w:rsidR="001F1EBE" w:rsidRPr="001F1EBE" w:rsidRDefault="003D7434" w:rsidP="001F1EBE">
            <w:pPr>
              <w:pStyle w:val="TableBodyText"/>
              <w:cnfStyle w:val="000000000000" w:firstRow="0" w:lastRow="0" w:firstColumn="0" w:lastColumn="0" w:oddVBand="0" w:evenVBand="0" w:oddHBand="0" w:evenHBand="0" w:firstRowFirstColumn="0" w:firstRowLastColumn="0" w:lastRowFirstColumn="0" w:lastRowLastColumn="0"/>
            </w:pPr>
            <w:r>
              <w:t>0</w:t>
            </w: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343,911</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343,911</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noWrap/>
            <w:hideMark/>
          </w:tcPr>
          <w:p w:rsidR="001F1EBE" w:rsidRPr="001F1EBE" w:rsidRDefault="001F1EBE" w:rsidP="001F1EBE">
            <w:pPr>
              <w:pStyle w:val="TableBodyText"/>
            </w:pPr>
            <w:r w:rsidRPr="001F1EBE">
              <w:t xml:space="preserve">Buildings at fair value </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384,468</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365,593</w:t>
            </w:r>
          </w:p>
        </w:tc>
        <w:tc>
          <w:tcPr>
            <w:tcW w:w="687"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(23,467)</w:t>
            </w:r>
          </w:p>
        </w:tc>
        <w:tc>
          <w:tcPr>
            <w:tcW w:w="66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(422)</w:t>
            </w: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361,000</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365,171</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hideMark/>
          </w:tcPr>
          <w:p w:rsidR="001F1EBE" w:rsidRPr="001F1EBE" w:rsidRDefault="001F1EBE" w:rsidP="001F1EBE">
            <w:pPr>
              <w:pStyle w:val="TableBodyText"/>
            </w:pPr>
            <w:r w:rsidRPr="001F1EBE">
              <w:t>Leasehold buildings at fair value subject to finance lease</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203,705</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202,099</w:t>
            </w:r>
          </w:p>
        </w:tc>
        <w:tc>
          <w:tcPr>
            <w:tcW w:w="687"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(7,272)</w:t>
            </w:r>
          </w:p>
        </w:tc>
        <w:tc>
          <w:tcPr>
            <w:tcW w:w="66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196,433</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202,099</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hideMark/>
          </w:tcPr>
          <w:p w:rsidR="001F1EBE" w:rsidRPr="001F1EBE" w:rsidRDefault="001F1EBE" w:rsidP="001F1EBE">
            <w:pPr>
              <w:pStyle w:val="TableBodyText"/>
            </w:pPr>
            <w:r w:rsidRPr="001F1EBE">
              <w:t>Leasehold improvements at fair value</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8,321</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20,110</w:t>
            </w:r>
          </w:p>
        </w:tc>
        <w:tc>
          <w:tcPr>
            <w:tcW w:w="687"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(2,831)</w:t>
            </w:r>
          </w:p>
        </w:tc>
        <w:tc>
          <w:tcPr>
            <w:tcW w:w="66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(4,296)</w:t>
            </w: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5,490</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15,814</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noWrap/>
            <w:hideMark/>
          </w:tcPr>
          <w:p w:rsidR="001F1EBE" w:rsidRPr="001F1EBE" w:rsidRDefault="001F1EBE" w:rsidP="001F1EBE">
            <w:pPr>
              <w:pStyle w:val="TableBodyText"/>
            </w:pPr>
            <w:r w:rsidRPr="001F1EBE">
              <w:t>Plant and equipment at fair value</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3,460</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3,441</w:t>
            </w:r>
          </w:p>
        </w:tc>
        <w:tc>
          <w:tcPr>
            <w:tcW w:w="687"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(1,111)</w:t>
            </w:r>
          </w:p>
        </w:tc>
        <w:tc>
          <w:tcPr>
            <w:tcW w:w="66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(719)</w:t>
            </w: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2,349</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2,722</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hideMark/>
          </w:tcPr>
          <w:p w:rsidR="001F1EBE" w:rsidRPr="001F1EBE" w:rsidRDefault="001F1EBE" w:rsidP="001F1EBE">
            <w:pPr>
              <w:pStyle w:val="TableBodyText"/>
            </w:pPr>
            <w:r w:rsidRPr="001F1EBE">
              <w:t xml:space="preserve">Plant and equipment under finance lease at fair value </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13,269</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12,409</w:t>
            </w:r>
          </w:p>
        </w:tc>
        <w:tc>
          <w:tcPr>
            <w:tcW w:w="687"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(4,299)</w:t>
            </w:r>
          </w:p>
        </w:tc>
        <w:tc>
          <w:tcPr>
            <w:tcW w:w="66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(3,943)</w:t>
            </w: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8,969</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8,465</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hideMark/>
          </w:tcPr>
          <w:p w:rsidR="001F1EBE" w:rsidRPr="001F1EBE" w:rsidRDefault="001F1EBE" w:rsidP="001F1EBE">
            <w:pPr>
              <w:pStyle w:val="TableBodyText"/>
            </w:pPr>
            <w:r w:rsidRPr="001F1EBE">
              <w:t xml:space="preserve">Computer &amp; telecommunications equipment at fair value </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7,717</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5,912</w:t>
            </w:r>
          </w:p>
        </w:tc>
        <w:tc>
          <w:tcPr>
            <w:tcW w:w="687"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(2,842)</w:t>
            </w:r>
          </w:p>
        </w:tc>
        <w:tc>
          <w:tcPr>
            <w:tcW w:w="66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(1,624)</w:t>
            </w: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4,875</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4,288</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hideMark/>
          </w:tcPr>
          <w:p w:rsidR="001F1EBE" w:rsidRPr="001F1EBE" w:rsidRDefault="001F1EBE" w:rsidP="001F1EBE">
            <w:pPr>
              <w:pStyle w:val="TableBodyText"/>
            </w:pPr>
            <w:r w:rsidRPr="001F1EBE">
              <w:t xml:space="preserve">Cultural assets at fair value </w:t>
            </w:r>
          </w:p>
        </w:tc>
        <w:tc>
          <w:tcPr>
            <w:tcW w:w="612"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896</w:t>
            </w:r>
          </w:p>
        </w:tc>
        <w:tc>
          <w:tcPr>
            <w:tcW w:w="613"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866</w:t>
            </w:r>
          </w:p>
        </w:tc>
        <w:tc>
          <w:tcPr>
            <w:tcW w:w="687" w:type="pct"/>
            <w:shd w:val="clear" w:color="auto" w:fill="F3F3F3"/>
            <w:noWrap/>
            <w:hideMark/>
          </w:tcPr>
          <w:p w:rsidR="001F1EBE" w:rsidRPr="001F1EBE" w:rsidRDefault="003D7434" w:rsidP="001F1EBE">
            <w:pPr>
              <w:pStyle w:val="TableBodyText"/>
              <w:cnfStyle w:val="000000000000" w:firstRow="0" w:lastRow="0" w:firstColumn="0" w:lastColumn="0" w:oddVBand="0" w:evenVBand="0" w:oddHBand="0" w:evenHBand="0" w:firstRowFirstColumn="0" w:firstRowLastColumn="0" w:lastRowFirstColumn="0" w:lastRowLastColumn="0"/>
            </w:pPr>
            <w:r>
              <w:t>0</w:t>
            </w:r>
          </w:p>
        </w:tc>
        <w:tc>
          <w:tcPr>
            <w:tcW w:w="662" w:type="pct"/>
            <w:noWrap/>
            <w:hideMark/>
          </w:tcPr>
          <w:p w:rsidR="001F1EBE" w:rsidRPr="001F1EBE" w:rsidRDefault="003D7434" w:rsidP="001F1EBE">
            <w:pPr>
              <w:pStyle w:val="TableBodyText"/>
              <w:cnfStyle w:val="000000000000" w:firstRow="0" w:lastRow="0" w:firstColumn="0" w:lastColumn="0" w:oddVBand="0" w:evenVBand="0" w:oddHBand="0" w:evenHBand="0" w:firstRowFirstColumn="0" w:firstRowLastColumn="0" w:lastRowFirstColumn="0" w:lastRowLastColumn="0"/>
            </w:pPr>
            <w:r>
              <w:t>0</w:t>
            </w:r>
          </w:p>
        </w:tc>
        <w:tc>
          <w:tcPr>
            <w:tcW w:w="490" w:type="pct"/>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896</w:t>
            </w:r>
          </w:p>
        </w:tc>
        <w:tc>
          <w:tcPr>
            <w:tcW w:w="612" w:type="pct"/>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866</w:t>
            </w:r>
          </w:p>
        </w:tc>
      </w:tr>
      <w:tr w:rsidR="007B4530" w:rsidRPr="001F1EBE" w:rsidTr="002A2BBA">
        <w:tc>
          <w:tcPr>
            <w:cnfStyle w:val="001000000000" w:firstRow="0" w:lastRow="0" w:firstColumn="1" w:lastColumn="0" w:oddVBand="0" w:evenVBand="0" w:oddHBand="0" w:evenHBand="0" w:firstRowFirstColumn="0" w:firstRowLastColumn="0" w:lastRowFirstColumn="0" w:lastRowLastColumn="0"/>
            <w:tcW w:w="1323" w:type="pct"/>
            <w:tcBorders>
              <w:bottom w:val="single" w:sz="4" w:space="0" w:color="auto"/>
            </w:tcBorders>
            <w:noWrap/>
            <w:hideMark/>
          </w:tcPr>
          <w:p w:rsidR="001F1EBE" w:rsidRPr="001F1EBE" w:rsidRDefault="001F1EBE" w:rsidP="001F1EBE">
            <w:pPr>
              <w:pStyle w:val="TableBodyText"/>
            </w:pPr>
            <w:r w:rsidRPr="001F1EBE">
              <w:t>Assets under construction at cost</w:t>
            </w:r>
          </w:p>
        </w:tc>
        <w:tc>
          <w:tcPr>
            <w:tcW w:w="612" w:type="pct"/>
            <w:tcBorders>
              <w:bottom w:val="single" w:sz="4" w:space="0" w:color="auto"/>
            </w:tcBorders>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51,313</w:t>
            </w:r>
          </w:p>
        </w:tc>
        <w:tc>
          <w:tcPr>
            <w:tcW w:w="613" w:type="pct"/>
            <w:tcBorders>
              <w:bottom w:val="single" w:sz="4" w:space="0" w:color="auto"/>
            </w:tcBorders>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21,209</w:t>
            </w:r>
          </w:p>
        </w:tc>
        <w:tc>
          <w:tcPr>
            <w:tcW w:w="687" w:type="pct"/>
            <w:tcBorders>
              <w:bottom w:val="single" w:sz="4" w:space="0" w:color="auto"/>
            </w:tcBorders>
            <w:shd w:val="clear" w:color="auto" w:fill="F3F3F3"/>
            <w:noWrap/>
            <w:hideMark/>
          </w:tcPr>
          <w:p w:rsidR="001F1EBE" w:rsidRPr="001F1EBE" w:rsidRDefault="003D7434" w:rsidP="001F1EBE">
            <w:pPr>
              <w:pStyle w:val="TableBodyText"/>
              <w:cnfStyle w:val="000000000000" w:firstRow="0" w:lastRow="0" w:firstColumn="0" w:lastColumn="0" w:oddVBand="0" w:evenVBand="0" w:oddHBand="0" w:evenHBand="0" w:firstRowFirstColumn="0" w:firstRowLastColumn="0" w:lastRowFirstColumn="0" w:lastRowLastColumn="0"/>
            </w:pPr>
            <w:r>
              <w:t>0</w:t>
            </w:r>
            <w:r w:rsidR="001F1EBE" w:rsidRPr="001F1EBE">
              <w:t> </w:t>
            </w:r>
          </w:p>
        </w:tc>
        <w:tc>
          <w:tcPr>
            <w:tcW w:w="662" w:type="pct"/>
            <w:tcBorders>
              <w:bottom w:val="single" w:sz="4" w:space="0" w:color="auto"/>
            </w:tcBorders>
            <w:noWrap/>
            <w:hideMark/>
          </w:tcPr>
          <w:p w:rsidR="001F1EBE" w:rsidRPr="001F1EBE" w:rsidRDefault="003D7434" w:rsidP="001F1EBE">
            <w:pPr>
              <w:pStyle w:val="TableBodyText"/>
              <w:cnfStyle w:val="000000000000" w:firstRow="0" w:lastRow="0" w:firstColumn="0" w:lastColumn="0" w:oddVBand="0" w:evenVBand="0" w:oddHBand="0" w:evenHBand="0" w:firstRowFirstColumn="0" w:firstRowLastColumn="0" w:lastRowFirstColumn="0" w:lastRowLastColumn="0"/>
            </w:pPr>
            <w:r>
              <w:t>0</w:t>
            </w:r>
          </w:p>
        </w:tc>
        <w:tc>
          <w:tcPr>
            <w:tcW w:w="490" w:type="pct"/>
            <w:tcBorders>
              <w:bottom w:val="single" w:sz="4" w:space="0" w:color="auto"/>
            </w:tcBorders>
            <w:shd w:val="clear" w:color="auto" w:fill="F3F3F3"/>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51,313</w:t>
            </w:r>
          </w:p>
        </w:tc>
        <w:tc>
          <w:tcPr>
            <w:tcW w:w="612" w:type="pct"/>
            <w:tcBorders>
              <w:bottom w:val="single" w:sz="4" w:space="0" w:color="auto"/>
            </w:tcBorders>
            <w:noWrap/>
            <w:hideMark/>
          </w:tcPr>
          <w:p w:rsidR="001F1EBE" w:rsidRPr="001F1EBE" w:rsidRDefault="001F1EBE" w:rsidP="001F1EBE">
            <w:pPr>
              <w:pStyle w:val="TableBodyText"/>
              <w:cnfStyle w:val="000000000000" w:firstRow="0" w:lastRow="0" w:firstColumn="0" w:lastColumn="0" w:oddVBand="0" w:evenVBand="0" w:oddHBand="0" w:evenHBand="0" w:firstRowFirstColumn="0" w:firstRowLastColumn="0" w:lastRowFirstColumn="0" w:lastRowLastColumn="0"/>
            </w:pPr>
            <w:r w:rsidRPr="001F1EBE">
              <w:t>21,209</w:t>
            </w:r>
          </w:p>
        </w:tc>
      </w:tr>
      <w:tr w:rsidR="007B4530" w:rsidRPr="00352A8F" w:rsidTr="002A2BBA">
        <w:tc>
          <w:tcPr>
            <w:cnfStyle w:val="001000000000" w:firstRow="0" w:lastRow="0" w:firstColumn="1" w:lastColumn="0" w:oddVBand="0" w:evenVBand="0" w:oddHBand="0" w:evenHBand="0" w:firstRowFirstColumn="0" w:firstRowLastColumn="0" w:lastRowFirstColumn="0" w:lastRowLastColumn="0"/>
            <w:tcW w:w="1323" w:type="pct"/>
            <w:tcBorders>
              <w:top w:val="single" w:sz="4" w:space="0" w:color="auto"/>
              <w:bottom w:val="single" w:sz="4" w:space="0" w:color="auto"/>
            </w:tcBorders>
            <w:noWrap/>
            <w:hideMark/>
          </w:tcPr>
          <w:p w:rsidR="001F1EBE" w:rsidRPr="00352A8F" w:rsidRDefault="001F1EBE" w:rsidP="001F1EBE">
            <w:pPr>
              <w:pStyle w:val="TableBodyText"/>
              <w:rPr>
                <w:rStyle w:val="Bold"/>
              </w:rPr>
            </w:pPr>
            <w:r w:rsidRPr="00352A8F">
              <w:rPr>
                <w:rStyle w:val="Bold"/>
              </w:rPr>
              <w:t>Total property, plant and equipment</w:t>
            </w:r>
          </w:p>
        </w:tc>
        <w:tc>
          <w:tcPr>
            <w:tcW w:w="612" w:type="pct"/>
            <w:tcBorders>
              <w:top w:val="single" w:sz="4" w:space="0" w:color="auto"/>
              <w:bottom w:val="single" w:sz="4" w:space="0" w:color="auto"/>
            </w:tcBorders>
            <w:shd w:val="clear" w:color="auto" w:fill="F3F3F3"/>
            <w:noWrap/>
            <w:hideMark/>
          </w:tcPr>
          <w:p w:rsidR="001F1EBE" w:rsidRPr="00352A8F" w:rsidRDefault="001F1EBE" w:rsidP="001F1EB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52A8F">
              <w:rPr>
                <w:rStyle w:val="Bold"/>
              </w:rPr>
              <w:t>1,017,059</w:t>
            </w:r>
          </w:p>
        </w:tc>
        <w:tc>
          <w:tcPr>
            <w:tcW w:w="613" w:type="pct"/>
            <w:tcBorders>
              <w:top w:val="single" w:sz="4" w:space="0" w:color="auto"/>
              <w:bottom w:val="single" w:sz="4" w:space="0" w:color="auto"/>
            </w:tcBorders>
            <w:noWrap/>
            <w:hideMark/>
          </w:tcPr>
          <w:p w:rsidR="001F1EBE" w:rsidRPr="00352A8F" w:rsidRDefault="001F1EBE" w:rsidP="001F1EB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52A8F">
              <w:rPr>
                <w:rStyle w:val="Bold"/>
              </w:rPr>
              <w:t>975,550</w:t>
            </w:r>
          </w:p>
        </w:tc>
        <w:tc>
          <w:tcPr>
            <w:tcW w:w="687" w:type="pct"/>
            <w:tcBorders>
              <w:top w:val="single" w:sz="4" w:space="0" w:color="auto"/>
              <w:bottom w:val="single" w:sz="4" w:space="0" w:color="auto"/>
            </w:tcBorders>
            <w:shd w:val="clear" w:color="auto" w:fill="F3F3F3"/>
            <w:noWrap/>
            <w:hideMark/>
          </w:tcPr>
          <w:p w:rsidR="001F1EBE" w:rsidRPr="00352A8F" w:rsidRDefault="001F1EBE" w:rsidP="001F1EB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52A8F">
              <w:rPr>
                <w:rStyle w:val="Bold"/>
              </w:rPr>
              <w:t>(41,823)</w:t>
            </w:r>
          </w:p>
        </w:tc>
        <w:tc>
          <w:tcPr>
            <w:tcW w:w="662" w:type="pct"/>
            <w:tcBorders>
              <w:top w:val="single" w:sz="4" w:space="0" w:color="auto"/>
              <w:bottom w:val="single" w:sz="4" w:space="0" w:color="auto"/>
            </w:tcBorders>
            <w:noWrap/>
            <w:hideMark/>
          </w:tcPr>
          <w:p w:rsidR="001F1EBE" w:rsidRPr="00352A8F" w:rsidRDefault="001F1EBE" w:rsidP="001F1EB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52A8F">
              <w:rPr>
                <w:rStyle w:val="Bold"/>
              </w:rPr>
              <w:t>(11,005)</w:t>
            </w:r>
          </w:p>
        </w:tc>
        <w:tc>
          <w:tcPr>
            <w:tcW w:w="490" w:type="pct"/>
            <w:tcBorders>
              <w:top w:val="single" w:sz="4" w:space="0" w:color="auto"/>
              <w:bottom w:val="single" w:sz="4" w:space="0" w:color="auto"/>
            </w:tcBorders>
            <w:shd w:val="clear" w:color="auto" w:fill="F3F3F3"/>
            <w:noWrap/>
            <w:hideMark/>
          </w:tcPr>
          <w:p w:rsidR="001F1EBE" w:rsidRPr="00352A8F" w:rsidRDefault="001F1EBE" w:rsidP="001F1EB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52A8F">
              <w:rPr>
                <w:rStyle w:val="Bold"/>
              </w:rPr>
              <w:t>975,236</w:t>
            </w:r>
          </w:p>
        </w:tc>
        <w:tc>
          <w:tcPr>
            <w:tcW w:w="612" w:type="pct"/>
            <w:tcBorders>
              <w:top w:val="single" w:sz="4" w:space="0" w:color="auto"/>
              <w:bottom w:val="single" w:sz="4" w:space="0" w:color="auto"/>
            </w:tcBorders>
            <w:noWrap/>
            <w:hideMark/>
          </w:tcPr>
          <w:p w:rsidR="001F1EBE" w:rsidRPr="00352A8F" w:rsidRDefault="001F1EBE" w:rsidP="001F1EB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52A8F">
              <w:rPr>
                <w:rStyle w:val="Bold"/>
              </w:rPr>
              <w:t>964,545</w:t>
            </w:r>
          </w:p>
        </w:tc>
      </w:tr>
    </w:tbl>
    <w:p w:rsidR="00352A8F" w:rsidRDefault="00352A8F" w:rsidP="00352A8F">
      <w:pPr>
        <w:pStyle w:val="BodyText"/>
      </w:pPr>
      <w:r w:rsidRPr="002A2BBA">
        <w:rPr>
          <w:rStyle w:val="Bold"/>
        </w:rPr>
        <w:t xml:space="preserve">Initial recognition: </w:t>
      </w:r>
      <w:r>
        <w:t>Items of property, plant and equipment are measured initially at cost and subsequently revalued at fair value less accumulated depreciation and impairment. Where an asset is acquired for no or nominal cost, a fair value is determined at the date of acquisition. Assets transferred as part of a machinery of government change are transferred at their carrying amount.</w:t>
      </w:r>
    </w:p>
    <w:p w:rsidR="00352A8F" w:rsidRDefault="00352A8F" w:rsidP="00352A8F">
      <w:pPr>
        <w:pStyle w:val="BodyText"/>
      </w:pPr>
      <w:r>
        <w:t>The cost of constructed non</w:t>
      </w:r>
      <w:r>
        <w:rPr>
          <w:rFonts w:ascii="Cambria Math" w:hAnsi="Cambria Math" w:cs="Cambria Math"/>
        </w:rPr>
        <w:t>‐</w:t>
      </w:r>
      <w:r>
        <w:t>financial physical assets includes the cost of all materials used in construction, direct labour on the project and an appropriate proportion of variable and fixed overheads.</w:t>
      </w:r>
    </w:p>
    <w:p w:rsidR="00352A8F" w:rsidRDefault="00352A8F" w:rsidP="00352A8F">
      <w:pPr>
        <w:pStyle w:val="BodyText"/>
      </w:pPr>
      <w:r>
        <w:t>The cost of leasehold improvements is capitalised and depreciated over the shorter of the remaining term of the lease or its estimated useful lives.</w:t>
      </w:r>
    </w:p>
    <w:p w:rsidR="00352A8F" w:rsidRDefault="00352A8F" w:rsidP="00352A8F">
      <w:pPr>
        <w:pStyle w:val="BodyText"/>
      </w:pPr>
      <w:r w:rsidRPr="002A2BBA">
        <w:rPr>
          <w:rStyle w:val="Bold"/>
        </w:rPr>
        <w:lastRenderedPageBreak/>
        <w:t xml:space="preserve">Subsequent measurement: </w:t>
      </w:r>
      <w:r>
        <w:t>Property, plant and equipment are subsequently measured at fair value less accumulated depreciation and impairment. Fair value is determined with regard to the asset’s highest and best use (considering legal or physical restrictions imposed on the asset and public announcements or commitments made in relation to the intended use of the asset) and is summarised below by asset category.</w:t>
      </w:r>
    </w:p>
    <w:p w:rsidR="00352A8F" w:rsidRDefault="00352A8F" w:rsidP="00352A8F">
      <w:pPr>
        <w:pStyle w:val="BodyText"/>
      </w:pPr>
      <w:r w:rsidRPr="002A2BBA">
        <w:rPr>
          <w:rStyle w:val="Bold"/>
        </w:rPr>
        <w:t>Non</w:t>
      </w:r>
      <w:r w:rsidRPr="002A2BBA">
        <w:rPr>
          <w:rStyle w:val="Bold"/>
          <w:rFonts w:ascii="Cambria Math" w:hAnsi="Cambria Math" w:cs="Cambria Math"/>
        </w:rPr>
        <w:t>‐</w:t>
      </w:r>
      <w:r w:rsidRPr="002A2BBA">
        <w:rPr>
          <w:rStyle w:val="Bold"/>
        </w:rPr>
        <w:t>specialised land, non</w:t>
      </w:r>
      <w:r w:rsidRPr="002A2BBA">
        <w:rPr>
          <w:rStyle w:val="Bold"/>
          <w:rFonts w:ascii="Cambria Math" w:hAnsi="Cambria Math" w:cs="Cambria Math"/>
        </w:rPr>
        <w:t>‐</w:t>
      </w:r>
      <w:r w:rsidRPr="002A2BBA">
        <w:rPr>
          <w:rStyle w:val="Bold"/>
        </w:rPr>
        <w:t xml:space="preserve">specialised buildings and artworks: </w:t>
      </w:r>
      <w:r>
        <w:t>These assets are valued using the market approach, whereby assets are compared to recent comparable sales or sales of comparable assets that are considered to have nominal value.</w:t>
      </w:r>
    </w:p>
    <w:p w:rsidR="00352A8F" w:rsidRDefault="00352A8F" w:rsidP="00352A8F">
      <w:pPr>
        <w:pStyle w:val="BodyText"/>
      </w:pPr>
      <w:r w:rsidRPr="002A2BBA">
        <w:rPr>
          <w:rStyle w:val="Bold"/>
        </w:rPr>
        <w:t xml:space="preserve">Specialised land and specialised buildings: </w:t>
      </w:r>
      <w:r>
        <w:t>The market approach is also used for specialised land and buildings, although it is adjusted for the community service obligation to reflect the specialised nature of the land being valued.</w:t>
      </w:r>
    </w:p>
    <w:p w:rsidR="00352A8F" w:rsidRDefault="00352A8F" w:rsidP="00352A8F">
      <w:pPr>
        <w:pStyle w:val="BodyText"/>
      </w:pPr>
      <w:r>
        <w:t xml:space="preserve">The community service obligation adjustment reflects the </w:t>
      </w:r>
      <w:proofErr w:type="spellStart"/>
      <w:r>
        <w:t>valuer’s</w:t>
      </w:r>
      <w:proofErr w:type="spellEnd"/>
      <w:r>
        <w:t xml:space="preserve"> assessment of the impact of restrictions associated with an asset to the extent that these restrictions are also equally applicable to market participants.</w:t>
      </w:r>
    </w:p>
    <w:p w:rsidR="00352A8F" w:rsidRDefault="00352A8F" w:rsidP="00352A8F">
      <w:pPr>
        <w:pStyle w:val="BodyText"/>
      </w:pPr>
      <w:r>
        <w:t>For the majority of CSV's specialised buildings, the depreciated replacement cost method is used, adjusting for the associated depreciation.</w:t>
      </w:r>
    </w:p>
    <w:p w:rsidR="00352A8F" w:rsidRDefault="00352A8F" w:rsidP="00352A8F">
      <w:pPr>
        <w:pStyle w:val="BodyText"/>
      </w:pPr>
      <w:r w:rsidRPr="002A2BBA">
        <w:rPr>
          <w:rStyle w:val="Bold"/>
        </w:rPr>
        <w:t>Heritage assets and infrastructure</w:t>
      </w:r>
      <w:r>
        <w:t xml:space="preserve"> are valued using the depreciated replacement cost method. This valuation generally represents the replacement cost of the building/component after applying depreciation rates on a useful life basis. However, for some heritage and iconic assets, the cost may be the reproduction cost rather than the replacement cost if those assets’ service potential could only be replaced by reproducing them with the same materials.</w:t>
      </w:r>
    </w:p>
    <w:p w:rsidR="001F1EBE" w:rsidRDefault="00352A8F" w:rsidP="00352A8F">
      <w:pPr>
        <w:pStyle w:val="BodyText"/>
      </w:pPr>
      <w:r w:rsidRPr="002A2BBA">
        <w:rPr>
          <w:rStyle w:val="Bold"/>
        </w:rPr>
        <w:t xml:space="preserve">Vehicles </w:t>
      </w:r>
      <w:r>
        <w:t xml:space="preserve">are valued using the depreciated replacement cost method. CSV acquires new vehicles and at times disposes of them before the end of their economic life. The process of acquisition, use and disposal in the market of vehicles is managed by </w:t>
      </w:r>
      <w:proofErr w:type="spellStart"/>
      <w:r>
        <w:t>VicFleet</w:t>
      </w:r>
      <w:proofErr w:type="spellEnd"/>
      <w:r>
        <w:t xml:space="preserve"> who set relevant depreciation rates during use to reflect the utilisation of the vehicles.</w:t>
      </w:r>
    </w:p>
    <w:p w:rsidR="00352A8F" w:rsidRDefault="00352A8F" w:rsidP="00352A8F">
      <w:pPr>
        <w:pStyle w:val="BodyText"/>
      </w:pPr>
      <w:r>
        <w:t xml:space="preserve">Fair value for </w:t>
      </w:r>
      <w:r w:rsidRPr="002A2BBA">
        <w:rPr>
          <w:rStyle w:val="Bold"/>
        </w:rPr>
        <w:t xml:space="preserve">plant and equipment </w:t>
      </w:r>
      <w:r>
        <w:t>that are specialised in use (such that it is rarely sold other than as part of a going concern) is determined using the depreciated replacement cost method.</w:t>
      </w:r>
    </w:p>
    <w:p w:rsidR="00352A8F" w:rsidRDefault="00352A8F" w:rsidP="00352A8F">
      <w:pPr>
        <w:pStyle w:val="BodyText"/>
      </w:pPr>
      <w:r>
        <w:t>Note 8.3 includes additional information in connection with fair value determination of property, plant and equipment</w:t>
      </w:r>
    </w:p>
    <w:p w:rsidR="00352A8F" w:rsidRDefault="00352A8F" w:rsidP="00352A8F">
      <w:pPr>
        <w:pStyle w:val="Heading3"/>
        <w:spacing w:after="0"/>
      </w:pPr>
      <w:bookmarkStart w:id="34" w:name="_Ref497121893"/>
      <w:r w:rsidRPr="00352A8F">
        <w:t>Depreciation</w:t>
      </w:r>
      <w:bookmarkEnd w:id="34"/>
      <w:r w:rsidRPr="00352A8F">
        <w:t xml:space="preserve"> </w:t>
      </w:r>
    </w:p>
    <w:p w:rsidR="00352A8F" w:rsidRDefault="00352A8F" w:rsidP="002A2BBA">
      <w:pPr>
        <w:pStyle w:val="BodyText"/>
      </w:pPr>
      <w:r w:rsidRPr="00352A8F">
        <w:t>Charge for the period</w:t>
      </w:r>
    </w:p>
    <w:tbl>
      <w:tblPr>
        <w:tblStyle w:val="FinancialTable"/>
        <w:tblW w:w="5000" w:type="pct"/>
        <w:tblLook w:val="04A0" w:firstRow="1" w:lastRow="0" w:firstColumn="1" w:lastColumn="0" w:noHBand="0" w:noVBand="1"/>
      </w:tblPr>
      <w:tblGrid>
        <w:gridCol w:w="7440"/>
        <w:gridCol w:w="1101"/>
        <w:gridCol w:w="1097"/>
      </w:tblGrid>
      <w:tr w:rsidR="00352A8F" w:rsidRPr="002A2BBA" w:rsidTr="001346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0" w:type="pct"/>
          </w:tcPr>
          <w:p w:rsidR="00352A8F" w:rsidRPr="002A2BBA" w:rsidRDefault="00352A8F" w:rsidP="00352A8F">
            <w:pPr>
              <w:pStyle w:val="TableBodyText"/>
              <w:rPr>
                <w:rStyle w:val="Bold"/>
              </w:rPr>
            </w:pPr>
            <w:r w:rsidRPr="002A2BBA">
              <w:rPr>
                <w:rStyle w:val="Bold"/>
              </w:rPr>
              <w:t>Item</w:t>
            </w:r>
          </w:p>
        </w:tc>
        <w:tc>
          <w:tcPr>
            <w:tcW w:w="571" w:type="pct"/>
            <w:shd w:val="clear" w:color="auto" w:fill="F3F3F3"/>
          </w:tcPr>
          <w:p w:rsidR="00352A8F" w:rsidRPr="002A2BBA"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2A2BBA">
              <w:rPr>
                <w:rStyle w:val="Bold"/>
              </w:rPr>
              <w:t>2017</w:t>
            </w:r>
          </w:p>
          <w:p w:rsidR="00352A8F" w:rsidRPr="002A2BBA"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2A2BBA">
              <w:rPr>
                <w:rStyle w:val="Bold"/>
              </w:rPr>
              <w:t>$'000</w:t>
            </w:r>
          </w:p>
        </w:tc>
        <w:tc>
          <w:tcPr>
            <w:tcW w:w="569" w:type="pct"/>
          </w:tcPr>
          <w:p w:rsidR="00352A8F" w:rsidRPr="002A2BBA"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2A2BBA">
              <w:rPr>
                <w:rStyle w:val="Bold"/>
              </w:rPr>
              <w:t>2016</w:t>
            </w:r>
          </w:p>
          <w:p w:rsidR="00352A8F" w:rsidRPr="002A2BBA" w:rsidRDefault="00352A8F" w:rsidP="00352A8F">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2A2BBA">
              <w:rPr>
                <w:rStyle w:val="Bold"/>
              </w:rPr>
              <w:t>$'000</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860" w:type="pct"/>
          </w:tcPr>
          <w:p w:rsidR="00352A8F" w:rsidRPr="00352A8F" w:rsidRDefault="00352A8F" w:rsidP="00352A8F">
            <w:pPr>
              <w:pStyle w:val="TableBodyText"/>
              <w:rPr>
                <w:rFonts w:eastAsia="Calibri"/>
              </w:rPr>
            </w:pPr>
            <w:r w:rsidRPr="00352A8F">
              <w:t>Buildings</w:t>
            </w:r>
          </w:p>
        </w:tc>
        <w:tc>
          <w:tcPr>
            <w:tcW w:w="571" w:type="pct"/>
            <w:shd w:val="clear" w:color="auto" w:fill="F3F3F3"/>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23,362</w:t>
            </w:r>
          </w:p>
        </w:tc>
        <w:tc>
          <w:tcPr>
            <w:tcW w:w="569" w:type="pct"/>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10,893</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860" w:type="pct"/>
          </w:tcPr>
          <w:p w:rsidR="00352A8F" w:rsidRPr="00352A8F" w:rsidRDefault="00352A8F" w:rsidP="00134615">
            <w:pPr>
              <w:pStyle w:val="TableBodyText"/>
              <w:rPr>
                <w:rFonts w:eastAsia="Calibri"/>
              </w:rPr>
            </w:pPr>
            <w:r w:rsidRPr="00352A8F">
              <w:t>Leasehold buildings at fair value subject to finance lease (</w:t>
            </w:r>
            <w:hyperlink w:anchor="DepreciationNote" w:history="1">
              <w:r w:rsidR="00134615" w:rsidRPr="00134615">
                <w:rPr>
                  <w:rStyle w:val="Hyperlink"/>
                </w:rPr>
                <w:t>see note</w:t>
              </w:r>
            </w:hyperlink>
            <w:r w:rsidRPr="00352A8F">
              <w:t>)</w:t>
            </w:r>
          </w:p>
        </w:tc>
        <w:tc>
          <w:tcPr>
            <w:tcW w:w="571" w:type="pct"/>
            <w:shd w:val="clear" w:color="auto" w:fill="F3F3F3"/>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7,272</w:t>
            </w:r>
          </w:p>
        </w:tc>
        <w:tc>
          <w:tcPr>
            <w:tcW w:w="569" w:type="pct"/>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5,723</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860" w:type="pct"/>
          </w:tcPr>
          <w:p w:rsidR="00352A8F" w:rsidRPr="00352A8F" w:rsidRDefault="00352A8F" w:rsidP="00352A8F">
            <w:pPr>
              <w:pStyle w:val="TableBodyText"/>
              <w:rPr>
                <w:rFonts w:eastAsia="Calibri"/>
              </w:rPr>
            </w:pPr>
            <w:r w:rsidRPr="00352A8F">
              <w:t>Leasehold improvements at fair value</w:t>
            </w:r>
          </w:p>
        </w:tc>
        <w:tc>
          <w:tcPr>
            <w:tcW w:w="571" w:type="pct"/>
            <w:shd w:val="clear" w:color="auto" w:fill="F3F3F3"/>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973</w:t>
            </w:r>
          </w:p>
        </w:tc>
        <w:tc>
          <w:tcPr>
            <w:tcW w:w="569" w:type="pct"/>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2,198</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860" w:type="pct"/>
          </w:tcPr>
          <w:p w:rsidR="00352A8F" w:rsidRPr="00352A8F" w:rsidRDefault="00352A8F" w:rsidP="00352A8F">
            <w:pPr>
              <w:pStyle w:val="TableBodyText"/>
              <w:rPr>
                <w:rFonts w:eastAsia="Calibri"/>
              </w:rPr>
            </w:pPr>
            <w:r w:rsidRPr="00352A8F">
              <w:t>Plant and equipment at fair value</w:t>
            </w:r>
          </w:p>
        </w:tc>
        <w:tc>
          <w:tcPr>
            <w:tcW w:w="571" w:type="pct"/>
            <w:shd w:val="clear" w:color="auto" w:fill="F3F3F3"/>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1,701</w:t>
            </w:r>
          </w:p>
        </w:tc>
        <w:tc>
          <w:tcPr>
            <w:tcW w:w="569" w:type="pct"/>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1,320</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860" w:type="pct"/>
          </w:tcPr>
          <w:p w:rsidR="00352A8F" w:rsidRPr="00352A8F" w:rsidRDefault="00352A8F" w:rsidP="00352A8F">
            <w:pPr>
              <w:pStyle w:val="TableBodyText"/>
              <w:rPr>
                <w:rFonts w:eastAsia="Calibri"/>
              </w:rPr>
            </w:pPr>
            <w:r w:rsidRPr="00352A8F">
              <w:t>Plant and equipment under finance lease at fair value</w:t>
            </w:r>
          </w:p>
        </w:tc>
        <w:tc>
          <w:tcPr>
            <w:tcW w:w="571" w:type="pct"/>
            <w:shd w:val="clear" w:color="auto" w:fill="F3F3F3"/>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2,603</w:t>
            </w:r>
          </w:p>
        </w:tc>
        <w:tc>
          <w:tcPr>
            <w:tcW w:w="569" w:type="pct"/>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2,699</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860" w:type="pct"/>
            <w:tcBorders>
              <w:bottom w:val="single" w:sz="4" w:space="0" w:color="auto"/>
            </w:tcBorders>
          </w:tcPr>
          <w:p w:rsidR="00352A8F" w:rsidRPr="00352A8F" w:rsidRDefault="00352A8F" w:rsidP="00352A8F">
            <w:pPr>
              <w:pStyle w:val="TableBodyText"/>
              <w:rPr>
                <w:rFonts w:eastAsia="Calibri"/>
              </w:rPr>
            </w:pPr>
            <w:r w:rsidRPr="00352A8F">
              <w:t>Software</w:t>
            </w:r>
          </w:p>
        </w:tc>
        <w:tc>
          <w:tcPr>
            <w:tcW w:w="571" w:type="pct"/>
            <w:tcBorders>
              <w:bottom w:val="single" w:sz="4" w:space="0" w:color="auto"/>
            </w:tcBorders>
            <w:shd w:val="clear" w:color="auto" w:fill="F3F3F3"/>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7,985</w:t>
            </w:r>
          </w:p>
        </w:tc>
        <w:tc>
          <w:tcPr>
            <w:tcW w:w="569" w:type="pct"/>
            <w:tcBorders>
              <w:bottom w:val="single" w:sz="4" w:space="0" w:color="auto"/>
            </w:tcBorders>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352A8F">
              <w:t>7,657</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860" w:type="pct"/>
            <w:tcBorders>
              <w:top w:val="single" w:sz="4" w:space="0" w:color="auto"/>
              <w:bottom w:val="single" w:sz="4" w:space="0" w:color="auto"/>
            </w:tcBorders>
          </w:tcPr>
          <w:p w:rsidR="00352A8F" w:rsidRPr="00352A8F" w:rsidRDefault="00352A8F" w:rsidP="00352A8F">
            <w:pPr>
              <w:pStyle w:val="TableBodyText"/>
              <w:rPr>
                <w:rStyle w:val="Bold"/>
                <w:rFonts w:eastAsia="Calibri"/>
              </w:rPr>
            </w:pPr>
            <w:r w:rsidRPr="00352A8F">
              <w:rPr>
                <w:rStyle w:val="Bold"/>
              </w:rPr>
              <w:t>Total property, plant and equipment</w:t>
            </w:r>
          </w:p>
        </w:tc>
        <w:tc>
          <w:tcPr>
            <w:tcW w:w="571" w:type="pct"/>
            <w:tcBorders>
              <w:top w:val="single" w:sz="4" w:space="0" w:color="auto"/>
              <w:bottom w:val="single" w:sz="4" w:space="0" w:color="auto"/>
            </w:tcBorders>
            <w:shd w:val="clear" w:color="auto" w:fill="F3F3F3"/>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352A8F">
              <w:rPr>
                <w:rStyle w:val="Bold"/>
              </w:rPr>
              <w:t>43,895</w:t>
            </w:r>
          </w:p>
        </w:tc>
        <w:tc>
          <w:tcPr>
            <w:tcW w:w="569" w:type="pct"/>
            <w:tcBorders>
              <w:top w:val="single" w:sz="4" w:space="0" w:color="auto"/>
              <w:bottom w:val="single" w:sz="4" w:space="0" w:color="auto"/>
            </w:tcBorders>
          </w:tcPr>
          <w:p w:rsidR="00352A8F" w:rsidRPr="00352A8F" w:rsidRDefault="00352A8F" w:rsidP="00352A8F">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352A8F">
              <w:rPr>
                <w:rStyle w:val="Bold"/>
              </w:rPr>
              <w:t>30,489</w:t>
            </w:r>
          </w:p>
        </w:tc>
      </w:tr>
    </w:tbl>
    <w:p w:rsidR="00352A8F" w:rsidRDefault="00352A8F" w:rsidP="002A2BBA">
      <w:pPr>
        <w:pStyle w:val="ListNumber"/>
        <w:numPr>
          <w:ilvl w:val="0"/>
          <w:numId w:val="33"/>
        </w:numPr>
      </w:pPr>
      <w:bookmarkStart w:id="35" w:name="DepreciationNote"/>
      <w:bookmarkEnd w:id="35"/>
      <w:r>
        <w:t>Public private partnership arrangements.</w:t>
      </w:r>
    </w:p>
    <w:p w:rsidR="00352A8F" w:rsidRDefault="00352A8F" w:rsidP="00352A8F">
      <w:pPr>
        <w:pStyle w:val="BodyText"/>
      </w:pPr>
      <w:r>
        <w:t>All buildings, plant and equipment and other non</w:t>
      </w:r>
      <w:r>
        <w:rPr>
          <w:rFonts w:ascii="Cambria Math" w:hAnsi="Cambria Math" w:cs="Cambria Math"/>
        </w:rPr>
        <w:t>‑</w:t>
      </w:r>
      <w:r>
        <w:t>financial physical assets that have finite useful lives, are depreciated. The exceptions to this rule include items under operating leases, assets held for sale, land and cultural assets.</w:t>
      </w:r>
    </w:p>
    <w:p w:rsidR="00352A8F" w:rsidRDefault="00352A8F" w:rsidP="00352A8F">
      <w:pPr>
        <w:pStyle w:val="BodyText"/>
      </w:pPr>
      <w:r>
        <w:lastRenderedPageBreak/>
        <w:t>Depreciation is generally calculated on a straight</w:t>
      </w:r>
      <w:r>
        <w:rPr>
          <w:rFonts w:ascii="Cambria Math" w:hAnsi="Cambria Math" w:cs="Cambria Math"/>
        </w:rPr>
        <w:t>‑</w:t>
      </w:r>
      <w:r>
        <w:t>line basis, at rates that allocate the asset’s value, less any estimated residual value, over its estimated useful life. Typical estimated useful lives for the different asset classes for current and prior years are included in the table below:</w:t>
      </w:r>
    </w:p>
    <w:tbl>
      <w:tblPr>
        <w:tblStyle w:val="FinancialTable"/>
        <w:tblW w:w="3457" w:type="pct"/>
        <w:tblLook w:val="04A0" w:firstRow="1" w:lastRow="0" w:firstColumn="1" w:lastColumn="0" w:noHBand="0" w:noVBand="1"/>
      </w:tblPr>
      <w:tblGrid>
        <w:gridCol w:w="4396"/>
        <w:gridCol w:w="2268"/>
      </w:tblGrid>
      <w:tr w:rsidR="00352A8F" w:rsidRPr="007B4530" w:rsidTr="001346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8" w:type="pct"/>
            <w:noWrap/>
            <w:hideMark/>
          </w:tcPr>
          <w:p w:rsidR="00352A8F" w:rsidRPr="007B4530" w:rsidRDefault="00352A8F" w:rsidP="007B4530">
            <w:pPr>
              <w:pStyle w:val="TableBodyText"/>
              <w:rPr>
                <w:rStyle w:val="Bold"/>
              </w:rPr>
            </w:pPr>
            <w:r w:rsidRPr="007B4530">
              <w:rPr>
                <w:rStyle w:val="Bold"/>
              </w:rPr>
              <w:t>Asset</w:t>
            </w:r>
          </w:p>
        </w:tc>
        <w:tc>
          <w:tcPr>
            <w:tcW w:w="1702" w:type="pct"/>
            <w:hideMark/>
          </w:tcPr>
          <w:p w:rsidR="00352A8F" w:rsidRPr="007B4530" w:rsidRDefault="00352A8F" w:rsidP="00134615">
            <w:pPr>
              <w:pStyle w:val="TableBodyText"/>
              <w:jc w:val="center"/>
              <w:cnfStyle w:val="100000000000" w:firstRow="1" w:lastRow="0" w:firstColumn="0" w:lastColumn="0" w:oddVBand="0" w:evenVBand="0" w:oddHBand="0" w:evenHBand="0" w:firstRowFirstColumn="0" w:firstRowLastColumn="0" w:lastRowFirstColumn="0" w:lastRowLastColumn="0"/>
              <w:rPr>
                <w:rStyle w:val="Bold"/>
              </w:rPr>
            </w:pPr>
            <w:r w:rsidRPr="007B4530">
              <w:rPr>
                <w:rStyle w:val="Bold"/>
              </w:rPr>
              <w:t>Useful life years</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352A8F" w:rsidRPr="00352A8F" w:rsidRDefault="00352A8F" w:rsidP="007B4530">
            <w:pPr>
              <w:pStyle w:val="TableBodyText"/>
            </w:pPr>
            <w:r w:rsidRPr="00352A8F">
              <w:t>Cultural assets</w:t>
            </w:r>
          </w:p>
        </w:tc>
        <w:tc>
          <w:tcPr>
            <w:tcW w:w="1702" w:type="pct"/>
            <w:noWrap/>
            <w:hideMark/>
          </w:tcPr>
          <w:p w:rsidR="00352A8F" w:rsidRPr="00352A8F" w:rsidRDefault="00352A8F"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Indefinite</w:t>
            </w:r>
          </w:p>
        </w:tc>
      </w:tr>
      <w:tr w:rsidR="00352A8F"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352A8F" w:rsidRPr="00352A8F" w:rsidRDefault="00352A8F" w:rsidP="007B4530">
            <w:pPr>
              <w:pStyle w:val="TableBodyText"/>
            </w:pPr>
            <w:r w:rsidRPr="00352A8F">
              <w:t>Buildings</w:t>
            </w:r>
          </w:p>
        </w:tc>
        <w:tc>
          <w:tcPr>
            <w:tcW w:w="1702" w:type="pct"/>
            <w:noWrap/>
            <w:hideMark/>
          </w:tcPr>
          <w:p w:rsidR="00352A8F"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t>N/A</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tcPr>
          <w:p w:rsidR="007B4530" w:rsidRPr="00352A8F" w:rsidRDefault="00134615" w:rsidP="003D7434">
            <w:pPr>
              <w:pStyle w:val="TableListBullet"/>
            </w:pPr>
            <w:r>
              <w:t>S</w:t>
            </w:r>
            <w:r w:rsidR="007B4530" w:rsidRPr="00352A8F">
              <w:t>tructure/shell/building fabric</w:t>
            </w:r>
          </w:p>
        </w:tc>
        <w:tc>
          <w:tcPr>
            <w:tcW w:w="1702" w:type="pct"/>
            <w:noWrap/>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6 to 50</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tcPr>
          <w:p w:rsidR="007B4530" w:rsidRPr="00352A8F" w:rsidRDefault="007B4530" w:rsidP="003D7434">
            <w:pPr>
              <w:pStyle w:val="TableListBullet"/>
            </w:pPr>
            <w:r w:rsidRPr="00352A8F">
              <w:t>Site engineering services</w:t>
            </w:r>
          </w:p>
        </w:tc>
        <w:tc>
          <w:tcPr>
            <w:tcW w:w="1702" w:type="pct"/>
            <w:noWrap/>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6 to 50</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tcPr>
          <w:p w:rsidR="007B4530" w:rsidRPr="00352A8F" w:rsidRDefault="007B4530" w:rsidP="003D7434">
            <w:pPr>
              <w:pStyle w:val="TableListBullet"/>
            </w:pPr>
            <w:r w:rsidRPr="00352A8F">
              <w:t>Fit out</w:t>
            </w:r>
          </w:p>
        </w:tc>
        <w:tc>
          <w:tcPr>
            <w:tcW w:w="1702" w:type="pct"/>
            <w:noWrap/>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3 to 25</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tcPr>
          <w:p w:rsidR="007B4530" w:rsidRPr="00352A8F" w:rsidRDefault="007B4530" w:rsidP="003D7434">
            <w:pPr>
              <w:pStyle w:val="TableListBullet"/>
            </w:pPr>
            <w:r w:rsidRPr="00352A8F">
              <w:t>Trunk reticulated building systems</w:t>
            </w:r>
          </w:p>
        </w:tc>
        <w:tc>
          <w:tcPr>
            <w:tcW w:w="1702" w:type="pct"/>
            <w:noWrap/>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3 to 20</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7B4530" w:rsidRPr="00352A8F" w:rsidRDefault="007B4530" w:rsidP="007B4530">
            <w:pPr>
              <w:pStyle w:val="TableBodyText"/>
            </w:pPr>
            <w:r w:rsidRPr="00352A8F">
              <w:t xml:space="preserve">Leasehold improvements </w:t>
            </w:r>
          </w:p>
        </w:tc>
        <w:tc>
          <w:tcPr>
            <w:tcW w:w="1702" w:type="pct"/>
            <w:noWrap/>
            <w:hideMark/>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2 to 37</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7B4530" w:rsidRPr="00352A8F" w:rsidRDefault="007B4530" w:rsidP="007B4530">
            <w:pPr>
              <w:pStyle w:val="TableBodyText"/>
            </w:pPr>
            <w:r w:rsidRPr="00352A8F">
              <w:t>Leasehold buildings</w:t>
            </w:r>
          </w:p>
        </w:tc>
        <w:tc>
          <w:tcPr>
            <w:tcW w:w="1702" w:type="pct"/>
            <w:noWrap/>
            <w:hideMark/>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1 to 38</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7B4530" w:rsidRPr="00352A8F" w:rsidRDefault="007B4530" w:rsidP="007B4530">
            <w:pPr>
              <w:pStyle w:val="TableBodyText"/>
            </w:pPr>
            <w:r w:rsidRPr="00352A8F">
              <w:t>Plant and equipment</w:t>
            </w:r>
          </w:p>
        </w:tc>
        <w:tc>
          <w:tcPr>
            <w:tcW w:w="1702" w:type="pct"/>
            <w:noWrap/>
            <w:hideMark/>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1 to 10</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7B4530" w:rsidRPr="00352A8F" w:rsidRDefault="007B4530" w:rsidP="007B4530">
            <w:pPr>
              <w:pStyle w:val="TableBodyText"/>
            </w:pPr>
            <w:r w:rsidRPr="00352A8F">
              <w:t>Computer and telecommunication equipment</w:t>
            </w:r>
          </w:p>
        </w:tc>
        <w:tc>
          <w:tcPr>
            <w:tcW w:w="1702" w:type="pct"/>
            <w:noWrap/>
            <w:hideMark/>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1 to 10</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7B4530" w:rsidRPr="00352A8F" w:rsidRDefault="007B4530" w:rsidP="007B4530">
            <w:pPr>
              <w:pStyle w:val="TableBodyText"/>
            </w:pPr>
            <w:r w:rsidRPr="00352A8F">
              <w:t>Intangible assets</w:t>
            </w:r>
          </w:p>
        </w:tc>
        <w:tc>
          <w:tcPr>
            <w:tcW w:w="1702" w:type="pct"/>
            <w:noWrap/>
            <w:hideMark/>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3 to 7</w:t>
            </w:r>
          </w:p>
        </w:tc>
      </w:tr>
      <w:tr w:rsidR="007B4530" w:rsidRPr="00352A8F" w:rsidTr="00134615">
        <w:tc>
          <w:tcPr>
            <w:cnfStyle w:val="001000000000" w:firstRow="0" w:lastRow="0" w:firstColumn="1" w:lastColumn="0" w:oddVBand="0" w:evenVBand="0" w:oddHBand="0" w:evenHBand="0" w:firstRowFirstColumn="0" w:firstRowLastColumn="0" w:lastRowFirstColumn="0" w:lastRowLastColumn="0"/>
            <w:tcW w:w="3298" w:type="pct"/>
            <w:noWrap/>
            <w:hideMark/>
          </w:tcPr>
          <w:p w:rsidR="007B4530" w:rsidRPr="00352A8F" w:rsidRDefault="007B4530" w:rsidP="007B4530">
            <w:pPr>
              <w:pStyle w:val="TableBodyText"/>
            </w:pPr>
            <w:r w:rsidRPr="00352A8F">
              <w:t>Antique furniture and artefacts</w:t>
            </w:r>
          </w:p>
        </w:tc>
        <w:tc>
          <w:tcPr>
            <w:tcW w:w="1702" w:type="pct"/>
            <w:noWrap/>
            <w:hideMark/>
          </w:tcPr>
          <w:p w:rsidR="007B4530" w:rsidRPr="00352A8F" w:rsidRDefault="007B4530" w:rsidP="00134615">
            <w:pPr>
              <w:pStyle w:val="TableBodyText"/>
              <w:jc w:val="center"/>
              <w:cnfStyle w:val="000000000000" w:firstRow="0" w:lastRow="0" w:firstColumn="0" w:lastColumn="0" w:oddVBand="0" w:evenVBand="0" w:oddHBand="0" w:evenHBand="0" w:firstRowFirstColumn="0" w:firstRowLastColumn="0" w:lastRowFirstColumn="0" w:lastRowLastColumn="0"/>
            </w:pPr>
            <w:r w:rsidRPr="00352A8F">
              <w:t>80</w:t>
            </w:r>
          </w:p>
        </w:tc>
      </w:tr>
    </w:tbl>
    <w:p w:rsidR="007B4530" w:rsidRDefault="007B4530" w:rsidP="007B4530">
      <w:pPr>
        <w:pStyle w:val="BodyText"/>
      </w:pPr>
      <w:r>
        <w:t>The estimated useful lives, residual values and depreciation method are reviewed at the end of each annual reporting period, and adjustments made where appropriate.</w:t>
      </w:r>
    </w:p>
    <w:p w:rsidR="007B4530" w:rsidRDefault="007B4530" w:rsidP="007B4530">
      <w:pPr>
        <w:pStyle w:val="BodyText"/>
      </w:pPr>
      <w:r>
        <w:t>Leasehold improvements are depreciated over the shorter of the lease term and their useful lives</w:t>
      </w:r>
    </w:p>
    <w:p w:rsidR="007B4530" w:rsidRDefault="007B4530" w:rsidP="007B4530">
      <w:pPr>
        <w:pStyle w:val="BodyText"/>
      </w:pPr>
      <w:r>
        <w:t>In the event of the loss or destruction of an asset, the future economic benefits arising from the use of the asset will be replaced (unless a specific decision to the contrary has been made).</w:t>
      </w:r>
    </w:p>
    <w:p w:rsidR="007B4530" w:rsidRDefault="007B4530" w:rsidP="007B4530">
      <w:pPr>
        <w:pStyle w:val="BodyText"/>
      </w:pPr>
      <w:r w:rsidRPr="00134615">
        <w:rPr>
          <w:rStyle w:val="Bold"/>
        </w:rPr>
        <w:t xml:space="preserve">Indefinite life assets: </w:t>
      </w:r>
      <w:r>
        <w:t>Land and cultural assets, which are considered to have an indefinite life, are not depreciated. Depreciation is not recognised in respect of these assets because their service potential has not, in any material sense, been consumed during the reporting period.</w:t>
      </w:r>
    </w:p>
    <w:p w:rsidR="007B4530" w:rsidRDefault="007B4530" w:rsidP="007B4530">
      <w:pPr>
        <w:pStyle w:val="BodyText"/>
      </w:pPr>
      <w:r w:rsidRPr="00134615">
        <w:rPr>
          <w:rStyle w:val="Bold"/>
        </w:rPr>
        <w:t xml:space="preserve">Impairment: </w:t>
      </w:r>
      <w:r>
        <w:t>Non</w:t>
      </w:r>
      <w:r>
        <w:rPr>
          <w:rFonts w:ascii="Cambria Math" w:hAnsi="Cambria Math" w:cs="Cambria Math"/>
        </w:rPr>
        <w:t>‐</w:t>
      </w:r>
      <w:r>
        <w:t>financial assets, including items of property, plant and equipment, are tested for impairment whenever there is an indication that the asset may be impaired.</w:t>
      </w:r>
    </w:p>
    <w:p w:rsidR="007B4530" w:rsidRDefault="007B4530" w:rsidP="007B4530">
      <w:pPr>
        <w:pStyle w:val="BodyText"/>
      </w:pPr>
      <w:r>
        <w:t>The assets concerned are tested as to whether their carrying value exceeds their recoverable amount. Where an asset’s carrying value exceeds its recoverable amount, the difference is written off as an ‘other economic flow’, except to the extent that it can be debited to an asset revaluation surplus amount applicable to that class of asset.</w:t>
      </w:r>
    </w:p>
    <w:p w:rsidR="007B4530" w:rsidRDefault="007B4530" w:rsidP="007B4530">
      <w:pPr>
        <w:pStyle w:val="BodyText"/>
      </w:pPr>
      <w:r>
        <w:t>If there is an indication that there has been a reversal in impairment, the carrying amount shall be increased to its recoverable amount. However this reversal should not increase the asset’s carrying amount above what would have been determined, net of depreciation or amortisation, if no impairment loss had been recognised in prior years.</w:t>
      </w:r>
    </w:p>
    <w:p w:rsidR="00352A8F" w:rsidRDefault="007B4530" w:rsidP="007B4530">
      <w:pPr>
        <w:pStyle w:val="BodyText"/>
      </w:pPr>
      <w:r>
        <w:t>The recoverable amount for most assets is measured at the higher of depreciated replacement cost and fair value less costs to sell. Recoverable amount for assets held primarily to generate net cash inflows is measured at the higher of the present value of future cash flows expected to be obtained from the asset and fair value less costs to sell.</w:t>
      </w:r>
    </w:p>
    <w:p w:rsidR="007B4530" w:rsidRDefault="007B4530" w:rsidP="007B4530">
      <w:pPr>
        <w:pStyle w:val="Heading3"/>
      </w:pPr>
      <w:r w:rsidRPr="007B4530">
        <w:lastRenderedPageBreak/>
        <w:t>Carrying values by 'purpose' groups</w:t>
      </w:r>
    </w:p>
    <w:tbl>
      <w:tblPr>
        <w:tblStyle w:val="FinancialTable"/>
        <w:tblW w:w="5000" w:type="pct"/>
        <w:tblLook w:val="04A0" w:firstRow="1" w:lastRow="0" w:firstColumn="1" w:lastColumn="0" w:noHBand="0" w:noVBand="1"/>
      </w:tblPr>
      <w:tblGrid>
        <w:gridCol w:w="6"/>
        <w:gridCol w:w="4868"/>
        <w:gridCol w:w="5"/>
        <w:gridCol w:w="5"/>
        <w:gridCol w:w="2377"/>
        <w:gridCol w:w="2377"/>
      </w:tblGrid>
      <w:tr w:rsidR="007B4530" w:rsidRPr="00602408" w:rsidTr="00F65E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 w:type="pct"/>
            <w:noWrap/>
            <w:hideMark/>
          </w:tcPr>
          <w:p w:rsidR="007B4530" w:rsidRPr="00602408" w:rsidRDefault="007B4530" w:rsidP="00134615">
            <w:pPr>
              <w:pStyle w:val="TableBodyText"/>
              <w:rPr>
                <w:rStyle w:val="Bold"/>
              </w:rPr>
            </w:pPr>
          </w:p>
        </w:tc>
        <w:tc>
          <w:tcPr>
            <w:tcW w:w="2525" w:type="pct"/>
            <w:noWrap/>
            <w:hideMark/>
          </w:tcPr>
          <w:p w:rsidR="007B4530" w:rsidRPr="00602408" w:rsidRDefault="00602408" w:rsidP="00134615">
            <w:pPr>
              <w:pStyle w:val="TableBodyText"/>
              <w:jc w:val="lef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Item</w:t>
            </w:r>
          </w:p>
        </w:tc>
        <w:tc>
          <w:tcPr>
            <w:tcW w:w="3" w:type="pct"/>
            <w:noWrap/>
            <w:hideMark/>
          </w:tcPr>
          <w:p w:rsidR="007B4530" w:rsidRPr="00602408" w:rsidRDefault="007B4530" w:rsidP="00134615">
            <w:pPr>
              <w:pStyle w:val="TableBodyText"/>
              <w:cnfStyle w:val="100000000000" w:firstRow="1" w:lastRow="0" w:firstColumn="0" w:lastColumn="0" w:oddVBand="0" w:evenVBand="0" w:oddHBand="0" w:evenHBand="0" w:firstRowFirstColumn="0" w:firstRowLastColumn="0" w:lastRowFirstColumn="0" w:lastRowLastColumn="0"/>
              <w:rPr>
                <w:rStyle w:val="Bold"/>
              </w:rPr>
            </w:pPr>
          </w:p>
        </w:tc>
        <w:tc>
          <w:tcPr>
            <w:tcW w:w="3" w:type="pct"/>
            <w:noWrap/>
            <w:hideMark/>
          </w:tcPr>
          <w:p w:rsidR="007B4530" w:rsidRPr="00602408" w:rsidRDefault="007B4530" w:rsidP="00134615">
            <w:pPr>
              <w:pStyle w:val="TableBodyText"/>
              <w:cnfStyle w:val="100000000000" w:firstRow="1" w:lastRow="0" w:firstColumn="0" w:lastColumn="0" w:oddVBand="0" w:evenVBand="0" w:oddHBand="0" w:evenHBand="0" w:firstRowFirstColumn="0" w:firstRowLastColumn="0" w:lastRowFirstColumn="0" w:lastRowLastColumn="0"/>
              <w:rPr>
                <w:rStyle w:val="Bold"/>
              </w:rPr>
            </w:pPr>
          </w:p>
        </w:tc>
        <w:tc>
          <w:tcPr>
            <w:tcW w:w="1233" w:type="pct"/>
            <w:shd w:val="clear" w:color="auto" w:fill="F3F3F3"/>
            <w:noWrap/>
            <w:hideMark/>
          </w:tcPr>
          <w:p w:rsidR="007B4530" w:rsidRPr="00602408" w:rsidRDefault="007B4530" w:rsidP="0013461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 xml:space="preserve">Public safety and environment </w:t>
            </w:r>
            <w:r w:rsidRPr="00602408">
              <w:rPr>
                <w:rStyle w:val="Bold"/>
              </w:rPr>
              <w:br/>
              <w:t>2017</w:t>
            </w:r>
            <w:r w:rsidRPr="00602408">
              <w:rPr>
                <w:rStyle w:val="Bold"/>
              </w:rPr>
              <w:br/>
              <w:t>$'000</w:t>
            </w:r>
          </w:p>
        </w:tc>
        <w:tc>
          <w:tcPr>
            <w:tcW w:w="1233" w:type="pct"/>
            <w:noWrap/>
            <w:hideMark/>
          </w:tcPr>
          <w:p w:rsidR="007B4530" w:rsidRPr="00602408" w:rsidRDefault="007B4530" w:rsidP="0013461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Public safety and environment</w:t>
            </w:r>
            <w:r w:rsidRPr="00602408">
              <w:rPr>
                <w:rStyle w:val="Bold"/>
              </w:rPr>
              <w:br/>
              <w:t xml:space="preserve"> 2016</w:t>
            </w:r>
            <w:r w:rsidRPr="00602408">
              <w:rPr>
                <w:rStyle w:val="Bold"/>
              </w:rPr>
              <w:br/>
              <w:t>$'000</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134615">
            <w:pPr>
              <w:pStyle w:val="TableBodyText"/>
              <w:keepNext/>
            </w:pPr>
          </w:p>
        </w:tc>
        <w:tc>
          <w:tcPr>
            <w:tcW w:w="2525" w:type="pct"/>
            <w:noWrap/>
            <w:hideMark/>
          </w:tcPr>
          <w:p w:rsidR="007B4530" w:rsidRPr="007B4530" w:rsidRDefault="007B4530" w:rsidP="00134615">
            <w:pPr>
              <w:pStyle w:val="TableBodyText"/>
              <w:keepNext/>
              <w:jc w:val="left"/>
              <w:cnfStyle w:val="000000000000" w:firstRow="0" w:lastRow="0" w:firstColumn="0" w:lastColumn="0" w:oddVBand="0" w:evenVBand="0" w:oddHBand="0" w:evenHBand="0" w:firstRowFirstColumn="0" w:firstRowLastColumn="0" w:lastRowFirstColumn="0" w:lastRowLastColumn="0"/>
            </w:pPr>
            <w:r w:rsidRPr="007B4530">
              <w:t>Crown land at fair value (</w:t>
            </w:r>
            <w:hyperlink w:anchor="CarryingValues1" w:history="1">
              <w:r w:rsidR="00134615" w:rsidRPr="00134615">
                <w:rPr>
                  <w:rStyle w:val="Hyperlink"/>
                </w:rPr>
                <w:t xml:space="preserve">see note </w:t>
              </w:r>
              <w:proofErr w:type="spellStart"/>
              <w:r w:rsidR="00134615" w:rsidRPr="00134615">
                <w:rPr>
                  <w:rStyle w:val="Hyperlink"/>
                </w:rPr>
                <w:t>i</w:t>
              </w:r>
              <w:proofErr w:type="spellEnd"/>
            </w:hyperlink>
            <w:r w:rsidRPr="007B4530">
              <w:t>)</w:t>
            </w:r>
          </w:p>
        </w:tc>
        <w:tc>
          <w:tcPr>
            <w:tcW w:w="3" w:type="pct"/>
            <w:noWrap/>
            <w:hideMark/>
          </w:tcPr>
          <w:p w:rsidR="007B4530" w:rsidRPr="007B4530" w:rsidRDefault="007B4530" w:rsidP="00134615">
            <w:pPr>
              <w:pStyle w:val="TableBodyText"/>
              <w:keepN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134615">
            <w:pPr>
              <w:pStyle w:val="TableBodyText"/>
              <w:keepN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134615">
            <w:pPr>
              <w:pStyle w:val="TableBodyText"/>
              <w:keepNext/>
              <w:cnfStyle w:val="000000000000" w:firstRow="0" w:lastRow="0" w:firstColumn="0" w:lastColumn="0" w:oddVBand="0" w:evenVBand="0" w:oddHBand="0" w:evenHBand="0" w:firstRowFirstColumn="0" w:firstRowLastColumn="0" w:lastRowFirstColumn="0" w:lastRowLastColumn="0"/>
            </w:pPr>
            <w:r w:rsidRPr="007B4530">
              <w:t>343,911</w:t>
            </w:r>
          </w:p>
        </w:tc>
        <w:tc>
          <w:tcPr>
            <w:tcW w:w="1233" w:type="pct"/>
            <w:noWrap/>
            <w:hideMark/>
          </w:tcPr>
          <w:p w:rsidR="007B4530" w:rsidRPr="007B4530" w:rsidRDefault="007B4530" w:rsidP="00134615">
            <w:pPr>
              <w:pStyle w:val="TableBodyText"/>
              <w:keepNext/>
              <w:cnfStyle w:val="000000000000" w:firstRow="0" w:lastRow="0" w:firstColumn="0" w:lastColumn="0" w:oddVBand="0" w:evenVBand="0" w:oddHBand="0" w:evenHBand="0" w:firstRowFirstColumn="0" w:firstRowLastColumn="0" w:lastRowFirstColumn="0" w:lastRowLastColumn="0"/>
            </w:pPr>
            <w:r w:rsidRPr="007B4530">
              <w:t>343,911</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7B4530">
            <w:pPr>
              <w:pStyle w:val="TableBodyText"/>
            </w:pPr>
          </w:p>
        </w:tc>
        <w:tc>
          <w:tcPr>
            <w:tcW w:w="2525" w:type="pct"/>
            <w:noWrap/>
            <w:hideMark/>
          </w:tcPr>
          <w:p w:rsidR="007B4530" w:rsidRPr="007B4530" w:rsidRDefault="007B4530" w:rsidP="007B4530">
            <w:pPr>
              <w:pStyle w:val="TableBodyText"/>
              <w:jc w:val="left"/>
              <w:cnfStyle w:val="000000000000" w:firstRow="0" w:lastRow="0" w:firstColumn="0" w:lastColumn="0" w:oddVBand="0" w:evenVBand="0" w:oddHBand="0" w:evenHBand="0" w:firstRowFirstColumn="0" w:firstRowLastColumn="0" w:lastRowFirstColumn="0" w:lastRowLastColumn="0"/>
            </w:pPr>
            <w:r w:rsidRPr="007B4530">
              <w:t>Buildings at fair value (</w:t>
            </w:r>
            <w:hyperlink w:anchor="CarryingValues1" w:history="1">
              <w:r w:rsidR="00134615" w:rsidRPr="00134615">
                <w:rPr>
                  <w:rStyle w:val="Hyperlink"/>
                </w:rPr>
                <w:t xml:space="preserve">see note </w:t>
              </w:r>
              <w:proofErr w:type="spellStart"/>
              <w:r w:rsidR="00134615" w:rsidRPr="00134615">
                <w:rPr>
                  <w:rStyle w:val="Hyperlink"/>
                </w:rPr>
                <w:t>i</w:t>
              </w:r>
              <w:proofErr w:type="spellEnd"/>
            </w:hyperlink>
            <w:r w:rsidRPr="007B4530">
              <w:t>)</w:t>
            </w: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361,000</w:t>
            </w:r>
          </w:p>
        </w:tc>
        <w:tc>
          <w:tcPr>
            <w:tcW w:w="123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365,171</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7B4530">
            <w:pPr>
              <w:pStyle w:val="TableBodyText"/>
            </w:pPr>
          </w:p>
        </w:tc>
        <w:tc>
          <w:tcPr>
            <w:tcW w:w="2525" w:type="pct"/>
            <w:noWrap/>
            <w:hideMark/>
          </w:tcPr>
          <w:p w:rsidR="007B4530" w:rsidRPr="007B4530" w:rsidRDefault="007B4530" w:rsidP="00134615">
            <w:pPr>
              <w:pStyle w:val="TableBodyText"/>
              <w:jc w:val="left"/>
              <w:cnfStyle w:val="000000000000" w:firstRow="0" w:lastRow="0" w:firstColumn="0" w:lastColumn="0" w:oddVBand="0" w:evenVBand="0" w:oddHBand="0" w:evenHBand="0" w:firstRowFirstColumn="0" w:firstRowLastColumn="0" w:lastRowFirstColumn="0" w:lastRowLastColumn="0"/>
            </w:pPr>
            <w:r w:rsidRPr="007B4530">
              <w:t>Leasehold buildings subject to finance lease at fair value (</w:t>
            </w:r>
            <w:hyperlink w:anchor="CarryingValues2" w:history="1">
              <w:r w:rsidR="00134615" w:rsidRPr="00134615">
                <w:rPr>
                  <w:rStyle w:val="Hyperlink"/>
                </w:rPr>
                <w:t>see note ii</w:t>
              </w:r>
            </w:hyperlink>
            <w:r w:rsidRPr="007B4530">
              <w:t>)</w:t>
            </w: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196,433</w:t>
            </w:r>
          </w:p>
        </w:tc>
        <w:tc>
          <w:tcPr>
            <w:tcW w:w="123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202,099</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7B4530">
            <w:pPr>
              <w:pStyle w:val="TableBodyText"/>
            </w:pPr>
          </w:p>
        </w:tc>
        <w:tc>
          <w:tcPr>
            <w:tcW w:w="2525" w:type="pct"/>
            <w:noWrap/>
            <w:hideMark/>
          </w:tcPr>
          <w:p w:rsidR="007B4530" w:rsidRPr="007B4530" w:rsidRDefault="007B4530" w:rsidP="007B4530">
            <w:pPr>
              <w:pStyle w:val="TableBodyText"/>
              <w:jc w:val="left"/>
              <w:cnfStyle w:val="000000000000" w:firstRow="0" w:lastRow="0" w:firstColumn="0" w:lastColumn="0" w:oddVBand="0" w:evenVBand="0" w:oddHBand="0" w:evenHBand="0" w:firstRowFirstColumn="0" w:firstRowLastColumn="0" w:lastRowFirstColumn="0" w:lastRowLastColumn="0"/>
            </w:pPr>
            <w:r w:rsidRPr="007B4530">
              <w:t>Leasehold improvements at fair value (</w:t>
            </w:r>
            <w:hyperlink w:anchor="CarryingValues2" w:history="1">
              <w:r w:rsidR="00134615" w:rsidRPr="00134615">
                <w:rPr>
                  <w:rStyle w:val="Hyperlink"/>
                </w:rPr>
                <w:t>see note ii</w:t>
              </w:r>
            </w:hyperlink>
            <w:r w:rsidRPr="007B4530">
              <w:t>)</w:t>
            </w: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5,490</w:t>
            </w:r>
          </w:p>
        </w:tc>
        <w:tc>
          <w:tcPr>
            <w:tcW w:w="123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15,814</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7B4530">
            <w:pPr>
              <w:pStyle w:val="TableBodyText"/>
            </w:pPr>
          </w:p>
        </w:tc>
        <w:tc>
          <w:tcPr>
            <w:tcW w:w="2525" w:type="pct"/>
            <w:noWrap/>
            <w:hideMark/>
          </w:tcPr>
          <w:p w:rsidR="007B4530" w:rsidRPr="007B4530" w:rsidRDefault="007B4530" w:rsidP="007B4530">
            <w:pPr>
              <w:pStyle w:val="TableBodyText"/>
              <w:jc w:val="left"/>
              <w:cnfStyle w:val="000000000000" w:firstRow="0" w:lastRow="0" w:firstColumn="0" w:lastColumn="0" w:oddVBand="0" w:evenVBand="0" w:oddHBand="0" w:evenHBand="0" w:firstRowFirstColumn="0" w:firstRowLastColumn="0" w:lastRowFirstColumn="0" w:lastRowLastColumn="0"/>
            </w:pPr>
            <w:r w:rsidRPr="007B4530">
              <w:t>Plant and equipment at fair value (</w:t>
            </w:r>
            <w:hyperlink w:anchor="CarryingValues3" w:history="1">
              <w:r w:rsidR="00134615" w:rsidRPr="00134615">
                <w:rPr>
                  <w:rStyle w:val="Hyperlink"/>
                </w:rPr>
                <w:t xml:space="preserve">see note </w:t>
              </w:r>
              <w:r w:rsidRPr="00134615">
                <w:rPr>
                  <w:rStyle w:val="Hyperlink"/>
                </w:rPr>
                <w:t>iii</w:t>
              </w:r>
            </w:hyperlink>
            <w:r w:rsidRPr="007B4530">
              <w:t>)</w:t>
            </w: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2,349</w:t>
            </w:r>
          </w:p>
        </w:tc>
        <w:tc>
          <w:tcPr>
            <w:tcW w:w="123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2,722</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7B4530">
            <w:pPr>
              <w:pStyle w:val="TableBodyText"/>
            </w:pPr>
          </w:p>
        </w:tc>
        <w:tc>
          <w:tcPr>
            <w:tcW w:w="2525" w:type="pct"/>
            <w:hideMark/>
          </w:tcPr>
          <w:p w:rsidR="007B4530" w:rsidRPr="007B4530" w:rsidRDefault="007B4530" w:rsidP="00134615">
            <w:pPr>
              <w:pStyle w:val="TableBodyText"/>
              <w:jc w:val="left"/>
              <w:cnfStyle w:val="000000000000" w:firstRow="0" w:lastRow="0" w:firstColumn="0" w:lastColumn="0" w:oddVBand="0" w:evenVBand="0" w:oddHBand="0" w:evenHBand="0" w:firstRowFirstColumn="0" w:firstRowLastColumn="0" w:lastRowFirstColumn="0" w:lastRowLastColumn="0"/>
            </w:pPr>
            <w:r w:rsidRPr="007B4530">
              <w:t>Plant and equipment under finance lease at fair value</w:t>
            </w:r>
            <w:r w:rsidR="00134615">
              <w:br/>
            </w:r>
            <w:r w:rsidRPr="007B4530">
              <w:t>(</w:t>
            </w:r>
            <w:hyperlink w:anchor="CarryingValues3" w:history="1">
              <w:r w:rsidR="00134615" w:rsidRPr="00134615">
                <w:rPr>
                  <w:rStyle w:val="Hyperlink"/>
                </w:rPr>
                <w:t>see note iii</w:t>
              </w:r>
            </w:hyperlink>
            <w:r w:rsidRPr="007B4530">
              <w:t>)</w:t>
            </w: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8,969</w:t>
            </w:r>
          </w:p>
        </w:tc>
        <w:tc>
          <w:tcPr>
            <w:tcW w:w="123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8,465</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7B4530">
            <w:pPr>
              <w:pStyle w:val="TableBodyText"/>
            </w:pPr>
          </w:p>
        </w:tc>
        <w:tc>
          <w:tcPr>
            <w:tcW w:w="2525" w:type="pct"/>
            <w:hideMark/>
          </w:tcPr>
          <w:p w:rsidR="007B4530" w:rsidRPr="007B4530" w:rsidRDefault="007B4530" w:rsidP="007B4530">
            <w:pPr>
              <w:pStyle w:val="TableBodyText"/>
              <w:jc w:val="left"/>
              <w:cnfStyle w:val="000000000000" w:firstRow="0" w:lastRow="0" w:firstColumn="0" w:lastColumn="0" w:oddVBand="0" w:evenVBand="0" w:oddHBand="0" w:evenHBand="0" w:firstRowFirstColumn="0" w:firstRowLastColumn="0" w:lastRowFirstColumn="0" w:lastRowLastColumn="0"/>
            </w:pPr>
            <w:r w:rsidRPr="007B4530">
              <w:t>Computer &amp; telecommunications equipment at fair value (</w:t>
            </w:r>
            <w:hyperlink w:anchor="CarryingValues3" w:history="1">
              <w:r w:rsidR="00134615" w:rsidRPr="00134615">
                <w:rPr>
                  <w:rStyle w:val="Hyperlink"/>
                </w:rPr>
                <w:t>see note iii</w:t>
              </w:r>
            </w:hyperlink>
            <w:r w:rsidRPr="007B4530">
              <w:t>)</w:t>
            </w: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4,875</w:t>
            </w:r>
          </w:p>
        </w:tc>
        <w:tc>
          <w:tcPr>
            <w:tcW w:w="123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4,288</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noWrap/>
            <w:hideMark/>
          </w:tcPr>
          <w:p w:rsidR="007B4530" w:rsidRPr="007B4530" w:rsidRDefault="007B4530" w:rsidP="007B4530">
            <w:pPr>
              <w:pStyle w:val="TableBodyText"/>
            </w:pPr>
          </w:p>
        </w:tc>
        <w:tc>
          <w:tcPr>
            <w:tcW w:w="2525" w:type="pct"/>
            <w:hideMark/>
          </w:tcPr>
          <w:p w:rsidR="007B4530" w:rsidRPr="007B4530" w:rsidRDefault="007B4530" w:rsidP="007B4530">
            <w:pPr>
              <w:pStyle w:val="TableBodyText"/>
              <w:jc w:val="left"/>
              <w:cnfStyle w:val="000000000000" w:firstRow="0" w:lastRow="0" w:firstColumn="0" w:lastColumn="0" w:oddVBand="0" w:evenVBand="0" w:oddHBand="0" w:evenHBand="0" w:firstRowFirstColumn="0" w:firstRowLastColumn="0" w:lastRowFirstColumn="0" w:lastRowLastColumn="0"/>
            </w:pPr>
            <w:r w:rsidRPr="007B4530">
              <w:t>Cultural assets at fair value (</w:t>
            </w:r>
            <w:hyperlink w:anchor="CarryingValues1" w:history="1">
              <w:r w:rsidR="00134615" w:rsidRPr="00134615">
                <w:rPr>
                  <w:rStyle w:val="Hyperlink"/>
                </w:rPr>
                <w:t xml:space="preserve">see note </w:t>
              </w:r>
              <w:proofErr w:type="spellStart"/>
              <w:r w:rsidR="00134615" w:rsidRPr="00134615">
                <w:rPr>
                  <w:rStyle w:val="Hyperlink"/>
                </w:rPr>
                <w:t>i</w:t>
              </w:r>
              <w:proofErr w:type="spellEnd"/>
            </w:hyperlink>
            <w:r w:rsidRPr="007B4530">
              <w:t>)</w:t>
            </w: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896</w:t>
            </w:r>
          </w:p>
        </w:tc>
        <w:tc>
          <w:tcPr>
            <w:tcW w:w="1233" w:type="pct"/>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866</w:t>
            </w:r>
          </w:p>
        </w:tc>
      </w:tr>
      <w:tr w:rsidR="007B4530" w:rsidRPr="007B4530" w:rsidTr="00F65E51">
        <w:tc>
          <w:tcPr>
            <w:cnfStyle w:val="001000000000" w:firstRow="0" w:lastRow="0" w:firstColumn="1" w:lastColumn="0" w:oddVBand="0" w:evenVBand="0" w:oddHBand="0" w:evenHBand="0" w:firstRowFirstColumn="0" w:firstRowLastColumn="0" w:lastRowFirstColumn="0" w:lastRowLastColumn="0"/>
            <w:tcW w:w="3" w:type="pct"/>
            <w:tcBorders>
              <w:bottom w:val="single" w:sz="4" w:space="0" w:color="auto"/>
            </w:tcBorders>
            <w:noWrap/>
            <w:hideMark/>
          </w:tcPr>
          <w:p w:rsidR="007B4530" w:rsidRPr="007B4530" w:rsidRDefault="007B4530" w:rsidP="007B4530">
            <w:pPr>
              <w:pStyle w:val="TableBodyText"/>
            </w:pPr>
          </w:p>
        </w:tc>
        <w:tc>
          <w:tcPr>
            <w:tcW w:w="2525" w:type="pct"/>
            <w:tcBorders>
              <w:bottom w:val="single" w:sz="4" w:space="0" w:color="auto"/>
            </w:tcBorders>
            <w:noWrap/>
            <w:hideMark/>
          </w:tcPr>
          <w:p w:rsidR="007B4530" w:rsidRPr="007B4530" w:rsidRDefault="007B4530" w:rsidP="007B4530">
            <w:pPr>
              <w:pStyle w:val="TableBodyText"/>
              <w:jc w:val="left"/>
              <w:cnfStyle w:val="000000000000" w:firstRow="0" w:lastRow="0" w:firstColumn="0" w:lastColumn="0" w:oddVBand="0" w:evenVBand="0" w:oddHBand="0" w:evenHBand="0" w:firstRowFirstColumn="0" w:firstRowLastColumn="0" w:lastRowFirstColumn="0" w:lastRowLastColumn="0"/>
            </w:pPr>
            <w:r w:rsidRPr="007B4530">
              <w:t>Assets under construction at cost</w:t>
            </w:r>
          </w:p>
        </w:tc>
        <w:tc>
          <w:tcPr>
            <w:tcW w:w="3" w:type="pct"/>
            <w:tcBorders>
              <w:bottom w:val="single" w:sz="4" w:space="0" w:color="auto"/>
            </w:tcBorders>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3" w:type="pct"/>
            <w:tcBorders>
              <w:bottom w:val="single" w:sz="4" w:space="0" w:color="auto"/>
            </w:tcBorders>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tcBorders>
              <w:bottom w:val="single" w:sz="4" w:space="0" w:color="auto"/>
            </w:tcBorders>
            <w:shd w:val="clear" w:color="auto" w:fill="F3F3F3"/>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51,313</w:t>
            </w:r>
          </w:p>
        </w:tc>
        <w:tc>
          <w:tcPr>
            <w:tcW w:w="1233" w:type="pct"/>
            <w:tcBorders>
              <w:bottom w:val="single" w:sz="4" w:space="0" w:color="auto"/>
            </w:tcBorders>
            <w:noWrap/>
            <w:hideMark/>
          </w:tcPr>
          <w:p w:rsidR="007B4530" w:rsidRPr="007B4530" w:rsidRDefault="007B4530" w:rsidP="007B4530">
            <w:pPr>
              <w:pStyle w:val="TableBodyText"/>
              <w:cnfStyle w:val="000000000000" w:firstRow="0" w:lastRow="0" w:firstColumn="0" w:lastColumn="0" w:oddVBand="0" w:evenVBand="0" w:oddHBand="0" w:evenHBand="0" w:firstRowFirstColumn="0" w:firstRowLastColumn="0" w:lastRowFirstColumn="0" w:lastRowLastColumn="0"/>
            </w:pPr>
            <w:r w:rsidRPr="007B4530">
              <w:t>21,209</w:t>
            </w:r>
          </w:p>
        </w:tc>
      </w:tr>
      <w:tr w:rsidR="00F65E51" w:rsidRPr="007B4530" w:rsidTr="00F65E51">
        <w:tc>
          <w:tcPr>
            <w:cnfStyle w:val="001000000000" w:firstRow="0" w:lastRow="0" w:firstColumn="1" w:lastColumn="0" w:oddVBand="0" w:evenVBand="0" w:oddHBand="0" w:evenHBand="0" w:firstRowFirstColumn="0" w:firstRowLastColumn="0" w:lastRowFirstColumn="0" w:lastRowLastColumn="0"/>
            <w:tcW w:w="3" w:type="pct"/>
            <w:tcBorders>
              <w:bottom w:val="single" w:sz="4" w:space="0" w:color="auto"/>
            </w:tcBorders>
            <w:noWrap/>
          </w:tcPr>
          <w:p w:rsidR="00F65E51" w:rsidRPr="007B4530" w:rsidRDefault="00F65E51" w:rsidP="00F65E51">
            <w:pPr>
              <w:pStyle w:val="TableBodyText"/>
            </w:pPr>
          </w:p>
        </w:tc>
        <w:tc>
          <w:tcPr>
            <w:tcW w:w="2525" w:type="pct"/>
            <w:tcBorders>
              <w:bottom w:val="single" w:sz="4" w:space="0" w:color="auto"/>
            </w:tcBorders>
            <w:noWrap/>
          </w:tcPr>
          <w:p w:rsidR="00F65E51" w:rsidRPr="007B4530" w:rsidRDefault="00F65E51" w:rsidP="00F65E51">
            <w:pPr>
              <w:pStyle w:val="TableBodyText"/>
              <w:jc w:val="left"/>
              <w:cnfStyle w:val="000000000000" w:firstRow="0" w:lastRow="0" w:firstColumn="0" w:lastColumn="0" w:oddVBand="0" w:evenVBand="0" w:oddHBand="0" w:evenHBand="0" w:firstRowFirstColumn="0" w:firstRowLastColumn="0" w:lastRowFirstColumn="0" w:lastRowLastColumn="0"/>
            </w:pPr>
            <w:r w:rsidRPr="00602408">
              <w:rPr>
                <w:rStyle w:val="Bold"/>
              </w:rPr>
              <w:t>Total property, plant and equipment </w:t>
            </w:r>
          </w:p>
        </w:tc>
        <w:tc>
          <w:tcPr>
            <w:tcW w:w="3" w:type="pct"/>
            <w:tcBorders>
              <w:bottom w:val="single" w:sz="4" w:space="0" w:color="auto"/>
            </w:tcBorders>
            <w:noWrap/>
          </w:tcPr>
          <w:p w:rsidR="00F65E51" w:rsidRPr="007B4530" w:rsidRDefault="00F65E51" w:rsidP="00F65E51">
            <w:pPr>
              <w:pStyle w:val="TableBodyText"/>
              <w:cnfStyle w:val="000000000000" w:firstRow="0" w:lastRow="0" w:firstColumn="0" w:lastColumn="0" w:oddVBand="0" w:evenVBand="0" w:oddHBand="0" w:evenHBand="0" w:firstRowFirstColumn="0" w:firstRowLastColumn="0" w:lastRowFirstColumn="0" w:lastRowLastColumn="0"/>
            </w:pPr>
          </w:p>
        </w:tc>
        <w:tc>
          <w:tcPr>
            <w:tcW w:w="3" w:type="pct"/>
            <w:tcBorders>
              <w:bottom w:val="single" w:sz="4" w:space="0" w:color="auto"/>
            </w:tcBorders>
            <w:noWrap/>
          </w:tcPr>
          <w:p w:rsidR="00F65E51" w:rsidRPr="007B4530" w:rsidRDefault="00F65E51" w:rsidP="00F65E51">
            <w:pPr>
              <w:pStyle w:val="TableBodyText"/>
              <w:cnfStyle w:val="000000000000" w:firstRow="0" w:lastRow="0" w:firstColumn="0" w:lastColumn="0" w:oddVBand="0" w:evenVBand="0" w:oddHBand="0" w:evenHBand="0" w:firstRowFirstColumn="0" w:firstRowLastColumn="0" w:lastRowFirstColumn="0" w:lastRowLastColumn="0"/>
            </w:pPr>
          </w:p>
        </w:tc>
        <w:tc>
          <w:tcPr>
            <w:tcW w:w="1233" w:type="pct"/>
            <w:tcBorders>
              <w:bottom w:val="single" w:sz="4" w:space="0" w:color="auto"/>
            </w:tcBorders>
            <w:shd w:val="clear" w:color="auto" w:fill="F3F3F3"/>
            <w:noWrap/>
          </w:tcPr>
          <w:p w:rsidR="00F65E51" w:rsidRPr="00602408" w:rsidRDefault="00F65E51" w:rsidP="00F65E5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975,236</w:t>
            </w:r>
          </w:p>
        </w:tc>
        <w:tc>
          <w:tcPr>
            <w:tcW w:w="1233" w:type="pct"/>
            <w:tcBorders>
              <w:bottom w:val="single" w:sz="4" w:space="0" w:color="auto"/>
            </w:tcBorders>
            <w:noWrap/>
          </w:tcPr>
          <w:p w:rsidR="00F65E51" w:rsidRPr="00602408" w:rsidRDefault="00F65E51" w:rsidP="00F65E5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964,545</w:t>
            </w:r>
          </w:p>
        </w:tc>
      </w:tr>
    </w:tbl>
    <w:p w:rsidR="00602408" w:rsidRDefault="00602408" w:rsidP="00602408">
      <w:pPr>
        <w:pStyle w:val="BodyText"/>
      </w:pPr>
      <w:r>
        <w:t>Notes:</w:t>
      </w:r>
    </w:p>
    <w:p w:rsidR="00602408" w:rsidRDefault="00602408" w:rsidP="00134615">
      <w:pPr>
        <w:pStyle w:val="ListNumber"/>
        <w:numPr>
          <w:ilvl w:val="0"/>
          <w:numId w:val="34"/>
        </w:numPr>
      </w:pPr>
      <w:bookmarkStart w:id="36" w:name="CarryingValues1"/>
      <w:bookmarkEnd w:id="36"/>
      <w:r>
        <w:t xml:space="preserve">An independent revaluation of CSV land, buildings and cultural assets was performed by the </w:t>
      </w:r>
      <w:proofErr w:type="spellStart"/>
      <w:r>
        <w:t>Valuer</w:t>
      </w:r>
      <w:proofErr w:type="spellEnd"/>
      <w:r w:rsidRPr="00134615">
        <w:rPr>
          <w:rFonts w:ascii="Cambria Math" w:hAnsi="Cambria Math" w:cs="Cambria Math"/>
        </w:rPr>
        <w:t>‐</w:t>
      </w:r>
      <w:r>
        <w:t xml:space="preserve">General of Victoria as at 30 June 2016. </w:t>
      </w:r>
    </w:p>
    <w:p w:rsidR="00602408" w:rsidRDefault="00602408" w:rsidP="00134615">
      <w:pPr>
        <w:pStyle w:val="ListNumber"/>
      </w:pPr>
      <w:bookmarkStart w:id="37" w:name="CarryingValues2"/>
      <w:bookmarkEnd w:id="37"/>
      <w:r>
        <w:t>Fair value of finance leasehold buildings and improvements is depreciated replacement cost.</w:t>
      </w:r>
    </w:p>
    <w:p w:rsidR="00602408" w:rsidRDefault="00602408" w:rsidP="00134615">
      <w:pPr>
        <w:pStyle w:val="ListNumber"/>
      </w:pPr>
      <w:bookmarkStart w:id="38" w:name="CarryingValues3"/>
      <w:bookmarkEnd w:id="38"/>
      <w:r>
        <w:t xml:space="preserve">The fair value of plant, equipment, </w:t>
      </w:r>
      <w:proofErr w:type="gramStart"/>
      <w:r>
        <w:t>computer</w:t>
      </w:r>
      <w:proofErr w:type="gramEnd"/>
      <w:r>
        <w:t xml:space="preserve"> and telecommunications assets is depreciated cost. This represents a reasonable approximation of fair value as there is no evidence of a reliable market</w:t>
      </w:r>
      <w:r w:rsidRPr="00602408">
        <w:rPr>
          <w:rFonts w:ascii="Cambria Math" w:hAnsi="Cambria Math" w:cs="Cambria Math"/>
        </w:rPr>
        <w:t>‐</w:t>
      </w:r>
      <w:r>
        <w:t>based fair value for this class of asset.</w:t>
      </w:r>
    </w:p>
    <w:p w:rsidR="00602408" w:rsidRDefault="00602408" w:rsidP="00134615">
      <w:pPr>
        <w:pStyle w:val="ListNumber"/>
        <w:sectPr w:rsidR="00602408" w:rsidSect="003475E2">
          <w:pgSz w:w="11906" w:h="16838"/>
          <w:pgMar w:top="1134" w:right="1134" w:bottom="1134" w:left="1134" w:header="708" w:footer="284" w:gutter="0"/>
          <w:cols w:space="708"/>
          <w:titlePg/>
          <w:docGrid w:linePitch="360"/>
        </w:sectPr>
      </w:pPr>
      <w:bookmarkStart w:id="39" w:name="CarryingValues4"/>
      <w:bookmarkEnd w:id="39"/>
      <w:r>
        <w:t xml:space="preserve">Property, plant, equipment, computer and telecommunications assets are classified primarily by the ‘purpose’ for which the assets are used, according to one of six purpose groups based upon government purpose classifications. All assets in a purpose group are further sub </w:t>
      </w:r>
      <w:r w:rsidRPr="00602408">
        <w:rPr>
          <w:rFonts w:ascii="Cambria Math" w:hAnsi="Cambria Math" w:cs="Cambria Math"/>
        </w:rPr>
        <w:t>‐</w:t>
      </w:r>
      <w:r>
        <w:t xml:space="preserve"> categorised according to the asset</w:t>
      </w:r>
      <w:r w:rsidRPr="00602408">
        <w:rPr>
          <w:rFonts w:cs="Arial"/>
        </w:rPr>
        <w:t>’</w:t>
      </w:r>
      <w:r>
        <w:t xml:space="preserve">s </w:t>
      </w:r>
      <w:r w:rsidRPr="00602408">
        <w:rPr>
          <w:rFonts w:cs="Arial"/>
        </w:rPr>
        <w:t>‘</w:t>
      </w:r>
      <w:r>
        <w:t>nature</w:t>
      </w:r>
      <w:r w:rsidRPr="00602408">
        <w:rPr>
          <w:rFonts w:cs="Arial"/>
        </w:rPr>
        <w:t>’</w:t>
      </w:r>
      <w:r>
        <w:t xml:space="preserve"> (e.g. buildings, plant etc.), with each sub </w:t>
      </w:r>
      <w:r w:rsidRPr="00602408">
        <w:rPr>
          <w:rFonts w:ascii="Cambria Math" w:hAnsi="Cambria Math" w:cs="Cambria Math"/>
        </w:rPr>
        <w:t>‐</w:t>
      </w:r>
      <w:r>
        <w:t xml:space="preserve"> category being classified as a separate class of asset for financial reporting purposes.</w:t>
      </w:r>
    </w:p>
    <w:p w:rsidR="007B4530" w:rsidRDefault="00602408" w:rsidP="00602408">
      <w:pPr>
        <w:pStyle w:val="Heading3"/>
      </w:pPr>
      <w:r w:rsidRPr="00602408">
        <w:lastRenderedPageBreak/>
        <w:t>Reconciliation of movements in carrying values of property, plant and equipment</w:t>
      </w:r>
    </w:p>
    <w:p w:rsidR="00134615" w:rsidRPr="00134615" w:rsidRDefault="00134615" w:rsidP="00134615">
      <w:pPr>
        <w:pStyle w:val="Caption"/>
        <w:spacing w:before="0"/>
      </w:pPr>
      <w:r>
        <w:t>2017</w:t>
      </w:r>
    </w:p>
    <w:tbl>
      <w:tblPr>
        <w:tblStyle w:val="FinancialTable"/>
        <w:tblW w:w="5000" w:type="pct"/>
        <w:tblLook w:val="04A0" w:firstRow="1" w:lastRow="0" w:firstColumn="1" w:lastColumn="0" w:noHBand="0" w:noVBand="1"/>
      </w:tblPr>
      <w:tblGrid>
        <w:gridCol w:w="3603"/>
        <w:gridCol w:w="832"/>
        <w:gridCol w:w="1300"/>
        <w:gridCol w:w="973"/>
        <w:gridCol w:w="1372"/>
        <w:gridCol w:w="1052"/>
        <w:gridCol w:w="1472"/>
        <w:gridCol w:w="1061"/>
        <w:gridCol w:w="833"/>
        <w:gridCol w:w="1233"/>
        <w:gridCol w:w="839"/>
      </w:tblGrid>
      <w:tr w:rsidR="00602408" w:rsidRPr="00602408" w:rsidTr="006024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6" w:type="pct"/>
            <w:noWrap/>
            <w:hideMark/>
          </w:tcPr>
          <w:p w:rsidR="00602408" w:rsidRPr="00602408" w:rsidRDefault="00134615" w:rsidP="00602408">
            <w:pPr>
              <w:pStyle w:val="TableBodyText"/>
              <w:rPr>
                <w:rStyle w:val="Bold"/>
              </w:rPr>
            </w:pPr>
            <w:r>
              <w:rPr>
                <w:rStyle w:val="Bold"/>
              </w:rPr>
              <w:t>Item</w:t>
            </w:r>
          </w:p>
        </w:tc>
        <w:tc>
          <w:tcPr>
            <w:tcW w:w="286" w:type="pct"/>
            <w:shd w:val="clear" w:color="auto" w:fill="F3F3F3"/>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Land at fair value</w:t>
            </w:r>
            <w:r w:rsidRPr="00602408">
              <w:rPr>
                <w:rStyle w:val="Bold"/>
              </w:rPr>
              <w:br/>
              <w:t>$’000</w:t>
            </w:r>
          </w:p>
        </w:tc>
        <w:tc>
          <w:tcPr>
            <w:tcW w:w="446" w:type="pct"/>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Buildings at fair value</w:t>
            </w:r>
            <w:r w:rsidRPr="00602408">
              <w:rPr>
                <w:rStyle w:val="Bold"/>
              </w:rPr>
              <w:br/>
              <w:t>$’000</w:t>
            </w:r>
          </w:p>
        </w:tc>
        <w:tc>
          <w:tcPr>
            <w:tcW w:w="334" w:type="pct"/>
            <w:shd w:val="clear" w:color="auto" w:fill="F3F3F3"/>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Buildings leasehold at fair value</w:t>
            </w:r>
            <w:r w:rsidRPr="00602408">
              <w:rPr>
                <w:rStyle w:val="Bold"/>
              </w:rPr>
              <w:br/>
              <w:t>$’000</w:t>
            </w:r>
          </w:p>
        </w:tc>
        <w:tc>
          <w:tcPr>
            <w:tcW w:w="471" w:type="pct"/>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Leasehold improvements at fair value</w:t>
            </w:r>
            <w:r w:rsidRPr="00602408">
              <w:rPr>
                <w:rStyle w:val="Bold"/>
              </w:rPr>
              <w:br/>
              <w:t>$’000</w:t>
            </w:r>
          </w:p>
        </w:tc>
        <w:tc>
          <w:tcPr>
            <w:tcW w:w="361" w:type="pct"/>
            <w:shd w:val="clear" w:color="auto" w:fill="F3F3F3"/>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Plant and equipment at fair value</w:t>
            </w:r>
            <w:r w:rsidRPr="00602408">
              <w:rPr>
                <w:rStyle w:val="Bold"/>
              </w:rPr>
              <w:br/>
              <w:t>$’000</w:t>
            </w:r>
          </w:p>
        </w:tc>
        <w:tc>
          <w:tcPr>
            <w:tcW w:w="505" w:type="pct"/>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Computer &amp; communication equipment</w:t>
            </w:r>
            <w:r w:rsidRPr="00602408">
              <w:rPr>
                <w:rStyle w:val="Bold"/>
              </w:rPr>
              <w:br/>
              <w:t>$’000</w:t>
            </w:r>
          </w:p>
        </w:tc>
        <w:tc>
          <w:tcPr>
            <w:tcW w:w="364" w:type="pct"/>
            <w:shd w:val="clear" w:color="auto" w:fill="F3F3F3"/>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Leased plant &amp; equipment at fair value</w:t>
            </w:r>
            <w:r w:rsidRPr="00602408">
              <w:rPr>
                <w:rStyle w:val="Bold"/>
              </w:rPr>
              <w:br/>
              <w:t>$’000</w:t>
            </w:r>
          </w:p>
        </w:tc>
        <w:tc>
          <w:tcPr>
            <w:tcW w:w="286" w:type="pct"/>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Cultural assets at fair value</w:t>
            </w:r>
            <w:r w:rsidRPr="00602408">
              <w:rPr>
                <w:rStyle w:val="Bold"/>
              </w:rPr>
              <w:br/>
              <w:t>$’000</w:t>
            </w:r>
          </w:p>
        </w:tc>
        <w:tc>
          <w:tcPr>
            <w:tcW w:w="423" w:type="pct"/>
            <w:shd w:val="clear" w:color="auto" w:fill="F3F3F3"/>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Assets under construction at cost</w:t>
            </w:r>
            <w:r w:rsidRPr="00602408">
              <w:rPr>
                <w:rStyle w:val="Bold"/>
              </w:rPr>
              <w:br/>
              <w:t>$’000</w:t>
            </w:r>
          </w:p>
        </w:tc>
        <w:tc>
          <w:tcPr>
            <w:tcW w:w="288" w:type="pct"/>
            <w:hideMark/>
          </w:tcPr>
          <w:p w:rsidR="00602408" w:rsidRPr="00602408" w:rsidRDefault="00602408" w:rsidP="0060240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602408">
              <w:rPr>
                <w:rStyle w:val="Bold"/>
              </w:rPr>
              <w:t>Total</w:t>
            </w:r>
            <w:r w:rsidRPr="00602408">
              <w:rPr>
                <w:rStyle w:val="Bold"/>
              </w:rPr>
              <w:br/>
              <w:t>$’000</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noWrap/>
            <w:hideMark/>
          </w:tcPr>
          <w:p w:rsidR="00602408" w:rsidRPr="00602408" w:rsidRDefault="00602408" w:rsidP="00602408">
            <w:pPr>
              <w:pStyle w:val="TableBodyText"/>
            </w:pPr>
            <w:r w:rsidRPr="00602408">
              <w:t>Opening balance</w:t>
            </w:r>
          </w:p>
        </w:tc>
        <w:tc>
          <w:tcPr>
            <w:tcW w:w="286"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343,911</w:t>
            </w:r>
          </w:p>
        </w:tc>
        <w:tc>
          <w:tcPr>
            <w:tcW w:w="446"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365,171</w:t>
            </w:r>
          </w:p>
        </w:tc>
        <w:tc>
          <w:tcPr>
            <w:tcW w:w="334"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202,099</w:t>
            </w:r>
          </w:p>
        </w:tc>
        <w:tc>
          <w:tcPr>
            <w:tcW w:w="471"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15,814</w:t>
            </w:r>
          </w:p>
        </w:tc>
        <w:tc>
          <w:tcPr>
            <w:tcW w:w="361"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2,722</w:t>
            </w:r>
          </w:p>
        </w:tc>
        <w:tc>
          <w:tcPr>
            <w:tcW w:w="505"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4,288</w:t>
            </w:r>
          </w:p>
        </w:tc>
        <w:tc>
          <w:tcPr>
            <w:tcW w:w="364"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8,465</w:t>
            </w:r>
          </w:p>
        </w:tc>
        <w:tc>
          <w:tcPr>
            <w:tcW w:w="286"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866</w:t>
            </w:r>
          </w:p>
        </w:tc>
        <w:tc>
          <w:tcPr>
            <w:tcW w:w="423"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21,209</w:t>
            </w:r>
          </w:p>
        </w:tc>
        <w:tc>
          <w:tcPr>
            <w:tcW w:w="288"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 xml:space="preserve">964,545 </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noWrap/>
            <w:hideMark/>
          </w:tcPr>
          <w:p w:rsidR="00602408" w:rsidRPr="00602408" w:rsidRDefault="00602408" w:rsidP="00602408">
            <w:pPr>
              <w:pStyle w:val="TableBodyText"/>
            </w:pPr>
            <w:r w:rsidRPr="00602408">
              <w:t>Additions</w:t>
            </w:r>
          </w:p>
        </w:tc>
        <w:tc>
          <w:tcPr>
            <w:tcW w:w="286"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4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6,075 </w:t>
            </w:r>
          </w:p>
        </w:tc>
        <w:tc>
          <w:tcPr>
            <w:tcW w:w="334"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174 </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19 </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4,971 </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30 </w:t>
            </w:r>
          </w:p>
        </w:tc>
        <w:tc>
          <w:tcPr>
            <w:tcW w:w="423"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33,302 </w:t>
            </w:r>
          </w:p>
        </w:tc>
        <w:tc>
          <w:tcPr>
            <w:tcW w:w="288"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 xml:space="preserve">44,572 </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noWrap/>
            <w:hideMark/>
          </w:tcPr>
          <w:p w:rsidR="00602408" w:rsidRPr="00602408" w:rsidRDefault="00602408" w:rsidP="00602408">
            <w:pPr>
              <w:pStyle w:val="TableBodyText"/>
            </w:pPr>
            <w:r w:rsidRPr="00602408">
              <w:t>Disposals</w:t>
            </w:r>
          </w:p>
        </w:tc>
        <w:tc>
          <w:tcPr>
            <w:tcW w:w="286"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4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4"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(1,632)</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8"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(1,632)</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noWrap/>
            <w:hideMark/>
          </w:tcPr>
          <w:p w:rsidR="00602408" w:rsidRPr="00602408" w:rsidRDefault="00602408" w:rsidP="00602408">
            <w:pPr>
              <w:pStyle w:val="TableBodyText"/>
            </w:pPr>
            <w:r w:rsidRPr="00602408">
              <w:t>Depreciation</w:t>
            </w:r>
          </w:p>
        </w:tc>
        <w:tc>
          <w:tcPr>
            <w:tcW w:w="286"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4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(23,362)</w:t>
            </w:r>
          </w:p>
        </w:tc>
        <w:tc>
          <w:tcPr>
            <w:tcW w:w="334"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(7,272)</w:t>
            </w:r>
          </w:p>
        </w:tc>
        <w:tc>
          <w:tcPr>
            <w:tcW w:w="471"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(973)</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(484)</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(1,217)</w:t>
            </w:r>
          </w:p>
        </w:tc>
        <w:tc>
          <w:tcPr>
            <w:tcW w:w="364"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(2,603)</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8"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(35,911)</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noWrap/>
            <w:hideMark/>
          </w:tcPr>
          <w:p w:rsidR="00602408" w:rsidRPr="00602408" w:rsidRDefault="00602408" w:rsidP="00602408">
            <w:pPr>
              <w:pStyle w:val="TableBodyText"/>
            </w:pPr>
            <w:r w:rsidRPr="00602408">
              <w:t>Revaluation of property</w:t>
            </w:r>
          </w:p>
        </w:tc>
        <w:tc>
          <w:tcPr>
            <w:tcW w:w="286"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4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2,281 </w:t>
            </w:r>
          </w:p>
        </w:tc>
        <w:tc>
          <w:tcPr>
            <w:tcW w:w="334"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1,606 </w:t>
            </w:r>
          </w:p>
        </w:tc>
        <w:tc>
          <w:tcPr>
            <w:tcW w:w="471"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8 </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8"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 xml:space="preserve">3,894 </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noWrap/>
            <w:hideMark/>
          </w:tcPr>
          <w:p w:rsidR="00602408" w:rsidRPr="00602408" w:rsidRDefault="00602408" w:rsidP="00602408">
            <w:pPr>
              <w:pStyle w:val="TableBodyText"/>
            </w:pPr>
            <w:r w:rsidRPr="00602408">
              <w:t>Transfer between asset classes</w:t>
            </w:r>
          </w:p>
        </w:tc>
        <w:tc>
          <w:tcPr>
            <w:tcW w:w="286"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4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9,441 </w:t>
            </w:r>
          </w:p>
        </w:tc>
        <w:tc>
          <w:tcPr>
            <w:tcW w:w="334"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(9,525)</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84 </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8"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(0)</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noWrap/>
            <w:hideMark/>
          </w:tcPr>
          <w:p w:rsidR="00602408" w:rsidRPr="00602408" w:rsidRDefault="00602408" w:rsidP="00602408">
            <w:pPr>
              <w:pStyle w:val="TableBodyText"/>
            </w:pPr>
            <w:r w:rsidRPr="00602408">
              <w:t>Transfer to disposal group held for sale</w:t>
            </w:r>
          </w:p>
        </w:tc>
        <w:tc>
          <w:tcPr>
            <w:tcW w:w="286"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4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4"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(233)</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8"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(233)</w:t>
            </w:r>
          </w:p>
        </w:tc>
      </w:tr>
      <w:tr w:rsidR="00602408" w:rsidRPr="00602408" w:rsidTr="00602408">
        <w:tc>
          <w:tcPr>
            <w:cnfStyle w:val="001000000000" w:firstRow="0" w:lastRow="0" w:firstColumn="1" w:lastColumn="0" w:oddVBand="0" w:evenVBand="0" w:oddHBand="0" w:evenHBand="0" w:firstRowFirstColumn="0" w:firstRowLastColumn="0" w:lastRowFirstColumn="0" w:lastRowLastColumn="0"/>
            <w:tcW w:w="1236" w:type="pct"/>
            <w:tcBorders>
              <w:bottom w:val="single" w:sz="4" w:space="0" w:color="auto"/>
            </w:tcBorders>
            <w:noWrap/>
            <w:hideMark/>
          </w:tcPr>
          <w:p w:rsidR="00602408" w:rsidRPr="00602408" w:rsidRDefault="00602408" w:rsidP="00602408">
            <w:pPr>
              <w:pStyle w:val="TableBodyText"/>
            </w:pPr>
            <w:r w:rsidRPr="00602408">
              <w:t>Transfer in/out of assets under construction</w:t>
            </w:r>
          </w:p>
        </w:tc>
        <w:tc>
          <w:tcPr>
            <w:tcW w:w="286" w:type="pct"/>
            <w:tcBorders>
              <w:bottom w:val="single" w:sz="4" w:space="0" w:color="auto"/>
            </w:tcBorders>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46" w:type="pct"/>
            <w:tcBorders>
              <w:bottom w:val="single" w:sz="4" w:space="0" w:color="auto"/>
            </w:tcBorders>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1,395 </w:t>
            </w:r>
          </w:p>
        </w:tc>
        <w:tc>
          <w:tcPr>
            <w:tcW w:w="334" w:type="pct"/>
            <w:tcBorders>
              <w:bottom w:val="single" w:sz="4" w:space="0" w:color="auto"/>
            </w:tcBorders>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tcBorders>
              <w:bottom w:val="single" w:sz="4" w:space="0" w:color="auto"/>
            </w:tcBorders>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tcBorders>
              <w:bottom w:val="single" w:sz="4" w:space="0" w:color="auto"/>
            </w:tcBorders>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05" w:type="pct"/>
            <w:tcBorders>
              <w:bottom w:val="single" w:sz="4" w:space="0" w:color="auto"/>
            </w:tcBorders>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1,804 </w:t>
            </w:r>
          </w:p>
        </w:tc>
        <w:tc>
          <w:tcPr>
            <w:tcW w:w="364" w:type="pct"/>
            <w:tcBorders>
              <w:bottom w:val="single" w:sz="4" w:space="0" w:color="auto"/>
            </w:tcBorders>
            <w:shd w:val="clear" w:color="auto" w:fill="F3F3F3"/>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6" w:type="pct"/>
            <w:tcBorders>
              <w:bottom w:val="single" w:sz="4" w:space="0" w:color="auto"/>
            </w:tcBorders>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tcBorders>
              <w:bottom w:val="single" w:sz="4" w:space="0" w:color="auto"/>
            </w:tcBorders>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(3,199)</w:t>
            </w:r>
          </w:p>
        </w:tc>
        <w:tc>
          <w:tcPr>
            <w:tcW w:w="288" w:type="pct"/>
            <w:tcBorders>
              <w:bottom w:val="single" w:sz="4" w:space="0" w:color="auto"/>
            </w:tcBorders>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 xml:space="preserve">0 </w:t>
            </w:r>
          </w:p>
        </w:tc>
      </w:tr>
      <w:tr w:rsidR="00380517" w:rsidRPr="00602408" w:rsidTr="00602408">
        <w:tc>
          <w:tcPr>
            <w:cnfStyle w:val="001000000000" w:firstRow="0" w:lastRow="0" w:firstColumn="1" w:lastColumn="0" w:oddVBand="0" w:evenVBand="0" w:oddHBand="0" w:evenHBand="0" w:firstRowFirstColumn="0" w:firstRowLastColumn="0" w:lastRowFirstColumn="0" w:lastRowLastColumn="0"/>
            <w:tcW w:w="1236" w:type="pct"/>
            <w:tcBorders>
              <w:top w:val="single" w:sz="4" w:space="0" w:color="auto"/>
              <w:bottom w:val="single" w:sz="4" w:space="0" w:color="auto"/>
            </w:tcBorders>
            <w:noWrap/>
            <w:hideMark/>
          </w:tcPr>
          <w:p w:rsidR="00380517" w:rsidRPr="00602408" w:rsidRDefault="00380517" w:rsidP="00380517">
            <w:pPr>
              <w:pStyle w:val="TableBodyText"/>
              <w:rPr>
                <w:rStyle w:val="Bold"/>
              </w:rPr>
            </w:pPr>
            <w:r w:rsidRPr="00602408">
              <w:rPr>
                <w:rStyle w:val="Bold"/>
              </w:rPr>
              <w:t>Closing balance</w:t>
            </w:r>
          </w:p>
        </w:tc>
        <w:tc>
          <w:tcPr>
            <w:tcW w:w="286" w:type="pct"/>
            <w:tcBorders>
              <w:top w:val="single" w:sz="4" w:space="0" w:color="auto"/>
              <w:bottom w:val="single" w:sz="4" w:space="0" w:color="auto"/>
            </w:tcBorders>
            <w:shd w:val="clear" w:color="auto" w:fill="F3F3F3"/>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343,911</w:t>
            </w:r>
          </w:p>
        </w:tc>
        <w:tc>
          <w:tcPr>
            <w:tcW w:w="446" w:type="pct"/>
            <w:tcBorders>
              <w:top w:val="single" w:sz="4" w:space="0" w:color="auto"/>
              <w:bottom w:val="single" w:sz="4" w:space="0" w:color="auto"/>
            </w:tcBorders>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361,000</w:t>
            </w:r>
          </w:p>
        </w:tc>
        <w:tc>
          <w:tcPr>
            <w:tcW w:w="334" w:type="pct"/>
            <w:tcBorders>
              <w:top w:val="single" w:sz="4" w:space="0" w:color="auto"/>
              <w:bottom w:val="single" w:sz="4" w:space="0" w:color="auto"/>
            </w:tcBorders>
            <w:shd w:val="clear" w:color="auto" w:fill="F3F3F3"/>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196,433</w:t>
            </w:r>
          </w:p>
        </w:tc>
        <w:tc>
          <w:tcPr>
            <w:tcW w:w="471" w:type="pct"/>
            <w:tcBorders>
              <w:top w:val="single" w:sz="4" w:space="0" w:color="auto"/>
              <w:bottom w:val="single" w:sz="4" w:space="0" w:color="auto"/>
            </w:tcBorders>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5,490</w:t>
            </w:r>
          </w:p>
        </w:tc>
        <w:tc>
          <w:tcPr>
            <w:tcW w:w="361" w:type="pct"/>
            <w:tcBorders>
              <w:top w:val="single" w:sz="4" w:space="0" w:color="auto"/>
              <w:bottom w:val="single" w:sz="4" w:space="0" w:color="auto"/>
            </w:tcBorders>
            <w:shd w:val="clear" w:color="auto" w:fill="F3F3F3"/>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2,350</w:t>
            </w:r>
          </w:p>
        </w:tc>
        <w:tc>
          <w:tcPr>
            <w:tcW w:w="505" w:type="pct"/>
            <w:tcBorders>
              <w:top w:val="single" w:sz="4" w:space="0" w:color="auto"/>
              <w:bottom w:val="single" w:sz="4" w:space="0" w:color="auto"/>
            </w:tcBorders>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4,875</w:t>
            </w:r>
          </w:p>
        </w:tc>
        <w:tc>
          <w:tcPr>
            <w:tcW w:w="364" w:type="pct"/>
            <w:tcBorders>
              <w:top w:val="single" w:sz="4" w:space="0" w:color="auto"/>
              <w:bottom w:val="single" w:sz="4" w:space="0" w:color="auto"/>
            </w:tcBorders>
            <w:shd w:val="clear" w:color="auto" w:fill="F3F3F3"/>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8,969</w:t>
            </w:r>
          </w:p>
        </w:tc>
        <w:tc>
          <w:tcPr>
            <w:tcW w:w="286" w:type="pct"/>
            <w:tcBorders>
              <w:top w:val="single" w:sz="4" w:space="0" w:color="auto"/>
              <w:bottom w:val="single" w:sz="4" w:space="0" w:color="auto"/>
            </w:tcBorders>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896</w:t>
            </w:r>
          </w:p>
        </w:tc>
        <w:tc>
          <w:tcPr>
            <w:tcW w:w="423" w:type="pct"/>
            <w:tcBorders>
              <w:top w:val="single" w:sz="4" w:space="0" w:color="auto"/>
              <w:bottom w:val="single" w:sz="4" w:space="0" w:color="auto"/>
            </w:tcBorders>
            <w:shd w:val="clear" w:color="auto" w:fill="F3F3F3"/>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51,313</w:t>
            </w:r>
          </w:p>
        </w:tc>
        <w:tc>
          <w:tcPr>
            <w:tcW w:w="288" w:type="pct"/>
            <w:tcBorders>
              <w:top w:val="single" w:sz="4" w:space="0" w:color="auto"/>
              <w:bottom w:val="single" w:sz="4" w:space="0" w:color="auto"/>
            </w:tcBorders>
            <w:hideMark/>
          </w:tcPr>
          <w:p w:rsidR="00380517"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975,236</w:t>
            </w:r>
          </w:p>
        </w:tc>
      </w:tr>
    </w:tbl>
    <w:p w:rsidR="00602408" w:rsidRDefault="00134615" w:rsidP="00134615">
      <w:pPr>
        <w:pStyle w:val="Caption"/>
        <w:spacing w:before="120"/>
      </w:pPr>
      <w:r>
        <w:t>2016</w:t>
      </w:r>
    </w:p>
    <w:tbl>
      <w:tblPr>
        <w:tblStyle w:val="FinancialTable"/>
        <w:tblW w:w="5000" w:type="pct"/>
        <w:tblLook w:val="04A0" w:firstRow="1" w:lastRow="0" w:firstColumn="1" w:lastColumn="0" w:noHBand="0" w:noVBand="1"/>
      </w:tblPr>
      <w:tblGrid>
        <w:gridCol w:w="3669"/>
        <w:gridCol w:w="833"/>
        <w:gridCol w:w="1253"/>
        <w:gridCol w:w="973"/>
        <w:gridCol w:w="1372"/>
        <w:gridCol w:w="1052"/>
        <w:gridCol w:w="1472"/>
        <w:gridCol w:w="1052"/>
        <w:gridCol w:w="833"/>
        <w:gridCol w:w="1233"/>
        <w:gridCol w:w="828"/>
      </w:tblGrid>
      <w:tr w:rsidR="00602408" w:rsidRPr="00134615" w:rsidTr="001346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noWrap/>
            <w:hideMark/>
          </w:tcPr>
          <w:p w:rsidR="00602408" w:rsidRPr="00134615" w:rsidRDefault="00134615" w:rsidP="00380517">
            <w:pPr>
              <w:pStyle w:val="TableBodyText"/>
              <w:rPr>
                <w:rStyle w:val="Bold"/>
              </w:rPr>
            </w:pPr>
            <w:r w:rsidRPr="00134615">
              <w:rPr>
                <w:rStyle w:val="Bold"/>
              </w:rPr>
              <w:t>Item</w:t>
            </w:r>
          </w:p>
        </w:tc>
        <w:tc>
          <w:tcPr>
            <w:tcW w:w="286" w:type="pct"/>
            <w:shd w:val="clear" w:color="auto" w:fill="F3F3F3"/>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Land at fair value</w:t>
            </w:r>
            <w:r w:rsidRPr="00134615">
              <w:rPr>
                <w:rStyle w:val="Bold"/>
              </w:rPr>
              <w:br/>
              <w:t>$’000</w:t>
            </w:r>
          </w:p>
        </w:tc>
        <w:tc>
          <w:tcPr>
            <w:tcW w:w="430" w:type="pct"/>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Buildings at fair value</w:t>
            </w:r>
            <w:r w:rsidRPr="00134615">
              <w:rPr>
                <w:rStyle w:val="Bold"/>
              </w:rPr>
              <w:br/>
              <w:t>$’000</w:t>
            </w:r>
          </w:p>
        </w:tc>
        <w:tc>
          <w:tcPr>
            <w:tcW w:w="334" w:type="pct"/>
            <w:shd w:val="clear" w:color="auto" w:fill="F3F3F3"/>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Buildings leasehold at fair value</w:t>
            </w:r>
            <w:r w:rsidRPr="00134615">
              <w:rPr>
                <w:rStyle w:val="Bold"/>
              </w:rPr>
              <w:br/>
              <w:t>$’000</w:t>
            </w:r>
          </w:p>
        </w:tc>
        <w:tc>
          <w:tcPr>
            <w:tcW w:w="471" w:type="pct"/>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Leasehold improvements at fair value</w:t>
            </w:r>
            <w:r w:rsidRPr="00134615">
              <w:rPr>
                <w:rStyle w:val="Bold"/>
              </w:rPr>
              <w:br/>
              <w:t>$’000</w:t>
            </w:r>
          </w:p>
        </w:tc>
        <w:tc>
          <w:tcPr>
            <w:tcW w:w="361" w:type="pct"/>
            <w:shd w:val="clear" w:color="auto" w:fill="F3F3F3"/>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Plant and equipment at fair value</w:t>
            </w:r>
            <w:r w:rsidRPr="00134615">
              <w:rPr>
                <w:rStyle w:val="Bold"/>
              </w:rPr>
              <w:br/>
              <w:t>$’000</w:t>
            </w:r>
          </w:p>
        </w:tc>
        <w:tc>
          <w:tcPr>
            <w:tcW w:w="505" w:type="pct"/>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Computer &amp; communication equipment</w:t>
            </w:r>
            <w:r w:rsidRPr="00134615">
              <w:rPr>
                <w:rStyle w:val="Bold"/>
              </w:rPr>
              <w:br/>
              <w:t>$’000</w:t>
            </w:r>
          </w:p>
        </w:tc>
        <w:tc>
          <w:tcPr>
            <w:tcW w:w="361" w:type="pct"/>
            <w:shd w:val="clear" w:color="auto" w:fill="F3F3F3"/>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Leased plant &amp; equipment at fair value</w:t>
            </w:r>
            <w:r w:rsidRPr="00134615">
              <w:rPr>
                <w:rStyle w:val="Bold"/>
              </w:rPr>
              <w:br/>
              <w:t>$’000</w:t>
            </w:r>
          </w:p>
        </w:tc>
        <w:tc>
          <w:tcPr>
            <w:tcW w:w="286" w:type="pct"/>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Cultural assets at fair value</w:t>
            </w:r>
            <w:r w:rsidRPr="00134615">
              <w:rPr>
                <w:rStyle w:val="Bold"/>
              </w:rPr>
              <w:br/>
              <w:t>$’000</w:t>
            </w:r>
          </w:p>
        </w:tc>
        <w:tc>
          <w:tcPr>
            <w:tcW w:w="423" w:type="pct"/>
            <w:shd w:val="clear" w:color="auto" w:fill="F3F3F3"/>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Assets under construction at cost</w:t>
            </w:r>
            <w:r w:rsidRPr="00134615">
              <w:rPr>
                <w:rStyle w:val="Bold"/>
              </w:rPr>
              <w:br/>
              <w:t>$’000</w:t>
            </w:r>
          </w:p>
        </w:tc>
        <w:tc>
          <w:tcPr>
            <w:tcW w:w="284" w:type="pct"/>
            <w:hideMark/>
          </w:tcPr>
          <w:p w:rsidR="00602408" w:rsidRPr="00134615" w:rsidRDefault="00602408"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Total</w:t>
            </w:r>
            <w:r w:rsidRPr="00134615">
              <w:rPr>
                <w:rStyle w:val="Bold"/>
              </w:rPr>
              <w:br/>
              <w:t>$’000</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Opening balance</w:t>
            </w:r>
          </w:p>
        </w:tc>
        <w:tc>
          <w:tcPr>
            <w:tcW w:w="286"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163,016</w:t>
            </w:r>
          </w:p>
        </w:tc>
        <w:tc>
          <w:tcPr>
            <w:tcW w:w="430"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304,395</w:t>
            </w:r>
          </w:p>
        </w:tc>
        <w:tc>
          <w:tcPr>
            <w:tcW w:w="334"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207,822</w:t>
            </w:r>
          </w:p>
        </w:tc>
        <w:tc>
          <w:tcPr>
            <w:tcW w:w="471"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17,516</w:t>
            </w:r>
          </w:p>
        </w:tc>
        <w:tc>
          <w:tcPr>
            <w:tcW w:w="361"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5,670</w:t>
            </w:r>
          </w:p>
        </w:tc>
        <w:tc>
          <w:tcPr>
            <w:tcW w:w="505"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5,214</w:t>
            </w:r>
          </w:p>
        </w:tc>
        <w:tc>
          <w:tcPr>
            <w:tcW w:w="361"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7,387</w:t>
            </w:r>
          </w:p>
        </w:tc>
        <w:tc>
          <w:tcPr>
            <w:tcW w:w="286"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826</w:t>
            </w:r>
          </w:p>
        </w:tc>
        <w:tc>
          <w:tcPr>
            <w:tcW w:w="423" w:type="pct"/>
            <w:shd w:val="clear" w:color="auto" w:fill="F3F3F3"/>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14,725</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726,571</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Additions</w:t>
            </w:r>
          </w:p>
        </w:tc>
        <w:tc>
          <w:tcPr>
            <w:tcW w:w="286"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0"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14 </w:t>
            </w:r>
          </w:p>
        </w:tc>
        <w:tc>
          <w:tcPr>
            <w:tcW w:w="334"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77 </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28 </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5,496 </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9 </w:t>
            </w:r>
          </w:p>
        </w:tc>
        <w:tc>
          <w:tcPr>
            <w:tcW w:w="423"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20,997 </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26,622</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Disposals</w:t>
            </w:r>
          </w:p>
        </w:tc>
        <w:tc>
          <w:tcPr>
            <w:tcW w:w="286"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0"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4"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hideMark/>
          </w:tcPr>
          <w:p w:rsidR="00602408" w:rsidRPr="00602408" w:rsidRDefault="00602408" w:rsidP="00380517">
            <w:pPr>
              <w:pStyle w:val="TableBodyText"/>
              <w:cnfStyle w:val="000000000000" w:firstRow="0" w:lastRow="0" w:firstColumn="0" w:lastColumn="0" w:oddVBand="0" w:evenVBand="0" w:oddHBand="0" w:evenHBand="0" w:firstRowFirstColumn="0" w:firstRowLastColumn="0" w:lastRowFirstColumn="0" w:lastRowLastColumn="0"/>
            </w:pPr>
            <w:r w:rsidRPr="00602408">
              <w:t>(9)</w:t>
            </w:r>
          </w:p>
        </w:tc>
        <w:tc>
          <w:tcPr>
            <w:tcW w:w="505"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hideMark/>
          </w:tcPr>
          <w:p w:rsidR="00602408" w:rsidRPr="00602408" w:rsidRDefault="00602408" w:rsidP="00380517">
            <w:pPr>
              <w:pStyle w:val="TableBodyText"/>
              <w:cnfStyle w:val="000000000000" w:firstRow="0" w:lastRow="0" w:firstColumn="0" w:lastColumn="0" w:oddVBand="0" w:evenVBand="0" w:oddHBand="0" w:evenHBand="0" w:firstRowFirstColumn="0" w:firstRowLastColumn="0" w:lastRowFirstColumn="0" w:lastRowLastColumn="0"/>
            </w:pPr>
            <w:r w:rsidRPr="00602408">
              <w:t>(1,567)</w:t>
            </w:r>
          </w:p>
        </w:tc>
        <w:tc>
          <w:tcPr>
            <w:tcW w:w="286"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(1,576)</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 xml:space="preserve">Machinery of government transfer in </w:t>
            </w:r>
          </w:p>
        </w:tc>
        <w:tc>
          <w:tcPr>
            <w:tcW w:w="286"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49,120 </w:t>
            </w:r>
          </w:p>
        </w:tc>
        <w:tc>
          <w:tcPr>
            <w:tcW w:w="430"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4,316 </w:t>
            </w:r>
          </w:p>
        </w:tc>
        <w:tc>
          <w:tcPr>
            <w:tcW w:w="334"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05"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6"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53,436</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Depreciation</w:t>
            </w:r>
          </w:p>
        </w:tc>
        <w:tc>
          <w:tcPr>
            <w:tcW w:w="286"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0"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(10,893)</w:t>
            </w:r>
          </w:p>
        </w:tc>
        <w:tc>
          <w:tcPr>
            <w:tcW w:w="334"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(5,723)</w:t>
            </w:r>
          </w:p>
        </w:tc>
        <w:tc>
          <w:tcPr>
            <w:tcW w:w="471"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(2,198)</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(500)</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(819)</w:t>
            </w:r>
          </w:p>
        </w:tc>
        <w:tc>
          <w:tcPr>
            <w:tcW w:w="361" w:type="pct"/>
            <w:shd w:val="clear" w:color="auto" w:fill="F3F3F3"/>
            <w:hideMark/>
          </w:tcPr>
          <w:p w:rsidR="00602408" w:rsidRPr="00602408" w:rsidRDefault="00602408" w:rsidP="00380517">
            <w:pPr>
              <w:pStyle w:val="TableBodyText"/>
              <w:cnfStyle w:val="000000000000" w:firstRow="0" w:lastRow="0" w:firstColumn="0" w:lastColumn="0" w:oddVBand="0" w:evenVBand="0" w:oddHBand="0" w:evenHBand="0" w:firstRowFirstColumn="0" w:firstRowLastColumn="0" w:lastRowFirstColumn="0" w:lastRowLastColumn="0"/>
            </w:pPr>
            <w:r w:rsidRPr="00602408">
              <w:t>(2,699)</w:t>
            </w:r>
          </w:p>
        </w:tc>
        <w:tc>
          <w:tcPr>
            <w:tcW w:w="286"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(22,833)</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Revaluation of property</w:t>
            </w:r>
          </w:p>
        </w:tc>
        <w:tc>
          <w:tcPr>
            <w:tcW w:w="286"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131,775 </w:t>
            </w:r>
          </w:p>
        </w:tc>
        <w:tc>
          <w:tcPr>
            <w:tcW w:w="430"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51,068 </w:t>
            </w:r>
          </w:p>
        </w:tc>
        <w:tc>
          <w:tcPr>
            <w:tcW w:w="334"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05"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6"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31 </w:t>
            </w:r>
          </w:p>
        </w:tc>
        <w:tc>
          <w:tcPr>
            <w:tcW w:w="423"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182,874</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Transfer between asset classes</w:t>
            </w:r>
          </w:p>
        </w:tc>
        <w:tc>
          <w:tcPr>
            <w:tcW w:w="286"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0"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669 </w:t>
            </w:r>
          </w:p>
        </w:tc>
        <w:tc>
          <w:tcPr>
            <w:tcW w:w="334"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(2,516)</w:t>
            </w:r>
          </w:p>
        </w:tc>
        <w:tc>
          <w:tcPr>
            <w:tcW w:w="505" w:type="pct"/>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(135)</w:t>
            </w:r>
          </w:p>
        </w:tc>
        <w:tc>
          <w:tcPr>
            <w:tcW w:w="361"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6"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1,585 </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(396)</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noWrap/>
            <w:hideMark/>
          </w:tcPr>
          <w:p w:rsidR="00602408" w:rsidRPr="00602408" w:rsidRDefault="00602408" w:rsidP="00380517">
            <w:pPr>
              <w:pStyle w:val="TableBodyText"/>
            </w:pPr>
            <w:r w:rsidRPr="00602408">
              <w:t>Transfer to disposal group held for sale</w:t>
            </w:r>
          </w:p>
        </w:tc>
        <w:tc>
          <w:tcPr>
            <w:tcW w:w="286"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0"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4"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05"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shd w:val="clear" w:color="auto" w:fill="F3F3F3"/>
            <w:hideMark/>
          </w:tcPr>
          <w:p w:rsidR="00602408" w:rsidRPr="00602408" w:rsidRDefault="00602408" w:rsidP="00380517">
            <w:pPr>
              <w:pStyle w:val="TableBodyText"/>
              <w:cnfStyle w:val="000000000000" w:firstRow="0" w:lastRow="0" w:firstColumn="0" w:lastColumn="0" w:oddVBand="0" w:evenVBand="0" w:oddHBand="0" w:evenHBand="0" w:firstRowFirstColumn="0" w:firstRowLastColumn="0" w:lastRowFirstColumn="0" w:lastRowLastColumn="0"/>
            </w:pPr>
            <w:r w:rsidRPr="00602408">
              <w:t>(153)</w:t>
            </w:r>
          </w:p>
        </w:tc>
        <w:tc>
          <w:tcPr>
            <w:tcW w:w="286" w:type="pct"/>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4" w:type="pct"/>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(153)</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tcBorders>
              <w:bottom w:val="single" w:sz="4" w:space="0" w:color="auto"/>
            </w:tcBorders>
            <w:noWrap/>
            <w:hideMark/>
          </w:tcPr>
          <w:p w:rsidR="00602408" w:rsidRPr="00602408" w:rsidRDefault="00602408" w:rsidP="00380517">
            <w:pPr>
              <w:pStyle w:val="TableBodyText"/>
            </w:pPr>
            <w:r w:rsidRPr="00602408">
              <w:t>Transfer in/out of assets under construction</w:t>
            </w:r>
          </w:p>
        </w:tc>
        <w:tc>
          <w:tcPr>
            <w:tcW w:w="286" w:type="pct"/>
            <w:tcBorders>
              <w:bottom w:val="single" w:sz="4" w:space="0" w:color="auto"/>
            </w:tcBorders>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0" w:type="pct"/>
            <w:tcBorders>
              <w:bottom w:val="single" w:sz="4" w:space="0" w:color="auto"/>
            </w:tcBorders>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15,602 </w:t>
            </w:r>
          </w:p>
        </w:tc>
        <w:tc>
          <w:tcPr>
            <w:tcW w:w="334" w:type="pct"/>
            <w:tcBorders>
              <w:bottom w:val="single" w:sz="4" w:space="0" w:color="auto"/>
            </w:tcBorders>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71" w:type="pct"/>
            <w:tcBorders>
              <w:bottom w:val="single" w:sz="4" w:space="0" w:color="auto"/>
            </w:tcBorders>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 xml:space="preserve">496 </w:t>
            </w:r>
          </w:p>
        </w:tc>
        <w:tc>
          <w:tcPr>
            <w:tcW w:w="361" w:type="pct"/>
            <w:tcBorders>
              <w:bottom w:val="single" w:sz="4" w:space="0" w:color="auto"/>
            </w:tcBorders>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05" w:type="pct"/>
            <w:tcBorders>
              <w:bottom w:val="single" w:sz="4" w:space="0" w:color="auto"/>
            </w:tcBorders>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1" w:type="pct"/>
            <w:tcBorders>
              <w:bottom w:val="single" w:sz="4" w:space="0" w:color="auto"/>
            </w:tcBorders>
            <w:shd w:val="clear" w:color="auto" w:fill="F3F3F3"/>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286" w:type="pct"/>
            <w:tcBorders>
              <w:bottom w:val="single" w:sz="4" w:space="0" w:color="auto"/>
            </w:tcBorders>
            <w:hideMark/>
          </w:tcPr>
          <w:p w:rsidR="00602408" w:rsidRPr="00602408"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23" w:type="pct"/>
            <w:tcBorders>
              <w:bottom w:val="single" w:sz="4" w:space="0" w:color="auto"/>
            </w:tcBorders>
            <w:shd w:val="clear" w:color="auto" w:fill="F3F3F3"/>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pPr>
            <w:r w:rsidRPr="00602408">
              <w:t>(16,098)</w:t>
            </w:r>
          </w:p>
        </w:tc>
        <w:tc>
          <w:tcPr>
            <w:tcW w:w="284" w:type="pct"/>
            <w:tcBorders>
              <w:bottom w:val="single" w:sz="4" w:space="0" w:color="auto"/>
            </w:tcBorders>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0</w:t>
            </w:r>
          </w:p>
        </w:tc>
      </w:tr>
      <w:tr w:rsidR="00602408" w:rsidRPr="00602408" w:rsidTr="00134615">
        <w:tc>
          <w:tcPr>
            <w:cnfStyle w:val="001000000000" w:firstRow="0" w:lastRow="0" w:firstColumn="1" w:lastColumn="0" w:oddVBand="0" w:evenVBand="0" w:oddHBand="0" w:evenHBand="0" w:firstRowFirstColumn="0" w:firstRowLastColumn="0" w:lastRowFirstColumn="0" w:lastRowLastColumn="0"/>
            <w:tcW w:w="1259" w:type="pct"/>
            <w:tcBorders>
              <w:top w:val="single" w:sz="4" w:space="0" w:color="auto"/>
              <w:bottom w:val="single" w:sz="4" w:space="0" w:color="auto"/>
            </w:tcBorders>
            <w:noWrap/>
            <w:hideMark/>
          </w:tcPr>
          <w:p w:rsidR="00602408" w:rsidRPr="00602408" w:rsidRDefault="00602408" w:rsidP="00380517">
            <w:pPr>
              <w:pStyle w:val="TableBodyText"/>
              <w:rPr>
                <w:rStyle w:val="Bold"/>
              </w:rPr>
            </w:pPr>
            <w:r w:rsidRPr="00602408">
              <w:rPr>
                <w:rStyle w:val="Bold"/>
              </w:rPr>
              <w:t>Closing balance</w:t>
            </w:r>
          </w:p>
        </w:tc>
        <w:tc>
          <w:tcPr>
            <w:tcW w:w="286" w:type="pct"/>
            <w:tcBorders>
              <w:top w:val="single" w:sz="4" w:space="0" w:color="auto"/>
              <w:bottom w:val="single" w:sz="4" w:space="0" w:color="auto"/>
            </w:tcBorders>
            <w:shd w:val="clear" w:color="auto" w:fill="F3F3F3"/>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343,911</w:t>
            </w:r>
          </w:p>
        </w:tc>
        <w:tc>
          <w:tcPr>
            <w:tcW w:w="430" w:type="pct"/>
            <w:tcBorders>
              <w:top w:val="single" w:sz="4" w:space="0" w:color="auto"/>
              <w:bottom w:val="single" w:sz="4" w:space="0" w:color="auto"/>
            </w:tcBorders>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365,171</w:t>
            </w:r>
          </w:p>
        </w:tc>
        <w:tc>
          <w:tcPr>
            <w:tcW w:w="334" w:type="pct"/>
            <w:tcBorders>
              <w:top w:val="single" w:sz="4" w:space="0" w:color="auto"/>
              <w:bottom w:val="single" w:sz="4" w:space="0" w:color="auto"/>
            </w:tcBorders>
            <w:shd w:val="clear" w:color="auto" w:fill="F3F3F3"/>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202,099</w:t>
            </w:r>
          </w:p>
        </w:tc>
        <w:tc>
          <w:tcPr>
            <w:tcW w:w="471" w:type="pct"/>
            <w:tcBorders>
              <w:top w:val="single" w:sz="4" w:space="0" w:color="auto"/>
              <w:bottom w:val="single" w:sz="4" w:space="0" w:color="auto"/>
            </w:tcBorders>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15,814</w:t>
            </w:r>
          </w:p>
        </w:tc>
        <w:tc>
          <w:tcPr>
            <w:tcW w:w="361" w:type="pct"/>
            <w:tcBorders>
              <w:top w:val="single" w:sz="4" w:space="0" w:color="auto"/>
              <w:bottom w:val="single" w:sz="4" w:space="0" w:color="auto"/>
            </w:tcBorders>
            <w:shd w:val="clear" w:color="auto" w:fill="F3F3F3"/>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2,722</w:t>
            </w:r>
          </w:p>
        </w:tc>
        <w:tc>
          <w:tcPr>
            <w:tcW w:w="505" w:type="pct"/>
            <w:tcBorders>
              <w:top w:val="single" w:sz="4" w:space="0" w:color="auto"/>
              <w:bottom w:val="single" w:sz="4" w:space="0" w:color="auto"/>
            </w:tcBorders>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4,288</w:t>
            </w:r>
          </w:p>
        </w:tc>
        <w:tc>
          <w:tcPr>
            <w:tcW w:w="361" w:type="pct"/>
            <w:tcBorders>
              <w:top w:val="single" w:sz="4" w:space="0" w:color="auto"/>
              <w:bottom w:val="single" w:sz="4" w:space="0" w:color="auto"/>
            </w:tcBorders>
            <w:shd w:val="clear" w:color="auto" w:fill="F3F3F3"/>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8,465</w:t>
            </w:r>
          </w:p>
        </w:tc>
        <w:tc>
          <w:tcPr>
            <w:tcW w:w="286" w:type="pct"/>
            <w:tcBorders>
              <w:top w:val="single" w:sz="4" w:space="0" w:color="auto"/>
              <w:bottom w:val="single" w:sz="4" w:space="0" w:color="auto"/>
            </w:tcBorders>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866</w:t>
            </w:r>
          </w:p>
        </w:tc>
        <w:tc>
          <w:tcPr>
            <w:tcW w:w="423" w:type="pct"/>
            <w:tcBorders>
              <w:top w:val="single" w:sz="4" w:space="0" w:color="auto"/>
              <w:bottom w:val="single" w:sz="4" w:space="0" w:color="auto"/>
            </w:tcBorders>
            <w:shd w:val="clear" w:color="auto" w:fill="F3F3F3"/>
            <w:noWrap/>
            <w:hideMark/>
          </w:tcPr>
          <w:p w:rsidR="00602408" w:rsidRPr="00602408"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602408">
              <w:rPr>
                <w:rStyle w:val="Bold"/>
              </w:rPr>
              <w:t>21,209</w:t>
            </w:r>
          </w:p>
        </w:tc>
        <w:tc>
          <w:tcPr>
            <w:tcW w:w="284" w:type="pct"/>
            <w:tcBorders>
              <w:top w:val="single" w:sz="4" w:space="0" w:color="auto"/>
              <w:bottom w:val="single" w:sz="4" w:space="0" w:color="auto"/>
            </w:tcBorders>
            <w:noWrap/>
            <w:hideMark/>
          </w:tcPr>
          <w:p w:rsidR="00602408" w:rsidRPr="00380517" w:rsidRDefault="00602408" w:rsidP="0060240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964,545</w:t>
            </w:r>
          </w:p>
        </w:tc>
      </w:tr>
    </w:tbl>
    <w:p w:rsidR="00F56D49" w:rsidRDefault="00F56D49" w:rsidP="00380517">
      <w:pPr>
        <w:pStyle w:val="Heading2"/>
        <w:sectPr w:rsidR="00F56D49" w:rsidSect="003475E2">
          <w:pgSz w:w="16838" w:h="11906" w:orient="landscape"/>
          <w:pgMar w:top="1134" w:right="1134" w:bottom="1134" w:left="1134" w:header="708" w:footer="284" w:gutter="0"/>
          <w:cols w:space="708"/>
          <w:titlePg/>
          <w:docGrid w:linePitch="360"/>
        </w:sectPr>
      </w:pPr>
    </w:p>
    <w:p w:rsidR="00380517" w:rsidRPr="00440FE9" w:rsidRDefault="00380517" w:rsidP="00440FE9">
      <w:pPr>
        <w:pStyle w:val="Heading2"/>
      </w:pPr>
      <w:bookmarkStart w:id="40" w:name="_Toc497125475"/>
      <w:r w:rsidRPr="00440FE9">
        <w:lastRenderedPageBreak/>
        <w:t>Intangible assets</w:t>
      </w:r>
      <w:bookmarkEnd w:id="40"/>
    </w:p>
    <w:tbl>
      <w:tblPr>
        <w:tblStyle w:val="FinancialTable"/>
        <w:tblW w:w="5000" w:type="pct"/>
        <w:tblLook w:val="04A0" w:firstRow="1" w:lastRow="0" w:firstColumn="1" w:lastColumn="0" w:noHBand="0" w:noVBand="1"/>
      </w:tblPr>
      <w:tblGrid>
        <w:gridCol w:w="6034"/>
        <w:gridCol w:w="1802"/>
        <w:gridCol w:w="1802"/>
      </w:tblGrid>
      <w:tr w:rsidR="00380517" w:rsidRPr="00380517" w:rsidTr="003805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4" w:type="pct"/>
            <w:noWrap/>
            <w:hideMark/>
          </w:tcPr>
          <w:p w:rsidR="00380517" w:rsidRPr="00380517" w:rsidRDefault="00380517" w:rsidP="00380517">
            <w:pPr>
              <w:pStyle w:val="TableBodyText"/>
              <w:rPr>
                <w:rStyle w:val="Bold"/>
              </w:rPr>
            </w:pPr>
            <w:r w:rsidRPr="00380517">
              <w:rPr>
                <w:rStyle w:val="Bold"/>
              </w:rPr>
              <w:t>Item</w:t>
            </w:r>
          </w:p>
        </w:tc>
        <w:tc>
          <w:tcPr>
            <w:tcW w:w="748" w:type="pct"/>
            <w:shd w:val="clear" w:color="auto" w:fill="F3F3F3"/>
            <w:noWrap/>
            <w:hideMark/>
          </w:tcPr>
          <w:p w:rsidR="00380517" w:rsidRPr="00380517" w:rsidRDefault="00380517"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80517">
              <w:rPr>
                <w:rStyle w:val="Bold"/>
              </w:rPr>
              <w:t xml:space="preserve">Computer Software </w:t>
            </w:r>
            <w:r w:rsidRPr="00380517">
              <w:rPr>
                <w:rStyle w:val="Bold"/>
              </w:rPr>
              <w:br/>
              <w:t>2017</w:t>
            </w:r>
            <w:r w:rsidRPr="00380517">
              <w:rPr>
                <w:rStyle w:val="Bold"/>
              </w:rPr>
              <w:br/>
              <w:t>$'000</w:t>
            </w:r>
          </w:p>
        </w:tc>
        <w:tc>
          <w:tcPr>
            <w:tcW w:w="748" w:type="pct"/>
            <w:noWrap/>
            <w:hideMark/>
          </w:tcPr>
          <w:p w:rsidR="00380517" w:rsidRPr="00380517" w:rsidRDefault="00380517" w:rsidP="00380517">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380517">
              <w:rPr>
                <w:rStyle w:val="Bold"/>
              </w:rPr>
              <w:t xml:space="preserve">Computer Software </w:t>
            </w:r>
            <w:r w:rsidRPr="00380517">
              <w:rPr>
                <w:rStyle w:val="Bold"/>
              </w:rPr>
              <w:br/>
              <w:t>2016</w:t>
            </w:r>
            <w:r w:rsidRPr="00380517">
              <w:rPr>
                <w:rStyle w:val="Bold"/>
              </w:rPr>
              <w:br/>
              <w:t>$'000</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noWrap/>
            <w:hideMark/>
          </w:tcPr>
          <w:p w:rsidR="00380517" w:rsidRPr="00380517" w:rsidRDefault="00380517" w:rsidP="00380517">
            <w:pPr>
              <w:pStyle w:val="TableBodyText"/>
              <w:rPr>
                <w:rStyle w:val="Bold"/>
              </w:rPr>
            </w:pPr>
            <w:r w:rsidRPr="00380517">
              <w:rPr>
                <w:rStyle w:val="Bold"/>
              </w:rPr>
              <w:t xml:space="preserve">Gross carrying amount </w:t>
            </w:r>
          </w:p>
        </w:tc>
        <w:tc>
          <w:tcPr>
            <w:tcW w:w="748" w:type="pct"/>
            <w:shd w:val="clear" w:color="auto" w:fill="F3F3F3"/>
            <w:noWrap/>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48" w:type="pct"/>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noWrap/>
            <w:hideMark/>
          </w:tcPr>
          <w:p w:rsidR="00380517" w:rsidRPr="00380517" w:rsidRDefault="00380517" w:rsidP="00380517">
            <w:pPr>
              <w:pStyle w:val="TableBodyText"/>
            </w:pPr>
            <w:r w:rsidRPr="00380517">
              <w:t>Opening balance</w:t>
            </w:r>
          </w:p>
        </w:tc>
        <w:tc>
          <w:tcPr>
            <w:tcW w:w="748" w:type="pct"/>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40,304</w:t>
            </w:r>
          </w:p>
        </w:tc>
        <w:tc>
          <w:tcPr>
            <w:tcW w:w="748" w:type="pct"/>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39,374</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noWrap/>
            <w:hideMark/>
          </w:tcPr>
          <w:p w:rsidR="00380517" w:rsidRPr="00380517" w:rsidRDefault="00380517" w:rsidP="00380517">
            <w:pPr>
              <w:pStyle w:val="TableBodyText"/>
            </w:pPr>
            <w:r w:rsidRPr="00380517">
              <w:t>Additions</w:t>
            </w:r>
          </w:p>
        </w:tc>
        <w:tc>
          <w:tcPr>
            <w:tcW w:w="748" w:type="pct"/>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 xml:space="preserve">43 </w:t>
            </w:r>
          </w:p>
        </w:tc>
        <w:tc>
          <w:tcPr>
            <w:tcW w:w="748" w:type="pct"/>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45</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noWrap/>
            <w:hideMark/>
          </w:tcPr>
          <w:p w:rsidR="00380517" w:rsidRPr="00380517" w:rsidRDefault="00380517" w:rsidP="00380517">
            <w:pPr>
              <w:pStyle w:val="TableBodyText"/>
            </w:pPr>
            <w:r w:rsidRPr="00380517">
              <w:t>Additions to work in progress</w:t>
            </w:r>
          </w:p>
        </w:tc>
        <w:tc>
          <w:tcPr>
            <w:tcW w:w="748" w:type="pct"/>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 xml:space="preserve">961 </w:t>
            </w:r>
          </w:p>
        </w:tc>
        <w:tc>
          <w:tcPr>
            <w:tcW w:w="748" w:type="pct"/>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488</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tcBorders>
              <w:bottom w:val="single" w:sz="4" w:space="0" w:color="auto"/>
            </w:tcBorders>
            <w:noWrap/>
            <w:hideMark/>
          </w:tcPr>
          <w:p w:rsidR="00380517" w:rsidRPr="00380517" w:rsidRDefault="00380517" w:rsidP="00380517">
            <w:pPr>
              <w:pStyle w:val="TableBodyText"/>
            </w:pPr>
            <w:r w:rsidRPr="00380517">
              <w:t>Transfer between asset classes</w:t>
            </w:r>
          </w:p>
        </w:tc>
        <w:tc>
          <w:tcPr>
            <w:tcW w:w="748" w:type="pct"/>
            <w:tcBorders>
              <w:bottom w:val="single" w:sz="4" w:space="0" w:color="auto"/>
            </w:tcBorders>
            <w:shd w:val="clear" w:color="auto" w:fill="F3F3F3"/>
            <w:noWrap/>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48" w:type="pct"/>
            <w:tcBorders>
              <w:bottom w:val="single" w:sz="4" w:space="0" w:color="auto"/>
            </w:tcBorders>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396</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tcBorders>
              <w:top w:val="single" w:sz="4" w:space="0" w:color="auto"/>
              <w:bottom w:val="single" w:sz="4" w:space="0" w:color="auto"/>
            </w:tcBorders>
            <w:noWrap/>
            <w:hideMark/>
          </w:tcPr>
          <w:p w:rsidR="00380517" w:rsidRPr="00380517" w:rsidRDefault="00380517" w:rsidP="00380517">
            <w:pPr>
              <w:pStyle w:val="TableBodyText"/>
              <w:rPr>
                <w:rStyle w:val="Bold"/>
              </w:rPr>
            </w:pPr>
            <w:r w:rsidRPr="00380517">
              <w:rPr>
                <w:rStyle w:val="Bold"/>
              </w:rPr>
              <w:t>Gross value at the end of the financial year</w:t>
            </w:r>
          </w:p>
        </w:tc>
        <w:tc>
          <w:tcPr>
            <w:tcW w:w="748" w:type="pct"/>
            <w:tcBorders>
              <w:top w:val="single" w:sz="4" w:space="0" w:color="auto"/>
              <w:bottom w:val="single" w:sz="4" w:space="0" w:color="auto"/>
            </w:tcBorders>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41,308</w:t>
            </w:r>
          </w:p>
        </w:tc>
        <w:tc>
          <w:tcPr>
            <w:tcW w:w="748" w:type="pct"/>
            <w:tcBorders>
              <w:top w:val="single" w:sz="4" w:space="0" w:color="auto"/>
              <w:bottom w:val="single" w:sz="4" w:space="0" w:color="auto"/>
            </w:tcBorders>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40,304</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tcBorders>
              <w:top w:val="single" w:sz="4" w:space="0" w:color="auto"/>
            </w:tcBorders>
            <w:noWrap/>
            <w:hideMark/>
          </w:tcPr>
          <w:p w:rsidR="00380517" w:rsidRPr="00380517" w:rsidRDefault="00380517" w:rsidP="00134615">
            <w:pPr>
              <w:pStyle w:val="TableBodyText"/>
              <w:spacing w:before="120"/>
              <w:rPr>
                <w:rStyle w:val="Bold"/>
              </w:rPr>
            </w:pPr>
            <w:r w:rsidRPr="00380517">
              <w:rPr>
                <w:rStyle w:val="Bold"/>
              </w:rPr>
              <w:t>Accumulated depreciation, amortisation and impairment</w:t>
            </w:r>
          </w:p>
        </w:tc>
        <w:tc>
          <w:tcPr>
            <w:tcW w:w="748" w:type="pct"/>
            <w:tcBorders>
              <w:top w:val="single" w:sz="4" w:space="0" w:color="auto"/>
            </w:tcBorders>
            <w:shd w:val="clear" w:color="auto" w:fill="F3F3F3"/>
            <w:noWrap/>
          </w:tcPr>
          <w:p w:rsidR="00380517" w:rsidRPr="00380517" w:rsidRDefault="00380517" w:rsidP="00134615">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48" w:type="pct"/>
            <w:tcBorders>
              <w:top w:val="single" w:sz="4" w:space="0" w:color="auto"/>
            </w:tcBorders>
            <w:noWrap/>
            <w:hideMark/>
          </w:tcPr>
          <w:p w:rsidR="00380517" w:rsidRPr="00380517" w:rsidRDefault="00380517" w:rsidP="00134615">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noWrap/>
            <w:hideMark/>
          </w:tcPr>
          <w:p w:rsidR="00380517" w:rsidRPr="00380517" w:rsidRDefault="00380517" w:rsidP="00380517">
            <w:pPr>
              <w:pStyle w:val="TableBodyText"/>
            </w:pPr>
            <w:r w:rsidRPr="00380517">
              <w:t>Opening balance</w:t>
            </w:r>
          </w:p>
        </w:tc>
        <w:tc>
          <w:tcPr>
            <w:tcW w:w="748" w:type="pct"/>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(15,069)</w:t>
            </w:r>
          </w:p>
        </w:tc>
        <w:tc>
          <w:tcPr>
            <w:tcW w:w="748" w:type="pct"/>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(7,412)</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tcBorders>
              <w:bottom w:val="single" w:sz="4" w:space="0" w:color="auto"/>
            </w:tcBorders>
            <w:noWrap/>
            <w:hideMark/>
          </w:tcPr>
          <w:p w:rsidR="00380517" w:rsidRPr="00380517" w:rsidRDefault="00380517" w:rsidP="00380517">
            <w:pPr>
              <w:pStyle w:val="TableBodyText"/>
            </w:pPr>
            <w:r w:rsidRPr="00380517">
              <w:t>Depreciation</w:t>
            </w:r>
          </w:p>
        </w:tc>
        <w:tc>
          <w:tcPr>
            <w:tcW w:w="748" w:type="pct"/>
            <w:tcBorders>
              <w:bottom w:val="single" w:sz="4" w:space="0" w:color="auto"/>
            </w:tcBorders>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(7,985)</w:t>
            </w:r>
          </w:p>
        </w:tc>
        <w:tc>
          <w:tcPr>
            <w:tcW w:w="748" w:type="pct"/>
            <w:tcBorders>
              <w:bottom w:val="single" w:sz="4" w:space="0" w:color="auto"/>
            </w:tcBorders>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pPr>
            <w:r w:rsidRPr="00380517">
              <w:t>(7,657)</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tcBorders>
              <w:top w:val="single" w:sz="4" w:space="0" w:color="auto"/>
              <w:bottom w:val="single" w:sz="4" w:space="0" w:color="auto"/>
            </w:tcBorders>
            <w:noWrap/>
            <w:hideMark/>
          </w:tcPr>
          <w:p w:rsidR="00380517" w:rsidRPr="00380517" w:rsidRDefault="00380517" w:rsidP="00380517">
            <w:pPr>
              <w:pStyle w:val="TableBodyText"/>
              <w:rPr>
                <w:rStyle w:val="Bold"/>
              </w:rPr>
            </w:pPr>
            <w:r w:rsidRPr="00380517">
              <w:rPr>
                <w:rStyle w:val="Bold"/>
              </w:rPr>
              <w:t>Closing balance</w:t>
            </w:r>
          </w:p>
        </w:tc>
        <w:tc>
          <w:tcPr>
            <w:tcW w:w="748" w:type="pct"/>
            <w:tcBorders>
              <w:top w:val="single" w:sz="4" w:space="0" w:color="auto"/>
              <w:bottom w:val="single" w:sz="4" w:space="0" w:color="auto"/>
            </w:tcBorders>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(23,053)</w:t>
            </w:r>
          </w:p>
        </w:tc>
        <w:tc>
          <w:tcPr>
            <w:tcW w:w="748" w:type="pct"/>
            <w:tcBorders>
              <w:top w:val="single" w:sz="4" w:space="0" w:color="auto"/>
              <w:bottom w:val="single" w:sz="4" w:space="0" w:color="auto"/>
            </w:tcBorders>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(15,069)</w:t>
            </w:r>
          </w:p>
        </w:tc>
      </w:tr>
      <w:tr w:rsidR="00380517" w:rsidRPr="00380517" w:rsidTr="00380517">
        <w:tc>
          <w:tcPr>
            <w:cnfStyle w:val="001000000000" w:firstRow="0" w:lastRow="0" w:firstColumn="1" w:lastColumn="0" w:oddVBand="0" w:evenVBand="0" w:oddHBand="0" w:evenHBand="0" w:firstRowFirstColumn="0" w:firstRowLastColumn="0" w:lastRowFirstColumn="0" w:lastRowLastColumn="0"/>
            <w:tcW w:w="3504" w:type="pct"/>
            <w:tcBorders>
              <w:top w:val="single" w:sz="4" w:space="0" w:color="auto"/>
              <w:bottom w:val="single" w:sz="4" w:space="0" w:color="auto"/>
            </w:tcBorders>
            <w:noWrap/>
            <w:hideMark/>
          </w:tcPr>
          <w:p w:rsidR="00380517" w:rsidRPr="00380517" w:rsidRDefault="00380517" w:rsidP="00380517">
            <w:pPr>
              <w:pStyle w:val="TableBodyText"/>
              <w:rPr>
                <w:rStyle w:val="Bold"/>
              </w:rPr>
            </w:pPr>
            <w:r w:rsidRPr="00380517">
              <w:rPr>
                <w:rStyle w:val="Bold"/>
              </w:rPr>
              <w:t>Net book value at the end of the financial year</w:t>
            </w:r>
          </w:p>
        </w:tc>
        <w:tc>
          <w:tcPr>
            <w:tcW w:w="748" w:type="pct"/>
            <w:tcBorders>
              <w:top w:val="single" w:sz="4" w:space="0" w:color="auto"/>
              <w:bottom w:val="single" w:sz="4" w:space="0" w:color="auto"/>
            </w:tcBorders>
            <w:shd w:val="clear" w:color="auto" w:fill="F3F3F3"/>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18,254</w:t>
            </w:r>
          </w:p>
        </w:tc>
        <w:tc>
          <w:tcPr>
            <w:tcW w:w="748" w:type="pct"/>
            <w:tcBorders>
              <w:top w:val="single" w:sz="4" w:space="0" w:color="auto"/>
              <w:bottom w:val="single" w:sz="4" w:space="0" w:color="auto"/>
            </w:tcBorders>
            <w:noWrap/>
            <w:hideMark/>
          </w:tcPr>
          <w:p w:rsidR="00380517" w:rsidRPr="00380517" w:rsidRDefault="00380517" w:rsidP="00380517">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380517">
              <w:rPr>
                <w:rStyle w:val="Bold"/>
              </w:rPr>
              <w:t>25,235</w:t>
            </w:r>
          </w:p>
        </w:tc>
      </w:tr>
    </w:tbl>
    <w:p w:rsidR="00380517" w:rsidRDefault="00380517" w:rsidP="00380517">
      <w:pPr>
        <w:pStyle w:val="BodyText"/>
      </w:pPr>
      <w:r w:rsidRPr="00380517">
        <w:t xml:space="preserve">Notes: </w:t>
      </w:r>
    </w:p>
    <w:p w:rsidR="00380517" w:rsidRDefault="00380517" w:rsidP="00134615">
      <w:pPr>
        <w:pStyle w:val="ListNumber"/>
        <w:numPr>
          <w:ilvl w:val="0"/>
          <w:numId w:val="35"/>
        </w:numPr>
      </w:pPr>
      <w:r>
        <w:t>The consumption of intangible produced assets is included in ‘depreciation’ line item on the comprehensive operating statement.</w:t>
      </w:r>
    </w:p>
    <w:p w:rsidR="00380517" w:rsidRDefault="00380517" w:rsidP="00440FE9">
      <w:pPr>
        <w:pStyle w:val="Heading3"/>
        <w:numPr>
          <w:ilvl w:val="0"/>
          <w:numId w:val="0"/>
        </w:numPr>
      </w:pPr>
      <w:r>
        <w:t>Initial recognition</w:t>
      </w:r>
    </w:p>
    <w:p w:rsidR="00380517" w:rsidRDefault="00380517" w:rsidP="00380517">
      <w:pPr>
        <w:pStyle w:val="BodyText"/>
      </w:pPr>
      <w:r>
        <w:t xml:space="preserve">Purchased intangible assets are initially recognised at cost. When the recognition criteria in </w:t>
      </w:r>
      <w:proofErr w:type="spellStart"/>
      <w:r>
        <w:t>AASB</w:t>
      </w:r>
      <w:proofErr w:type="spellEnd"/>
      <w:r>
        <w:t xml:space="preserve"> 138 Intangible Assets is met, internally generated intangible assets are recognised at cost. Subsequently, intangible assets with finite useful lives are carried at cost less accumulated amortisation and accumulated impairment losses. Depreciation and amortisation begins when the asset is available for use, that is, when it is in the location and condition necessary for it to be capable of operating in the manner intended by management.</w:t>
      </w:r>
    </w:p>
    <w:p w:rsidR="00602408" w:rsidRDefault="00380517" w:rsidP="00380517">
      <w:pPr>
        <w:pStyle w:val="BodyText"/>
      </w:pPr>
      <w:r>
        <w:t>An internally</w:t>
      </w:r>
      <w:r>
        <w:rPr>
          <w:rFonts w:ascii="Cambria Math" w:hAnsi="Cambria Math" w:cs="Cambria Math"/>
        </w:rPr>
        <w:t>‑</w:t>
      </w:r>
      <w:r>
        <w:t>generated intangible asset arising from development (or from the development phase of an internal project) is recognised if, and only if, all of the following are demonstrated:</w:t>
      </w:r>
    </w:p>
    <w:p w:rsidR="00F56D49" w:rsidRDefault="00380517" w:rsidP="00134615">
      <w:pPr>
        <w:pStyle w:val="ListAlpha"/>
      </w:pPr>
      <w:r>
        <w:t>the technical feasibility of completing the intangible asset so that it wil</w:t>
      </w:r>
      <w:r w:rsidR="00F56D49">
        <w:t>l be available for use or sale;</w:t>
      </w:r>
    </w:p>
    <w:p w:rsidR="00380517" w:rsidRDefault="00380517" w:rsidP="00134615">
      <w:pPr>
        <w:pStyle w:val="ListAlpha"/>
      </w:pPr>
      <w:r>
        <w:t>an intention to complete the intangible asset and use or sell it;</w:t>
      </w:r>
    </w:p>
    <w:p w:rsidR="00F56D49" w:rsidRPr="00F56D49" w:rsidRDefault="00F56D49" w:rsidP="00134615">
      <w:pPr>
        <w:pStyle w:val="ListAlpha"/>
      </w:pPr>
      <w:r w:rsidRPr="00F56D49">
        <w:t>the ability to use or sell the intangible asset;</w:t>
      </w:r>
    </w:p>
    <w:p w:rsidR="00F56D49" w:rsidRPr="00F56D49" w:rsidRDefault="00F56D49" w:rsidP="00134615">
      <w:pPr>
        <w:pStyle w:val="ListAlpha"/>
      </w:pPr>
      <w:r w:rsidRPr="00F56D49">
        <w:t>the intangible asset will generate probable future economic benefits;</w:t>
      </w:r>
    </w:p>
    <w:p w:rsidR="00F56D49" w:rsidRDefault="00F56D49" w:rsidP="00134615">
      <w:pPr>
        <w:pStyle w:val="ListAlpha"/>
      </w:pPr>
      <w:r>
        <w:t>the availability of adequate technical, financial and other resources to complete the development and to use or sell the intangible asset; and</w:t>
      </w:r>
    </w:p>
    <w:p w:rsidR="00F56D49" w:rsidRDefault="00F56D49" w:rsidP="00134615">
      <w:pPr>
        <w:pStyle w:val="ListAlpha"/>
      </w:pPr>
      <w:proofErr w:type="gramStart"/>
      <w:r w:rsidRPr="00F56D49">
        <w:t>the</w:t>
      </w:r>
      <w:proofErr w:type="gramEnd"/>
      <w:r w:rsidRPr="00F56D49">
        <w:t xml:space="preserve"> ability to measure reliably the expenditure attributable to the intangible asset during its development.</w:t>
      </w:r>
    </w:p>
    <w:p w:rsidR="00380517" w:rsidRDefault="00380517" w:rsidP="00440FE9">
      <w:pPr>
        <w:pStyle w:val="Heading3"/>
        <w:numPr>
          <w:ilvl w:val="0"/>
          <w:numId w:val="0"/>
        </w:numPr>
      </w:pPr>
      <w:r>
        <w:t>Subsequent measurement</w:t>
      </w:r>
    </w:p>
    <w:p w:rsidR="00380517" w:rsidRDefault="00380517" w:rsidP="00380517">
      <w:pPr>
        <w:pStyle w:val="BodyText"/>
      </w:pPr>
      <w:r>
        <w:t>Intangible produced assets with finite useful lives, are depreciated as an ‘expense from transactions’ on a straight line basis over their useful lives. Produced intangible assets have useful lives of between 3 and 5 years (2016: 3 and 5 years).</w:t>
      </w:r>
    </w:p>
    <w:p w:rsidR="00380517" w:rsidRDefault="00380517" w:rsidP="00380517">
      <w:pPr>
        <w:pStyle w:val="BodyText"/>
      </w:pPr>
      <w:r>
        <w:t>Intangible non</w:t>
      </w:r>
      <w:r>
        <w:rPr>
          <w:rFonts w:ascii="Cambria Math" w:hAnsi="Cambria Math" w:cs="Cambria Math"/>
        </w:rPr>
        <w:t>‑</w:t>
      </w:r>
      <w:r>
        <w:t>produced assets with finite lives are amortised as an ‘other economic flow’ on a straight</w:t>
      </w:r>
      <w:r>
        <w:rPr>
          <w:rFonts w:ascii="Cambria Math" w:hAnsi="Cambria Math" w:cs="Cambria Math"/>
        </w:rPr>
        <w:t>‑</w:t>
      </w:r>
      <w:r>
        <w:t>line basis over their useful lives. The amortisation period is 3 to 5 years (2016: 3 and 5 years).</w:t>
      </w:r>
    </w:p>
    <w:p w:rsidR="00380517" w:rsidRDefault="00380517" w:rsidP="00440FE9">
      <w:pPr>
        <w:pStyle w:val="Heading3"/>
        <w:numPr>
          <w:ilvl w:val="0"/>
          <w:numId w:val="0"/>
        </w:numPr>
      </w:pPr>
      <w:r>
        <w:lastRenderedPageBreak/>
        <w:t>Impairment of intangible assets</w:t>
      </w:r>
    </w:p>
    <w:p w:rsidR="00380517" w:rsidRDefault="00380517" w:rsidP="00380517">
      <w:pPr>
        <w:pStyle w:val="BodyText"/>
      </w:pPr>
      <w:r>
        <w:t>Intangible assets with indefinite useful lives (and intangible assets not yet available for use) are tested annually for impairment and whenever there is an indication that the asset may be impaired. Intangible assets with finite useful lives are tested for impairment whenever an indication of impairment is identified</w:t>
      </w:r>
    </w:p>
    <w:p w:rsidR="00380517" w:rsidRDefault="00380517" w:rsidP="00380517">
      <w:pPr>
        <w:pStyle w:val="BodyText"/>
      </w:pPr>
      <w:r>
        <w:t>The policy in connection with testing for impairme</w:t>
      </w:r>
      <w:bookmarkStart w:id="41" w:name="HERE"/>
      <w:bookmarkEnd w:id="41"/>
      <w:r>
        <w:t>nt is outlined in section</w:t>
      </w:r>
      <w:r w:rsidR="003D7434">
        <w:t xml:space="preserve"> </w:t>
      </w:r>
      <w:r w:rsidR="003D7434">
        <w:fldChar w:fldCharType="begin"/>
      </w:r>
      <w:r w:rsidR="003D7434">
        <w:instrText xml:space="preserve"> REF _Ref497121893 \r \h </w:instrText>
      </w:r>
      <w:r w:rsidR="003D7434">
        <w:fldChar w:fldCharType="separate"/>
      </w:r>
      <w:r w:rsidR="00972891">
        <w:t>5.1.1</w:t>
      </w:r>
      <w:r w:rsidR="003D7434">
        <w:fldChar w:fldCharType="end"/>
      </w:r>
      <w:r>
        <w:t>.</w:t>
      </w:r>
    </w:p>
    <w:p w:rsidR="00F56D49" w:rsidRDefault="00F56D49" w:rsidP="00F56D49">
      <w:pPr>
        <w:pStyle w:val="Heading1"/>
      </w:pPr>
      <w:bookmarkStart w:id="42" w:name="_Toc497125476"/>
      <w:r>
        <w:lastRenderedPageBreak/>
        <w:t xml:space="preserve">Other </w:t>
      </w:r>
      <w:r w:rsidR="003D7434">
        <w:t>assets a</w:t>
      </w:r>
      <w:r w:rsidR="003D7434" w:rsidRPr="00F56D49">
        <w:t>nd liabilities</w:t>
      </w:r>
      <w:bookmarkEnd w:id="42"/>
    </w:p>
    <w:p w:rsidR="00F56D49" w:rsidRPr="00BD6E5E" w:rsidRDefault="00F56D49" w:rsidP="00BD6E5E">
      <w:pPr>
        <w:pStyle w:val="BodyText"/>
        <w:rPr>
          <w:rStyle w:val="Bold"/>
        </w:rPr>
      </w:pPr>
      <w:r w:rsidRPr="00BD6E5E">
        <w:rPr>
          <w:rStyle w:val="Bold"/>
        </w:rPr>
        <w:t>Introduction</w:t>
      </w:r>
    </w:p>
    <w:p w:rsidR="00F56D49" w:rsidRDefault="00F56D49" w:rsidP="0089565A">
      <w:pPr>
        <w:pStyle w:val="NoSpacing"/>
      </w:pPr>
      <w:r>
        <w:t>6.1</w:t>
      </w:r>
      <w:r>
        <w:tab/>
        <w:t>Receivables</w:t>
      </w:r>
    </w:p>
    <w:p w:rsidR="0089565A" w:rsidRDefault="00F56D49" w:rsidP="0089565A">
      <w:pPr>
        <w:pStyle w:val="NoSpacing"/>
      </w:pPr>
      <w:r>
        <w:t>6.2</w:t>
      </w:r>
      <w:r w:rsidR="0089565A">
        <w:tab/>
        <w:t>Payables</w:t>
      </w:r>
    </w:p>
    <w:p w:rsidR="0089565A" w:rsidRDefault="00F56D49" w:rsidP="0089565A">
      <w:pPr>
        <w:pStyle w:val="NoSpacing"/>
      </w:pPr>
      <w:r>
        <w:t>6.3</w:t>
      </w:r>
      <w:r w:rsidR="0089565A">
        <w:tab/>
        <w:t>Other non</w:t>
      </w:r>
      <w:r w:rsidR="0089565A">
        <w:rPr>
          <w:rFonts w:ascii="Cambria Math" w:hAnsi="Cambria Math" w:cs="Cambria Math"/>
        </w:rPr>
        <w:t>‐</w:t>
      </w:r>
      <w:r w:rsidR="0089565A">
        <w:t>financial assets</w:t>
      </w:r>
    </w:p>
    <w:p w:rsidR="0089565A" w:rsidRDefault="0089565A" w:rsidP="0089565A">
      <w:pPr>
        <w:pStyle w:val="Heading2"/>
      </w:pPr>
      <w:bookmarkStart w:id="43" w:name="_Toc497125477"/>
      <w:r w:rsidRPr="0089565A">
        <w:t>Receivables</w:t>
      </w:r>
      <w:bookmarkEnd w:id="43"/>
    </w:p>
    <w:tbl>
      <w:tblPr>
        <w:tblStyle w:val="FinancialTable"/>
        <w:tblW w:w="5000" w:type="pct"/>
        <w:tblLook w:val="04A0" w:firstRow="1" w:lastRow="0" w:firstColumn="1" w:lastColumn="0" w:noHBand="0" w:noVBand="1"/>
      </w:tblPr>
      <w:tblGrid>
        <w:gridCol w:w="7384"/>
        <w:gridCol w:w="1128"/>
        <w:gridCol w:w="1126"/>
      </w:tblGrid>
      <w:tr w:rsidR="0089565A" w:rsidRPr="0089565A" w:rsidTr="001346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31" w:type="pct"/>
            <w:noWrap/>
            <w:hideMark/>
          </w:tcPr>
          <w:p w:rsidR="0089565A" w:rsidRPr="00134615" w:rsidRDefault="0089565A" w:rsidP="0089565A">
            <w:pPr>
              <w:pStyle w:val="TableBodyText"/>
              <w:rPr>
                <w:rStyle w:val="Bold"/>
              </w:rPr>
            </w:pPr>
            <w:r w:rsidRPr="00134615">
              <w:rPr>
                <w:rStyle w:val="Bold"/>
              </w:rPr>
              <w:t>Item</w:t>
            </w:r>
          </w:p>
        </w:tc>
        <w:tc>
          <w:tcPr>
            <w:tcW w:w="585" w:type="pct"/>
            <w:shd w:val="clear" w:color="auto" w:fill="F3F3F3"/>
            <w:noWrap/>
            <w:hideMark/>
          </w:tcPr>
          <w:p w:rsidR="0089565A" w:rsidRPr="00134615" w:rsidRDefault="0089565A" w:rsidP="0089565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2017</w:t>
            </w:r>
            <w:r w:rsidRPr="00134615">
              <w:rPr>
                <w:rStyle w:val="Bold"/>
              </w:rPr>
              <w:br/>
              <w:t>$'000</w:t>
            </w:r>
          </w:p>
        </w:tc>
        <w:tc>
          <w:tcPr>
            <w:tcW w:w="584" w:type="pct"/>
            <w:noWrap/>
            <w:hideMark/>
          </w:tcPr>
          <w:p w:rsidR="0089565A" w:rsidRPr="00134615" w:rsidRDefault="0089565A" w:rsidP="0089565A">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34615">
              <w:rPr>
                <w:rStyle w:val="Bold"/>
              </w:rPr>
              <w:t>2016</w:t>
            </w:r>
            <w:r w:rsidRPr="00134615">
              <w:rPr>
                <w:rStyle w:val="Bold"/>
              </w:rPr>
              <w:br/>
              <w:t>$'000</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rPr>
                <w:rStyle w:val="Bold"/>
              </w:rPr>
            </w:pPr>
            <w:r w:rsidRPr="0089565A">
              <w:rPr>
                <w:rStyle w:val="Bold"/>
              </w:rPr>
              <w:t>Current receivables</w:t>
            </w:r>
          </w:p>
        </w:tc>
        <w:tc>
          <w:tcPr>
            <w:tcW w:w="585" w:type="pct"/>
            <w:shd w:val="clear" w:color="auto" w:fill="F3F3F3"/>
            <w:noWrap/>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t>N/A</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rPr>
                <w:rStyle w:val="Bold"/>
              </w:rPr>
            </w:pPr>
            <w:r w:rsidRPr="0089565A">
              <w:rPr>
                <w:rStyle w:val="Bold"/>
              </w:rPr>
              <w:t>Contractual</w:t>
            </w:r>
          </w:p>
        </w:tc>
        <w:tc>
          <w:tcPr>
            <w:tcW w:w="585" w:type="pct"/>
            <w:shd w:val="clear" w:color="auto" w:fill="F3F3F3"/>
            <w:noWrap/>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t>N/A</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pPr>
            <w:r w:rsidRPr="0089565A">
              <w:t xml:space="preserve">Other receivables </w:t>
            </w:r>
          </w:p>
        </w:tc>
        <w:tc>
          <w:tcPr>
            <w:tcW w:w="585" w:type="pct"/>
            <w:shd w:val="clear" w:color="auto" w:fill="F3F3F3"/>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2,649</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 xml:space="preserve">4,630 </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pPr>
            <w:r w:rsidRPr="0089565A">
              <w:t xml:space="preserve">Provision for doubtful contractual receivables </w:t>
            </w:r>
          </w:p>
        </w:tc>
        <w:tc>
          <w:tcPr>
            <w:tcW w:w="585" w:type="pct"/>
            <w:shd w:val="clear" w:color="auto" w:fill="F3F3F3"/>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(15)</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(4)</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rPr>
                <w:rStyle w:val="Bold"/>
              </w:rPr>
            </w:pPr>
            <w:r w:rsidRPr="0089565A">
              <w:rPr>
                <w:rStyle w:val="Bold"/>
              </w:rPr>
              <w:t>Statutory</w:t>
            </w:r>
          </w:p>
        </w:tc>
        <w:tc>
          <w:tcPr>
            <w:tcW w:w="585" w:type="pct"/>
            <w:shd w:val="clear" w:color="auto" w:fill="F3F3F3"/>
            <w:noWrap/>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t>N/A</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pPr>
            <w:r w:rsidRPr="0089565A">
              <w:t xml:space="preserve">Amounts owing from Victorian Government </w:t>
            </w:r>
          </w:p>
        </w:tc>
        <w:tc>
          <w:tcPr>
            <w:tcW w:w="585" w:type="pct"/>
            <w:shd w:val="clear" w:color="auto" w:fill="F3F3F3"/>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77,548</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 xml:space="preserve">58,310 </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tcBorders>
              <w:bottom w:val="single" w:sz="4" w:space="0" w:color="auto"/>
            </w:tcBorders>
            <w:noWrap/>
            <w:hideMark/>
          </w:tcPr>
          <w:p w:rsidR="0089565A" w:rsidRPr="0089565A" w:rsidRDefault="0089565A" w:rsidP="0089565A">
            <w:pPr>
              <w:pStyle w:val="TableBodyText"/>
            </w:pPr>
            <w:r w:rsidRPr="0089565A">
              <w:t>GST input tax credit recoverable</w:t>
            </w:r>
          </w:p>
        </w:tc>
        <w:tc>
          <w:tcPr>
            <w:tcW w:w="585" w:type="pct"/>
            <w:tcBorders>
              <w:bottom w:val="single" w:sz="4" w:space="0" w:color="auto"/>
            </w:tcBorders>
            <w:shd w:val="clear" w:color="auto" w:fill="F3F3F3"/>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1,697</w:t>
            </w:r>
          </w:p>
        </w:tc>
        <w:tc>
          <w:tcPr>
            <w:tcW w:w="584" w:type="pct"/>
            <w:tcBorders>
              <w:bottom w:val="single" w:sz="4" w:space="0" w:color="auto"/>
            </w:tcBorders>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 xml:space="preserve">1,849 </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tcBorders>
              <w:top w:val="single" w:sz="4" w:space="0" w:color="auto"/>
              <w:bottom w:val="single" w:sz="4" w:space="0" w:color="auto"/>
            </w:tcBorders>
            <w:noWrap/>
            <w:hideMark/>
          </w:tcPr>
          <w:p w:rsidR="0089565A" w:rsidRPr="0089565A" w:rsidRDefault="0089565A" w:rsidP="0089565A">
            <w:pPr>
              <w:pStyle w:val="TableBodyText"/>
              <w:rPr>
                <w:rStyle w:val="Bold"/>
              </w:rPr>
            </w:pPr>
            <w:r w:rsidRPr="0089565A">
              <w:rPr>
                <w:rStyle w:val="Bold"/>
              </w:rPr>
              <w:t>Total receivables</w:t>
            </w:r>
          </w:p>
        </w:tc>
        <w:tc>
          <w:tcPr>
            <w:tcW w:w="585" w:type="pct"/>
            <w:tcBorders>
              <w:top w:val="single" w:sz="4" w:space="0" w:color="auto"/>
              <w:bottom w:val="single" w:sz="4" w:space="0" w:color="auto"/>
            </w:tcBorders>
            <w:shd w:val="clear" w:color="auto" w:fill="F3F3F3"/>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89565A">
              <w:rPr>
                <w:rStyle w:val="Bold"/>
              </w:rPr>
              <w:t>81,879</w:t>
            </w:r>
          </w:p>
        </w:tc>
        <w:tc>
          <w:tcPr>
            <w:tcW w:w="584" w:type="pct"/>
            <w:tcBorders>
              <w:top w:val="single" w:sz="4" w:space="0" w:color="auto"/>
              <w:bottom w:val="single" w:sz="4" w:space="0" w:color="auto"/>
            </w:tcBorders>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89565A">
              <w:rPr>
                <w:rStyle w:val="Bold"/>
              </w:rPr>
              <w:t xml:space="preserve">64,785 </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tcBorders>
              <w:top w:val="single" w:sz="4" w:space="0" w:color="auto"/>
            </w:tcBorders>
            <w:noWrap/>
            <w:hideMark/>
          </w:tcPr>
          <w:p w:rsidR="0089565A" w:rsidRPr="0089565A" w:rsidRDefault="0089565A" w:rsidP="0089565A">
            <w:pPr>
              <w:pStyle w:val="TableBodyText"/>
              <w:spacing w:before="120"/>
            </w:pPr>
            <w:r w:rsidRPr="0089565A">
              <w:t>Represented by:</w:t>
            </w:r>
          </w:p>
        </w:tc>
        <w:tc>
          <w:tcPr>
            <w:tcW w:w="585" w:type="pct"/>
            <w:tcBorders>
              <w:top w:val="single" w:sz="4" w:space="0" w:color="auto"/>
            </w:tcBorders>
            <w:shd w:val="clear" w:color="auto" w:fill="F3F3F3"/>
            <w:noWrap/>
          </w:tcPr>
          <w:p w:rsidR="0089565A" w:rsidRPr="0089565A" w:rsidRDefault="0089565A" w:rsidP="00B6401F">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84" w:type="pct"/>
            <w:tcBorders>
              <w:top w:val="single" w:sz="4" w:space="0" w:color="auto"/>
            </w:tcBorders>
            <w:noWrap/>
            <w:hideMark/>
          </w:tcPr>
          <w:p w:rsidR="0089565A" w:rsidRPr="0089565A" w:rsidRDefault="0089565A" w:rsidP="00B6401F">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pPr>
            <w:r w:rsidRPr="0089565A">
              <w:t>Current receivables</w:t>
            </w:r>
          </w:p>
        </w:tc>
        <w:tc>
          <w:tcPr>
            <w:tcW w:w="585" w:type="pct"/>
            <w:shd w:val="clear" w:color="auto" w:fill="F3F3F3"/>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78,335</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60,780</w:t>
            </w:r>
          </w:p>
        </w:tc>
      </w:tr>
      <w:tr w:rsidR="0089565A" w:rsidRPr="0089565A" w:rsidTr="00134615">
        <w:tc>
          <w:tcPr>
            <w:cnfStyle w:val="001000000000" w:firstRow="0" w:lastRow="0" w:firstColumn="1" w:lastColumn="0" w:oddVBand="0" w:evenVBand="0" w:oddHBand="0" w:evenHBand="0" w:firstRowFirstColumn="0" w:firstRowLastColumn="0" w:lastRowFirstColumn="0" w:lastRowLastColumn="0"/>
            <w:tcW w:w="3831" w:type="pct"/>
            <w:noWrap/>
            <w:hideMark/>
          </w:tcPr>
          <w:p w:rsidR="0089565A" w:rsidRPr="0089565A" w:rsidRDefault="0089565A" w:rsidP="0089565A">
            <w:pPr>
              <w:pStyle w:val="TableBodyText"/>
            </w:pPr>
            <w:r w:rsidRPr="0089565A">
              <w:t>Non-current receivables</w:t>
            </w:r>
          </w:p>
        </w:tc>
        <w:tc>
          <w:tcPr>
            <w:tcW w:w="585" w:type="pct"/>
            <w:tcBorders>
              <w:bottom w:val="single" w:sz="4" w:space="0" w:color="auto"/>
            </w:tcBorders>
            <w:shd w:val="clear" w:color="auto" w:fill="F3F3F3"/>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3,544</w:t>
            </w:r>
          </w:p>
        </w:tc>
        <w:tc>
          <w:tcPr>
            <w:tcW w:w="584" w:type="pct"/>
            <w:noWrap/>
            <w:hideMark/>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pPr>
            <w:r w:rsidRPr="0089565A">
              <w:t>4,005</w:t>
            </w:r>
          </w:p>
        </w:tc>
      </w:tr>
    </w:tbl>
    <w:p w:rsidR="0089565A" w:rsidRDefault="0089565A" w:rsidP="0089565A">
      <w:pPr>
        <w:pStyle w:val="BodyText"/>
      </w:pPr>
      <w:r w:rsidRPr="00134615">
        <w:rPr>
          <w:rStyle w:val="Bold"/>
        </w:rPr>
        <w:t xml:space="preserve">Contractual receivables </w:t>
      </w:r>
      <w:r>
        <w:t>are classified as financial instruments and categorised as ‘loans and receivables’. They are initially recognised at fair value plus any directly attributable transaction costs. Subsequent to initial measurement they are measured at amortised cost using the effective interest method, less any impairment.</w:t>
      </w:r>
    </w:p>
    <w:p w:rsidR="0089565A" w:rsidRDefault="0089565A" w:rsidP="0089565A">
      <w:pPr>
        <w:pStyle w:val="BodyText"/>
      </w:pPr>
      <w:r w:rsidRPr="00134615">
        <w:rPr>
          <w:rStyle w:val="Bold"/>
        </w:rPr>
        <w:t xml:space="preserve">Statutory receivables </w:t>
      </w:r>
      <w:r>
        <w:t>do not arise from contracts and are recognised and measured similarly to contractual receivables (except for impairment), but are not classified as financial instruments. Amounts recognised from the Victorian Government represent funding for all commitments incurred and are drawn from the Consolidated Fund as the commitments fall due.</w:t>
      </w:r>
    </w:p>
    <w:p w:rsidR="0089565A" w:rsidRDefault="0089565A" w:rsidP="0089565A">
      <w:pPr>
        <w:pStyle w:val="Heading3"/>
      </w:pPr>
      <w:r w:rsidRPr="0089565A">
        <w:t>Ageing analysis of contractual financial assets</w:t>
      </w:r>
    </w:p>
    <w:p w:rsidR="00175896" w:rsidRPr="00175896" w:rsidRDefault="00175896" w:rsidP="00175896">
      <w:pPr>
        <w:pStyle w:val="Caption"/>
      </w:pPr>
      <w:r>
        <w:t>2017</w:t>
      </w:r>
    </w:p>
    <w:tbl>
      <w:tblPr>
        <w:tblStyle w:val="FinancialTable"/>
        <w:tblW w:w="5000" w:type="pct"/>
        <w:tblLook w:val="04A0" w:firstRow="1" w:lastRow="0" w:firstColumn="1" w:lastColumn="0" w:noHBand="0" w:noVBand="1"/>
      </w:tblPr>
      <w:tblGrid>
        <w:gridCol w:w="3724"/>
        <w:gridCol w:w="1095"/>
        <w:gridCol w:w="987"/>
        <w:gridCol w:w="960"/>
        <w:gridCol w:w="956"/>
        <w:gridCol w:w="962"/>
        <w:gridCol w:w="954"/>
      </w:tblGrid>
      <w:tr w:rsidR="0089565A" w:rsidRPr="0089565A" w:rsidTr="008956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2" w:type="pct"/>
          </w:tcPr>
          <w:p w:rsidR="0089565A" w:rsidRPr="0089565A" w:rsidRDefault="0089565A" w:rsidP="00134615">
            <w:pPr>
              <w:pStyle w:val="TableBodyText"/>
              <w:rPr>
                <w:rStyle w:val="Bold"/>
                <w:rFonts w:eastAsia="Calibri"/>
              </w:rPr>
            </w:pPr>
            <w:r w:rsidRPr="0089565A">
              <w:rPr>
                <w:rStyle w:val="Bold"/>
              </w:rPr>
              <w:t>2017</w:t>
            </w:r>
          </w:p>
        </w:tc>
        <w:tc>
          <w:tcPr>
            <w:tcW w:w="568" w:type="pct"/>
            <w:shd w:val="clear" w:color="auto" w:fill="F3F3F3"/>
          </w:tcPr>
          <w:p w:rsidR="0089565A" w:rsidRPr="0089565A" w:rsidRDefault="0089565A" w:rsidP="00134615">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9565A">
              <w:rPr>
                <w:rStyle w:val="Bold"/>
              </w:rPr>
              <w:t>Carrying amount ($'000)</w:t>
            </w:r>
          </w:p>
        </w:tc>
        <w:tc>
          <w:tcPr>
            <w:tcW w:w="512" w:type="pct"/>
          </w:tcPr>
          <w:p w:rsidR="0089565A" w:rsidRPr="0089565A" w:rsidRDefault="0089565A" w:rsidP="00134615">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9565A">
              <w:rPr>
                <w:rStyle w:val="Bold"/>
              </w:rPr>
              <w:t>Not past due and not impaired ($'000)</w:t>
            </w:r>
          </w:p>
        </w:tc>
        <w:tc>
          <w:tcPr>
            <w:tcW w:w="498" w:type="pct"/>
            <w:shd w:val="clear" w:color="auto" w:fill="F3F3F3"/>
          </w:tcPr>
          <w:p w:rsidR="0089565A" w:rsidRPr="0089565A" w:rsidRDefault="0089565A" w:rsidP="00134615">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9565A">
              <w:rPr>
                <w:rStyle w:val="Bold"/>
              </w:rPr>
              <w:t xml:space="preserve">Past due but not impaired </w:t>
            </w:r>
            <w:r w:rsidRPr="0089565A">
              <w:rPr>
                <w:rStyle w:val="Bold"/>
              </w:rPr>
              <w:br/>
              <w:t>Less than 1 month ($'000)</w:t>
            </w:r>
          </w:p>
        </w:tc>
        <w:tc>
          <w:tcPr>
            <w:tcW w:w="496" w:type="pct"/>
          </w:tcPr>
          <w:p w:rsidR="0089565A" w:rsidRPr="0089565A" w:rsidRDefault="0089565A" w:rsidP="00134615">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9565A">
              <w:rPr>
                <w:rStyle w:val="Bold"/>
              </w:rPr>
              <w:t xml:space="preserve">Past due but not impaired </w:t>
            </w:r>
            <w:r w:rsidRPr="0089565A">
              <w:rPr>
                <w:rStyle w:val="Bold"/>
              </w:rPr>
              <w:br/>
              <w:t>1 to 3 months ($'000)</w:t>
            </w:r>
          </w:p>
        </w:tc>
        <w:tc>
          <w:tcPr>
            <w:tcW w:w="499" w:type="pct"/>
            <w:shd w:val="clear" w:color="auto" w:fill="F3F3F3"/>
          </w:tcPr>
          <w:p w:rsidR="0089565A" w:rsidRPr="0089565A" w:rsidRDefault="0089565A" w:rsidP="00134615">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9565A">
              <w:rPr>
                <w:rStyle w:val="Bold"/>
              </w:rPr>
              <w:t xml:space="preserve">Past due but not impaired </w:t>
            </w:r>
            <w:r w:rsidRPr="0089565A">
              <w:rPr>
                <w:rStyle w:val="Bold"/>
              </w:rPr>
              <w:br/>
              <w:t>3 months to 1 year ($'000)</w:t>
            </w:r>
          </w:p>
        </w:tc>
        <w:tc>
          <w:tcPr>
            <w:tcW w:w="495" w:type="pct"/>
          </w:tcPr>
          <w:p w:rsidR="0089565A" w:rsidRPr="0089565A" w:rsidRDefault="0089565A" w:rsidP="00134615">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89565A">
              <w:rPr>
                <w:rStyle w:val="Bold"/>
              </w:rPr>
              <w:t>Past due but not impaired</w:t>
            </w:r>
            <w:r w:rsidRPr="0089565A">
              <w:rPr>
                <w:rStyle w:val="Bold"/>
                <w:rFonts w:eastAsia="Calibri"/>
              </w:rPr>
              <w:t xml:space="preserve"> </w:t>
            </w:r>
            <w:r w:rsidRPr="0089565A">
              <w:rPr>
                <w:rStyle w:val="Bold"/>
                <w:rFonts w:eastAsia="Calibri"/>
              </w:rPr>
              <w:br/>
              <w:t>1</w:t>
            </w:r>
            <w:r w:rsidRPr="0089565A">
              <w:rPr>
                <w:rStyle w:val="Bold"/>
                <w:rFonts w:ascii="Cambria Math" w:eastAsia="Calibri" w:hAnsi="Cambria Math" w:cs="Cambria Math"/>
              </w:rPr>
              <w:t>‐</w:t>
            </w:r>
            <w:r w:rsidRPr="0089565A">
              <w:rPr>
                <w:rStyle w:val="Bold"/>
                <w:rFonts w:eastAsia="Calibri"/>
              </w:rPr>
              <w:t>5 Years ($'000)</w:t>
            </w:r>
          </w:p>
        </w:tc>
      </w:tr>
      <w:tr w:rsidR="0089565A" w:rsidRPr="0089565A" w:rsidTr="0089565A">
        <w:tc>
          <w:tcPr>
            <w:cnfStyle w:val="001000000000" w:firstRow="0" w:lastRow="0" w:firstColumn="1" w:lastColumn="0" w:oddVBand="0" w:evenVBand="0" w:oddHBand="0" w:evenHBand="0" w:firstRowFirstColumn="0" w:firstRowLastColumn="0" w:lastRowFirstColumn="0" w:lastRowLastColumn="0"/>
            <w:tcW w:w="1932" w:type="pct"/>
          </w:tcPr>
          <w:p w:rsidR="0089565A" w:rsidRPr="0089565A" w:rsidRDefault="0089565A" w:rsidP="00134615">
            <w:pPr>
              <w:pStyle w:val="TableBodyText"/>
            </w:pPr>
            <w:r w:rsidRPr="0089565A">
              <w:rPr>
                <w:rStyle w:val="Bold"/>
              </w:rPr>
              <w:t>Receivables</w:t>
            </w:r>
          </w:p>
        </w:tc>
        <w:tc>
          <w:tcPr>
            <w:tcW w:w="568" w:type="pct"/>
            <w:shd w:val="clear" w:color="auto" w:fill="F3F3F3"/>
          </w:tcPr>
          <w:p w:rsidR="0089565A" w:rsidRPr="0089565A" w:rsidRDefault="00134615" w:rsidP="00134615">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512" w:type="pct"/>
          </w:tcPr>
          <w:p w:rsidR="0089565A" w:rsidRPr="0089565A" w:rsidRDefault="00134615" w:rsidP="00134615">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8" w:type="pct"/>
            <w:shd w:val="clear" w:color="auto" w:fill="F3F3F3"/>
          </w:tcPr>
          <w:p w:rsidR="0089565A" w:rsidRPr="0089565A" w:rsidRDefault="00134615" w:rsidP="00134615">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6" w:type="pct"/>
          </w:tcPr>
          <w:p w:rsidR="0089565A" w:rsidRPr="0089565A" w:rsidRDefault="00134615" w:rsidP="00134615">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9" w:type="pct"/>
            <w:shd w:val="clear" w:color="auto" w:fill="F3F3F3"/>
          </w:tcPr>
          <w:p w:rsidR="0089565A" w:rsidRPr="0089565A" w:rsidRDefault="00134615" w:rsidP="00134615">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5" w:type="pct"/>
          </w:tcPr>
          <w:p w:rsidR="0089565A" w:rsidRPr="0089565A" w:rsidRDefault="00134615" w:rsidP="00134615">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r>
      <w:tr w:rsidR="0089565A" w:rsidRPr="0089565A" w:rsidTr="006839A8">
        <w:tc>
          <w:tcPr>
            <w:cnfStyle w:val="001000000000" w:firstRow="0" w:lastRow="0" w:firstColumn="1" w:lastColumn="0" w:oddVBand="0" w:evenVBand="0" w:oddHBand="0" w:evenHBand="0" w:firstRowFirstColumn="0" w:firstRowLastColumn="0" w:lastRowFirstColumn="0" w:lastRowLastColumn="0"/>
            <w:tcW w:w="1932" w:type="pct"/>
            <w:tcBorders>
              <w:bottom w:val="single" w:sz="4" w:space="0" w:color="auto"/>
            </w:tcBorders>
          </w:tcPr>
          <w:p w:rsidR="0089565A" w:rsidRPr="0089565A" w:rsidRDefault="0089565A" w:rsidP="00134615">
            <w:pPr>
              <w:pStyle w:val="TableBodyText"/>
              <w:rPr>
                <w:rFonts w:eastAsia="Calibri"/>
              </w:rPr>
            </w:pPr>
            <w:r w:rsidRPr="0089565A">
              <w:t>Other receivables</w:t>
            </w:r>
          </w:p>
        </w:tc>
        <w:tc>
          <w:tcPr>
            <w:tcW w:w="568" w:type="pct"/>
            <w:tcBorders>
              <w:bottom w:val="single" w:sz="4" w:space="0" w:color="auto"/>
            </w:tcBorders>
            <w:shd w:val="clear" w:color="auto" w:fill="F3F3F3"/>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9565A">
              <w:t>2,634</w:t>
            </w:r>
          </w:p>
        </w:tc>
        <w:tc>
          <w:tcPr>
            <w:tcW w:w="512" w:type="pct"/>
            <w:tcBorders>
              <w:bottom w:val="single" w:sz="4" w:space="0" w:color="auto"/>
            </w:tcBorders>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9565A">
              <w:t>2,363</w:t>
            </w:r>
          </w:p>
        </w:tc>
        <w:tc>
          <w:tcPr>
            <w:tcW w:w="498" w:type="pct"/>
            <w:tcBorders>
              <w:bottom w:val="single" w:sz="4" w:space="0" w:color="auto"/>
            </w:tcBorders>
            <w:shd w:val="clear" w:color="auto" w:fill="F3F3F3"/>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9565A">
              <w:t>127</w:t>
            </w:r>
          </w:p>
        </w:tc>
        <w:tc>
          <w:tcPr>
            <w:tcW w:w="496" w:type="pct"/>
            <w:tcBorders>
              <w:bottom w:val="single" w:sz="4" w:space="0" w:color="auto"/>
            </w:tcBorders>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9565A">
              <w:t>73</w:t>
            </w:r>
          </w:p>
        </w:tc>
        <w:tc>
          <w:tcPr>
            <w:tcW w:w="499" w:type="pct"/>
            <w:tcBorders>
              <w:bottom w:val="single" w:sz="4" w:space="0" w:color="auto"/>
            </w:tcBorders>
            <w:shd w:val="clear" w:color="auto" w:fill="F3F3F3"/>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9565A">
              <w:t>39</w:t>
            </w:r>
          </w:p>
        </w:tc>
        <w:tc>
          <w:tcPr>
            <w:tcW w:w="495" w:type="pct"/>
            <w:tcBorders>
              <w:bottom w:val="single" w:sz="4" w:space="0" w:color="auto"/>
            </w:tcBorders>
          </w:tcPr>
          <w:p w:rsidR="0089565A" w:rsidRPr="0089565A"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89565A">
              <w:t>32</w:t>
            </w:r>
          </w:p>
        </w:tc>
      </w:tr>
      <w:tr w:rsidR="0089565A" w:rsidRPr="006839A8" w:rsidTr="006839A8">
        <w:tc>
          <w:tcPr>
            <w:cnfStyle w:val="001000000000" w:firstRow="0" w:lastRow="0" w:firstColumn="1" w:lastColumn="0" w:oddVBand="0" w:evenVBand="0" w:oddHBand="0" w:evenHBand="0" w:firstRowFirstColumn="0" w:firstRowLastColumn="0" w:lastRowFirstColumn="0" w:lastRowLastColumn="0"/>
            <w:tcW w:w="1932" w:type="pct"/>
            <w:tcBorders>
              <w:top w:val="single" w:sz="4" w:space="0" w:color="auto"/>
              <w:bottom w:val="single" w:sz="4" w:space="0" w:color="auto"/>
            </w:tcBorders>
          </w:tcPr>
          <w:p w:rsidR="0089565A" w:rsidRPr="006839A8" w:rsidRDefault="0089565A" w:rsidP="00134615">
            <w:pPr>
              <w:pStyle w:val="TableBodyText"/>
              <w:rPr>
                <w:rStyle w:val="Bold"/>
                <w:rFonts w:eastAsia="Calibri"/>
              </w:rPr>
            </w:pPr>
            <w:r w:rsidRPr="006839A8">
              <w:rPr>
                <w:rStyle w:val="Bold"/>
              </w:rPr>
              <w:t>Total contractual financial assets</w:t>
            </w:r>
          </w:p>
        </w:tc>
        <w:tc>
          <w:tcPr>
            <w:tcW w:w="568" w:type="pct"/>
            <w:tcBorders>
              <w:top w:val="single" w:sz="4" w:space="0" w:color="auto"/>
              <w:bottom w:val="single" w:sz="4" w:space="0" w:color="auto"/>
            </w:tcBorders>
            <w:shd w:val="clear" w:color="auto" w:fill="F3F3F3"/>
          </w:tcPr>
          <w:p w:rsidR="0089565A" w:rsidRPr="006839A8"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6839A8">
              <w:rPr>
                <w:rStyle w:val="Bold"/>
              </w:rPr>
              <w:t>2,634</w:t>
            </w:r>
          </w:p>
        </w:tc>
        <w:tc>
          <w:tcPr>
            <w:tcW w:w="512" w:type="pct"/>
            <w:tcBorders>
              <w:top w:val="single" w:sz="4" w:space="0" w:color="auto"/>
              <w:bottom w:val="single" w:sz="4" w:space="0" w:color="auto"/>
            </w:tcBorders>
          </w:tcPr>
          <w:p w:rsidR="0089565A" w:rsidRPr="006839A8"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6839A8">
              <w:rPr>
                <w:rStyle w:val="Bold"/>
              </w:rPr>
              <w:t>2,363</w:t>
            </w:r>
          </w:p>
        </w:tc>
        <w:tc>
          <w:tcPr>
            <w:tcW w:w="498" w:type="pct"/>
            <w:tcBorders>
              <w:top w:val="single" w:sz="4" w:space="0" w:color="auto"/>
              <w:bottom w:val="single" w:sz="4" w:space="0" w:color="auto"/>
            </w:tcBorders>
            <w:shd w:val="clear" w:color="auto" w:fill="F3F3F3"/>
          </w:tcPr>
          <w:p w:rsidR="0089565A" w:rsidRPr="006839A8"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6839A8">
              <w:rPr>
                <w:rStyle w:val="Bold"/>
              </w:rPr>
              <w:t>127</w:t>
            </w:r>
          </w:p>
        </w:tc>
        <w:tc>
          <w:tcPr>
            <w:tcW w:w="496" w:type="pct"/>
            <w:tcBorders>
              <w:top w:val="single" w:sz="4" w:space="0" w:color="auto"/>
              <w:bottom w:val="single" w:sz="4" w:space="0" w:color="auto"/>
            </w:tcBorders>
          </w:tcPr>
          <w:p w:rsidR="0089565A" w:rsidRPr="006839A8"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6839A8">
              <w:rPr>
                <w:rStyle w:val="Bold"/>
              </w:rPr>
              <w:t>73</w:t>
            </w:r>
          </w:p>
        </w:tc>
        <w:tc>
          <w:tcPr>
            <w:tcW w:w="499" w:type="pct"/>
            <w:tcBorders>
              <w:top w:val="single" w:sz="4" w:space="0" w:color="auto"/>
              <w:bottom w:val="single" w:sz="4" w:space="0" w:color="auto"/>
            </w:tcBorders>
            <w:shd w:val="clear" w:color="auto" w:fill="F3F3F3"/>
          </w:tcPr>
          <w:p w:rsidR="0089565A" w:rsidRPr="006839A8"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6839A8">
              <w:rPr>
                <w:rStyle w:val="Bold"/>
              </w:rPr>
              <w:t>39</w:t>
            </w:r>
          </w:p>
        </w:tc>
        <w:tc>
          <w:tcPr>
            <w:tcW w:w="495" w:type="pct"/>
            <w:tcBorders>
              <w:top w:val="single" w:sz="4" w:space="0" w:color="auto"/>
              <w:bottom w:val="single" w:sz="4" w:space="0" w:color="auto"/>
            </w:tcBorders>
          </w:tcPr>
          <w:p w:rsidR="0089565A" w:rsidRPr="006839A8" w:rsidRDefault="0089565A" w:rsidP="0089565A">
            <w:pPr>
              <w:pStyle w:val="TableBodyText"/>
              <w:cnfStyle w:val="000000000000" w:firstRow="0" w:lastRow="0" w:firstColumn="0" w:lastColumn="0" w:oddVBand="0" w:evenVBand="0" w:oddHBand="0" w:evenHBand="0" w:firstRowFirstColumn="0" w:firstRowLastColumn="0" w:lastRowFirstColumn="0" w:lastRowLastColumn="0"/>
              <w:rPr>
                <w:rStyle w:val="Bold"/>
                <w:rFonts w:eastAsia="Arial"/>
              </w:rPr>
            </w:pPr>
            <w:r w:rsidRPr="006839A8">
              <w:rPr>
                <w:rStyle w:val="Bold"/>
              </w:rPr>
              <w:t>32</w:t>
            </w:r>
          </w:p>
        </w:tc>
      </w:tr>
    </w:tbl>
    <w:p w:rsidR="0089565A" w:rsidRDefault="00175896" w:rsidP="00175896">
      <w:pPr>
        <w:pStyle w:val="Caption"/>
      </w:pPr>
      <w:r>
        <w:lastRenderedPageBreak/>
        <w:t>2016</w:t>
      </w:r>
    </w:p>
    <w:tbl>
      <w:tblPr>
        <w:tblStyle w:val="FinancialTable"/>
        <w:tblW w:w="5000" w:type="pct"/>
        <w:tblLook w:val="04A0" w:firstRow="1" w:lastRow="0" w:firstColumn="1" w:lastColumn="0" w:noHBand="0" w:noVBand="1"/>
      </w:tblPr>
      <w:tblGrid>
        <w:gridCol w:w="3724"/>
        <w:gridCol w:w="1095"/>
        <w:gridCol w:w="987"/>
        <w:gridCol w:w="960"/>
        <w:gridCol w:w="956"/>
        <w:gridCol w:w="962"/>
        <w:gridCol w:w="954"/>
      </w:tblGrid>
      <w:tr w:rsidR="00D96043" w:rsidRPr="00D96043" w:rsidTr="00D960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2" w:type="pct"/>
          </w:tcPr>
          <w:p w:rsidR="00D96043" w:rsidRPr="00D96043" w:rsidRDefault="00D96043" w:rsidP="00175896">
            <w:pPr>
              <w:pStyle w:val="TableBodyText"/>
              <w:rPr>
                <w:rStyle w:val="Bold"/>
                <w:rFonts w:eastAsia="Calibri"/>
              </w:rPr>
            </w:pPr>
            <w:r w:rsidRPr="00D96043">
              <w:rPr>
                <w:rStyle w:val="Bold"/>
              </w:rPr>
              <w:t>2016</w:t>
            </w:r>
          </w:p>
        </w:tc>
        <w:tc>
          <w:tcPr>
            <w:tcW w:w="568" w:type="pct"/>
            <w:shd w:val="clear" w:color="auto" w:fill="F3F3F3"/>
          </w:tcPr>
          <w:p w:rsidR="00D96043" w:rsidRPr="00D96043" w:rsidRDefault="00D96043" w:rsidP="00175896">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D96043">
              <w:rPr>
                <w:rStyle w:val="Bold"/>
              </w:rPr>
              <w:t>Carrying amount ($'000)</w:t>
            </w:r>
          </w:p>
        </w:tc>
        <w:tc>
          <w:tcPr>
            <w:tcW w:w="512" w:type="pct"/>
          </w:tcPr>
          <w:p w:rsidR="00D96043" w:rsidRPr="00D96043" w:rsidRDefault="00D96043" w:rsidP="00175896">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D96043">
              <w:rPr>
                <w:rStyle w:val="Bold"/>
              </w:rPr>
              <w:t>Not past due and not impaired ($'000)</w:t>
            </w:r>
          </w:p>
        </w:tc>
        <w:tc>
          <w:tcPr>
            <w:tcW w:w="498" w:type="pct"/>
            <w:shd w:val="clear" w:color="auto" w:fill="F3F3F3"/>
          </w:tcPr>
          <w:p w:rsidR="00D96043" w:rsidRPr="00D96043" w:rsidRDefault="00D96043" w:rsidP="00175896">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D96043">
              <w:rPr>
                <w:rStyle w:val="Bold"/>
              </w:rPr>
              <w:t xml:space="preserve">Past due but not impaired </w:t>
            </w:r>
            <w:r w:rsidRPr="00D96043">
              <w:rPr>
                <w:rStyle w:val="Bold"/>
              </w:rPr>
              <w:br/>
              <w:t>Less than 1 month ($'000)</w:t>
            </w:r>
          </w:p>
        </w:tc>
        <w:tc>
          <w:tcPr>
            <w:tcW w:w="496" w:type="pct"/>
          </w:tcPr>
          <w:p w:rsidR="00D96043" w:rsidRPr="00D96043" w:rsidRDefault="00D96043" w:rsidP="00175896">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D96043">
              <w:rPr>
                <w:rStyle w:val="Bold"/>
              </w:rPr>
              <w:t xml:space="preserve">Past due but not impaired </w:t>
            </w:r>
            <w:r w:rsidRPr="00D96043">
              <w:rPr>
                <w:rStyle w:val="Bold"/>
              </w:rPr>
              <w:br/>
              <w:t>1 to 3 months ($'000)</w:t>
            </w:r>
          </w:p>
        </w:tc>
        <w:tc>
          <w:tcPr>
            <w:tcW w:w="499" w:type="pct"/>
            <w:shd w:val="clear" w:color="auto" w:fill="F3F3F3"/>
          </w:tcPr>
          <w:p w:rsidR="00D96043" w:rsidRPr="00D96043" w:rsidRDefault="00D96043" w:rsidP="00175896">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D96043">
              <w:rPr>
                <w:rStyle w:val="Bold"/>
              </w:rPr>
              <w:t xml:space="preserve">Past due but not impaired </w:t>
            </w:r>
            <w:r w:rsidRPr="00D96043">
              <w:rPr>
                <w:rStyle w:val="Bold"/>
              </w:rPr>
              <w:br/>
              <w:t>3 months to 1 year ($'000)</w:t>
            </w:r>
          </w:p>
        </w:tc>
        <w:tc>
          <w:tcPr>
            <w:tcW w:w="495" w:type="pct"/>
          </w:tcPr>
          <w:p w:rsidR="00D96043" w:rsidRPr="00D96043" w:rsidRDefault="00D96043" w:rsidP="00175896">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D96043">
              <w:rPr>
                <w:rStyle w:val="Bold"/>
              </w:rPr>
              <w:t>Past due but not impaired</w:t>
            </w:r>
            <w:r w:rsidRPr="00D96043">
              <w:rPr>
                <w:rStyle w:val="Bold"/>
                <w:rFonts w:eastAsia="Calibri"/>
              </w:rPr>
              <w:t xml:space="preserve"> </w:t>
            </w:r>
            <w:r w:rsidRPr="00D96043">
              <w:rPr>
                <w:rStyle w:val="Bold"/>
                <w:rFonts w:eastAsia="Calibri"/>
              </w:rPr>
              <w:br/>
              <w:t>1</w:t>
            </w:r>
            <w:r w:rsidRPr="00D96043">
              <w:rPr>
                <w:rStyle w:val="Bold"/>
                <w:rFonts w:ascii="Cambria Math" w:eastAsia="Calibri" w:hAnsi="Cambria Math" w:cs="Cambria Math"/>
              </w:rPr>
              <w:t>‐</w:t>
            </w:r>
            <w:r w:rsidRPr="00D96043">
              <w:rPr>
                <w:rStyle w:val="Bold"/>
                <w:rFonts w:eastAsia="Calibri"/>
              </w:rPr>
              <w:t>5 Years ($'000)</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1932" w:type="pct"/>
            <w:tcBorders>
              <w:bottom w:val="single" w:sz="4" w:space="0" w:color="auto"/>
            </w:tcBorders>
          </w:tcPr>
          <w:p w:rsidR="00D96043" w:rsidRPr="00D96043" w:rsidRDefault="00D96043" w:rsidP="00175896">
            <w:pPr>
              <w:pStyle w:val="TableBodyText"/>
              <w:rPr>
                <w:rStyle w:val="Bold"/>
              </w:rPr>
            </w:pPr>
            <w:r w:rsidRPr="00D96043">
              <w:rPr>
                <w:rStyle w:val="Bold"/>
              </w:rPr>
              <w:t>Receivables</w:t>
            </w:r>
          </w:p>
        </w:tc>
        <w:tc>
          <w:tcPr>
            <w:tcW w:w="568" w:type="pct"/>
            <w:tcBorders>
              <w:top w:val="single" w:sz="4" w:space="0" w:color="auto"/>
              <w:bottom w:val="single" w:sz="4" w:space="0" w:color="auto"/>
            </w:tcBorders>
            <w:shd w:val="clear" w:color="auto" w:fill="F3F3F3"/>
          </w:tcPr>
          <w:p w:rsidR="00D96043" w:rsidRPr="00D96043" w:rsidRDefault="00175896" w:rsidP="001758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512" w:type="pct"/>
            <w:tcBorders>
              <w:bottom w:val="single" w:sz="4" w:space="0" w:color="auto"/>
            </w:tcBorders>
          </w:tcPr>
          <w:p w:rsidR="00D96043" w:rsidRPr="00D96043" w:rsidRDefault="00175896" w:rsidP="001758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8" w:type="pct"/>
            <w:tcBorders>
              <w:top w:val="single" w:sz="4" w:space="0" w:color="auto"/>
              <w:bottom w:val="single" w:sz="4" w:space="0" w:color="auto"/>
            </w:tcBorders>
            <w:shd w:val="clear" w:color="auto" w:fill="F3F3F3"/>
          </w:tcPr>
          <w:p w:rsidR="00D96043" w:rsidRPr="00D96043" w:rsidRDefault="00175896" w:rsidP="001758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6" w:type="pct"/>
            <w:tcBorders>
              <w:bottom w:val="single" w:sz="4" w:space="0" w:color="auto"/>
            </w:tcBorders>
          </w:tcPr>
          <w:p w:rsidR="00D96043" w:rsidRPr="00D96043" w:rsidRDefault="00175896" w:rsidP="001758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9" w:type="pct"/>
            <w:tcBorders>
              <w:top w:val="single" w:sz="4" w:space="0" w:color="auto"/>
              <w:bottom w:val="single" w:sz="4" w:space="0" w:color="auto"/>
            </w:tcBorders>
            <w:shd w:val="clear" w:color="auto" w:fill="F3F3F3"/>
          </w:tcPr>
          <w:p w:rsidR="00D96043" w:rsidRPr="00D96043" w:rsidRDefault="00175896" w:rsidP="001758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95" w:type="pct"/>
            <w:tcBorders>
              <w:bottom w:val="single" w:sz="4" w:space="0" w:color="auto"/>
            </w:tcBorders>
          </w:tcPr>
          <w:p w:rsidR="00D96043" w:rsidRPr="00D96043"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1932" w:type="pct"/>
            <w:tcBorders>
              <w:bottom w:val="single" w:sz="4" w:space="0" w:color="auto"/>
            </w:tcBorders>
          </w:tcPr>
          <w:p w:rsidR="00D96043" w:rsidRPr="00D96043" w:rsidRDefault="00D96043" w:rsidP="00175896">
            <w:pPr>
              <w:pStyle w:val="TableBodyText"/>
              <w:rPr>
                <w:rFonts w:eastAsia="Calibri"/>
              </w:rPr>
            </w:pPr>
            <w:r w:rsidRPr="00D96043">
              <w:t>Other receivables</w:t>
            </w:r>
          </w:p>
        </w:tc>
        <w:tc>
          <w:tcPr>
            <w:tcW w:w="568" w:type="pct"/>
            <w:tcBorders>
              <w:top w:val="single" w:sz="4" w:space="0" w:color="auto"/>
              <w:bottom w:val="single" w:sz="4" w:space="0" w:color="auto"/>
            </w:tcBorders>
            <w:shd w:val="clear" w:color="auto" w:fill="F3F3F3"/>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D96043">
              <w:t>4,626</w:t>
            </w:r>
          </w:p>
        </w:tc>
        <w:tc>
          <w:tcPr>
            <w:tcW w:w="512" w:type="pct"/>
            <w:tcBorders>
              <w:bottom w:val="single" w:sz="4" w:space="0" w:color="auto"/>
            </w:tcBorders>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D96043">
              <w:t>3,181</w:t>
            </w:r>
          </w:p>
        </w:tc>
        <w:tc>
          <w:tcPr>
            <w:tcW w:w="498" w:type="pct"/>
            <w:tcBorders>
              <w:top w:val="single" w:sz="4" w:space="0" w:color="auto"/>
              <w:bottom w:val="single" w:sz="4" w:space="0" w:color="auto"/>
            </w:tcBorders>
            <w:shd w:val="clear" w:color="auto" w:fill="F3F3F3"/>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D96043">
              <w:t>1,438</w:t>
            </w:r>
          </w:p>
        </w:tc>
        <w:tc>
          <w:tcPr>
            <w:tcW w:w="496" w:type="pct"/>
            <w:tcBorders>
              <w:bottom w:val="single" w:sz="4" w:space="0" w:color="auto"/>
            </w:tcBorders>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D96043">
              <w:t>3</w:t>
            </w:r>
          </w:p>
        </w:tc>
        <w:tc>
          <w:tcPr>
            <w:tcW w:w="499" w:type="pct"/>
            <w:tcBorders>
              <w:top w:val="single" w:sz="4" w:space="0" w:color="auto"/>
              <w:bottom w:val="single" w:sz="4" w:space="0" w:color="auto"/>
            </w:tcBorders>
            <w:shd w:val="clear" w:color="auto" w:fill="F3F3F3"/>
          </w:tcPr>
          <w:p w:rsidR="00D96043" w:rsidRPr="00D96043" w:rsidRDefault="00D96043" w:rsidP="001758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D96043">
              <w:t>5</w:t>
            </w:r>
          </w:p>
        </w:tc>
        <w:tc>
          <w:tcPr>
            <w:tcW w:w="495" w:type="pct"/>
            <w:tcBorders>
              <w:bottom w:val="single" w:sz="4" w:space="0" w:color="auto"/>
            </w:tcBorders>
          </w:tcPr>
          <w:p w:rsidR="00D96043" w:rsidRPr="00D96043"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1932" w:type="pct"/>
            <w:tcBorders>
              <w:top w:val="single" w:sz="4" w:space="0" w:color="auto"/>
              <w:bottom w:val="single" w:sz="4" w:space="0" w:color="auto"/>
            </w:tcBorders>
          </w:tcPr>
          <w:p w:rsidR="00D96043" w:rsidRPr="00D96043" w:rsidRDefault="00D96043" w:rsidP="00175896">
            <w:pPr>
              <w:pStyle w:val="TableBodyText"/>
              <w:rPr>
                <w:rStyle w:val="Bold"/>
                <w:rFonts w:eastAsia="Calibri"/>
              </w:rPr>
            </w:pPr>
            <w:r w:rsidRPr="00D96043">
              <w:rPr>
                <w:rStyle w:val="Bold"/>
              </w:rPr>
              <w:t>Total contractual financial assets</w:t>
            </w:r>
          </w:p>
        </w:tc>
        <w:tc>
          <w:tcPr>
            <w:tcW w:w="568" w:type="pct"/>
            <w:tcBorders>
              <w:top w:val="single" w:sz="4" w:space="0" w:color="auto"/>
              <w:bottom w:val="single" w:sz="4" w:space="0" w:color="auto"/>
            </w:tcBorders>
            <w:shd w:val="clear" w:color="auto" w:fill="F3F3F3"/>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96043">
              <w:rPr>
                <w:rStyle w:val="Bold"/>
              </w:rPr>
              <w:t>4,626</w:t>
            </w:r>
          </w:p>
        </w:tc>
        <w:tc>
          <w:tcPr>
            <w:tcW w:w="512" w:type="pct"/>
            <w:tcBorders>
              <w:top w:val="single" w:sz="4" w:space="0" w:color="auto"/>
              <w:bottom w:val="single" w:sz="4" w:space="0" w:color="auto"/>
            </w:tcBorders>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96043">
              <w:rPr>
                <w:rStyle w:val="Bold"/>
              </w:rPr>
              <w:t>3,181</w:t>
            </w:r>
          </w:p>
        </w:tc>
        <w:tc>
          <w:tcPr>
            <w:tcW w:w="498" w:type="pct"/>
            <w:tcBorders>
              <w:top w:val="single" w:sz="4" w:space="0" w:color="auto"/>
              <w:bottom w:val="single" w:sz="4" w:space="0" w:color="auto"/>
            </w:tcBorders>
            <w:shd w:val="clear" w:color="auto" w:fill="F3F3F3"/>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96043">
              <w:rPr>
                <w:rStyle w:val="Bold"/>
              </w:rPr>
              <w:t>1,438</w:t>
            </w:r>
          </w:p>
        </w:tc>
        <w:tc>
          <w:tcPr>
            <w:tcW w:w="496" w:type="pct"/>
            <w:tcBorders>
              <w:top w:val="single" w:sz="4" w:space="0" w:color="auto"/>
              <w:bottom w:val="single" w:sz="4" w:space="0" w:color="auto"/>
            </w:tcBorders>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96043">
              <w:rPr>
                <w:rStyle w:val="Bold"/>
              </w:rPr>
              <w:t>3</w:t>
            </w:r>
          </w:p>
        </w:tc>
        <w:tc>
          <w:tcPr>
            <w:tcW w:w="499" w:type="pct"/>
            <w:tcBorders>
              <w:top w:val="single" w:sz="4" w:space="0" w:color="auto"/>
              <w:bottom w:val="single" w:sz="4" w:space="0" w:color="auto"/>
            </w:tcBorders>
            <w:shd w:val="clear" w:color="auto" w:fill="F3F3F3"/>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96043">
              <w:rPr>
                <w:rStyle w:val="Bold"/>
              </w:rPr>
              <w:t>5</w:t>
            </w:r>
          </w:p>
        </w:tc>
        <w:tc>
          <w:tcPr>
            <w:tcW w:w="495" w:type="pct"/>
            <w:tcBorders>
              <w:top w:val="single" w:sz="4" w:space="0" w:color="auto"/>
              <w:bottom w:val="single" w:sz="4" w:space="0" w:color="auto"/>
            </w:tcBorders>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96043">
              <w:rPr>
                <w:rStyle w:val="Bold"/>
              </w:rPr>
              <w:t>0</w:t>
            </w:r>
          </w:p>
        </w:tc>
      </w:tr>
    </w:tbl>
    <w:p w:rsidR="00D96043" w:rsidRDefault="00D96043" w:rsidP="00D96043">
      <w:pPr>
        <w:pStyle w:val="BodyText"/>
      </w:pPr>
      <w:r>
        <w:t>No interest is charged for the first 30 days from the invoice date. The average credit period for sales of goods / services and other receivables is 30 days. There are no material financial assets that are individually determined to be impaired. Currently, CSV does not hold any collateral as security nor credit enhancements relating to any of its financial assets.</w:t>
      </w:r>
    </w:p>
    <w:p w:rsidR="00D96043" w:rsidRDefault="00D96043" w:rsidP="00D96043">
      <w:pPr>
        <w:pStyle w:val="BodyText"/>
      </w:pPr>
      <w:r>
        <w:t>There are no financial assets that have had their terms renegotiated so as to prevent them from being past due or impaired, and they are stated at the carrying amounts as indicated.</w:t>
      </w:r>
    </w:p>
    <w:p w:rsidR="00D96043" w:rsidRDefault="00D96043" w:rsidP="00D96043">
      <w:pPr>
        <w:pStyle w:val="Heading2"/>
      </w:pPr>
      <w:bookmarkStart w:id="44" w:name="_Toc497125478"/>
      <w:r w:rsidRPr="00D96043">
        <w:t>Payables</w:t>
      </w:r>
      <w:bookmarkEnd w:id="44"/>
    </w:p>
    <w:tbl>
      <w:tblPr>
        <w:tblStyle w:val="FinancialTable"/>
        <w:tblW w:w="5000" w:type="pct"/>
        <w:tblLook w:val="04A0" w:firstRow="1" w:lastRow="0" w:firstColumn="1" w:lastColumn="0" w:noHBand="0" w:noVBand="1"/>
      </w:tblPr>
      <w:tblGrid>
        <w:gridCol w:w="6158"/>
        <w:gridCol w:w="1822"/>
        <w:gridCol w:w="1658"/>
      </w:tblGrid>
      <w:tr w:rsidR="00D96043" w:rsidRPr="00D96043" w:rsidTr="00D960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5" w:type="pct"/>
            <w:noWrap/>
            <w:hideMark/>
          </w:tcPr>
          <w:p w:rsidR="00D96043" w:rsidRPr="00D96043" w:rsidRDefault="00D96043" w:rsidP="00D96043">
            <w:pPr>
              <w:pStyle w:val="TableBodyText"/>
              <w:rPr>
                <w:rStyle w:val="Bold"/>
              </w:rPr>
            </w:pPr>
            <w:r w:rsidRPr="00D96043">
              <w:rPr>
                <w:rStyle w:val="Bold"/>
              </w:rPr>
              <w:t>Item</w:t>
            </w:r>
          </w:p>
        </w:tc>
        <w:tc>
          <w:tcPr>
            <w:tcW w:w="945" w:type="pct"/>
            <w:shd w:val="clear" w:color="auto" w:fill="F3F3F3"/>
            <w:noWrap/>
            <w:hideMark/>
          </w:tcPr>
          <w:p w:rsidR="00D96043" w:rsidRPr="00D96043" w:rsidRDefault="00D96043" w:rsidP="00D9604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D96043">
              <w:rPr>
                <w:rStyle w:val="Bold"/>
              </w:rPr>
              <w:t>2017</w:t>
            </w:r>
            <w:r w:rsidRPr="00D96043">
              <w:rPr>
                <w:rStyle w:val="Bold"/>
              </w:rPr>
              <w:br/>
              <w:t>$'000</w:t>
            </w:r>
          </w:p>
        </w:tc>
        <w:tc>
          <w:tcPr>
            <w:tcW w:w="860" w:type="pct"/>
            <w:noWrap/>
            <w:hideMark/>
          </w:tcPr>
          <w:p w:rsidR="00D96043" w:rsidRPr="00D96043" w:rsidRDefault="00D96043" w:rsidP="00D9604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D96043">
              <w:rPr>
                <w:rStyle w:val="Bold"/>
              </w:rPr>
              <w:t>2016</w:t>
            </w:r>
            <w:r w:rsidRPr="00D96043">
              <w:rPr>
                <w:rStyle w:val="Bold"/>
              </w:rPr>
              <w:br/>
              <w:t>$'000</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rPr>
                <w:rStyle w:val="Bold"/>
              </w:rPr>
            </w:pPr>
            <w:r w:rsidRPr="00D96043">
              <w:rPr>
                <w:rStyle w:val="Bold"/>
              </w:rPr>
              <w:t>Current Payables</w:t>
            </w:r>
          </w:p>
        </w:tc>
        <w:tc>
          <w:tcPr>
            <w:tcW w:w="945" w:type="pct"/>
            <w:shd w:val="clear" w:color="auto" w:fill="F3F3F3"/>
            <w:noWrap/>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rPr>
                <w:rStyle w:val="Bold"/>
              </w:rPr>
            </w:pPr>
            <w:r w:rsidRPr="00D96043">
              <w:rPr>
                <w:rStyle w:val="Bold"/>
              </w:rPr>
              <w:t>Contractual</w:t>
            </w:r>
          </w:p>
        </w:tc>
        <w:tc>
          <w:tcPr>
            <w:tcW w:w="945" w:type="pct"/>
            <w:shd w:val="clear" w:color="auto" w:fill="F3F3F3"/>
            <w:noWrap/>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 xml:space="preserve">Trade creditors and other payables </w:t>
            </w:r>
          </w:p>
        </w:tc>
        <w:tc>
          <w:tcPr>
            <w:tcW w:w="945" w:type="pct"/>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15,578</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16,086</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Unearned revenue</w:t>
            </w:r>
          </w:p>
        </w:tc>
        <w:tc>
          <w:tcPr>
            <w:tcW w:w="945" w:type="pct"/>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1,438</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Accrued capital works</w:t>
            </w:r>
          </w:p>
        </w:tc>
        <w:tc>
          <w:tcPr>
            <w:tcW w:w="945" w:type="pct"/>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5,305</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453</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 xml:space="preserve">Salaries and wages </w:t>
            </w:r>
          </w:p>
        </w:tc>
        <w:tc>
          <w:tcPr>
            <w:tcW w:w="945" w:type="pct"/>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4,731</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3,635</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Statutory</w:t>
            </w:r>
          </w:p>
        </w:tc>
        <w:tc>
          <w:tcPr>
            <w:tcW w:w="945" w:type="pct"/>
            <w:shd w:val="clear" w:color="auto" w:fill="F3F3F3"/>
            <w:noWrap/>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Payroll tax</w:t>
            </w:r>
          </w:p>
        </w:tc>
        <w:tc>
          <w:tcPr>
            <w:tcW w:w="945" w:type="pct"/>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1,007</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864</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Fringe benefits tax</w:t>
            </w:r>
          </w:p>
        </w:tc>
        <w:tc>
          <w:tcPr>
            <w:tcW w:w="945" w:type="pct"/>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834</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813</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tcBorders>
              <w:bottom w:val="single" w:sz="4" w:space="0" w:color="auto"/>
            </w:tcBorders>
            <w:hideMark/>
          </w:tcPr>
          <w:p w:rsidR="00D96043" w:rsidRPr="00D96043" w:rsidRDefault="00D96043" w:rsidP="00D96043">
            <w:pPr>
              <w:pStyle w:val="TableBodyText"/>
            </w:pPr>
            <w:r w:rsidRPr="00D96043">
              <w:t>Amounts payable to the Judicial College of Victoria</w:t>
            </w:r>
          </w:p>
        </w:tc>
        <w:tc>
          <w:tcPr>
            <w:tcW w:w="945" w:type="pct"/>
            <w:tcBorders>
              <w:bottom w:val="single" w:sz="4" w:space="0" w:color="auto"/>
            </w:tcBorders>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2,223</w:t>
            </w:r>
          </w:p>
        </w:tc>
        <w:tc>
          <w:tcPr>
            <w:tcW w:w="860" w:type="pct"/>
            <w:tcBorders>
              <w:bottom w:val="single" w:sz="4" w:space="0" w:color="auto"/>
            </w:tcBorders>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1,042</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tcBorders>
              <w:top w:val="single" w:sz="4" w:space="0" w:color="auto"/>
              <w:bottom w:val="single" w:sz="4" w:space="0" w:color="auto"/>
            </w:tcBorders>
            <w:noWrap/>
            <w:hideMark/>
          </w:tcPr>
          <w:p w:rsidR="00D96043" w:rsidRPr="00D96043" w:rsidRDefault="00D96043" w:rsidP="00D96043">
            <w:pPr>
              <w:pStyle w:val="TableBodyText"/>
              <w:rPr>
                <w:rStyle w:val="Bold"/>
              </w:rPr>
            </w:pPr>
            <w:r w:rsidRPr="00D96043">
              <w:rPr>
                <w:rStyle w:val="Bold"/>
              </w:rPr>
              <w:t>Total payables</w:t>
            </w:r>
          </w:p>
        </w:tc>
        <w:tc>
          <w:tcPr>
            <w:tcW w:w="945" w:type="pct"/>
            <w:tcBorders>
              <w:top w:val="single" w:sz="4" w:space="0" w:color="auto"/>
              <w:bottom w:val="single" w:sz="4" w:space="0" w:color="auto"/>
            </w:tcBorders>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96043">
              <w:rPr>
                <w:rStyle w:val="Bold"/>
              </w:rPr>
              <w:t>31,116</w:t>
            </w:r>
          </w:p>
        </w:tc>
        <w:tc>
          <w:tcPr>
            <w:tcW w:w="860" w:type="pct"/>
            <w:tcBorders>
              <w:top w:val="single" w:sz="4" w:space="0" w:color="auto"/>
              <w:bottom w:val="single" w:sz="4" w:space="0" w:color="auto"/>
            </w:tcBorders>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96043">
              <w:rPr>
                <w:rStyle w:val="Bold"/>
              </w:rPr>
              <w:t>22,894</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tcBorders>
              <w:top w:val="single" w:sz="4" w:space="0" w:color="auto"/>
            </w:tcBorders>
            <w:noWrap/>
            <w:hideMark/>
          </w:tcPr>
          <w:p w:rsidR="00D96043" w:rsidRPr="00D96043" w:rsidRDefault="00D96043" w:rsidP="00D96043">
            <w:pPr>
              <w:pStyle w:val="TableBodyText"/>
            </w:pPr>
            <w:r w:rsidRPr="00D96043">
              <w:t>Represented by:</w:t>
            </w:r>
          </w:p>
        </w:tc>
        <w:tc>
          <w:tcPr>
            <w:tcW w:w="945" w:type="pct"/>
            <w:tcBorders>
              <w:top w:val="single" w:sz="4" w:space="0" w:color="auto"/>
            </w:tcBorders>
            <w:shd w:val="clear" w:color="auto" w:fill="F3F3F3"/>
            <w:noWrap/>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60" w:type="pct"/>
            <w:tcBorders>
              <w:top w:val="single" w:sz="4" w:space="0" w:color="auto"/>
            </w:tcBorders>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t>N/A</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Current payables</w:t>
            </w:r>
          </w:p>
        </w:tc>
        <w:tc>
          <w:tcPr>
            <w:tcW w:w="945" w:type="pct"/>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31,077</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 xml:space="preserve">22,841 </w:t>
            </w:r>
          </w:p>
        </w:tc>
      </w:tr>
      <w:tr w:rsidR="00D96043" w:rsidRPr="00D96043" w:rsidTr="00D96043">
        <w:tc>
          <w:tcPr>
            <w:cnfStyle w:val="001000000000" w:firstRow="0" w:lastRow="0" w:firstColumn="1" w:lastColumn="0" w:oddVBand="0" w:evenVBand="0" w:oddHBand="0" w:evenHBand="0" w:firstRowFirstColumn="0" w:firstRowLastColumn="0" w:lastRowFirstColumn="0" w:lastRowLastColumn="0"/>
            <w:tcW w:w="3195" w:type="pct"/>
            <w:noWrap/>
            <w:hideMark/>
          </w:tcPr>
          <w:p w:rsidR="00D96043" w:rsidRPr="00D96043" w:rsidRDefault="00D96043" w:rsidP="00D96043">
            <w:pPr>
              <w:pStyle w:val="TableBodyText"/>
            </w:pPr>
            <w:r w:rsidRPr="00D96043">
              <w:t>Non-current payables</w:t>
            </w:r>
          </w:p>
        </w:tc>
        <w:tc>
          <w:tcPr>
            <w:tcW w:w="945" w:type="pct"/>
            <w:tcBorders>
              <w:bottom w:val="single" w:sz="4" w:space="0" w:color="auto"/>
            </w:tcBorders>
            <w:shd w:val="clear" w:color="auto" w:fill="F3F3F3"/>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39</w:t>
            </w:r>
          </w:p>
        </w:tc>
        <w:tc>
          <w:tcPr>
            <w:tcW w:w="860" w:type="pct"/>
            <w:noWrap/>
            <w:hideMark/>
          </w:tcPr>
          <w:p w:rsidR="00D96043" w:rsidRPr="00D96043" w:rsidRDefault="00D96043" w:rsidP="00D96043">
            <w:pPr>
              <w:pStyle w:val="TableBodyText"/>
              <w:cnfStyle w:val="000000000000" w:firstRow="0" w:lastRow="0" w:firstColumn="0" w:lastColumn="0" w:oddVBand="0" w:evenVBand="0" w:oddHBand="0" w:evenHBand="0" w:firstRowFirstColumn="0" w:firstRowLastColumn="0" w:lastRowFirstColumn="0" w:lastRowLastColumn="0"/>
            </w:pPr>
            <w:r w:rsidRPr="00D96043">
              <w:t xml:space="preserve">53 </w:t>
            </w:r>
          </w:p>
        </w:tc>
      </w:tr>
    </w:tbl>
    <w:p w:rsidR="00D96043" w:rsidRDefault="00D96043" w:rsidP="00D96043">
      <w:pPr>
        <w:pStyle w:val="BodyText"/>
      </w:pPr>
      <w:r>
        <w:t>Payables consist of:</w:t>
      </w:r>
    </w:p>
    <w:p w:rsidR="00D96043" w:rsidRDefault="00D96043" w:rsidP="00175896">
      <w:pPr>
        <w:pStyle w:val="ListBullet"/>
      </w:pPr>
      <w:proofErr w:type="gramStart"/>
      <w:r w:rsidRPr="00175896">
        <w:rPr>
          <w:rStyle w:val="Bold"/>
        </w:rPr>
        <w:t>contractual</w:t>
      </w:r>
      <w:proofErr w:type="gramEnd"/>
      <w:r w:rsidRPr="00175896">
        <w:rPr>
          <w:rStyle w:val="Bold"/>
        </w:rPr>
        <w:t xml:space="preserve"> payables</w:t>
      </w:r>
      <w:r>
        <w:t>, classified as financial instruments and measured at amortised cost. Accounts payable represent liabilities for goods and services provided to CSV prior to the end of the financial year that are unpaid; and</w:t>
      </w:r>
    </w:p>
    <w:p w:rsidR="00D96043" w:rsidRDefault="00D96043" w:rsidP="00175896">
      <w:pPr>
        <w:pStyle w:val="ListBullet"/>
      </w:pPr>
      <w:proofErr w:type="gramStart"/>
      <w:r w:rsidRPr="00175896">
        <w:rPr>
          <w:rStyle w:val="Bold"/>
        </w:rPr>
        <w:t>statutory</w:t>
      </w:r>
      <w:proofErr w:type="gramEnd"/>
      <w:r w:rsidRPr="00175896">
        <w:rPr>
          <w:rStyle w:val="Bold"/>
        </w:rPr>
        <w:t xml:space="preserve"> payables</w:t>
      </w:r>
      <w:r>
        <w:t>, that are recognised and measured similarly to contractual payables, but are not classified as financial instruments and not included in the category of financial liabilities at amortised cost, because they do not arise from contracts.</w:t>
      </w:r>
    </w:p>
    <w:p w:rsidR="00D96043" w:rsidRDefault="00D96043" w:rsidP="00D96043">
      <w:pPr>
        <w:pStyle w:val="BodyText"/>
      </w:pPr>
      <w:r>
        <w:t>Payables for supplies and services have an average credit period of 30 days.</w:t>
      </w:r>
    </w:p>
    <w:p w:rsidR="00D96043" w:rsidRDefault="00D96043" w:rsidP="00D96043">
      <w:pPr>
        <w:pStyle w:val="BodyText"/>
      </w:pPr>
      <w:r>
        <w:t>The terms and conditions of amounts payable to the government and agencies vary according to the particular agreements and as they are not legislative payables, they are not classified as financial instruments.</w:t>
      </w:r>
    </w:p>
    <w:p w:rsidR="009C1668" w:rsidRDefault="009C1668" w:rsidP="00BD6E5E">
      <w:pPr>
        <w:pStyle w:val="Heading3"/>
        <w:numPr>
          <w:ilvl w:val="0"/>
          <w:numId w:val="0"/>
        </w:numPr>
      </w:pPr>
      <w:r w:rsidRPr="009C1668">
        <w:lastRenderedPageBreak/>
        <w:t>Maturity analysis of contractual financial liabilities</w:t>
      </w:r>
    </w:p>
    <w:p w:rsidR="00175896" w:rsidRPr="00175896" w:rsidRDefault="00175896" w:rsidP="00175896">
      <w:pPr>
        <w:pStyle w:val="Caption"/>
      </w:pPr>
      <w:r>
        <w:t>2017</w:t>
      </w:r>
    </w:p>
    <w:tbl>
      <w:tblPr>
        <w:tblStyle w:val="FinancialTable"/>
        <w:tblW w:w="5000" w:type="pct"/>
        <w:tblLook w:val="04A0" w:firstRow="1" w:lastRow="0" w:firstColumn="1" w:lastColumn="0" w:noHBand="0" w:noVBand="1"/>
      </w:tblPr>
      <w:tblGrid>
        <w:gridCol w:w="3178"/>
        <w:gridCol w:w="882"/>
        <w:gridCol w:w="852"/>
        <w:gridCol w:w="841"/>
        <w:gridCol w:w="841"/>
        <w:gridCol w:w="841"/>
        <w:gridCol w:w="1362"/>
        <w:gridCol w:w="841"/>
      </w:tblGrid>
      <w:tr w:rsidR="009C1668" w:rsidRPr="00175896" w:rsidTr="00226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36" w:type="pct"/>
            <w:hideMark/>
          </w:tcPr>
          <w:p w:rsidR="009C1668" w:rsidRPr="00175896" w:rsidRDefault="009C1668" w:rsidP="00175896">
            <w:pPr>
              <w:pStyle w:val="TableBodyText"/>
              <w:rPr>
                <w:rStyle w:val="Bold"/>
              </w:rPr>
            </w:pPr>
            <w:r w:rsidRPr="00175896">
              <w:rPr>
                <w:rStyle w:val="Bold"/>
              </w:rPr>
              <w:t>2017</w:t>
            </w:r>
          </w:p>
        </w:tc>
        <w:tc>
          <w:tcPr>
            <w:tcW w:w="498"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Carrying amount</w:t>
            </w:r>
            <w:r w:rsidRPr="00175896">
              <w:rPr>
                <w:rStyle w:val="Bold"/>
              </w:rPr>
              <w:br/>
              <w:t>($'000)</w:t>
            </w:r>
          </w:p>
        </w:tc>
        <w:tc>
          <w:tcPr>
            <w:tcW w:w="450" w:type="pct"/>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Nominal Amount</w:t>
            </w:r>
            <w:r w:rsidRPr="00175896">
              <w:rPr>
                <w:rStyle w:val="Bold"/>
              </w:rPr>
              <w:br/>
              <w:t>($'000)</w:t>
            </w:r>
          </w:p>
        </w:tc>
        <w:tc>
          <w:tcPr>
            <w:tcW w:w="432"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Less than 1 month</w:t>
            </w:r>
            <w:r w:rsidRPr="00175896">
              <w:rPr>
                <w:rStyle w:val="Bold"/>
              </w:rPr>
              <w:br/>
              <w:t>($'000)</w:t>
            </w:r>
          </w:p>
        </w:tc>
        <w:tc>
          <w:tcPr>
            <w:tcW w:w="433" w:type="pct"/>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1 to 3 months</w:t>
            </w:r>
            <w:r w:rsidRPr="00175896">
              <w:rPr>
                <w:rStyle w:val="Bold"/>
              </w:rPr>
              <w:br/>
              <w:t>($'000)</w:t>
            </w:r>
          </w:p>
        </w:tc>
        <w:tc>
          <w:tcPr>
            <w:tcW w:w="433"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3 months to 1 year</w:t>
            </w:r>
            <w:r w:rsidRPr="00175896">
              <w:rPr>
                <w:rStyle w:val="Bold"/>
              </w:rPr>
              <w:br/>
              <w:t>($'000)</w:t>
            </w:r>
          </w:p>
        </w:tc>
        <w:tc>
          <w:tcPr>
            <w:tcW w:w="587" w:type="pct"/>
            <w:noWrap/>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1 to 5 years</w:t>
            </w:r>
            <w:r w:rsidRPr="00175896">
              <w:rPr>
                <w:rStyle w:val="Bold"/>
              </w:rPr>
              <w:br/>
              <w:t>($'000)</w:t>
            </w:r>
          </w:p>
        </w:tc>
        <w:tc>
          <w:tcPr>
            <w:tcW w:w="432"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Greater than 5 years</w:t>
            </w:r>
            <w:r w:rsidRPr="00175896">
              <w:rPr>
                <w:rStyle w:val="Bold"/>
              </w:rPr>
              <w:br/>
              <w:t>($'000)</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1736" w:type="pct"/>
            <w:hideMark/>
          </w:tcPr>
          <w:p w:rsidR="009C1668" w:rsidRPr="009C1668" w:rsidRDefault="009C1668" w:rsidP="00175896">
            <w:pPr>
              <w:pStyle w:val="TableBodyText"/>
            </w:pPr>
            <w:r w:rsidRPr="009C1668">
              <w:t>Other trade creditors and other payables</w:t>
            </w:r>
          </w:p>
        </w:tc>
        <w:tc>
          <w:tcPr>
            <w:tcW w:w="498" w:type="pct"/>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15,578</w:t>
            </w:r>
          </w:p>
        </w:tc>
        <w:tc>
          <w:tcPr>
            <w:tcW w:w="450" w:type="pct"/>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15,578</w:t>
            </w:r>
          </w:p>
        </w:tc>
        <w:tc>
          <w:tcPr>
            <w:tcW w:w="432" w:type="pct"/>
            <w:shd w:val="clear" w:color="auto" w:fill="F3F3F3"/>
            <w:noWrap/>
            <w:hideMark/>
          </w:tcPr>
          <w:p w:rsidR="009C1668" w:rsidRPr="009C1668" w:rsidRDefault="009C1668" w:rsidP="00175896">
            <w:pPr>
              <w:pStyle w:val="TableBodyText"/>
              <w:cnfStyle w:val="000000000000" w:firstRow="0" w:lastRow="0" w:firstColumn="0" w:lastColumn="0" w:oddVBand="0" w:evenVBand="0" w:oddHBand="0" w:evenHBand="0" w:firstRowFirstColumn="0" w:firstRowLastColumn="0" w:lastRowFirstColumn="0" w:lastRowLastColumn="0"/>
            </w:pPr>
            <w:r w:rsidRPr="009C1668">
              <w:t>15,578</w:t>
            </w:r>
          </w:p>
        </w:tc>
        <w:tc>
          <w:tcPr>
            <w:tcW w:w="433"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3"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7"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2"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1736" w:type="pct"/>
            <w:hideMark/>
          </w:tcPr>
          <w:p w:rsidR="009C1668" w:rsidRPr="009C1668" w:rsidRDefault="009C1668" w:rsidP="00175896">
            <w:pPr>
              <w:pStyle w:val="TableBodyText"/>
            </w:pPr>
            <w:r w:rsidRPr="009C1668">
              <w:t>Accrued capital works</w:t>
            </w:r>
          </w:p>
        </w:tc>
        <w:tc>
          <w:tcPr>
            <w:tcW w:w="498" w:type="pct"/>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5,305</w:t>
            </w:r>
          </w:p>
        </w:tc>
        <w:tc>
          <w:tcPr>
            <w:tcW w:w="450" w:type="pct"/>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5,305</w:t>
            </w:r>
          </w:p>
        </w:tc>
        <w:tc>
          <w:tcPr>
            <w:tcW w:w="432" w:type="pct"/>
            <w:shd w:val="clear" w:color="auto" w:fill="F3F3F3"/>
            <w:noWrap/>
            <w:hideMark/>
          </w:tcPr>
          <w:p w:rsidR="009C1668" w:rsidRPr="009C1668" w:rsidRDefault="009C1668" w:rsidP="00175896">
            <w:pPr>
              <w:pStyle w:val="TableBodyText"/>
              <w:cnfStyle w:val="000000000000" w:firstRow="0" w:lastRow="0" w:firstColumn="0" w:lastColumn="0" w:oddVBand="0" w:evenVBand="0" w:oddHBand="0" w:evenHBand="0" w:firstRowFirstColumn="0" w:firstRowLastColumn="0" w:lastRowFirstColumn="0" w:lastRowLastColumn="0"/>
            </w:pPr>
            <w:r w:rsidRPr="009C1668">
              <w:t>5,305</w:t>
            </w:r>
          </w:p>
        </w:tc>
        <w:tc>
          <w:tcPr>
            <w:tcW w:w="433"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3"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7"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2"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1736" w:type="pct"/>
            <w:tcBorders>
              <w:bottom w:val="single" w:sz="4" w:space="0" w:color="auto"/>
            </w:tcBorders>
            <w:hideMark/>
          </w:tcPr>
          <w:p w:rsidR="009C1668" w:rsidRPr="009C1668" w:rsidRDefault="009C1668" w:rsidP="00175896">
            <w:pPr>
              <w:pStyle w:val="TableBodyText"/>
            </w:pPr>
            <w:r w:rsidRPr="009C1668">
              <w:t>Accrued salaries</w:t>
            </w:r>
          </w:p>
        </w:tc>
        <w:tc>
          <w:tcPr>
            <w:tcW w:w="498" w:type="pct"/>
            <w:tcBorders>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4,731</w:t>
            </w:r>
          </w:p>
        </w:tc>
        <w:tc>
          <w:tcPr>
            <w:tcW w:w="450" w:type="pct"/>
            <w:tcBorders>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4,731</w:t>
            </w:r>
          </w:p>
        </w:tc>
        <w:tc>
          <w:tcPr>
            <w:tcW w:w="432" w:type="pct"/>
            <w:tcBorders>
              <w:bottom w:val="single" w:sz="4" w:space="0" w:color="auto"/>
            </w:tcBorders>
            <w:shd w:val="clear" w:color="auto" w:fill="F3F3F3"/>
            <w:noWrap/>
            <w:hideMark/>
          </w:tcPr>
          <w:p w:rsidR="009C1668" w:rsidRPr="009C1668" w:rsidRDefault="009C1668" w:rsidP="00175896">
            <w:pPr>
              <w:pStyle w:val="TableBodyText"/>
              <w:cnfStyle w:val="000000000000" w:firstRow="0" w:lastRow="0" w:firstColumn="0" w:lastColumn="0" w:oddVBand="0" w:evenVBand="0" w:oddHBand="0" w:evenHBand="0" w:firstRowFirstColumn="0" w:firstRowLastColumn="0" w:lastRowFirstColumn="0" w:lastRowLastColumn="0"/>
            </w:pPr>
            <w:r w:rsidRPr="009C1668">
              <w:t>4,731</w:t>
            </w:r>
          </w:p>
        </w:tc>
        <w:tc>
          <w:tcPr>
            <w:tcW w:w="433" w:type="pct"/>
            <w:tcBorders>
              <w:bottom w:val="single" w:sz="4" w:space="0" w:color="auto"/>
            </w:tcBorders>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3" w:type="pct"/>
            <w:tcBorders>
              <w:bottom w:val="single" w:sz="4" w:space="0" w:color="auto"/>
            </w:tcBorders>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87" w:type="pct"/>
            <w:tcBorders>
              <w:bottom w:val="single" w:sz="4" w:space="0" w:color="auto"/>
            </w:tcBorders>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2" w:type="pct"/>
            <w:tcBorders>
              <w:bottom w:val="single" w:sz="4" w:space="0" w:color="auto"/>
            </w:tcBorders>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9C1668" w:rsidRPr="009C1668" w:rsidTr="00226496">
        <w:tc>
          <w:tcPr>
            <w:cnfStyle w:val="001000000000" w:firstRow="0" w:lastRow="0" w:firstColumn="1" w:lastColumn="0" w:oddVBand="0" w:evenVBand="0" w:oddHBand="0" w:evenHBand="0" w:firstRowFirstColumn="0" w:firstRowLastColumn="0" w:lastRowFirstColumn="0" w:lastRowLastColumn="0"/>
            <w:tcW w:w="1736" w:type="pct"/>
            <w:tcBorders>
              <w:top w:val="single" w:sz="4" w:space="0" w:color="auto"/>
              <w:bottom w:val="single" w:sz="4" w:space="0" w:color="auto"/>
            </w:tcBorders>
            <w:hideMark/>
          </w:tcPr>
          <w:p w:rsidR="009C1668" w:rsidRPr="009C1668" w:rsidRDefault="009C1668" w:rsidP="00175896">
            <w:pPr>
              <w:pStyle w:val="TableBodyText"/>
              <w:rPr>
                <w:rStyle w:val="Bold"/>
              </w:rPr>
            </w:pPr>
            <w:r w:rsidRPr="009C1668">
              <w:rPr>
                <w:rStyle w:val="Bold"/>
              </w:rPr>
              <w:t>Total</w:t>
            </w:r>
          </w:p>
        </w:tc>
        <w:tc>
          <w:tcPr>
            <w:tcW w:w="498"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25,614</w:t>
            </w:r>
          </w:p>
        </w:tc>
        <w:tc>
          <w:tcPr>
            <w:tcW w:w="450" w:type="pct"/>
            <w:tcBorders>
              <w:top w:val="single" w:sz="4" w:space="0" w:color="auto"/>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25,614</w:t>
            </w:r>
          </w:p>
        </w:tc>
        <w:tc>
          <w:tcPr>
            <w:tcW w:w="432"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25,614</w:t>
            </w:r>
          </w:p>
        </w:tc>
        <w:tc>
          <w:tcPr>
            <w:tcW w:w="433" w:type="pct"/>
            <w:tcBorders>
              <w:top w:val="single" w:sz="4" w:space="0" w:color="auto"/>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c>
          <w:tcPr>
            <w:tcW w:w="433"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c>
          <w:tcPr>
            <w:tcW w:w="587" w:type="pct"/>
            <w:tcBorders>
              <w:top w:val="single" w:sz="4" w:space="0" w:color="auto"/>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c>
          <w:tcPr>
            <w:tcW w:w="432"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r>
    </w:tbl>
    <w:p w:rsidR="009C1668" w:rsidRDefault="00175896" w:rsidP="00175896">
      <w:pPr>
        <w:pStyle w:val="Caption"/>
      </w:pPr>
      <w:r>
        <w:t>2016</w:t>
      </w:r>
    </w:p>
    <w:tbl>
      <w:tblPr>
        <w:tblStyle w:val="FinancialTable"/>
        <w:tblW w:w="5000" w:type="pct"/>
        <w:tblLook w:val="04A0" w:firstRow="1" w:lastRow="0" w:firstColumn="1" w:lastColumn="0" w:noHBand="0" w:noVBand="1"/>
      </w:tblPr>
      <w:tblGrid>
        <w:gridCol w:w="3081"/>
        <w:gridCol w:w="960"/>
        <w:gridCol w:w="867"/>
        <w:gridCol w:w="842"/>
        <w:gridCol w:w="842"/>
        <w:gridCol w:w="842"/>
        <w:gridCol w:w="1363"/>
        <w:gridCol w:w="841"/>
      </w:tblGrid>
      <w:tr w:rsidR="009C1668" w:rsidRPr="00175896" w:rsidTr="002264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8" w:type="pct"/>
            <w:hideMark/>
          </w:tcPr>
          <w:p w:rsidR="009C1668" w:rsidRPr="00175896" w:rsidRDefault="009C1668" w:rsidP="00175896">
            <w:pPr>
              <w:pStyle w:val="TableBodyText"/>
              <w:rPr>
                <w:rStyle w:val="Bold"/>
              </w:rPr>
            </w:pPr>
            <w:r w:rsidRPr="00175896">
              <w:rPr>
                <w:rStyle w:val="Bold"/>
              </w:rPr>
              <w:t>2016</w:t>
            </w:r>
          </w:p>
        </w:tc>
        <w:tc>
          <w:tcPr>
            <w:tcW w:w="498"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Carrying amount</w:t>
            </w:r>
            <w:r w:rsidRPr="00175896">
              <w:rPr>
                <w:rStyle w:val="Bold"/>
              </w:rPr>
              <w:br/>
              <w:t>($'000)</w:t>
            </w:r>
          </w:p>
        </w:tc>
        <w:tc>
          <w:tcPr>
            <w:tcW w:w="450" w:type="pct"/>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Nominal Amount</w:t>
            </w:r>
            <w:r w:rsidRPr="00175896">
              <w:rPr>
                <w:rStyle w:val="Bold"/>
              </w:rPr>
              <w:br/>
              <w:t>($'000)</w:t>
            </w:r>
          </w:p>
        </w:tc>
        <w:tc>
          <w:tcPr>
            <w:tcW w:w="437"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Less than 1 month</w:t>
            </w:r>
            <w:r w:rsidRPr="00175896">
              <w:rPr>
                <w:rStyle w:val="Bold"/>
              </w:rPr>
              <w:br/>
              <w:t>($'000)</w:t>
            </w:r>
          </w:p>
        </w:tc>
        <w:tc>
          <w:tcPr>
            <w:tcW w:w="437" w:type="pct"/>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1 to 3 months</w:t>
            </w:r>
            <w:r w:rsidRPr="00175896">
              <w:rPr>
                <w:rStyle w:val="Bold"/>
              </w:rPr>
              <w:br/>
              <w:t>($'000)</w:t>
            </w:r>
          </w:p>
        </w:tc>
        <w:tc>
          <w:tcPr>
            <w:tcW w:w="437"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3 months to 1 year</w:t>
            </w:r>
            <w:r w:rsidRPr="00175896">
              <w:rPr>
                <w:rStyle w:val="Bold"/>
              </w:rPr>
              <w:br/>
              <w:t>($'000)</w:t>
            </w:r>
          </w:p>
        </w:tc>
        <w:tc>
          <w:tcPr>
            <w:tcW w:w="707" w:type="pct"/>
            <w:noWrap/>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1 to 5 years</w:t>
            </w:r>
            <w:r w:rsidRPr="00175896">
              <w:rPr>
                <w:rStyle w:val="Bold"/>
              </w:rPr>
              <w:br/>
              <w:t>($'000)</w:t>
            </w:r>
          </w:p>
        </w:tc>
        <w:tc>
          <w:tcPr>
            <w:tcW w:w="437" w:type="pct"/>
            <w:shd w:val="clear" w:color="auto" w:fill="F3F3F3"/>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 xml:space="preserve">Maturity dates </w:t>
            </w:r>
            <w:r w:rsidRPr="00175896">
              <w:rPr>
                <w:rStyle w:val="Bold"/>
              </w:rPr>
              <w:br/>
              <w:t>Greater than 5 years</w:t>
            </w:r>
            <w:r w:rsidRPr="00175896">
              <w:rPr>
                <w:rStyle w:val="Bold"/>
              </w:rPr>
              <w:br/>
              <w:t>($'000)</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1598" w:type="pct"/>
            <w:hideMark/>
          </w:tcPr>
          <w:p w:rsidR="009C1668" w:rsidRPr="009C1668" w:rsidRDefault="009C1668" w:rsidP="00175896">
            <w:pPr>
              <w:pStyle w:val="TableBodyText"/>
            </w:pPr>
            <w:r w:rsidRPr="009C1668">
              <w:t>Other trade creditors and other payables</w:t>
            </w:r>
          </w:p>
        </w:tc>
        <w:tc>
          <w:tcPr>
            <w:tcW w:w="498" w:type="pct"/>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16,086</w:t>
            </w:r>
          </w:p>
        </w:tc>
        <w:tc>
          <w:tcPr>
            <w:tcW w:w="450" w:type="pct"/>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16,086</w:t>
            </w:r>
          </w:p>
        </w:tc>
        <w:tc>
          <w:tcPr>
            <w:tcW w:w="437" w:type="pct"/>
            <w:shd w:val="clear" w:color="auto" w:fill="F3F3F3"/>
            <w:noWrap/>
            <w:hideMark/>
          </w:tcPr>
          <w:p w:rsidR="009C1668" w:rsidRPr="009C1668" w:rsidRDefault="009C1668" w:rsidP="00175896">
            <w:pPr>
              <w:pStyle w:val="TableBodyText"/>
              <w:cnfStyle w:val="000000000000" w:firstRow="0" w:lastRow="0" w:firstColumn="0" w:lastColumn="0" w:oddVBand="0" w:evenVBand="0" w:oddHBand="0" w:evenHBand="0" w:firstRowFirstColumn="0" w:firstRowLastColumn="0" w:lastRowFirstColumn="0" w:lastRowLastColumn="0"/>
            </w:pPr>
            <w:r w:rsidRPr="009C1668">
              <w:t>16,086</w:t>
            </w:r>
          </w:p>
        </w:tc>
        <w:tc>
          <w:tcPr>
            <w:tcW w:w="437"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07"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1598" w:type="pct"/>
            <w:hideMark/>
          </w:tcPr>
          <w:p w:rsidR="009C1668" w:rsidRPr="009C1668" w:rsidRDefault="009C1668" w:rsidP="00175896">
            <w:pPr>
              <w:pStyle w:val="TableBodyText"/>
            </w:pPr>
            <w:r w:rsidRPr="009C1668">
              <w:t>Accrued capital works</w:t>
            </w:r>
          </w:p>
        </w:tc>
        <w:tc>
          <w:tcPr>
            <w:tcW w:w="498" w:type="pct"/>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453</w:t>
            </w:r>
          </w:p>
        </w:tc>
        <w:tc>
          <w:tcPr>
            <w:tcW w:w="450" w:type="pct"/>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453</w:t>
            </w:r>
          </w:p>
        </w:tc>
        <w:tc>
          <w:tcPr>
            <w:tcW w:w="437" w:type="pct"/>
            <w:shd w:val="clear" w:color="auto" w:fill="F3F3F3"/>
            <w:noWrap/>
            <w:hideMark/>
          </w:tcPr>
          <w:p w:rsidR="009C1668" w:rsidRPr="009C1668" w:rsidRDefault="009C1668" w:rsidP="00175896">
            <w:pPr>
              <w:pStyle w:val="TableBodyText"/>
              <w:cnfStyle w:val="000000000000" w:firstRow="0" w:lastRow="0" w:firstColumn="0" w:lastColumn="0" w:oddVBand="0" w:evenVBand="0" w:oddHBand="0" w:evenHBand="0" w:firstRowFirstColumn="0" w:firstRowLastColumn="0" w:lastRowFirstColumn="0" w:lastRowLastColumn="0"/>
            </w:pPr>
            <w:r w:rsidRPr="009C1668">
              <w:t>453</w:t>
            </w:r>
          </w:p>
        </w:tc>
        <w:tc>
          <w:tcPr>
            <w:tcW w:w="437"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07"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1598" w:type="pct"/>
            <w:tcBorders>
              <w:bottom w:val="single" w:sz="4" w:space="0" w:color="auto"/>
            </w:tcBorders>
            <w:hideMark/>
          </w:tcPr>
          <w:p w:rsidR="009C1668" w:rsidRPr="009C1668" w:rsidRDefault="009C1668" w:rsidP="00175896">
            <w:pPr>
              <w:pStyle w:val="TableBodyText"/>
            </w:pPr>
            <w:r w:rsidRPr="009C1668">
              <w:t>Accrued salaries</w:t>
            </w:r>
          </w:p>
        </w:tc>
        <w:tc>
          <w:tcPr>
            <w:tcW w:w="498" w:type="pct"/>
            <w:tcBorders>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3,635</w:t>
            </w:r>
          </w:p>
        </w:tc>
        <w:tc>
          <w:tcPr>
            <w:tcW w:w="450" w:type="pct"/>
            <w:tcBorders>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3,635</w:t>
            </w:r>
          </w:p>
        </w:tc>
        <w:tc>
          <w:tcPr>
            <w:tcW w:w="437" w:type="pct"/>
            <w:tcBorders>
              <w:bottom w:val="single" w:sz="4" w:space="0" w:color="auto"/>
            </w:tcBorders>
            <w:shd w:val="clear" w:color="auto" w:fill="F3F3F3"/>
            <w:noWrap/>
            <w:hideMark/>
          </w:tcPr>
          <w:p w:rsidR="009C1668" w:rsidRPr="009C1668" w:rsidRDefault="009C1668" w:rsidP="00175896">
            <w:pPr>
              <w:pStyle w:val="TableBodyText"/>
              <w:cnfStyle w:val="000000000000" w:firstRow="0" w:lastRow="0" w:firstColumn="0" w:lastColumn="0" w:oddVBand="0" w:evenVBand="0" w:oddHBand="0" w:evenHBand="0" w:firstRowFirstColumn="0" w:firstRowLastColumn="0" w:lastRowFirstColumn="0" w:lastRowLastColumn="0"/>
            </w:pPr>
            <w:r w:rsidRPr="009C1668">
              <w:t>3,635</w:t>
            </w:r>
          </w:p>
        </w:tc>
        <w:tc>
          <w:tcPr>
            <w:tcW w:w="437" w:type="pct"/>
            <w:tcBorders>
              <w:bottom w:val="single" w:sz="4" w:space="0" w:color="auto"/>
            </w:tcBorders>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tcBorders>
              <w:bottom w:val="single" w:sz="4" w:space="0" w:color="auto"/>
            </w:tcBorders>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07" w:type="pct"/>
            <w:tcBorders>
              <w:bottom w:val="single" w:sz="4" w:space="0" w:color="auto"/>
            </w:tcBorders>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tcBorders>
              <w:bottom w:val="single" w:sz="4" w:space="0" w:color="auto"/>
            </w:tcBorders>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9C1668" w:rsidRPr="009C1668" w:rsidTr="00226496">
        <w:tc>
          <w:tcPr>
            <w:cnfStyle w:val="001000000000" w:firstRow="0" w:lastRow="0" w:firstColumn="1" w:lastColumn="0" w:oddVBand="0" w:evenVBand="0" w:oddHBand="0" w:evenHBand="0" w:firstRowFirstColumn="0" w:firstRowLastColumn="0" w:lastRowFirstColumn="0" w:lastRowLastColumn="0"/>
            <w:tcW w:w="1598" w:type="pct"/>
            <w:tcBorders>
              <w:top w:val="single" w:sz="4" w:space="0" w:color="auto"/>
              <w:bottom w:val="single" w:sz="4" w:space="0" w:color="auto"/>
            </w:tcBorders>
            <w:hideMark/>
          </w:tcPr>
          <w:p w:rsidR="009C1668" w:rsidRPr="009C1668" w:rsidRDefault="009C1668" w:rsidP="00175896">
            <w:pPr>
              <w:pStyle w:val="TableBodyText"/>
              <w:rPr>
                <w:rStyle w:val="Bold"/>
              </w:rPr>
            </w:pPr>
            <w:r w:rsidRPr="009C1668">
              <w:rPr>
                <w:rStyle w:val="Bold"/>
              </w:rPr>
              <w:t>Total</w:t>
            </w:r>
          </w:p>
        </w:tc>
        <w:tc>
          <w:tcPr>
            <w:tcW w:w="498"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20,175</w:t>
            </w:r>
          </w:p>
        </w:tc>
        <w:tc>
          <w:tcPr>
            <w:tcW w:w="450" w:type="pct"/>
            <w:tcBorders>
              <w:top w:val="single" w:sz="4" w:space="0" w:color="auto"/>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20,175</w:t>
            </w:r>
          </w:p>
        </w:tc>
        <w:tc>
          <w:tcPr>
            <w:tcW w:w="437"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20,175</w:t>
            </w:r>
          </w:p>
        </w:tc>
        <w:tc>
          <w:tcPr>
            <w:tcW w:w="437" w:type="pct"/>
            <w:tcBorders>
              <w:top w:val="single" w:sz="4" w:space="0" w:color="auto"/>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c>
          <w:tcPr>
            <w:tcW w:w="437"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c>
          <w:tcPr>
            <w:tcW w:w="707" w:type="pct"/>
            <w:tcBorders>
              <w:top w:val="single" w:sz="4" w:space="0" w:color="auto"/>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c>
          <w:tcPr>
            <w:tcW w:w="437"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0</w:t>
            </w:r>
          </w:p>
        </w:tc>
      </w:tr>
    </w:tbl>
    <w:p w:rsidR="009C1668" w:rsidRDefault="009C1668" w:rsidP="009C1668">
      <w:pPr>
        <w:pStyle w:val="Heading2"/>
      </w:pPr>
      <w:bookmarkStart w:id="45" w:name="_Toc497125479"/>
      <w:r w:rsidRPr="009C1668">
        <w:t>Other non</w:t>
      </w:r>
      <w:r w:rsidRPr="009C1668">
        <w:rPr>
          <w:rFonts w:ascii="Cambria Math" w:hAnsi="Cambria Math" w:cs="Cambria Math"/>
        </w:rPr>
        <w:t>‐</w:t>
      </w:r>
      <w:r w:rsidRPr="009C1668">
        <w:t>financial assets</w:t>
      </w:r>
      <w:bookmarkEnd w:id="45"/>
    </w:p>
    <w:tbl>
      <w:tblPr>
        <w:tblStyle w:val="FinancialTable"/>
        <w:tblW w:w="5000" w:type="pct"/>
        <w:tblLook w:val="04A0" w:firstRow="1" w:lastRow="0" w:firstColumn="1" w:lastColumn="0" w:noHBand="0" w:noVBand="1"/>
      </w:tblPr>
      <w:tblGrid>
        <w:gridCol w:w="6158"/>
        <w:gridCol w:w="1822"/>
        <w:gridCol w:w="1658"/>
      </w:tblGrid>
      <w:tr w:rsidR="009C1668" w:rsidRPr="00175896" w:rsidTr="009E51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5" w:type="pct"/>
            <w:noWrap/>
            <w:hideMark/>
          </w:tcPr>
          <w:p w:rsidR="009C1668" w:rsidRPr="00175896" w:rsidRDefault="009C1668" w:rsidP="00175896">
            <w:pPr>
              <w:pStyle w:val="TableBodyText"/>
              <w:rPr>
                <w:rStyle w:val="Bold"/>
              </w:rPr>
            </w:pPr>
            <w:r w:rsidRPr="00175896">
              <w:rPr>
                <w:rStyle w:val="Bold"/>
              </w:rPr>
              <w:t>Item</w:t>
            </w:r>
          </w:p>
        </w:tc>
        <w:tc>
          <w:tcPr>
            <w:tcW w:w="945" w:type="pct"/>
            <w:shd w:val="clear" w:color="auto" w:fill="F3F3F3"/>
            <w:noWrap/>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2017</w:t>
            </w:r>
            <w:r w:rsidRPr="00175896">
              <w:rPr>
                <w:rStyle w:val="Bold"/>
              </w:rPr>
              <w:br/>
              <w:t>$'000</w:t>
            </w:r>
          </w:p>
        </w:tc>
        <w:tc>
          <w:tcPr>
            <w:tcW w:w="860" w:type="pct"/>
            <w:noWrap/>
            <w:hideMark/>
          </w:tcPr>
          <w:p w:rsidR="009C1668" w:rsidRPr="00175896" w:rsidRDefault="009C166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75896">
              <w:rPr>
                <w:rStyle w:val="Bold"/>
              </w:rPr>
              <w:t>2016</w:t>
            </w:r>
            <w:r w:rsidRPr="00175896">
              <w:rPr>
                <w:rStyle w:val="Bold"/>
              </w:rPr>
              <w:br/>
              <w:t>$'000</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3195" w:type="pct"/>
            <w:noWrap/>
            <w:hideMark/>
          </w:tcPr>
          <w:p w:rsidR="009C1668" w:rsidRPr="009C1668" w:rsidRDefault="009C1668" w:rsidP="00175896">
            <w:pPr>
              <w:pStyle w:val="TableBodyText"/>
              <w:rPr>
                <w:rStyle w:val="Bold"/>
              </w:rPr>
            </w:pPr>
            <w:r w:rsidRPr="009C1668">
              <w:rPr>
                <w:rStyle w:val="Bold"/>
              </w:rPr>
              <w:t>Current other assets</w:t>
            </w:r>
          </w:p>
        </w:tc>
        <w:tc>
          <w:tcPr>
            <w:tcW w:w="945" w:type="pct"/>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60" w:type="pct"/>
            <w:noWrap/>
            <w:hideMark/>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9C1668" w:rsidRPr="009C1668" w:rsidTr="009E518B">
        <w:tc>
          <w:tcPr>
            <w:cnfStyle w:val="001000000000" w:firstRow="0" w:lastRow="0" w:firstColumn="1" w:lastColumn="0" w:oddVBand="0" w:evenVBand="0" w:oddHBand="0" w:evenHBand="0" w:firstRowFirstColumn="0" w:firstRowLastColumn="0" w:lastRowFirstColumn="0" w:lastRowLastColumn="0"/>
            <w:tcW w:w="3195" w:type="pct"/>
            <w:tcBorders>
              <w:bottom w:val="single" w:sz="4" w:space="0" w:color="auto"/>
            </w:tcBorders>
            <w:noWrap/>
            <w:hideMark/>
          </w:tcPr>
          <w:p w:rsidR="009C1668" w:rsidRPr="009C1668" w:rsidRDefault="009C1668" w:rsidP="00175896">
            <w:pPr>
              <w:pStyle w:val="TableBodyText"/>
            </w:pPr>
            <w:r w:rsidRPr="009C1668">
              <w:t>Prepayments</w:t>
            </w:r>
          </w:p>
        </w:tc>
        <w:tc>
          <w:tcPr>
            <w:tcW w:w="945" w:type="pct"/>
            <w:tcBorders>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2,129</w:t>
            </w:r>
          </w:p>
        </w:tc>
        <w:tc>
          <w:tcPr>
            <w:tcW w:w="860" w:type="pct"/>
            <w:tcBorders>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1,736</w:t>
            </w:r>
          </w:p>
        </w:tc>
      </w:tr>
      <w:tr w:rsidR="009C1668" w:rsidRPr="009C1668" w:rsidTr="009E518B">
        <w:tc>
          <w:tcPr>
            <w:cnfStyle w:val="001000000000" w:firstRow="0" w:lastRow="0" w:firstColumn="1" w:lastColumn="0" w:oddVBand="0" w:evenVBand="0" w:oddHBand="0" w:evenHBand="0" w:firstRowFirstColumn="0" w:firstRowLastColumn="0" w:lastRowFirstColumn="0" w:lastRowLastColumn="0"/>
            <w:tcW w:w="3195" w:type="pct"/>
            <w:tcBorders>
              <w:top w:val="single" w:sz="4" w:space="0" w:color="auto"/>
              <w:bottom w:val="single" w:sz="4" w:space="0" w:color="auto"/>
            </w:tcBorders>
            <w:noWrap/>
            <w:hideMark/>
          </w:tcPr>
          <w:p w:rsidR="009C1668" w:rsidRPr="009C1668" w:rsidRDefault="009C1668" w:rsidP="00175896">
            <w:pPr>
              <w:pStyle w:val="TableBodyText"/>
              <w:spacing w:before="120"/>
              <w:rPr>
                <w:rStyle w:val="Bold"/>
              </w:rPr>
            </w:pPr>
            <w:r w:rsidRPr="009C1668">
              <w:rPr>
                <w:rStyle w:val="Bold"/>
              </w:rPr>
              <w:t>Total current other non-financial assets</w:t>
            </w:r>
          </w:p>
        </w:tc>
        <w:tc>
          <w:tcPr>
            <w:tcW w:w="945"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2,129</w:t>
            </w:r>
          </w:p>
        </w:tc>
        <w:tc>
          <w:tcPr>
            <w:tcW w:w="860" w:type="pct"/>
            <w:tcBorders>
              <w:top w:val="single" w:sz="4" w:space="0" w:color="auto"/>
              <w:bottom w:val="single" w:sz="4" w:space="0" w:color="auto"/>
            </w:tcBorders>
            <w:noWrap/>
            <w:hideMark/>
          </w:tcPr>
          <w:p w:rsidR="009C1668" w:rsidRPr="009C1668" w:rsidRDefault="009C1668" w:rsidP="009C1668">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1,736</w:t>
            </w:r>
          </w:p>
        </w:tc>
      </w:tr>
      <w:tr w:rsidR="009C1668" w:rsidRPr="009C1668" w:rsidTr="009E518B">
        <w:tc>
          <w:tcPr>
            <w:cnfStyle w:val="001000000000" w:firstRow="0" w:lastRow="0" w:firstColumn="1" w:lastColumn="0" w:oddVBand="0" w:evenVBand="0" w:oddHBand="0" w:evenHBand="0" w:firstRowFirstColumn="0" w:firstRowLastColumn="0" w:lastRowFirstColumn="0" w:lastRowLastColumn="0"/>
            <w:tcW w:w="3195" w:type="pct"/>
            <w:tcBorders>
              <w:top w:val="single" w:sz="4" w:space="0" w:color="auto"/>
              <w:bottom w:val="single" w:sz="4" w:space="0" w:color="auto"/>
            </w:tcBorders>
            <w:noWrap/>
            <w:hideMark/>
          </w:tcPr>
          <w:p w:rsidR="009C1668" w:rsidRPr="009C1668" w:rsidRDefault="009C1668" w:rsidP="00175896">
            <w:pPr>
              <w:pStyle w:val="TableBodyText"/>
            </w:pPr>
            <w:r w:rsidRPr="009C1668">
              <w:t>Non-current other assets</w:t>
            </w:r>
          </w:p>
        </w:tc>
        <w:tc>
          <w:tcPr>
            <w:tcW w:w="945"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pPr>
            <w:r w:rsidRPr="009C1668">
              <w:t> </w:t>
            </w:r>
            <w:r w:rsidR="00175896">
              <w:t>0</w:t>
            </w:r>
          </w:p>
        </w:tc>
        <w:tc>
          <w:tcPr>
            <w:tcW w:w="860" w:type="pct"/>
            <w:tcBorders>
              <w:top w:val="single" w:sz="4" w:space="0" w:color="auto"/>
              <w:bottom w:val="single" w:sz="4" w:space="0" w:color="auto"/>
            </w:tcBorders>
            <w:noWrap/>
            <w:hideMark/>
          </w:tcPr>
          <w:p w:rsidR="009C1668" w:rsidRPr="009C1668" w:rsidRDefault="00175896" w:rsidP="009C1668">
            <w:pPr>
              <w:pStyle w:val="TableBodyText"/>
              <w:cnfStyle w:val="000000000000" w:firstRow="0" w:lastRow="0" w:firstColumn="0" w:lastColumn="0" w:oddVBand="0" w:evenVBand="0" w:oddHBand="0" w:evenHBand="0" w:firstRowFirstColumn="0" w:firstRowLastColumn="0" w:lastRowFirstColumn="0" w:lastRowLastColumn="0"/>
            </w:pPr>
            <w:r>
              <w:t>0</w:t>
            </w:r>
          </w:p>
        </w:tc>
      </w:tr>
      <w:tr w:rsidR="009C1668" w:rsidRPr="009C1668" w:rsidTr="00175896">
        <w:tc>
          <w:tcPr>
            <w:cnfStyle w:val="001000000000" w:firstRow="0" w:lastRow="0" w:firstColumn="1" w:lastColumn="0" w:oddVBand="0" w:evenVBand="0" w:oddHBand="0" w:evenHBand="0" w:firstRowFirstColumn="0" w:firstRowLastColumn="0" w:lastRowFirstColumn="0" w:lastRowLastColumn="0"/>
            <w:tcW w:w="3195" w:type="pct"/>
            <w:tcBorders>
              <w:top w:val="single" w:sz="4" w:space="0" w:color="auto"/>
              <w:bottom w:val="single" w:sz="4" w:space="0" w:color="auto"/>
            </w:tcBorders>
            <w:noWrap/>
            <w:hideMark/>
          </w:tcPr>
          <w:p w:rsidR="009C1668" w:rsidRPr="009C1668" w:rsidRDefault="009C1668" w:rsidP="00175896">
            <w:pPr>
              <w:pStyle w:val="TableBodyText"/>
              <w:rPr>
                <w:rStyle w:val="Bold"/>
              </w:rPr>
            </w:pPr>
            <w:r w:rsidRPr="009C1668">
              <w:rPr>
                <w:rStyle w:val="Bold"/>
              </w:rPr>
              <w:t>Total non-current other assets</w:t>
            </w:r>
          </w:p>
        </w:tc>
        <w:tc>
          <w:tcPr>
            <w:tcW w:w="945" w:type="pct"/>
            <w:tcBorders>
              <w:top w:val="single" w:sz="4" w:space="0" w:color="auto"/>
              <w:bottom w:val="single" w:sz="4" w:space="0" w:color="auto"/>
            </w:tcBorders>
            <w:shd w:val="clear" w:color="auto" w:fill="F3F3F3"/>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rPr>
                <w:rStyle w:val="Bold"/>
              </w:rPr>
            </w:pPr>
            <w:r>
              <w:rPr>
                <w:rStyle w:val="Bold"/>
              </w:rPr>
              <w:t>N/A</w:t>
            </w:r>
          </w:p>
        </w:tc>
        <w:tc>
          <w:tcPr>
            <w:tcW w:w="860" w:type="pct"/>
            <w:tcBorders>
              <w:top w:val="single" w:sz="4" w:space="0" w:color="auto"/>
              <w:bottom w:val="single" w:sz="4" w:space="0" w:color="auto"/>
            </w:tcBorders>
            <w:noWrap/>
          </w:tcPr>
          <w:p w:rsidR="009C1668" w:rsidRPr="009C1668" w:rsidRDefault="00175896" w:rsidP="00175896">
            <w:pPr>
              <w:pStyle w:val="TableBodyText"/>
              <w:cnfStyle w:val="000000000000" w:firstRow="0" w:lastRow="0" w:firstColumn="0" w:lastColumn="0" w:oddVBand="0" w:evenVBand="0" w:oddHBand="0" w:evenHBand="0" w:firstRowFirstColumn="0" w:firstRowLastColumn="0" w:lastRowFirstColumn="0" w:lastRowLastColumn="0"/>
              <w:rPr>
                <w:rStyle w:val="Bold"/>
              </w:rPr>
            </w:pPr>
            <w:r>
              <w:rPr>
                <w:rStyle w:val="Bold"/>
              </w:rPr>
              <w:t>N/A</w:t>
            </w:r>
          </w:p>
        </w:tc>
      </w:tr>
      <w:tr w:rsidR="009C1668" w:rsidRPr="009C1668" w:rsidTr="009E518B">
        <w:tc>
          <w:tcPr>
            <w:cnfStyle w:val="001000000000" w:firstRow="0" w:lastRow="0" w:firstColumn="1" w:lastColumn="0" w:oddVBand="0" w:evenVBand="0" w:oddHBand="0" w:evenHBand="0" w:firstRowFirstColumn="0" w:firstRowLastColumn="0" w:lastRowFirstColumn="0" w:lastRowLastColumn="0"/>
            <w:tcW w:w="3195" w:type="pct"/>
            <w:tcBorders>
              <w:top w:val="single" w:sz="4" w:space="0" w:color="auto"/>
              <w:bottom w:val="single" w:sz="4" w:space="0" w:color="auto"/>
            </w:tcBorders>
            <w:noWrap/>
            <w:hideMark/>
          </w:tcPr>
          <w:p w:rsidR="009C1668" w:rsidRPr="009C1668" w:rsidRDefault="009C1668" w:rsidP="00175896">
            <w:pPr>
              <w:pStyle w:val="TableBodyText"/>
              <w:rPr>
                <w:rStyle w:val="Bold"/>
              </w:rPr>
            </w:pPr>
            <w:r w:rsidRPr="009C1668">
              <w:rPr>
                <w:rStyle w:val="Bold"/>
              </w:rPr>
              <w:t xml:space="preserve">Total other non-financial assets </w:t>
            </w:r>
          </w:p>
        </w:tc>
        <w:tc>
          <w:tcPr>
            <w:tcW w:w="945" w:type="pct"/>
            <w:tcBorders>
              <w:top w:val="single" w:sz="4" w:space="0" w:color="auto"/>
              <w:bottom w:val="single" w:sz="4" w:space="0" w:color="auto"/>
            </w:tcBorders>
            <w:shd w:val="clear" w:color="auto" w:fill="F3F3F3"/>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2,129</w:t>
            </w:r>
          </w:p>
        </w:tc>
        <w:tc>
          <w:tcPr>
            <w:tcW w:w="860" w:type="pct"/>
            <w:tcBorders>
              <w:top w:val="single" w:sz="4" w:space="0" w:color="auto"/>
              <w:bottom w:val="single" w:sz="4" w:space="0" w:color="auto"/>
            </w:tcBorders>
            <w:noWrap/>
            <w:hideMark/>
          </w:tcPr>
          <w:p w:rsidR="009C1668" w:rsidRPr="009C1668" w:rsidRDefault="009C1668" w:rsidP="009C166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1668">
              <w:rPr>
                <w:rStyle w:val="Bold"/>
              </w:rPr>
              <w:t>1,736</w:t>
            </w:r>
          </w:p>
        </w:tc>
      </w:tr>
    </w:tbl>
    <w:p w:rsidR="009C1668" w:rsidRDefault="009C1668" w:rsidP="009C1668">
      <w:pPr>
        <w:pStyle w:val="BodyText"/>
      </w:pPr>
      <w:r w:rsidRPr="009C1668">
        <w:t>Other non</w:t>
      </w:r>
      <w:r w:rsidRPr="009C1668">
        <w:rPr>
          <w:rFonts w:ascii="Cambria Math" w:hAnsi="Cambria Math" w:cs="Cambria Math"/>
        </w:rPr>
        <w:t>‐</w:t>
      </w:r>
      <w:r w:rsidRPr="009C1668">
        <w:t>financial assets include prepayments, which represent payments in advance of receipt of goods or services or the portion of expenditure made in one accounting period that covers a term extending beyond that period.</w:t>
      </w:r>
    </w:p>
    <w:p w:rsidR="00226496" w:rsidRDefault="00226496" w:rsidP="00226496">
      <w:pPr>
        <w:pStyle w:val="Heading1"/>
      </w:pPr>
      <w:bookmarkStart w:id="46" w:name="_Toc497125480"/>
      <w:r w:rsidRPr="00226496">
        <w:lastRenderedPageBreak/>
        <w:t xml:space="preserve">How </w:t>
      </w:r>
      <w:r w:rsidR="00B6401F" w:rsidRPr="00226496">
        <w:t>we financed our operations</w:t>
      </w:r>
      <w:bookmarkEnd w:id="46"/>
    </w:p>
    <w:p w:rsidR="00226496" w:rsidRPr="00BD6E5E" w:rsidRDefault="00226496" w:rsidP="00BD6E5E">
      <w:pPr>
        <w:pStyle w:val="BodyText"/>
        <w:rPr>
          <w:rStyle w:val="Bold"/>
        </w:rPr>
      </w:pPr>
      <w:r w:rsidRPr="00BD6E5E">
        <w:rPr>
          <w:rStyle w:val="Bold"/>
        </w:rPr>
        <w:t>Introduction</w:t>
      </w:r>
    </w:p>
    <w:p w:rsidR="00226496" w:rsidRDefault="00226496" w:rsidP="00226496">
      <w:pPr>
        <w:pStyle w:val="BodyText"/>
      </w:pPr>
      <w:r>
        <w:t>This section provides information on the sources of finance utilised by CSV during its operations and other information related to the financing of activities.</w:t>
      </w:r>
    </w:p>
    <w:p w:rsidR="00226496" w:rsidRDefault="00226496" w:rsidP="00226496">
      <w:pPr>
        <w:pStyle w:val="BodyText"/>
      </w:pPr>
      <w:r>
        <w:t>This section includes disclosures of balances that are financial instruments (such as borrowings and cash balances). Notes 8.1 and 8.3 provide additional, specific financial instrument disclosures.</w:t>
      </w:r>
    </w:p>
    <w:p w:rsidR="00226496" w:rsidRPr="00BD6E5E" w:rsidRDefault="00226496" w:rsidP="00BD6E5E">
      <w:pPr>
        <w:pStyle w:val="BodyText"/>
        <w:rPr>
          <w:rStyle w:val="Bold"/>
        </w:rPr>
      </w:pPr>
      <w:r w:rsidRPr="00BD6E5E">
        <w:rPr>
          <w:rStyle w:val="Bold"/>
        </w:rPr>
        <w:t>Structure</w:t>
      </w:r>
    </w:p>
    <w:p w:rsidR="00226496" w:rsidRDefault="00226496" w:rsidP="00226496">
      <w:pPr>
        <w:pStyle w:val="NoSpacing"/>
      </w:pPr>
      <w:r>
        <w:t>7.1</w:t>
      </w:r>
      <w:r>
        <w:tab/>
        <w:t>Borrowings</w:t>
      </w:r>
    </w:p>
    <w:p w:rsidR="00226496" w:rsidRDefault="00226496" w:rsidP="00226496">
      <w:pPr>
        <w:pStyle w:val="NoSpacing"/>
      </w:pPr>
      <w:r>
        <w:t>7.2</w:t>
      </w:r>
      <w:r>
        <w:tab/>
        <w:t>Leases</w:t>
      </w:r>
    </w:p>
    <w:p w:rsidR="00226496" w:rsidRDefault="00226496" w:rsidP="00226496">
      <w:pPr>
        <w:pStyle w:val="NoSpacing"/>
      </w:pPr>
      <w:r>
        <w:t>7.3</w:t>
      </w:r>
      <w:r>
        <w:tab/>
        <w:t>Cash flow information and balances</w:t>
      </w:r>
    </w:p>
    <w:p w:rsidR="00226496" w:rsidRDefault="00226496" w:rsidP="00226496">
      <w:pPr>
        <w:pStyle w:val="NoSpacing"/>
      </w:pPr>
      <w:r>
        <w:t>7.4</w:t>
      </w:r>
      <w:r>
        <w:tab/>
        <w:t>Trust account balances</w:t>
      </w:r>
    </w:p>
    <w:p w:rsidR="00226496" w:rsidRDefault="00226496" w:rsidP="00226496">
      <w:pPr>
        <w:pStyle w:val="NoSpacing"/>
      </w:pPr>
      <w:r>
        <w:t>7.5</w:t>
      </w:r>
      <w:r>
        <w:tab/>
        <w:t>Commitments for expenditure</w:t>
      </w:r>
    </w:p>
    <w:p w:rsidR="00226496" w:rsidRDefault="00226496" w:rsidP="00226496">
      <w:pPr>
        <w:pStyle w:val="Heading2"/>
      </w:pPr>
      <w:bookmarkStart w:id="47" w:name="_Toc497125481"/>
      <w:r w:rsidRPr="00226496">
        <w:t>Borrowings</w:t>
      </w:r>
      <w:bookmarkEnd w:id="47"/>
    </w:p>
    <w:tbl>
      <w:tblPr>
        <w:tblStyle w:val="FinancialTable"/>
        <w:tblW w:w="5000" w:type="pct"/>
        <w:tblLook w:val="04A0" w:firstRow="1" w:lastRow="0" w:firstColumn="1" w:lastColumn="0" w:noHBand="0" w:noVBand="1"/>
      </w:tblPr>
      <w:tblGrid>
        <w:gridCol w:w="7113"/>
        <w:gridCol w:w="1451"/>
        <w:gridCol w:w="1074"/>
      </w:tblGrid>
      <w:tr w:rsidR="00226496" w:rsidRPr="00BA7E6A" w:rsidTr="00E41D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90" w:type="pct"/>
          </w:tcPr>
          <w:p w:rsidR="00226496" w:rsidRPr="00BA7E6A" w:rsidRDefault="00226496" w:rsidP="00E41D6B">
            <w:pPr>
              <w:pStyle w:val="TableBodyText"/>
              <w:rPr>
                <w:rStyle w:val="Bold"/>
              </w:rPr>
            </w:pPr>
            <w:r w:rsidRPr="00BA7E6A">
              <w:rPr>
                <w:rStyle w:val="Bold"/>
              </w:rPr>
              <w:t>Item</w:t>
            </w:r>
          </w:p>
        </w:tc>
        <w:tc>
          <w:tcPr>
            <w:tcW w:w="753" w:type="pct"/>
            <w:shd w:val="clear" w:color="auto" w:fill="F3F3F3"/>
          </w:tcPr>
          <w:p w:rsidR="00226496" w:rsidRPr="00BA7E6A" w:rsidRDefault="00226496"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2017</w:t>
            </w:r>
            <w:r w:rsidRPr="00BA7E6A">
              <w:rPr>
                <w:rStyle w:val="Bold"/>
              </w:rPr>
              <w:br/>
              <w:t>$'000</w:t>
            </w:r>
          </w:p>
        </w:tc>
        <w:tc>
          <w:tcPr>
            <w:tcW w:w="557" w:type="pct"/>
          </w:tcPr>
          <w:p w:rsidR="00226496" w:rsidRPr="00BA7E6A" w:rsidRDefault="00226496"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2016</w:t>
            </w:r>
            <w:r w:rsidRPr="00BA7E6A">
              <w:rPr>
                <w:rStyle w:val="Bold"/>
              </w:rPr>
              <w:br/>
              <w:t>$'000</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Pr>
          <w:p w:rsidR="00226496" w:rsidRPr="00226496" w:rsidRDefault="00226496" w:rsidP="00E41D6B">
            <w:pPr>
              <w:pStyle w:val="TableHeading"/>
              <w:rPr>
                <w:rStyle w:val="Bold"/>
                <w:rFonts w:eastAsia="Calibri"/>
              </w:rPr>
            </w:pPr>
            <w:r w:rsidRPr="00226496">
              <w:rPr>
                <w:rStyle w:val="Bold"/>
              </w:rPr>
              <w:t>Current borrowings</w:t>
            </w:r>
          </w:p>
        </w:tc>
        <w:tc>
          <w:tcPr>
            <w:tcW w:w="753" w:type="pct"/>
            <w:shd w:val="clear" w:color="auto" w:fill="F3F3F3"/>
          </w:tcPr>
          <w:p w:rsidR="00226496"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pPr>
            <w:r w:rsidRPr="00E41D6B">
              <w:t>N/A</w:t>
            </w:r>
          </w:p>
        </w:tc>
        <w:tc>
          <w:tcPr>
            <w:tcW w:w="557" w:type="pct"/>
          </w:tcPr>
          <w:p w:rsidR="00226496"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pPr>
            <w:r w:rsidRPr="00E41D6B">
              <w:t>N/A</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Pr>
          <w:p w:rsidR="00226496" w:rsidRPr="00226496" w:rsidRDefault="00226496" w:rsidP="00175896">
            <w:pPr>
              <w:pStyle w:val="TableBodyText"/>
              <w:rPr>
                <w:rFonts w:eastAsia="Calibri"/>
              </w:rPr>
            </w:pPr>
            <w:r w:rsidRPr="00226496">
              <w:t>Finance lease liabilities (</w:t>
            </w:r>
            <w:hyperlink w:anchor="Borrowings1" w:history="1">
              <w:r w:rsidR="00175896" w:rsidRPr="00175896">
                <w:rPr>
                  <w:rStyle w:val="Hyperlink"/>
                </w:rPr>
                <w:t>see note</w:t>
              </w:r>
            </w:hyperlink>
            <w:r w:rsidRPr="00226496">
              <w:t>)</w:t>
            </w:r>
          </w:p>
        </w:tc>
        <w:tc>
          <w:tcPr>
            <w:tcW w:w="753" w:type="pct"/>
            <w:shd w:val="clear" w:color="auto" w:fill="F3F3F3"/>
          </w:tcPr>
          <w:p w:rsidR="00226496" w:rsidRPr="00226496" w:rsidRDefault="00E41D6B" w:rsidP="00E41D6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7" w:type="pct"/>
          </w:tcPr>
          <w:p w:rsidR="00226496" w:rsidRPr="00226496" w:rsidRDefault="00E41D6B" w:rsidP="00E41D6B">
            <w:pPr>
              <w:pStyle w:val="TableBodyText"/>
              <w:cnfStyle w:val="000000000000" w:firstRow="0" w:lastRow="0" w:firstColumn="0" w:lastColumn="0" w:oddVBand="0" w:evenVBand="0" w:oddHBand="0" w:evenHBand="0" w:firstRowFirstColumn="0" w:firstRowLastColumn="0" w:lastRowFirstColumn="0" w:lastRowLastColumn="0"/>
            </w:pPr>
            <w:r>
              <w:t>N/A</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Pr>
          <w:p w:rsidR="00226496" w:rsidRPr="00226496" w:rsidRDefault="00226496" w:rsidP="00175896">
            <w:pPr>
              <w:pStyle w:val="TableListBullet"/>
              <w:rPr>
                <w:rFonts w:eastAsia="Calibri"/>
              </w:rPr>
            </w:pPr>
            <w:r w:rsidRPr="00226496">
              <w:rPr>
                <w:rFonts w:eastAsia="Calibri"/>
              </w:rPr>
              <w:t>Public Private Partnership (PPP) related finance lease liabilities</w:t>
            </w:r>
          </w:p>
        </w:tc>
        <w:tc>
          <w:tcPr>
            <w:tcW w:w="753" w:type="pct"/>
            <w:shd w:val="clear" w:color="auto" w:fill="F3F3F3"/>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226496">
              <w:t>12,299</w:t>
            </w:r>
          </w:p>
        </w:tc>
        <w:tc>
          <w:tcPr>
            <w:tcW w:w="557" w:type="pct"/>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226496">
              <w:t>12,303</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Borders>
              <w:bottom w:val="single" w:sz="4" w:space="0" w:color="auto"/>
            </w:tcBorders>
          </w:tcPr>
          <w:p w:rsidR="00226496" w:rsidRPr="00226496" w:rsidRDefault="00226496" w:rsidP="00175896">
            <w:pPr>
              <w:pStyle w:val="TableListBullet"/>
              <w:rPr>
                <w:rFonts w:eastAsia="Calibri"/>
              </w:rPr>
            </w:pPr>
            <w:r w:rsidRPr="00226496">
              <w:rPr>
                <w:rFonts w:eastAsia="Calibri"/>
              </w:rPr>
              <w:t>Non</w:t>
            </w:r>
            <w:r w:rsidRPr="00226496">
              <w:rPr>
                <w:rFonts w:ascii="Cambria Math" w:eastAsia="Calibri" w:hAnsi="Cambria Math" w:cs="Cambria Math"/>
              </w:rPr>
              <w:t>‐</w:t>
            </w:r>
            <w:r w:rsidRPr="00226496">
              <w:rPr>
                <w:rFonts w:eastAsia="Calibri"/>
              </w:rPr>
              <w:t>PPP related finance lease liabilities</w:t>
            </w:r>
          </w:p>
        </w:tc>
        <w:tc>
          <w:tcPr>
            <w:tcW w:w="753" w:type="pct"/>
            <w:tcBorders>
              <w:bottom w:val="single" w:sz="4" w:space="0" w:color="auto"/>
            </w:tcBorders>
            <w:shd w:val="clear" w:color="auto" w:fill="F3F3F3"/>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226496">
              <w:t>4,509</w:t>
            </w:r>
          </w:p>
        </w:tc>
        <w:tc>
          <w:tcPr>
            <w:tcW w:w="557" w:type="pct"/>
            <w:tcBorders>
              <w:bottom w:val="single" w:sz="4" w:space="0" w:color="auto"/>
            </w:tcBorders>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226496">
              <w:t>4,275</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Borders>
              <w:top w:val="single" w:sz="4" w:space="0" w:color="auto"/>
              <w:bottom w:val="single" w:sz="4" w:space="0" w:color="auto"/>
            </w:tcBorders>
          </w:tcPr>
          <w:p w:rsidR="00226496" w:rsidRPr="00226496" w:rsidRDefault="00226496" w:rsidP="00E41D6B">
            <w:pPr>
              <w:pStyle w:val="TableBodyText"/>
              <w:rPr>
                <w:rStyle w:val="Bold"/>
                <w:rFonts w:eastAsia="Calibri"/>
              </w:rPr>
            </w:pPr>
            <w:r w:rsidRPr="00226496">
              <w:rPr>
                <w:rStyle w:val="Bold"/>
              </w:rPr>
              <w:t>Total current borrowings</w:t>
            </w:r>
          </w:p>
        </w:tc>
        <w:tc>
          <w:tcPr>
            <w:tcW w:w="753" w:type="pct"/>
            <w:tcBorders>
              <w:top w:val="single" w:sz="4" w:space="0" w:color="auto"/>
              <w:bottom w:val="single" w:sz="4" w:space="0" w:color="auto"/>
            </w:tcBorders>
            <w:shd w:val="clear" w:color="auto" w:fill="F3F3F3"/>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226496">
              <w:rPr>
                <w:rStyle w:val="Bold"/>
              </w:rPr>
              <w:t>16,808</w:t>
            </w:r>
          </w:p>
        </w:tc>
        <w:tc>
          <w:tcPr>
            <w:tcW w:w="557" w:type="pct"/>
            <w:tcBorders>
              <w:top w:val="single" w:sz="4" w:space="0" w:color="auto"/>
              <w:bottom w:val="single" w:sz="4" w:space="0" w:color="auto"/>
            </w:tcBorders>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226496">
              <w:rPr>
                <w:rStyle w:val="Bold"/>
              </w:rPr>
              <w:t>16,579</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Borders>
              <w:top w:val="single" w:sz="4" w:space="0" w:color="auto"/>
            </w:tcBorders>
          </w:tcPr>
          <w:p w:rsidR="00226496" w:rsidRPr="00226496" w:rsidRDefault="00226496" w:rsidP="00175896">
            <w:pPr>
              <w:pStyle w:val="TableBodyText"/>
              <w:tabs>
                <w:tab w:val="left" w:pos="2325"/>
              </w:tabs>
              <w:spacing w:before="120"/>
              <w:rPr>
                <w:rFonts w:eastAsia="Calibri"/>
              </w:rPr>
            </w:pPr>
            <w:r w:rsidRPr="00175896">
              <w:rPr>
                <w:rStyle w:val="Bold"/>
                <w:rFonts w:eastAsia="Calibri"/>
              </w:rPr>
              <w:t>Non</w:t>
            </w:r>
            <w:r w:rsidRPr="00175896">
              <w:rPr>
                <w:rStyle w:val="Bold"/>
                <w:rFonts w:ascii="Cambria Math" w:eastAsia="Calibri" w:hAnsi="Cambria Math" w:cs="Cambria Math"/>
              </w:rPr>
              <w:t>‐</w:t>
            </w:r>
            <w:r w:rsidRPr="00175896">
              <w:rPr>
                <w:rStyle w:val="Bold"/>
                <w:rFonts w:eastAsia="Calibri"/>
              </w:rPr>
              <w:t>current borrowings</w:t>
            </w:r>
          </w:p>
        </w:tc>
        <w:tc>
          <w:tcPr>
            <w:tcW w:w="753" w:type="pct"/>
            <w:tcBorders>
              <w:top w:val="single" w:sz="4" w:space="0" w:color="auto"/>
            </w:tcBorders>
            <w:shd w:val="clear" w:color="auto" w:fill="F3F3F3"/>
          </w:tcPr>
          <w:p w:rsidR="00226496" w:rsidRPr="00226496" w:rsidRDefault="00E41D6B"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57" w:type="pct"/>
            <w:tcBorders>
              <w:top w:val="single" w:sz="4" w:space="0" w:color="auto"/>
            </w:tcBorders>
          </w:tcPr>
          <w:p w:rsidR="00226496" w:rsidRPr="00226496" w:rsidRDefault="00E41D6B"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Pr>
          <w:p w:rsidR="00226496" w:rsidRPr="00226496" w:rsidRDefault="00226496" w:rsidP="00E41D6B">
            <w:pPr>
              <w:pStyle w:val="TableBodyText"/>
              <w:rPr>
                <w:rFonts w:eastAsia="Calibri"/>
              </w:rPr>
            </w:pPr>
            <w:r w:rsidRPr="00226496">
              <w:t>Finance lease liabilities</w:t>
            </w:r>
          </w:p>
        </w:tc>
        <w:tc>
          <w:tcPr>
            <w:tcW w:w="753" w:type="pct"/>
            <w:shd w:val="clear" w:color="auto" w:fill="F3F3F3"/>
          </w:tcPr>
          <w:p w:rsidR="00226496" w:rsidRPr="00226496" w:rsidRDefault="00E41D6B" w:rsidP="00E41D6B">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7" w:type="pct"/>
          </w:tcPr>
          <w:p w:rsidR="00226496" w:rsidRPr="00226496" w:rsidRDefault="00E41D6B" w:rsidP="00E41D6B">
            <w:pPr>
              <w:pStyle w:val="TableBodyText"/>
              <w:cnfStyle w:val="000000000000" w:firstRow="0" w:lastRow="0" w:firstColumn="0" w:lastColumn="0" w:oddVBand="0" w:evenVBand="0" w:oddHBand="0" w:evenHBand="0" w:firstRowFirstColumn="0" w:firstRowLastColumn="0" w:lastRowFirstColumn="0" w:lastRowLastColumn="0"/>
            </w:pPr>
            <w:r>
              <w:t>N/A</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Pr>
          <w:p w:rsidR="00226496" w:rsidRPr="00226496" w:rsidRDefault="00226496" w:rsidP="00175896">
            <w:pPr>
              <w:pStyle w:val="TableListBullet"/>
              <w:rPr>
                <w:rFonts w:eastAsia="Calibri"/>
              </w:rPr>
            </w:pPr>
            <w:r w:rsidRPr="00226496">
              <w:rPr>
                <w:rFonts w:eastAsia="Calibri"/>
              </w:rPr>
              <w:t>PPP related finance lease liabilities</w:t>
            </w:r>
          </w:p>
        </w:tc>
        <w:tc>
          <w:tcPr>
            <w:tcW w:w="753" w:type="pct"/>
            <w:shd w:val="clear" w:color="auto" w:fill="F3F3F3"/>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pPr>
            <w:r w:rsidRPr="00226496">
              <w:t>57,541</w:t>
            </w:r>
          </w:p>
        </w:tc>
        <w:tc>
          <w:tcPr>
            <w:tcW w:w="557" w:type="pct"/>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pPr>
            <w:r w:rsidRPr="00226496">
              <w:t>69,840</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Borders>
              <w:bottom w:val="single" w:sz="4" w:space="0" w:color="auto"/>
            </w:tcBorders>
          </w:tcPr>
          <w:p w:rsidR="00226496" w:rsidRPr="00226496" w:rsidRDefault="00226496" w:rsidP="00175896">
            <w:pPr>
              <w:pStyle w:val="TableListBullet"/>
              <w:rPr>
                <w:rFonts w:eastAsia="Calibri"/>
              </w:rPr>
            </w:pPr>
            <w:r w:rsidRPr="00226496">
              <w:rPr>
                <w:rFonts w:eastAsia="Calibri"/>
              </w:rPr>
              <w:t>Non</w:t>
            </w:r>
            <w:r w:rsidRPr="00226496">
              <w:rPr>
                <w:rFonts w:ascii="Cambria Math" w:eastAsia="Calibri" w:hAnsi="Cambria Math" w:cs="Cambria Math"/>
              </w:rPr>
              <w:t>‐</w:t>
            </w:r>
            <w:r w:rsidRPr="00226496">
              <w:rPr>
                <w:rFonts w:eastAsia="Calibri"/>
              </w:rPr>
              <w:t>PPP related finance lease liabilities</w:t>
            </w:r>
          </w:p>
        </w:tc>
        <w:tc>
          <w:tcPr>
            <w:tcW w:w="753" w:type="pct"/>
            <w:tcBorders>
              <w:bottom w:val="single" w:sz="4" w:space="0" w:color="auto"/>
            </w:tcBorders>
            <w:shd w:val="clear" w:color="auto" w:fill="F3F3F3"/>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226496">
              <w:t>4,726</w:t>
            </w:r>
          </w:p>
        </w:tc>
        <w:tc>
          <w:tcPr>
            <w:tcW w:w="557" w:type="pct"/>
            <w:tcBorders>
              <w:bottom w:val="single" w:sz="4" w:space="0" w:color="auto"/>
            </w:tcBorders>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226496">
              <w:t>4,388</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Borders>
              <w:top w:val="single" w:sz="4" w:space="0" w:color="auto"/>
              <w:bottom w:val="single" w:sz="4" w:space="0" w:color="auto"/>
            </w:tcBorders>
          </w:tcPr>
          <w:p w:rsidR="00226496" w:rsidRPr="00226496" w:rsidRDefault="00226496" w:rsidP="00E41D6B">
            <w:pPr>
              <w:pStyle w:val="TableBodyText"/>
              <w:rPr>
                <w:rStyle w:val="Bold"/>
                <w:rFonts w:eastAsia="Calibri"/>
              </w:rPr>
            </w:pPr>
            <w:r w:rsidRPr="00226496">
              <w:rPr>
                <w:rStyle w:val="Bold"/>
                <w:rFonts w:eastAsia="Calibri"/>
              </w:rPr>
              <w:t>Total non</w:t>
            </w:r>
            <w:r w:rsidRPr="00226496">
              <w:rPr>
                <w:rStyle w:val="Bold"/>
                <w:rFonts w:ascii="Cambria Math" w:eastAsia="Calibri" w:hAnsi="Cambria Math" w:cs="Cambria Math"/>
              </w:rPr>
              <w:t>‐</w:t>
            </w:r>
            <w:r w:rsidRPr="00226496">
              <w:rPr>
                <w:rStyle w:val="Bold"/>
                <w:rFonts w:eastAsia="Calibri"/>
              </w:rPr>
              <w:t>current borrowings</w:t>
            </w:r>
          </w:p>
        </w:tc>
        <w:tc>
          <w:tcPr>
            <w:tcW w:w="753" w:type="pct"/>
            <w:tcBorders>
              <w:top w:val="single" w:sz="4" w:space="0" w:color="auto"/>
              <w:bottom w:val="single" w:sz="4" w:space="0" w:color="auto"/>
            </w:tcBorders>
            <w:shd w:val="clear" w:color="auto" w:fill="F3F3F3"/>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226496">
              <w:rPr>
                <w:rStyle w:val="Bold"/>
              </w:rPr>
              <w:t>62,267</w:t>
            </w:r>
          </w:p>
        </w:tc>
        <w:tc>
          <w:tcPr>
            <w:tcW w:w="557" w:type="pct"/>
            <w:tcBorders>
              <w:top w:val="single" w:sz="4" w:space="0" w:color="auto"/>
              <w:bottom w:val="single" w:sz="4" w:space="0" w:color="auto"/>
            </w:tcBorders>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226496">
              <w:rPr>
                <w:rStyle w:val="Bold"/>
              </w:rPr>
              <w:t>74,228</w:t>
            </w:r>
          </w:p>
        </w:tc>
      </w:tr>
      <w:tr w:rsidR="00226496" w:rsidRPr="00226496" w:rsidTr="00E41D6B">
        <w:tc>
          <w:tcPr>
            <w:cnfStyle w:val="001000000000" w:firstRow="0" w:lastRow="0" w:firstColumn="1" w:lastColumn="0" w:oddVBand="0" w:evenVBand="0" w:oddHBand="0" w:evenHBand="0" w:firstRowFirstColumn="0" w:firstRowLastColumn="0" w:lastRowFirstColumn="0" w:lastRowLastColumn="0"/>
            <w:tcW w:w="3690" w:type="pct"/>
            <w:tcBorders>
              <w:top w:val="single" w:sz="4" w:space="0" w:color="auto"/>
            </w:tcBorders>
          </w:tcPr>
          <w:p w:rsidR="00226496" w:rsidRPr="00226496" w:rsidRDefault="00226496" w:rsidP="00E41D6B">
            <w:pPr>
              <w:pStyle w:val="TableBodyText"/>
              <w:rPr>
                <w:rStyle w:val="Bold"/>
                <w:rFonts w:eastAsia="Calibri"/>
              </w:rPr>
            </w:pPr>
            <w:r w:rsidRPr="00226496">
              <w:rPr>
                <w:rStyle w:val="Bold"/>
              </w:rPr>
              <w:t>Total borrowings</w:t>
            </w:r>
          </w:p>
        </w:tc>
        <w:tc>
          <w:tcPr>
            <w:tcW w:w="753" w:type="pct"/>
            <w:tcBorders>
              <w:top w:val="single" w:sz="4" w:space="0" w:color="auto"/>
              <w:bottom w:val="single" w:sz="4" w:space="0" w:color="auto"/>
            </w:tcBorders>
            <w:shd w:val="clear" w:color="auto" w:fill="F3F3F3"/>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226496">
              <w:rPr>
                <w:rStyle w:val="Bold"/>
              </w:rPr>
              <w:t>79,075</w:t>
            </w:r>
          </w:p>
        </w:tc>
        <w:tc>
          <w:tcPr>
            <w:tcW w:w="557" w:type="pct"/>
            <w:tcBorders>
              <w:top w:val="single" w:sz="4" w:space="0" w:color="auto"/>
            </w:tcBorders>
          </w:tcPr>
          <w:p w:rsidR="00226496" w:rsidRPr="00226496" w:rsidRDefault="00226496" w:rsidP="002264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226496">
              <w:rPr>
                <w:rStyle w:val="Bold"/>
              </w:rPr>
              <w:t>90,807</w:t>
            </w:r>
          </w:p>
        </w:tc>
      </w:tr>
    </w:tbl>
    <w:p w:rsidR="00E41D6B" w:rsidRDefault="00E41D6B" w:rsidP="00E41D6B">
      <w:pPr>
        <w:pStyle w:val="BodyText"/>
      </w:pPr>
      <w:r>
        <w:t>Notes:</w:t>
      </w:r>
    </w:p>
    <w:p w:rsidR="00E41D6B" w:rsidRDefault="00E41D6B" w:rsidP="00175896">
      <w:pPr>
        <w:pStyle w:val="ListNumber"/>
        <w:numPr>
          <w:ilvl w:val="0"/>
          <w:numId w:val="36"/>
        </w:numPr>
      </w:pPr>
      <w:bookmarkStart w:id="48" w:name="Borrowings1"/>
      <w:bookmarkEnd w:id="48"/>
      <w:r>
        <w:t>Secured by the assets leased. Finance leases are effectively secured as the rights to the leased assets revert to the lessor in the event of default.</w:t>
      </w:r>
    </w:p>
    <w:p w:rsidR="00E41D6B" w:rsidRPr="00175896" w:rsidRDefault="00E41D6B" w:rsidP="00E41D6B">
      <w:pPr>
        <w:pStyle w:val="BodyText"/>
      </w:pPr>
      <w:r w:rsidRPr="00175896">
        <w:t>‘Borrowings’ refer to interest bearing liabilities mainly raised from public borrowings raised through finance leases and other interest bearing arrangements.</w:t>
      </w:r>
    </w:p>
    <w:p w:rsidR="00E41D6B" w:rsidRDefault="00E41D6B" w:rsidP="00E41D6B">
      <w:pPr>
        <w:pStyle w:val="BodyText"/>
      </w:pPr>
      <w:r w:rsidRPr="00175896">
        <w:rPr>
          <w:rStyle w:val="Bold"/>
        </w:rPr>
        <w:t xml:space="preserve">Borrowings </w:t>
      </w:r>
      <w:r>
        <w:t>are classified as financial instruments. All interest bearing borrowings are initially recognised at the fair value of the consideration received less directly attributable transaction costs. The measurement basis subsequent to initial recognition depends on whether CSV has categorised its interest bearing liabilities as either ‘financial liabilities designated at fair value through profit or loss’, or financial liabilities at ‘amortised cost’. The classification depends on the nature and purpose of the interest bearing liabilities. CSV determines the classification of its interest bearing liabilities at initial recognition.</w:t>
      </w:r>
    </w:p>
    <w:p w:rsidR="00226496" w:rsidRDefault="00E41D6B" w:rsidP="00E41D6B">
      <w:pPr>
        <w:pStyle w:val="BodyText"/>
      </w:pPr>
      <w:r w:rsidRPr="00175896">
        <w:rPr>
          <w:rStyle w:val="Bold"/>
        </w:rPr>
        <w:t>Defaults and breaches</w:t>
      </w:r>
      <w:r>
        <w:t>: During the current and prior year, there were no defaults or breaches of any of the loans.</w:t>
      </w:r>
    </w:p>
    <w:p w:rsidR="00E41D6B" w:rsidRDefault="00E41D6B" w:rsidP="00E41D6B">
      <w:pPr>
        <w:pStyle w:val="Heading3"/>
      </w:pPr>
      <w:r w:rsidRPr="00E41D6B">
        <w:lastRenderedPageBreak/>
        <w:t>Maturity analysis of borrowings</w:t>
      </w:r>
    </w:p>
    <w:p w:rsidR="00B6401F" w:rsidRPr="00B6401F" w:rsidRDefault="00B6401F" w:rsidP="00B6401F">
      <w:pPr>
        <w:pStyle w:val="Caption"/>
      </w:pPr>
      <w:r>
        <w:t>2017</w:t>
      </w:r>
    </w:p>
    <w:tbl>
      <w:tblPr>
        <w:tblStyle w:val="FinancialTable"/>
        <w:tblW w:w="5000" w:type="pct"/>
        <w:tblLook w:val="04A0" w:firstRow="1" w:lastRow="0" w:firstColumn="1" w:lastColumn="0" w:noHBand="0" w:noVBand="1"/>
      </w:tblPr>
      <w:tblGrid>
        <w:gridCol w:w="3121"/>
        <w:gridCol w:w="931"/>
        <w:gridCol w:w="931"/>
        <w:gridCol w:w="931"/>
        <w:gridCol w:w="931"/>
        <w:gridCol w:w="931"/>
        <w:gridCol w:w="931"/>
        <w:gridCol w:w="931"/>
      </w:tblGrid>
      <w:tr w:rsidR="00E41D6B" w:rsidRPr="00BA7E6A" w:rsidTr="00175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9" w:type="pct"/>
          </w:tcPr>
          <w:p w:rsidR="00E41D6B" w:rsidRPr="00BA7E6A" w:rsidRDefault="00E41D6B" w:rsidP="00E41D6B">
            <w:pPr>
              <w:pStyle w:val="TableBodyText"/>
              <w:rPr>
                <w:rStyle w:val="Bold"/>
                <w:rFonts w:eastAsia="Calibri"/>
              </w:rPr>
            </w:pPr>
            <w:r w:rsidRPr="00BA7E6A">
              <w:rPr>
                <w:rStyle w:val="Bold"/>
              </w:rPr>
              <w:t>2017</w:t>
            </w:r>
          </w:p>
        </w:tc>
        <w:tc>
          <w:tcPr>
            <w:tcW w:w="483" w:type="pct"/>
            <w:shd w:val="clear" w:color="auto" w:fill="F3F3F3"/>
          </w:tcPr>
          <w:p w:rsidR="00E41D6B" w:rsidRPr="00BA7E6A" w:rsidRDefault="00E41D6B"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Carrying amount</w:t>
            </w:r>
          </w:p>
          <w:p w:rsidR="00E41D6B" w:rsidRPr="00BA7E6A" w:rsidRDefault="00E41D6B"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($'000)</w:t>
            </w:r>
          </w:p>
        </w:tc>
        <w:tc>
          <w:tcPr>
            <w:tcW w:w="483" w:type="pct"/>
          </w:tcPr>
          <w:p w:rsidR="00E41D6B" w:rsidRPr="00BA7E6A" w:rsidRDefault="00E41D6B"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Nominal amount</w:t>
            </w:r>
          </w:p>
          <w:p w:rsidR="00E41D6B" w:rsidRPr="00BA7E6A" w:rsidRDefault="00E41D6B"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($'000)</w:t>
            </w:r>
          </w:p>
        </w:tc>
        <w:tc>
          <w:tcPr>
            <w:tcW w:w="483" w:type="pct"/>
            <w:shd w:val="clear" w:color="auto" w:fill="F3F3F3"/>
          </w:tcPr>
          <w:p w:rsidR="00E41D6B" w:rsidRPr="00BA7E6A" w:rsidRDefault="00BA7E6A"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Maturity dates</w:t>
            </w:r>
            <w:r w:rsidRPr="00BA7E6A">
              <w:rPr>
                <w:rStyle w:val="Bold"/>
              </w:rPr>
              <w:br/>
            </w:r>
            <w:r w:rsidR="00E41D6B" w:rsidRPr="00BA7E6A">
              <w:rPr>
                <w:rStyle w:val="Bold"/>
              </w:rPr>
              <w:t>Less than 1 month</w:t>
            </w:r>
          </w:p>
          <w:p w:rsidR="00E41D6B" w:rsidRPr="00BA7E6A" w:rsidRDefault="00E41D6B"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($'000)</w:t>
            </w:r>
          </w:p>
        </w:tc>
        <w:tc>
          <w:tcPr>
            <w:tcW w:w="483" w:type="pct"/>
          </w:tcPr>
          <w:p w:rsidR="00E41D6B" w:rsidRPr="00BA7E6A" w:rsidRDefault="00BA7E6A" w:rsidP="00BA7E6A">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Maturity dates</w:t>
            </w:r>
            <w:r w:rsidRPr="00BA7E6A">
              <w:rPr>
                <w:rStyle w:val="Bold"/>
              </w:rPr>
              <w:br/>
            </w:r>
            <w:r w:rsidR="00E41D6B" w:rsidRPr="00BA7E6A">
              <w:rPr>
                <w:rStyle w:val="Bold"/>
              </w:rPr>
              <w:t>1 to 3 months ($'000)</w:t>
            </w:r>
          </w:p>
        </w:tc>
        <w:tc>
          <w:tcPr>
            <w:tcW w:w="483" w:type="pct"/>
            <w:shd w:val="clear" w:color="auto" w:fill="F3F3F3"/>
          </w:tcPr>
          <w:p w:rsidR="00E41D6B" w:rsidRPr="00BA7E6A" w:rsidRDefault="00BA7E6A" w:rsidP="00BA7E6A">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Maturity dates</w:t>
            </w:r>
            <w:r w:rsidRPr="00BA7E6A">
              <w:rPr>
                <w:rStyle w:val="Bold"/>
              </w:rPr>
              <w:br/>
            </w:r>
            <w:r w:rsidR="00E41D6B" w:rsidRPr="00175896">
              <w:rPr>
                <w:rStyle w:val="Bold"/>
                <w:spacing w:val="-4"/>
              </w:rPr>
              <w:t>3 months</w:t>
            </w:r>
            <w:r w:rsidR="00E41D6B" w:rsidRPr="00BA7E6A">
              <w:rPr>
                <w:rStyle w:val="Bold"/>
              </w:rPr>
              <w:t xml:space="preserve"> to 1 year ($'000)</w:t>
            </w:r>
          </w:p>
        </w:tc>
        <w:tc>
          <w:tcPr>
            <w:tcW w:w="483" w:type="pct"/>
          </w:tcPr>
          <w:p w:rsidR="00E41D6B" w:rsidRPr="00BA7E6A" w:rsidRDefault="00BA7E6A" w:rsidP="00BA7E6A">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Maturity dates</w:t>
            </w:r>
            <w:r w:rsidRPr="00BA7E6A">
              <w:rPr>
                <w:rStyle w:val="Bold"/>
              </w:rPr>
              <w:br/>
            </w:r>
            <w:r w:rsidR="00E41D6B" w:rsidRPr="00BA7E6A">
              <w:rPr>
                <w:rStyle w:val="Bold"/>
              </w:rPr>
              <w:t>1 to 5 years ($'000)</w:t>
            </w:r>
          </w:p>
        </w:tc>
        <w:tc>
          <w:tcPr>
            <w:tcW w:w="484" w:type="pct"/>
            <w:shd w:val="clear" w:color="auto" w:fill="F3F3F3"/>
          </w:tcPr>
          <w:p w:rsidR="00E41D6B" w:rsidRPr="00BA7E6A" w:rsidRDefault="00BA7E6A" w:rsidP="00E41D6B">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BA7E6A">
              <w:rPr>
                <w:rStyle w:val="Bold"/>
              </w:rPr>
              <w:t xml:space="preserve">Maturity dates </w:t>
            </w:r>
            <w:r w:rsidRPr="00BA7E6A">
              <w:rPr>
                <w:rStyle w:val="Bold"/>
              </w:rPr>
              <w:br/>
            </w:r>
            <w:r w:rsidR="00E41D6B" w:rsidRPr="00BA7E6A">
              <w:rPr>
                <w:rStyle w:val="Bold"/>
              </w:rPr>
              <w:t>Greater than 5 years ($'000)</w:t>
            </w:r>
          </w:p>
        </w:tc>
      </w:tr>
      <w:tr w:rsidR="00E41D6B" w:rsidRPr="00E41D6B" w:rsidTr="00175896">
        <w:tc>
          <w:tcPr>
            <w:cnfStyle w:val="001000000000" w:firstRow="0" w:lastRow="0" w:firstColumn="1" w:lastColumn="0" w:oddVBand="0" w:evenVBand="0" w:oddHBand="0" w:evenHBand="0" w:firstRowFirstColumn="0" w:firstRowLastColumn="0" w:lastRowFirstColumn="0" w:lastRowLastColumn="0"/>
            <w:tcW w:w="1619" w:type="pct"/>
          </w:tcPr>
          <w:p w:rsidR="00E41D6B" w:rsidRPr="00E41D6B" w:rsidRDefault="00E41D6B" w:rsidP="00BA7E6A">
            <w:pPr>
              <w:pStyle w:val="TableBodyText"/>
              <w:rPr>
                <w:rStyle w:val="Bold"/>
                <w:rFonts w:eastAsia="Calibri"/>
              </w:rPr>
            </w:pPr>
            <w:r w:rsidRPr="00E41D6B">
              <w:rPr>
                <w:rStyle w:val="Bold"/>
              </w:rPr>
              <w:t>Contractual Payables:</w:t>
            </w:r>
          </w:p>
        </w:tc>
        <w:tc>
          <w:tcPr>
            <w:tcW w:w="483" w:type="pct"/>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83" w:type="pct"/>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83" w:type="pct"/>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83" w:type="pct"/>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83" w:type="pct"/>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83" w:type="pct"/>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N/A</w:t>
            </w:r>
          </w:p>
        </w:tc>
        <w:tc>
          <w:tcPr>
            <w:tcW w:w="484" w:type="pct"/>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pPr>
            <w:r>
              <w:t>N/A</w:t>
            </w:r>
          </w:p>
        </w:tc>
      </w:tr>
      <w:tr w:rsidR="00E41D6B" w:rsidRPr="00E41D6B" w:rsidTr="00175896">
        <w:tc>
          <w:tcPr>
            <w:cnfStyle w:val="001000000000" w:firstRow="0" w:lastRow="0" w:firstColumn="1" w:lastColumn="0" w:oddVBand="0" w:evenVBand="0" w:oddHBand="0" w:evenHBand="0" w:firstRowFirstColumn="0" w:firstRowLastColumn="0" w:lastRowFirstColumn="0" w:lastRowLastColumn="0"/>
            <w:tcW w:w="1619" w:type="pct"/>
            <w:tcBorders>
              <w:bottom w:val="single" w:sz="4" w:space="0" w:color="auto"/>
            </w:tcBorders>
          </w:tcPr>
          <w:p w:rsidR="00E41D6B" w:rsidRPr="00E41D6B" w:rsidRDefault="00E41D6B" w:rsidP="00D777E8">
            <w:pPr>
              <w:pStyle w:val="TableBodyText"/>
              <w:rPr>
                <w:rFonts w:eastAsia="Calibri"/>
              </w:rPr>
            </w:pPr>
            <w:r w:rsidRPr="00E41D6B">
              <w:t>PPP Finance lease liabilities</w:t>
            </w:r>
          </w:p>
        </w:tc>
        <w:tc>
          <w:tcPr>
            <w:tcW w:w="483" w:type="pct"/>
            <w:tcBorders>
              <w:bottom w:val="single" w:sz="4" w:space="0" w:color="auto"/>
            </w:tcBorders>
            <w:shd w:val="clear" w:color="auto" w:fill="F3F3F3"/>
          </w:tcPr>
          <w:p w:rsidR="00E41D6B" w:rsidRPr="00E41D6B" w:rsidRDefault="00E41D6B" w:rsidP="00D777E8">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69,840</w:t>
            </w:r>
          </w:p>
        </w:tc>
        <w:tc>
          <w:tcPr>
            <w:tcW w:w="483" w:type="pct"/>
            <w:tcBorders>
              <w:bottom w:val="single" w:sz="4" w:space="0" w:color="auto"/>
            </w:tcBorders>
          </w:tcPr>
          <w:p w:rsidR="00E41D6B" w:rsidRPr="00E41D6B" w:rsidRDefault="00E41D6B" w:rsidP="00D777E8">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86,892</w:t>
            </w:r>
          </w:p>
        </w:tc>
        <w:tc>
          <w:tcPr>
            <w:tcW w:w="483" w:type="pct"/>
            <w:tcBorders>
              <w:bottom w:val="single" w:sz="4" w:space="0" w:color="auto"/>
            </w:tcBorders>
            <w:shd w:val="clear" w:color="auto" w:fill="F3F3F3"/>
          </w:tcPr>
          <w:p w:rsidR="00E41D6B" w:rsidRPr="00E41D6B" w:rsidRDefault="00E41D6B" w:rsidP="00D777E8">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1,496</w:t>
            </w:r>
          </w:p>
        </w:tc>
        <w:tc>
          <w:tcPr>
            <w:tcW w:w="483" w:type="pct"/>
            <w:tcBorders>
              <w:bottom w:val="single" w:sz="4" w:space="0" w:color="auto"/>
            </w:tcBorders>
          </w:tcPr>
          <w:p w:rsidR="00E41D6B" w:rsidRPr="00E41D6B" w:rsidRDefault="00E41D6B" w:rsidP="00D777E8">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4,633</w:t>
            </w:r>
          </w:p>
        </w:tc>
        <w:tc>
          <w:tcPr>
            <w:tcW w:w="483" w:type="pct"/>
            <w:tcBorders>
              <w:bottom w:val="single" w:sz="4" w:space="0" w:color="auto"/>
            </w:tcBorders>
            <w:shd w:val="clear" w:color="auto" w:fill="F3F3F3"/>
          </w:tcPr>
          <w:p w:rsidR="00E41D6B" w:rsidRPr="00E41D6B" w:rsidRDefault="00E41D6B" w:rsidP="00D777E8">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12,064</w:t>
            </w:r>
          </w:p>
        </w:tc>
        <w:tc>
          <w:tcPr>
            <w:tcW w:w="483" w:type="pct"/>
            <w:tcBorders>
              <w:bottom w:val="single" w:sz="4" w:space="0" w:color="auto"/>
            </w:tcBorders>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68,699</w:t>
            </w:r>
          </w:p>
        </w:tc>
        <w:tc>
          <w:tcPr>
            <w:tcW w:w="484" w:type="pct"/>
            <w:tcBorders>
              <w:bottom w:val="single" w:sz="4" w:space="0" w:color="auto"/>
            </w:tcBorders>
            <w:shd w:val="clear" w:color="auto" w:fill="F3F3F3"/>
          </w:tcPr>
          <w:p w:rsidR="00E41D6B" w:rsidRPr="00E41D6B" w:rsidRDefault="00175896" w:rsidP="00E41D6B">
            <w:pPr>
              <w:pStyle w:val="TableBodyText"/>
              <w:cnfStyle w:val="000000000000" w:firstRow="0" w:lastRow="0" w:firstColumn="0" w:lastColumn="0" w:oddVBand="0" w:evenVBand="0" w:oddHBand="0" w:evenHBand="0" w:firstRowFirstColumn="0" w:firstRowLastColumn="0" w:lastRowFirstColumn="0" w:lastRowLastColumn="0"/>
            </w:pPr>
            <w:r>
              <w:t>0</w:t>
            </w:r>
          </w:p>
        </w:tc>
      </w:tr>
      <w:tr w:rsidR="00E41D6B" w:rsidRPr="00E41D6B" w:rsidTr="00175896">
        <w:tc>
          <w:tcPr>
            <w:cnfStyle w:val="001000000000" w:firstRow="0" w:lastRow="0" w:firstColumn="1" w:lastColumn="0" w:oddVBand="0" w:evenVBand="0" w:oddHBand="0" w:evenHBand="0" w:firstRowFirstColumn="0" w:firstRowLastColumn="0" w:lastRowFirstColumn="0" w:lastRowLastColumn="0"/>
            <w:tcW w:w="1619" w:type="pct"/>
            <w:tcBorders>
              <w:bottom w:val="single" w:sz="4" w:space="0" w:color="auto"/>
            </w:tcBorders>
          </w:tcPr>
          <w:p w:rsidR="00E41D6B" w:rsidRPr="00E41D6B" w:rsidRDefault="00E41D6B" w:rsidP="00E41D6B">
            <w:pPr>
              <w:pStyle w:val="TableBodyText"/>
              <w:rPr>
                <w:rFonts w:eastAsia="Calibri"/>
              </w:rPr>
            </w:pPr>
            <w:r w:rsidRPr="00E41D6B">
              <w:t>Other finance lease liabilities payable</w:t>
            </w:r>
          </w:p>
        </w:tc>
        <w:tc>
          <w:tcPr>
            <w:tcW w:w="483" w:type="pct"/>
            <w:tcBorders>
              <w:bottom w:val="single" w:sz="4" w:space="0" w:color="auto"/>
            </w:tcBorders>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9,235</w:t>
            </w:r>
          </w:p>
        </w:tc>
        <w:tc>
          <w:tcPr>
            <w:tcW w:w="483" w:type="pct"/>
            <w:tcBorders>
              <w:bottom w:val="single" w:sz="4" w:space="0" w:color="auto"/>
            </w:tcBorders>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9,586</w:t>
            </w:r>
          </w:p>
        </w:tc>
        <w:tc>
          <w:tcPr>
            <w:tcW w:w="483" w:type="pct"/>
            <w:tcBorders>
              <w:bottom w:val="single" w:sz="4" w:space="0" w:color="auto"/>
            </w:tcBorders>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1,335</w:t>
            </w:r>
          </w:p>
        </w:tc>
        <w:tc>
          <w:tcPr>
            <w:tcW w:w="483" w:type="pct"/>
            <w:tcBorders>
              <w:bottom w:val="single" w:sz="4" w:space="0" w:color="auto"/>
            </w:tcBorders>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873</w:t>
            </w:r>
          </w:p>
        </w:tc>
        <w:tc>
          <w:tcPr>
            <w:tcW w:w="483" w:type="pct"/>
            <w:tcBorders>
              <w:bottom w:val="single" w:sz="4" w:space="0" w:color="auto"/>
            </w:tcBorders>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2,522</w:t>
            </w:r>
          </w:p>
        </w:tc>
        <w:tc>
          <w:tcPr>
            <w:tcW w:w="483" w:type="pct"/>
            <w:tcBorders>
              <w:bottom w:val="single" w:sz="4" w:space="0" w:color="auto"/>
            </w:tcBorders>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E41D6B">
              <w:t>4,855</w:t>
            </w:r>
          </w:p>
        </w:tc>
        <w:tc>
          <w:tcPr>
            <w:tcW w:w="484" w:type="pct"/>
            <w:tcBorders>
              <w:bottom w:val="single" w:sz="4" w:space="0" w:color="auto"/>
            </w:tcBorders>
            <w:shd w:val="clear" w:color="auto" w:fill="F3F3F3"/>
          </w:tcPr>
          <w:p w:rsidR="00E41D6B" w:rsidRPr="00E41D6B" w:rsidRDefault="00175896" w:rsidP="00E41D6B">
            <w:pPr>
              <w:pStyle w:val="TableBodyText"/>
              <w:cnfStyle w:val="000000000000" w:firstRow="0" w:lastRow="0" w:firstColumn="0" w:lastColumn="0" w:oddVBand="0" w:evenVBand="0" w:oddHBand="0" w:evenHBand="0" w:firstRowFirstColumn="0" w:firstRowLastColumn="0" w:lastRowFirstColumn="0" w:lastRowLastColumn="0"/>
            </w:pPr>
            <w:r>
              <w:t>0</w:t>
            </w:r>
          </w:p>
        </w:tc>
      </w:tr>
      <w:tr w:rsidR="00E41D6B" w:rsidRPr="00E41D6B" w:rsidTr="00175896">
        <w:tc>
          <w:tcPr>
            <w:cnfStyle w:val="001000000000" w:firstRow="0" w:lastRow="0" w:firstColumn="1" w:lastColumn="0" w:oddVBand="0" w:evenVBand="0" w:oddHBand="0" w:evenHBand="0" w:firstRowFirstColumn="0" w:firstRowLastColumn="0" w:lastRowFirstColumn="0" w:lastRowLastColumn="0"/>
            <w:tcW w:w="1619" w:type="pct"/>
            <w:tcBorders>
              <w:top w:val="single" w:sz="4" w:space="0" w:color="auto"/>
              <w:bottom w:val="single" w:sz="4" w:space="0" w:color="auto"/>
            </w:tcBorders>
          </w:tcPr>
          <w:p w:rsidR="00E41D6B" w:rsidRPr="00E41D6B" w:rsidRDefault="00E41D6B" w:rsidP="00E41D6B">
            <w:pPr>
              <w:pStyle w:val="TableBodyText"/>
              <w:rPr>
                <w:rStyle w:val="Bold"/>
                <w:rFonts w:eastAsia="Calibri"/>
              </w:rPr>
            </w:pPr>
            <w:r w:rsidRPr="00E41D6B">
              <w:rPr>
                <w:rStyle w:val="Bold"/>
              </w:rPr>
              <w:t>Total</w:t>
            </w:r>
          </w:p>
        </w:tc>
        <w:tc>
          <w:tcPr>
            <w:tcW w:w="483" w:type="pct"/>
            <w:tcBorders>
              <w:top w:val="single" w:sz="4" w:space="0" w:color="auto"/>
              <w:bottom w:val="single" w:sz="4" w:space="0" w:color="auto"/>
            </w:tcBorders>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E41D6B">
              <w:rPr>
                <w:rStyle w:val="Bold"/>
              </w:rPr>
              <w:t>79,075</w:t>
            </w:r>
          </w:p>
        </w:tc>
        <w:tc>
          <w:tcPr>
            <w:tcW w:w="483" w:type="pct"/>
            <w:tcBorders>
              <w:top w:val="single" w:sz="4" w:space="0" w:color="auto"/>
              <w:bottom w:val="single" w:sz="4" w:space="0" w:color="auto"/>
            </w:tcBorders>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E41D6B">
              <w:rPr>
                <w:rStyle w:val="Bold"/>
              </w:rPr>
              <w:t>96,478</w:t>
            </w:r>
          </w:p>
        </w:tc>
        <w:tc>
          <w:tcPr>
            <w:tcW w:w="483" w:type="pct"/>
            <w:tcBorders>
              <w:top w:val="single" w:sz="4" w:space="0" w:color="auto"/>
              <w:bottom w:val="single" w:sz="4" w:space="0" w:color="auto"/>
            </w:tcBorders>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E41D6B">
              <w:rPr>
                <w:rStyle w:val="Bold"/>
              </w:rPr>
              <w:t>2,831</w:t>
            </w:r>
          </w:p>
        </w:tc>
        <w:tc>
          <w:tcPr>
            <w:tcW w:w="483" w:type="pct"/>
            <w:tcBorders>
              <w:top w:val="single" w:sz="4" w:space="0" w:color="auto"/>
              <w:bottom w:val="single" w:sz="4" w:space="0" w:color="auto"/>
            </w:tcBorders>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E41D6B">
              <w:rPr>
                <w:rStyle w:val="Bold"/>
              </w:rPr>
              <w:t>5,507</w:t>
            </w:r>
          </w:p>
        </w:tc>
        <w:tc>
          <w:tcPr>
            <w:tcW w:w="483" w:type="pct"/>
            <w:tcBorders>
              <w:top w:val="single" w:sz="4" w:space="0" w:color="auto"/>
              <w:bottom w:val="single" w:sz="4" w:space="0" w:color="auto"/>
            </w:tcBorders>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E41D6B">
              <w:rPr>
                <w:rStyle w:val="Bold"/>
              </w:rPr>
              <w:t>14,586</w:t>
            </w:r>
          </w:p>
        </w:tc>
        <w:tc>
          <w:tcPr>
            <w:tcW w:w="483" w:type="pct"/>
            <w:tcBorders>
              <w:top w:val="single" w:sz="4" w:space="0" w:color="auto"/>
              <w:bottom w:val="single" w:sz="4" w:space="0" w:color="auto"/>
            </w:tcBorders>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E41D6B">
              <w:rPr>
                <w:rStyle w:val="Bold"/>
              </w:rPr>
              <w:t>73,554</w:t>
            </w:r>
          </w:p>
        </w:tc>
        <w:tc>
          <w:tcPr>
            <w:tcW w:w="484" w:type="pct"/>
            <w:tcBorders>
              <w:top w:val="single" w:sz="4" w:space="0" w:color="auto"/>
              <w:bottom w:val="single" w:sz="4" w:space="0" w:color="auto"/>
            </w:tcBorders>
            <w:shd w:val="clear" w:color="auto" w:fill="F3F3F3"/>
          </w:tcPr>
          <w:p w:rsidR="00E41D6B" w:rsidRPr="00E41D6B" w:rsidRDefault="00E41D6B" w:rsidP="00E41D6B">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E41D6B">
              <w:rPr>
                <w:rStyle w:val="Bold"/>
              </w:rPr>
              <w:t>0</w:t>
            </w:r>
          </w:p>
        </w:tc>
      </w:tr>
    </w:tbl>
    <w:p w:rsidR="00E41D6B" w:rsidRDefault="00B6401F" w:rsidP="00B6401F">
      <w:pPr>
        <w:pStyle w:val="Caption"/>
      </w:pPr>
      <w:r>
        <w:t>2016</w:t>
      </w:r>
    </w:p>
    <w:tbl>
      <w:tblPr>
        <w:tblStyle w:val="FinancialTable"/>
        <w:tblW w:w="5000" w:type="pct"/>
        <w:tblLook w:val="04A0" w:firstRow="1" w:lastRow="0" w:firstColumn="1" w:lastColumn="0" w:noHBand="0" w:noVBand="1"/>
      </w:tblPr>
      <w:tblGrid>
        <w:gridCol w:w="3121"/>
        <w:gridCol w:w="931"/>
        <w:gridCol w:w="931"/>
        <w:gridCol w:w="931"/>
        <w:gridCol w:w="931"/>
        <w:gridCol w:w="931"/>
        <w:gridCol w:w="931"/>
        <w:gridCol w:w="931"/>
      </w:tblGrid>
      <w:tr w:rsidR="00BA7E6A" w:rsidRPr="00BA7E6A" w:rsidTr="00175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9" w:type="pct"/>
            <w:hideMark/>
          </w:tcPr>
          <w:p w:rsidR="00BA7E6A" w:rsidRPr="00BA7E6A" w:rsidRDefault="00BA7E6A" w:rsidP="00175896">
            <w:pPr>
              <w:pStyle w:val="TableBodyText"/>
              <w:rPr>
                <w:rStyle w:val="Bold"/>
              </w:rPr>
            </w:pPr>
            <w:r w:rsidRPr="00BA7E6A">
              <w:rPr>
                <w:rStyle w:val="Bold"/>
              </w:rPr>
              <w:t>2016</w:t>
            </w:r>
          </w:p>
        </w:tc>
        <w:tc>
          <w:tcPr>
            <w:tcW w:w="483" w:type="pct"/>
            <w:shd w:val="clear" w:color="auto" w:fill="F3F3F3"/>
            <w:hideMark/>
          </w:tcPr>
          <w:p w:rsidR="00BA7E6A" w:rsidRPr="00BA7E6A" w:rsidRDefault="00BA7E6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A7E6A">
              <w:rPr>
                <w:rStyle w:val="Bold"/>
              </w:rPr>
              <w:t>Carrying amount</w:t>
            </w:r>
            <w:r w:rsidRPr="00BA7E6A">
              <w:rPr>
                <w:rStyle w:val="Bold"/>
              </w:rPr>
              <w:br/>
              <w:t>($'000)</w:t>
            </w:r>
          </w:p>
        </w:tc>
        <w:tc>
          <w:tcPr>
            <w:tcW w:w="483" w:type="pct"/>
            <w:hideMark/>
          </w:tcPr>
          <w:p w:rsidR="00BA7E6A" w:rsidRPr="00BA7E6A" w:rsidRDefault="00BA7E6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A7E6A">
              <w:rPr>
                <w:rStyle w:val="Bold"/>
              </w:rPr>
              <w:t>Nominal amount</w:t>
            </w:r>
            <w:r w:rsidRPr="00BA7E6A">
              <w:rPr>
                <w:rStyle w:val="Bold"/>
              </w:rPr>
              <w:br/>
              <w:t>($'000)</w:t>
            </w:r>
          </w:p>
        </w:tc>
        <w:tc>
          <w:tcPr>
            <w:tcW w:w="483" w:type="pct"/>
            <w:shd w:val="clear" w:color="auto" w:fill="F3F3F3"/>
            <w:hideMark/>
          </w:tcPr>
          <w:p w:rsidR="00BA7E6A" w:rsidRPr="00BA7E6A" w:rsidRDefault="00BA7E6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A7E6A">
              <w:rPr>
                <w:rStyle w:val="Bold"/>
              </w:rPr>
              <w:t xml:space="preserve">Maturity dates </w:t>
            </w:r>
            <w:r w:rsidRPr="00BA7E6A">
              <w:rPr>
                <w:rStyle w:val="Bold"/>
              </w:rPr>
              <w:br/>
              <w:t>Less than 1 month</w:t>
            </w:r>
            <w:r w:rsidRPr="00BA7E6A">
              <w:rPr>
                <w:rStyle w:val="Bold"/>
              </w:rPr>
              <w:br/>
              <w:t>($'000)</w:t>
            </w:r>
          </w:p>
        </w:tc>
        <w:tc>
          <w:tcPr>
            <w:tcW w:w="483" w:type="pct"/>
            <w:hideMark/>
          </w:tcPr>
          <w:p w:rsidR="00BA7E6A" w:rsidRPr="00BA7E6A" w:rsidRDefault="00BA7E6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A7E6A">
              <w:rPr>
                <w:rStyle w:val="Bold"/>
              </w:rPr>
              <w:t xml:space="preserve">Maturity dates </w:t>
            </w:r>
            <w:r w:rsidRPr="00BA7E6A">
              <w:rPr>
                <w:rStyle w:val="Bold"/>
              </w:rPr>
              <w:br/>
              <w:t>1 to 3 months</w:t>
            </w:r>
            <w:r w:rsidRPr="00BA7E6A">
              <w:rPr>
                <w:rStyle w:val="Bold"/>
              </w:rPr>
              <w:br/>
              <w:t>($'000)</w:t>
            </w:r>
          </w:p>
        </w:tc>
        <w:tc>
          <w:tcPr>
            <w:tcW w:w="483" w:type="pct"/>
            <w:shd w:val="clear" w:color="auto" w:fill="F3F3F3"/>
            <w:hideMark/>
          </w:tcPr>
          <w:p w:rsidR="00BA7E6A" w:rsidRPr="00BA7E6A" w:rsidRDefault="00BA7E6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A7E6A">
              <w:rPr>
                <w:rStyle w:val="Bold"/>
              </w:rPr>
              <w:t xml:space="preserve">Maturity dates </w:t>
            </w:r>
            <w:r w:rsidRPr="00BA7E6A">
              <w:rPr>
                <w:rStyle w:val="Bold"/>
              </w:rPr>
              <w:br/>
            </w:r>
            <w:r w:rsidRPr="00175896">
              <w:rPr>
                <w:rStyle w:val="Bold"/>
                <w:spacing w:val="-4"/>
              </w:rPr>
              <w:t>3 months</w:t>
            </w:r>
            <w:r w:rsidRPr="00BA7E6A">
              <w:rPr>
                <w:rStyle w:val="Bold"/>
              </w:rPr>
              <w:t xml:space="preserve"> to 1 year</w:t>
            </w:r>
            <w:r w:rsidRPr="00BA7E6A">
              <w:rPr>
                <w:rStyle w:val="Bold"/>
              </w:rPr>
              <w:br/>
              <w:t>($'000)</w:t>
            </w:r>
          </w:p>
        </w:tc>
        <w:tc>
          <w:tcPr>
            <w:tcW w:w="483" w:type="pct"/>
            <w:hideMark/>
          </w:tcPr>
          <w:p w:rsidR="00BA7E6A" w:rsidRPr="00BA7E6A" w:rsidRDefault="00BA7E6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A7E6A">
              <w:rPr>
                <w:rStyle w:val="Bold"/>
              </w:rPr>
              <w:t xml:space="preserve">Maturity dates </w:t>
            </w:r>
            <w:r w:rsidRPr="00BA7E6A">
              <w:rPr>
                <w:rStyle w:val="Bold"/>
              </w:rPr>
              <w:br/>
              <w:t>1 to 5 years</w:t>
            </w:r>
            <w:r w:rsidRPr="00BA7E6A">
              <w:rPr>
                <w:rStyle w:val="Bold"/>
              </w:rPr>
              <w:br/>
              <w:t>($'000)</w:t>
            </w:r>
          </w:p>
        </w:tc>
        <w:tc>
          <w:tcPr>
            <w:tcW w:w="484" w:type="pct"/>
            <w:shd w:val="clear" w:color="auto" w:fill="F3F3F3"/>
            <w:hideMark/>
          </w:tcPr>
          <w:p w:rsidR="00BA7E6A" w:rsidRPr="00BA7E6A" w:rsidRDefault="00BA7E6A"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A7E6A">
              <w:rPr>
                <w:rStyle w:val="Bold"/>
              </w:rPr>
              <w:t xml:space="preserve">Maturity dates </w:t>
            </w:r>
            <w:r w:rsidRPr="00BA7E6A">
              <w:rPr>
                <w:rStyle w:val="Bold"/>
              </w:rPr>
              <w:br/>
              <w:t>Greater than 5 years</w:t>
            </w:r>
            <w:r w:rsidRPr="00BA7E6A">
              <w:rPr>
                <w:rStyle w:val="Bold"/>
              </w:rPr>
              <w:br/>
              <w:t>($'000)</w:t>
            </w:r>
          </w:p>
        </w:tc>
      </w:tr>
      <w:tr w:rsidR="00BA7E6A" w:rsidRPr="00BA7E6A" w:rsidTr="00175896">
        <w:tc>
          <w:tcPr>
            <w:cnfStyle w:val="001000000000" w:firstRow="0" w:lastRow="0" w:firstColumn="1" w:lastColumn="0" w:oddVBand="0" w:evenVBand="0" w:oddHBand="0" w:evenHBand="0" w:firstRowFirstColumn="0" w:firstRowLastColumn="0" w:lastRowFirstColumn="0" w:lastRowLastColumn="0"/>
            <w:tcW w:w="1619" w:type="pct"/>
            <w:hideMark/>
          </w:tcPr>
          <w:p w:rsidR="00BA7E6A" w:rsidRPr="00BA7E6A" w:rsidRDefault="00BA7E6A" w:rsidP="00175896">
            <w:pPr>
              <w:pStyle w:val="TableBodyText"/>
              <w:rPr>
                <w:rStyle w:val="Bold"/>
              </w:rPr>
            </w:pPr>
            <w:r w:rsidRPr="00BA7E6A">
              <w:rPr>
                <w:rStyle w:val="Bold"/>
              </w:rPr>
              <w:t xml:space="preserve">Contractual Payables: </w:t>
            </w:r>
          </w:p>
        </w:tc>
        <w:tc>
          <w:tcPr>
            <w:tcW w:w="483"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noWrap/>
            <w:hideMark/>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noWrap/>
            <w:hideMark/>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noWrap/>
            <w:hideMark/>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4"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BA7E6A" w:rsidRPr="00BA7E6A" w:rsidTr="00175896">
        <w:tc>
          <w:tcPr>
            <w:cnfStyle w:val="001000000000" w:firstRow="0" w:lastRow="0" w:firstColumn="1" w:lastColumn="0" w:oddVBand="0" w:evenVBand="0" w:oddHBand="0" w:evenHBand="0" w:firstRowFirstColumn="0" w:firstRowLastColumn="0" w:lastRowFirstColumn="0" w:lastRowLastColumn="0"/>
            <w:tcW w:w="1619" w:type="pct"/>
            <w:hideMark/>
          </w:tcPr>
          <w:p w:rsidR="00BA7E6A" w:rsidRPr="00BA7E6A" w:rsidRDefault="00BA7E6A" w:rsidP="00175896">
            <w:pPr>
              <w:pStyle w:val="TableBodyText"/>
              <w:rPr>
                <w:rStyle w:val="Bold"/>
              </w:rPr>
            </w:pPr>
            <w:r w:rsidRPr="00BA7E6A">
              <w:rPr>
                <w:rStyle w:val="Bold"/>
              </w:rPr>
              <w:t>Borrowings:</w:t>
            </w:r>
          </w:p>
        </w:tc>
        <w:tc>
          <w:tcPr>
            <w:tcW w:w="483"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noWrap/>
            <w:hideMark/>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noWrap/>
            <w:hideMark/>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3" w:type="pct"/>
            <w:noWrap/>
            <w:hideMark/>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84" w:type="pct"/>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BA7E6A" w:rsidRPr="00BA7E6A" w:rsidTr="00175896">
        <w:tc>
          <w:tcPr>
            <w:cnfStyle w:val="001000000000" w:firstRow="0" w:lastRow="0" w:firstColumn="1" w:lastColumn="0" w:oddVBand="0" w:evenVBand="0" w:oddHBand="0" w:evenHBand="0" w:firstRowFirstColumn="0" w:firstRowLastColumn="0" w:lastRowFirstColumn="0" w:lastRowLastColumn="0"/>
            <w:tcW w:w="1619" w:type="pct"/>
            <w:hideMark/>
          </w:tcPr>
          <w:p w:rsidR="00BA7E6A" w:rsidRPr="00BA7E6A" w:rsidRDefault="00BA7E6A" w:rsidP="00175896">
            <w:pPr>
              <w:pStyle w:val="TableBodyText"/>
            </w:pPr>
            <w:r w:rsidRPr="00BA7E6A">
              <w:t>PPP Finance lease liabilities</w:t>
            </w:r>
          </w:p>
        </w:tc>
        <w:tc>
          <w:tcPr>
            <w:tcW w:w="483" w:type="pct"/>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82,144</w:t>
            </w:r>
          </w:p>
        </w:tc>
        <w:tc>
          <w:tcPr>
            <w:tcW w:w="483" w:type="pct"/>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106,217</w:t>
            </w:r>
          </w:p>
        </w:tc>
        <w:tc>
          <w:tcPr>
            <w:tcW w:w="483" w:type="pct"/>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1,594</w:t>
            </w:r>
          </w:p>
        </w:tc>
        <w:tc>
          <w:tcPr>
            <w:tcW w:w="483" w:type="pct"/>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4,926</w:t>
            </w:r>
          </w:p>
        </w:tc>
        <w:tc>
          <w:tcPr>
            <w:tcW w:w="483" w:type="pct"/>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12,806</w:t>
            </w:r>
          </w:p>
        </w:tc>
        <w:tc>
          <w:tcPr>
            <w:tcW w:w="483" w:type="pct"/>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70,893</w:t>
            </w:r>
          </w:p>
        </w:tc>
        <w:tc>
          <w:tcPr>
            <w:tcW w:w="484" w:type="pct"/>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15,999</w:t>
            </w:r>
          </w:p>
        </w:tc>
      </w:tr>
      <w:tr w:rsidR="00BA7E6A" w:rsidRPr="00BA7E6A" w:rsidTr="00175896">
        <w:tc>
          <w:tcPr>
            <w:cnfStyle w:val="001000000000" w:firstRow="0" w:lastRow="0" w:firstColumn="1" w:lastColumn="0" w:oddVBand="0" w:evenVBand="0" w:oddHBand="0" w:evenHBand="0" w:firstRowFirstColumn="0" w:firstRowLastColumn="0" w:lastRowFirstColumn="0" w:lastRowLastColumn="0"/>
            <w:tcW w:w="1619" w:type="pct"/>
            <w:tcBorders>
              <w:bottom w:val="single" w:sz="4" w:space="0" w:color="auto"/>
            </w:tcBorders>
            <w:hideMark/>
          </w:tcPr>
          <w:p w:rsidR="00BA7E6A" w:rsidRPr="00BA7E6A" w:rsidRDefault="00BA7E6A" w:rsidP="00175896">
            <w:pPr>
              <w:pStyle w:val="TableBodyText"/>
            </w:pPr>
            <w:r w:rsidRPr="00BA7E6A">
              <w:t>Other finance lease liabilities payable</w:t>
            </w:r>
          </w:p>
        </w:tc>
        <w:tc>
          <w:tcPr>
            <w:tcW w:w="483" w:type="pct"/>
            <w:tcBorders>
              <w:bottom w:val="single" w:sz="4" w:space="0" w:color="auto"/>
            </w:tcBorders>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8,663</w:t>
            </w:r>
          </w:p>
        </w:tc>
        <w:tc>
          <w:tcPr>
            <w:tcW w:w="483" w:type="pct"/>
            <w:tcBorders>
              <w:bottom w:val="single" w:sz="4" w:space="0" w:color="auto"/>
            </w:tcBorders>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9,034</w:t>
            </w:r>
          </w:p>
        </w:tc>
        <w:tc>
          <w:tcPr>
            <w:tcW w:w="483" w:type="pct"/>
            <w:tcBorders>
              <w:bottom w:val="single" w:sz="4" w:space="0" w:color="auto"/>
            </w:tcBorders>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1,091</w:t>
            </w:r>
          </w:p>
        </w:tc>
        <w:tc>
          <w:tcPr>
            <w:tcW w:w="483" w:type="pct"/>
            <w:tcBorders>
              <w:bottom w:val="single" w:sz="4" w:space="0" w:color="auto"/>
            </w:tcBorders>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581</w:t>
            </w:r>
          </w:p>
        </w:tc>
        <w:tc>
          <w:tcPr>
            <w:tcW w:w="483" w:type="pct"/>
            <w:tcBorders>
              <w:bottom w:val="single" w:sz="4" w:space="0" w:color="auto"/>
            </w:tcBorders>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2,850</w:t>
            </w:r>
          </w:p>
        </w:tc>
        <w:tc>
          <w:tcPr>
            <w:tcW w:w="483" w:type="pct"/>
            <w:tcBorders>
              <w:bottom w:val="single" w:sz="4" w:space="0" w:color="auto"/>
            </w:tcBorders>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pPr>
            <w:r w:rsidRPr="00BA7E6A">
              <w:t>4,512</w:t>
            </w:r>
          </w:p>
        </w:tc>
        <w:tc>
          <w:tcPr>
            <w:tcW w:w="484" w:type="pct"/>
            <w:tcBorders>
              <w:bottom w:val="single" w:sz="4" w:space="0" w:color="auto"/>
            </w:tcBorders>
            <w:shd w:val="clear" w:color="auto" w:fill="F3F3F3"/>
            <w:noWrap/>
          </w:tcPr>
          <w:p w:rsidR="00BA7E6A" w:rsidRPr="00BA7E6A" w:rsidRDefault="00175896" w:rsidP="00175896">
            <w:pPr>
              <w:pStyle w:val="TableBodyText"/>
              <w:cnfStyle w:val="000000000000" w:firstRow="0" w:lastRow="0" w:firstColumn="0" w:lastColumn="0" w:oddVBand="0" w:evenVBand="0" w:oddHBand="0" w:evenHBand="0" w:firstRowFirstColumn="0" w:firstRowLastColumn="0" w:lastRowFirstColumn="0" w:lastRowLastColumn="0"/>
            </w:pPr>
            <w:r>
              <w:t>N/A</w:t>
            </w:r>
          </w:p>
        </w:tc>
      </w:tr>
      <w:tr w:rsidR="00BA7E6A" w:rsidRPr="00BA7E6A" w:rsidTr="00175896">
        <w:tc>
          <w:tcPr>
            <w:cnfStyle w:val="001000000000" w:firstRow="0" w:lastRow="0" w:firstColumn="1" w:lastColumn="0" w:oddVBand="0" w:evenVBand="0" w:oddHBand="0" w:evenHBand="0" w:firstRowFirstColumn="0" w:firstRowLastColumn="0" w:lastRowFirstColumn="0" w:lastRowLastColumn="0"/>
            <w:tcW w:w="1619" w:type="pct"/>
            <w:tcBorders>
              <w:top w:val="single" w:sz="4" w:space="0" w:color="auto"/>
              <w:bottom w:val="single" w:sz="4" w:space="0" w:color="auto"/>
            </w:tcBorders>
            <w:hideMark/>
          </w:tcPr>
          <w:p w:rsidR="00BA7E6A" w:rsidRPr="00BA7E6A" w:rsidRDefault="00BA7E6A" w:rsidP="00175896">
            <w:pPr>
              <w:pStyle w:val="TableBodyText"/>
              <w:rPr>
                <w:rStyle w:val="Bold"/>
              </w:rPr>
            </w:pPr>
            <w:r w:rsidRPr="00BA7E6A">
              <w:rPr>
                <w:rStyle w:val="Bold"/>
              </w:rPr>
              <w:t>Total</w:t>
            </w:r>
          </w:p>
        </w:tc>
        <w:tc>
          <w:tcPr>
            <w:tcW w:w="483" w:type="pct"/>
            <w:tcBorders>
              <w:top w:val="single" w:sz="4" w:space="0" w:color="auto"/>
              <w:bottom w:val="single" w:sz="4" w:space="0" w:color="auto"/>
            </w:tcBorders>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A7E6A">
              <w:rPr>
                <w:rStyle w:val="Bold"/>
              </w:rPr>
              <w:t>90,807</w:t>
            </w:r>
          </w:p>
        </w:tc>
        <w:tc>
          <w:tcPr>
            <w:tcW w:w="483" w:type="pct"/>
            <w:tcBorders>
              <w:top w:val="single" w:sz="4" w:space="0" w:color="auto"/>
              <w:bottom w:val="single" w:sz="4" w:space="0" w:color="auto"/>
            </w:tcBorders>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A7E6A">
              <w:rPr>
                <w:rStyle w:val="Bold"/>
              </w:rPr>
              <w:t>115,252</w:t>
            </w:r>
          </w:p>
        </w:tc>
        <w:tc>
          <w:tcPr>
            <w:tcW w:w="483" w:type="pct"/>
            <w:tcBorders>
              <w:top w:val="single" w:sz="4" w:space="0" w:color="auto"/>
              <w:bottom w:val="single" w:sz="4" w:space="0" w:color="auto"/>
            </w:tcBorders>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A7E6A">
              <w:rPr>
                <w:rStyle w:val="Bold"/>
              </w:rPr>
              <w:t>2,685</w:t>
            </w:r>
          </w:p>
        </w:tc>
        <w:tc>
          <w:tcPr>
            <w:tcW w:w="483" w:type="pct"/>
            <w:tcBorders>
              <w:top w:val="single" w:sz="4" w:space="0" w:color="auto"/>
              <w:bottom w:val="single" w:sz="4" w:space="0" w:color="auto"/>
            </w:tcBorders>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A7E6A">
              <w:rPr>
                <w:rStyle w:val="Bold"/>
              </w:rPr>
              <w:t>5,507</w:t>
            </w:r>
          </w:p>
        </w:tc>
        <w:tc>
          <w:tcPr>
            <w:tcW w:w="483" w:type="pct"/>
            <w:tcBorders>
              <w:top w:val="single" w:sz="4" w:space="0" w:color="auto"/>
              <w:bottom w:val="single" w:sz="4" w:space="0" w:color="auto"/>
            </w:tcBorders>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A7E6A">
              <w:rPr>
                <w:rStyle w:val="Bold"/>
              </w:rPr>
              <w:t>15,656</w:t>
            </w:r>
          </w:p>
        </w:tc>
        <w:tc>
          <w:tcPr>
            <w:tcW w:w="483" w:type="pct"/>
            <w:tcBorders>
              <w:top w:val="single" w:sz="4" w:space="0" w:color="auto"/>
              <w:bottom w:val="single" w:sz="4" w:space="0" w:color="auto"/>
            </w:tcBorders>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A7E6A">
              <w:rPr>
                <w:rStyle w:val="Bold"/>
              </w:rPr>
              <w:t>75,405</w:t>
            </w:r>
          </w:p>
        </w:tc>
        <w:tc>
          <w:tcPr>
            <w:tcW w:w="484" w:type="pct"/>
            <w:tcBorders>
              <w:top w:val="single" w:sz="4" w:space="0" w:color="auto"/>
              <w:bottom w:val="single" w:sz="4" w:space="0" w:color="auto"/>
            </w:tcBorders>
            <w:shd w:val="clear" w:color="auto" w:fill="F3F3F3"/>
            <w:noWrap/>
            <w:hideMark/>
          </w:tcPr>
          <w:p w:rsidR="00BA7E6A" w:rsidRPr="00BA7E6A" w:rsidRDefault="00BA7E6A" w:rsidP="00BA7E6A">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A7E6A">
              <w:rPr>
                <w:rStyle w:val="Bold"/>
              </w:rPr>
              <w:t>15,999</w:t>
            </w:r>
          </w:p>
        </w:tc>
      </w:tr>
    </w:tbl>
    <w:p w:rsidR="00BA7E6A" w:rsidRDefault="00BA7E6A" w:rsidP="00BD6E5E">
      <w:pPr>
        <w:pStyle w:val="Heading4"/>
      </w:pPr>
      <w:r w:rsidRPr="00BA7E6A">
        <w:t>Interest expense</w:t>
      </w:r>
    </w:p>
    <w:tbl>
      <w:tblPr>
        <w:tblStyle w:val="FinancialTable"/>
        <w:tblW w:w="5000" w:type="pct"/>
        <w:tblLook w:val="04A0" w:firstRow="1" w:lastRow="0" w:firstColumn="1" w:lastColumn="0" w:noHBand="0" w:noVBand="1"/>
      </w:tblPr>
      <w:tblGrid>
        <w:gridCol w:w="7090"/>
        <w:gridCol w:w="1274"/>
        <w:gridCol w:w="1274"/>
      </w:tblGrid>
      <w:tr w:rsidR="00BA7E6A" w:rsidRPr="00D777E8" w:rsidTr="00175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77" w:type="pct"/>
          </w:tcPr>
          <w:p w:rsidR="00BA7E6A" w:rsidRPr="00D777E8" w:rsidRDefault="00D777E8" w:rsidP="00D777E8">
            <w:pPr>
              <w:rPr>
                <w:rFonts w:eastAsia="Calibri"/>
              </w:rPr>
            </w:pPr>
            <w:r w:rsidRPr="00D777E8">
              <w:rPr>
                <w:rStyle w:val="Bold"/>
              </w:rPr>
              <w:t>Item</w:t>
            </w:r>
          </w:p>
        </w:tc>
        <w:tc>
          <w:tcPr>
            <w:tcW w:w="661" w:type="pct"/>
            <w:shd w:val="clear" w:color="auto" w:fill="F3F3F3"/>
          </w:tcPr>
          <w:p w:rsidR="00BA7E6A" w:rsidRPr="00D777E8" w:rsidRDefault="00BA7E6A" w:rsidP="00175896">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D777E8">
              <w:t>2017</w:t>
            </w:r>
            <w:r w:rsidRPr="00D777E8">
              <w:br/>
              <w:t>$'000</w:t>
            </w:r>
          </w:p>
        </w:tc>
        <w:tc>
          <w:tcPr>
            <w:tcW w:w="661" w:type="pct"/>
          </w:tcPr>
          <w:p w:rsidR="00BA7E6A" w:rsidRPr="00D777E8" w:rsidRDefault="00BA7E6A" w:rsidP="00175896">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D777E8">
              <w:t>2016</w:t>
            </w:r>
            <w:r w:rsidRPr="00D777E8">
              <w:br/>
              <w:t>$'000</w:t>
            </w:r>
          </w:p>
        </w:tc>
      </w:tr>
      <w:tr w:rsidR="00BA7E6A" w:rsidRPr="00D777E8" w:rsidTr="00175896">
        <w:tc>
          <w:tcPr>
            <w:cnfStyle w:val="001000000000" w:firstRow="0" w:lastRow="0" w:firstColumn="1" w:lastColumn="0" w:oddVBand="0" w:evenVBand="0" w:oddHBand="0" w:evenHBand="0" w:firstRowFirstColumn="0" w:firstRowLastColumn="0" w:lastRowFirstColumn="0" w:lastRowLastColumn="0"/>
            <w:tcW w:w="3677" w:type="pct"/>
          </w:tcPr>
          <w:p w:rsidR="00BA7E6A" w:rsidRPr="00D777E8" w:rsidRDefault="00BA7E6A" w:rsidP="00D777E8">
            <w:pPr>
              <w:rPr>
                <w:rFonts w:eastAsia="Calibri"/>
              </w:rPr>
            </w:pPr>
            <w:r w:rsidRPr="00D777E8">
              <w:t>Interest on finance leases</w:t>
            </w:r>
          </w:p>
        </w:tc>
        <w:tc>
          <w:tcPr>
            <w:tcW w:w="661" w:type="pct"/>
            <w:shd w:val="clear" w:color="auto" w:fill="F3F3F3"/>
          </w:tcPr>
          <w:p w:rsidR="00BA7E6A" w:rsidRPr="00D777E8" w:rsidRDefault="00BA7E6A" w:rsidP="00175896">
            <w:pPr>
              <w:pStyle w:val="TableBodyText"/>
              <w:cnfStyle w:val="000000000000" w:firstRow="0" w:lastRow="0" w:firstColumn="0" w:lastColumn="0" w:oddVBand="0" w:evenVBand="0" w:oddHBand="0" w:evenHBand="0" w:firstRowFirstColumn="0" w:firstRowLastColumn="0" w:lastRowFirstColumn="0" w:lastRowLastColumn="0"/>
            </w:pPr>
            <w:r w:rsidRPr="00D777E8">
              <w:t>7,174</w:t>
            </w:r>
          </w:p>
        </w:tc>
        <w:tc>
          <w:tcPr>
            <w:tcW w:w="661" w:type="pct"/>
          </w:tcPr>
          <w:p w:rsidR="00BA7E6A" w:rsidRPr="00D777E8" w:rsidRDefault="00BA7E6A" w:rsidP="00175896">
            <w:pPr>
              <w:pStyle w:val="TableBodyText"/>
              <w:cnfStyle w:val="000000000000" w:firstRow="0" w:lastRow="0" w:firstColumn="0" w:lastColumn="0" w:oddVBand="0" w:evenVBand="0" w:oddHBand="0" w:evenHBand="0" w:firstRowFirstColumn="0" w:firstRowLastColumn="0" w:lastRowFirstColumn="0" w:lastRowLastColumn="0"/>
            </w:pPr>
            <w:r w:rsidRPr="00D777E8">
              <w:t>8,201</w:t>
            </w:r>
          </w:p>
        </w:tc>
      </w:tr>
      <w:tr w:rsidR="00BA7E6A" w:rsidRPr="00D777E8" w:rsidTr="00175896">
        <w:tc>
          <w:tcPr>
            <w:cnfStyle w:val="001000000000" w:firstRow="0" w:lastRow="0" w:firstColumn="1" w:lastColumn="0" w:oddVBand="0" w:evenVBand="0" w:oddHBand="0" w:evenHBand="0" w:firstRowFirstColumn="0" w:firstRowLastColumn="0" w:lastRowFirstColumn="0" w:lastRowLastColumn="0"/>
            <w:tcW w:w="3677" w:type="pct"/>
          </w:tcPr>
          <w:p w:rsidR="00BA7E6A" w:rsidRPr="00D777E8" w:rsidRDefault="00BA7E6A" w:rsidP="00D777E8">
            <w:pPr>
              <w:rPr>
                <w:rFonts w:eastAsia="Calibri"/>
              </w:rPr>
            </w:pPr>
            <w:r w:rsidRPr="00D777E8">
              <w:rPr>
                <w:rStyle w:val="Bold"/>
              </w:rPr>
              <w:t>Total interest expense</w:t>
            </w:r>
          </w:p>
        </w:tc>
        <w:tc>
          <w:tcPr>
            <w:tcW w:w="661" w:type="pct"/>
            <w:tcBorders>
              <w:bottom w:val="single" w:sz="4" w:space="0" w:color="auto"/>
            </w:tcBorders>
            <w:shd w:val="clear" w:color="auto" w:fill="F3F3F3"/>
          </w:tcPr>
          <w:p w:rsidR="00BA7E6A" w:rsidRPr="00D777E8" w:rsidRDefault="00BA7E6A" w:rsidP="001758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777E8">
              <w:rPr>
                <w:rStyle w:val="Bold"/>
              </w:rPr>
              <w:t>7,174</w:t>
            </w:r>
          </w:p>
        </w:tc>
        <w:tc>
          <w:tcPr>
            <w:tcW w:w="661" w:type="pct"/>
          </w:tcPr>
          <w:p w:rsidR="00BA7E6A" w:rsidRPr="00D777E8" w:rsidRDefault="00BA7E6A" w:rsidP="00175896">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D777E8">
              <w:rPr>
                <w:rStyle w:val="Bold"/>
              </w:rPr>
              <w:t>8,201</w:t>
            </w:r>
          </w:p>
        </w:tc>
      </w:tr>
    </w:tbl>
    <w:p w:rsidR="00D777E8" w:rsidRDefault="00D777E8" w:rsidP="00D777E8">
      <w:pPr>
        <w:pStyle w:val="BodyText"/>
      </w:pPr>
      <w:r>
        <w:t>Interest on finance leases comprises interest relating to the County Court Facility Public Private Partnership (PPP) arrangement of $7.02 million (2016: $8.05 million) and motor vehicles of $0.15 million (2016: $0.15million).</w:t>
      </w:r>
    </w:p>
    <w:p w:rsidR="00BA7E6A" w:rsidRDefault="00D777E8" w:rsidP="00D777E8">
      <w:pPr>
        <w:pStyle w:val="BodyText"/>
      </w:pPr>
      <w:r>
        <w:t>Interest expense is recognised in the period in which it is incurred</w:t>
      </w:r>
    </w:p>
    <w:p w:rsidR="00D777E8" w:rsidRDefault="00D777E8" w:rsidP="00B6401F">
      <w:pPr>
        <w:pStyle w:val="Heading2"/>
        <w:pageBreakBefore/>
      </w:pPr>
      <w:bookmarkStart w:id="49" w:name="_Toc497125482"/>
      <w:r w:rsidRPr="00D777E8">
        <w:lastRenderedPageBreak/>
        <w:t>Leases</w:t>
      </w:r>
      <w:bookmarkEnd w:id="49"/>
    </w:p>
    <w:p w:rsidR="00D777E8" w:rsidRDefault="00D777E8" w:rsidP="00175896">
      <w:pPr>
        <w:pStyle w:val="Heading3"/>
      </w:pPr>
      <w:r w:rsidRPr="00D777E8">
        <w:t>Finance lease liabilities (CSV as lessee)</w:t>
      </w:r>
    </w:p>
    <w:p w:rsidR="00D777E8" w:rsidRDefault="00D777E8" w:rsidP="00175896">
      <w:pPr>
        <w:pStyle w:val="BodyText"/>
        <w:keepNext/>
      </w:pPr>
      <w:r w:rsidRPr="00D777E8">
        <w:t>Finance lease liabilities payable</w:t>
      </w:r>
    </w:p>
    <w:tbl>
      <w:tblPr>
        <w:tblStyle w:val="FinancialTable"/>
        <w:tblW w:w="5000" w:type="pct"/>
        <w:tblLayout w:type="fixed"/>
        <w:tblLook w:val="04A0" w:firstRow="1" w:lastRow="0" w:firstColumn="1" w:lastColumn="0" w:noHBand="0" w:noVBand="1"/>
      </w:tblPr>
      <w:tblGrid>
        <w:gridCol w:w="4253"/>
        <w:gridCol w:w="1346"/>
        <w:gridCol w:w="1346"/>
        <w:gridCol w:w="1346"/>
        <w:gridCol w:w="1347"/>
      </w:tblGrid>
      <w:tr w:rsidR="00DB5879" w:rsidRPr="00FA778F" w:rsidTr="00DB58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6" w:type="pct"/>
            <w:noWrap/>
            <w:hideMark/>
          </w:tcPr>
          <w:p w:rsidR="00D777E8" w:rsidRPr="00FA778F" w:rsidRDefault="00FA778F" w:rsidP="00FA778F">
            <w:pPr>
              <w:pStyle w:val="TableBodyText"/>
              <w:rPr>
                <w:rStyle w:val="Bold"/>
              </w:rPr>
            </w:pPr>
            <w:r>
              <w:rPr>
                <w:rStyle w:val="Bold"/>
              </w:rPr>
              <w:t>Item</w:t>
            </w:r>
          </w:p>
        </w:tc>
        <w:tc>
          <w:tcPr>
            <w:tcW w:w="698" w:type="pct"/>
            <w:shd w:val="clear" w:color="auto" w:fill="F3F3F3"/>
            <w:noWrap/>
            <w:hideMark/>
          </w:tcPr>
          <w:p w:rsidR="00175896" w:rsidRDefault="00D777E8" w:rsidP="00FA77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FA778F">
              <w:rPr>
                <w:rStyle w:val="Bold"/>
              </w:rPr>
              <w:t>Minimum future lease payments</w:t>
            </w:r>
          </w:p>
          <w:p w:rsidR="00D777E8" w:rsidRPr="00FA778F" w:rsidRDefault="00D777E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FA778F">
              <w:rPr>
                <w:rStyle w:val="Bold"/>
              </w:rPr>
              <w:t>(</w:t>
            </w:r>
            <w:hyperlink w:anchor="FinanceLease1" w:history="1">
              <w:r w:rsidR="00175896" w:rsidRPr="00175896">
                <w:rPr>
                  <w:rStyle w:val="Hyperlink"/>
                  <w:rFonts w:ascii="Arial Bold" w:hAnsi="Arial Bold"/>
                </w:rPr>
                <w:t>see note 1</w:t>
              </w:r>
            </w:hyperlink>
            <w:r w:rsidRPr="00FA778F">
              <w:rPr>
                <w:rStyle w:val="Bold"/>
              </w:rPr>
              <w:t>)</w:t>
            </w:r>
            <w:r w:rsidRPr="00FA778F">
              <w:rPr>
                <w:rStyle w:val="Bold"/>
              </w:rPr>
              <w:br/>
              <w:t>2017</w:t>
            </w:r>
            <w:r w:rsidRPr="00FA778F">
              <w:rPr>
                <w:rStyle w:val="Bold"/>
              </w:rPr>
              <w:br/>
              <w:t>$'000</w:t>
            </w:r>
          </w:p>
        </w:tc>
        <w:tc>
          <w:tcPr>
            <w:tcW w:w="698" w:type="pct"/>
            <w:noWrap/>
            <w:hideMark/>
          </w:tcPr>
          <w:p w:rsidR="00D777E8" w:rsidRPr="00FA778F" w:rsidRDefault="00D777E8" w:rsidP="0017589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FA778F">
              <w:rPr>
                <w:rStyle w:val="Bold"/>
              </w:rPr>
              <w:t>M</w:t>
            </w:r>
            <w:r w:rsidR="00175896">
              <w:rPr>
                <w:rStyle w:val="Bold"/>
              </w:rPr>
              <w:t>inimum future lease payments</w:t>
            </w:r>
            <w:r w:rsidR="00175896">
              <w:rPr>
                <w:rStyle w:val="Bold"/>
              </w:rPr>
              <w:br/>
            </w:r>
            <w:r w:rsidRPr="00FA778F">
              <w:rPr>
                <w:rStyle w:val="Bold"/>
              </w:rPr>
              <w:t>(</w:t>
            </w:r>
            <w:hyperlink w:anchor="FinanceLease1" w:history="1">
              <w:r w:rsidR="00175896" w:rsidRPr="00175896">
                <w:rPr>
                  <w:rStyle w:val="Hyperlink"/>
                  <w:rFonts w:ascii="Arial Bold" w:hAnsi="Arial Bold"/>
                </w:rPr>
                <w:t>see note 1</w:t>
              </w:r>
            </w:hyperlink>
            <w:r w:rsidRPr="00FA778F">
              <w:rPr>
                <w:rStyle w:val="Bold"/>
              </w:rPr>
              <w:t>)</w:t>
            </w:r>
            <w:r w:rsidRPr="00FA778F">
              <w:rPr>
                <w:rStyle w:val="Bold"/>
              </w:rPr>
              <w:br/>
              <w:t>2016</w:t>
            </w:r>
            <w:r w:rsidRPr="00FA778F">
              <w:rPr>
                <w:rStyle w:val="Bold"/>
              </w:rPr>
              <w:br/>
              <w:t>$'000</w:t>
            </w:r>
          </w:p>
        </w:tc>
        <w:tc>
          <w:tcPr>
            <w:tcW w:w="698" w:type="pct"/>
            <w:shd w:val="clear" w:color="auto" w:fill="F3F3F3"/>
            <w:noWrap/>
            <w:hideMark/>
          </w:tcPr>
          <w:p w:rsidR="00D777E8" w:rsidRPr="00FA778F" w:rsidRDefault="00D777E8" w:rsidP="00FA77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FA778F">
              <w:rPr>
                <w:rStyle w:val="Bold"/>
              </w:rPr>
              <w:t xml:space="preserve">Present value of minimum lease payments </w:t>
            </w:r>
            <w:r w:rsidRPr="00FA778F">
              <w:rPr>
                <w:rStyle w:val="Bold"/>
              </w:rPr>
              <w:br/>
              <w:t>2017</w:t>
            </w:r>
            <w:r w:rsidRPr="00FA778F">
              <w:rPr>
                <w:rStyle w:val="Bold"/>
              </w:rPr>
              <w:br/>
              <w:t>$'000</w:t>
            </w:r>
          </w:p>
        </w:tc>
        <w:tc>
          <w:tcPr>
            <w:tcW w:w="699" w:type="pct"/>
            <w:noWrap/>
            <w:hideMark/>
          </w:tcPr>
          <w:p w:rsidR="00D777E8" w:rsidRPr="00FA778F" w:rsidRDefault="00D777E8" w:rsidP="00FA778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FA778F">
              <w:rPr>
                <w:rStyle w:val="Bold"/>
              </w:rPr>
              <w:t xml:space="preserve">Present value of minimum lease payments </w:t>
            </w:r>
            <w:r w:rsidRPr="00FA778F">
              <w:rPr>
                <w:rStyle w:val="Bold"/>
              </w:rPr>
              <w:br/>
              <w:t>2016</w:t>
            </w:r>
            <w:r w:rsidRPr="00FA778F">
              <w:rPr>
                <w:rStyle w:val="Bold"/>
              </w:rPr>
              <w:br/>
              <w:t>$'000</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noWrap/>
            <w:hideMark/>
          </w:tcPr>
          <w:p w:rsidR="00D777E8" w:rsidRPr="00FA778F" w:rsidRDefault="00D777E8" w:rsidP="00175896">
            <w:pPr>
              <w:pStyle w:val="TableBodyText"/>
              <w:spacing w:before="120"/>
              <w:rPr>
                <w:rStyle w:val="Bold"/>
              </w:rPr>
            </w:pPr>
            <w:r w:rsidRPr="00FA778F">
              <w:rPr>
                <w:rStyle w:val="Bold"/>
              </w:rPr>
              <w:t>Commissioned PPP related finance lease liabilities payable</w:t>
            </w:r>
          </w:p>
        </w:tc>
        <w:tc>
          <w:tcPr>
            <w:tcW w:w="698" w:type="pct"/>
            <w:shd w:val="clear" w:color="auto" w:fill="F3F3F3"/>
            <w:noWrap/>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noWrap/>
            <w:hideMark/>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shd w:val="clear" w:color="auto" w:fill="F3F3F3"/>
            <w:noWrap/>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noWrap/>
            <w:hideMark/>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noWrap/>
            <w:hideMark/>
          </w:tcPr>
          <w:p w:rsidR="00D777E8" w:rsidRPr="00D777E8" w:rsidRDefault="00D777E8" w:rsidP="00FA778F">
            <w:pPr>
              <w:pStyle w:val="TableBodyText"/>
            </w:pPr>
            <w:r w:rsidRPr="00D777E8">
              <w:t>Not longer than 1 year</w:t>
            </w:r>
          </w:p>
        </w:tc>
        <w:tc>
          <w:tcPr>
            <w:tcW w:w="698" w:type="pct"/>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18,194</w:t>
            </w:r>
          </w:p>
        </w:tc>
        <w:tc>
          <w:tcPr>
            <w:tcW w:w="698"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19,325</w:t>
            </w:r>
          </w:p>
        </w:tc>
        <w:tc>
          <w:tcPr>
            <w:tcW w:w="698" w:type="pct"/>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12,299</w:t>
            </w:r>
          </w:p>
        </w:tc>
        <w:tc>
          <w:tcPr>
            <w:tcW w:w="699"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12,303</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noWrap/>
            <w:hideMark/>
          </w:tcPr>
          <w:p w:rsidR="00D777E8" w:rsidRPr="00D777E8" w:rsidRDefault="00D777E8" w:rsidP="00FA778F">
            <w:pPr>
              <w:pStyle w:val="TableBodyText"/>
            </w:pPr>
            <w:r w:rsidRPr="00D777E8">
              <w:t>Longer than 1 year and not longer than 5 years</w:t>
            </w:r>
          </w:p>
        </w:tc>
        <w:tc>
          <w:tcPr>
            <w:tcW w:w="698" w:type="pct"/>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68,699</w:t>
            </w:r>
          </w:p>
        </w:tc>
        <w:tc>
          <w:tcPr>
            <w:tcW w:w="698"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70,893</w:t>
            </w:r>
          </w:p>
        </w:tc>
        <w:tc>
          <w:tcPr>
            <w:tcW w:w="698" w:type="pct"/>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57,541</w:t>
            </w:r>
          </w:p>
        </w:tc>
        <w:tc>
          <w:tcPr>
            <w:tcW w:w="699"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54,538</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noWrap/>
            <w:hideMark/>
          </w:tcPr>
          <w:p w:rsidR="00D777E8" w:rsidRPr="00D777E8" w:rsidRDefault="00D777E8" w:rsidP="00FA778F">
            <w:pPr>
              <w:pStyle w:val="TableBodyText"/>
            </w:pPr>
            <w:r w:rsidRPr="00D777E8">
              <w:t>Longer than 5 years</w:t>
            </w:r>
          </w:p>
        </w:tc>
        <w:tc>
          <w:tcPr>
            <w:tcW w:w="698" w:type="pct"/>
            <w:shd w:val="clear" w:color="auto" w:fill="F3F3F3"/>
            <w:noWrap/>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8"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15,999</w:t>
            </w:r>
          </w:p>
        </w:tc>
        <w:tc>
          <w:tcPr>
            <w:tcW w:w="698" w:type="pct"/>
            <w:shd w:val="clear" w:color="auto" w:fill="F3F3F3"/>
            <w:noWrap/>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9"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15,302</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noWrap/>
            <w:hideMark/>
          </w:tcPr>
          <w:p w:rsidR="00D777E8" w:rsidRPr="00FA778F" w:rsidRDefault="00D777E8" w:rsidP="00175896">
            <w:pPr>
              <w:pStyle w:val="TableBodyText"/>
              <w:spacing w:before="120"/>
              <w:rPr>
                <w:rStyle w:val="Bold"/>
              </w:rPr>
            </w:pPr>
            <w:r w:rsidRPr="00FA778F">
              <w:rPr>
                <w:rStyle w:val="Bold"/>
              </w:rPr>
              <w:t xml:space="preserve">Other finance lease liabilities payable </w:t>
            </w:r>
            <w:r w:rsidR="00175896">
              <w:rPr>
                <w:rStyle w:val="Bold"/>
              </w:rPr>
              <w:br/>
            </w:r>
            <w:r w:rsidRPr="00FA778F">
              <w:rPr>
                <w:rStyle w:val="Bold"/>
              </w:rPr>
              <w:t>(</w:t>
            </w:r>
            <w:hyperlink w:anchor="FinanceLease2" w:history="1">
              <w:r w:rsidR="00175896" w:rsidRPr="00175896">
                <w:rPr>
                  <w:rStyle w:val="Hyperlink"/>
                  <w:rFonts w:ascii="Arial Bold" w:hAnsi="Arial Bold"/>
                </w:rPr>
                <w:t xml:space="preserve">see note </w:t>
              </w:r>
              <w:r w:rsidRPr="00175896">
                <w:rPr>
                  <w:rStyle w:val="Hyperlink"/>
                  <w:rFonts w:ascii="Arial Bold" w:hAnsi="Arial Bold"/>
                </w:rPr>
                <w:t>ii</w:t>
              </w:r>
            </w:hyperlink>
            <w:r w:rsidRPr="00FA778F">
              <w:rPr>
                <w:rStyle w:val="Bold"/>
              </w:rPr>
              <w:t>)</w:t>
            </w:r>
          </w:p>
        </w:tc>
        <w:tc>
          <w:tcPr>
            <w:tcW w:w="698" w:type="pct"/>
            <w:shd w:val="clear" w:color="auto" w:fill="F3F3F3"/>
            <w:noWrap/>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noWrap/>
            <w:hideMark/>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shd w:val="clear" w:color="auto" w:fill="F3F3F3"/>
            <w:noWrap/>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noWrap/>
            <w:hideMark/>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noWrap/>
            <w:hideMark/>
          </w:tcPr>
          <w:p w:rsidR="00D777E8" w:rsidRPr="00D777E8" w:rsidRDefault="00D777E8" w:rsidP="00FA778F">
            <w:pPr>
              <w:pStyle w:val="TableBodyText"/>
            </w:pPr>
            <w:r w:rsidRPr="00D777E8">
              <w:t>Not longer than 1 year</w:t>
            </w:r>
          </w:p>
        </w:tc>
        <w:tc>
          <w:tcPr>
            <w:tcW w:w="698" w:type="pct"/>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4,730</w:t>
            </w:r>
          </w:p>
        </w:tc>
        <w:tc>
          <w:tcPr>
            <w:tcW w:w="698"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4,522</w:t>
            </w:r>
          </w:p>
        </w:tc>
        <w:tc>
          <w:tcPr>
            <w:tcW w:w="698" w:type="pct"/>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4,509</w:t>
            </w:r>
          </w:p>
        </w:tc>
        <w:tc>
          <w:tcPr>
            <w:tcW w:w="699"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4,275</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tcBorders>
              <w:bottom w:val="single" w:sz="4" w:space="0" w:color="auto"/>
            </w:tcBorders>
            <w:noWrap/>
            <w:hideMark/>
          </w:tcPr>
          <w:p w:rsidR="00D777E8" w:rsidRPr="00D777E8" w:rsidRDefault="00D777E8" w:rsidP="00FA778F">
            <w:pPr>
              <w:pStyle w:val="TableBodyText"/>
            </w:pPr>
            <w:r w:rsidRPr="00D777E8">
              <w:t>Longer than 1 year and not longer than 5 years</w:t>
            </w:r>
          </w:p>
        </w:tc>
        <w:tc>
          <w:tcPr>
            <w:tcW w:w="698" w:type="pct"/>
            <w:tcBorders>
              <w:bottom w:val="single" w:sz="4" w:space="0" w:color="auto"/>
            </w:tcBorders>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4,855</w:t>
            </w:r>
          </w:p>
        </w:tc>
        <w:tc>
          <w:tcPr>
            <w:tcW w:w="698" w:type="pct"/>
            <w:tcBorders>
              <w:bottom w:val="single" w:sz="4" w:space="0" w:color="auto"/>
            </w:tcBorders>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4,512</w:t>
            </w:r>
          </w:p>
        </w:tc>
        <w:tc>
          <w:tcPr>
            <w:tcW w:w="698" w:type="pct"/>
            <w:tcBorders>
              <w:bottom w:val="single" w:sz="4" w:space="0" w:color="auto"/>
            </w:tcBorders>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4,726</w:t>
            </w:r>
          </w:p>
        </w:tc>
        <w:tc>
          <w:tcPr>
            <w:tcW w:w="699" w:type="pct"/>
            <w:tcBorders>
              <w:bottom w:val="single" w:sz="4" w:space="0" w:color="auto"/>
            </w:tcBorders>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4,388</w:t>
            </w:r>
          </w:p>
        </w:tc>
      </w:tr>
      <w:tr w:rsidR="00D777E8" w:rsidRPr="00FA778F" w:rsidTr="00DB5879">
        <w:tc>
          <w:tcPr>
            <w:cnfStyle w:val="001000000000" w:firstRow="0" w:lastRow="0" w:firstColumn="1" w:lastColumn="0" w:oddVBand="0" w:evenVBand="0" w:oddHBand="0" w:evenHBand="0" w:firstRowFirstColumn="0" w:firstRowLastColumn="0" w:lastRowFirstColumn="0" w:lastRowLastColumn="0"/>
            <w:tcW w:w="2206" w:type="pct"/>
            <w:tcBorders>
              <w:top w:val="single" w:sz="4" w:space="0" w:color="auto"/>
              <w:bottom w:val="single" w:sz="4" w:space="0" w:color="auto"/>
            </w:tcBorders>
            <w:noWrap/>
            <w:hideMark/>
          </w:tcPr>
          <w:p w:rsidR="00D777E8" w:rsidRPr="00FA778F" w:rsidRDefault="00D777E8" w:rsidP="00FA778F">
            <w:pPr>
              <w:pStyle w:val="TableBodyText"/>
              <w:rPr>
                <w:rStyle w:val="Bold"/>
              </w:rPr>
            </w:pPr>
            <w:r w:rsidRPr="00FA778F">
              <w:rPr>
                <w:rStyle w:val="Bold"/>
              </w:rPr>
              <w:t>Minimum future lease payments</w:t>
            </w:r>
          </w:p>
        </w:tc>
        <w:tc>
          <w:tcPr>
            <w:tcW w:w="698" w:type="pct"/>
            <w:tcBorders>
              <w:top w:val="single" w:sz="4" w:space="0" w:color="auto"/>
              <w:bottom w:val="single" w:sz="4" w:space="0" w:color="auto"/>
            </w:tcBorders>
            <w:shd w:val="clear" w:color="auto" w:fill="F3F3F3"/>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96,478</w:t>
            </w:r>
          </w:p>
        </w:tc>
        <w:tc>
          <w:tcPr>
            <w:tcW w:w="698" w:type="pct"/>
            <w:tcBorders>
              <w:top w:val="single" w:sz="4" w:space="0" w:color="auto"/>
              <w:bottom w:val="single" w:sz="4" w:space="0" w:color="auto"/>
            </w:tcBorders>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115,252</w:t>
            </w:r>
          </w:p>
        </w:tc>
        <w:tc>
          <w:tcPr>
            <w:tcW w:w="698" w:type="pct"/>
            <w:tcBorders>
              <w:top w:val="single" w:sz="4" w:space="0" w:color="auto"/>
              <w:bottom w:val="single" w:sz="4" w:space="0" w:color="auto"/>
            </w:tcBorders>
            <w:shd w:val="clear" w:color="auto" w:fill="F3F3F3"/>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79,075</w:t>
            </w:r>
          </w:p>
        </w:tc>
        <w:tc>
          <w:tcPr>
            <w:tcW w:w="699" w:type="pct"/>
            <w:tcBorders>
              <w:top w:val="single" w:sz="4" w:space="0" w:color="auto"/>
              <w:bottom w:val="single" w:sz="4" w:space="0" w:color="auto"/>
            </w:tcBorders>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90,807</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tcBorders>
              <w:top w:val="single" w:sz="4" w:space="0" w:color="auto"/>
              <w:bottom w:val="single" w:sz="4" w:space="0" w:color="auto"/>
            </w:tcBorders>
            <w:noWrap/>
            <w:hideMark/>
          </w:tcPr>
          <w:p w:rsidR="00D777E8" w:rsidRPr="00D777E8" w:rsidRDefault="00D777E8" w:rsidP="00FA778F">
            <w:pPr>
              <w:pStyle w:val="TableBodyText"/>
            </w:pPr>
            <w:r w:rsidRPr="00D777E8">
              <w:t>Less future finance charges</w:t>
            </w:r>
          </w:p>
        </w:tc>
        <w:tc>
          <w:tcPr>
            <w:tcW w:w="698" w:type="pct"/>
            <w:tcBorders>
              <w:top w:val="single" w:sz="4" w:space="0" w:color="auto"/>
              <w:bottom w:val="single" w:sz="4" w:space="0" w:color="auto"/>
            </w:tcBorders>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(17,403)</w:t>
            </w:r>
          </w:p>
        </w:tc>
        <w:tc>
          <w:tcPr>
            <w:tcW w:w="698" w:type="pct"/>
            <w:tcBorders>
              <w:top w:val="single" w:sz="4" w:space="0" w:color="auto"/>
              <w:bottom w:val="single" w:sz="4" w:space="0" w:color="auto"/>
            </w:tcBorders>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(24,445)</w:t>
            </w:r>
          </w:p>
        </w:tc>
        <w:tc>
          <w:tcPr>
            <w:tcW w:w="698" w:type="pct"/>
            <w:tcBorders>
              <w:top w:val="single" w:sz="4" w:space="0" w:color="auto"/>
              <w:bottom w:val="single" w:sz="4" w:space="0" w:color="auto"/>
            </w:tcBorders>
            <w:shd w:val="clear" w:color="auto" w:fill="F3F3F3"/>
            <w:noWrap/>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9" w:type="pct"/>
            <w:tcBorders>
              <w:top w:val="single" w:sz="4" w:space="0" w:color="auto"/>
              <w:bottom w:val="single" w:sz="4" w:space="0" w:color="auto"/>
            </w:tcBorders>
            <w:noWrap/>
            <w:hideMark/>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r>
      <w:tr w:rsidR="00D777E8" w:rsidRPr="00FA778F" w:rsidTr="00DB5879">
        <w:tc>
          <w:tcPr>
            <w:cnfStyle w:val="001000000000" w:firstRow="0" w:lastRow="0" w:firstColumn="1" w:lastColumn="0" w:oddVBand="0" w:evenVBand="0" w:oddHBand="0" w:evenHBand="0" w:firstRowFirstColumn="0" w:firstRowLastColumn="0" w:lastRowFirstColumn="0" w:lastRowLastColumn="0"/>
            <w:tcW w:w="2206" w:type="pct"/>
            <w:tcBorders>
              <w:top w:val="single" w:sz="4" w:space="0" w:color="auto"/>
              <w:bottom w:val="single" w:sz="4" w:space="0" w:color="auto"/>
            </w:tcBorders>
            <w:noWrap/>
            <w:hideMark/>
          </w:tcPr>
          <w:p w:rsidR="00D777E8" w:rsidRPr="00FA778F" w:rsidRDefault="00D777E8" w:rsidP="00FA778F">
            <w:pPr>
              <w:pStyle w:val="TableBodyText"/>
              <w:rPr>
                <w:rStyle w:val="Bold"/>
              </w:rPr>
            </w:pPr>
            <w:r w:rsidRPr="00FA778F">
              <w:rPr>
                <w:rStyle w:val="Bold"/>
              </w:rPr>
              <w:t>Present value of minimum lease payments</w:t>
            </w:r>
          </w:p>
        </w:tc>
        <w:tc>
          <w:tcPr>
            <w:tcW w:w="698" w:type="pct"/>
            <w:tcBorders>
              <w:top w:val="single" w:sz="4" w:space="0" w:color="auto"/>
              <w:bottom w:val="single" w:sz="4" w:space="0" w:color="auto"/>
            </w:tcBorders>
            <w:shd w:val="clear" w:color="auto" w:fill="F3F3F3"/>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79,075</w:t>
            </w:r>
          </w:p>
        </w:tc>
        <w:tc>
          <w:tcPr>
            <w:tcW w:w="698" w:type="pct"/>
            <w:tcBorders>
              <w:top w:val="single" w:sz="4" w:space="0" w:color="auto"/>
              <w:bottom w:val="single" w:sz="4" w:space="0" w:color="auto"/>
            </w:tcBorders>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90,807</w:t>
            </w:r>
          </w:p>
        </w:tc>
        <w:tc>
          <w:tcPr>
            <w:tcW w:w="698" w:type="pct"/>
            <w:tcBorders>
              <w:top w:val="single" w:sz="4" w:space="0" w:color="auto"/>
              <w:bottom w:val="single" w:sz="4" w:space="0" w:color="auto"/>
            </w:tcBorders>
            <w:shd w:val="clear" w:color="auto" w:fill="F3F3F3"/>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79,075</w:t>
            </w:r>
          </w:p>
        </w:tc>
        <w:tc>
          <w:tcPr>
            <w:tcW w:w="699" w:type="pct"/>
            <w:tcBorders>
              <w:top w:val="single" w:sz="4" w:space="0" w:color="auto"/>
              <w:bottom w:val="single" w:sz="4" w:space="0" w:color="auto"/>
            </w:tcBorders>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90,807</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tcBorders>
              <w:top w:val="single" w:sz="4" w:space="0" w:color="auto"/>
            </w:tcBorders>
            <w:noWrap/>
            <w:hideMark/>
          </w:tcPr>
          <w:p w:rsidR="00D777E8" w:rsidRPr="00D777E8" w:rsidRDefault="00D777E8" w:rsidP="00175896">
            <w:pPr>
              <w:pStyle w:val="TableBodyText"/>
              <w:spacing w:before="120"/>
            </w:pPr>
            <w:r w:rsidRPr="00D777E8">
              <w:t>Included in the financial statements as:</w:t>
            </w:r>
          </w:p>
        </w:tc>
        <w:tc>
          <w:tcPr>
            <w:tcW w:w="698" w:type="pct"/>
            <w:tcBorders>
              <w:top w:val="single" w:sz="4" w:space="0" w:color="auto"/>
            </w:tcBorders>
            <w:shd w:val="clear" w:color="auto" w:fill="F3F3F3"/>
            <w:noWrap/>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tcBorders>
              <w:top w:val="single" w:sz="4" w:space="0" w:color="auto"/>
            </w:tcBorders>
            <w:noWrap/>
            <w:hideMark/>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8" w:type="pct"/>
            <w:tcBorders>
              <w:top w:val="single" w:sz="4" w:space="0" w:color="auto"/>
            </w:tcBorders>
            <w:shd w:val="clear" w:color="auto" w:fill="F3F3F3"/>
            <w:noWrap/>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99" w:type="pct"/>
            <w:tcBorders>
              <w:top w:val="single" w:sz="4" w:space="0" w:color="auto"/>
            </w:tcBorders>
            <w:noWrap/>
            <w:hideMark/>
          </w:tcPr>
          <w:p w:rsidR="00D777E8" w:rsidRPr="00D777E8" w:rsidRDefault="00FA778F" w:rsidP="0017589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noWrap/>
            <w:hideMark/>
          </w:tcPr>
          <w:p w:rsidR="00D777E8" w:rsidRPr="00D777E8" w:rsidRDefault="00D777E8" w:rsidP="00FA778F">
            <w:pPr>
              <w:pStyle w:val="TableBodyText"/>
            </w:pPr>
            <w:r w:rsidRPr="00D777E8">
              <w:t>Current borrowings lease liabilities (note 7.1)</w:t>
            </w:r>
          </w:p>
        </w:tc>
        <w:tc>
          <w:tcPr>
            <w:tcW w:w="698" w:type="pct"/>
            <w:shd w:val="clear" w:color="auto" w:fill="F3F3F3"/>
            <w:noWrap/>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8" w:type="pct"/>
            <w:noWrap/>
            <w:hideMark/>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8" w:type="pct"/>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16,808</w:t>
            </w:r>
          </w:p>
        </w:tc>
        <w:tc>
          <w:tcPr>
            <w:tcW w:w="699" w:type="pct"/>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16,579</w:t>
            </w:r>
          </w:p>
        </w:tc>
      </w:tr>
      <w:tr w:rsidR="00D777E8" w:rsidRPr="00D777E8" w:rsidTr="00DB5879">
        <w:tc>
          <w:tcPr>
            <w:cnfStyle w:val="001000000000" w:firstRow="0" w:lastRow="0" w:firstColumn="1" w:lastColumn="0" w:oddVBand="0" w:evenVBand="0" w:oddHBand="0" w:evenHBand="0" w:firstRowFirstColumn="0" w:firstRowLastColumn="0" w:lastRowFirstColumn="0" w:lastRowLastColumn="0"/>
            <w:tcW w:w="2206" w:type="pct"/>
            <w:tcBorders>
              <w:bottom w:val="single" w:sz="4" w:space="0" w:color="auto"/>
            </w:tcBorders>
            <w:noWrap/>
            <w:hideMark/>
          </w:tcPr>
          <w:p w:rsidR="00D777E8" w:rsidRPr="00D777E8" w:rsidRDefault="00D777E8" w:rsidP="00FA778F">
            <w:pPr>
              <w:pStyle w:val="TableBodyText"/>
            </w:pPr>
            <w:r w:rsidRPr="00D777E8">
              <w:t>Non-current borrowings lease liabilities (note 7.1)</w:t>
            </w:r>
          </w:p>
        </w:tc>
        <w:tc>
          <w:tcPr>
            <w:tcW w:w="698" w:type="pct"/>
            <w:tcBorders>
              <w:bottom w:val="single" w:sz="4" w:space="0" w:color="auto"/>
            </w:tcBorders>
            <w:shd w:val="clear" w:color="auto" w:fill="F3F3F3"/>
            <w:noWrap/>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8" w:type="pct"/>
            <w:tcBorders>
              <w:bottom w:val="single" w:sz="4" w:space="0" w:color="auto"/>
            </w:tcBorders>
            <w:noWrap/>
          </w:tcPr>
          <w:p w:rsidR="00D777E8" w:rsidRPr="00D777E8" w:rsidRDefault="00FA778F" w:rsidP="00FA778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98" w:type="pct"/>
            <w:tcBorders>
              <w:bottom w:val="single" w:sz="4" w:space="0" w:color="auto"/>
            </w:tcBorders>
            <w:shd w:val="clear" w:color="auto" w:fill="F3F3F3"/>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62,267</w:t>
            </w:r>
          </w:p>
        </w:tc>
        <w:tc>
          <w:tcPr>
            <w:tcW w:w="699" w:type="pct"/>
            <w:tcBorders>
              <w:bottom w:val="single" w:sz="4" w:space="0" w:color="auto"/>
            </w:tcBorders>
            <w:noWrap/>
            <w:hideMark/>
          </w:tcPr>
          <w:p w:rsidR="00D777E8" w:rsidRPr="00D777E8" w:rsidRDefault="00D777E8" w:rsidP="00D777E8">
            <w:pPr>
              <w:pStyle w:val="TableBodyText"/>
              <w:cnfStyle w:val="000000000000" w:firstRow="0" w:lastRow="0" w:firstColumn="0" w:lastColumn="0" w:oddVBand="0" w:evenVBand="0" w:oddHBand="0" w:evenHBand="0" w:firstRowFirstColumn="0" w:firstRowLastColumn="0" w:lastRowFirstColumn="0" w:lastRowLastColumn="0"/>
            </w:pPr>
            <w:r w:rsidRPr="00D777E8">
              <w:t>74,228</w:t>
            </w:r>
          </w:p>
        </w:tc>
      </w:tr>
      <w:tr w:rsidR="00D777E8" w:rsidRPr="00FA778F" w:rsidTr="00DB5879">
        <w:tc>
          <w:tcPr>
            <w:cnfStyle w:val="001000000000" w:firstRow="0" w:lastRow="0" w:firstColumn="1" w:lastColumn="0" w:oddVBand="0" w:evenVBand="0" w:oddHBand="0" w:evenHBand="0" w:firstRowFirstColumn="0" w:firstRowLastColumn="0" w:lastRowFirstColumn="0" w:lastRowLastColumn="0"/>
            <w:tcW w:w="2206" w:type="pct"/>
            <w:tcBorders>
              <w:top w:val="single" w:sz="4" w:space="0" w:color="auto"/>
              <w:bottom w:val="single" w:sz="4" w:space="0" w:color="auto"/>
            </w:tcBorders>
            <w:noWrap/>
            <w:hideMark/>
          </w:tcPr>
          <w:p w:rsidR="00D777E8" w:rsidRPr="00FA778F" w:rsidRDefault="00D777E8" w:rsidP="00FA778F">
            <w:pPr>
              <w:pStyle w:val="TableBodyText"/>
              <w:rPr>
                <w:rStyle w:val="Bold"/>
              </w:rPr>
            </w:pPr>
            <w:r w:rsidRPr="00FA778F">
              <w:rPr>
                <w:rStyle w:val="Bold"/>
              </w:rPr>
              <w:t>Total lease liabilities</w:t>
            </w:r>
          </w:p>
        </w:tc>
        <w:tc>
          <w:tcPr>
            <w:tcW w:w="698" w:type="pct"/>
            <w:tcBorders>
              <w:top w:val="single" w:sz="4" w:space="0" w:color="auto"/>
              <w:bottom w:val="single" w:sz="4" w:space="0" w:color="auto"/>
            </w:tcBorders>
            <w:shd w:val="clear" w:color="auto" w:fill="F3F3F3"/>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0</w:t>
            </w:r>
          </w:p>
        </w:tc>
        <w:tc>
          <w:tcPr>
            <w:tcW w:w="698" w:type="pct"/>
            <w:tcBorders>
              <w:top w:val="single" w:sz="4" w:space="0" w:color="auto"/>
              <w:bottom w:val="single" w:sz="4" w:space="0" w:color="auto"/>
            </w:tcBorders>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0</w:t>
            </w:r>
          </w:p>
        </w:tc>
        <w:tc>
          <w:tcPr>
            <w:tcW w:w="698" w:type="pct"/>
            <w:tcBorders>
              <w:top w:val="single" w:sz="4" w:space="0" w:color="auto"/>
              <w:bottom w:val="single" w:sz="4" w:space="0" w:color="auto"/>
            </w:tcBorders>
            <w:shd w:val="clear" w:color="auto" w:fill="F3F3F3"/>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79,075</w:t>
            </w:r>
          </w:p>
        </w:tc>
        <w:tc>
          <w:tcPr>
            <w:tcW w:w="699" w:type="pct"/>
            <w:tcBorders>
              <w:top w:val="single" w:sz="4" w:space="0" w:color="auto"/>
              <w:bottom w:val="single" w:sz="4" w:space="0" w:color="auto"/>
            </w:tcBorders>
            <w:noWrap/>
            <w:hideMark/>
          </w:tcPr>
          <w:p w:rsidR="00D777E8" w:rsidRPr="00FA778F" w:rsidRDefault="00D777E8" w:rsidP="00D777E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FA778F">
              <w:rPr>
                <w:rStyle w:val="Bold"/>
              </w:rPr>
              <w:t>90,807</w:t>
            </w:r>
          </w:p>
        </w:tc>
      </w:tr>
    </w:tbl>
    <w:p w:rsidR="00175896" w:rsidRPr="00175896" w:rsidRDefault="00175896" w:rsidP="00175896">
      <w:pPr>
        <w:pStyle w:val="BodyText"/>
      </w:pPr>
      <w:r>
        <w:t>Note:</w:t>
      </w:r>
    </w:p>
    <w:p w:rsidR="00D777E8" w:rsidRDefault="00FA778F" w:rsidP="00175896">
      <w:pPr>
        <w:pStyle w:val="ListNumber"/>
        <w:numPr>
          <w:ilvl w:val="0"/>
          <w:numId w:val="37"/>
        </w:numPr>
      </w:pPr>
      <w:bookmarkStart w:id="50" w:name="FinanceLease1"/>
      <w:bookmarkEnd w:id="50"/>
      <w:r w:rsidRPr="00FA778F">
        <w:t>Minimum future lease payments include the aggregate of all base payments and any guaranteed residual.</w:t>
      </w:r>
    </w:p>
    <w:p w:rsidR="00FA778F" w:rsidRDefault="00FA778F" w:rsidP="00175896">
      <w:pPr>
        <w:pStyle w:val="ListNumber"/>
      </w:pPr>
      <w:bookmarkStart w:id="51" w:name="FinanceLease2"/>
      <w:bookmarkEnd w:id="51"/>
      <w:r>
        <w:t>Other finance lease liabilities include obligations that are recognised on the balance sheet; the future payments related to operating and lease commitments are disclosed in Note 7.5.</w:t>
      </w:r>
    </w:p>
    <w:p w:rsidR="00FA778F" w:rsidRDefault="00FA778F" w:rsidP="00FA778F">
      <w:pPr>
        <w:pStyle w:val="BodyText"/>
      </w:pPr>
      <w:r w:rsidRPr="00175896">
        <w:rPr>
          <w:rStyle w:val="Bold"/>
        </w:rPr>
        <w:t>Commissioned public private partnership</w:t>
      </w:r>
      <w:r>
        <w:t>: The state entered into a 20 year contract with the private sector for the design, construction and management of the County Court. The facility provides the County Court and court users with accommodation services throughout the term of the contract, which ends in 2022. The operation and maintenance commitments are disclosed in Note 7.5.</w:t>
      </w:r>
    </w:p>
    <w:p w:rsidR="00FA778F" w:rsidRDefault="00FA778F" w:rsidP="00FA778F">
      <w:pPr>
        <w:pStyle w:val="Heading3"/>
      </w:pPr>
      <w:r>
        <w:t>Finance lease liabilities (CSV as lessee)</w:t>
      </w:r>
    </w:p>
    <w:p w:rsidR="00FA778F" w:rsidRDefault="00FA778F" w:rsidP="00FA778F">
      <w:pPr>
        <w:pStyle w:val="BodyText"/>
      </w:pPr>
      <w:r w:rsidRPr="00175896">
        <w:rPr>
          <w:rStyle w:val="Bold"/>
        </w:rPr>
        <w:t>Other leasing arrangements</w:t>
      </w:r>
      <w:r>
        <w:t xml:space="preserve">: The other finance lease relates to motor vehicles leased through the </w:t>
      </w:r>
      <w:proofErr w:type="spellStart"/>
      <w:r>
        <w:t>VicFleet</w:t>
      </w:r>
      <w:proofErr w:type="spellEnd"/>
      <w:r>
        <w:t xml:space="preserve"> lease facility. The lease term is the period over which the vehicle is to be leased. Generally, vehicles must be retained for three years or 60,000 </w:t>
      </w:r>
      <w:proofErr w:type="spellStart"/>
      <w:r>
        <w:t>kms</w:t>
      </w:r>
      <w:proofErr w:type="spellEnd"/>
      <w:r>
        <w:t>, whichever occurs first. On disposal of the vehicle any profit or loss on sale is borne by CSV.</w:t>
      </w:r>
    </w:p>
    <w:p w:rsidR="00FA778F" w:rsidRDefault="00FA778F" w:rsidP="00FA778F">
      <w:pPr>
        <w:pStyle w:val="Heading2"/>
      </w:pPr>
      <w:bookmarkStart w:id="52" w:name="_Toc497125483"/>
      <w:r>
        <w:t>Cash flow information and balances</w:t>
      </w:r>
      <w:bookmarkEnd w:id="52"/>
    </w:p>
    <w:p w:rsidR="00FA778F" w:rsidRDefault="00FA778F" w:rsidP="00FA778F">
      <w:pPr>
        <w:pStyle w:val="BodyText"/>
      </w:pPr>
      <w:r>
        <w:t>Cash and deposits, including cash equivalents, comprise cash on hand and cash at bank that are held for the purpose of meeting short</w:t>
      </w:r>
      <w:r>
        <w:rPr>
          <w:rFonts w:ascii="Cambria Math" w:hAnsi="Cambria Math" w:cs="Cambria Math"/>
        </w:rPr>
        <w:t>‐</w:t>
      </w:r>
      <w:r>
        <w:t>term cash commitments, rather than for investment purposes, and which are readily convertible to known amounts of cash and are subject to an insignificant risk of changes in value.</w:t>
      </w:r>
    </w:p>
    <w:p w:rsidR="00FA778F" w:rsidRDefault="00FA778F" w:rsidP="00FA778F">
      <w:pPr>
        <w:pStyle w:val="BodyText"/>
      </w:pPr>
      <w:r>
        <w:lastRenderedPageBreak/>
        <w:t>For cash flow statement presentation purposes, cash and cash equivalents are included on the balance sheet, as indicated in the reconciliation below.</w:t>
      </w:r>
    </w:p>
    <w:tbl>
      <w:tblPr>
        <w:tblStyle w:val="FinancialTable"/>
        <w:tblW w:w="5000" w:type="pct"/>
        <w:tblLook w:val="04A0" w:firstRow="1" w:lastRow="0" w:firstColumn="1" w:lastColumn="0" w:noHBand="0" w:noVBand="1"/>
      </w:tblPr>
      <w:tblGrid>
        <w:gridCol w:w="6889"/>
        <w:gridCol w:w="1629"/>
        <w:gridCol w:w="1120"/>
      </w:tblGrid>
      <w:tr w:rsidR="00FA778F" w:rsidRPr="00175896" w:rsidTr="001758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74" w:type="pct"/>
          </w:tcPr>
          <w:p w:rsidR="00FA778F" w:rsidRPr="00175896" w:rsidRDefault="00DB5879" w:rsidP="00175896">
            <w:pPr>
              <w:rPr>
                <w:rStyle w:val="Bold"/>
              </w:rPr>
            </w:pPr>
            <w:r w:rsidRPr="00175896">
              <w:rPr>
                <w:rStyle w:val="Bold"/>
              </w:rPr>
              <w:t>Item</w:t>
            </w:r>
          </w:p>
        </w:tc>
        <w:tc>
          <w:tcPr>
            <w:tcW w:w="845" w:type="pct"/>
          </w:tcPr>
          <w:p w:rsidR="00FA778F" w:rsidRPr="00175896" w:rsidRDefault="00FA778F" w:rsidP="00175896">
            <w:pPr>
              <w:cnfStyle w:val="100000000000" w:firstRow="1" w:lastRow="0" w:firstColumn="0" w:lastColumn="0" w:oddVBand="0" w:evenVBand="0" w:oddHBand="0" w:evenHBand="0" w:firstRowFirstColumn="0" w:firstRowLastColumn="0" w:lastRowFirstColumn="0" w:lastRowLastColumn="0"/>
              <w:rPr>
                <w:rStyle w:val="Bold"/>
                <w:rFonts w:eastAsia="Calibri"/>
              </w:rPr>
            </w:pPr>
            <w:r w:rsidRPr="00175896">
              <w:rPr>
                <w:rStyle w:val="Bold"/>
              </w:rPr>
              <w:t>2017</w:t>
            </w:r>
          </w:p>
          <w:p w:rsidR="00FA778F" w:rsidRPr="00175896" w:rsidRDefault="00FA778F" w:rsidP="00175896">
            <w:pPr>
              <w:cnfStyle w:val="100000000000" w:firstRow="1" w:lastRow="0" w:firstColumn="0" w:lastColumn="0" w:oddVBand="0" w:evenVBand="0" w:oddHBand="0" w:evenHBand="0" w:firstRowFirstColumn="0" w:firstRowLastColumn="0" w:lastRowFirstColumn="0" w:lastRowLastColumn="0"/>
              <w:rPr>
                <w:rStyle w:val="Bold"/>
                <w:rFonts w:eastAsia="Calibri"/>
              </w:rPr>
            </w:pPr>
            <w:r w:rsidRPr="00175896">
              <w:rPr>
                <w:rStyle w:val="Bold"/>
              </w:rPr>
              <w:t>$'000</w:t>
            </w:r>
          </w:p>
        </w:tc>
        <w:tc>
          <w:tcPr>
            <w:tcW w:w="581" w:type="pct"/>
          </w:tcPr>
          <w:p w:rsidR="00FA778F" w:rsidRPr="00175896" w:rsidRDefault="00FA778F" w:rsidP="00175896">
            <w:pPr>
              <w:cnfStyle w:val="100000000000" w:firstRow="1" w:lastRow="0" w:firstColumn="0" w:lastColumn="0" w:oddVBand="0" w:evenVBand="0" w:oddHBand="0" w:evenHBand="0" w:firstRowFirstColumn="0" w:firstRowLastColumn="0" w:lastRowFirstColumn="0" w:lastRowLastColumn="0"/>
              <w:rPr>
                <w:rStyle w:val="Bold"/>
                <w:rFonts w:eastAsia="Calibri"/>
              </w:rPr>
            </w:pPr>
            <w:r w:rsidRPr="00175896">
              <w:rPr>
                <w:rStyle w:val="Bold"/>
              </w:rPr>
              <w:t>2016</w:t>
            </w:r>
          </w:p>
          <w:p w:rsidR="00FA778F" w:rsidRPr="00175896" w:rsidRDefault="00FA778F" w:rsidP="00175896">
            <w:pPr>
              <w:cnfStyle w:val="100000000000" w:firstRow="1" w:lastRow="0" w:firstColumn="0" w:lastColumn="0" w:oddVBand="0" w:evenVBand="0" w:oddHBand="0" w:evenHBand="0" w:firstRowFirstColumn="0" w:firstRowLastColumn="0" w:lastRowFirstColumn="0" w:lastRowLastColumn="0"/>
              <w:rPr>
                <w:rStyle w:val="Bold"/>
                <w:rFonts w:eastAsia="Calibri"/>
              </w:rPr>
            </w:pPr>
            <w:r w:rsidRPr="00175896">
              <w:rPr>
                <w:rStyle w:val="Bold"/>
              </w:rPr>
              <w:t>$'000</w:t>
            </w:r>
          </w:p>
        </w:tc>
      </w:tr>
      <w:tr w:rsidR="00DB5879" w:rsidRPr="00175896" w:rsidTr="00175896">
        <w:tc>
          <w:tcPr>
            <w:cnfStyle w:val="001000000000" w:firstRow="0" w:lastRow="0" w:firstColumn="1" w:lastColumn="0" w:oddVBand="0" w:evenVBand="0" w:oddHBand="0" w:evenHBand="0" w:firstRowFirstColumn="0" w:firstRowLastColumn="0" w:lastRowFirstColumn="0" w:lastRowLastColumn="0"/>
            <w:tcW w:w="3574" w:type="pct"/>
          </w:tcPr>
          <w:p w:rsidR="00DB5879" w:rsidRPr="00175896" w:rsidRDefault="00DB5879" w:rsidP="00DB5879">
            <w:pPr>
              <w:pStyle w:val="TableBodyText"/>
              <w:rPr>
                <w:rFonts w:eastAsia="Calibri"/>
              </w:rPr>
            </w:pPr>
            <w:r w:rsidRPr="00175896">
              <w:t>Cash</w:t>
            </w:r>
          </w:p>
        </w:tc>
        <w:tc>
          <w:tcPr>
            <w:tcW w:w="845" w:type="pct"/>
          </w:tcPr>
          <w:p w:rsidR="00DB5879" w:rsidRPr="00175896" w:rsidRDefault="00DB5879" w:rsidP="00DB5879">
            <w:pPr>
              <w:pStyle w:val="TableBodyText"/>
              <w:cnfStyle w:val="000000000000" w:firstRow="0" w:lastRow="0" w:firstColumn="0" w:lastColumn="0" w:oddVBand="0" w:evenVBand="0" w:oddHBand="0" w:evenHBand="0" w:firstRowFirstColumn="0" w:firstRowLastColumn="0" w:lastRowFirstColumn="0" w:lastRowLastColumn="0"/>
            </w:pPr>
            <w:r w:rsidRPr="00175896">
              <w:t>(1,718)</w:t>
            </w:r>
          </w:p>
        </w:tc>
        <w:tc>
          <w:tcPr>
            <w:tcW w:w="581" w:type="pct"/>
          </w:tcPr>
          <w:p w:rsidR="00DB5879" w:rsidRPr="00175896" w:rsidRDefault="00DB5879" w:rsidP="00DB5879">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75896">
              <w:t>(1,519)</w:t>
            </w:r>
          </w:p>
        </w:tc>
      </w:tr>
      <w:tr w:rsidR="00FA778F" w:rsidRPr="00175896" w:rsidTr="00175896">
        <w:tc>
          <w:tcPr>
            <w:cnfStyle w:val="001000000000" w:firstRow="0" w:lastRow="0" w:firstColumn="1" w:lastColumn="0" w:oddVBand="0" w:evenVBand="0" w:oddHBand="0" w:evenHBand="0" w:firstRowFirstColumn="0" w:firstRowLastColumn="0" w:lastRowFirstColumn="0" w:lastRowLastColumn="0"/>
            <w:tcW w:w="3574" w:type="pct"/>
            <w:tcBorders>
              <w:bottom w:val="single" w:sz="4" w:space="0" w:color="auto"/>
            </w:tcBorders>
          </w:tcPr>
          <w:p w:rsidR="00FA778F" w:rsidRPr="00175896" w:rsidRDefault="00FA778F" w:rsidP="00FA778F">
            <w:pPr>
              <w:pStyle w:val="TableBodyText"/>
              <w:rPr>
                <w:rFonts w:eastAsia="Calibri"/>
              </w:rPr>
            </w:pPr>
            <w:r w:rsidRPr="00175896">
              <w:t>Funds held in trust</w:t>
            </w:r>
          </w:p>
        </w:tc>
        <w:tc>
          <w:tcPr>
            <w:tcW w:w="845" w:type="pct"/>
            <w:tcBorders>
              <w:bottom w:val="single" w:sz="4" w:space="0" w:color="auto"/>
            </w:tcBorders>
          </w:tcPr>
          <w:p w:rsidR="00FA778F" w:rsidRPr="00175896" w:rsidRDefault="00FA778F" w:rsidP="00FA77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75896">
              <w:t>10,804</w:t>
            </w:r>
          </w:p>
        </w:tc>
        <w:tc>
          <w:tcPr>
            <w:tcW w:w="581" w:type="pct"/>
            <w:tcBorders>
              <w:bottom w:val="single" w:sz="4" w:space="0" w:color="auto"/>
            </w:tcBorders>
          </w:tcPr>
          <w:p w:rsidR="00FA778F" w:rsidRPr="00175896" w:rsidRDefault="00FA778F" w:rsidP="00FA778F">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175896">
              <w:t>9,898</w:t>
            </w:r>
          </w:p>
        </w:tc>
      </w:tr>
      <w:tr w:rsidR="00FA778F" w:rsidRPr="00175896" w:rsidTr="00175896">
        <w:tc>
          <w:tcPr>
            <w:cnfStyle w:val="001000000000" w:firstRow="0" w:lastRow="0" w:firstColumn="1" w:lastColumn="0" w:oddVBand="0" w:evenVBand="0" w:oddHBand="0" w:evenHBand="0" w:firstRowFirstColumn="0" w:firstRowLastColumn="0" w:lastRowFirstColumn="0" w:lastRowLastColumn="0"/>
            <w:tcW w:w="3574" w:type="pct"/>
            <w:tcBorders>
              <w:top w:val="single" w:sz="4" w:space="0" w:color="auto"/>
              <w:bottom w:val="single" w:sz="4" w:space="0" w:color="auto"/>
            </w:tcBorders>
          </w:tcPr>
          <w:p w:rsidR="00FA778F" w:rsidRPr="00175896" w:rsidRDefault="00FA778F" w:rsidP="00FA778F">
            <w:pPr>
              <w:pStyle w:val="TableBodyText"/>
              <w:rPr>
                <w:rStyle w:val="Bold"/>
                <w:rFonts w:eastAsia="Calibri"/>
              </w:rPr>
            </w:pPr>
            <w:r w:rsidRPr="00175896">
              <w:rPr>
                <w:rStyle w:val="Bold"/>
              </w:rPr>
              <w:t>Balance as per cash flow statement</w:t>
            </w:r>
          </w:p>
        </w:tc>
        <w:tc>
          <w:tcPr>
            <w:tcW w:w="845" w:type="pct"/>
            <w:tcBorders>
              <w:top w:val="single" w:sz="4" w:space="0" w:color="auto"/>
              <w:bottom w:val="single" w:sz="4" w:space="0" w:color="auto"/>
            </w:tcBorders>
          </w:tcPr>
          <w:p w:rsidR="00FA778F" w:rsidRPr="00175896" w:rsidRDefault="00FA778F" w:rsidP="00FA778F">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75896">
              <w:rPr>
                <w:rStyle w:val="Bold"/>
              </w:rPr>
              <w:t>9,086</w:t>
            </w:r>
          </w:p>
        </w:tc>
        <w:tc>
          <w:tcPr>
            <w:tcW w:w="581" w:type="pct"/>
            <w:tcBorders>
              <w:top w:val="single" w:sz="4" w:space="0" w:color="auto"/>
              <w:bottom w:val="single" w:sz="4" w:space="0" w:color="auto"/>
            </w:tcBorders>
          </w:tcPr>
          <w:p w:rsidR="00FA778F" w:rsidRPr="00175896" w:rsidRDefault="00FA778F" w:rsidP="00FA778F">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175896">
              <w:rPr>
                <w:rStyle w:val="Bold"/>
              </w:rPr>
              <w:t>8,379</w:t>
            </w:r>
          </w:p>
        </w:tc>
      </w:tr>
    </w:tbl>
    <w:p w:rsidR="00DB5879" w:rsidRDefault="00DB5879" w:rsidP="00DB5879">
      <w:pPr>
        <w:pStyle w:val="BodyText"/>
      </w:pPr>
      <w:r>
        <w:t>Due to the State’s investment policy and funding arrangements, CSV does not hold a large cash reserve in its bank accounts. Cash received from generation of income is generally paid into the State’s bank account (‘public account’). Similarly, CSV expenditure, including in the form of cheques drawn for the payments to its suppliers and creditors, is made via the public account. The public account remits to CSV the cash required upon presentation of cheques by CSV's suppliers or creditors.</w:t>
      </w:r>
    </w:p>
    <w:p w:rsidR="00FA778F" w:rsidRDefault="00DB5879" w:rsidP="00DB5879">
      <w:pPr>
        <w:pStyle w:val="BodyText"/>
      </w:pPr>
      <w:r>
        <w:t>These funding arrangements often result in CSV having a notional shortfall in the cash at bank required for payment of unpresented cheques at reporting date. At 30 June 2017, cash at bank included the amount of a notional shortfall for the payment of unpresented cheques of $1.4 million (2016: $1.2 million).</w:t>
      </w:r>
    </w:p>
    <w:p w:rsidR="00DB5879" w:rsidRDefault="00DB5879" w:rsidP="00DB5879">
      <w:pPr>
        <w:pStyle w:val="BodyText"/>
      </w:pPr>
      <w:r>
        <w:t>Due to the State’s investment policy and funding arrangements, CSV does not hold a large cash reserve in its bank accounts. Cash received from generation of income is generally paid into the State’s bank account (‘public account’). Similarly, CSV expenditure, including in the form of cheques drawn for the payments to its suppliers and creditors, is made via the public account. The public account remits to CSV the cash required upon presentation of cheques by CSV's suppliers or creditors.</w:t>
      </w:r>
    </w:p>
    <w:p w:rsidR="00DB5879" w:rsidRDefault="00DB5879" w:rsidP="00DB5879">
      <w:pPr>
        <w:pStyle w:val="BodyText"/>
      </w:pPr>
      <w:r>
        <w:t>These funding arrangements often result in CSV having a notional shortfall in the cash at bank required for payment of unpresented cheques at reporting date. At 30 June 2017, cash at bank included the amount of a notional shortfall for the payment of unpresented cheques of $1.4 million (2016: $1.2 million).</w:t>
      </w:r>
    </w:p>
    <w:p w:rsidR="00DB5879" w:rsidRDefault="00DB5879" w:rsidP="00DB5879">
      <w:pPr>
        <w:pStyle w:val="Heading3"/>
      </w:pPr>
      <w:r w:rsidRPr="00DB5879">
        <w:t>Reconciliation of net result for the period to cash flow from operating activities</w:t>
      </w:r>
    </w:p>
    <w:tbl>
      <w:tblPr>
        <w:tblStyle w:val="FinancialTable"/>
        <w:tblW w:w="5000" w:type="pct"/>
        <w:tblLook w:val="04A0" w:firstRow="1" w:lastRow="0" w:firstColumn="1" w:lastColumn="0" w:noHBand="0" w:noVBand="1"/>
      </w:tblPr>
      <w:tblGrid>
        <w:gridCol w:w="6875"/>
        <w:gridCol w:w="1637"/>
        <w:gridCol w:w="1126"/>
      </w:tblGrid>
      <w:tr w:rsidR="00807926" w:rsidRPr="00175896" w:rsidTr="008079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67" w:type="pct"/>
            <w:noWrap/>
          </w:tcPr>
          <w:p w:rsidR="00807926" w:rsidRPr="00807926" w:rsidRDefault="00807926" w:rsidP="00807926">
            <w:pPr>
              <w:pStyle w:val="TableBodyText"/>
              <w:rPr>
                <w:rStyle w:val="Bold"/>
              </w:rPr>
            </w:pPr>
            <w:r w:rsidRPr="00807926">
              <w:rPr>
                <w:rStyle w:val="Bold"/>
              </w:rPr>
              <w:t>Item</w:t>
            </w:r>
          </w:p>
        </w:tc>
        <w:tc>
          <w:tcPr>
            <w:tcW w:w="849" w:type="pct"/>
            <w:shd w:val="clear" w:color="auto" w:fill="F3F3F3"/>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2017</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584" w:type="pct"/>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2016</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tcPr>
          <w:p w:rsidR="00807926" w:rsidRPr="00175896" w:rsidRDefault="00807926" w:rsidP="00807926">
            <w:pPr>
              <w:pStyle w:val="TableBodyText"/>
            </w:pPr>
            <w:r w:rsidRPr="00175896">
              <w:t>Net result for the period</w:t>
            </w:r>
          </w:p>
        </w:tc>
        <w:tc>
          <w:tcPr>
            <w:tcW w:w="849" w:type="pct"/>
            <w:shd w:val="clear" w:color="auto" w:fill="F3F3F3"/>
            <w:noWrap/>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1,682</w:t>
            </w:r>
          </w:p>
        </w:tc>
        <w:tc>
          <w:tcPr>
            <w:tcW w:w="584" w:type="pct"/>
            <w:noWrap/>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(4,527)</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spacing w:before="120"/>
            </w:pPr>
            <w:r w:rsidRPr="00807926">
              <w:rPr>
                <w:rStyle w:val="Bold"/>
              </w:rPr>
              <w:t>Non-cash movements:</w:t>
            </w:r>
          </w:p>
        </w:tc>
        <w:tc>
          <w:tcPr>
            <w:tcW w:w="849" w:type="pct"/>
            <w:shd w:val="clear" w:color="auto" w:fill="F3F3F3"/>
            <w:noWrap/>
          </w:tcPr>
          <w:p w:rsidR="00807926" w:rsidRPr="00175896" w:rsidRDefault="00807926" w:rsidP="0080792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84" w:type="pct"/>
            <w:noWrap/>
            <w:hideMark/>
          </w:tcPr>
          <w:p w:rsidR="00807926" w:rsidRPr="00175896" w:rsidRDefault="00807926" w:rsidP="0080792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pPr>
            <w:r w:rsidRPr="00175896">
              <w:t>(Gain)/loss on sale or disposal of non-current assets</w:t>
            </w:r>
          </w:p>
        </w:tc>
        <w:tc>
          <w:tcPr>
            <w:tcW w:w="849" w:type="pct"/>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(461)</w:t>
            </w:r>
          </w:p>
        </w:tc>
        <w:tc>
          <w:tcPr>
            <w:tcW w:w="584" w:type="pct"/>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 xml:space="preserve">530 </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pPr>
            <w:r w:rsidRPr="00175896">
              <w:t>Depreciation and amortisation of non-current assets</w:t>
            </w:r>
          </w:p>
        </w:tc>
        <w:tc>
          <w:tcPr>
            <w:tcW w:w="849" w:type="pct"/>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43,895</w:t>
            </w:r>
          </w:p>
        </w:tc>
        <w:tc>
          <w:tcPr>
            <w:tcW w:w="584" w:type="pct"/>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30,489</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pPr>
            <w:r w:rsidRPr="00175896">
              <w:t>Allowance for doubtful debts and bad debts</w:t>
            </w:r>
          </w:p>
        </w:tc>
        <w:tc>
          <w:tcPr>
            <w:tcW w:w="849" w:type="pct"/>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10</w:t>
            </w:r>
          </w:p>
        </w:tc>
        <w:tc>
          <w:tcPr>
            <w:tcW w:w="584" w:type="pct"/>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(8)</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pPr>
            <w:r w:rsidRPr="00175896">
              <w:t>Resources free of charge</w:t>
            </w:r>
          </w:p>
        </w:tc>
        <w:tc>
          <w:tcPr>
            <w:tcW w:w="849" w:type="pct"/>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(13)</w:t>
            </w:r>
          </w:p>
        </w:tc>
        <w:tc>
          <w:tcPr>
            <w:tcW w:w="584" w:type="pct"/>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 xml:space="preserve">250 </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spacing w:before="120"/>
            </w:pPr>
            <w:r w:rsidRPr="00807926">
              <w:rPr>
                <w:rStyle w:val="Bold"/>
              </w:rPr>
              <w:t>Movements in net assets and liabilities</w:t>
            </w:r>
            <w:r>
              <w:rPr>
                <w:rStyle w:val="Bold"/>
              </w:rPr>
              <w:t>:</w:t>
            </w:r>
          </w:p>
        </w:tc>
        <w:tc>
          <w:tcPr>
            <w:tcW w:w="849" w:type="pct"/>
            <w:shd w:val="clear" w:color="auto" w:fill="F3F3F3"/>
            <w:noWrap/>
          </w:tcPr>
          <w:p w:rsidR="00807926" w:rsidRPr="00175896" w:rsidRDefault="00807926" w:rsidP="0080792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84" w:type="pct"/>
            <w:noWrap/>
            <w:hideMark/>
          </w:tcPr>
          <w:p w:rsidR="00807926" w:rsidRPr="00175896" w:rsidRDefault="00807926" w:rsidP="00807926">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pPr>
            <w:r w:rsidRPr="00175896">
              <w:t>Decrease/(increase) in receivables</w:t>
            </w:r>
          </w:p>
        </w:tc>
        <w:tc>
          <w:tcPr>
            <w:tcW w:w="849" w:type="pct"/>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(16,838)</w:t>
            </w:r>
          </w:p>
        </w:tc>
        <w:tc>
          <w:tcPr>
            <w:tcW w:w="584" w:type="pct"/>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(3,745)</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pPr>
            <w:r w:rsidRPr="00175896">
              <w:t>Decrease/(increase) in prepayments</w:t>
            </w:r>
          </w:p>
        </w:tc>
        <w:tc>
          <w:tcPr>
            <w:tcW w:w="849" w:type="pct"/>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(393)</w:t>
            </w:r>
          </w:p>
        </w:tc>
        <w:tc>
          <w:tcPr>
            <w:tcW w:w="584" w:type="pct"/>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(534)</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noWrap/>
            <w:hideMark/>
          </w:tcPr>
          <w:p w:rsidR="00807926" w:rsidRPr="00175896" w:rsidRDefault="00807926" w:rsidP="00807926">
            <w:pPr>
              <w:pStyle w:val="TableBodyText"/>
            </w:pPr>
            <w:r w:rsidRPr="00175896">
              <w:t>Increase/(decrease) in payables</w:t>
            </w:r>
          </w:p>
        </w:tc>
        <w:tc>
          <w:tcPr>
            <w:tcW w:w="849" w:type="pct"/>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3,371</w:t>
            </w:r>
          </w:p>
        </w:tc>
        <w:tc>
          <w:tcPr>
            <w:tcW w:w="584" w:type="pct"/>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(3,366)</w:t>
            </w:r>
          </w:p>
        </w:tc>
      </w:tr>
      <w:tr w:rsidR="00807926" w:rsidRPr="00175896" w:rsidTr="00807926">
        <w:tc>
          <w:tcPr>
            <w:cnfStyle w:val="001000000000" w:firstRow="0" w:lastRow="0" w:firstColumn="1" w:lastColumn="0" w:oddVBand="0" w:evenVBand="0" w:oddHBand="0" w:evenHBand="0" w:firstRowFirstColumn="0" w:firstRowLastColumn="0" w:lastRowFirstColumn="0" w:lastRowLastColumn="0"/>
            <w:tcW w:w="3567" w:type="pct"/>
            <w:tcBorders>
              <w:bottom w:val="single" w:sz="4" w:space="0" w:color="auto"/>
            </w:tcBorders>
            <w:noWrap/>
            <w:hideMark/>
          </w:tcPr>
          <w:p w:rsidR="00807926" w:rsidRPr="00175896" w:rsidRDefault="00807926" w:rsidP="00807926">
            <w:pPr>
              <w:pStyle w:val="TableBodyText"/>
            </w:pPr>
            <w:r w:rsidRPr="00175896">
              <w:t>Increase/(decrease) in provisions</w:t>
            </w:r>
          </w:p>
        </w:tc>
        <w:tc>
          <w:tcPr>
            <w:tcW w:w="849" w:type="pct"/>
            <w:tcBorders>
              <w:bottom w:val="single" w:sz="4" w:space="0" w:color="auto"/>
            </w:tcBorders>
            <w:shd w:val="clear" w:color="auto" w:fill="F3F3F3"/>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393</w:t>
            </w:r>
          </w:p>
        </w:tc>
        <w:tc>
          <w:tcPr>
            <w:tcW w:w="584" w:type="pct"/>
            <w:tcBorders>
              <w:bottom w:val="single" w:sz="4" w:space="0" w:color="auto"/>
            </w:tcBorders>
            <w:noWrap/>
            <w:hideMark/>
          </w:tcPr>
          <w:p w:rsidR="00807926" w:rsidRPr="0017589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175896">
              <w:t>6,867</w:t>
            </w:r>
          </w:p>
        </w:tc>
      </w:tr>
      <w:tr w:rsidR="00807926" w:rsidRPr="00807926" w:rsidTr="00807926">
        <w:tc>
          <w:tcPr>
            <w:cnfStyle w:val="001000000000" w:firstRow="0" w:lastRow="0" w:firstColumn="1" w:lastColumn="0" w:oddVBand="0" w:evenVBand="0" w:oddHBand="0" w:evenHBand="0" w:firstRowFirstColumn="0" w:firstRowLastColumn="0" w:lastRowFirstColumn="0" w:lastRowLastColumn="0"/>
            <w:tcW w:w="3567" w:type="pct"/>
            <w:tcBorders>
              <w:top w:val="single" w:sz="4" w:space="0" w:color="auto"/>
              <w:bottom w:val="single" w:sz="4" w:space="0" w:color="auto"/>
            </w:tcBorders>
            <w:noWrap/>
            <w:hideMark/>
          </w:tcPr>
          <w:p w:rsidR="00807926" w:rsidRPr="00807926" w:rsidRDefault="00807926" w:rsidP="00807926">
            <w:pPr>
              <w:pStyle w:val="TableBodyText"/>
              <w:rPr>
                <w:rStyle w:val="Bold"/>
              </w:rPr>
            </w:pPr>
            <w:r w:rsidRPr="00807926">
              <w:rPr>
                <w:rStyle w:val="Bold"/>
              </w:rPr>
              <w:t>Net cash from/(used in) operating activities</w:t>
            </w:r>
          </w:p>
        </w:tc>
        <w:tc>
          <w:tcPr>
            <w:tcW w:w="849" w:type="pct"/>
            <w:tcBorders>
              <w:top w:val="single" w:sz="4" w:space="0" w:color="auto"/>
              <w:bottom w:val="single" w:sz="4" w:space="0" w:color="auto"/>
            </w:tcBorders>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807926">
              <w:rPr>
                <w:rStyle w:val="Bold"/>
              </w:rPr>
              <w:t>31,646</w:t>
            </w:r>
          </w:p>
        </w:tc>
        <w:tc>
          <w:tcPr>
            <w:tcW w:w="584" w:type="pct"/>
            <w:tcBorders>
              <w:top w:val="single" w:sz="4" w:space="0" w:color="auto"/>
              <w:bottom w:val="single" w:sz="4" w:space="0" w:color="auto"/>
            </w:tcBorders>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807926">
              <w:rPr>
                <w:rStyle w:val="Bold"/>
              </w:rPr>
              <w:t xml:space="preserve">25,957 </w:t>
            </w:r>
          </w:p>
        </w:tc>
      </w:tr>
    </w:tbl>
    <w:p w:rsidR="00807926" w:rsidRDefault="00807926" w:rsidP="00807926">
      <w:pPr>
        <w:pStyle w:val="Heading2"/>
      </w:pPr>
      <w:bookmarkStart w:id="53" w:name="_Toc497125484"/>
      <w:r>
        <w:t>Trust account balances</w:t>
      </w:r>
      <w:bookmarkEnd w:id="53"/>
    </w:p>
    <w:p w:rsidR="00175896" w:rsidRDefault="00807926" w:rsidP="00807926">
      <w:pPr>
        <w:pStyle w:val="BodyText"/>
      </w:pPr>
      <w:r>
        <w:t>Funds held in trust are quarantined for use specifically for the purposes under which each trust fund has been established and are not used for operating purposes.</w:t>
      </w:r>
    </w:p>
    <w:p w:rsidR="00807926" w:rsidRDefault="00807926" w:rsidP="00807926">
      <w:pPr>
        <w:pStyle w:val="BodyText"/>
        <w:sectPr w:rsidR="00807926" w:rsidSect="003475E2">
          <w:pgSz w:w="11906" w:h="16838"/>
          <w:pgMar w:top="1134" w:right="1134" w:bottom="1134" w:left="1134" w:header="708" w:footer="284" w:gutter="0"/>
          <w:cols w:space="708"/>
          <w:titlePg/>
          <w:docGrid w:linePitch="360"/>
        </w:sectPr>
      </w:pPr>
      <w:r w:rsidRPr="00807926">
        <w:t>Trust account balances relating to trust accounts controlled and/or administered by CSV</w:t>
      </w:r>
      <w:r>
        <w:t>.</w:t>
      </w:r>
    </w:p>
    <w:tbl>
      <w:tblPr>
        <w:tblStyle w:val="FinancialTable"/>
        <w:tblW w:w="5000" w:type="pct"/>
        <w:tblLook w:val="04A0" w:firstRow="1" w:lastRow="0" w:firstColumn="1" w:lastColumn="0" w:noHBand="0" w:noVBand="1"/>
      </w:tblPr>
      <w:tblGrid>
        <w:gridCol w:w="5408"/>
        <w:gridCol w:w="1273"/>
        <w:gridCol w:w="941"/>
        <w:gridCol w:w="1061"/>
        <w:gridCol w:w="1276"/>
        <w:gridCol w:w="1273"/>
        <w:gridCol w:w="1084"/>
        <w:gridCol w:w="982"/>
        <w:gridCol w:w="1272"/>
      </w:tblGrid>
      <w:tr w:rsidR="00807926" w:rsidRPr="00807926" w:rsidTr="00B640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6" w:type="pct"/>
          </w:tcPr>
          <w:p w:rsidR="00807926" w:rsidRPr="00807926" w:rsidRDefault="00807926" w:rsidP="00807926">
            <w:pPr>
              <w:pStyle w:val="TableBodyText"/>
              <w:rPr>
                <w:rStyle w:val="Bold"/>
              </w:rPr>
            </w:pPr>
            <w:r>
              <w:rPr>
                <w:rStyle w:val="Bold"/>
              </w:rPr>
              <w:lastRenderedPageBreak/>
              <w:t>Item</w:t>
            </w:r>
          </w:p>
        </w:tc>
        <w:tc>
          <w:tcPr>
            <w:tcW w:w="437" w:type="pct"/>
            <w:shd w:val="clear" w:color="auto" w:fill="F3F3F3"/>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Opening</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balance as at</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1 July 2016</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323" w:type="pct"/>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Total</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receipts</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364" w:type="pct"/>
            <w:shd w:val="clear" w:color="auto" w:fill="F3F3F3"/>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Total</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payments</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438" w:type="pct"/>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Closing</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balance as at</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30 June 2017</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437" w:type="pct"/>
            <w:shd w:val="clear" w:color="auto" w:fill="F3F3F3"/>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Opening</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balance as at</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1 July 2015</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372" w:type="pct"/>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Total</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receipts</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337" w:type="pct"/>
            <w:shd w:val="clear" w:color="auto" w:fill="F3F3F3"/>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Total</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payments</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437" w:type="pct"/>
            <w:noWrap/>
          </w:tcPr>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Closing</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balance as at</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30 June 2016</w:t>
            </w:r>
          </w:p>
          <w:p w:rsidR="00807926" w:rsidRPr="00807926" w:rsidRDefault="00807926" w:rsidP="00807926">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807926" w:rsidRDefault="00807926" w:rsidP="00807926">
            <w:pPr>
              <w:pStyle w:val="TableBodyText"/>
            </w:pPr>
            <w:r w:rsidRPr="00807926">
              <w:rPr>
                <w:rStyle w:val="Bold"/>
              </w:rPr>
              <w:t>Cash and cash equivalents and investments</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807926" w:rsidRDefault="00807926" w:rsidP="00807926">
            <w:pPr>
              <w:pStyle w:val="TableBodyText"/>
              <w:spacing w:before="120"/>
            </w:pPr>
            <w:r w:rsidRPr="00807926">
              <w:rPr>
                <w:rStyle w:val="Bold"/>
              </w:rPr>
              <w:t>Controlled trusts</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807926" w:rsidRDefault="00807926" w:rsidP="00807926">
            <w:pPr>
              <w:pStyle w:val="TableBodyText"/>
            </w:pPr>
            <w:r w:rsidRPr="00807926">
              <w:rPr>
                <w:rStyle w:val="Bold"/>
              </w:rPr>
              <w:t>Treasury Trust Fund</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807926" w:rsidRDefault="00807926" w:rsidP="00807926">
            <w:pPr>
              <w:pStyle w:val="TableBodyText"/>
              <w:ind w:left="113"/>
            </w:pPr>
            <w:r w:rsidRPr="00807926">
              <w:t>Financial Management Act 1994 (No. 18/1994), Part 4</w:t>
            </w:r>
          </w:p>
        </w:tc>
        <w:tc>
          <w:tcPr>
            <w:tcW w:w="437"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807926">
            <w:pPr>
              <w:pStyle w:val="TableBodyText"/>
              <w:ind w:left="113"/>
            </w:pPr>
            <w:r w:rsidRPr="00807926">
              <w:t>Working account for CSV</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8,143</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13,346</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12,567</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8,922</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9,097</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9,437</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10,391</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8,143</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807926" w:rsidRDefault="00807926" w:rsidP="00807926">
            <w:pPr>
              <w:pStyle w:val="TableBodyText"/>
              <w:spacing w:before="120"/>
              <w:rPr>
                <w:rStyle w:val="Bold"/>
              </w:rPr>
            </w:pPr>
            <w:r w:rsidRPr="00807926">
              <w:rPr>
                <w:rStyle w:val="Bold"/>
              </w:rPr>
              <w:t>Vehicle Lease Trust Account</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807926">
            <w:pPr>
              <w:pStyle w:val="TableBodyText"/>
              <w:ind w:left="113"/>
            </w:pPr>
            <w:r w:rsidRPr="00807926">
              <w:t>Financial Management Act 1994 (No. 18/1994), Part 4</w:t>
            </w:r>
          </w:p>
        </w:tc>
        <w:tc>
          <w:tcPr>
            <w:tcW w:w="437"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807926" w:rsidRPr="00807926" w:rsidRDefault="002261A0" w:rsidP="00807926">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807926">
            <w:pPr>
              <w:pStyle w:val="TableBodyText"/>
              <w:ind w:left="113"/>
            </w:pPr>
            <w:r w:rsidRPr="00807926">
              <w:t xml:space="preserve">Working account for the sale of </w:t>
            </w:r>
            <w:proofErr w:type="spellStart"/>
            <w:r w:rsidRPr="00807926">
              <w:t>VicFleet</w:t>
            </w:r>
            <w:proofErr w:type="spellEnd"/>
            <w:r w:rsidRPr="00807926">
              <w:t xml:space="preserve"> motor vehicles</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500</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413</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 xml:space="preserve">87 </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556</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556</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807926" w:rsidRDefault="00807926" w:rsidP="002261A0">
            <w:pPr>
              <w:pStyle w:val="TableBodyText"/>
              <w:spacing w:before="120"/>
              <w:rPr>
                <w:rStyle w:val="Bold"/>
              </w:rPr>
            </w:pPr>
            <w:r w:rsidRPr="00807926">
              <w:rPr>
                <w:rStyle w:val="Bold"/>
              </w:rPr>
              <w:t>Victorian Civil and Administrative Tribunal Trust Account</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Borders>
              <w:bottom w:val="single" w:sz="4" w:space="0" w:color="auto"/>
            </w:tcBorders>
            <w:hideMark/>
          </w:tcPr>
          <w:p w:rsidR="00807926" w:rsidRPr="00807926" w:rsidRDefault="00807926" w:rsidP="00807926">
            <w:pPr>
              <w:pStyle w:val="TableBodyText"/>
              <w:ind w:left="113"/>
            </w:pPr>
            <w:r w:rsidRPr="00807926">
              <w:t>Working account for the Owners Corporation, Domestic Building and Residential Tenancies disputes.</w:t>
            </w:r>
          </w:p>
        </w:tc>
        <w:tc>
          <w:tcPr>
            <w:tcW w:w="437" w:type="pct"/>
            <w:tcBorders>
              <w:bottom w:val="single" w:sz="4" w:space="0" w:color="auto"/>
            </w:tcBorders>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1,755</w:t>
            </w:r>
          </w:p>
        </w:tc>
        <w:tc>
          <w:tcPr>
            <w:tcW w:w="323" w:type="pct"/>
            <w:tcBorders>
              <w:bottom w:val="single" w:sz="4" w:space="0" w:color="auto"/>
            </w:tcBorders>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 xml:space="preserve">18,591 </w:t>
            </w:r>
          </w:p>
        </w:tc>
        <w:tc>
          <w:tcPr>
            <w:tcW w:w="364" w:type="pct"/>
            <w:tcBorders>
              <w:bottom w:val="single" w:sz="4" w:space="0" w:color="auto"/>
            </w:tcBorders>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 xml:space="preserve">18,552 </w:t>
            </w:r>
          </w:p>
        </w:tc>
        <w:tc>
          <w:tcPr>
            <w:tcW w:w="438" w:type="pct"/>
            <w:tcBorders>
              <w:bottom w:val="single" w:sz="4" w:space="0" w:color="auto"/>
            </w:tcBorders>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1,795</w:t>
            </w:r>
          </w:p>
        </w:tc>
        <w:tc>
          <w:tcPr>
            <w:tcW w:w="437" w:type="pct"/>
            <w:tcBorders>
              <w:bottom w:val="single" w:sz="4" w:space="0" w:color="auto"/>
            </w:tcBorders>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72" w:type="pct"/>
            <w:tcBorders>
              <w:bottom w:val="single" w:sz="4" w:space="0" w:color="auto"/>
            </w:tcBorders>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18,553</w:t>
            </w:r>
          </w:p>
        </w:tc>
        <w:tc>
          <w:tcPr>
            <w:tcW w:w="337" w:type="pct"/>
            <w:tcBorders>
              <w:bottom w:val="single" w:sz="4" w:space="0" w:color="auto"/>
            </w:tcBorders>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16,797</w:t>
            </w:r>
          </w:p>
        </w:tc>
        <w:tc>
          <w:tcPr>
            <w:tcW w:w="437" w:type="pct"/>
            <w:tcBorders>
              <w:bottom w:val="single" w:sz="4" w:space="0" w:color="auto"/>
            </w:tcBorders>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1,755</w:t>
            </w:r>
          </w:p>
        </w:tc>
      </w:tr>
      <w:tr w:rsidR="00807926" w:rsidRPr="002261A0" w:rsidTr="00B6401F">
        <w:tc>
          <w:tcPr>
            <w:cnfStyle w:val="001000000000" w:firstRow="0" w:lastRow="0" w:firstColumn="1" w:lastColumn="0" w:oddVBand="0" w:evenVBand="0" w:oddHBand="0" w:evenHBand="0" w:firstRowFirstColumn="0" w:firstRowLastColumn="0" w:lastRowFirstColumn="0" w:lastRowLastColumn="0"/>
            <w:tcW w:w="1856" w:type="pct"/>
            <w:tcBorders>
              <w:top w:val="single" w:sz="4" w:space="0" w:color="auto"/>
              <w:bottom w:val="single" w:sz="4" w:space="0" w:color="auto"/>
            </w:tcBorders>
          </w:tcPr>
          <w:p w:rsidR="00807926" w:rsidRPr="002261A0" w:rsidRDefault="00807926" w:rsidP="00807926">
            <w:pPr>
              <w:pStyle w:val="TableBodyText"/>
              <w:rPr>
                <w:rStyle w:val="Bold"/>
              </w:rPr>
            </w:pPr>
            <w:r w:rsidRPr="002261A0">
              <w:rPr>
                <w:rStyle w:val="Bold"/>
              </w:rPr>
              <w:t>Total controlled trusts</w:t>
            </w:r>
          </w:p>
        </w:tc>
        <w:tc>
          <w:tcPr>
            <w:tcW w:w="437" w:type="pct"/>
            <w:tcBorders>
              <w:top w:val="single" w:sz="4" w:space="0" w:color="auto"/>
              <w:bottom w:val="single" w:sz="4" w:space="0" w:color="auto"/>
            </w:tcBorders>
            <w:shd w:val="clear" w:color="auto" w:fill="F3F3F3"/>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9,898</w:t>
            </w:r>
          </w:p>
        </w:tc>
        <w:tc>
          <w:tcPr>
            <w:tcW w:w="323" w:type="pct"/>
            <w:tcBorders>
              <w:top w:val="single" w:sz="4" w:space="0" w:color="auto"/>
              <w:bottom w:val="single" w:sz="4" w:space="0" w:color="auto"/>
            </w:tcBorders>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 xml:space="preserve">32,437 </w:t>
            </w:r>
          </w:p>
        </w:tc>
        <w:tc>
          <w:tcPr>
            <w:tcW w:w="364" w:type="pct"/>
            <w:tcBorders>
              <w:top w:val="single" w:sz="4" w:space="0" w:color="auto"/>
              <w:bottom w:val="single" w:sz="4" w:space="0" w:color="auto"/>
            </w:tcBorders>
            <w:shd w:val="clear" w:color="auto" w:fill="F3F3F3"/>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 xml:space="preserve">31,531 </w:t>
            </w:r>
          </w:p>
        </w:tc>
        <w:tc>
          <w:tcPr>
            <w:tcW w:w="438" w:type="pct"/>
            <w:tcBorders>
              <w:top w:val="single" w:sz="4" w:space="0" w:color="auto"/>
              <w:bottom w:val="single" w:sz="4" w:space="0" w:color="auto"/>
            </w:tcBorders>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10,804</w:t>
            </w:r>
          </w:p>
        </w:tc>
        <w:tc>
          <w:tcPr>
            <w:tcW w:w="437" w:type="pct"/>
            <w:tcBorders>
              <w:top w:val="single" w:sz="4" w:space="0" w:color="auto"/>
              <w:bottom w:val="single" w:sz="4" w:space="0" w:color="auto"/>
            </w:tcBorders>
            <w:shd w:val="clear" w:color="auto" w:fill="F3F3F3"/>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9,097</w:t>
            </w:r>
          </w:p>
        </w:tc>
        <w:tc>
          <w:tcPr>
            <w:tcW w:w="372" w:type="pct"/>
            <w:tcBorders>
              <w:top w:val="single" w:sz="4" w:space="0" w:color="auto"/>
              <w:bottom w:val="single" w:sz="4" w:space="0" w:color="auto"/>
            </w:tcBorders>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28,546</w:t>
            </w:r>
          </w:p>
        </w:tc>
        <w:tc>
          <w:tcPr>
            <w:tcW w:w="337" w:type="pct"/>
            <w:tcBorders>
              <w:top w:val="single" w:sz="4" w:space="0" w:color="auto"/>
              <w:bottom w:val="single" w:sz="4" w:space="0" w:color="auto"/>
            </w:tcBorders>
            <w:shd w:val="clear" w:color="auto" w:fill="F3F3F3"/>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27,745</w:t>
            </w:r>
          </w:p>
        </w:tc>
        <w:tc>
          <w:tcPr>
            <w:tcW w:w="437" w:type="pct"/>
            <w:tcBorders>
              <w:top w:val="single" w:sz="4" w:space="0" w:color="auto"/>
              <w:bottom w:val="single" w:sz="4" w:space="0" w:color="auto"/>
            </w:tcBorders>
            <w:noWrap/>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9,898</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Borders>
              <w:top w:val="single" w:sz="4" w:space="0" w:color="auto"/>
            </w:tcBorders>
          </w:tcPr>
          <w:p w:rsidR="00807926" w:rsidRPr="002261A0" w:rsidRDefault="00807926" w:rsidP="002261A0">
            <w:pPr>
              <w:pStyle w:val="TableBodyText"/>
              <w:spacing w:before="120"/>
              <w:rPr>
                <w:rStyle w:val="Bold"/>
              </w:rPr>
            </w:pPr>
            <w:r w:rsidRPr="002261A0">
              <w:rPr>
                <w:rStyle w:val="Bold"/>
              </w:rPr>
              <w:t>Administered trusts</w:t>
            </w:r>
          </w:p>
        </w:tc>
        <w:tc>
          <w:tcPr>
            <w:tcW w:w="437" w:type="pct"/>
            <w:tcBorders>
              <w:top w:val="single" w:sz="4" w:space="0" w:color="auto"/>
            </w:tcBorders>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23" w:type="pct"/>
            <w:tcBorders>
              <w:top w:val="single" w:sz="4" w:space="0" w:color="auto"/>
            </w:tcBorders>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4" w:type="pct"/>
            <w:tcBorders>
              <w:top w:val="single" w:sz="4" w:space="0" w:color="auto"/>
            </w:tcBorders>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8" w:type="pct"/>
            <w:tcBorders>
              <w:top w:val="single" w:sz="4" w:space="0" w:color="auto"/>
            </w:tcBorders>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tcBorders>
              <w:top w:val="single" w:sz="4" w:space="0" w:color="auto"/>
            </w:tcBorders>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72" w:type="pct"/>
            <w:tcBorders>
              <w:top w:val="single" w:sz="4" w:space="0" w:color="auto"/>
            </w:tcBorders>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37" w:type="pct"/>
            <w:tcBorders>
              <w:top w:val="single" w:sz="4" w:space="0" w:color="auto"/>
            </w:tcBorders>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tcBorders>
              <w:top w:val="single" w:sz="4" w:space="0" w:color="auto"/>
            </w:tcBorders>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2261A0" w:rsidRDefault="00807926" w:rsidP="00807926">
            <w:pPr>
              <w:pStyle w:val="TableBodyText"/>
              <w:rPr>
                <w:rStyle w:val="Bold"/>
              </w:rPr>
            </w:pPr>
            <w:proofErr w:type="spellStart"/>
            <w:r w:rsidRPr="002261A0">
              <w:rPr>
                <w:rStyle w:val="Bold"/>
              </w:rPr>
              <w:t>Courtlink</w:t>
            </w:r>
            <w:proofErr w:type="spellEnd"/>
            <w:r w:rsidRPr="002261A0">
              <w:rPr>
                <w:rStyle w:val="Bold"/>
              </w:rPr>
              <w:t xml:space="preserve"> Trust Account</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2261A0">
            <w:pPr>
              <w:pStyle w:val="TableBodyText"/>
              <w:ind w:left="113"/>
            </w:pPr>
            <w:r w:rsidRPr="00807926">
              <w:t>Working account for the Magistrates' Courts court orders</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1,243</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 xml:space="preserve">43,870 </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 xml:space="preserve">43,958 </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1,156</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507</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44,421</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43,685</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1,243</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2261A0" w:rsidRDefault="00807926" w:rsidP="002261A0">
            <w:pPr>
              <w:pStyle w:val="TableBodyText"/>
              <w:spacing w:before="120"/>
              <w:rPr>
                <w:rStyle w:val="Bold"/>
              </w:rPr>
            </w:pPr>
            <w:r w:rsidRPr="002261A0">
              <w:rPr>
                <w:rStyle w:val="Bold"/>
              </w:rPr>
              <w:t>Suspense Account</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2261A0">
            <w:pPr>
              <w:pStyle w:val="TableBodyText"/>
              <w:ind w:left="113"/>
            </w:pPr>
            <w:r w:rsidRPr="00807926">
              <w:t>Working account for CSV</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556</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51</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28</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579</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565</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53</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62</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556</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2261A0" w:rsidRDefault="00807926" w:rsidP="002261A0">
            <w:pPr>
              <w:pStyle w:val="TableBodyText"/>
              <w:spacing w:before="120"/>
              <w:rPr>
                <w:rStyle w:val="Bold"/>
              </w:rPr>
            </w:pPr>
            <w:r w:rsidRPr="002261A0">
              <w:rPr>
                <w:rStyle w:val="Bold"/>
              </w:rPr>
              <w:t>Public Service Commuter Club</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2261A0">
            <w:pPr>
              <w:pStyle w:val="TableBodyText"/>
              <w:ind w:left="113"/>
            </w:pPr>
            <w:r w:rsidRPr="00807926">
              <w:t>Working account for the Public Service Commuter Club</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(245)</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770</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830</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(305)</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(348)</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782</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679</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(245)</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2261A0" w:rsidRDefault="00807926" w:rsidP="00807926">
            <w:pPr>
              <w:pStyle w:val="TableBodyText"/>
              <w:spacing w:before="120"/>
              <w:rPr>
                <w:rStyle w:val="Bold"/>
              </w:rPr>
            </w:pPr>
            <w:r w:rsidRPr="002261A0">
              <w:rPr>
                <w:rStyle w:val="Bold"/>
              </w:rPr>
              <w:t>Revenue Suspense</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2261A0">
            <w:pPr>
              <w:pStyle w:val="TableBodyText"/>
              <w:ind w:left="113"/>
            </w:pPr>
            <w:r w:rsidRPr="00807926">
              <w:t>Working account for the allocation of revenue</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2261A0" w:rsidRDefault="00807926" w:rsidP="002261A0">
            <w:pPr>
              <w:pStyle w:val="TableBodyText"/>
              <w:keepNext/>
              <w:spacing w:before="120"/>
              <w:rPr>
                <w:rStyle w:val="Bold"/>
              </w:rPr>
            </w:pPr>
            <w:r w:rsidRPr="002261A0">
              <w:rPr>
                <w:rStyle w:val="Bold"/>
              </w:rPr>
              <w:lastRenderedPageBreak/>
              <w:t>Treasury Trust Fund</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2261A0">
            <w:pPr>
              <w:pStyle w:val="TableBodyText"/>
              <w:ind w:left="113"/>
            </w:pPr>
            <w:r w:rsidRPr="00807926">
              <w:t>Working account for CSV</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862</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407</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 xml:space="preserve">15 </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1,254</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517</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346</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862</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2261A0" w:rsidRDefault="00807926" w:rsidP="002261A0">
            <w:pPr>
              <w:pStyle w:val="TableBodyText"/>
              <w:spacing w:before="120"/>
              <w:rPr>
                <w:rStyle w:val="Bold"/>
              </w:rPr>
            </w:pPr>
            <w:r w:rsidRPr="002261A0">
              <w:rPr>
                <w:rStyle w:val="Bold"/>
              </w:rPr>
              <w:t>Security Account</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2261A0">
            <w:pPr>
              <w:pStyle w:val="TableBodyText"/>
              <w:ind w:left="113"/>
            </w:pPr>
            <w:r w:rsidRPr="00807926">
              <w:t>Holds monies as security for good behaviour</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69</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16</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85</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45</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24</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69</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tcPr>
          <w:p w:rsidR="00807926" w:rsidRPr="002261A0" w:rsidRDefault="00807926" w:rsidP="002261A0">
            <w:pPr>
              <w:pStyle w:val="TableBodyText"/>
              <w:spacing w:before="120"/>
              <w:rPr>
                <w:rStyle w:val="Bold"/>
              </w:rPr>
            </w:pPr>
            <w:r w:rsidRPr="002261A0">
              <w:rPr>
                <w:rStyle w:val="Bold"/>
              </w:rPr>
              <w:t>Victorian Civil and Administrative Tribunal Trust Account</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23"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64"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8"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72"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337" w:type="pct"/>
            <w:shd w:val="clear" w:color="auto" w:fill="F3F3F3"/>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437" w:type="pct"/>
            <w:noWrap/>
          </w:tcPr>
          <w:p w:rsidR="00807926" w:rsidRPr="00807926" w:rsidRDefault="00807926" w:rsidP="002261A0">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261A0"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2261A0" w:rsidRPr="00807926" w:rsidRDefault="002261A0" w:rsidP="002261A0">
            <w:pPr>
              <w:pStyle w:val="TableBodyText"/>
              <w:ind w:left="113"/>
            </w:pPr>
            <w:r w:rsidRPr="00807926">
              <w:t>Financial Management Act 1994 (No. 18/1994), Part 4</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23"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64"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8"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72"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337" w:type="pct"/>
            <w:shd w:val="clear" w:color="auto" w:fill="F3F3F3"/>
            <w:noWrap/>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c>
          <w:tcPr>
            <w:tcW w:w="437" w:type="pct"/>
            <w:noWrap/>
            <w:hideMark/>
          </w:tcPr>
          <w:p w:rsidR="002261A0" w:rsidRPr="00807926"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t>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hideMark/>
          </w:tcPr>
          <w:p w:rsidR="00807926" w:rsidRPr="00807926" w:rsidRDefault="00807926" w:rsidP="002261A0">
            <w:pPr>
              <w:pStyle w:val="TableBodyText"/>
              <w:ind w:left="113"/>
            </w:pPr>
            <w:r w:rsidRPr="00807926">
              <w:t>Working account for the Owners Corporation, Domestic Building and Residential Tenancies disputes.</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650</w:t>
            </w:r>
          </w:p>
        </w:tc>
        <w:tc>
          <w:tcPr>
            <w:tcW w:w="323"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20</w:t>
            </w:r>
          </w:p>
        </w:tc>
        <w:tc>
          <w:tcPr>
            <w:tcW w:w="364"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430</w:t>
            </w:r>
          </w:p>
        </w:tc>
        <w:tc>
          <w:tcPr>
            <w:tcW w:w="438"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240</w:t>
            </w:r>
          </w:p>
        </w:tc>
        <w:tc>
          <w:tcPr>
            <w:tcW w:w="4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372"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650</w:t>
            </w:r>
          </w:p>
        </w:tc>
        <w:tc>
          <w:tcPr>
            <w:tcW w:w="337" w:type="pct"/>
            <w:shd w:val="clear" w:color="auto" w:fill="F3F3F3"/>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0</w:t>
            </w:r>
          </w:p>
        </w:tc>
        <w:tc>
          <w:tcPr>
            <w:tcW w:w="437" w:type="pct"/>
            <w:noWrap/>
            <w:hideMark/>
          </w:tcPr>
          <w:p w:rsidR="00807926" w:rsidRPr="00807926" w:rsidRDefault="00807926" w:rsidP="00807926">
            <w:pPr>
              <w:pStyle w:val="TableBodyText"/>
              <w:cnfStyle w:val="000000000000" w:firstRow="0" w:lastRow="0" w:firstColumn="0" w:lastColumn="0" w:oddVBand="0" w:evenVBand="0" w:oddHBand="0" w:evenHBand="0" w:firstRowFirstColumn="0" w:firstRowLastColumn="0" w:lastRowFirstColumn="0" w:lastRowLastColumn="0"/>
            </w:pPr>
            <w:r w:rsidRPr="00807926">
              <w:t>650</w:t>
            </w:r>
          </w:p>
        </w:tc>
      </w:tr>
      <w:tr w:rsidR="00807926" w:rsidRPr="00807926" w:rsidTr="00B6401F">
        <w:tc>
          <w:tcPr>
            <w:cnfStyle w:val="001000000000" w:firstRow="0" w:lastRow="0" w:firstColumn="1" w:lastColumn="0" w:oddVBand="0" w:evenVBand="0" w:oddHBand="0" w:evenHBand="0" w:firstRowFirstColumn="0" w:firstRowLastColumn="0" w:lastRowFirstColumn="0" w:lastRowLastColumn="0"/>
            <w:tcW w:w="1856" w:type="pct"/>
            <w:noWrap/>
          </w:tcPr>
          <w:p w:rsidR="00807926" w:rsidRPr="002261A0" w:rsidRDefault="002261A0" w:rsidP="00807926">
            <w:pPr>
              <w:pStyle w:val="TableBodyText"/>
              <w:rPr>
                <w:rStyle w:val="Bold"/>
              </w:rPr>
            </w:pPr>
            <w:r w:rsidRPr="002261A0">
              <w:rPr>
                <w:rStyle w:val="Bold"/>
              </w:rPr>
              <w:t>Total</w:t>
            </w:r>
          </w:p>
        </w:tc>
        <w:tc>
          <w:tcPr>
            <w:tcW w:w="437" w:type="pct"/>
            <w:tcBorders>
              <w:bottom w:val="single" w:sz="4" w:space="0" w:color="auto"/>
            </w:tcBorders>
            <w:shd w:val="clear" w:color="auto" w:fill="F3F3F3"/>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3,135</w:t>
            </w:r>
          </w:p>
        </w:tc>
        <w:tc>
          <w:tcPr>
            <w:tcW w:w="323" w:type="pct"/>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45,134</w:t>
            </w:r>
          </w:p>
        </w:tc>
        <w:tc>
          <w:tcPr>
            <w:tcW w:w="364" w:type="pct"/>
            <w:tcBorders>
              <w:bottom w:val="single" w:sz="4" w:space="0" w:color="auto"/>
            </w:tcBorders>
            <w:shd w:val="clear" w:color="auto" w:fill="F3F3F3"/>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45,261</w:t>
            </w:r>
          </w:p>
        </w:tc>
        <w:tc>
          <w:tcPr>
            <w:tcW w:w="438" w:type="pct"/>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3,008</w:t>
            </w:r>
          </w:p>
        </w:tc>
        <w:tc>
          <w:tcPr>
            <w:tcW w:w="437" w:type="pct"/>
            <w:tcBorders>
              <w:bottom w:val="single" w:sz="4" w:space="0" w:color="auto"/>
            </w:tcBorders>
            <w:shd w:val="clear" w:color="auto" w:fill="F3F3F3"/>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1,286</w:t>
            </w:r>
          </w:p>
        </w:tc>
        <w:tc>
          <w:tcPr>
            <w:tcW w:w="372" w:type="pct"/>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46,276</w:t>
            </w:r>
          </w:p>
        </w:tc>
        <w:tc>
          <w:tcPr>
            <w:tcW w:w="337" w:type="pct"/>
            <w:tcBorders>
              <w:bottom w:val="single" w:sz="4" w:space="0" w:color="auto"/>
            </w:tcBorders>
            <w:shd w:val="clear" w:color="auto" w:fill="F3F3F3"/>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44,427</w:t>
            </w:r>
          </w:p>
        </w:tc>
        <w:tc>
          <w:tcPr>
            <w:tcW w:w="437" w:type="pct"/>
            <w:noWrap/>
            <w:hideMark/>
          </w:tcPr>
          <w:p w:rsidR="00807926" w:rsidRPr="002261A0" w:rsidRDefault="00807926" w:rsidP="00807926">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3,135</w:t>
            </w:r>
          </w:p>
        </w:tc>
      </w:tr>
    </w:tbl>
    <w:p w:rsidR="002261A0" w:rsidRDefault="002261A0" w:rsidP="002261A0">
      <w:pPr>
        <w:pStyle w:val="BodyText"/>
        <w:sectPr w:rsidR="002261A0" w:rsidSect="003475E2">
          <w:pgSz w:w="16838" w:h="11906" w:orient="landscape"/>
          <w:pgMar w:top="1134" w:right="1134" w:bottom="1134" w:left="1134" w:header="708" w:footer="284" w:gutter="0"/>
          <w:cols w:space="708"/>
          <w:titlePg/>
          <w:docGrid w:linePitch="360"/>
        </w:sectPr>
      </w:pPr>
    </w:p>
    <w:p w:rsidR="002261A0" w:rsidRDefault="002261A0" w:rsidP="00B6401F">
      <w:pPr>
        <w:pStyle w:val="Heading3"/>
        <w:numPr>
          <w:ilvl w:val="0"/>
          <w:numId w:val="0"/>
        </w:numPr>
      </w:pPr>
      <w:r>
        <w:lastRenderedPageBreak/>
        <w:t>Third party funds under management</w:t>
      </w:r>
    </w:p>
    <w:p w:rsidR="002261A0" w:rsidRDefault="002261A0" w:rsidP="002261A0">
      <w:pPr>
        <w:pStyle w:val="BodyText"/>
      </w:pPr>
      <w:r>
        <w:t>CSV holds funds comprising of cash, property and other tangible assets under management in trust for certain clients and individuals. They are not used for government purposes and therefore are not included in CSV’s financial statements.</w:t>
      </w:r>
    </w:p>
    <w:p w:rsidR="00807926" w:rsidRDefault="002261A0" w:rsidP="002261A0">
      <w:pPr>
        <w:pStyle w:val="BodyText"/>
      </w:pPr>
      <w:r>
        <w:t>Any earnings on the investments held pending distribution are also applied to the trust assets under management as appropriate.</w:t>
      </w:r>
    </w:p>
    <w:tbl>
      <w:tblPr>
        <w:tblStyle w:val="FinancialTable"/>
        <w:tblW w:w="5000" w:type="pct"/>
        <w:tblLook w:val="04A0" w:firstRow="1" w:lastRow="0" w:firstColumn="1" w:lastColumn="0" w:noHBand="0" w:noVBand="1"/>
      </w:tblPr>
      <w:tblGrid>
        <w:gridCol w:w="7464"/>
        <w:gridCol w:w="1014"/>
        <w:gridCol w:w="1160"/>
      </w:tblGrid>
      <w:tr w:rsidR="002261A0" w:rsidRPr="002261A0" w:rsidTr="002261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72" w:type="pct"/>
            <w:noWrap/>
          </w:tcPr>
          <w:p w:rsidR="002261A0" w:rsidRPr="00807926" w:rsidRDefault="002261A0" w:rsidP="00F6099F">
            <w:pPr>
              <w:pStyle w:val="TableBodyText"/>
              <w:rPr>
                <w:rStyle w:val="Bold"/>
              </w:rPr>
            </w:pPr>
            <w:r w:rsidRPr="00807926">
              <w:rPr>
                <w:rStyle w:val="Bold"/>
              </w:rPr>
              <w:t>Item</w:t>
            </w:r>
          </w:p>
        </w:tc>
        <w:tc>
          <w:tcPr>
            <w:tcW w:w="526" w:type="pct"/>
            <w:shd w:val="clear" w:color="auto" w:fill="F3F3F3"/>
            <w:noWrap/>
          </w:tcPr>
          <w:p w:rsidR="002261A0" w:rsidRPr="00807926" w:rsidRDefault="002261A0" w:rsidP="00F6099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2017</w:t>
            </w:r>
          </w:p>
          <w:p w:rsidR="002261A0" w:rsidRPr="00807926" w:rsidRDefault="002261A0" w:rsidP="00F6099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c>
          <w:tcPr>
            <w:tcW w:w="602" w:type="pct"/>
            <w:noWrap/>
          </w:tcPr>
          <w:p w:rsidR="002261A0" w:rsidRPr="00807926" w:rsidRDefault="002261A0" w:rsidP="00F6099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2016</w:t>
            </w:r>
          </w:p>
          <w:p w:rsidR="002261A0" w:rsidRPr="00807926" w:rsidRDefault="002261A0" w:rsidP="00F6099F">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807926">
              <w:rPr>
                <w:rStyle w:val="Bold"/>
              </w:rPr>
              <w:t>$'000</w:t>
            </w:r>
          </w:p>
        </w:tc>
      </w:tr>
      <w:tr w:rsidR="002261A0" w:rsidRPr="002261A0" w:rsidTr="002261A0">
        <w:tc>
          <w:tcPr>
            <w:cnfStyle w:val="001000000000" w:firstRow="0" w:lastRow="0" w:firstColumn="1" w:lastColumn="0" w:oddVBand="0" w:evenVBand="0" w:oddHBand="0" w:evenHBand="0" w:firstRowFirstColumn="0" w:firstRowLastColumn="0" w:lastRowFirstColumn="0" w:lastRowLastColumn="0"/>
            <w:tcW w:w="3872" w:type="pct"/>
            <w:noWrap/>
          </w:tcPr>
          <w:p w:rsidR="002261A0" w:rsidRPr="002261A0" w:rsidRDefault="002261A0" w:rsidP="00F6099F">
            <w:pPr>
              <w:pStyle w:val="TableBodyText"/>
            </w:pPr>
            <w:r w:rsidRPr="00F6099F">
              <w:rPr>
                <w:rStyle w:val="Bold"/>
              </w:rPr>
              <w:t>Courts</w:t>
            </w:r>
          </w:p>
        </w:tc>
        <w:tc>
          <w:tcPr>
            <w:tcW w:w="526" w:type="pct"/>
            <w:shd w:val="clear" w:color="auto" w:fill="F3F3F3"/>
            <w:noWrap/>
          </w:tcPr>
          <w:p w:rsidR="002261A0" w:rsidRPr="002261A0" w:rsidRDefault="00F6099F" w:rsidP="00F6099F">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02" w:type="pct"/>
            <w:noWrap/>
          </w:tcPr>
          <w:p w:rsidR="002261A0" w:rsidRPr="002261A0" w:rsidRDefault="00F6099F" w:rsidP="00F6099F">
            <w:pPr>
              <w:pStyle w:val="TableBodyText"/>
              <w:cnfStyle w:val="000000000000" w:firstRow="0" w:lastRow="0" w:firstColumn="0" w:lastColumn="0" w:oddVBand="0" w:evenVBand="0" w:oddHBand="0" w:evenHBand="0" w:firstRowFirstColumn="0" w:firstRowLastColumn="0" w:lastRowFirstColumn="0" w:lastRowLastColumn="0"/>
            </w:pPr>
            <w:r>
              <w:t>N/A</w:t>
            </w:r>
          </w:p>
        </w:tc>
      </w:tr>
      <w:tr w:rsidR="002261A0" w:rsidRPr="002261A0" w:rsidTr="002261A0">
        <w:tc>
          <w:tcPr>
            <w:cnfStyle w:val="001000000000" w:firstRow="0" w:lastRow="0" w:firstColumn="1" w:lastColumn="0" w:oddVBand="0" w:evenVBand="0" w:oddHBand="0" w:evenHBand="0" w:firstRowFirstColumn="0" w:firstRowLastColumn="0" w:lastRowFirstColumn="0" w:lastRowLastColumn="0"/>
            <w:tcW w:w="3872" w:type="pct"/>
            <w:noWrap/>
          </w:tcPr>
          <w:p w:rsidR="002261A0" w:rsidRPr="002261A0" w:rsidRDefault="002261A0" w:rsidP="00F6099F">
            <w:pPr>
              <w:pStyle w:val="TableBodyText"/>
            </w:pPr>
            <w:r w:rsidRPr="002261A0">
              <w:t>Bail Monies</w:t>
            </w:r>
          </w:p>
        </w:tc>
        <w:tc>
          <w:tcPr>
            <w:tcW w:w="526" w:type="pct"/>
            <w:shd w:val="clear" w:color="auto" w:fill="F3F3F3"/>
            <w:noWrap/>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4,191</w:t>
            </w:r>
          </w:p>
        </w:tc>
        <w:tc>
          <w:tcPr>
            <w:tcW w:w="602" w:type="pct"/>
            <w:noWrap/>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3,834</w:t>
            </w:r>
          </w:p>
        </w:tc>
      </w:tr>
      <w:tr w:rsidR="002261A0" w:rsidRPr="002261A0" w:rsidTr="002261A0">
        <w:tc>
          <w:tcPr>
            <w:cnfStyle w:val="001000000000" w:firstRow="0" w:lastRow="0" w:firstColumn="1" w:lastColumn="0" w:oddVBand="0" w:evenVBand="0" w:oddHBand="0" w:evenHBand="0" w:firstRowFirstColumn="0" w:firstRowLastColumn="0" w:lastRowFirstColumn="0" w:lastRowLastColumn="0"/>
            <w:tcW w:w="3872" w:type="pct"/>
            <w:noWrap/>
          </w:tcPr>
          <w:p w:rsidR="002261A0" w:rsidRPr="002261A0" w:rsidRDefault="002261A0" w:rsidP="00F6099F">
            <w:pPr>
              <w:pStyle w:val="TableBodyText"/>
            </w:pPr>
            <w:r w:rsidRPr="002261A0">
              <w:t>Court Infant Investment Accounts</w:t>
            </w:r>
          </w:p>
        </w:tc>
        <w:tc>
          <w:tcPr>
            <w:tcW w:w="526" w:type="pct"/>
            <w:shd w:val="clear" w:color="auto" w:fill="F3F3F3"/>
            <w:noWrap/>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20</w:t>
            </w:r>
          </w:p>
        </w:tc>
        <w:tc>
          <w:tcPr>
            <w:tcW w:w="602" w:type="pct"/>
            <w:noWrap/>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21</w:t>
            </w:r>
          </w:p>
        </w:tc>
      </w:tr>
      <w:tr w:rsidR="002261A0" w:rsidRPr="002261A0" w:rsidTr="002261A0">
        <w:tc>
          <w:tcPr>
            <w:cnfStyle w:val="001000000000" w:firstRow="0" w:lastRow="0" w:firstColumn="1" w:lastColumn="0" w:oddVBand="0" w:evenVBand="0" w:oddHBand="0" w:evenHBand="0" w:firstRowFirstColumn="0" w:firstRowLastColumn="0" w:lastRowFirstColumn="0" w:lastRowLastColumn="0"/>
            <w:tcW w:w="3872" w:type="pct"/>
            <w:noWrap/>
          </w:tcPr>
          <w:p w:rsidR="002261A0" w:rsidRPr="002261A0" w:rsidRDefault="002261A0" w:rsidP="00F6099F">
            <w:pPr>
              <w:pStyle w:val="TableBodyText"/>
            </w:pPr>
            <w:r w:rsidRPr="002261A0">
              <w:t>Crimes Compensation Infant Investment Accounts</w:t>
            </w:r>
          </w:p>
        </w:tc>
        <w:tc>
          <w:tcPr>
            <w:tcW w:w="526" w:type="pct"/>
            <w:shd w:val="clear" w:color="auto" w:fill="F3F3F3"/>
            <w:noWrap/>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0</w:t>
            </w:r>
          </w:p>
        </w:tc>
        <w:tc>
          <w:tcPr>
            <w:tcW w:w="602" w:type="pct"/>
            <w:noWrap/>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496</w:t>
            </w:r>
          </w:p>
        </w:tc>
      </w:tr>
      <w:tr w:rsidR="002261A0" w:rsidRPr="002261A0" w:rsidTr="002261A0">
        <w:tc>
          <w:tcPr>
            <w:cnfStyle w:val="001000000000" w:firstRow="0" w:lastRow="0" w:firstColumn="1" w:lastColumn="0" w:oddVBand="0" w:evenVBand="0" w:oddHBand="0" w:evenHBand="0" w:firstRowFirstColumn="0" w:firstRowLastColumn="0" w:lastRowFirstColumn="0" w:lastRowLastColumn="0"/>
            <w:tcW w:w="3872" w:type="pct"/>
            <w:tcBorders>
              <w:bottom w:val="single" w:sz="4" w:space="0" w:color="auto"/>
            </w:tcBorders>
            <w:noWrap/>
            <w:hideMark/>
          </w:tcPr>
          <w:p w:rsidR="002261A0" w:rsidRPr="002261A0" w:rsidRDefault="002261A0" w:rsidP="00F6099F">
            <w:pPr>
              <w:pStyle w:val="TableBodyText"/>
            </w:pPr>
            <w:r w:rsidRPr="002261A0">
              <w:t>Assets under management by the Senior Master of the Supreme Court (Funds in Court)</w:t>
            </w:r>
          </w:p>
        </w:tc>
        <w:tc>
          <w:tcPr>
            <w:tcW w:w="526" w:type="pct"/>
            <w:tcBorders>
              <w:bottom w:val="single" w:sz="4" w:space="0" w:color="auto"/>
            </w:tcBorders>
            <w:shd w:val="clear" w:color="auto" w:fill="F3F3F3"/>
            <w:noWrap/>
            <w:hideMark/>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1,726,077</w:t>
            </w:r>
          </w:p>
        </w:tc>
        <w:tc>
          <w:tcPr>
            <w:tcW w:w="602" w:type="pct"/>
            <w:tcBorders>
              <w:bottom w:val="single" w:sz="4" w:space="0" w:color="auto"/>
            </w:tcBorders>
            <w:noWrap/>
            <w:hideMark/>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pPr>
            <w:r w:rsidRPr="002261A0">
              <w:t>1,628,290</w:t>
            </w:r>
          </w:p>
        </w:tc>
      </w:tr>
      <w:tr w:rsidR="002261A0" w:rsidRPr="002261A0" w:rsidTr="002261A0">
        <w:tc>
          <w:tcPr>
            <w:cnfStyle w:val="001000000000" w:firstRow="0" w:lastRow="0" w:firstColumn="1" w:lastColumn="0" w:oddVBand="0" w:evenVBand="0" w:oddHBand="0" w:evenHBand="0" w:firstRowFirstColumn="0" w:firstRowLastColumn="0" w:lastRowFirstColumn="0" w:lastRowLastColumn="0"/>
            <w:tcW w:w="3872" w:type="pct"/>
            <w:tcBorders>
              <w:top w:val="single" w:sz="4" w:space="0" w:color="auto"/>
              <w:bottom w:val="single" w:sz="4" w:space="0" w:color="auto"/>
            </w:tcBorders>
            <w:noWrap/>
            <w:hideMark/>
          </w:tcPr>
          <w:p w:rsidR="002261A0" w:rsidRPr="002261A0" w:rsidRDefault="002261A0" w:rsidP="00F6099F">
            <w:pPr>
              <w:pStyle w:val="TableBodyText"/>
              <w:rPr>
                <w:rStyle w:val="Bold"/>
              </w:rPr>
            </w:pPr>
            <w:r w:rsidRPr="002261A0">
              <w:rPr>
                <w:rStyle w:val="Bold"/>
              </w:rPr>
              <w:t>Total</w:t>
            </w:r>
          </w:p>
        </w:tc>
        <w:tc>
          <w:tcPr>
            <w:tcW w:w="526" w:type="pct"/>
            <w:tcBorders>
              <w:top w:val="single" w:sz="4" w:space="0" w:color="auto"/>
              <w:bottom w:val="single" w:sz="4" w:space="0" w:color="auto"/>
            </w:tcBorders>
            <w:shd w:val="clear" w:color="auto" w:fill="F3F3F3"/>
            <w:noWrap/>
            <w:hideMark/>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1,730,288</w:t>
            </w:r>
          </w:p>
        </w:tc>
        <w:tc>
          <w:tcPr>
            <w:tcW w:w="602" w:type="pct"/>
            <w:tcBorders>
              <w:top w:val="single" w:sz="4" w:space="0" w:color="auto"/>
              <w:bottom w:val="single" w:sz="4" w:space="0" w:color="auto"/>
            </w:tcBorders>
            <w:noWrap/>
            <w:hideMark/>
          </w:tcPr>
          <w:p w:rsidR="002261A0" w:rsidRPr="002261A0" w:rsidRDefault="002261A0" w:rsidP="002261A0">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261A0">
              <w:rPr>
                <w:rStyle w:val="Bold"/>
              </w:rPr>
              <w:t>1,632,640</w:t>
            </w:r>
          </w:p>
        </w:tc>
      </w:tr>
    </w:tbl>
    <w:p w:rsidR="00F6099F" w:rsidRDefault="00F6099F" w:rsidP="00F6099F">
      <w:pPr>
        <w:pStyle w:val="BodyText"/>
      </w:pPr>
      <w:r w:rsidRPr="00F6099F">
        <w:t xml:space="preserve">Since 1 July 2004, the Courts Legislation Act 2004 allows funds held in the County Court Infant Investment Trust Accounts, the </w:t>
      </w:r>
      <w:proofErr w:type="spellStart"/>
      <w:r w:rsidRPr="00F6099F">
        <w:t>VOCAT</w:t>
      </w:r>
      <w:proofErr w:type="spellEnd"/>
      <w:r w:rsidRPr="00F6099F">
        <w:t xml:space="preserve"> Infant Investment Trust Accounts and the Magistrates’ Court Infant Investment Trust Accounts to be transferable to the management of the Senior Master’s Office (Funds in Court) of the Supreme Court. The decision for transferring funds is discretionary. Each court retains discretion as to where control of the funds is held and each case is considered individually to determine whether the funds should be transferred to the Senior Master. Although in the majority of cases, funds have been transferred from the courts to the Senior Master, the courts have used their discretion to retain control of a portion of the funds held for persons with a disability.</w:t>
      </w:r>
    </w:p>
    <w:p w:rsidR="00F6099F" w:rsidRDefault="00F6099F" w:rsidP="00F6099F">
      <w:pPr>
        <w:pStyle w:val="Heading2"/>
      </w:pPr>
      <w:bookmarkStart w:id="54" w:name="_Toc497125485"/>
      <w:r>
        <w:t>Commitments for expenditure</w:t>
      </w:r>
      <w:bookmarkEnd w:id="54"/>
    </w:p>
    <w:p w:rsidR="00F6099F" w:rsidRDefault="00F6099F" w:rsidP="00F6099F">
      <w:pPr>
        <w:pStyle w:val="BodyText"/>
      </w:pPr>
      <w:r>
        <w:t>Commitments for future expenditure include operating and capital commitments arising from contracts. These commitments are recorded below at their nominal value and inclusive of GST. These future expenditures cease to be disclosed as commitments once the related liabilities are recognised in the balance sheet.</w:t>
      </w:r>
    </w:p>
    <w:p w:rsidR="00F6099F" w:rsidRDefault="00F6099F" w:rsidP="00F6099F">
      <w:pPr>
        <w:pStyle w:val="Heading3"/>
      </w:pPr>
      <w:r>
        <w:t>Total commitments payable</w:t>
      </w:r>
    </w:p>
    <w:p w:rsidR="00F6099F" w:rsidRDefault="00F6099F" w:rsidP="00B77829">
      <w:pPr>
        <w:pStyle w:val="Caption"/>
      </w:pPr>
      <w:r>
        <w:t>Nominal Amounts: 2017</w:t>
      </w:r>
    </w:p>
    <w:tbl>
      <w:tblPr>
        <w:tblStyle w:val="FinancialTable"/>
        <w:tblW w:w="5000" w:type="pct"/>
        <w:tblLook w:val="04A0" w:firstRow="1" w:lastRow="0" w:firstColumn="1" w:lastColumn="0" w:noHBand="0" w:noVBand="1"/>
      </w:tblPr>
      <w:tblGrid>
        <w:gridCol w:w="5390"/>
        <w:gridCol w:w="1062"/>
        <w:gridCol w:w="1062"/>
        <w:gridCol w:w="1062"/>
        <w:gridCol w:w="1062"/>
      </w:tblGrid>
      <w:tr w:rsidR="00B77829" w:rsidRPr="00B77829" w:rsidTr="00B778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5" w:type="pct"/>
            <w:noWrap/>
            <w:hideMark/>
          </w:tcPr>
          <w:p w:rsidR="00B77829" w:rsidRPr="00B77829" w:rsidRDefault="00B77829" w:rsidP="00B77829">
            <w:pPr>
              <w:pStyle w:val="TableHeading"/>
            </w:pPr>
            <w:r>
              <w:t>Item</w:t>
            </w:r>
          </w:p>
        </w:tc>
        <w:tc>
          <w:tcPr>
            <w:tcW w:w="551" w:type="pct"/>
            <w:shd w:val="clear" w:color="auto" w:fill="F3F3F3"/>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Less than 1 year</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c>
          <w:tcPr>
            <w:tcW w:w="551" w:type="pct"/>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Between 1 and 5 years</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c>
          <w:tcPr>
            <w:tcW w:w="551" w:type="pct"/>
            <w:shd w:val="clear" w:color="auto" w:fill="F3F3F3"/>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Over 5 years</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c>
          <w:tcPr>
            <w:tcW w:w="551" w:type="pct"/>
            <w:noWrap/>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Total</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r>
      <w:tr w:rsidR="00B77829" w:rsidRPr="00B77829" w:rsidTr="00B77829">
        <w:tc>
          <w:tcPr>
            <w:cnfStyle w:val="001000000000" w:firstRow="0" w:lastRow="0" w:firstColumn="1" w:lastColumn="0" w:oddVBand="0" w:evenVBand="0" w:oddHBand="0" w:evenHBand="0" w:firstRowFirstColumn="0" w:firstRowLastColumn="0" w:lastRowFirstColumn="0" w:lastRowLastColumn="0"/>
            <w:tcW w:w="2795" w:type="pct"/>
            <w:hideMark/>
          </w:tcPr>
          <w:p w:rsidR="00B77829" w:rsidRPr="00B77829" w:rsidRDefault="00B77829" w:rsidP="00B77829">
            <w:pPr>
              <w:pStyle w:val="TableBodyText"/>
            </w:pPr>
            <w:r w:rsidRPr="00B77829">
              <w:t xml:space="preserve">Public private partnership - operation and maintenance commitments (7.2.1) </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13,748</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56,002</w:t>
            </w:r>
          </w:p>
        </w:tc>
        <w:tc>
          <w:tcPr>
            <w:tcW w:w="551" w:type="pct"/>
            <w:shd w:val="clear" w:color="auto" w:fill="F3F3F3"/>
            <w:noWrap/>
            <w:hideMark/>
          </w:tcPr>
          <w:p w:rsidR="00B77829" w:rsidRPr="00B77829" w:rsidRDefault="00B6401F" w:rsidP="00B77829">
            <w:pPr>
              <w:pStyle w:val="TableBodyText"/>
              <w:cnfStyle w:val="000000000000" w:firstRow="0" w:lastRow="0" w:firstColumn="0" w:lastColumn="0" w:oddVBand="0" w:evenVBand="0" w:oddHBand="0" w:evenHBand="0" w:firstRowFirstColumn="0" w:firstRowLastColumn="0" w:lastRowFirstColumn="0" w:lastRowLastColumn="0"/>
            </w:pPr>
            <w:r>
              <w:t>0</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69,750</w:t>
            </w:r>
          </w:p>
        </w:tc>
      </w:tr>
      <w:tr w:rsidR="00B77829" w:rsidRPr="00B77829" w:rsidTr="00B77829">
        <w:tc>
          <w:tcPr>
            <w:cnfStyle w:val="001000000000" w:firstRow="0" w:lastRow="0" w:firstColumn="1" w:lastColumn="0" w:oddVBand="0" w:evenVBand="0" w:oddHBand="0" w:evenHBand="0" w:firstRowFirstColumn="0" w:firstRowLastColumn="0" w:lastRowFirstColumn="0" w:lastRowLastColumn="0"/>
            <w:tcW w:w="2795" w:type="pct"/>
            <w:hideMark/>
          </w:tcPr>
          <w:p w:rsidR="00B77829" w:rsidRPr="00B77829" w:rsidRDefault="00B77829" w:rsidP="00B77829">
            <w:pPr>
              <w:pStyle w:val="TableBodyText"/>
            </w:pPr>
            <w:r w:rsidRPr="00B77829">
              <w:t>Capital expenditure commitments payable</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34,546</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2,893</w:t>
            </w:r>
          </w:p>
        </w:tc>
        <w:tc>
          <w:tcPr>
            <w:tcW w:w="551" w:type="pct"/>
            <w:shd w:val="clear" w:color="auto" w:fill="F3F3F3"/>
            <w:noWrap/>
            <w:hideMark/>
          </w:tcPr>
          <w:p w:rsidR="00B77829" w:rsidRPr="00B77829" w:rsidRDefault="00B6401F" w:rsidP="00B77829">
            <w:pPr>
              <w:pStyle w:val="TableBodyText"/>
              <w:cnfStyle w:val="000000000000" w:firstRow="0" w:lastRow="0" w:firstColumn="0" w:lastColumn="0" w:oddVBand="0" w:evenVBand="0" w:oddHBand="0" w:evenHBand="0" w:firstRowFirstColumn="0" w:firstRowLastColumn="0" w:lastRowFirstColumn="0" w:lastRowLastColumn="0"/>
            </w:pPr>
            <w:r>
              <w:t>0</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37,439</w:t>
            </w:r>
          </w:p>
        </w:tc>
      </w:tr>
      <w:tr w:rsidR="00B77829" w:rsidRPr="00B77829" w:rsidTr="00B77829">
        <w:tc>
          <w:tcPr>
            <w:cnfStyle w:val="001000000000" w:firstRow="0" w:lastRow="0" w:firstColumn="1" w:lastColumn="0" w:oddVBand="0" w:evenVBand="0" w:oddHBand="0" w:evenHBand="0" w:firstRowFirstColumn="0" w:firstRowLastColumn="0" w:lastRowFirstColumn="0" w:lastRowLastColumn="0"/>
            <w:tcW w:w="2795" w:type="pct"/>
            <w:hideMark/>
          </w:tcPr>
          <w:p w:rsidR="00B77829" w:rsidRPr="00B77829" w:rsidRDefault="00B77829" w:rsidP="00B77829">
            <w:pPr>
              <w:pStyle w:val="TableBodyText"/>
            </w:pPr>
            <w:r w:rsidRPr="00B77829">
              <w:t xml:space="preserve">Operating and lease commitments payable </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15,540</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13,758</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150</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29,448</w:t>
            </w:r>
          </w:p>
        </w:tc>
      </w:tr>
      <w:tr w:rsidR="00B77829" w:rsidRPr="00B77829" w:rsidTr="00B77829">
        <w:tc>
          <w:tcPr>
            <w:cnfStyle w:val="001000000000" w:firstRow="0" w:lastRow="0" w:firstColumn="1" w:lastColumn="0" w:oddVBand="0" w:evenVBand="0" w:oddHBand="0" w:evenHBand="0" w:firstRowFirstColumn="0" w:firstRowLastColumn="0" w:lastRowFirstColumn="0" w:lastRowLastColumn="0"/>
            <w:tcW w:w="2795" w:type="pct"/>
            <w:tcBorders>
              <w:bottom w:val="single" w:sz="4" w:space="0" w:color="auto"/>
            </w:tcBorders>
            <w:hideMark/>
          </w:tcPr>
          <w:p w:rsidR="00B77829" w:rsidRPr="00B77829" w:rsidRDefault="00B77829" w:rsidP="00B77829">
            <w:pPr>
              <w:pStyle w:val="TableBodyText"/>
            </w:pPr>
            <w:r w:rsidRPr="00B77829">
              <w:t>Other commitments payable</w:t>
            </w:r>
          </w:p>
        </w:tc>
        <w:tc>
          <w:tcPr>
            <w:tcW w:w="551" w:type="pct"/>
            <w:tcBorders>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134</w:t>
            </w:r>
          </w:p>
        </w:tc>
        <w:tc>
          <w:tcPr>
            <w:tcW w:w="551" w:type="pct"/>
            <w:tcBorders>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53</w:t>
            </w:r>
          </w:p>
        </w:tc>
        <w:tc>
          <w:tcPr>
            <w:tcW w:w="551" w:type="pct"/>
            <w:tcBorders>
              <w:bottom w:val="single" w:sz="4" w:space="0" w:color="auto"/>
            </w:tcBorders>
            <w:shd w:val="clear" w:color="auto" w:fill="F3F3F3"/>
            <w:noWrap/>
            <w:hideMark/>
          </w:tcPr>
          <w:p w:rsidR="00B77829" w:rsidRPr="00B77829" w:rsidRDefault="00B6401F" w:rsidP="00B77829">
            <w:pPr>
              <w:pStyle w:val="TableBodyText"/>
              <w:cnfStyle w:val="000000000000" w:firstRow="0" w:lastRow="0" w:firstColumn="0" w:lastColumn="0" w:oddVBand="0" w:evenVBand="0" w:oddHBand="0" w:evenHBand="0" w:firstRowFirstColumn="0" w:firstRowLastColumn="0" w:lastRowFirstColumn="0" w:lastRowLastColumn="0"/>
            </w:pPr>
            <w:r>
              <w:t>0</w:t>
            </w:r>
          </w:p>
        </w:tc>
        <w:tc>
          <w:tcPr>
            <w:tcW w:w="551" w:type="pct"/>
            <w:tcBorders>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187</w:t>
            </w:r>
          </w:p>
        </w:tc>
      </w:tr>
      <w:tr w:rsidR="00B77829" w:rsidRPr="00B77829" w:rsidTr="00B77829">
        <w:tc>
          <w:tcPr>
            <w:cnfStyle w:val="001000000000" w:firstRow="0" w:lastRow="0" w:firstColumn="1" w:lastColumn="0" w:oddVBand="0" w:evenVBand="0" w:oddHBand="0" w:evenHBand="0" w:firstRowFirstColumn="0" w:firstRowLastColumn="0" w:lastRowFirstColumn="0" w:lastRowLastColumn="0"/>
            <w:tcW w:w="2795" w:type="pct"/>
            <w:tcBorders>
              <w:top w:val="single" w:sz="4" w:space="0" w:color="auto"/>
              <w:bottom w:val="nil"/>
            </w:tcBorders>
            <w:noWrap/>
            <w:hideMark/>
          </w:tcPr>
          <w:p w:rsidR="00B77829" w:rsidRPr="00B77829" w:rsidRDefault="00B77829" w:rsidP="00B77829">
            <w:pPr>
              <w:pStyle w:val="TableBodyText"/>
              <w:rPr>
                <w:rStyle w:val="Bold"/>
              </w:rPr>
            </w:pPr>
            <w:r w:rsidRPr="00B77829">
              <w:rPr>
                <w:rStyle w:val="Bold"/>
              </w:rPr>
              <w:t>Total commitments (inclusive of GST)</w:t>
            </w:r>
          </w:p>
        </w:tc>
        <w:tc>
          <w:tcPr>
            <w:tcW w:w="551" w:type="pct"/>
            <w:tcBorders>
              <w:top w:val="single" w:sz="4" w:space="0" w:color="auto"/>
              <w:bottom w:val="nil"/>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63,968</w:t>
            </w:r>
          </w:p>
        </w:tc>
        <w:tc>
          <w:tcPr>
            <w:tcW w:w="551" w:type="pct"/>
            <w:tcBorders>
              <w:top w:val="single" w:sz="4" w:space="0" w:color="auto"/>
              <w:bottom w:val="nil"/>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72,705</w:t>
            </w:r>
          </w:p>
        </w:tc>
        <w:tc>
          <w:tcPr>
            <w:tcW w:w="551" w:type="pct"/>
            <w:tcBorders>
              <w:top w:val="single" w:sz="4" w:space="0" w:color="auto"/>
              <w:bottom w:val="nil"/>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150</w:t>
            </w:r>
          </w:p>
        </w:tc>
        <w:tc>
          <w:tcPr>
            <w:tcW w:w="551" w:type="pct"/>
            <w:tcBorders>
              <w:top w:val="single" w:sz="4" w:space="0" w:color="auto"/>
              <w:bottom w:val="nil"/>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136,823</w:t>
            </w:r>
          </w:p>
        </w:tc>
      </w:tr>
      <w:tr w:rsidR="00B77829" w:rsidRPr="00B77829" w:rsidTr="00B77829">
        <w:tc>
          <w:tcPr>
            <w:cnfStyle w:val="001000000000" w:firstRow="0" w:lastRow="0" w:firstColumn="1" w:lastColumn="0" w:oddVBand="0" w:evenVBand="0" w:oddHBand="0" w:evenHBand="0" w:firstRowFirstColumn="0" w:firstRowLastColumn="0" w:lastRowFirstColumn="0" w:lastRowLastColumn="0"/>
            <w:tcW w:w="2795" w:type="pct"/>
            <w:tcBorders>
              <w:top w:val="nil"/>
              <w:bottom w:val="single" w:sz="4" w:space="0" w:color="auto"/>
            </w:tcBorders>
            <w:noWrap/>
            <w:hideMark/>
          </w:tcPr>
          <w:p w:rsidR="00B77829" w:rsidRPr="00B77829" w:rsidRDefault="00B77829" w:rsidP="00B77829">
            <w:pPr>
              <w:pStyle w:val="TableBodyText"/>
            </w:pPr>
            <w:r w:rsidRPr="00B77829">
              <w:t>Less GST recoverable</w:t>
            </w:r>
          </w:p>
        </w:tc>
        <w:tc>
          <w:tcPr>
            <w:tcW w:w="551" w:type="pct"/>
            <w:tcBorders>
              <w:top w:val="nil"/>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5,815</w:t>
            </w:r>
          </w:p>
        </w:tc>
        <w:tc>
          <w:tcPr>
            <w:tcW w:w="551" w:type="pct"/>
            <w:tcBorders>
              <w:top w:val="nil"/>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6,610</w:t>
            </w:r>
          </w:p>
        </w:tc>
        <w:tc>
          <w:tcPr>
            <w:tcW w:w="551" w:type="pct"/>
            <w:tcBorders>
              <w:top w:val="nil"/>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14</w:t>
            </w:r>
          </w:p>
        </w:tc>
        <w:tc>
          <w:tcPr>
            <w:tcW w:w="551" w:type="pct"/>
            <w:tcBorders>
              <w:top w:val="nil"/>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12,438</w:t>
            </w:r>
          </w:p>
        </w:tc>
      </w:tr>
      <w:tr w:rsidR="00B77829" w:rsidRPr="00B77829" w:rsidTr="00B77829">
        <w:tc>
          <w:tcPr>
            <w:cnfStyle w:val="001000000000" w:firstRow="0" w:lastRow="0" w:firstColumn="1" w:lastColumn="0" w:oddVBand="0" w:evenVBand="0" w:oddHBand="0" w:evenHBand="0" w:firstRowFirstColumn="0" w:firstRowLastColumn="0" w:lastRowFirstColumn="0" w:lastRowLastColumn="0"/>
            <w:tcW w:w="2795" w:type="pct"/>
            <w:tcBorders>
              <w:top w:val="single" w:sz="4" w:space="0" w:color="auto"/>
              <w:bottom w:val="single" w:sz="4" w:space="0" w:color="auto"/>
            </w:tcBorders>
            <w:noWrap/>
            <w:hideMark/>
          </w:tcPr>
          <w:p w:rsidR="00B77829" w:rsidRPr="00B77829" w:rsidRDefault="00B77829" w:rsidP="00B77829">
            <w:pPr>
              <w:pStyle w:val="TableBodyText"/>
              <w:rPr>
                <w:rStyle w:val="Bold"/>
              </w:rPr>
            </w:pPr>
            <w:r w:rsidRPr="00B77829">
              <w:rPr>
                <w:rStyle w:val="Bold"/>
              </w:rPr>
              <w:t>Total commitments (exclusive of GST)</w:t>
            </w:r>
          </w:p>
        </w:tc>
        <w:tc>
          <w:tcPr>
            <w:tcW w:w="551" w:type="pct"/>
            <w:tcBorders>
              <w:top w:val="single" w:sz="4" w:space="0" w:color="auto"/>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58,153</w:t>
            </w:r>
          </w:p>
        </w:tc>
        <w:tc>
          <w:tcPr>
            <w:tcW w:w="551" w:type="pct"/>
            <w:tcBorders>
              <w:top w:val="single" w:sz="4" w:space="0" w:color="auto"/>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66,096</w:t>
            </w:r>
          </w:p>
        </w:tc>
        <w:tc>
          <w:tcPr>
            <w:tcW w:w="551" w:type="pct"/>
            <w:tcBorders>
              <w:top w:val="single" w:sz="4" w:space="0" w:color="auto"/>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136</w:t>
            </w:r>
          </w:p>
        </w:tc>
        <w:tc>
          <w:tcPr>
            <w:tcW w:w="551" w:type="pct"/>
            <w:tcBorders>
              <w:top w:val="single" w:sz="4" w:space="0" w:color="auto"/>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124,385</w:t>
            </w:r>
          </w:p>
        </w:tc>
      </w:tr>
    </w:tbl>
    <w:p w:rsidR="00F6099F" w:rsidRDefault="00B77829" w:rsidP="00B77829">
      <w:pPr>
        <w:pStyle w:val="Caption"/>
      </w:pPr>
      <w:r w:rsidRPr="00B77829">
        <w:lastRenderedPageBreak/>
        <w:t>Nominal Amounts: 2016</w:t>
      </w:r>
    </w:p>
    <w:tbl>
      <w:tblPr>
        <w:tblStyle w:val="FinancialTable"/>
        <w:tblW w:w="5000" w:type="pct"/>
        <w:tblLook w:val="04A0" w:firstRow="1" w:lastRow="0" w:firstColumn="1" w:lastColumn="0" w:noHBand="0" w:noVBand="1"/>
      </w:tblPr>
      <w:tblGrid>
        <w:gridCol w:w="5390"/>
        <w:gridCol w:w="1062"/>
        <w:gridCol w:w="1062"/>
        <w:gridCol w:w="1062"/>
        <w:gridCol w:w="1062"/>
      </w:tblGrid>
      <w:tr w:rsidR="00B77829" w:rsidRPr="00B77829" w:rsidTr="00B6401F">
        <w:trPr>
          <w:cnfStyle w:val="100000000000" w:firstRow="1" w:lastRow="0" w:firstColumn="0" w:lastColumn="0" w:oddVBand="0" w:evenVBand="0" w:oddHBand="0" w:evenHBand="0" w:firstRowFirstColumn="0" w:firstRowLastColumn="0" w:lastRowFirstColumn="0" w:lastRowLastColumn="0"/>
          <w:trHeight w:val="838"/>
        </w:trPr>
        <w:tc>
          <w:tcPr>
            <w:cnfStyle w:val="001000000100" w:firstRow="0" w:lastRow="0" w:firstColumn="1" w:lastColumn="0" w:oddVBand="0" w:evenVBand="0" w:oddHBand="0" w:evenHBand="0" w:firstRowFirstColumn="1" w:firstRowLastColumn="0" w:lastRowFirstColumn="0" w:lastRowLastColumn="0"/>
            <w:tcW w:w="2795" w:type="pct"/>
            <w:noWrap/>
            <w:hideMark/>
          </w:tcPr>
          <w:p w:rsidR="00B77829" w:rsidRPr="00B77829" w:rsidRDefault="00B77829" w:rsidP="00B77829">
            <w:pPr>
              <w:pStyle w:val="TableBodyText"/>
              <w:rPr>
                <w:rStyle w:val="Bold"/>
              </w:rPr>
            </w:pPr>
            <w:r w:rsidRPr="00B77829">
              <w:rPr>
                <w:rStyle w:val="Bold"/>
              </w:rPr>
              <w:t>Item</w:t>
            </w:r>
          </w:p>
        </w:tc>
        <w:tc>
          <w:tcPr>
            <w:tcW w:w="551" w:type="pct"/>
            <w:shd w:val="clear" w:color="auto" w:fill="F3F3F3"/>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Less than 1 year</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c>
          <w:tcPr>
            <w:tcW w:w="551" w:type="pct"/>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Between 1 and 5 years</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c>
          <w:tcPr>
            <w:tcW w:w="551" w:type="pct"/>
            <w:shd w:val="clear" w:color="auto" w:fill="F3F3F3"/>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Over 5 years</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c>
          <w:tcPr>
            <w:tcW w:w="551" w:type="pct"/>
            <w:noWrap/>
            <w:hideMark/>
          </w:tcPr>
          <w:p w:rsidR="00B77829" w:rsidRPr="00B77829" w:rsidRDefault="00B77829" w:rsidP="00B7782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Total</w:t>
            </w:r>
          </w:p>
          <w:p w:rsidR="00B77829" w:rsidRPr="00B77829" w:rsidRDefault="00B77829" w:rsidP="00B7782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B77829">
              <w:rPr>
                <w:rStyle w:val="Bold"/>
              </w:rPr>
              <w:t>$'000</w:t>
            </w:r>
          </w:p>
        </w:tc>
      </w:tr>
      <w:tr w:rsidR="00B77829" w:rsidRPr="00B77829" w:rsidTr="00B6401F">
        <w:tc>
          <w:tcPr>
            <w:cnfStyle w:val="001000000000" w:firstRow="0" w:lastRow="0" w:firstColumn="1" w:lastColumn="0" w:oddVBand="0" w:evenVBand="0" w:oddHBand="0" w:evenHBand="0" w:firstRowFirstColumn="0" w:firstRowLastColumn="0" w:lastRowFirstColumn="0" w:lastRowLastColumn="0"/>
            <w:tcW w:w="2795" w:type="pct"/>
            <w:hideMark/>
          </w:tcPr>
          <w:p w:rsidR="00B77829" w:rsidRPr="00B77829" w:rsidRDefault="00B77829" w:rsidP="00B77829">
            <w:pPr>
              <w:pStyle w:val="TableBodyText"/>
            </w:pPr>
            <w:r w:rsidRPr="00B77829">
              <w:t xml:space="preserve">Public private partnership - operation and maintenance commitments (7.2.1) </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13,651</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55,594</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14,156</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83,401</w:t>
            </w:r>
          </w:p>
        </w:tc>
      </w:tr>
      <w:tr w:rsidR="00B77829" w:rsidRPr="00B77829" w:rsidTr="00B6401F">
        <w:tc>
          <w:tcPr>
            <w:cnfStyle w:val="001000000000" w:firstRow="0" w:lastRow="0" w:firstColumn="1" w:lastColumn="0" w:oddVBand="0" w:evenVBand="0" w:oddHBand="0" w:evenHBand="0" w:firstRowFirstColumn="0" w:firstRowLastColumn="0" w:lastRowFirstColumn="0" w:lastRowLastColumn="0"/>
            <w:tcW w:w="2795" w:type="pct"/>
            <w:hideMark/>
          </w:tcPr>
          <w:p w:rsidR="00B77829" w:rsidRPr="00B77829" w:rsidRDefault="00B77829" w:rsidP="00B77829">
            <w:pPr>
              <w:pStyle w:val="TableBodyText"/>
            </w:pPr>
            <w:r w:rsidRPr="00B77829">
              <w:t>Capital expenditure commitments payable</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52,255</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23,617</w:t>
            </w:r>
          </w:p>
        </w:tc>
        <w:tc>
          <w:tcPr>
            <w:tcW w:w="551" w:type="pct"/>
            <w:shd w:val="clear" w:color="auto" w:fill="F3F3F3"/>
            <w:noWrap/>
            <w:hideMark/>
          </w:tcPr>
          <w:p w:rsidR="00B77829" w:rsidRPr="00B77829" w:rsidRDefault="00B6401F" w:rsidP="00B77829">
            <w:pPr>
              <w:pStyle w:val="TableBodyText"/>
              <w:cnfStyle w:val="000000000000" w:firstRow="0" w:lastRow="0" w:firstColumn="0" w:lastColumn="0" w:oddVBand="0" w:evenVBand="0" w:oddHBand="0" w:evenHBand="0" w:firstRowFirstColumn="0" w:firstRowLastColumn="0" w:lastRowFirstColumn="0" w:lastRowLastColumn="0"/>
            </w:pPr>
            <w:r>
              <w:t>0</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75,872</w:t>
            </w:r>
          </w:p>
        </w:tc>
      </w:tr>
      <w:tr w:rsidR="00B77829" w:rsidRPr="00B77829" w:rsidTr="00B6401F">
        <w:tc>
          <w:tcPr>
            <w:cnfStyle w:val="001000000000" w:firstRow="0" w:lastRow="0" w:firstColumn="1" w:lastColumn="0" w:oddVBand="0" w:evenVBand="0" w:oddHBand="0" w:evenHBand="0" w:firstRowFirstColumn="0" w:firstRowLastColumn="0" w:lastRowFirstColumn="0" w:lastRowLastColumn="0"/>
            <w:tcW w:w="2795" w:type="pct"/>
            <w:hideMark/>
          </w:tcPr>
          <w:p w:rsidR="00B77829" w:rsidRPr="00B77829" w:rsidRDefault="00B77829" w:rsidP="00B77829">
            <w:pPr>
              <w:pStyle w:val="TableBodyText"/>
            </w:pPr>
            <w:r w:rsidRPr="00B77829">
              <w:t xml:space="preserve">Operating and lease commitments payable </w:t>
            </w:r>
          </w:p>
        </w:tc>
        <w:tc>
          <w:tcPr>
            <w:tcW w:w="551" w:type="pct"/>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8,159</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16,379</w:t>
            </w:r>
          </w:p>
        </w:tc>
        <w:tc>
          <w:tcPr>
            <w:tcW w:w="551" w:type="pct"/>
            <w:shd w:val="clear" w:color="auto" w:fill="F3F3F3"/>
            <w:noWrap/>
            <w:hideMark/>
          </w:tcPr>
          <w:p w:rsidR="00B77829" w:rsidRPr="00B77829" w:rsidRDefault="00B6401F" w:rsidP="00B77829">
            <w:pPr>
              <w:pStyle w:val="TableBodyText"/>
              <w:cnfStyle w:val="000000000000" w:firstRow="0" w:lastRow="0" w:firstColumn="0" w:lastColumn="0" w:oddVBand="0" w:evenVBand="0" w:oddHBand="0" w:evenHBand="0" w:firstRowFirstColumn="0" w:firstRowLastColumn="0" w:lastRowFirstColumn="0" w:lastRowLastColumn="0"/>
            </w:pPr>
            <w:r>
              <w:t>0</w:t>
            </w:r>
          </w:p>
        </w:tc>
        <w:tc>
          <w:tcPr>
            <w:tcW w:w="551" w:type="pct"/>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24,538</w:t>
            </w:r>
          </w:p>
        </w:tc>
      </w:tr>
      <w:tr w:rsidR="00B77829" w:rsidRPr="00B77829" w:rsidTr="00B6401F">
        <w:tc>
          <w:tcPr>
            <w:cnfStyle w:val="001000000000" w:firstRow="0" w:lastRow="0" w:firstColumn="1" w:lastColumn="0" w:oddVBand="0" w:evenVBand="0" w:oddHBand="0" w:evenHBand="0" w:firstRowFirstColumn="0" w:firstRowLastColumn="0" w:lastRowFirstColumn="0" w:lastRowLastColumn="0"/>
            <w:tcW w:w="2795" w:type="pct"/>
            <w:tcBorders>
              <w:bottom w:val="single" w:sz="4" w:space="0" w:color="auto"/>
            </w:tcBorders>
            <w:hideMark/>
          </w:tcPr>
          <w:p w:rsidR="00B77829" w:rsidRPr="00B77829" w:rsidRDefault="00B77829" w:rsidP="00B77829">
            <w:pPr>
              <w:pStyle w:val="TableBodyText"/>
            </w:pPr>
            <w:r w:rsidRPr="00B77829">
              <w:t>Other commitments payable</w:t>
            </w:r>
          </w:p>
        </w:tc>
        <w:tc>
          <w:tcPr>
            <w:tcW w:w="551" w:type="pct"/>
            <w:tcBorders>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4,747</w:t>
            </w:r>
          </w:p>
        </w:tc>
        <w:tc>
          <w:tcPr>
            <w:tcW w:w="551" w:type="pct"/>
            <w:tcBorders>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2,850</w:t>
            </w:r>
          </w:p>
        </w:tc>
        <w:tc>
          <w:tcPr>
            <w:tcW w:w="551" w:type="pct"/>
            <w:tcBorders>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16</w:t>
            </w:r>
          </w:p>
        </w:tc>
        <w:tc>
          <w:tcPr>
            <w:tcW w:w="551" w:type="pct"/>
            <w:tcBorders>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7,613</w:t>
            </w:r>
          </w:p>
        </w:tc>
      </w:tr>
      <w:tr w:rsidR="00B77829" w:rsidRPr="00B77829" w:rsidTr="00B6401F">
        <w:tc>
          <w:tcPr>
            <w:cnfStyle w:val="001000000000" w:firstRow="0" w:lastRow="0" w:firstColumn="1" w:lastColumn="0" w:oddVBand="0" w:evenVBand="0" w:oddHBand="0" w:evenHBand="0" w:firstRowFirstColumn="0" w:firstRowLastColumn="0" w:lastRowFirstColumn="0" w:lastRowLastColumn="0"/>
            <w:tcW w:w="2795" w:type="pct"/>
            <w:tcBorders>
              <w:top w:val="single" w:sz="4" w:space="0" w:color="auto"/>
              <w:bottom w:val="nil"/>
            </w:tcBorders>
            <w:noWrap/>
            <w:hideMark/>
          </w:tcPr>
          <w:p w:rsidR="00B77829" w:rsidRPr="00B77829" w:rsidRDefault="00B77829" w:rsidP="00B77829">
            <w:pPr>
              <w:pStyle w:val="TableBodyText"/>
              <w:rPr>
                <w:rStyle w:val="Bold"/>
              </w:rPr>
            </w:pPr>
            <w:r w:rsidRPr="00B77829">
              <w:rPr>
                <w:rStyle w:val="Bold"/>
              </w:rPr>
              <w:t>Total commitments (inclusive of GST)</w:t>
            </w:r>
          </w:p>
        </w:tc>
        <w:tc>
          <w:tcPr>
            <w:tcW w:w="551" w:type="pct"/>
            <w:tcBorders>
              <w:top w:val="single" w:sz="4" w:space="0" w:color="auto"/>
              <w:bottom w:val="nil"/>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78,812</w:t>
            </w:r>
          </w:p>
        </w:tc>
        <w:tc>
          <w:tcPr>
            <w:tcW w:w="551" w:type="pct"/>
            <w:tcBorders>
              <w:top w:val="single" w:sz="4" w:space="0" w:color="auto"/>
              <w:bottom w:val="nil"/>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98,440</w:t>
            </w:r>
          </w:p>
        </w:tc>
        <w:tc>
          <w:tcPr>
            <w:tcW w:w="551" w:type="pct"/>
            <w:tcBorders>
              <w:top w:val="single" w:sz="4" w:space="0" w:color="auto"/>
              <w:bottom w:val="nil"/>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14,172</w:t>
            </w:r>
          </w:p>
        </w:tc>
        <w:tc>
          <w:tcPr>
            <w:tcW w:w="551" w:type="pct"/>
            <w:tcBorders>
              <w:top w:val="single" w:sz="4" w:space="0" w:color="auto"/>
              <w:bottom w:val="nil"/>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191,424</w:t>
            </w:r>
          </w:p>
        </w:tc>
      </w:tr>
      <w:tr w:rsidR="00B77829" w:rsidRPr="00B77829" w:rsidTr="00B6401F">
        <w:tc>
          <w:tcPr>
            <w:cnfStyle w:val="001000000000" w:firstRow="0" w:lastRow="0" w:firstColumn="1" w:lastColumn="0" w:oddVBand="0" w:evenVBand="0" w:oddHBand="0" w:evenHBand="0" w:firstRowFirstColumn="0" w:firstRowLastColumn="0" w:lastRowFirstColumn="0" w:lastRowLastColumn="0"/>
            <w:tcW w:w="2795" w:type="pct"/>
            <w:tcBorders>
              <w:top w:val="nil"/>
              <w:bottom w:val="single" w:sz="4" w:space="0" w:color="auto"/>
            </w:tcBorders>
            <w:noWrap/>
            <w:hideMark/>
          </w:tcPr>
          <w:p w:rsidR="00B77829" w:rsidRPr="00B77829" w:rsidRDefault="00B77829" w:rsidP="00B77829">
            <w:pPr>
              <w:pStyle w:val="TableBodyText"/>
            </w:pPr>
            <w:r w:rsidRPr="00B77829">
              <w:t>Less GST recoverable</w:t>
            </w:r>
          </w:p>
        </w:tc>
        <w:tc>
          <w:tcPr>
            <w:tcW w:w="551" w:type="pct"/>
            <w:tcBorders>
              <w:top w:val="nil"/>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7,165</w:t>
            </w:r>
          </w:p>
        </w:tc>
        <w:tc>
          <w:tcPr>
            <w:tcW w:w="551" w:type="pct"/>
            <w:tcBorders>
              <w:top w:val="nil"/>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8,949</w:t>
            </w:r>
          </w:p>
        </w:tc>
        <w:tc>
          <w:tcPr>
            <w:tcW w:w="551" w:type="pct"/>
            <w:tcBorders>
              <w:top w:val="nil"/>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1,288</w:t>
            </w:r>
          </w:p>
        </w:tc>
        <w:tc>
          <w:tcPr>
            <w:tcW w:w="551" w:type="pct"/>
            <w:tcBorders>
              <w:top w:val="nil"/>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pPr>
            <w:r w:rsidRPr="00B77829">
              <w:t>17,402</w:t>
            </w:r>
          </w:p>
        </w:tc>
      </w:tr>
      <w:tr w:rsidR="00B77829" w:rsidRPr="00B77829" w:rsidTr="00B6401F">
        <w:tc>
          <w:tcPr>
            <w:cnfStyle w:val="001000000000" w:firstRow="0" w:lastRow="0" w:firstColumn="1" w:lastColumn="0" w:oddVBand="0" w:evenVBand="0" w:oddHBand="0" w:evenHBand="0" w:firstRowFirstColumn="0" w:firstRowLastColumn="0" w:lastRowFirstColumn="0" w:lastRowLastColumn="0"/>
            <w:tcW w:w="2795" w:type="pct"/>
            <w:tcBorders>
              <w:top w:val="single" w:sz="4" w:space="0" w:color="auto"/>
              <w:bottom w:val="single" w:sz="4" w:space="0" w:color="auto"/>
            </w:tcBorders>
            <w:noWrap/>
            <w:hideMark/>
          </w:tcPr>
          <w:p w:rsidR="00B77829" w:rsidRPr="00B77829" w:rsidRDefault="00B77829" w:rsidP="00B77829">
            <w:pPr>
              <w:pStyle w:val="TableBodyText"/>
              <w:rPr>
                <w:rStyle w:val="Bold"/>
              </w:rPr>
            </w:pPr>
            <w:r w:rsidRPr="00B77829">
              <w:rPr>
                <w:rStyle w:val="Bold"/>
              </w:rPr>
              <w:t>Total commitments (exclusive of GST)</w:t>
            </w:r>
          </w:p>
        </w:tc>
        <w:tc>
          <w:tcPr>
            <w:tcW w:w="551" w:type="pct"/>
            <w:tcBorders>
              <w:top w:val="single" w:sz="4" w:space="0" w:color="auto"/>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71,647</w:t>
            </w:r>
          </w:p>
        </w:tc>
        <w:tc>
          <w:tcPr>
            <w:tcW w:w="551" w:type="pct"/>
            <w:tcBorders>
              <w:top w:val="single" w:sz="4" w:space="0" w:color="auto"/>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89,491</w:t>
            </w:r>
          </w:p>
        </w:tc>
        <w:tc>
          <w:tcPr>
            <w:tcW w:w="551" w:type="pct"/>
            <w:tcBorders>
              <w:top w:val="single" w:sz="4" w:space="0" w:color="auto"/>
              <w:bottom w:val="single" w:sz="4" w:space="0" w:color="auto"/>
            </w:tcBorders>
            <w:shd w:val="clear" w:color="auto" w:fill="F3F3F3"/>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12,884</w:t>
            </w:r>
          </w:p>
        </w:tc>
        <w:tc>
          <w:tcPr>
            <w:tcW w:w="551" w:type="pct"/>
            <w:tcBorders>
              <w:top w:val="single" w:sz="4" w:space="0" w:color="auto"/>
              <w:bottom w:val="single" w:sz="4" w:space="0" w:color="auto"/>
            </w:tcBorders>
            <w:noWrap/>
            <w:hideMark/>
          </w:tcPr>
          <w:p w:rsidR="00B77829" w:rsidRPr="00B77829" w:rsidRDefault="00B77829" w:rsidP="00B7782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B77829">
              <w:rPr>
                <w:rStyle w:val="Bold"/>
              </w:rPr>
              <w:t>174,022</w:t>
            </w:r>
          </w:p>
        </w:tc>
      </w:tr>
    </w:tbl>
    <w:p w:rsidR="00B77829" w:rsidRDefault="00B77829" w:rsidP="00B77829">
      <w:pPr>
        <w:pStyle w:val="Heading3"/>
      </w:pPr>
      <w:r>
        <w:t>Public private partnership</w:t>
      </w:r>
    </w:p>
    <w:p w:rsidR="00B77829" w:rsidRDefault="00B77829" w:rsidP="00B77829">
      <w:pPr>
        <w:pStyle w:val="BodyText"/>
      </w:pPr>
      <w:r>
        <w:t>CSV sometimes enters into certain arrangements with private sector participants to design and construct or upgrade assets used to provide public services. These arrangements are typically complex and usually include the provision of operational and maintenance services for a specified period of time. These arrangements are often referred to as either public private partnerships or service concession arrangements (</w:t>
      </w:r>
      <w:proofErr w:type="spellStart"/>
      <w:r>
        <w:t>SCAs</w:t>
      </w:r>
      <w:proofErr w:type="spellEnd"/>
      <w:r>
        <w:t xml:space="preserve">). </w:t>
      </w:r>
    </w:p>
    <w:p w:rsidR="00B77829" w:rsidRDefault="00B77829" w:rsidP="00B77829">
      <w:pPr>
        <w:pStyle w:val="BodyText"/>
      </w:pPr>
      <w:r>
        <w:t xml:space="preserve">These </w:t>
      </w:r>
      <w:proofErr w:type="spellStart"/>
      <w:r>
        <w:t>SCAs</w:t>
      </w:r>
      <w:proofErr w:type="spellEnd"/>
      <w:r>
        <w:t xml:space="preserve"> usually take one of two main forms. In the more common form, CSV pays the operator over the period of the arrangement, subject to specified performance criteria being met. At the date of commitment to the principal provisions of the arrangement, these estimated periodic payments are allocated between a component related to the design and construction or upgrading of the asset and components related to the ongoing operation and maintenance of the asset. The former component is accounted for as a lease payment in accordance with the lease accounting policy. The remaining components are accounted for as commitments for operating costs which are expensed in the comprehensive operating statement as they are incurred.</w:t>
      </w:r>
    </w:p>
    <w:p w:rsidR="00B77829" w:rsidRDefault="00B77829" w:rsidP="00B77829">
      <w:pPr>
        <w:pStyle w:val="BodyText"/>
      </w:pPr>
      <w:r>
        <w:t xml:space="preserve">CSV has entered into this type of </w:t>
      </w:r>
      <w:proofErr w:type="spellStart"/>
      <w:r>
        <w:t>SCA</w:t>
      </w:r>
      <w:proofErr w:type="spellEnd"/>
      <w:r>
        <w:t xml:space="preserve"> for the design, construction and management of the County Court.  Details of the County Court </w:t>
      </w:r>
      <w:proofErr w:type="spellStart"/>
      <w:r>
        <w:t>SCA</w:t>
      </w:r>
      <w:proofErr w:type="spellEnd"/>
      <w:r>
        <w:t xml:space="preserve"> can be found at Note 7.2.1.</w:t>
      </w:r>
    </w:p>
    <w:p w:rsidR="00B77829" w:rsidRPr="00F6099F" w:rsidRDefault="00B77829" w:rsidP="00B77829">
      <w:pPr>
        <w:pStyle w:val="BodyText"/>
      </w:pPr>
      <w:r>
        <w:t xml:space="preserve">The other, less common form of </w:t>
      </w:r>
      <w:proofErr w:type="spellStart"/>
      <w:r>
        <w:t>SCA</w:t>
      </w:r>
      <w:proofErr w:type="spellEnd"/>
      <w:r>
        <w:t xml:space="preserve"> is one in which CSV grants to an operator, for a specified period of time, the right to collect fees from users of the </w:t>
      </w:r>
      <w:proofErr w:type="spellStart"/>
      <w:r>
        <w:t>SCA</w:t>
      </w:r>
      <w:proofErr w:type="spellEnd"/>
      <w:r>
        <w:t xml:space="preserve"> asset, in return for which the operator constructs the asset and has the obligation to supply agreed upon services, including maintenance of the asset for the period of the concession. These private sector entities typically lease land, and sometimes state works, from CSV and construct infrastructure. At the end of the concession period, the land and state works, together with the constructed facilities, are returned to the grantor CSV.  CSV has not entered into this type of concession arrangement.</w:t>
      </w:r>
      <w:r>
        <w:tab/>
      </w:r>
    </w:p>
    <w:p w:rsidR="00B77829" w:rsidRDefault="00B77829" w:rsidP="00B77829">
      <w:pPr>
        <w:pStyle w:val="Heading1"/>
      </w:pPr>
      <w:bookmarkStart w:id="55" w:name="_Toc497125486"/>
      <w:r>
        <w:lastRenderedPageBreak/>
        <w:t xml:space="preserve">Risks, </w:t>
      </w:r>
      <w:r w:rsidR="00B6401F">
        <w:t>contingencies and valuation judgements</w:t>
      </w:r>
      <w:bookmarkEnd w:id="55"/>
    </w:p>
    <w:p w:rsidR="00B77829" w:rsidRPr="00BD6E5E" w:rsidRDefault="00B77829" w:rsidP="00BD6E5E">
      <w:pPr>
        <w:pStyle w:val="BodyText"/>
        <w:rPr>
          <w:rStyle w:val="Bold"/>
        </w:rPr>
      </w:pPr>
      <w:r w:rsidRPr="00BD6E5E">
        <w:rPr>
          <w:rStyle w:val="Bold"/>
        </w:rPr>
        <w:t>Introduction</w:t>
      </w:r>
    </w:p>
    <w:p w:rsidR="00B77829" w:rsidRDefault="00B77829" w:rsidP="00B77829">
      <w:pPr>
        <w:pStyle w:val="BodyText"/>
      </w:pPr>
      <w:r>
        <w:t>CSV is exposed to risk from its activities and outside factors. In addition, it is often necessary to make judgements and estimates associated with recognition and measurement of items in the financial statements. This section sets out financial instrument specific information (including exposures to financial risks), as well as those items that are contingent in nature or require a higher level of judgement to be applied, which for CSV relate mainly to fair value determination.</w:t>
      </w:r>
    </w:p>
    <w:p w:rsidR="00B77829" w:rsidRPr="00BD6E5E" w:rsidRDefault="00B77829" w:rsidP="00BD6E5E">
      <w:pPr>
        <w:pStyle w:val="BodyText"/>
        <w:rPr>
          <w:rStyle w:val="Bold"/>
        </w:rPr>
      </w:pPr>
      <w:r w:rsidRPr="00BD6E5E">
        <w:rPr>
          <w:rStyle w:val="Bold"/>
        </w:rPr>
        <w:t>Structure</w:t>
      </w:r>
    </w:p>
    <w:p w:rsidR="00B77829" w:rsidRDefault="00B77829" w:rsidP="00B77829">
      <w:pPr>
        <w:pStyle w:val="BodyText"/>
        <w:tabs>
          <w:tab w:val="left" w:pos="567"/>
        </w:tabs>
      </w:pPr>
      <w:r>
        <w:t>8.1</w:t>
      </w:r>
      <w:r>
        <w:tab/>
        <w:t>Financial instruments specific disclosures</w:t>
      </w:r>
    </w:p>
    <w:p w:rsidR="00B77829" w:rsidRDefault="00B77829" w:rsidP="00B77829">
      <w:pPr>
        <w:pStyle w:val="BodyText"/>
        <w:tabs>
          <w:tab w:val="left" w:pos="567"/>
        </w:tabs>
      </w:pPr>
      <w:r>
        <w:t>8.2</w:t>
      </w:r>
      <w:r>
        <w:tab/>
        <w:t>Contingent assets and contingent liabilities</w:t>
      </w:r>
    </w:p>
    <w:p w:rsidR="00B77829" w:rsidRDefault="00B77829" w:rsidP="00B77829">
      <w:pPr>
        <w:pStyle w:val="BodyText"/>
        <w:tabs>
          <w:tab w:val="left" w:pos="567"/>
        </w:tabs>
      </w:pPr>
      <w:r>
        <w:t>8.3</w:t>
      </w:r>
      <w:r>
        <w:tab/>
        <w:t>Fair value determination</w:t>
      </w:r>
    </w:p>
    <w:p w:rsidR="00B77829" w:rsidRDefault="00B77829" w:rsidP="00B6401F">
      <w:pPr>
        <w:pStyle w:val="Heading2"/>
      </w:pPr>
      <w:bookmarkStart w:id="56" w:name="_Toc497125487"/>
      <w:r>
        <w:t>Financial instruments specific disclosures</w:t>
      </w:r>
      <w:bookmarkEnd w:id="56"/>
    </w:p>
    <w:p w:rsidR="00B77829" w:rsidRDefault="00B77829" w:rsidP="00B6401F">
      <w:pPr>
        <w:pStyle w:val="Heading3"/>
        <w:numPr>
          <w:ilvl w:val="0"/>
          <w:numId w:val="0"/>
        </w:numPr>
      </w:pPr>
      <w:r>
        <w:t>Introduction</w:t>
      </w:r>
    </w:p>
    <w:p w:rsidR="00B77829" w:rsidRDefault="00B77829" w:rsidP="00B77829">
      <w:pPr>
        <w:pStyle w:val="BodyText"/>
      </w:pPr>
      <w:r>
        <w:t xml:space="preserve">Financial instruments arise out of contractual agreements that give rise to a financial asset of one entity and a financial liability or equity instrument of another entity. Due to the nature of CSV's activities, certain financial assets and financial liabilities arise under statute rather than a contract (for example, taxes, fines and penalties). Such assets and liabilities do not meet the definition of financial instruments in </w:t>
      </w:r>
      <w:proofErr w:type="spellStart"/>
      <w:r>
        <w:t>AASB</w:t>
      </w:r>
      <w:proofErr w:type="spellEnd"/>
      <w:r>
        <w:t xml:space="preserve"> 132 Financial Instruments: Presentation.</w:t>
      </w:r>
    </w:p>
    <w:p w:rsidR="00B77829" w:rsidRDefault="00B77829" w:rsidP="00B6401F">
      <w:pPr>
        <w:pStyle w:val="Heading3"/>
        <w:numPr>
          <w:ilvl w:val="0"/>
          <w:numId w:val="0"/>
        </w:numPr>
      </w:pPr>
      <w:r>
        <w:t>Categories of financial instruments</w:t>
      </w:r>
    </w:p>
    <w:p w:rsidR="00B77829" w:rsidRDefault="00B77829" w:rsidP="00B77829">
      <w:pPr>
        <w:pStyle w:val="BodyText"/>
      </w:pPr>
      <w:r>
        <w:t>Loans and receivables and cash are financial instrument assets with fixed and determinable payments that are not quoted on an active market. These assets and liabilities are initially recognised at fair value plus any directly attributable transaction costs. Subsequent to initial measurement, loans and receivables are measured at amortised cost using the effective interest method (and for assets, less any impairment). CSV recognises the following assets in this category:</w:t>
      </w:r>
    </w:p>
    <w:p w:rsidR="00B77829" w:rsidRDefault="00B77829" w:rsidP="00B77829">
      <w:pPr>
        <w:pStyle w:val="ListBullet"/>
      </w:pPr>
      <w:r>
        <w:t>cash; and</w:t>
      </w:r>
    </w:p>
    <w:p w:rsidR="00B77829" w:rsidRDefault="00B77829" w:rsidP="00B77829">
      <w:pPr>
        <w:pStyle w:val="ListBullet"/>
      </w:pPr>
      <w:proofErr w:type="gramStart"/>
      <w:r>
        <w:t>receivables</w:t>
      </w:r>
      <w:proofErr w:type="gramEnd"/>
      <w:r>
        <w:t xml:space="preserve"> (excluding statutory receivables).</w:t>
      </w:r>
    </w:p>
    <w:p w:rsidR="00B77829" w:rsidRDefault="00B77829" w:rsidP="00B77829">
      <w:pPr>
        <w:pStyle w:val="BodyText"/>
      </w:pPr>
      <w:r>
        <w:t>Financial assets and liabilities at fair value through net result are categorised as such at trade date, or if they are classified as held for trading or designated as such upon initial recognition. Financial instrument assets are designated at fair value through profit or loss on the basis that the financial assets form part of a group of financial assets that are managed based on their fair values and have their performance evaluated in accordance with documented risk management and investment strategies. Financial instruments at fair value through net result are initially measured at fair value; attributable transaction costs are expensed as incurred. Subsequently, any changes in fair value are recognised in the net result as other economic flows.</w:t>
      </w:r>
    </w:p>
    <w:p w:rsidR="00B77829" w:rsidRDefault="00B77829" w:rsidP="00B77829">
      <w:pPr>
        <w:pStyle w:val="BodyText"/>
      </w:pPr>
      <w:r>
        <w:t>Financial liabilities at amortised cost are initially recognised on the date they are originated. They are initially measured at fair value plus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interest bearing liability, using the effective interest rate method. CSV recognises the following liabilities in this category:</w:t>
      </w:r>
    </w:p>
    <w:p w:rsidR="00B77829" w:rsidRDefault="00B77829" w:rsidP="00B77829">
      <w:pPr>
        <w:pStyle w:val="ListBullet"/>
      </w:pPr>
      <w:r>
        <w:t>payables (excluding statutory payables); and</w:t>
      </w:r>
    </w:p>
    <w:p w:rsidR="00B77829" w:rsidRDefault="00B77829" w:rsidP="00B77829">
      <w:pPr>
        <w:pStyle w:val="ListBullet"/>
      </w:pPr>
      <w:proofErr w:type="gramStart"/>
      <w:r>
        <w:lastRenderedPageBreak/>
        <w:t>borrowings</w:t>
      </w:r>
      <w:proofErr w:type="gramEnd"/>
      <w:r>
        <w:t xml:space="preserve"> (including finance lease liabilities).</w:t>
      </w:r>
    </w:p>
    <w:p w:rsidR="00B77829" w:rsidRDefault="00B77829" w:rsidP="00B77829">
      <w:pPr>
        <w:pStyle w:val="BodyText"/>
      </w:pPr>
      <w:r>
        <w:t>Derivative financial instruments are classified as held for trading financial assets and liabilities. They are initially recognised at fair value on the date on which a derivative contract is entered into. Derivatives are carried as assets when their fair value is positive and as liabilities when their fair value is negative. Any gains or losses arising from changes in the fair value of derivatives after initial recognition are recognised in the consolidated comprehensive operating statement as an ‘other economic flow’ included in the net result.</w:t>
      </w:r>
    </w:p>
    <w:p w:rsidR="00B77829" w:rsidRDefault="00B77829" w:rsidP="00B77829">
      <w:pPr>
        <w:pStyle w:val="BodyText"/>
      </w:pPr>
      <w:r>
        <w:t>Offsetting financial instruments: Financial instrument assets and liabilities are offset and the net amount presented in the consolidated balance sheet when, and only when, CSV has a legal right to offset the amounts and intends either to settle on a net basis or to realise the asset and settle the liability simultaneously.</w:t>
      </w:r>
    </w:p>
    <w:p w:rsidR="00B77829" w:rsidRDefault="00B77829" w:rsidP="00B77829">
      <w:pPr>
        <w:pStyle w:val="BodyText"/>
      </w:pPr>
      <w:proofErr w:type="spellStart"/>
      <w:r>
        <w:t>Derecognition</w:t>
      </w:r>
      <w:proofErr w:type="spellEnd"/>
      <w:r>
        <w:t xml:space="preserve"> of financial assets: A financial asset (or, where applicable, a part of a financial asset or part of a group of similar financial assets) is derecognised when:</w:t>
      </w:r>
    </w:p>
    <w:p w:rsidR="00B77829" w:rsidRDefault="00B77829" w:rsidP="00151705">
      <w:pPr>
        <w:pStyle w:val="ListBullet"/>
      </w:pPr>
      <w:r>
        <w:t>the rights to receive cash flows from the asset have expired; or</w:t>
      </w:r>
    </w:p>
    <w:p w:rsidR="00B77829" w:rsidRDefault="00B77829" w:rsidP="00151705">
      <w:pPr>
        <w:pStyle w:val="ListBullet"/>
      </w:pPr>
      <w:r>
        <w:t>CSV retains the right to receive cash flows from the asset, but has assumed an obligation to pay them in full without material delay to a third party under a ‘pass through’ arrangement; or</w:t>
      </w:r>
    </w:p>
    <w:p w:rsidR="00B77829" w:rsidRDefault="00B77829" w:rsidP="00151705">
      <w:pPr>
        <w:pStyle w:val="ListBullet"/>
      </w:pPr>
      <w:r>
        <w:t>CSV has transferred its rights to receive cash flows from the asset and either:</w:t>
      </w:r>
    </w:p>
    <w:p w:rsidR="00B77829" w:rsidRDefault="00B77829" w:rsidP="00151705">
      <w:pPr>
        <w:pStyle w:val="ListBullet2"/>
      </w:pPr>
      <w:r>
        <w:t>transferred substantially all the risks and rewards of the asset; or</w:t>
      </w:r>
    </w:p>
    <w:p w:rsidR="00B77829" w:rsidRDefault="00B77829" w:rsidP="00151705">
      <w:pPr>
        <w:pStyle w:val="ListBullet2"/>
      </w:pPr>
      <w:proofErr w:type="gramStart"/>
      <w:r>
        <w:t>neither</w:t>
      </w:r>
      <w:proofErr w:type="gramEnd"/>
      <w:r>
        <w:t xml:space="preserve"> transferred nor retained substantially all the risks and rewards of the asset, but has transferred control of the asset.</w:t>
      </w:r>
    </w:p>
    <w:p w:rsidR="00B77829" w:rsidRDefault="00B77829" w:rsidP="00B77829">
      <w:pPr>
        <w:pStyle w:val="BodyText"/>
      </w:pPr>
      <w:r>
        <w:t>Where CSV has neither transferred nor retained substantially all the risks and rewards or transferred control, the asset is recognised to the extent of CSV's continuing involvement in the asset.</w:t>
      </w:r>
    </w:p>
    <w:p w:rsidR="00B77829" w:rsidRDefault="00B77829" w:rsidP="00B77829">
      <w:pPr>
        <w:pStyle w:val="BodyText"/>
      </w:pPr>
      <w:r>
        <w:t>Impairment of financial assets: At the end of each reporting period, CSV assesses whether there is objective evidence that a financial asset or group of financial assets is impaired. All financial instrument assets, except those measured at fair value through profit or loss, are subject to annual review for impairment.</w:t>
      </w:r>
    </w:p>
    <w:p w:rsidR="00B77829" w:rsidRDefault="00B77829" w:rsidP="00B77829">
      <w:pPr>
        <w:pStyle w:val="BodyText"/>
      </w:pPr>
      <w:r>
        <w:t>The allowance is the difference between the financial asset’s carrying amount and the present value of estimated future cash flows, discounted at the effective interest rate. In assessing impairment of statutory (non</w:t>
      </w:r>
      <w:r>
        <w:rPr>
          <w:rFonts w:ascii="Cambria Math" w:hAnsi="Cambria Math" w:cs="Cambria Math"/>
        </w:rPr>
        <w:t>‐</w:t>
      </w:r>
      <w:r>
        <w:t xml:space="preserve">contractual) financial assets, which are not financial instruments, professional judgement is applied in assessing materiality using estimates, averages and other computational methods in accordance with </w:t>
      </w:r>
      <w:proofErr w:type="spellStart"/>
      <w:r>
        <w:t>AASB</w:t>
      </w:r>
      <w:proofErr w:type="spellEnd"/>
      <w:r>
        <w:t xml:space="preserve"> 136 Impairment of Assets.</w:t>
      </w:r>
    </w:p>
    <w:p w:rsidR="00B77829" w:rsidRDefault="00B77829" w:rsidP="00B77829">
      <w:pPr>
        <w:pStyle w:val="BodyText"/>
      </w:pPr>
      <w:r>
        <w:t>Reclassification of financial instruments: Subsequent to initial recognition and under rare circumstances, non</w:t>
      </w:r>
      <w:r>
        <w:rPr>
          <w:rFonts w:ascii="Cambria Math" w:hAnsi="Cambria Math" w:cs="Cambria Math"/>
        </w:rPr>
        <w:t>‐</w:t>
      </w:r>
      <w:r>
        <w:t xml:space="preserve"> derivative financial instruments assets, which have not been designated at fair value through profit or loss upon recognition, may be reclassified out of the fair value through profit or loss category if they are no longer held for the purpose of selling or repurchasing in the near term.</w:t>
      </w:r>
    </w:p>
    <w:p w:rsidR="00B77829" w:rsidRDefault="00B77829" w:rsidP="00B77829">
      <w:pPr>
        <w:pStyle w:val="BodyText"/>
      </w:pPr>
      <w:r>
        <w:t>Financial instrument assets that meet the definition of loans and receivables may be reclassified out of the fair value through profit and loss category into the loans and receivables category, where they would have met the definition of loans and receivables had they not been required to be classified as fair value through profit and loss. In these cases, the financial instrument assets may be reclassified out of the fair value through profit and loss category, if there is the intention and ability to hold them for the foreseeable future or until maturity.</w:t>
      </w:r>
    </w:p>
    <w:p w:rsidR="00B77829" w:rsidRDefault="00B77829" w:rsidP="00B77829">
      <w:pPr>
        <w:pStyle w:val="BodyText"/>
      </w:pPr>
      <w:r>
        <w:t>Available for sale financial instrument assets that meet the definition of loans and receivables may be reclassified into the loans and receivables category if there is the intention and ability to hold them for the foreseeable future or unit maturity.</w:t>
      </w:r>
    </w:p>
    <w:p w:rsidR="00B77829" w:rsidRDefault="00B77829" w:rsidP="00B77829">
      <w:pPr>
        <w:pStyle w:val="BodyText"/>
      </w:pPr>
      <w:proofErr w:type="spellStart"/>
      <w:r>
        <w:lastRenderedPageBreak/>
        <w:t>Derecognition</w:t>
      </w:r>
      <w:proofErr w:type="spellEnd"/>
      <w:r>
        <w:t xml:space="preserve"> of financial liabilities: A financial liability is derecognised when the obligation under the liability is discharged, cancelled or expires.</w:t>
      </w:r>
    </w:p>
    <w:p w:rsidR="002261A0" w:rsidRDefault="00B77829" w:rsidP="00B77829">
      <w:pPr>
        <w:pStyle w:val="BodyText"/>
      </w:pPr>
      <w:r>
        <w:t xml:space="preserve">When an existing financial liability is replaced by another from the same lender on substantially different terms, or the terms of an existing liability are substantially modified, such an exchange or modification is treated as a </w:t>
      </w:r>
      <w:proofErr w:type="spellStart"/>
      <w:r>
        <w:t>derecognition</w:t>
      </w:r>
      <w:proofErr w:type="spellEnd"/>
      <w:r>
        <w:t xml:space="preserve"> of the original liability and the recognition of a new liability. The difference in the respective carrying amounts is recognised as an ‘other economic flow’ in the comprehensive operating statement.</w:t>
      </w:r>
    </w:p>
    <w:p w:rsidR="00151705" w:rsidRDefault="00151705" w:rsidP="00151705">
      <w:pPr>
        <w:pStyle w:val="Heading3"/>
      </w:pPr>
      <w:r w:rsidRPr="00151705">
        <w:t>Financial instruments: Categorisation</w:t>
      </w:r>
    </w:p>
    <w:p w:rsidR="00151705" w:rsidRDefault="00151705" w:rsidP="00151705">
      <w:pPr>
        <w:pStyle w:val="Caption"/>
      </w:pPr>
      <w:r>
        <w:t>2017</w:t>
      </w:r>
    </w:p>
    <w:tbl>
      <w:tblPr>
        <w:tblStyle w:val="FinancialTable"/>
        <w:tblW w:w="5000" w:type="pct"/>
        <w:tblLook w:val="04A0" w:firstRow="1" w:lastRow="0" w:firstColumn="1" w:lastColumn="0" w:noHBand="0" w:noVBand="1"/>
      </w:tblPr>
      <w:tblGrid>
        <w:gridCol w:w="5112"/>
        <w:gridCol w:w="1409"/>
        <w:gridCol w:w="1554"/>
        <w:gridCol w:w="1563"/>
      </w:tblGrid>
      <w:tr w:rsidR="00151705" w:rsidRPr="00151705" w:rsidTr="001517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2" w:type="pct"/>
            <w:noWrap/>
          </w:tcPr>
          <w:p w:rsidR="00151705" w:rsidRPr="00151705" w:rsidRDefault="00151705" w:rsidP="00151705">
            <w:pPr>
              <w:pStyle w:val="TableBodyText"/>
              <w:rPr>
                <w:rStyle w:val="Bold"/>
              </w:rPr>
            </w:pPr>
            <w:r>
              <w:rPr>
                <w:rStyle w:val="Bold"/>
              </w:rPr>
              <w:t>2017</w:t>
            </w:r>
          </w:p>
        </w:tc>
        <w:tc>
          <w:tcPr>
            <w:tcW w:w="731" w:type="pct"/>
            <w:shd w:val="clear" w:color="auto" w:fill="F3F3F3"/>
            <w:hideMark/>
          </w:tcPr>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Contractual financial assets</w:t>
            </w:r>
            <w:r w:rsidRPr="00151705">
              <w:rPr>
                <w:rStyle w:val="Bold"/>
              </w:rPr>
              <w:br/>
              <w:t>- loans and receivables</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c>
          <w:tcPr>
            <w:tcW w:w="806" w:type="pct"/>
            <w:hideMark/>
          </w:tcPr>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Contractual financial liabilities amortised cost</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c>
          <w:tcPr>
            <w:tcW w:w="811" w:type="pct"/>
            <w:shd w:val="clear" w:color="auto" w:fill="F3F3F3"/>
            <w:hideMark/>
          </w:tcPr>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Total</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rPr>
                <w:rStyle w:val="Bold"/>
              </w:rPr>
            </w:pPr>
            <w:r w:rsidRPr="00151705">
              <w:rPr>
                <w:rStyle w:val="Bold"/>
              </w:rPr>
              <w:t>Contractual financial assets</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Cash and deposits/(overdrawn)</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(1,718)</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(1,718)</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Funds held in Trust</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10,804</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xml:space="preserve">10,804 </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rPr>
                <w:rStyle w:val="Bold"/>
              </w:rPr>
            </w:pPr>
            <w:r w:rsidRPr="00151705">
              <w:rPr>
                <w:rStyle w:val="Bold"/>
              </w:rPr>
              <w:t xml:space="preserve">Receivable </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bottom w:val="single" w:sz="4" w:space="0" w:color="auto"/>
            </w:tcBorders>
            <w:noWrap/>
            <w:hideMark/>
          </w:tcPr>
          <w:p w:rsidR="00151705" w:rsidRPr="00151705" w:rsidRDefault="00151705" w:rsidP="00151705">
            <w:pPr>
              <w:pStyle w:val="TableListBullet"/>
            </w:pPr>
            <w:r w:rsidRPr="00151705">
              <w:t>Other receivables</w:t>
            </w:r>
          </w:p>
        </w:tc>
        <w:tc>
          <w:tcPr>
            <w:tcW w:w="73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2,634</w:t>
            </w:r>
          </w:p>
        </w:tc>
        <w:tc>
          <w:tcPr>
            <w:tcW w:w="806" w:type="pct"/>
            <w:tcBorders>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1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xml:space="preserve">2,634 </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top w:val="single" w:sz="4" w:space="0" w:color="auto"/>
              <w:bottom w:val="single" w:sz="4" w:space="0" w:color="auto"/>
            </w:tcBorders>
            <w:noWrap/>
            <w:hideMark/>
          </w:tcPr>
          <w:p w:rsidR="00151705" w:rsidRPr="00151705" w:rsidRDefault="00151705" w:rsidP="00151705">
            <w:pPr>
              <w:pStyle w:val="TableBodyText"/>
            </w:pPr>
            <w:r w:rsidRPr="00151705">
              <w:t>Total contractual financial assets</w:t>
            </w:r>
          </w:p>
        </w:tc>
        <w:tc>
          <w:tcPr>
            <w:tcW w:w="73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11,720</w:t>
            </w:r>
          </w:p>
        </w:tc>
        <w:tc>
          <w:tcPr>
            <w:tcW w:w="806" w:type="pct"/>
            <w:tcBorders>
              <w:top w:val="single" w:sz="4" w:space="0" w:color="auto"/>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0</w:t>
            </w:r>
          </w:p>
        </w:tc>
        <w:tc>
          <w:tcPr>
            <w:tcW w:w="81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11,720</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top w:val="single" w:sz="4" w:space="0" w:color="auto"/>
            </w:tcBorders>
            <w:noWrap/>
            <w:hideMark/>
          </w:tcPr>
          <w:p w:rsidR="00151705" w:rsidRPr="00151705" w:rsidRDefault="00151705" w:rsidP="00151705">
            <w:pPr>
              <w:pStyle w:val="TableBodyText"/>
              <w:spacing w:before="120"/>
              <w:rPr>
                <w:rStyle w:val="Bold"/>
              </w:rPr>
            </w:pPr>
            <w:r w:rsidRPr="00151705">
              <w:rPr>
                <w:rStyle w:val="Bold"/>
              </w:rPr>
              <w:t>Contractual financial liabilities</w:t>
            </w:r>
          </w:p>
        </w:tc>
        <w:tc>
          <w:tcPr>
            <w:tcW w:w="731" w:type="pct"/>
            <w:tcBorders>
              <w:top w:val="single" w:sz="4" w:space="0" w:color="auto"/>
            </w:tcBorders>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tcBorders>
              <w:top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tcBorders>
              <w:top w:val="single" w:sz="4" w:space="0" w:color="auto"/>
            </w:tcBorders>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Payable:</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Trade creditors and other payables</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w:t>
            </w:r>
            <w:r>
              <w:t>0</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15,578</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xml:space="preserve">15,578 </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Accrued capital works</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w:t>
            </w:r>
            <w:r>
              <w:t>0</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5,305</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xml:space="preserve">5,305 </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Salary and wages</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w:t>
            </w:r>
            <w:r>
              <w:t>0</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4,731</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xml:space="preserve">4,731 </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Borrowings:</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PPP related finance lease liabilities</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69,840</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xml:space="preserve">69,840 </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bottom w:val="single" w:sz="4" w:space="0" w:color="auto"/>
            </w:tcBorders>
            <w:noWrap/>
            <w:hideMark/>
          </w:tcPr>
          <w:p w:rsidR="00151705" w:rsidRPr="00151705" w:rsidRDefault="00151705" w:rsidP="00151705">
            <w:pPr>
              <w:pStyle w:val="TableBodyText"/>
            </w:pPr>
            <w:r w:rsidRPr="00151705">
              <w:t>Non PPP related finance lease liabilities</w:t>
            </w:r>
          </w:p>
        </w:tc>
        <w:tc>
          <w:tcPr>
            <w:tcW w:w="73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6" w:type="pct"/>
            <w:tcBorders>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9,235</w:t>
            </w:r>
          </w:p>
        </w:tc>
        <w:tc>
          <w:tcPr>
            <w:tcW w:w="81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xml:space="preserve">9,235 </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top w:val="single" w:sz="4" w:space="0" w:color="auto"/>
              <w:bottom w:val="single" w:sz="4" w:space="0" w:color="auto"/>
            </w:tcBorders>
            <w:noWrap/>
            <w:hideMark/>
          </w:tcPr>
          <w:p w:rsidR="00151705" w:rsidRPr="00151705" w:rsidRDefault="00151705" w:rsidP="00151705">
            <w:pPr>
              <w:pStyle w:val="TableBodyText"/>
              <w:rPr>
                <w:rStyle w:val="Bold"/>
              </w:rPr>
            </w:pPr>
            <w:r w:rsidRPr="00151705">
              <w:rPr>
                <w:rStyle w:val="Bold"/>
              </w:rPr>
              <w:t>Total contractual financial liabilities</w:t>
            </w:r>
          </w:p>
        </w:tc>
        <w:tc>
          <w:tcPr>
            <w:tcW w:w="73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0</w:t>
            </w:r>
          </w:p>
        </w:tc>
        <w:tc>
          <w:tcPr>
            <w:tcW w:w="806" w:type="pct"/>
            <w:tcBorders>
              <w:top w:val="single" w:sz="4" w:space="0" w:color="auto"/>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104,689</w:t>
            </w:r>
          </w:p>
        </w:tc>
        <w:tc>
          <w:tcPr>
            <w:tcW w:w="81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104,689</w:t>
            </w:r>
          </w:p>
        </w:tc>
      </w:tr>
    </w:tbl>
    <w:p w:rsidR="00151705" w:rsidRDefault="00151705" w:rsidP="00151705">
      <w:pPr>
        <w:pStyle w:val="Caption"/>
      </w:pPr>
      <w:r>
        <w:t>2016</w:t>
      </w:r>
    </w:p>
    <w:tbl>
      <w:tblPr>
        <w:tblStyle w:val="FinancialTable"/>
        <w:tblW w:w="5000" w:type="pct"/>
        <w:tblLook w:val="04A0" w:firstRow="1" w:lastRow="0" w:firstColumn="1" w:lastColumn="0" w:noHBand="0" w:noVBand="1"/>
      </w:tblPr>
      <w:tblGrid>
        <w:gridCol w:w="5112"/>
        <w:gridCol w:w="1409"/>
        <w:gridCol w:w="1554"/>
        <w:gridCol w:w="1563"/>
      </w:tblGrid>
      <w:tr w:rsidR="00151705" w:rsidRPr="00151705" w:rsidTr="001517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52" w:type="pct"/>
            <w:noWrap/>
          </w:tcPr>
          <w:p w:rsidR="00151705" w:rsidRPr="00151705" w:rsidRDefault="00151705" w:rsidP="00151705">
            <w:pPr>
              <w:pStyle w:val="TableBodyText"/>
              <w:rPr>
                <w:rStyle w:val="Bold"/>
              </w:rPr>
            </w:pPr>
            <w:r>
              <w:rPr>
                <w:rStyle w:val="Bold"/>
              </w:rPr>
              <w:t>2016</w:t>
            </w:r>
          </w:p>
        </w:tc>
        <w:tc>
          <w:tcPr>
            <w:tcW w:w="731" w:type="pct"/>
            <w:shd w:val="clear" w:color="auto" w:fill="F3F3F3"/>
            <w:hideMark/>
          </w:tcPr>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Contractual financial assets</w:t>
            </w:r>
            <w:r w:rsidRPr="00151705">
              <w:rPr>
                <w:rStyle w:val="Bold"/>
              </w:rPr>
              <w:br/>
              <w:t>- loans and receivables</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c>
          <w:tcPr>
            <w:tcW w:w="806" w:type="pct"/>
            <w:hideMark/>
          </w:tcPr>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Contractual financial liabilities amortised cost</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c>
          <w:tcPr>
            <w:tcW w:w="811" w:type="pct"/>
            <w:shd w:val="clear" w:color="auto" w:fill="F3F3F3"/>
            <w:hideMark/>
          </w:tcPr>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Total</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rPr>
                <w:rStyle w:val="Bold"/>
              </w:rPr>
            </w:pPr>
            <w:r w:rsidRPr="00151705">
              <w:rPr>
                <w:rStyle w:val="Bold"/>
              </w:rPr>
              <w:t>Contractual financial assets</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Cash and deposits/(overdrawn)</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(1,519)</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(1,519)</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Funds held in Trust</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9,898</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9,898</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rPr>
                <w:rStyle w:val="Bold"/>
              </w:rPr>
            </w:pPr>
            <w:r w:rsidRPr="00151705">
              <w:rPr>
                <w:rStyle w:val="Bold"/>
              </w:rPr>
              <w:t xml:space="preserve">Receivable </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bottom w:val="single" w:sz="4" w:space="0" w:color="auto"/>
            </w:tcBorders>
            <w:noWrap/>
            <w:hideMark/>
          </w:tcPr>
          <w:p w:rsidR="00151705" w:rsidRPr="00151705" w:rsidRDefault="00151705" w:rsidP="00151705">
            <w:pPr>
              <w:pStyle w:val="TableListBullet"/>
            </w:pPr>
            <w:r w:rsidRPr="00151705">
              <w:t>Other receivables</w:t>
            </w:r>
          </w:p>
        </w:tc>
        <w:tc>
          <w:tcPr>
            <w:tcW w:w="73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4,626</w:t>
            </w:r>
          </w:p>
        </w:tc>
        <w:tc>
          <w:tcPr>
            <w:tcW w:w="806" w:type="pct"/>
            <w:tcBorders>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1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4,626</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top w:val="single" w:sz="4" w:space="0" w:color="auto"/>
              <w:bottom w:val="single" w:sz="4" w:space="0" w:color="auto"/>
            </w:tcBorders>
            <w:noWrap/>
            <w:hideMark/>
          </w:tcPr>
          <w:p w:rsidR="00151705" w:rsidRPr="00151705" w:rsidRDefault="00151705" w:rsidP="00151705">
            <w:pPr>
              <w:pStyle w:val="TableBodyText"/>
            </w:pPr>
            <w:r w:rsidRPr="00151705">
              <w:t>Total contractual financial assets</w:t>
            </w:r>
          </w:p>
        </w:tc>
        <w:tc>
          <w:tcPr>
            <w:tcW w:w="73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13,005</w:t>
            </w:r>
          </w:p>
        </w:tc>
        <w:tc>
          <w:tcPr>
            <w:tcW w:w="806" w:type="pct"/>
            <w:tcBorders>
              <w:top w:val="single" w:sz="4" w:space="0" w:color="auto"/>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0</w:t>
            </w:r>
          </w:p>
        </w:tc>
        <w:tc>
          <w:tcPr>
            <w:tcW w:w="81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13,005</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top w:val="single" w:sz="4" w:space="0" w:color="auto"/>
            </w:tcBorders>
            <w:noWrap/>
            <w:hideMark/>
          </w:tcPr>
          <w:p w:rsidR="00151705" w:rsidRPr="00151705" w:rsidRDefault="00151705" w:rsidP="00151705">
            <w:pPr>
              <w:pStyle w:val="TableBodyText"/>
              <w:keepNext/>
              <w:spacing w:before="120"/>
              <w:rPr>
                <w:rStyle w:val="Bold"/>
              </w:rPr>
            </w:pPr>
            <w:r w:rsidRPr="00151705">
              <w:rPr>
                <w:rStyle w:val="Bold"/>
              </w:rPr>
              <w:t>Contractual financial liabilities</w:t>
            </w:r>
          </w:p>
        </w:tc>
        <w:tc>
          <w:tcPr>
            <w:tcW w:w="731" w:type="pct"/>
            <w:tcBorders>
              <w:top w:val="single" w:sz="4" w:space="0" w:color="auto"/>
            </w:tcBorders>
            <w:shd w:val="clear" w:color="auto" w:fill="F3F3F3"/>
            <w:noWrap/>
          </w:tcPr>
          <w:p w:rsidR="00151705" w:rsidRPr="00151705" w:rsidRDefault="00151705" w:rsidP="00151705">
            <w:pPr>
              <w:pStyle w:val="TableBodyText"/>
              <w:keepNext/>
              <w:cnfStyle w:val="000000000000" w:firstRow="0" w:lastRow="0" w:firstColumn="0" w:lastColumn="0" w:oddVBand="0" w:evenVBand="0" w:oddHBand="0" w:evenHBand="0" w:firstRowFirstColumn="0" w:firstRowLastColumn="0" w:lastRowFirstColumn="0" w:lastRowLastColumn="0"/>
            </w:pPr>
            <w:r>
              <w:t>N/A</w:t>
            </w:r>
          </w:p>
        </w:tc>
        <w:tc>
          <w:tcPr>
            <w:tcW w:w="806" w:type="pct"/>
            <w:tcBorders>
              <w:top w:val="single" w:sz="4" w:space="0" w:color="auto"/>
            </w:tcBorders>
            <w:noWrap/>
            <w:hideMark/>
          </w:tcPr>
          <w:p w:rsidR="00151705" w:rsidRPr="00151705" w:rsidRDefault="00151705" w:rsidP="00151705">
            <w:pPr>
              <w:pStyle w:val="TableBodyText"/>
              <w:keepNext/>
              <w:cnfStyle w:val="000000000000" w:firstRow="0" w:lastRow="0" w:firstColumn="0" w:lastColumn="0" w:oddVBand="0" w:evenVBand="0" w:oddHBand="0" w:evenHBand="0" w:firstRowFirstColumn="0" w:firstRowLastColumn="0" w:lastRowFirstColumn="0" w:lastRowLastColumn="0"/>
            </w:pPr>
            <w:r>
              <w:t>N/A</w:t>
            </w:r>
          </w:p>
        </w:tc>
        <w:tc>
          <w:tcPr>
            <w:tcW w:w="811" w:type="pct"/>
            <w:tcBorders>
              <w:top w:val="single" w:sz="4" w:space="0" w:color="auto"/>
            </w:tcBorders>
            <w:shd w:val="clear" w:color="auto" w:fill="F3F3F3"/>
            <w:noWrap/>
          </w:tcPr>
          <w:p w:rsidR="00151705" w:rsidRPr="00151705" w:rsidRDefault="00151705" w:rsidP="00151705">
            <w:pPr>
              <w:pStyle w:val="TableBodyText"/>
              <w:keepN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Payable:</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Trade creditors and other payables</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 </w:t>
            </w:r>
            <w:r>
              <w:t>0</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16,086</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16,086</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Accrued capital works</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453</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453</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Salary and wages</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3,635</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3,635</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lastRenderedPageBreak/>
              <w:t>Borrowings:</w:t>
            </w:r>
          </w:p>
        </w:tc>
        <w:tc>
          <w:tcPr>
            <w:tcW w:w="73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11" w:type="pct"/>
            <w:shd w:val="clear" w:color="auto" w:fill="F3F3F3"/>
            <w:noWrap/>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N/A</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noWrap/>
            <w:hideMark/>
          </w:tcPr>
          <w:p w:rsidR="00151705" w:rsidRPr="00151705" w:rsidRDefault="00151705" w:rsidP="00151705">
            <w:pPr>
              <w:pStyle w:val="TableBodyText"/>
            </w:pPr>
            <w:r w:rsidRPr="00151705">
              <w:t>PPP related finance lease liabilities</w:t>
            </w:r>
          </w:p>
        </w:tc>
        <w:tc>
          <w:tcPr>
            <w:tcW w:w="73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6"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82,144</w:t>
            </w:r>
          </w:p>
        </w:tc>
        <w:tc>
          <w:tcPr>
            <w:tcW w:w="811"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82,144</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bottom w:val="single" w:sz="4" w:space="0" w:color="auto"/>
            </w:tcBorders>
            <w:noWrap/>
            <w:hideMark/>
          </w:tcPr>
          <w:p w:rsidR="00151705" w:rsidRPr="00151705" w:rsidRDefault="00151705" w:rsidP="00151705">
            <w:pPr>
              <w:pStyle w:val="TableBodyText"/>
            </w:pPr>
            <w:r w:rsidRPr="00151705">
              <w:t>Non PPP related finance lease liabilities</w:t>
            </w:r>
          </w:p>
        </w:tc>
        <w:tc>
          <w:tcPr>
            <w:tcW w:w="73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6" w:type="pct"/>
            <w:tcBorders>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8,663</w:t>
            </w:r>
          </w:p>
        </w:tc>
        <w:tc>
          <w:tcPr>
            <w:tcW w:w="811"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8,663</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2652" w:type="pct"/>
            <w:tcBorders>
              <w:top w:val="single" w:sz="4" w:space="0" w:color="auto"/>
              <w:bottom w:val="single" w:sz="4" w:space="0" w:color="auto"/>
            </w:tcBorders>
            <w:noWrap/>
            <w:hideMark/>
          </w:tcPr>
          <w:p w:rsidR="00151705" w:rsidRPr="00151705" w:rsidRDefault="00151705" w:rsidP="00151705">
            <w:pPr>
              <w:pStyle w:val="TableBodyText"/>
              <w:rPr>
                <w:rStyle w:val="Bold"/>
              </w:rPr>
            </w:pPr>
            <w:r w:rsidRPr="00151705">
              <w:rPr>
                <w:rStyle w:val="Bold"/>
              </w:rPr>
              <w:t>Total contractual financial liabilities</w:t>
            </w:r>
          </w:p>
        </w:tc>
        <w:tc>
          <w:tcPr>
            <w:tcW w:w="73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0</w:t>
            </w:r>
          </w:p>
        </w:tc>
        <w:tc>
          <w:tcPr>
            <w:tcW w:w="806" w:type="pct"/>
            <w:tcBorders>
              <w:top w:val="single" w:sz="4" w:space="0" w:color="auto"/>
              <w:bottom w:val="single" w:sz="4" w:space="0" w:color="auto"/>
            </w:tcBorders>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110,982</w:t>
            </w:r>
          </w:p>
        </w:tc>
        <w:tc>
          <w:tcPr>
            <w:tcW w:w="811" w:type="pct"/>
            <w:tcBorders>
              <w:top w:val="single" w:sz="4" w:space="0" w:color="auto"/>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110,982</w:t>
            </w:r>
          </w:p>
        </w:tc>
      </w:tr>
    </w:tbl>
    <w:p w:rsidR="00151705" w:rsidRDefault="00151705" w:rsidP="00151705">
      <w:pPr>
        <w:pStyle w:val="Heading3"/>
      </w:pPr>
      <w:r w:rsidRPr="00151705">
        <w:t>Financial instruments: Net holding gain</w:t>
      </w:r>
      <w:proofErr w:type="gramStart"/>
      <w:r w:rsidRPr="00151705">
        <w:t>/(</w:t>
      </w:r>
      <w:proofErr w:type="gramEnd"/>
      <w:r w:rsidRPr="00151705">
        <w:t>loss) on financial instruments by category</w:t>
      </w:r>
    </w:p>
    <w:tbl>
      <w:tblPr>
        <w:tblStyle w:val="FinancialTable"/>
        <w:tblW w:w="5000" w:type="pct"/>
        <w:tblLook w:val="04A0" w:firstRow="1" w:lastRow="0" w:firstColumn="1" w:lastColumn="0" w:noHBand="0" w:noVBand="1"/>
      </w:tblPr>
      <w:tblGrid>
        <w:gridCol w:w="5941"/>
        <w:gridCol w:w="1837"/>
        <w:gridCol w:w="1860"/>
      </w:tblGrid>
      <w:tr w:rsidR="00151705" w:rsidRPr="00151705" w:rsidTr="00151705">
        <w:trPr>
          <w:cnfStyle w:val="100000000000" w:firstRow="1" w:lastRow="0" w:firstColumn="0" w:lastColumn="0" w:oddVBand="0" w:evenVBand="0" w:oddHBand="0" w:evenHBand="0" w:firstRowFirstColumn="0" w:firstRowLastColumn="0" w:lastRowFirstColumn="0" w:lastRowLastColumn="0"/>
          <w:trHeight w:val="801"/>
        </w:trPr>
        <w:tc>
          <w:tcPr>
            <w:cnfStyle w:val="001000000100" w:firstRow="0" w:lastRow="0" w:firstColumn="1" w:lastColumn="0" w:oddVBand="0" w:evenVBand="0" w:oddHBand="0" w:evenHBand="0" w:firstRowFirstColumn="1" w:firstRowLastColumn="0" w:lastRowFirstColumn="0" w:lastRowLastColumn="0"/>
            <w:tcW w:w="3082" w:type="pct"/>
            <w:noWrap/>
            <w:hideMark/>
          </w:tcPr>
          <w:p w:rsidR="00151705" w:rsidRPr="00151705" w:rsidRDefault="00151705" w:rsidP="00151705">
            <w:pPr>
              <w:pStyle w:val="TableBodyText"/>
              <w:rPr>
                <w:rStyle w:val="Bold"/>
              </w:rPr>
            </w:pPr>
            <w:r w:rsidRPr="00151705">
              <w:rPr>
                <w:rStyle w:val="Bold"/>
              </w:rPr>
              <w:t>Item</w:t>
            </w:r>
          </w:p>
        </w:tc>
        <w:tc>
          <w:tcPr>
            <w:tcW w:w="953" w:type="pct"/>
            <w:shd w:val="clear" w:color="auto" w:fill="F3F3F3"/>
            <w:noWrap/>
            <w:hideMark/>
          </w:tcPr>
          <w:p w:rsidR="00151705" w:rsidRPr="00151705" w:rsidRDefault="00151705" w:rsidP="00151705">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2017</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Total expense</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c>
          <w:tcPr>
            <w:tcW w:w="965" w:type="pct"/>
            <w:noWrap/>
            <w:hideMark/>
          </w:tcPr>
          <w:p w:rsidR="00151705" w:rsidRPr="00151705" w:rsidRDefault="00151705" w:rsidP="00151705">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2016</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Total expense</w:t>
            </w:r>
          </w:p>
          <w:p w:rsidR="00151705" w:rsidRPr="00151705" w:rsidRDefault="00151705" w:rsidP="00151705">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151705">
              <w:rPr>
                <w:rStyle w:val="Bold"/>
              </w:rPr>
              <w:t>$'000</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3082" w:type="pct"/>
            <w:hideMark/>
          </w:tcPr>
          <w:p w:rsidR="00151705" w:rsidRPr="00151705" w:rsidRDefault="00151705" w:rsidP="00151705">
            <w:pPr>
              <w:pStyle w:val="TableBodyText"/>
            </w:pPr>
            <w:r w:rsidRPr="00151705">
              <w:t>Contractual financial liabilities under the PPP arrangement for the County Court Facility</w:t>
            </w:r>
          </w:p>
        </w:tc>
        <w:tc>
          <w:tcPr>
            <w:tcW w:w="953"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(7,022)</w:t>
            </w:r>
          </w:p>
        </w:tc>
        <w:tc>
          <w:tcPr>
            <w:tcW w:w="965"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(8,055)</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3082" w:type="pct"/>
            <w:noWrap/>
            <w:hideMark/>
          </w:tcPr>
          <w:p w:rsidR="00151705" w:rsidRPr="00151705" w:rsidRDefault="00151705" w:rsidP="00151705">
            <w:pPr>
              <w:pStyle w:val="TableBodyText"/>
            </w:pPr>
            <w:r w:rsidRPr="00151705">
              <w:t xml:space="preserve">Contractual financial liabilities for </w:t>
            </w:r>
            <w:proofErr w:type="spellStart"/>
            <w:r w:rsidRPr="00151705">
              <w:t>VicFleet</w:t>
            </w:r>
            <w:proofErr w:type="spellEnd"/>
          </w:p>
        </w:tc>
        <w:tc>
          <w:tcPr>
            <w:tcW w:w="953" w:type="pct"/>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(152)</w:t>
            </w:r>
          </w:p>
        </w:tc>
        <w:tc>
          <w:tcPr>
            <w:tcW w:w="965"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pPr>
            <w:r w:rsidRPr="00151705">
              <w:t>(146)</w:t>
            </w:r>
          </w:p>
        </w:tc>
      </w:tr>
      <w:tr w:rsidR="00151705" w:rsidRPr="00151705" w:rsidTr="00151705">
        <w:tc>
          <w:tcPr>
            <w:cnfStyle w:val="001000000000" w:firstRow="0" w:lastRow="0" w:firstColumn="1" w:lastColumn="0" w:oddVBand="0" w:evenVBand="0" w:oddHBand="0" w:evenHBand="0" w:firstRowFirstColumn="0" w:firstRowLastColumn="0" w:lastRowFirstColumn="0" w:lastRowLastColumn="0"/>
            <w:tcW w:w="3082" w:type="pct"/>
            <w:noWrap/>
            <w:hideMark/>
          </w:tcPr>
          <w:p w:rsidR="00151705" w:rsidRPr="00151705" w:rsidRDefault="00151705" w:rsidP="00151705">
            <w:pPr>
              <w:pStyle w:val="TableBodyText"/>
              <w:rPr>
                <w:rStyle w:val="Bold"/>
              </w:rPr>
            </w:pPr>
            <w:r w:rsidRPr="00151705">
              <w:rPr>
                <w:rStyle w:val="Bold"/>
              </w:rPr>
              <w:t>Total</w:t>
            </w:r>
          </w:p>
        </w:tc>
        <w:tc>
          <w:tcPr>
            <w:tcW w:w="953" w:type="pct"/>
            <w:tcBorders>
              <w:bottom w:val="single" w:sz="4" w:space="0" w:color="auto"/>
            </w:tcBorders>
            <w:shd w:val="clear" w:color="auto" w:fill="F3F3F3"/>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(7,174)</w:t>
            </w:r>
          </w:p>
        </w:tc>
        <w:tc>
          <w:tcPr>
            <w:tcW w:w="965" w:type="pct"/>
            <w:noWrap/>
            <w:hideMark/>
          </w:tcPr>
          <w:p w:rsidR="00151705" w:rsidRPr="00151705" w:rsidRDefault="00151705" w:rsidP="00151705">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705">
              <w:rPr>
                <w:rStyle w:val="Bold"/>
              </w:rPr>
              <w:t>(8,201)</w:t>
            </w:r>
          </w:p>
        </w:tc>
      </w:tr>
    </w:tbl>
    <w:p w:rsidR="00151705" w:rsidRDefault="00151705" w:rsidP="00151705">
      <w:pPr>
        <w:pStyle w:val="Heading3"/>
      </w:pPr>
      <w:r w:rsidRPr="00151705">
        <w:t>Financial risk management objectives and policies</w:t>
      </w:r>
    </w:p>
    <w:p w:rsidR="00AB2453" w:rsidRDefault="00AB2453" w:rsidP="00AB2453">
      <w:pPr>
        <w:pStyle w:val="BodyText"/>
      </w:pPr>
      <w:r>
        <w:t>As a whole, CSV’s financial risk management program seeks to manage these risks and the associated volatility of its financial performance.</w:t>
      </w:r>
    </w:p>
    <w:p w:rsidR="00AB2453" w:rsidRDefault="00AB2453" w:rsidP="00AB2453">
      <w:pPr>
        <w:pStyle w:val="BodyText"/>
      </w:pPr>
      <w:r>
        <w:t>Details of the significant accounting policies and methods adopted, including the criteria for recognition, the basis of measurement, and the basis on which income and expenses are recognised, with respect to each class of financial asset, financial liability and equity instrument above are disclosed in Note 8.3 to the financial statements.</w:t>
      </w:r>
    </w:p>
    <w:p w:rsidR="00AB2453" w:rsidRDefault="00AB2453" w:rsidP="00AB2453">
      <w:pPr>
        <w:pStyle w:val="BodyText"/>
      </w:pPr>
      <w:r>
        <w:t>The main purpose in holding financial instruments is to prudentially manage CSV’s financial risks within the government policy parameters.</w:t>
      </w:r>
    </w:p>
    <w:p w:rsidR="00AB2453" w:rsidRDefault="00AB2453" w:rsidP="00AB2453">
      <w:pPr>
        <w:pStyle w:val="BodyText"/>
      </w:pPr>
      <w:r>
        <w:t>CSV main financial risks include credit risk and liquidity risk. CSV manages these financial risks in accordance with its financial risk management policy.</w:t>
      </w:r>
    </w:p>
    <w:p w:rsidR="00AB2453" w:rsidRDefault="00AB2453" w:rsidP="00AB2453">
      <w:pPr>
        <w:pStyle w:val="BodyText"/>
      </w:pPr>
      <w:r>
        <w:t>CSV's uses different methods to measure and manage the different risks to which it is exposed. Primary responsibility for the identification and management of financial risks rests with CSV's Finance Portfolio Committee.</w:t>
      </w:r>
    </w:p>
    <w:p w:rsidR="00AB2453" w:rsidRDefault="00AB2453" w:rsidP="00AB2453">
      <w:pPr>
        <w:pStyle w:val="Heading4"/>
      </w:pPr>
      <w:r>
        <w:t>Financial instruments: Credit Risk</w:t>
      </w:r>
    </w:p>
    <w:p w:rsidR="00AB2453" w:rsidRDefault="00AB2453" w:rsidP="00AB2453">
      <w:pPr>
        <w:pStyle w:val="BodyText"/>
      </w:pPr>
      <w:r>
        <w:t>Credit risk refers to the possibility that a debtor will default on its financial obligations as and when they fall due. CSV's exposure to credit risk arises from the potential default of a counter party on their contractual obligations resulting in financial loss to CSV. Credit risk is measured at fair value and is monitored on a regular basis</w:t>
      </w:r>
    </w:p>
    <w:p w:rsidR="00AB2453" w:rsidRDefault="00AB2453" w:rsidP="00AB2453">
      <w:pPr>
        <w:pStyle w:val="BodyText"/>
      </w:pPr>
      <w:r>
        <w:t>Credit risk associated with CSV's contractual financial assets is minimal as its main debtor is the Victorian Government. For debtors other than the Government, CSV monitors outstanding debtors on a monthly basis.</w:t>
      </w:r>
    </w:p>
    <w:p w:rsidR="00AB2453" w:rsidRDefault="00AB2453" w:rsidP="00AB2453">
      <w:pPr>
        <w:pStyle w:val="BodyText"/>
      </w:pPr>
      <w:r>
        <w:t>In addition, CSV does not engage in hedging for its contractual financial assets and mainly obtains contractual financial assets that are on fixed interest, except for cash and deposits, which are mainly cash at bank.</w:t>
      </w:r>
    </w:p>
    <w:p w:rsidR="00AB2453" w:rsidRDefault="00AB2453" w:rsidP="00AB2453">
      <w:pPr>
        <w:pStyle w:val="BodyText"/>
      </w:pPr>
      <w:r>
        <w:lastRenderedPageBreak/>
        <w:t>Provision of impairment for contractual financial assets is recognised when there is objective evidence that CSV will not be able to collect a receivable. Objective evidence includes financial difficulties of the debtor, default payments, debts that are more than 60 days overdue, and changes in debtor credit ratings.</w:t>
      </w:r>
    </w:p>
    <w:p w:rsidR="00AB2453" w:rsidRDefault="00AB2453" w:rsidP="00AB2453">
      <w:pPr>
        <w:pStyle w:val="BodyText"/>
      </w:pPr>
      <w:r>
        <w:t>Except as otherwise detailed in the following table, the carrying amount of contractual financial assets recorded in the financial statements, net of any allowances for losses, represents CSV’s maximum exposure to credit risk without taking account of the value of any collateral obtained.</w:t>
      </w:r>
    </w:p>
    <w:p w:rsidR="00AB2453" w:rsidRDefault="00AB2453" w:rsidP="00AB2453">
      <w:pPr>
        <w:pStyle w:val="BodyText"/>
      </w:pPr>
      <w:r>
        <w:t>There has been no material change to CSV’s credit risk profile in 2016</w:t>
      </w:r>
      <w:r>
        <w:rPr>
          <w:rFonts w:ascii="Cambria Math" w:hAnsi="Cambria Math" w:cs="Cambria Math"/>
        </w:rPr>
        <w:t>‐</w:t>
      </w:r>
      <w:r>
        <w:t>17.</w:t>
      </w:r>
    </w:p>
    <w:p w:rsidR="00AB2453" w:rsidRPr="00AB2453" w:rsidRDefault="00AB2453" w:rsidP="00AB2453">
      <w:pPr>
        <w:pStyle w:val="Heading4"/>
      </w:pPr>
      <w:r w:rsidRPr="00AB2453">
        <w:t>Credit quality of contractual financial assets that are neither past due nor impaired</w:t>
      </w:r>
    </w:p>
    <w:p w:rsidR="00AB2453" w:rsidRPr="00AB2453" w:rsidRDefault="00AB2453" w:rsidP="00AB2453">
      <w:pPr>
        <w:pStyle w:val="Caption"/>
      </w:pPr>
      <w:r>
        <w:t>2017</w:t>
      </w:r>
    </w:p>
    <w:tbl>
      <w:tblPr>
        <w:tblStyle w:val="FinancialTable"/>
        <w:tblW w:w="5000" w:type="pct"/>
        <w:tblLook w:val="04A0" w:firstRow="1" w:lastRow="0" w:firstColumn="1" w:lastColumn="0" w:noHBand="0" w:noVBand="1"/>
      </w:tblPr>
      <w:tblGrid>
        <w:gridCol w:w="4267"/>
        <w:gridCol w:w="1326"/>
        <w:gridCol w:w="1467"/>
        <w:gridCol w:w="1477"/>
        <w:gridCol w:w="1101"/>
      </w:tblGrid>
      <w:tr w:rsidR="00AB2453" w:rsidRPr="00AB2453" w:rsidTr="00E15939">
        <w:trPr>
          <w:cnfStyle w:val="100000000000" w:firstRow="1" w:lastRow="0" w:firstColumn="0" w:lastColumn="0" w:oddVBand="0" w:evenVBand="0" w:oddHBand="0" w:evenHBand="0" w:firstRowFirstColumn="0" w:firstRowLastColumn="0" w:lastRowFirstColumn="0" w:lastRowLastColumn="0"/>
          <w:trHeight w:val="1045"/>
        </w:trPr>
        <w:tc>
          <w:tcPr>
            <w:cnfStyle w:val="001000000100" w:firstRow="0" w:lastRow="0" w:firstColumn="1" w:lastColumn="0" w:oddVBand="0" w:evenVBand="0" w:oddHBand="0" w:evenHBand="0" w:firstRowFirstColumn="1" w:firstRowLastColumn="0" w:lastRowFirstColumn="0" w:lastRowLastColumn="0"/>
            <w:tcW w:w="2214" w:type="pct"/>
            <w:noWrap/>
            <w:hideMark/>
          </w:tcPr>
          <w:p w:rsidR="00AB2453" w:rsidRPr="00AB2453" w:rsidRDefault="00AB2453" w:rsidP="00AB2453">
            <w:pPr>
              <w:pStyle w:val="TableHeading"/>
            </w:pPr>
            <w:r w:rsidRPr="00AB2453">
              <w:t>2017 </w:t>
            </w:r>
          </w:p>
        </w:tc>
        <w:tc>
          <w:tcPr>
            <w:tcW w:w="688" w:type="pct"/>
            <w:shd w:val="clear" w:color="auto" w:fill="F3F3F3"/>
            <w:hideMark/>
          </w:tcPr>
          <w:p w:rsidR="00AB2453" w:rsidRPr="00AB2453" w:rsidRDefault="00AB2453" w:rsidP="00AB2453">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Financial institutions</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(triple-A credit rating)</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c>
          <w:tcPr>
            <w:tcW w:w="761" w:type="pct"/>
            <w:hideMark/>
          </w:tcPr>
          <w:p w:rsidR="00AB2453" w:rsidRPr="00AB2453" w:rsidRDefault="00AB2453" w:rsidP="00AB2453">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Government agencies</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(triple-A credit rating)</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c>
          <w:tcPr>
            <w:tcW w:w="766" w:type="pct"/>
            <w:shd w:val="clear" w:color="auto" w:fill="F3F3F3"/>
            <w:hideMark/>
          </w:tcPr>
          <w:p w:rsidR="00AB2453" w:rsidRPr="00AB2453" w:rsidRDefault="00AB2453" w:rsidP="00AB2453">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Other</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(min triple-B credit rating)</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c>
          <w:tcPr>
            <w:tcW w:w="571" w:type="pct"/>
            <w:hideMark/>
          </w:tcPr>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Total</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214" w:type="pct"/>
            <w:noWrap/>
            <w:hideMark/>
          </w:tcPr>
          <w:p w:rsidR="00AB2453" w:rsidRPr="00AB2453" w:rsidRDefault="00AB2453" w:rsidP="00AB2453">
            <w:pPr>
              <w:pStyle w:val="TableBodyText"/>
            </w:pPr>
            <w:r w:rsidRPr="00AB2453">
              <w:t>Cash and deposits/(overdrawn)</w:t>
            </w:r>
          </w:p>
        </w:tc>
        <w:tc>
          <w:tcPr>
            <w:tcW w:w="688" w:type="pct"/>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761" w:type="pct"/>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(1,718)</w:t>
            </w:r>
          </w:p>
        </w:tc>
        <w:tc>
          <w:tcPr>
            <w:tcW w:w="766" w:type="pct"/>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571" w:type="pct"/>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(1,718)</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214" w:type="pct"/>
            <w:noWrap/>
            <w:hideMark/>
          </w:tcPr>
          <w:p w:rsidR="00AB2453" w:rsidRPr="00AB2453" w:rsidRDefault="00AB2453" w:rsidP="00AB2453">
            <w:pPr>
              <w:pStyle w:val="TableBodyText"/>
            </w:pPr>
            <w:r w:rsidRPr="00AB2453">
              <w:t>Funds held in trust</w:t>
            </w:r>
          </w:p>
        </w:tc>
        <w:tc>
          <w:tcPr>
            <w:tcW w:w="688" w:type="pct"/>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761" w:type="pct"/>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10,804</w:t>
            </w:r>
          </w:p>
        </w:tc>
        <w:tc>
          <w:tcPr>
            <w:tcW w:w="766" w:type="pct"/>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571" w:type="pct"/>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10,804</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214" w:type="pct"/>
            <w:tcBorders>
              <w:bottom w:val="single" w:sz="4" w:space="0" w:color="auto"/>
            </w:tcBorders>
            <w:noWrap/>
            <w:hideMark/>
          </w:tcPr>
          <w:p w:rsidR="00AB2453" w:rsidRPr="00AB2453" w:rsidRDefault="00AB2453" w:rsidP="00AB2453">
            <w:pPr>
              <w:pStyle w:val="TableBodyText"/>
            </w:pPr>
            <w:r w:rsidRPr="00AB2453">
              <w:t>Other receivables</w:t>
            </w:r>
          </w:p>
        </w:tc>
        <w:tc>
          <w:tcPr>
            <w:tcW w:w="688" w:type="pct"/>
            <w:tcBorders>
              <w:bottom w:val="single" w:sz="4" w:space="0" w:color="auto"/>
            </w:tcBorders>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761" w:type="pct"/>
            <w:tcBorders>
              <w:bottom w:val="single" w:sz="4" w:space="0" w:color="auto"/>
            </w:tcBorders>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2,560</w:t>
            </w:r>
          </w:p>
        </w:tc>
        <w:tc>
          <w:tcPr>
            <w:tcW w:w="766" w:type="pct"/>
            <w:tcBorders>
              <w:bottom w:val="single" w:sz="4" w:space="0" w:color="auto"/>
            </w:tcBorders>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74</w:t>
            </w:r>
          </w:p>
        </w:tc>
        <w:tc>
          <w:tcPr>
            <w:tcW w:w="571" w:type="pct"/>
            <w:tcBorders>
              <w:bottom w:val="single" w:sz="4" w:space="0" w:color="auto"/>
            </w:tcBorders>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2,634</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214" w:type="pct"/>
            <w:tcBorders>
              <w:top w:val="single" w:sz="4" w:space="0" w:color="auto"/>
              <w:bottom w:val="single" w:sz="4" w:space="0" w:color="auto"/>
            </w:tcBorders>
            <w:hideMark/>
          </w:tcPr>
          <w:p w:rsidR="00AB2453" w:rsidRPr="00AB2453" w:rsidRDefault="00AB2453" w:rsidP="00AB2453">
            <w:pPr>
              <w:pStyle w:val="TableBodyText"/>
              <w:rPr>
                <w:rStyle w:val="Bold"/>
              </w:rPr>
            </w:pPr>
            <w:r w:rsidRPr="00AB2453">
              <w:rPr>
                <w:rStyle w:val="Bold"/>
              </w:rPr>
              <w:t>Total contractual financial assets</w:t>
            </w:r>
          </w:p>
        </w:tc>
        <w:tc>
          <w:tcPr>
            <w:tcW w:w="688" w:type="pct"/>
            <w:tcBorders>
              <w:top w:val="single" w:sz="4" w:space="0" w:color="auto"/>
              <w:bottom w:val="single" w:sz="4" w:space="0" w:color="auto"/>
            </w:tcBorders>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B2453">
              <w:rPr>
                <w:rStyle w:val="Bold"/>
              </w:rPr>
              <w:t xml:space="preserve">0 </w:t>
            </w:r>
          </w:p>
        </w:tc>
        <w:tc>
          <w:tcPr>
            <w:tcW w:w="761" w:type="pct"/>
            <w:tcBorders>
              <w:top w:val="single" w:sz="4" w:space="0" w:color="auto"/>
              <w:bottom w:val="single" w:sz="4" w:space="0" w:color="auto"/>
            </w:tcBorders>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B2453">
              <w:rPr>
                <w:rStyle w:val="Bold"/>
              </w:rPr>
              <w:t>11,646</w:t>
            </w:r>
          </w:p>
        </w:tc>
        <w:tc>
          <w:tcPr>
            <w:tcW w:w="766" w:type="pct"/>
            <w:tcBorders>
              <w:top w:val="single" w:sz="4" w:space="0" w:color="auto"/>
              <w:bottom w:val="single" w:sz="4" w:space="0" w:color="auto"/>
            </w:tcBorders>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B2453">
              <w:rPr>
                <w:rStyle w:val="Bold"/>
              </w:rPr>
              <w:t xml:space="preserve">74 </w:t>
            </w:r>
          </w:p>
        </w:tc>
        <w:tc>
          <w:tcPr>
            <w:tcW w:w="571" w:type="pct"/>
            <w:tcBorders>
              <w:top w:val="single" w:sz="4" w:space="0" w:color="auto"/>
              <w:bottom w:val="single" w:sz="4" w:space="0" w:color="auto"/>
            </w:tcBorders>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B2453">
              <w:rPr>
                <w:rStyle w:val="Bold"/>
              </w:rPr>
              <w:t>11,720</w:t>
            </w:r>
          </w:p>
        </w:tc>
      </w:tr>
    </w:tbl>
    <w:p w:rsidR="00AB2453" w:rsidRDefault="00AB2453" w:rsidP="00AB2453">
      <w:pPr>
        <w:pStyle w:val="Caption"/>
      </w:pPr>
      <w:r>
        <w:t>2016</w:t>
      </w:r>
    </w:p>
    <w:tbl>
      <w:tblPr>
        <w:tblStyle w:val="FinancialTable"/>
        <w:tblW w:w="5000" w:type="pct"/>
        <w:tblLook w:val="04A0" w:firstRow="1" w:lastRow="0" w:firstColumn="1" w:lastColumn="0" w:noHBand="0" w:noVBand="1"/>
      </w:tblPr>
      <w:tblGrid>
        <w:gridCol w:w="4226"/>
        <w:gridCol w:w="1285"/>
        <w:gridCol w:w="1527"/>
        <w:gridCol w:w="1434"/>
        <w:gridCol w:w="1166"/>
      </w:tblGrid>
      <w:tr w:rsidR="00AB2453" w:rsidRPr="00AB2453" w:rsidTr="00E15939">
        <w:trPr>
          <w:cnfStyle w:val="100000000000" w:firstRow="1" w:lastRow="0" w:firstColumn="0" w:lastColumn="0" w:oddVBand="0" w:evenVBand="0" w:oddHBand="0" w:evenHBand="0" w:firstRowFirstColumn="0" w:firstRowLastColumn="0" w:lastRowFirstColumn="0" w:lastRowLastColumn="0"/>
          <w:trHeight w:val="1045"/>
        </w:trPr>
        <w:tc>
          <w:tcPr>
            <w:cnfStyle w:val="001000000100" w:firstRow="0" w:lastRow="0" w:firstColumn="1" w:lastColumn="0" w:oddVBand="0" w:evenVBand="0" w:oddHBand="0" w:evenHBand="0" w:firstRowFirstColumn="1" w:firstRowLastColumn="0" w:lastRowFirstColumn="0" w:lastRowLastColumn="0"/>
            <w:tcW w:w="2192" w:type="pct"/>
            <w:noWrap/>
            <w:hideMark/>
          </w:tcPr>
          <w:p w:rsidR="00AB2453" w:rsidRPr="00AB2453" w:rsidRDefault="00AB2453" w:rsidP="00151ED9">
            <w:pPr>
              <w:pStyle w:val="TableHeading"/>
            </w:pPr>
            <w:r>
              <w:t>2016</w:t>
            </w:r>
            <w:r w:rsidRPr="00AB2453">
              <w:t> </w:t>
            </w:r>
          </w:p>
        </w:tc>
        <w:tc>
          <w:tcPr>
            <w:tcW w:w="666" w:type="pct"/>
            <w:shd w:val="clear" w:color="auto" w:fill="F3F3F3"/>
            <w:hideMark/>
          </w:tcPr>
          <w:p w:rsidR="00AB2453" w:rsidRPr="00AB2453" w:rsidRDefault="00AB2453" w:rsidP="00151ED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Financial institutions</w:t>
            </w:r>
          </w:p>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(triple-A credit rating)</w:t>
            </w:r>
          </w:p>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c>
          <w:tcPr>
            <w:tcW w:w="792" w:type="pct"/>
            <w:hideMark/>
          </w:tcPr>
          <w:p w:rsidR="00AB2453" w:rsidRPr="00AB2453" w:rsidRDefault="00AB2453" w:rsidP="00151ED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Government agencies</w:t>
            </w:r>
          </w:p>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(triple-A credit rating)</w:t>
            </w:r>
          </w:p>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c>
          <w:tcPr>
            <w:tcW w:w="744" w:type="pct"/>
            <w:shd w:val="clear" w:color="auto" w:fill="F3F3F3"/>
            <w:hideMark/>
          </w:tcPr>
          <w:p w:rsidR="00AB2453" w:rsidRPr="00AB2453" w:rsidRDefault="00AB2453" w:rsidP="00151ED9">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Other</w:t>
            </w:r>
          </w:p>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(min triple-B credit rating)</w:t>
            </w:r>
          </w:p>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c>
          <w:tcPr>
            <w:tcW w:w="605" w:type="pct"/>
            <w:hideMark/>
          </w:tcPr>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Total</w:t>
            </w:r>
          </w:p>
          <w:p w:rsidR="00AB2453" w:rsidRPr="00AB2453" w:rsidRDefault="00AB2453"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B2453">
              <w:rPr>
                <w:rStyle w:val="Bold"/>
              </w:rPr>
              <w:t>($'000)</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192" w:type="pct"/>
            <w:noWrap/>
            <w:hideMark/>
          </w:tcPr>
          <w:p w:rsidR="00AB2453" w:rsidRPr="00AB2453" w:rsidRDefault="00AB2453" w:rsidP="00AB2453">
            <w:pPr>
              <w:pStyle w:val="TableBodyText"/>
            </w:pPr>
            <w:r w:rsidRPr="00AB2453">
              <w:t>Cash and deposits/(overdrawn)</w:t>
            </w:r>
          </w:p>
        </w:tc>
        <w:tc>
          <w:tcPr>
            <w:tcW w:w="666" w:type="pct"/>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792" w:type="pct"/>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t>(1,519)</w:t>
            </w:r>
          </w:p>
        </w:tc>
        <w:tc>
          <w:tcPr>
            <w:tcW w:w="744" w:type="pct"/>
            <w:shd w:val="clear" w:color="auto" w:fill="F3F3F3"/>
            <w:noWrap/>
            <w:hideMark/>
          </w:tcPr>
          <w:p w:rsidR="00AB2453" w:rsidRP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5" w:type="pct"/>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rPr>
                <w:b/>
              </w:rPr>
              <w:t>(1,519)</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192" w:type="pct"/>
            <w:noWrap/>
            <w:hideMark/>
          </w:tcPr>
          <w:p w:rsidR="00AB2453" w:rsidRPr="00AB2453" w:rsidRDefault="00AB2453" w:rsidP="00AB2453">
            <w:pPr>
              <w:pStyle w:val="TableBodyText"/>
            </w:pPr>
            <w:r w:rsidRPr="00AB2453">
              <w:t>Funds held in trust</w:t>
            </w:r>
          </w:p>
        </w:tc>
        <w:tc>
          <w:tcPr>
            <w:tcW w:w="666" w:type="pct"/>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792" w:type="pct"/>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t>9,898</w:t>
            </w:r>
          </w:p>
        </w:tc>
        <w:tc>
          <w:tcPr>
            <w:tcW w:w="744" w:type="pct"/>
            <w:shd w:val="clear" w:color="auto" w:fill="F3F3F3"/>
            <w:noWrap/>
            <w:hideMark/>
          </w:tcPr>
          <w:p w:rsidR="00AB2453" w:rsidRP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5" w:type="pct"/>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rPr>
                <w:b/>
              </w:rPr>
              <w:t>9,898</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192" w:type="pct"/>
            <w:tcBorders>
              <w:bottom w:val="single" w:sz="4" w:space="0" w:color="auto"/>
            </w:tcBorders>
            <w:noWrap/>
            <w:hideMark/>
          </w:tcPr>
          <w:p w:rsidR="00AB2453" w:rsidRPr="00AB2453" w:rsidRDefault="00AB2453" w:rsidP="00AB2453">
            <w:pPr>
              <w:pStyle w:val="TableBodyText"/>
            </w:pPr>
            <w:r w:rsidRPr="00AB2453">
              <w:t>Other receivables</w:t>
            </w:r>
          </w:p>
        </w:tc>
        <w:tc>
          <w:tcPr>
            <w:tcW w:w="666" w:type="pct"/>
            <w:tcBorders>
              <w:bottom w:val="single" w:sz="4" w:space="0" w:color="auto"/>
            </w:tcBorders>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0</w:t>
            </w:r>
          </w:p>
        </w:tc>
        <w:tc>
          <w:tcPr>
            <w:tcW w:w="792" w:type="pct"/>
            <w:tcBorders>
              <w:bottom w:val="single" w:sz="4" w:space="0" w:color="auto"/>
            </w:tcBorders>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t>4,437</w:t>
            </w:r>
          </w:p>
        </w:tc>
        <w:tc>
          <w:tcPr>
            <w:tcW w:w="744" w:type="pct"/>
            <w:tcBorders>
              <w:bottom w:val="single" w:sz="4" w:space="0" w:color="auto"/>
            </w:tcBorders>
            <w:shd w:val="clear" w:color="auto" w:fill="F3F3F3"/>
            <w:noWrap/>
            <w:hideMark/>
          </w:tcPr>
          <w:p w:rsidR="00AB2453" w:rsidRP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pPr>
            <w:r>
              <w:t>189</w:t>
            </w:r>
          </w:p>
        </w:tc>
        <w:tc>
          <w:tcPr>
            <w:tcW w:w="605" w:type="pct"/>
            <w:tcBorders>
              <w:bottom w:val="single" w:sz="4" w:space="0" w:color="auto"/>
            </w:tcBorders>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rPr>
                <w:b/>
              </w:rPr>
              <w:t>4,626</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2192" w:type="pct"/>
            <w:tcBorders>
              <w:top w:val="single" w:sz="4" w:space="0" w:color="auto"/>
              <w:bottom w:val="single" w:sz="4" w:space="0" w:color="auto"/>
            </w:tcBorders>
            <w:hideMark/>
          </w:tcPr>
          <w:p w:rsidR="00AB2453" w:rsidRPr="00AB2453" w:rsidRDefault="00AB2453" w:rsidP="00AB2453">
            <w:pPr>
              <w:pStyle w:val="TableBodyText"/>
              <w:rPr>
                <w:rStyle w:val="Bold"/>
              </w:rPr>
            </w:pPr>
            <w:r w:rsidRPr="00AB2453">
              <w:rPr>
                <w:rStyle w:val="Bold"/>
              </w:rPr>
              <w:t>Total contractual financial assets</w:t>
            </w:r>
          </w:p>
        </w:tc>
        <w:tc>
          <w:tcPr>
            <w:tcW w:w="666" w:type="pct"/>
            <w:tcBorders>
              <w:top w:val="single" w:sz="4" w:space="0" w:color="auto"/>
              <w:bottom w:val="single" w:sz="4" w:space="0" w:color="auto"/>
            </w:tcBorders>
            <w:shd w:val="clear" w:color="auto" w:fill="F3F3F3"/>
            <w:noWrap/>
            <w:hideMark/>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B2453">
              <w:rPr>
                <w:rStyle w:val="Bold"/>
              </w:rPr>
              <w:t xml:space="preserve">0 </w:t>
            </w:r>
          </w:p>
        </w:tc>
        <w:tc>
          <w:tcPr>
            <w:tcW w:w="792" w:type="pct"/>
            <w:tcBorders>
              <w:top w:val="single" w:sz="4" w:space="0" w:color="auto"/>
              <w:bottom w:val="single" w:sz="4" w:space="0" w:color="auto"/>
            </w:tcBorders>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rPr>
                <w:b/>
              </w:rPr>
              <w:t>12,817</w:t>
            </w:r>
          </w:p>
        </w:tc>
        <w:tc>
          <w:tcPr>
            <w:tcW w:w="744" w:type="pct"/>
            <w:tcBorders>
              <w:top w:val="single" w:sz="4" w:space="0" w:color="auto"/>
              <w:bottom w:val="single" w:sz="4" w:space="0" w:color="auto"/>
            </w:tcBorders>
            <w:shd w:val="clear" w:color="auto" w:fill="F3F3F3"/>
            <w:noWrap/>
            <w:hideMark/>
          </w:tcPr>
          <w:p w:rsidR="00AB2453" w:rsidRP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Style w:val="Bold"/>
              </w:rPr>
            </w:pPr>
            <w:r>
              <w:rPr>
                <w:rStyle w:val="Bold"/>
              </w:rPr>
              <w:t>189</w:t>
            </w:r>
            <w:r w:rsidRPr="00AB2453">
              <w:rPr>
                <w:rStyle w:val="Bold"/>
              </w:rPr>
              <w:t xml:space="preserve"> </w:t>
            </w:r>
          </w:p>
        </w:tc>
        <w:tc>
          <w:tcPr>
            <w:tcW w:w="605" w:type="pct"/>
            <w:tcBorders>
              <w:top w:val="single" w:sz="4" w:space="0" w:color="auto"/>
              <w:bottom w:val="single" w:sz="4" w:space="0" w:color="auto"/>
            </w:tcBorders>
            <w:noWrap/>
            <w:hideMark/>
          </w:tcPr>
          <w:p w:rsidR="00AB2453" w:rsidRDefault="00AB2453" w:rsidP="00CE1E84">
            <w:pPr>
              <w:pStyle w:val="TableBodyText"/>
              <w:cnfStyle w:val="000000000000" w:firstRow="0" w:lastRow="0" w:firstColumn="0" w:lastColumn="0" w:oddVBand="0" w:evenVBand="0" w:oddHBand="0" w:evenHBand="0" w:firstRowFirstColumn="0" w:firstRowLastColumn="0" w:lastRowFirstColumn="0" w:lastRowLastColumn="0"/>
              <w:rPr>
                <w:rFonts w:eastAsia="Calibri" w:hAnsi="Calibri" w:cs="Calibri"/>
                <w:szCs w:val="19"/>
              </w:rPr>
            </w:pPr>
            <w:r>
              <w:rPr>
                <w:b/>
              </w:rPr>
              <w:t>13,005</w:t>
            </w:r>
          </w:p>
        </w:tc>
      </w:tr>
    </w:tbl>
    <w:p w:rsidR="00AB2453" w:rsidRDefault="00AB2453" w:rsidP="00AB2453">
      <w:pPr>
        <w:pStyle w:val="BodyText"/>
      </w:pPr>
      <w:r>
        <w:t>Note</w:t>
      </w:r>
      <w:proofErr w:type="gramStart"/>
      <w:r>
        <w:t>:</w:t>
      </w:r>
      <w:proofErr w:type="gramEnd"/>
      <w:r>
        <w:br/>
        <w:t>Amounts disclosed in this table exclude statutory amounts (e.g. amounts owning from Victorian Government and GST input tax credit recoverable and tax payable).</w:t>
      </w:r>
    </w:p>
    <w:p w:rsidR="00AB2453" w:rsidRDefault="00AB2453" w:rsidP="00AB2453">
      <w:pPr>
        <w:pStyle w:val="Heading4"/>
      </w:pPr>
      <w:r>
        <w:t>Financial instruments: Liquidity risk</w:t>
      </w:r>
    </w:p>
    <w:p w:rsidR="00AB2453" w:rsidRDefault="00AB2453" w:rsidP="00AB2453">
      <w:pPr>
        <w:pStyle w:val="BodyText"/>
      </w:pPr>
      <w:r>
        <w:t>Liquidity risk arises from being unable to meet financial obligations as they fall due. CSV operates under the Government fair payments policy of settling financial obligations within 30 days and in the event of a dispute, making payments within 30 days from the date of resolution.</w:t>
      </w:r>
    </w:p>
    <w:p w:rsidR="00AB2453" w:rsidRDefault="00AB2453" w:rsidP="00AB2453">
      <w:pPr>
        <w:pStyle w:val="BodyText"/>
      </w:pPr>
      <w:r>
        <w:t>CSV is exposed to liquidity risk mainly through the financial liabilities as disclosed in the face of the balance sheet. CSV’s exposure to liquidity risk is deemed insignificant based on prior periods’ data and current assessment of risk.</w:t>
      </w:r>
    </w:p>
    <w:p w:rsidR="00AB2453" w:rsidRDefault="00AB2453" w:rsidP="00AB2453">
      <w:pPr>
        <w:pStyle w:val="Heading2"/>
      </w:pPr>
      <w:bookmarkStart w:id="57" w:name="_Toc497125488"/>
      <w:r>
        <w:t>Contingent assets and contingent liabilities</w:t>
      </w:r>
      <w:bookmarkEnd w:id="57"/>
    </w:p>
    <w:p w:rsidR="00AB2453" w:rsidRDefault="00AB2453" w:rsidP="00AB2453">
      <w:pPr>
        <w:pStyle w:val="BodyText"/>
      </w:pPr>
      <w:r>
        <w:t>Contingent assets and contingent liabilities are not recognised in the balance sheet but are disclosed and, if quantifiable, are measured at nominal value.</w:t>
      </w:r>
    </w:p>
    <w:p w:rsidR="00AB2453" w:rsidRDefault="00AB2453" w:rsidP="00AB2453">
      <w:pPr>
        <w:pStyle w:val="BodyText"/>
      </w:pPr>
      <w:r>
        <w:t>Contingent assets and liabilities are presented inclusive of GST receivable or payable respectively.</w:t>
      </w:r>
    </w:p>
    <w:p w:rsidR="00AB2453" w:rsidRDefault="00AB2453" w:rsidP="00AB2453">
      <w:pPr>
        <w:pStyle w:val="Heading3"/>
        <w:numPr>
          <w:ilvl w:val="0"/>
          <w:numId w:val="0"/>
        </w:numPr>
      </w:pPr>
      <w:r>
        <w:lastRenderedPageBreak/>
        <w:t>Contingent assets</w:t>
      </w:r>
    </w:p>
    <w:p w:rsidR="00AB2453" w:rsidRDefault="00AB2453" w:rsidP="00AB2453">
      <w:pPr>
        <w:pStyle w:val="BodyText"/>
      </w:pPr>
      <w:r>
        <w:t>Contingent assets are possible assets that arise from past events, whose existence will be confirmed only by the occurrence or non</w:t>
      </w:r>
      <w:r>
        <w:rPr>
          <w:rFonts w:ascii="Cambria Math" w:hAnsi="Cambria Math" w:cs="Cambria Math"/>
        </w:rPr>
        <w:t>‐</w:t>
      </w:r>
      <w:r>
        <w:t>occurrence of one or more uncertain future events not wholly within the control of the entity.</w:t>
      </w:r>
    </w:p>
    <w:p w:rsidR="00AB2453" w:rsidRDefault="00AB2453" w:rsidP="00AB2453">
      <w:pPr>
        <w:pStyle w:val="BodyText"/>
      </w:pPr>
      <w:r>
        <w:t>These are classified as either quantifiable, where the potential economic benefit is known, or non</w:t>
      </w:r>
      <w:r>
        <w:rPr>
          <w:rFonts w:ascii="Cambria Math" w:hAnsi="Cambria Math" w:cs="Cambria Math"/>
        </w:rPr>
        <w:t>‐</w:t>
      </w:r>
      <w:r>
        <w:t>quantifiable.</w:t>
      </w:r>
    </w:p>
    <w:p w:rsidR="00AB2453" w:rsidRDefault="00AB2453" w:rsidP="00AB2453">
      <w:pPr>
        <w:pStyle w:val="BodyText"/>
      </w:pPr>
      <w:r>
        <w:t>There are no contingent assets as at 30 June 2017 (2016: nil).</w:t>
      </w:r>
    </w:p>
    <w:p w:rsidR="00AB2453" w:rsidRPr="00AB2453" w:rsidRDefault="00AB2453" w:rsidP="00AB2453">
      <w:pPr>
        <w:pStyle w:val="Caption"/>
        <w:rPr>
          <w:rStyle w:val="Bold"/>
        </w:rPr>
      </w:pPr>
      <w:r w:rsidRPr="00AB2453">
        <w:rPr>
          <w:rStyle w:val="Bold"/>
        </w:rPr>
        <w:t>Quantifiable contingent liabilities (arising from outside of government)</w:t>
      </w:r>
    </w:p>
    <w:tbl>
      <w:tblPr>
        <w:tblStyle w:val="FinancialTable"/>
        <w:tblW w:w="5000" w:type="pct"/>
        <w:tblLook w:val="04A0" w:firstRow="1" w:lastRow="0" w:firstColumn="1" w:lastColumn="0" w:noHBand="0" w:noVBand="1"/>
      </w:tblPr>
      <w:tblGrid>
        <w:gridCol w:w="7141"/>
        <w:gridCol w:w="995"/>
        <w:gridCol w:w="1502"/>
      </w:tblGrid>
      <w:tr w:rsidR="00AB2453" w:rsidRPr="00AB2453" w:rsidTr="00E15939">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3705" w:type="pct"/>
          </w:tcPr>
          <w:p w:rsidR="00AB2453" w:rsidRPr="00AB2453" w:rsidRDefault="00AB2453" w:rsidP="00AB2453">
            <w:pPr>
              <w:pStyle w:val="TableHeading"/>
              <w:rPr>
                <w:rStyle w:val="Bold"/>
              </w:rPr>
            </w:pPr>
            <w:r w:rsidRPr="00AB2453">
              <w:rPr>
                <w:rStyle w:val="Bold"/>
              </w:rPr>
              <w:t>Item</w:t>
            </w:r>
          </w:p>
        </w:tc>
        <w:tc>
          <w:tcPr>
            <w:tcW w:w="516" w:type="pct"/>
            <w:shd w:val="clear" w:color="auto" w:fill="F3F3F3"/>
          </w:tcPr>
          <w:p w:rsidR="00AB2453" w:rsidRPr="00AB2453" w:rsidRDefault="00AB2453" w:rsidP="00AB2453">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AB2453">
              <w:rPr>
                <w:rStyle w:val="Bold"/>
              </w:rPr>
              <w:t>2017</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AB2453">
              <w:rPr>
                <w:rStyle w:val="Bold"/>
              </w:rPr>
              <w:t>$'000</w:t>
            </w:r>
          </w:p>
        </w:tc>
        <w:tc>
          <w:tcPr>
            <w:tcW w:w="779" w:type="pct"/>
          </w:tcPr>
          <w:p w:rsidR="00AB2453" w:rsidRPr="00AB2453" w:rsidRDefault="00AB2453" w:rsidP="00AB2453">
            <w:pPr>
              <w:pStyle w:val="TableHeading"/>
              <w:cnfStyle w:val="100000000000" w:firstRow="1" w:lastRow="0" w:firstColumn="0" w:lastColumn="0" w:oddVBand="0" w:evenVBand="0" w:oddHBand="0" w:evenHBand="0" w:firstRowFirstColumn="0" w:firstRowLastColumn="0" w:lastRowFirstColumn="0" w:lastRowLastColumn="0"/>
              <w:rPr>
                <w:rStyle w:val="Bold"/>
                <w:rFonts w:eastAsia="Calibri"/>
              </w:rPr>
            </w:pPr>
            <w:r w:rsidRPr="00AB2453">
              <w:rPr>
                <w:rStyle w:val="Bold"/>
              </w:rPr>
              <w:t>2016</w:t>
            </w:r>
          </w:p>
          <w:p w:rsidR="00AB2453" w:rsidRPr="00AB2453" w:rsidRDefault="00AB2453" w:rsidP="00AB2453">
            <w:pPr>
              <w:pStyle w:val="TableBodyText"/>
              <w:cnfStyle w:val="100000000000" w:firstRow="1" w:lastRow="0" w:firstColumn="0" w:lastColumn="0" w:oddVBand="0" w:evenVBand="0" w:oddHBand="0" w:evenHBand="0" w:firstRowFirstColumn="0" w:firstRowLastColumn="0" w:lastRowFirstColumn="0" w:lastRowLastColumn="0"/>
              <w:rPr>
                <w:rStyle w:val="Bold"/>
                <w:rFonts w:eastAsia="Calibri"/>
              </w:rPr>
            </w:pPr>
            <w:r w:rsidRPr="00AB2453">
              <w:rPr>
                <w:rStyle w:val="Bold"/>
              </w:rPr>
              <w:t>$'000</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3705" w:type="pct"/>
          </w:tcPr>
          <w:p w:rsidR="00AB2453" w:rsidRPr="00AB2453" w:rsidRDefault="00AB2453" w:rsidP="00AB2453">
            <w:pPr>
              <w:pStyle w:val="TableBodyText"/>
            </w:pPr>
            <w:r w:rsidRPr="00AB2453">
              <w:rPr>
                <w:rStyle w:val="Bold"/>
              </w:rPr>
              <w:t>Contingent liabilities</w:t>
            </w:r>
          </w:p>
        </w:tc>
        <w:tc>
          <w:tcPr>
            <w:tcW w:w="516" w:type="pct"/>
            <w:shd w:val="clear" w:color="auto" w:fill="F3F3F3"/>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79" w:type="pct"/>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t>N/A</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3705" w:type="pct"/>
          </w:tcPr>
          <w:p w:rsidR="00AB2453" w:rsidRPr="00AB2453" w:rsidRDefault="00AB2453" w:rsidP="00AB2453">
            <w:pPr>
              <w:pStyle w:val="TableBodyText"/>
            </w:pPr>
            <w:r w:rsidRPr="00AB2453">
              <w:t>Liabilities pending the outcome of legal action</w:t>
            </w:r>
          </w:p>
        </w:tc>
        <w:tc>
          <w:tcPr>
            <w:tcW w:w="516" w:type="pct"/>
            <w:shd w:val="clear" w:color="auto" w:fill="F3F3F3"/>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755</w:t>
            </w:r>
          </w:p>
        </w:tc>
        <w:tc>
          <w:tcPr>
            <w:tcW w:w="779" w:type="pct"/>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pPr>
            <w:r w:rsidRPr="00AB2453">
              <w:t>400</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3705" w:type="pct"/>
            <w:tcBorders>
              <w:bottom w:val="single" w:sz="4" w:space="0" w:color="auto"/>
            </w:tcBorders>
          </w:tcPr>
          <w:p w:rsidR="00AB2453" w:rsidRPr="00AB2453" w:rsidRDefault="00AB2453" w:rsidP="00AB2453">
            <w:pPr>
              <w:pStyle w:val="TableBodyText"/>
              <w:rPr>
                <w:rFonts w:eastAsia="Calibri"/>
              </w:rPr>
            </w:pPr>
            <w:r w:rsidRPr="00AB2453">
              <w:t>Make good provision (</w:t>
            </w:r>
            <w:hyperlink w:anchor="QuantifiableContingent" w:history="1">
              <w:r w:rsidRPr="00AB2453">
                <w:rPr>
                  <w:rStyle w:val="Hyperlink"/>
                </w:rPr>
                <w:t>see note</w:t>
              </w:r>
            </w:hyperlink>
            <w:r w:rsidRPr="00AB2453">
              <w:t>)</w:t>
            </w:r>
          </w:p>
        </w:tc>
        <w:tc>
          <w:tcPr>
            <w:tcW w:w="516" w:type="pct"/>
            <w:tcBorders>
              <w:bottom w:val="single" w:sz="4" w:space="0" w:color="auto"/>
            </w:tcBorders>
            <w:shd w:val="clear" w:color="auto" w:fill="F3F3F3"/>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AB2453">
              <w:t>512</w:t>
            </w:r>
          </w:p>
        </w:tc>
        <w:tc>
          <w:tcPr>
            <w:tcW w:w="779" w:type="pct"/>
            <w:tcBorders>
              <w:bottom w:val="single" w:sz="4" w:space="0" w:color="auto"/>
            </w:tcBorders>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AB2453">
              <w:t>570</w:t>
            </w:r>
          </w:p>
        </w:tc>
      </w:tr>
      <w:tr w:rsidR="00AB2453" w:rsidRPr="00AB2453" w:rsidTr="00E15939">
        <w:tc>
          <w:tcPr>
            <w:cnfStyle w:val="001000000000" w:firstRow="0" w:lastRow="0" w:firstColumn="1" w:lastColumn="0" w:oddVBand="0" w:evenVBand="0" w:oddHBand="0" w:evenHBand="0" w:firstRowFirstColumn="0" w:firstRowLastColumn="0" w:lastRowFirstColumn="0" w:lastRowLastColumn="0"/>
            <w:tcW w:w="3705" w:type="pct"/>
            <w:tcBorders>
              <w:top w:val="single" w:sz="4" w:space="0" w:color="auto"/>
              <w:bottom w:val="single" w:sz="4" w:space="0" w:color="auto"/>
            </w:tcBorders>
          </w:tcPr>
          <w:p w:rsidR="00AB2453" w:rsidRPr="00AB2453" w:rsidRDefault="00AB2453" w:rsidP="00AB2453">
            <w:pPr>
              <w:pStyle w:val="TableBodyText"/>
              <w:rPr>
                <w:rStyle w:val="Bold"/>
                <w:rFonts w:eastAsia="Calibri"/>
              </w:rPr>
            </w:pPr>
            <w:r w:rsidRPr="00AB2453">
              <w:rPr>
                <w:rStyle w:val="Bold"/>
              </w:rPr>
              <w:t>Total contingent liabilities</w:t>
            </w:r>
          </w:p>
        </w:tc>
        <w:tc>
          <w:tcPr>
            <w:tcW w:w="516" w:type="pct"/>
            <w:tcBorders>
              <w:top w:val="single" w:sz="4" w:space="0" w:color="auto"/>
              <w:bottom w:val="single" w:sz="4" w:space="0" w:color="auto"/>
            </w:tcBorders>
            <w:shd w:val="clear" w:color="auto" w:fill="F3F3F3"/>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AB2453">
              <w:rPr>
                <w:rStyle w:val="Bold"/>
              </w:rPr>
              <w:t>1,267</w:t>
            </w:r>
          </w:p>
        </w:tc>
        <w:tc>
          <w:tcPr>
            <w:tcW w:w="779" w:type="pct"/>
            <w:tcBorders>
              <w:top w:val="single" w:sz="4" w:space="0" w:color="auto"/>
              <w:bottom w:val="single" w:sz="4" w:space="0" w:color="auto"/>
            </w:tcBorders>
          </w:tcPr>
          <w:p w:rsidR="00AB2453" w:rsidRPr="00AB2453" w:rsidRDefault="00AB2453" w:rsidP="00AB2453">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AB2453">
              <w:rPr>
                <w:rStyle w:val="Bold"/>
              </w:rPr>
              <w:t>970</w:t>
            </w:r>
          </w:p>
        </w:tc>
      </w:tr>
    </w:tbl>
    <w:p w:rsidR="00AB2453" w:rsidRDefault="00AB2453" w:rsidP="00AB2453">
      <w:pPr>
        <w:pStyle w:val="ListNumber"/>
        <w:numPr>
          <w:ilvl w:val="0"/>
          <w:numId w:val="39"/>
        </w:numPr>
      </w:pPr>
      <w:bookmarkStart w:id="58" w:name="QuantifiableContingent"/>
      <w:bookmarkEnd w:id="58"/>
      <w:r w:rsidRPr="00AB2453">
        <w:t>Provision for various leased properties that CSV needs to make good at the end of the lease term.</w:t>
      </w:r>
    </w:p>
    <w:p w:rsidR="00AB2453" w:rsidRDefault="00AB2453" w:rsidP="00AB2453">
      <w:pPr>
        <w:pStyle w:val="Heading4"/>
      </w:pPr>
      <w:r>
        <w:t>Contingent liabilities</w:t>
      </w:r>
    </w:p>
    <w:p w:rsidR="00AB2453" w:rsidRDefault="00AB2453" w:rsidP="00AB2453">
      <w:pPr>
        <w:pStyle w:val="BodyText"/>
      </w:pPr>
      <w:r>
        <w:t>Contingent liabilities are:</w:t>
      </w:r>
    </w:p>
    <w:p w:rsidR="00AB2453" w:rsidRDefault="00AB2453" w:rsidP="00AB2453">
      <w:pPr>
        <w:pStyle w:val="ListBullet"/>
      </w:pPr>
      <w:r>
        <w:t>possible obligations that arise from past events, the existence of which will be confirmed only by the occurrence or non</w:t>
      </w:r>
      <w:r>
        <w:rPr>
          <w:rFonts w:ascii="Cambria Math" w:hAnsi="Cambria Math" w:cs="Cambria Math"/>
        </w:rPr>
        <w:t>‐</w:t>
      </w:r>
      <w:r>
        <w:t>occurrence of one or more uncertain future events not wholly within the control of the entity; or</w:t>
      </w:r>
    </w:p>
    <w:p w:rsidR="00AB2453" w:rsidRDefault="00AB2453" w:rsidP="00AB2453">
      <w:pPr>
        <w:pStyle w:val="ListBullet"/>
      </w:pPr>
      <w:r>
        <w:t>present obligations that arise from past events but are not recognised because:</w:t>
      </w:r>
    </w:p>
    <w:p w:rsidR="00AB2453" w:rsidRDefault="00AB2453" w:rsidP="00AB2453">
      <w:pPr>
        <w:pStyle w:val="ListBullet2"/>
      </w:pPr>
      <w:r>
        <w:t>it is not probable that an outflow of resources embodying economic benefits will be required to settle the obligations; or</w:t>
      </w:r>
    </w:p>
    <w:p w:rsidR="00AB2453" w:rsidRDefault="00AB2453" w:rsidP="00AB2453">
      <w:pPr>
        <w:pStyle w:val="ListBullet2"/>
      </w:pPr>
      <w:proofErr w:type="gramStart"/>
      <w:r>
        <w:t>the</w:t>
      </w:r>
      <w:proofErr w:type="gramEnd"/>
      <w:r>
        <w:t xml:space="preserve"> amount of the obligations cannot be measured with sufficient reliability.</w:t>
      </w:r>
    </w:p>
    <w:p w:rsidR="00AB2453" w:rsidRDefault="00AB2453" w:rsidP="00AB2453">
      <w:pPr>
        <w:pStyle w:val="BodyText"/>
      </w:pPr>
      <w:r>
        <w:t>Contingent liabilities are also classified as either quantifiable or non</w:t>
      </w:r>
      <w:r>
        <w:rPr>
          <w:rFonts w:ascii="Cambria Math" w:hAnsi="Cambria Math" w:cs="Cambria Math"/>
        </w:rPr>
        <w:t>‐</w:t>
      </w:r>
      <w:r>
        <w:t>quantifiable.</w:t>
      </w:r>
    </w:p>
    <w:p w:rsidR="00AB2453" w:rsidRDefault="00AB2453" w:rsidP="00AB2453">
      <w:pPr>
        <w:pStyle w:val="Heading5"/>
      </w:pPr>
      <w:r>
        <w:t>Non</w:t>
      </w:r>
      <w:r>
        <w:rPr>
          <w:rFonts w:ascii="Cambria Math" w:hAnsi="Cambria Math" w:cs="Cambria Math"/>
        </w:rPr>
        <w:t>‐</w:t>
      </w:r>
      <w:r>
        <w:t>quantifiable contingent liabilities</w:t>
      </w:r>
    </w:p>
    <w:p w:rsidR="00AB2453" w:rsidRDefault="00AB2453" w:rsidP="00AB2453">
      <w:pPr>
        <w:pStyle w:val="BodyText"/>
      </w:pPr>
      <w:r>
        <w:t>A number of potential obligations are non</w:t>
      </w:r>
      <w:r>
        <w:rPr>
          <w:rFonts w:ascii="Cambria Math" w:hAnsi="Cambria Math" w:cs="Cambria Math"/>
        </w:rPr>
        <w:t>‐</w:t>
      </w:r>
      <w:r>
        <w:t>quantifiable at this time arising from:</w:t>
      </w:r>
    </w:p>
    <w:p w:rsidR="00AB2453" w:rsidRDefault="00AB2453" w:rsidP="00AB2453">
      <w:pPr>
        <w:pStyle w:val="ListBullet"/>
      </w:pPr>
      <w:r>
        <w:t>indemnities provided in relation to transactions, including financial arrangements and consultancy services, as well as for directors and administrators;</w:t>
      </w:r>
    </w:p>
    <w:p w:rsidR="00AB2453" w:rsidRDefault="00AB2453" w:rsidP="00AB2453">
      <w:pPr>
        <w:pStyle w:val="ListBullet"/>
      </w:pPr>
      <w:r>
        <w:t>performance guarantees, warranties, letters of comfort and the like;</w:t>
      </w:r>
    </w:p>
    <w:p w:rsidR="00AB2453" w:rsidRDefault="00AB2453" w:rsidP="00AB2453">
      <w:pPr>
        <w:pStyle w:val="ListBullet"/>
      </w:pPr>
      <w:r>
        <w:t>deeds in respect of certain obligations; and</w:t>
      </w:r>
    </w:p>
    <w:p w:rsidR="00AB2453" w:rsidRDefault="00AB2453" w:rsidP="00AB2453">
      <w:pPr>
        <w:pStyle w:val="ListBullet"/>
      </w:pPr>
      <w:proofErr w:type="gramStart"/>
      <w:r>
        <w:t>unclaimed</w:t>
      </w:r>
      <w:proofErr w:type="gramEnd"/>
      <w:r>
        <w:t xml:space="preserve"> monies, which may be subject to future claims by the general public against the State.</w:t>
      </w:r>
    </w:p>
    <w:p w:rsidR="00AB2453" w:rsidRDefault="00AB2453" w:rsidP="002817A4">
      <w:pPr>
        <w:pStyle w:val="Heading2"/>
      </w:pPr>
      <w:bookmarkStart w:id="59" w:name="_Toc497125489"/>
      <w:r>
        <w:t>Fair value determination</w:t>
      </w:r>
      <w:bookmarkEnd w:id="59"/>
    </w:p>
    <w:p w:rsidR="00AB2453" w:rsidRDefault="00AB2453" w:rsidP="002817A4">
      <w:pPr>
        <w:pStyle w:val="Heading3"/>
        <w:numPr>
          <w:ilvl w:val="0"/>
          <w:numId w:val="0"/>
        </w:numPr>
      </w:pPr>
      <w:r>
        <w:t>Significant judgement: Fair value measurements of assets and liabilities</w:t>
      </w:r>
    </w:p>
    <w:p w:rsidR="00AB2453" w:rsidRDefault="00AB2453" w:rsidP="00AB2453">
      <w:pPr>
        <w:pStyle w:val="BodyText"/>
      </w:pPr>
      <w:r>
        <w:t>Fair value determination requires judgement and the use of assumptions. This section discloses the most significant assumptions used in determining fair values. Changes to assumptions could have a material impact on the results and financial position of CSV.</w:t>
      </w:r>
    </w:p>
    <w:p w:rsidR="00AB2453" w:rsidRDefault="00AB2453" w:rsidP="00AB2453">
      <w:pPr>
        <w:pStyle w:val="BodyText"/>
      </w:pPr>
      <w:r>
        <w:lastRenderedPageBreak/>
        <w:t>This section sets out information on how CSV determined fair value for financial reporting purposes. Fair value is the price that would be received to sell an asset or paid to transfer a liability in an orderly transaction between market participants at the measurement date.</w:t>
      </w:r>
    </w:p>
    <w:p w:rsidR="00AB2453" w:rsidRDefault="00AB2453" w:rsidP="00AB2453">
      <w:pPr>
        <w:pStyle w:val="BodyText"/>
      </w:pPr>
      <w:r>
        <w:t>The following assets and liabilities are carried at fair value:</w:t>
      </w:r>
    </w:p>
    <w:p w:rsidR="00AB2453" w:rsidRDefault="00AB2453" w:rsidP="002817A4">
      <w:pPr>
        <w:pStyle w:val="ListBullet"/>
      </w:pPr>
      <w:r>
        <w:t>Financial assets and liabilities at fair value through operating result;</w:t>
      </w:r>
    </w:p>
    <w:p w:rsidR="00AB2453" w:rsidRDefault="00AB2453" w:rsidP="002817A4">
      <w:pPr>
        <w:pStyle w:val="ListBullet"/>
      </w:pPr>
      <w:r>
        <w:t>Available for sale financial assets; and</w:t>
      </w:r>
    </w:p>
    <w:p w:rsidR="00AB2453" w:rsidRDefault="00AB2453" w:rsidP="002817A4">
      <w:pPr>
        <w:pStyle w:val="ListBullet"/>
      </w:pPr>
      <w:r>
        <w:t>Land, buildings, plant and equipment</w:t>
      </w:r>
    </w:p>
    <w:p w:rsidR="00AB2453" w:rsidRDefault="00AB2453" w:rsidP="00AB2453">
      <w:pPr>
        <w:pStyle w:val="BodyText"/>
      </w:pPr>
      <w:r>
        <w:t>CSV determines the policies and procedures for determining fair values for both financial and non</w:t>
      </w:r>
      <w:r>
        <w:rPr>
          <w:rFonts w:ascii="Cambria Math" w:hAnsi="Cambria Math" w:cs="Cambria Math"/>
        </w:rPr>
        <w:t>‐</w:t>
      </w:r>
      <w:r>
        <w:t>financial assets and liabilities as required.</w:t>
      </w:r>
    </w:p>
    <w:p w:rsidR="00AB2453" w:rsidRDefault="00AB2453" w:rsidP="002817A4">
      <w:pPr>
        <w:pStyle w:val="Heading4"/>
      </w:pPr>
      <w:r>
        <w:t>Fair value hierarchy</w:t>
      </w:r>
    </w:p>
    <w:p w:rsidR="00AB2453" w:rsidRDefault="00AB2453" w:rsidP="00AB2453">
      <w:pPr>
        <w:pStyle w:val="BodyText"/>
      </w:pPr>
      <w:r>
        <w:t>In determining fair values, a number of inputs are used. To increase consistency and comparability in the financial statements, these inputs are categorised into three levels, also known as the fair value hierarchy. The levels are as follows:</w:t>
      </w:r>
    </w:p>
    <w:p w:rsidR="00AB2453" w:rsidRDefault="00AB2453" w:rsidP="002817A4">
      <w:pPr>
        <w:pStyle w:val="ListBullet"/>
      </w:pPr>
      <w:r>
        <w:t>Level 1 – Quoted (unadjusted) market prices in active markets for identical assets or liabilities;</w:t>
      </w:r>
    </w:p>
    <w:p w:rsidR="00AB2453" w:rsidRDefault="00AB2453" w:rsidP="002817A4">
      <w:pPr>
        <w:pStyle w:val="ListBullet"/>
      </w:pPr>
      <w:r>
        <w:t>Level 2 – Valuation techniques for which the lowest level input that is significant to the fair value measurement is directly or indirectly observable; and</w:t>
      </w:r>
    </w:p>
    <w:p w:rsidR="00AB2453" w:rsidRDefault="00AB2453" w:rsidP="002817A4">
      <w:pPr>
        <w:pStyle w:val="ListBullet"/>
      </w:pPr>
      <w:r>
        <w:t>Level 3 – Valuation techniques for which the lowest level input that is significant to the fair value measurement is unobservable.</w:t>
      </w:r>
    </w:p>
    <w:p w:rsidR="00AB2453" w:rsidRDefault="00AB2453" w:rsidP="00AB2453">
      <w:pPr>
        <w:pStyle w:val="BodyText"/>
      </w:pPr>
      <w:r>
        <w:t>CSV determines whether transfers have occurred between levels in the hierarchy by reassessing categorisation (based on the lowest level input that is significant to the fair value measurement as a whole) at the end of each reporting period.</w:t>
      </w:r>
    </w:p>
    <w:p w:rsidR="00AB2453" w:rsidRDefault="00AB2453" w:rsidP="002817A4">
      <w:pPr>
        <w:pStyle w:val="Heading4"/>
      </w:pPr>
      <w:r>
        <w:t>How this section is structured</w:t>
      </w:r>
    </w:p>
    <w:p w:rsidR="00AB2453" w:rsidRDefault="00AB2453" w:rsidP="00AB2453">
      <w:pPr>
        <w:pStyle w:val="BodyText"/>
      </w:pPr>
      <w:r>
        <w:t>For those assets and liabilities for which fair values are determined, the following disclosures are provided:</w:t>
      </w:r>
    </w:p>
    <w:p w:rsidR="00AB2453" w:rsidRDefault="00AB2453" w:rsidP="002817A4">
      <w:pPr>
        <w:pStyle w:val="ListBullet"/>
      </w:pPr>
      <w:r>
        <w:t>carrying amount and the fair value (which would be the same for those assets measured at fair value);</w:t>
      </w:r>
    </w:p>
    <w:p w:rsidR="00AB2453" w:rsidRDefault="00AB2453" w:rsidP="002817A4">
      <w:pPr>
        <w:pStyle w:val="ListBullet"/>
      </w:pPr>
      <w:r>
        <w:t>the level of the fair value hierarchy that was used to determine the fair value; and</w:t>
      </w:r>
    </w:p>
    <w:p w:rsidR="00AB2453" w:rsidRDefault="00AB2453" w:rsidP="002817A4">
      <w:pPr>
        <w:pStyle w:val="ListBullet"/>
      </w:pPr>
      <w:r>
        <w:t>in respect of those assets and liabilities subject to fair value determination using Level 3 inputs:</w:t>
      </w:r>
    </w:p>
    <w:p w:rsidR="00AB2453" w:rsidRDefault="00AB2453" w:rsidP="002817A4">
      <w:pPr>
        <w:pStyle w:val="ListBullet2"/>
      </w:pPr>
      <w:r>
        <w:t>a reconciliation of the movements in fair values from the beginning of the year to the end; and</w:t>
      </w:r>
    </w:p>
    <w:p w:rsidR="00AB2453" w:rsidRDefault="00AB2453" w:rsidP="002817A4">
      <w:pPr>
        <w:pStyle w:val="ListBullet2"/>
      </w:pPr>
      <w:proofErr w:type="gramStart"/>
      <w:r>
        <w:t>details</w:t>
      </w:r>
      <w:proofErr w:type="gramEnd"/>
      <w:r>
        <w:t xml:space="preserve"> of significant unobservable inputs used in the fair value determination.</w:t>
      </w:r>
    </w:p>
    <w:p w:rsidR="00AB2453" w:rsidRDefault="00AB2453" w:rsidP="00AB2453">
      <w:pPr>
        <w:pStyle w:val="BodyText"/>
      </w:pPr>
      <w:r>
        <w:t>This section is divided between disclosures in connection with fair value determination for financial instruments (refer Note 8.3.1) and non</w:t>
      </w:r>
      <w:r>
        <w:rPr>
          <w:rFonts w:ascii="Cambria Math" w:hAnsi="Cambria Math" w:cs="Cambria Math"/>
        </w:rPr>
        <w:t>‐</w:t>
      </w:r>
      <w:r>
        <w:t>financial physical assets (refer 8.3.2).</w:t>
      </w:r>
    </w:p>
    <w:p w:rsidR="00AB2453" w:rsidRDefault="00AB2453" w:rsidP="002817A4">
      <w:pPr>
        <w:pStyle w:val="Heading3"/>
      </w:pPr>
      <w:r>
        <w:t>Fair value determination of financial assets and liabilities</w:t>
      </w:r>
    </w:p>
    <w:p w:rsidR="00AB2453" w:rsidRDefault="00AB2453" w:rsidP="00E15939">
      <w:pPr>
        <w:pStyle w:val="BodyText"/>
        <w:keepNext/>
      </w:pPr>
      <w:r>
        <w:t>The fair values and net fair values of financial assets and liabilities are determined as follows:</w:t>
      </w:r>
    </w:p>
    <w:p w:rsidR="00AB2453" w:rsidRDefault="00AB2453" w:rsidP="00151ED9">
      <w:pPr>
        <w:pStyle w:val="ListBullet"/>
      </w:pPr>
      <w:r>
        <w:t>Level 1 – the fair value of financial instruments with standard terms and conditions and traded in</w:t>
      </w:r>
      <w:r w:rsidR="002817A4">
        <w:t xml:space="preserve"> </w:t>
      </w:r>
      <w:r>
        <w:t>active liquid markets are determined with reference to quoted market prices;</w:t>
      </w:r>
    </w:p>
    <w:p w:rsidR="00AB2453" w:rsidRDefault="00AB2453" w:rsidP="002817A4">
      <w:pPr>
        <w:pStyle w:val="ListBullet"/>
      </w:pPr>
      <w:r>
        <w:t>Level 2 – the fair value is determined using inputs other than quoted prices that are observable for the financial asset or liability, either directly or indirectly; and</w:t>
      </w:r>
    </w:p>
    <w:p w:rsidR="00AB2453" w:rsidRDefault="00AB2453" w:rsidP="002817A4">
      <w:pPr>
        <w:pStyle w:val="ListBullet"/>
      </w:pPr>
      <w:r>
        <w:t>Level 3 – the fair value is determined in accordance with generally accepted pricing models based on discounted cash flow analysis using unobservable market inputs.</w:t>
      </w:r>
    </w:p>
    <w:p w:rsidR="00AB2453" w:rsidRDefault="00AB2453" w:rsidP="00AB2453">
      <w:pPr>
        <w:pStyle w:val="BodyText"/>
      </w:pPr>
      <w:r>
        <w:lastRenderedPageBreak/>
        <w:t>CSV currently holds a range of financial instruments that are recorded in the financial statements where the carrying amounts are a reasonable approximation of fair value, either due to their short</w:t>
      </w:r>
      <w:r>
        <w:rPr>
          <w:rFonts w:ascii="Cambria Math" w:hAnsi="Cambria Math" w:cs="Cambria Math"/>
        </w:rPr>
        <w:t>‐</w:t>
      </w:r>
      <w:r>
        <w:t>term nature or with the expectation that they will be paid in full by the end of the 2017</w:t>
      </w:r>
      <w:r>
        <w:rPr>
          <w:rFonts w:ascii="Cambria Math" w:hAnsi="Cambria Math" w:cs="Cambria Math"/>
        </w:rPr>
        <w:t>‐</w:t>
      </w:r>
      <w:r>
        <w:t>18 reporting period.</w:t>
      </w:r>
    </w:p>
    <w:p w:rsidR="00AB2453" w:rsidRDefault="00AB2453" w:rsidP="00AB2453">
      <w:pPr>
        <w:pStyle w:val="BodyText"/>
      </w:pPr>
      <w:r>
        <w:t>These financial instruments include: Financial assets</w:t>
      </w:r>
    </w:p>
    <w:p w:rsidR="00AB2453" w:rsidRDefault="00AB2453" w:rsidP="002817A4">
      <w:pPr>
        <w:pStyle w:val="ListBullet"/>
      </w:pPr>
      <w:r>
        <w:t>Cash and deposits; and</w:t>
      </w:r>
    </w:p>
    <w:p w:rsidR="00AB2453" w:rsidRDefault="00AB2453" w:rsidP="002817A4">
      <w:pPr>
        <w:pStyle w:val="ListBullet"/>
      </w:pPr>
      <w:r>
        <w:t>Other receivables.</w:t>
      </w:r>
    </w:p>
    <w:p w:rsidR="00AB2453" w:rsidRDefault="00AB2453" w:rsidP="00AB2453">
      <w:pPr>
        <w:pStyle w:val="BodyText"/>
      </w:pPr>
      <w:r>
        <w:t>Financial liabilities</w:t>
      </w:r>
    </w:p>
    <w:p w:rsidR="00AB2453" w:rsidRDefault="00AB2453" w:rsidP="002817A4">
      <w:pPr>
        <w:pStyle w:val="ListBullet"/>
      </w:pPr>
      <w:r>
        <w:t>For supplies and services;</w:t>
      </w:r>
    </w:p>
    <w:p w:rsidR="00AB2453" w:rsidRDefault="00AB2453" w:rsidP="002817A4">
      <w:pPr>
        <w:pStyle w:val="ListBullet"/>
      </w:pPr>
      <w:r>
        <w:t>Amounts payable to government agencies; and</w:t>
      </w:r>
    </w:p>
    <w:p w:rsidR="00AB2453" w:rsidRDefault="00AB2453" w:rsidP="002817A4">
      <w:pPr>
        <w:pStyle w:val="ListBullet"/>
      </w:pPr>
      <w:r>
        <w:t>Other payables.</w:t>
      </w:r>
    </w:p>
    <w:p w:rsidR="00AB2453" w:rsidRDefault="00AB2453" w:rsidP="002817A4">
      <w:pPr>
        <w:pStyle w:val="Heading3"/>
        <w:pageBreakBefore/>
      </w:pPr>
      <w:r>
        <w:lastRenderedPageBreak/>
        <w:t>Fair value determination: Non</w:t>
      </w:r>
      <w:r>
        <w:rPr>
          <w:rFonts w:ascii="Cambria Math" w:hAnsi="Cambria Math" w:cs="Cambria Math"/>
        </w:rPr>
        <w:t>‐</w:t>
      </w:r>
      <w:r>
        <w:t>financial physical assets</w:t>
      </w:r>
    </w:p>
    <w:p w:rsidR="00AB2453" w:rsidRDefault="00AB2453" w:rsidP="00151ED9">
      <w:pPr>
        <w:pStyle w:val="Heading4"/>
      </w:pPr>
      <w:r>
        <w:t>Fair value measurement hierarchy</w:t>
      </w:r>
    </w:p>
    <w:p w:rsidR="002817A4" w:rsidRPr="002817A4" w:rsidRDefault="002817A4" w:rsidP="002817A4">
      <w:pPr>
        <w:pStyle w:val="Caption"/>
      </w:pPr>
      <w:r>
        <w:t>2017</w:t>
      </w:r>
    </w:p>
    <w:tbl>
      <w:tblPr>
        <w:tblStyle w:val="FinancialTable"/>
        <w:tblW w:w="5000" w:type="pct"/>
        <w:tblLayout w:type="fixed"/>
        <w:tblLook w:val="04A0" w:firstRow="1" w:lastRow="0" w:firstColumn="1" w:lastColumn="0" w:noHBand="0" w:noVBand="1"/>
      </w:tblPr>
      <w:tblGrid>
        <w:gridCol w:w="3403"/>
        <w:gridCol w:w="1559"/>
        <w:gridCol w:w="1559"/>
        <w:gridCol w:w="1559"/>
        <w:gridCol w:w="1558"/>
      </w:tblGrid>
      <w:tr w:rsidR="002817A4" w:rsidRPr="002817A4" w:rsidTr="002817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5" w:type="pct"/>
            <w:noWrap/>
            <w:hideMark/>
          </w:tcPr>
          <w:p w:rsidR="002817A4" w:rsidRPr="002817A4" w:rsidRDefault="002817A4" w:rsidP="002817A4">
            <w:pPr>
              <w:pStyle w:val="TableBodyText"/>
              <w:rPr>
                <w:rStyle w:val="Bold"/>
              </w:rPr>
            </w:pPr>
            <w:r w:rsidRPr="002817A4">
              <w:rPr>
                <w:rStyle w:val="Bold"/>
              </w:rPr>
              <w:t>2017</w:t>
            </w:r>
          </w:p>
        </w:tc>
        <w:tc>
          <w:tcPr>
            <w:tcW w:w="809" w:type="pct"/>
            <w:shd w:val="clear" w:color="auto" w:fill="F3F3F3"/>
            <w:hideMark/>
          </w:tcPr>
          <w:p w:rsidR="002817A4" w:rsidRP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Carrying amount as at 30 June 2017</w:t>
            </w:r>
          </w:p>
        </w:tc>
        <w:tc>
          <w:tcPr>
            <w:tcW w:w="809" w:type="pct"/>
            <w:noWrap/>
            <w:hideMark/>
          </w:tcPr>
          <w:p w:rsidR="002817A4" w:rsidRP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Fair value measurement at end of reporting period using:</w:t>
            </w:r>
          </w:p>
          <w:p w:rsid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 xml:space="preserve">Level 1 </w:t>
            </w:r>
          </w:p>
          <w:p w:rsidR="002817A4" w:rsidRP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$‘000</w:t>
            </w:r>
          </w:p>
        </w:tc>
        <w:tc>
          <w:tcPr>
            <w:tcW w:w="809" w:type="pct"/>
            <w:shd w:val="clear" w:color="auto" w:fill="F3F3F3"/>
            <w:noWrap/>
            <w:hideMark/>
          </w:tcPr>
          <w:p w:rsidR="002817A4" w:rsidRP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Fair value measurement at end of reporting period using:</w:t>
            </w:r>
          </w:p>
          <w:p w:rsid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 xml:space="preserve">Level 2 </w:t>
            </w:r>
          </w:p>
          <w:p w:rsidR="002817A4" w:rsidRP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$’000</w:t>
            </w:r>
          </w:p>
        </w:tc>
        <w:tc>
          <w:tcPr>
            <w:tcW w:w="808" w:type="pct"/>
            <w:noWrap/>
            <w:hideMark/>
          </w:tcPr>
          <w:p w:rsidR="002817A4" w:rsidRP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Fair value measurement at end of reporting period using:</w:t>
            </w:r>
          </w:p>
          <w:p w:rsid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Level 3 (</w:t>
            </w:r>
            <w:hyperlink w:anchor="FairValueMeasurement1" w:history="1">
              <w:r w:rsidRPr="002817A4">
                <w:rPr>
                  <w:rStyle w:val="Hyperlink"/>
                  <w:rFonts w:ascii="Arial Bold" w:hAnsi="Arial Bold"/>
                </w:rPr>
                <w:t>see note</w:t>
              </w:r>
            </w:hyperlink>
            <w:r w:rsidRPr="002817A4">
              <w:rPr>
                <w:rStyle w:val="Bold"/>
              </w:rPr>
              <w:t>)</w:t>
            </w:r>
          </w:p>
          <w:p w:rsidR="002817A4" w:rsidRPr="002817A4" w:rsidRDefault="002817A4" w:rsidP="002817A4">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$’000</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2817A4">
            <w:pPr>
              <w:pStyle w:val="TableBodyText"/>
              <w:spacing w:before="120"/>
            </w:pPr>
            <w:r w:rsidRPr="002817A4">
              <w:rPr>
                <w:rStyle w:val="Bold"/>
              </w:rPr>
              <w:t>Land at fair value</w:t>
            </w:r>
          </w:p>
        </w:tc>
        <w:tc>
          <w:tcPr>
            <w:tcW w:w="809" w:type="pct"/>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8" w:type="pct"/>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2817A4">
            <w:pPr>
              <w:pStyle w:val="TableBodyText"/>
            </w:pPr>
            <w:r w:rsidRPr="002817A4">
              <w:t>Specialised land</w:t>
            </w:r>
          </w:p>
        </w:tc>
        <w:tc>
          <w:tcPr>
            <w:tcW w:w="809" w:type="pct"/>
            <w:tcBorders>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343,911</w:t>
            </w:r>
          </w:p>
        </w:tc>
        <w:tc>
          <w:tcPr>
            <w:tcW w:w="809" w:type="pct"/>
            <w:tcBorders>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343,911</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2817A4">
            <w:pPr>
              <w:pStyle w:val="TableBodyText"/>
              <w:rPr>
                <w:rStyle w:val="Bold"/>
              </w:rPr>
            </w:pPr>
            <w:r w:rsidRPr="002817A4">
              <w:rPr>
                <w:rStyle w:val="Bold"/>
              </w:rPr>
              <w:t>Total of land at fair value</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343,911</w:t>
            </w:r>
          </w:p>
        </w:tc>
        <w:tc>
          <w:tcPr>
            <w:tcW w:w="809"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8"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343,911</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2817A4" w:rsidRPr="002817A4" w:rsidRDefault="002817A4" w:rsidP="002817A4">
            <w:pPr>
              <w:pStyle w:val="TableBodyText"/>
              <w:spacing w:before="120"/>
            </w:pPr>
            <w:r w:rsidRPr="002817A4">
              <w:rPr>
                <w:rStyle w:val="Bold"/>
              </w:rPr>
              <w:t>Buildings at fair value</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2817A4">
            <w:pPr>
              <w:pStyle w:val="TableBodyText"/>
            </w:pPr>
            <w:r w:rsidRPr="002817A4">
              <w:t>Specialised buildings</w:t>
            </w:r>
          </w:p>
        </w:tc>
        <w:tc>
          <w:tcPr>
            <w:tcW w:w="809" w:type="pct"/>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246,393</w:t>
            </w:r>
          </w:p>
        </w:tc>
        <w:tc>
          <w:tcPr>
            <w:tcW w:w="809" w:type="pct"/>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shd w:val="clear" w:color="auto" w:fill="F3F3F3"/>
            <w:noWrap/>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246,393</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2817A4">
            <w:pPr>
              <w:pStyle w:val="TableBodyText"/>
            </w:pPr>
            <w:r w:rsidRPr="002817A4">
              <w:t>Heritage assets</w:t>
            </w:r>
          </w:p>
        </w:tc>
        <w:tc>
          <w:tcPr>
            <w:tcW w:w="809" w:type="pct"/>
            <w:tcBorders>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114,607</w:t>
            </w:r>
          </w:p>
        </w:tc>
        <w:tc>
          <w:tcPr>
            <w:tcW w:w="809" w:type="pct"/>
            <w:tcBorders>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114,607</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2817A4">
            <w:pPr>
              <w:pStyle w:val="TableBodyText"/>
              <w:rPr>
                <w:rStyle w:val="Bold"/>
              </w:rPr>
            </w:pPr>
            <w:r w:rsidRPr="002817A4">
              <w:rPr>
                <w:rStyle w:val="Bold"/>
              </w:rPr>
              <w:t>Total of buildings at fair value</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361,000</w:t>
            </w:r>
          </w:p>
        </w:tc>
        <w:tc>
          <w:tcPr>
            <w:tcW w:w="809"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8"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361,000</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2817A4" w:rsidRPr="002817A4" w:rsidRDefault="002817A4" w:rsidP="002817A4">
            <w:pPr>
              <w:pStyle w:val="TableBodyText"/>
              <w:keepNext/>
              <w:spacing w:before="120"/>
              <w:rPr>
                <w:rStyle w:val="Bold"/>
              </w:rPr>
            </w:pPr>
            <w:r w:rsidRPr="002817A4">
              <w:rPr>
                <w:rStyle w:val="Bold"/>
              </w:rPr>
              <w:t>Plant, equipment and vehicles at fair value</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2817A4">
            <w:pPr>
              <w:pStyle w:val="TableBodyText"/>
            </w:pPr>
            <w:r w:rsidRPr="002817A4">
              <w:t>Plant and equipment</w:t>
            </w:r>
          </w:p>
        </w:tc>
        <w:tc>
          <w:tcPr>
            <w:tcW w:w="809" w:type="pct"/>
            <w:tcBorders>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2,349</w:t>
            </w:r>
          </w:p>
        </w:tc>
        <w:tc>
          <w:tcPr>
            <w:tcW w:w="809" w:type="pct"/>
            <w:tcBorders>
              <w:bottom w:val="single" w:sz="4" w:space="0" w:color="auto"/>
            </w:tcBorders>
            <w:noWrap/>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2,349</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2817A4">
            <w:pPr>
              <w:pStyle w:val="TableBodyText"/>
              <w:rPr>
                <w:rStyle w:val="Bold"/>
              </w:rPr>
            </w:pPr>
            <w:r w:rsidRPr="002817A4">
              <w:rPr>
                <w:rStyle w:val="Bold"/>
              </w:rPr>
              <w:t>Total of plant, equipment and vehicles at fair value</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2,349</w:t>
            </w:r>
          </w:p>
        </w:tc>
        <w:tc>
          <w:tcPr>
            <w:tcW w:w="809"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8"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2,349</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2817A4" w:rsidRPr="002817A4" w:rsidRDefault="002817A4" w:rsidP="002817A4">
            <w:pPr>
              <w:pStyle w:val="TableBodyText"/>
              <w:spacing w:before="120"/>
              <w:rPr>
                <w:rStyle w:val="Bold"/>
              </w:rPr>
            </w:pPr>
            <w:r w:rsidRPr="002817A4">
              <w:rPr>
                <w:rStyle w:val="Bold"/>
              </w:rPr>
              <w:t>Computer &amp; telecommunications equipment at fair value</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2817A4">
            <w:pPr>
              <w:pStyle w:val="TableBodyText"/>
            </w:pPr>
            <w:r w:rsidRPr="002817A4">
              <w:t xml:space="preserve">Computer &amp; telecommunications equipment </w:t>
            </w:r>
          </w:p>
        </w:tc>
        <w:tc>
          <w:tcPr>
            <w:tcW w:w="809" w:type="pct"/>
            <w:tcBorders>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4,875</w:t>
            </w:r>
          </w:p>
        </w:tc>
        <w:tc>
          <w:tcPr>
            <w:tcW w:w="809" w:type="pct"/>
            <w:tcBorders>
              <w:bottom w:val="single" w:sz="4" w:space="0" w:color="auto"/>
            </w:tcBorders>
            <w:noWrap/>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4,875</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2817A4">
            <w:pPr>
              <w:pStyle w:val="TableBodyText"/>
              <w:rPr>
                <w:rStyle w:val="Bold"/>
              </w:rPr>
            </w:pPr>
            <w:r w:rsidRPr="002817A4">
              <w:rPr>
                <w:rStyle w:val="Bold"/>
              </w:rPr>
              <w:t>Total of computer &amp; telecommunications equipment at fair value</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4,875</w:t>
            </w:r>
          </w:p>
        </w:tc>
        <w:tc>
          <w:tcPr>
            <w:tcW w:w="809"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9" w:type="pct"/>
            <w:tcBorders>
              <w:top w:val="single" w:sz="4" w:space="0" w:color="auto"/>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0</w:t>
            </w:r>
          </w:p>
        </w:tc>
        <w:tc>
          <w:tcPr>
            <w:tcW w:w="808" w:type="pct"/>
            <w:tcBorders>
              <w:top w:val="single" w:sz="4" w:space="0" w:color="auto"/>
              <w:bottom w:val="single" w:sz="4" w:space="0" w:color="auto"/>
            </w:tcBorders>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817A4">
              <w:rPr>
                <w:rStyle w:val="Bold"/>
              </w:rPr>
              <w:t>4,875</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2817A4" w:rsidRPr="002817A4" w:rsidRDefault="002817A4" w:rsidP="002817A4">
            <w:pPr>
              <w:pStyle w:val="TableBodyText"/>
              <w:spacing w:before="120"/>
              <w:rPr>
                <w:rStyle w:val="Bold"/>
              </w:rPr>
            </w:pPr>
            <w:r w:rsidRPr="002817A4">
              <w:rPr>
                <w:rStyle w:val="Bold"/>
              </w:rPr>
              <w:t>Cultural assets at fair value</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hideMark/>
          </w:tcPr>
          <w:p w:rsidR="002817A4" w:rsidRPr="002817A4" w:rsidRDefault="002817A4" w:rsidP="002817A4">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2817A4">
            <w:pPr>
              <w:pStyle w:val="TableBodyText"/>
            </w:pPr>
            <w:r w:rsidRPr="002817A4">
              <w:t>Artworks</w:t>
            </w:r>
          </w:p>
        </w:tc>
        <w:tc>
          <w:tcPr>
            <w:tcW w:w="809" w:type="pct"/>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896</w:t>
            </w:r>
          </w:p>
        </w:tc>
        <w:tc>
          <w:tcPr>
            <w:tcW w:w="809" w:type="pct"/>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896</w:t>
            </w:r>
          </w:p>
        </w:tc>
        <w:tc>
          <w:tcPr>
            <w:tcW w:w="808" w:type="pct"/>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2817A4">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2817A4">
            <w:pPr>
              <w:pStyle w:val="TableBodyText"/>
              <w:rPr>
                <w:rStyle w:val="Bold"/>
              </w:rPr>
            </w:pPr>
            <w:r w:rsidRPr="002817A4">
              <w:rPr>
                <w:rStyle w:val="Bold"/>
              </w:rPr>
              <w:t>Total of cultural assets at fair value</w:t>
            </w:r>
          </w:p>
        </w:tc>
        <w:tc>
          <w:tcPr>
            <w:tcW w:w="809" w:type="pct"/>
            <w:tcBorders>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896</w:t>
            </w:r>
          </w:p>
        </w:tc>
        <w:tc>
          <w:tcPr>
            <w:tcW w:w="809" w:type="pct"/>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0</w:t>
            </w:r>
          </w:p>
        </w:tc>
        <w:tc>
          <w:tcPr>
            <w:tcW w:w="809" w:type="pct"/>
            <w:tcBorders>
              <w:bottom w:val="single" w:sz="4" w:space="0" w:color="auto"/>
            </w:tcBorders>
            <w:shd w:val="clear" w:color="auto" w:fill="F3F3F3"/>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896</w:t>
            </w:r>
          </w:p>
        </w:tc>
        <w:tc>
          <w:tcPr>
            <w:tcW w:w="808" w:type="pct"/>
            <w:noWrap/>
            <w:hideMark/>
          </w:tcPr>
          <w:p w:rsidR="002817A4" w:rsidRP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rsidRPr="002817A4">
              <w:t>0</w:t>
            </w:r>
          </w:p>
        </w:tc>
      </w:tr>
    </w:tbl>
    <w:p w:rsidR="002817A4" w:rsidRDefault="002817A4" w:rsidP="002817A4">
      <w:pPr>
        <w:pStyle w:val="Caption"/>
        <w:pageBreakBefore/>
      </w:pPr>
      <w:r>
        <w:lastRenderedPageBreak/>
        <w:t>2016</w:t>
      </w:r>
    </w:p>
    <w:tbl>
      <w:tblPr>
        <w:tblStyle w:val="FinancialTable"/>
        <w:tblW w:w="5000" w:type="pct"/>
        <w:tblLayout w:type="fixed"/>
        <w:tblLook w:val="04A0" w:firstRow="1" w:lastRow="0" w:firstColumn="1" w:lastColumn="0" w:noHBand="0" w:noVBand="1"/>
      </w:tblPr>
      <w:tblGrid>
        <w:gridCol w:w="3403"/>
        <w:gridCol w:w="1559"/>
        <w:gridCol w:w="1559"/>
        <w:gridCol w:w="1559"/>
        <w:gridCol w:w="1558"/>
      </w:tblGrid>
      <w:tr w:rsidR="002817A4" w:rsidRPr="002817A4" w:rsidTr="00151E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5" w:type="pct"/>
            <w:noWrap/>
            <w:hideMark/>
          </w:tcPr>
          <w:p w:rsidR="002817A4" w:rsidRPr="002817A4" w:rsidRDefault="002817A4" w:rsidP="00151ED9">
            <w:pPr>
              <w:pStyle w:val="TableBodyText"/>
              <w:rPr>
                <w:rStyle w:val="Bold"/>
              </w:rPr>
            </w:pPr>
            <w:r>
              <w:rPr>
                <w:rStyle w:val="Bold"/>
              </w:rPr>
              <w:t>2016</w:t>
            </w:r>
          </w:p>
        </w:tc>
        <w:tc>
          <w:tcPr>
            <w:tcW w:w="809" w:type="pct"/>
            <w:shd w:val="clear" w:color="auto" w:fill="F3F3F3"/>
            <w:hideMark/>
          </w:tcPr>
          <w:p w:rsidR="002817A4" w:rsidRP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Carrying amount as at 30 June 2017</w:t>
            </w:r>
          </w:p>
        </w:tc>
        <w:tc>
          <w:tcPr>
            <w:tcW w:w="809" w:type="pct"/>
            <w:noWrap/>
            <w:hideMark/>
          </w:tcPr>
          <w:p w:rsidR="002817A4" w:rsidRP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Fair value measurement at end of reporting period using:</w:t>
            </w:r>
          </w:p>
          <w:p w:rsid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 xml:space="preserve">Level 1 </w:t>
            </w:r>
          </w:p>
          <w:p w:rsidR="002817A4" w:rsidRP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$‘000</w:t>
            </w:r>
          </w:p>
        </w:tc>
        <w:tc>
          <w:tcPr>
            <w:tcW w:w="809" w:type="pct"/>
            <w:shd w:val="clear" w:color="auto" w:fill="F3F3F3"/>
            <w:noWrap/>
            <w:hideMark/>
          </w:tcPr>
          <w:p w:rsidR="002817A4" w:rsidRP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Fair value measurement at end of reporting period using:</w:t>
            </w:r>
          </w:p>
          <w:p w:rsid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 xml:space="preserve">Level 2 </w:t>
            </w:r>
          </w:p>
          <w:p w:rsidR="002817A4" w:rsidRP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$’000</w:t>
            </w:r>
          </w:p>
        </w:tc>
        <w:tc>
          <w:tcPr>
            <w:tcW w:w="808" w:type="pct"/>
            <w:noWrap/>
            <w:hideMark/>
          </w:tcPr>
          <w:p w:rsidR="002817A4" w:rsidRP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Fair value measurement at end of reporting period using:</w:t>
            </w:r>
          </w:p>
          <w:p w:rsid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2817A4">
              <w:rPr>
                <w:rStyle w:val="Bold"/>
              </w:rPr>
              <w:t>Level 3 (</w:t>
            </w:r>
            <w:hyperlink w:anchor="FairValueMeasurement1" w:history="1">
              <w:r w:rsidRPr="002817A4">
                <w:rPr>
                  <w:rStyle w:val="Hyperlink"/>
                  <w:rFonts w:ascii="Arial Bold" w:hAnsi="Arial Bold"/>
                </w:rPr>
                <w:t>see note</w:t>
              </w:r>
            </w:hyperlink>
            <w:r w:rsidRPr="002817A4">
              <w:rPr>
                <w:rStyle w:val="Bold"/>
              </w:rPr>
              <w:t>)</w:t>
            </w:r>
          </w:p>
          <w:p w:rsidR="002817A4" w:rsidRPr="002817A4" w:rsidRDefault="002817A4" w:rsidP="00151ED9">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$’000</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151ED9">
            <w:pPr>
              <w:pStyle w:val="TableBodyText"/>
              <w:spacing w:before="120"/>
            </w:pPr>
            <w:r w:rsidRPr="002817A4">
              <w:rPr>
                <w:rStyle w:val="Bold"/>
              </w:rPr>
              <w:t>Land at fair value</w:t>
            </w:r>
          </w:p>
        </w:tc>
        <w:tc>
          <w:tcPr>
            <w:tcW w:w="809" w:type="pct"/>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8" w:type="pct"/>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151ED9">
            <w:pPr>
              <w:pStyle w:val="TableBodyText"/>
            </w:pPr>
            <w:r w:rsidRPr="002817A4">
              <w:t>Specialised land</w:t>
            </w:r>
          </w:p>
        </w:tc>
        <w:tc>
          <w:tcPr>
            <w:tcW w:w="809" w:type="pct"/>
            <w:tcBorders>
              <w:bottom w:val="single" w:sz="4" w:space="0" w:color="auto"/>
            </w:tcBorders>
            <w:shd w:val="clear" w:color="auto" w:fill="F3F3F3"/>
            <w:noWrap/>
            <w:vAlign w:val="bottom"/>
            <w:hideMark/>
          </w:tcPr>
          <w:p w:rsidR="002817A4" w:rsidRDefault="002817A4" w:rsidP="00151ED9">
            <w:pPr>
              <w:pStyle w:val="TableBodyText"/>
              <w:cnfStyle w:val="000000000000" w:firstRow="0" w:lastRow="0" w:firstColumn="0" w:lastColumn="0" w:oddVBand="0" w:evenVBand="0" w:oddHBand="0" w:evenHBand="0" w:firstRowFirstColumn="0" w:firstRowLastColumn="0" w:lastRowFirstColumn="0" w:lastRowLastColumn="0"/>
            </w:pPr>
            <w:r>
              <w:t>343,911</w:t>
            </w:r>
          </w:p>
        </w:tc>
        <w:tc>
          <w:tcPr>
            <w:tcW w:w="809" w:type="pct"/>
            <w:tcBorders>
              <w:bottom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343,911</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151ED9">
            <w:pPr>
              <w:pStyle w:val="TableBodyText"/>
              <w:rPr>
                <w:rStyle w:val="Bold"/>
              </w:rPr>
            </w:pPr>
            <w:r w:rsidRPr="002817A4">
              <w:rPr>
                <w:rStyle w:val="Bold"/>
              </w:rPr>
              <w:t>Total of land at fair value</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343,911</w:t>
            </w:r>
          </w:p>
        </w:tc>
        <w:tc>
          <w:tcPr>
            <w:tcW w:w="809"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8"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343,911</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2817A4" w:rsidRPr="002817A4" w:rsidRDefault="002817A4" w:rsidP="00151ED9">
            <w:pPr>
              <w:pStyle w:val="TableBodyText"/>
              <w:spacing w:before="120"/>
            </w:pPr>
            <w:r w:rsidRPr="002817A4">
              <w:rPr>
                <w:rStyle w:val="Bold"/>
              </w:rPr>
              <w:t>Buildings at fair value</w:t>
            </w:r>
          </w:p>
        </w:tc>
        <w:tc>
          <w:tcPr>
            <w:tcW w:w="809" w:type="pct"/>
            <w:tcBorders>
              <w:top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151ED9">
            <w:pPr>
              <w:pStyle w:val="TableBodyText"/>
            </w:pPr>
            <w:r w:rsidRPr="002817A4">
              <w:t>Specialised buildings</w:t>
            </w:r>
          </w:p>
        </w:tc>
        <w:tc>
          <w:tcPr>
            <w:tcW w:w="809" w:type="pct"/>
            <w:shd w:val="clear" w:color="auto" w:fill="F3F3F3"/>
            <w:noWrap/>
            <w:vAlign w:val="bottom"/>
            <w:hideMark/>
          </w:tcPr>
          <w:p w:rsidR="002817A4" w:rsidRDefault="002817A4" w:rsidP="00151ED9">
            <w:pPr>
              <w:pStyle w:val="TableBodyText"/>
              <w:cnfStyle w:val="000000000000" w:firstRow="0" w:lastRow="0" w:firstColumn="0" w:lastColumn="0" w:oddVBand="0" w:evenVBand="0" w:oddHBand="0" w:evenHBand="0" w:firstRowFirstColumn="0" w:firstRowLastColumn="0" w:lastRowFirstColumn="0" w:lastRowLastColumn="0"/>
            </w:pPr>
            <w:r>
              <w:t>244,568</w:t>
            </w:r>
          </w:p>
        </w:tc>
        <w:tc>
          <w:tcPr>
            <w:tcW w:w="809" w:type="pct"/>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244,568</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151ED9">
            <w:pPr>
              <w:pStyle w:val="TableBodyText"/>
            </w:pPr>
            <w:r w:rsidRPr="002817A4">
              <w:t>Heritage assets</w:t>
            </w:r>
          </w:p>
        </w:tc>
        <w:tc>
          <w:tcPr>
            <w:tcW w:w="809" w:type="pct"/>
            <w:tcBorders>
              <w:bottom w:val="single" w:sz="4" w:space="0" w:color="auto"/>
            </w:tcBorders>
            <w:shd w:val="clear" w:color="auto" w:fill="F3F3F3"/>
            <w:noWrap/>
            <w:vAlign w:val="bottom"/>
            <w:hideMark/>
          </w:tcPr>
          <w:p w:rsidR="002817A4" w:rsidRDefault="002817A4" w:rsidP="00151ED9">
            <w:pPr>
              <w:pStyle w:val="TableBodyText"/>
              <w:cnfStyle w:val="000000000000" w:firstRow="0" w:lastRow="0" w:firstColumn="0" w:lastColumn="0" w:oddVBand="0" w:evenVBand="0" w:oddHBand="0" w:evenHBand="0" w:firstRowFirstColumn="0" w:firstRowLastColumn="0" w:lastRowFirstColumn="0" w:lastRowLastColumn="0"/>
            </w:pPr>
            <w:r>
              <w:t>120,603</w:t>
            </w:r>
          </w:p>
        </w:tc>
        <w:tc>
          <w:tcPr>
            <w:tcW w:w="809" w:type="pct"/>
            <w:tcBorders>
              <w:bottom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120,603</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151ED9">
            <w:pPr>
              <w:pStyle w:val="TableBodyText"/>
              <w:rPr>
                <w:rStyle w:val="Bold"/>
              </w:rPr>
            </w:pPr>
            <w:r w:rsidRPr="002817A4">
              <w:rPr>
                <w:rStyle w:val="Bold"/>
              </w:rPr>
              <w:t>Total of buildings at fair value</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365,171</w:t>
            </w:r>
          </w:p>
        </w:tc>
        <w:tc>
          <w:tcPr>
            <w:tcW w:w="809"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8"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365,171</w:t>
            </w:r>
          </w:p>
        </w:tc>
      </w:tr>
      <w:tr w:rsidR="00151ED9"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151ED9" w:rsidRPr="002817A4" w:rsidRDefault="00151ED9" w:rsidP="00151ED9">
            <w:pPr>
              <w:pStyle w:val="TableBodyText"/>
              <w:keepNext/>
              <w:spacing w:before="120"/>
              <w:rPr>
                <w:rStyle w:val="Bold"/>
              </w:rPr>
            </w:pPr>
            <w:r w:rsidRPr="002817A4">
              <w:rPr>
                <w:rStyle w:val="Bold"/>
              </w:rPr>
              <w:t>Plant, equipment and vehicles at fair value</w:t>
            </w:r>
          </w:p>
        </w:tc>
        <w:tc>
          <w:tcPr>
            <w:tcW w:w="809" w:type="pct"/>
            <w:tcBorders>
              <w:top w:val="single" w:sz="4" w:space="0" w:color="auto"/>
            </w:tcBorders>
            <w:shd w:val="clear" w:color="auto" w:fill="F3F3F3"/>
            <w:noWrap/>
            <w:vAlign w:val="bottom"/>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vAlign w:val="bottom"/>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151ED9">
            <w:pPr>
              <w:pStyle w:val="TableBodyText"/>
            </w:pPr>
            <w:r w:rsidRPr="002817A4">
              <w:t>Plant and equipment</w:t>
            </w:r>
          </w:p>
        </w:tc>
        <w:tc>
          <w:tcPr>
            <w:tcW w:w="809" w:type="pct"/>
            <w:tcBorders>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2,722</w:t>
            </w:r>
          </w:p>
        </w:tc>
        <w:tc>
          <w:tcPr>
            <w:tcW w:w="809" w:type="pct"/>
            <w:tcBorders>
              <w:bottom w:val="single" w:sz="4" w:space="0" w:color="auto"/>
            </w:tcBorders>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2,722</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151ED9">
            <w:pPr>
              <w:pStyle w:val="TableBodyText"/>
              <w:rPr>
                <w:rStyle w:val="Bold"/>
              </w:rPr>
            </w:pPr>
            <w:r w:rsidRPr="002817A4">
              <w:rPr>
                <w:rStyle w:val="Bold"/>
              </w:rPr>
              <w:t>Total of plant, equipment and vehicles at fair value</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2,722</w:t>
            </w:r>
          </w:p>
        </w:tc>
        <w:tc>
          <w:tcPr>
            <w:tcW w:w="809"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8"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2,722</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2817A4" w:rsidRPr="002817A4" w:rsidRDefault="002817A4" w:rsidP="00151ED9">
            <w:pPr>
              <w:pStyle w:val="TableBodyText"/>
              <w:spacing w:before="120"/>
              <w:rPr>
                <w:rStyle w:val="Bold"/>
              </w:rPr>
            </w:pPr>
            <w:r w:rsidRPr="002817A4">
              <w:rPr>
                <w:rStyle w:val="Bold"/>
              </w:rPr>
              <w:t>Computer &amp; telecommunications equipment at fair value</w:t>
            </w:r>
          </w:p>
        </w:tc>
        <w:tc>
          <w:tcPr>
            <w:tcW w:w="809" w:type="pct"/>
            <w:tcBorders>
              <w:top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bottom w:val="single" w:sz="4" w:space="0" w:color="auto"/>
            </w:tcBorders>
            <w:noWrap/>
            <w:hideMark/>
          </w:tcPr>
          <w:p w:rsidR="002817A4" w:rsidRPr="002817A4" w:rsidRDefault="002817A4" w:rsidP="00151ED9">
            <w:pPr>
              <w:pStyle w:val="TableBodyText"/>
            </w:pPr>
            <w:r w:rsidRPr="002817A4">
              <w:t xml:space="preserve">Computer &amp; telecommunications equipment </w:t>
            </w:r>
          </w:p>
        </w:tc>
        <w:tc>
          <w:tcPr>
            <w:tcW w:w="809" w:type="pct"/>
            <w:tcBorders>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4,288</w:t>
            </w:r>
          </w:p>
        </w:tc>
        <w:tc>
          <w:tcPr>
            <w:tcW w:w="809" w:type="pct"/>
            <w:tcBorders>
              <w:bottom w:val="single" w:sz="4" w:space="0" w:color="auto"/>
            </w:tcBorders>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tcBorders>
              <w:bottom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8" w:type="pct"/>
            <w:tcBorders>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pPr>
            <w:r>
              <w:t>4,288</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bottom w:val="single" w:sz="4" w:space="0" w:color="auto"/>
            </w:tcBorders>
            <w:noWrap/>
            <w:hideMark/>
          </w:tcPr>
          <w:p w:rsidR="002817A4" w:rsidRPr="002817A4" w:rsidRDefault="002817A4" w:rsidP="00151ED9">
            <w:pPr>
              <w:pStyle w:val="TableBodyText"/>
              <w:rPr>
                <w:rStyle w:val="Bold"/>
              </w:rPr>
            </w:pPr>
            <w:r w:rsidRPr="002817A4">
              <w:rPr>
                <w:rStyle w:val="Bold"/>
              </w:rPr>
              <w:t>Total of computer &amp; telecommunications equipment at fair value</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4,288</w:t>
            </w:r>
          </w:p>
        </w:tc>
        <w:tc>
          <w:tcPr>
            <w:tcW w:w="809"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9" w:type="pct"/>
            <w:tcBorders>
              <w:top w:val="single" w:sz="4" w:space="0" w:color="auto"/>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8" w:type="pct"/>
            <w:tcBorders>
              <w:top w:val="single" w:sz="4" w:space="0" w:color="auto"/>
              <w:bottom w:val="single" w:sz="4" w:space="0" w:color="auto"/>
            </w:tcBorders>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4,288</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tcBorders>
              <w:top w:val="single" w:sz="4" w:space="0" w:color="auto"/>
            </w:tcBorders>
            <w:noWrap/>
            <w:hideMark/>
          </w:tcPr>
          <w:p w:rsidR="002817A4" w:rsidRPr="002817A4" w:rsidRDefault="002817A4" w:rsidP="00151ED9">
            <w:pPr>
              <w:pStyle w:val="TableBodyText"/>
              <w:spacing w:before="120"/>
              <w:rPr>
                <w:rStyle w:val="Bold"/>
              </w:rPr>
            </w:pPr>
            <w:r w:rsidRPr="002817A4">
              <w:rPr>
                <w:rStyle w:val="Bold"/>
              </w:rPr>
              <w:t>Cultural assets at fair value</w:t>
            </w:r>
          </w:p>
        </w:tc>
        <w:tc>
          <w:tcPr>
            <w:tcW w:w="809" w:type="pct"/>
            <w:tcBorders>
              <w:top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9" w:type="pct"/>
            <w:tcBorders>
              <w:top w:val="single" w:sz="4" w:space="0" w:color="auto"/>
            </w:tcBorders>
            <w:shd w:val="clear" w:color="auto" w:fill="F3F3F3"/>
            <w:noWrap/>
            <w:vAlign w:val="bottom"/>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808" w:type="pct"/>
            <w:tcBorders>
              <w:top w:val="single" w:sz="4" w:space="0" w:color="auto"/>
            </w:tcBorders>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N/A</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151ED9">
            <w:pPr>
              <w:pStyle w:val="TableBodyText"/>
            </w:pPr>
            <w:r w:rsidRPr="002817A4">
              <w:t>Artworks</w:t>
            </w:r>
          </w:p>
        </w:tc>
        <w:tc>
          <w:tcPr>
            <w:tcW w:w="809" w:type="pct"/>
            <w:shd w:val="clear" w:color="auto" w:fill="F3F3F3"/>
            <w:noWrap/>
            <w:vAlign w:val="bottom"/>
            <w:hideMark/>
          </w:tcPr>
          <w:p w:rsidR="002817A4" w:rsidRDefault="002817A4" w:rsidP="00151ED9">
            <w:pPr>
              <w:pStyle w:val="TableBodyText"/>
              <w:cnfStyle w:val="000000000000" w:firstRow="0" w:lastRow="0" w:firstColumn="0" w:lastColumn="0" w:oddVBand="0" w:evenVBand="0" w:oddHBand="0" w:evenHBand="0" w:firstRowFirstColumn="0" w:firstRowLastColumn="0" w:lastRowFirstColumn="0" w:lastRowLastColumn="0"/>
            </w:pPr>
            <w:r>
              <w:t>866</w:t>
            </w:r>
          </w:p>
        </w:tc>
        <w:tc>
          <w:tcPr>
            <w:tcW w:w="809" w:type="pct"/>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809" w:type="pct"/>
            <w:shd w:val="clear" w:color="auto" w:fill="F3F3F3"/>
            <w:noWrap/>
            <w:vAlign w:val="bottom"/>
            <w:hideMark/>
          </w:tcPr>
          <w:p w:rsidR="002817A4" w:rsidRDefault="002817A4" w:rsidP="00151ED9">
            <w:pPr>
              <w:pStyle w:val="TableBodyText"/>
              <w:cnfStyle w:val="000000000000" w:firstRow="0" w:lastRow="0" w:firstColumn="0" w:lastColumn="0" w:oddVBand="0" w:evenVBand="0" w:oddHBand="0" w:evenHBand="0" w:firstRowFirstColumn="0" w:firstRowLastColumn="0" w:lastRowFirstColumn="0" w:lastRowLastColumn="0"/>
            </w:pPr>
            <w:r>
              <w:t>866</w:t>
            </w:r>
          </w:p>
        </w:tc>
        <w:tc>
          <w:tcPr>
            <w:tcW w:w="808" w:type="pct"/>
            <w:noWrap/>
            <w:vAlign w:val="bottom"/>
            <w:hideMark/>
          </w:tcPr>
          <w:p w:rsidR="002817A4"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2817A4" w:rsidRPr="002817A4" w:rsidTr="00151ED9">
        <w:tc>
          <w:tcPr>
            <w:cnfStyle w:val="001000000000" w:firstRow="0" w:lastRow="0" w:firstColumn="1" w:lastColumn="0" w:oddVBand="0" w:evenVBand="0" w:oddHBand="0" w:evenHBand="0" w:firstRowFirstColumn="0" w:firstRowLastColumn="0" w:lastRowFirstColumn="0" w:lastRowLastColumn="0"/>
            <w:tcW w:w="1765" w:type="pct"/>
            <w:noWrap/>
            <w:hideMark/>
          </w:tcPr>
          <w:p w:rsidR="002817A4" w:rsidRPr="002817A4" w:rsidRDefault="002817A4" w:rsidP="00151ED9">
            <w:pPr>
              <w:pStyle w:val="TableBodyText"/>
              <w:rPr>
                <w:rStyle w:val="Bold"/>
              </w:rPr>
            </w:pPr>
            <w:r w:rsidRPr="002817A4">
              <w:rPr>
                <w:rStyle w:val="Bold"/>
              </w:rPr>
              <w:t>Total of cultural assets at fair value</w:t>
            </w:r>
          </w:p>
        </w:tc>
        <w:tc>
          <w:tcPr>
            <w:tcW w:w="809" w:type="pct"/>
            <w:tcBorders>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866</w:t>
            </w:r>
          </w:p>
        </w:tc>
        <w:tc>
          <w:tcPr>
            <w:tcW w:w="809" w:type="pct"/>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c>
          <w:tcPr>
            <w:tcW w:w="809" w:type="pct"/>
            <w:tcBorders>
              <w:bottom w:val="single" w:sz="4" w:space="0" w:color="auto"/>
            </w:tcBorders>
            <w:shd w:val="clear" w:color="auto" w:fill="F3F3F3"/>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866</w:t>
            </w:r>
          </w:p>
        </w:tc>
        <w:tc>
          <w:tcPr>
            <w:tcW w:w="808" w:type="pct"/>
            <w:noWrap/>
            <w:vAlign w:val="bottom"/>
            <w:hideMark/>
          </w:tcPr>
          <w:p w:rsidR="002817A4" w:rsidRDefault="002817A4" w:rsidP="002817A4">
            <w:pPr>
              <w:pStyle w:val="TableBodyText"/>
              <w:cnfStyle w:val="000000000000" w:firstRow="0" w:lastRow="0" w:firstColumn="0" w:lastColumn="0" w:oddVBand="0" w:evenVBand="0" w:oddHBand="0" w:evenHBand="0" w:firstRowFirstColumn="0" w:firstRowLastColumn="0" w:lastRowFirstColumn="0" w:lastRowLastColumn="0"/>
              <w:rPr>
                <w:b/>
                <w:bCs/>
              </w:rPr>
            </w:pPr>
            <w:r>
              <w:rPr>
                <w:b/>
                <w:bCs/>
              </w:rPr>
              <w:t>0</w:t>
            </w:r>
          </w:p>
        </w:tc>
      </w:tr>
    </w:tbl>
    <w:p w:rsidR="002817A4" w:rsidRDefault="002817A4" w:rsidP="002817A4">
      <w:pPr>
        <w:pStyle w:val="BodyText"/>
      </w:pPr>
      <w:r>
        <w:t>Notes:</w:t>
      </w:r>
    </w:p>
    <w:p w:rsidR="002817A4" w:rsidRDefault="002817A4" w:rsidP="002817A4">
      <w:pPr>
        <w:pStyle w:val="ListNumber"/>
        <w:numPr>
          <w:ilvl w:val="0"/>
          <w:numId w:val="40"/>
        </w:numPr>
      </w:pPr>
      <w:bookmarkStart w:id="60" w:name="FairValueMeasurement1"/>
      <w:bookmarkEnd w:id="60"/>
      <w:r>
        <w:t>CSV holds $114.61 million worth of properties listed as heritage assets. These heritage assets cannot be modified nor disposed of without formal ministerial approval.</w:t>
      </w:r>
    </w:p>
    <w:p w:rsidR="002817A4" w:rsidRDefault="002817A4" w:rsidP="002817A4">
      <w:pPr>
        <w:pStyle w:val="ListNumber"/>
      </w:pPr>
      <w:bookmarkStart w:id="61" w:name="FairValueMeasurement2"/>
      <w:bookmarkEnd w:id="61"/>
      <w:r>
        <w:t>There have been no transfers between levels during the period.</w:t>
      </w:r>
    </w:p>
    <w:p w:rsidR="00151ED9" w:rsidRDefault="00151ED9" w:rsidP="00151ED9">
      <w:pPr>
        <w:pStyle w:val="BodyText"/>
      </w:pPr>
      <w:r w:rsidRPr="00151ED9">
        <w:rPr>
          <w:rStyle w:val="Bold"/>
        </w:rPr>
        <w:t xml:space="preserve">Specialised land and specialised buildings: </w:t>
      </w:r>
      <w:r>
        <w:t>The market approach is also used for specialised land, although it is adjusted for the community service obligation (</w:t>
      </w:r>
      <w:proofErr w:type="spellStart"/>
      <w:r>
        <w:t>CSO</w:t>
      </w:r>
      <w:proofErr w:type="spellEnd"/>
      <w:r>
        <w:t>) to reflect the specialised nature of the land being valued.</w:t>
      </w:r>
    </w:p>
    <w:p w:rsidR="00151ED9" w:rsidRDefault="00151ED9" w:rsidP="00151ED9">
      <w:pPr>
        <w:pStyle w:val="BodyText"/>
      </w:pPr>
      <w:r>
        <w:t xml:space="preserve">The </w:t>
      </w:r>
      <w:proofErr w:type="spellStart"/>
      <w:r>
        <w:t>CSO</w:t>
      </w:r>
      <w:proofErr w:type="spellEnd"/>
      <w:r>
        <w:t xml:space="preserve"> adjustment is a reflection of the </w:t>
      </w:r>
      <w:proofErr w:type="spellStart"/>
      <w:r>
        <w:t>valuer’s</w:t>
      </w:r>
      <w:proofErr w:type="spellEnd"/>
      <w:r>
        <w:t xml:space="preserve">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financially feasible. As adjustments of </w:t>
      </w:r>
      <w:proofErr w:type="spellStart"/>
      <w:r>
        <w:t>CSO</w:t>
      </w:r>
      <w:proofErr w:type="spellEnd"/>
      <w:r>
        <w:t xml:space="preserve"> are considered as significant unobservable inputs, specialised land would be classified as Level 3 assets.</w:t>
      </w:r>
    </w:p>
    <w:p w:rsidR="00151ED9" w:rsidRDefault="00151ED9" w:rsidP="00151ED9">
      <w:pPr>
        <w:pStyle w:val="BodyText"/>
      </w:pPr>
      <w:r>
        <w:t>For the majority of CSV’s specialised buildings, the depreciated replacement cost method is used, adjusting for the associated depreciation. As depreciation adjustments are considered as significant, unobservable inputs in nature, specialised buildings are classified as Level 3 fair value measurements.</w:t>
      </w:r>
    </w:p>
    <w:p w:rsidR="00151ED9" w:rsidRDefault="00151ED9" w:rsidP="00151ED9">
      <w:pPr>
        <w:pStyle w:val="BodyText"/>
      </w:pPr>
      <w:r>
        <w:lastRenderedPageBreak/>
        <w:t xml:space="preserve">An independent valuation of CSV's specialised land and specialised buildings was performed by the </w:t>
      </w:r>
      <w:proofErr w:type="spellStart"/>
      <w:r>
        <w:t>Valuer</w:t>
      </w:r>
      <w:proofErr w:type="spellEnd"/>
      <w:r>
        <w:rPr>
          <w:rFonts w:ascii="MS Gothic" w:hAnsi="MS Gothic" w:cs="MS Gothic"/>
        </w:rPr>
        <w:t>‑</w:t>
      </w:r>
      <w:r>
        <w:t xml:space="preserve">General of Victoria. The valuation was performed using the market approach adjusted for </w:t>
      </w:r>
      <w:proofErr w:type="spellStart"/>
      <w:r>
        <w:t>CSO</w:t>
      </w:r>
      <w:proofErr w:type="spellEnd"/>
      <w:r>
        <w:t>. The effective date of the valuation is 30 June 2016.</w:t>
      </w:r>
    </w:p>
    <w:p w:rsidR="00151ED9" w:rsidRDefault="00151ED9" w:rsidP="00151ED9">
      <w:pPr>
        <w:pStyle w:val="BodyText"/>
      </w:pPr>
      <w:r>
        <w:t xml:space="preserve">In accordance with </w:t>
      </w:r>
      <w:proofErr w:type="spellStart"/>
      <w:r>
        <w:t>FRD</w:t>
      </w:r>
      <w:proofErr w:type="spellEnd"/>
      <w:r>
        <w:t xml:space="preserve"> 103F, CSV has reviewed it </w:t>
      </w:r>
      <w:proofErr w:type="spellStart"/>
      <w:r>
        <w:t>non financial</w:t>
      </w:r>
      <w:proofErr w:type="spellEnd"/>
      <w:r>
        <w:t xml:space="preserve"> physical assets based on the </w:t>
      </w:r>
      <w:proofErr w:type="spellStart"/>
      <w:r>
        <w:t>Valuer</w:t>
      </w:r>
      <w:proofErr w:type="spellEnd"/>
      <w:r>
        <w:rPr>
          <w:rFonts w:ascii="Cambria Math" w:hAnsi="Cambria Math" w:cs="Cambria Math"/>
        </w:rPr>
        <w:t>‐</w:t>
      </w:r>
      <w:r>
        <w:t>General of Victoria indices. The review indicates that there is no exceptionally material movement in land, and no adjustment is thereby necessary this financial year</w:t>
      </w:r>
    </w:p>
    <w:p w:rsidR="00151ED9" w:rsidRDefault="00151ED9" w:rsidP="00151ED9">
      <w:pPr>
        <w:pStyle w:val="BodyText"/>
      </w:pPr>
      <w:r w:rsidRPr="00151ED9">
        <w:rPr>
          <w:rStyle w:val="Bold"/>
        </w:rPr>
        <w:t xml:space="preserve">Leasehold Buildings </w:t>
      </w:r>
      <w:r>
        <w:t xml:space="preserve">are valued using the depreciation replacement value. An Independent valuation of CSV leasehold buildings was performed by the </w:t>
      </w:r>
      <w:proofErr w:type="spellStart"/>
      <w:r>
        <w:t>Valuer</w:t>
      </w:r>
      <w:proofErr w:type="spellEnd"/>
      <w:r>
        <w:rPr>
          <w:rFonts w:ascii="Cambria Math" w:hAnsi="Cambria Math" w:cs="Cambria Math"/>
        </w:rPr>
        <w:t>‐</w:t>
      </w:r>
      <w:r>
        <w:t>General Victoria as at 30 June 2016.</w:t>
      </w:r>
    </w:p>
    <w:p w:rsidR="00151ED9" w:rsidRDefault="00151ED9" w:rsidP="00151ED9">
      <w:pPr>
        <w:pStyle w:val="BodyText"/>
      </w:pPr>
      <w:r w:rsidRPr="00151ED9">
        <w:rPr>
          <w:rStyle w:val="Bold"/>
        </w:rPr>
        <w:t xml:space="preserve">Heritage assets </w:t>
      </w:r>
      <w:r>
        <w:t>are valued using the depreciated replacement cost method. This cost generally represents the replacement cost of the building/component after applying depreciation rates on a useful life basis. However, for some heritage and iconic assets, the cost may be the reproduction cost rather than the replacement cost if those assets’ service potential could only be replaced by reproducing them with the same materials.</w:t>
      </w:r>
    </w:p>
    <w:p w:rsidR="00151ED9" w:rsidRDefault="00151ED9" w:rsidP="00151ED9">
      <w:pPr>
        <w:pStyle w:val="BodyText"/>
      </w:pPr>
      <w:r>
        <w:t>Where it has not been possible to examine hidden works such as structural frames and floors, the use of reasonable materials and methods of construction have been assumed bearing in mind the age and nature of the building. The estimated cost of reconstruction including structure services and finishes, also factors in any heritage classifications as applicable.</w:t>
      </w:r>
    </w:p>
    <w:p w:rsidR="00151ED9" w:rsidRDefault="00151ED9" w:rsidP="00151ED9">
      <w:pPr>
        <w:pStyle w:val="BodyText"/>
      </w:pPr>
      <w:r>
        <w:t xml:space="preserve">An independent valuation of CSV's heritage assets was performed by the </w:t>
      </w:r>
      <w:proofErr w:type="spellStart"/>
      <w:r>
        <w:t>Valuer</w:t>
      </w:r>
      <w:proofErr w:type="spellEnd"/>
      <w:r>
        <w:rPr>
          <w:rFonts w:ascii="MS Gothic" w:hAnsi="MS Gothic" w:cs="MS Gothic"/>
        </w:rPr>
        <w:t>‑</w:t>
      </w:r>
      <w:r>
        <w:t>General of Victoria. The valuation was performed based on the depreciated replacement cost of the assets. The effective date of the valuation is 30 June 2016.</w:t>
      </w:r>
    </w:p>
    <w:p w:rsidR="00151ED9" w:rsidRDefault="00151ED9" w:rsidP="00151ED9">
      <w:pPr>
        <w:pStyle w:val="BodyText"/>
      </w:pPr>
      <w:r w:rsidRPr="00151ED9">
        <w:rPr>
          <w:rStyle w:val="Bold"/>
        </w:rPr>
        <w:t xml:space="preserve">Vehicles </w:t>
      </w:r>
      <w:r>
        <w:t xml:space="preserve">are valued using the depreciated replacement cost method. CSV acquires new vehicles and at times disposes of them before the end of their economic life. The process of acquisition, use and disposal in the market is managed by </w:t>
      </w:r>
      <w:proofErr w:type="spellStart"/>
      <w:r>
        <w:t>VicFleet</w:t>
      </w:r>
      <w:proofErr w:type="spellEnd"/>
      <w:r>
        <w:t xml:space="preserve"> who set relevant depreciation rates during use to reflect the utilisation of the vehicles.</w:t>
      </w:r>
    </w:p>
    <w:p w:rsidR="00151ED9" w:rsidRDefault="00151ED9" w:rsidP="00151ED9">
      <w:pPr>
        <w:pStyle w:val="BodyText"/>
      </w:pPr>
      <w:r w:rsidRPr="00151ED9">
        <w:rPr>
          <w:rStyle w:val="Bold"/>
        </w:rPr>
        <w:t xml:space="preserve">Plant and equipment </w:t>
      </w:r>
      <w:r>
        <w:t>is held at fair value. When plant and equipment is specialised in use, such that it is rarely sold other than as part of a going concern, fair value is determined using the depreciated replacement cost method.</w:t>
      </w:r>
    </w:p>
    <w:p w:rsidR="00151ED9" w:rsidRDefault="00151ED9" w:rsidP="00151ED9">
      <w:pPr>
        <w:pStyle w:val="BodyText"/>
      </w:pPr>
      <w:r>
        <w:t>There were no changes in valuation techniques throughout the period to 30 June 2017. For all assets measured at fair value, the current use is considered the highest and best use.</w:t>
      </w:r>
    </w:p>
    <w:p w:rsidR="00151ED9" w:rsidRDefault="00151ED9" w:rsidP="00151ED9">
      <w:pPr>
        <w:pStyle w:val="Heading4"/>
        <w:spacing w:before="120"/>
      </w:pPr>
      <w:r>
        <w:t>Reconciliation of level 3 fair value movements</w:t>
      </w:r>
    </w:p>
    <w:p w:rsidR="00151ED9" w:rsidRPr="00151ED9" w:rsidRDefault="00151ED9" w:rsidP="00151ED9">
      <w:pPr>
        <w:pStyle w:val="Caption"/>
        <w:spacing w:before="120"/>
      </w:pPr>
      <w:r>
        <w:t>2017</w:t>
      </w:r>
    </w:p>
    <w:tbl>
      <w:tblPr>
        <w:tblStyle w:val="FinancialTable"/>
        <w:tblW w:w="5000" w:type="pct"/>
        <w:tblLayout w:type="fixed"/>
        <w:tblLook w:val="04A0" w:firstRow="1" w:lastRow="0" w:firstColumn="1" w:lastColumn="0" w:noHBand="0" w:noVBand="1"/>
      </w:tblPr>
      <w:tblGrid>
        <w:gridCol w:w="3829"/>
        <w:gridCol w:w="1452"/>
        <w:gridCol w:w="1452"/>
        <w:gridCol w:w="1452"/>
        <w:gridCol w:w="1453"/>
      </w:tblGrid>
      <w:tr w:rsidR="00151ED9" w:rsidRPr="00151ED9" w:rsidTr="00151E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pct"/>
            <w:noWrap/>
            <w:hideMark/>
          </w:tcPr>
          <w:p w:rsidR="00151ED9" w:rsidRPr="00151ED9" w:rsidRDefault="00151ED9" w:rsidP="00151ED9">
            <w:pPr>
              <w:pStyle w:val="TableHeading"/>
            </w:pPr>
            <w:r w:rsidRPr="00151ED9">
              <w:t>2017</w:t>
            </w:r>
          </w:p>
        </w:tc>
        <w:tc>
          <w:tcPr>
            <w:tcW w:w="753" w:type="pct"/>
            <w:shd w:val="clear" w:color="auto" w:fill="F3F3F3"/>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t>S</w:t>
            </w:r>
            <w:r w:rsidRPr="00151ED9">
              <w:t>pecialised land</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$'000</w:t>
            </w:r>
          </w:p>
        </w:tc>
        <w:tc>
          <w:tcPr>
            <w:tcW w:w="753" w:type="pct"/>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Specialised buildings</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$'000</w:t>
            </w:r>
          </w:p>
        </w:tc>
        <w:tc>
          <w:tcPr>
            <w:tcW w:w="753" w:type="pct"/>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Plant and equipment</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$'000</w:t>
            </w:r>
          </w:p>
        </w:tc>
        <w:tc>
          <w:tcPr>
            <w:tcW w:w="754" w:type="pct"/>
            <w:shd w:val="clear" w:color="auto" w:fill="F3F3F3"/>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Computer &amp;</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rPr>
                <w:rFonts w:ascii="Arial Bold" w:hAnsi="Arial Bold"/>
                <w:spacing w:val="-2"/>
              </w:rPr>
              <w:t>communication</w:t>
            </w:r>
            <w:r w:rsidRPr="00151ED9">
              <w:t xml:space="preserve"> equipment</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rPr>
                <w:rFonts w:eastAsia="Calibri"/>
              </w:rPr>
              <w:t>$’000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rPr>
                <w:rStyle w:val="Bold"/>
              </w:rPr>
            </w:pPr>
            <w:r w:rsidRPr="00151ED9">
              <w:rPr>
                <w:rStyle w:val="Bold"/>
              </w:rPr>
              <w:t>Opening balance</w:t>
            </w:r>
          </w:p>
        </w:tc>
        <w:tc>
          <w:tcPr>
            <w:tcW w:w="753"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343,911</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365,171</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2,722</w:t>
            </w:r>
          </w:p>
        </w:tc>
        <w:tc>
          <w:tcPr>
            <w:tcW w:w="754"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4,288</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Purchases (sales)</w:t>
            </w:r>
          </w:p>
        </w:tc>
        <w:tc>
          <w:tcPr>
            <w:tcW w:w="753"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6,075</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19 </w:t>
            </w:r>
          </w:p>
        </w:tc>
        <w:tc>
          <w:tcPr>
            <w:tcW w:w="754"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Transfers in (out) of level 3</w:t>
            </w:r>
          </w:p>
        </w:tc>
        <w:tc>
          <w:tcPr>
            <w:tcW w:w="753"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9,441 </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84 </w:t>
            </w:r>
          </w:p>
        </w:tc>
        <w:tc>
          <w:tcPr>
            <w:tcW w:w="754"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hideMark/>
          </w:tcPr>
          <w:p w:rsidR="00151ED9" w:rsidRPr="00151ED9" w:rsidRDefault="00151ED9" w:rsidP="00151ED9">
            <w:pPr>
              <w:pStyle w:val="TableBodyText"/>
            </w:pPr>
            <w:r w:rsidRPr="00151ED9">
              <w:t>Disposal</w:t>
            </w:r>
          </w:p>
        </w:tc>
        <w:tc>
          <w:tcPr>
            <w:tcW w:w="753"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4"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Depreciation</w:t>
            </w:r>
          </w:p>
        </w:tc>
        <w:tc>
          <w:tcPr>
            <w:tcW w:w="753"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(23,362)</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(484)</w:t>
            </w:r>
          </w:p>
        </w:tc>
        <w:tc>
          <w:tcPr>
            <w:tcW w:w="754"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(1,217)</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hideMark/>
          </w:tcPr>
          <w:p w:rsidR="00151ED9" w:rsidRPr="00151ED9" w:rsidRDefault="00151ED9" w:rsidP="00151ED9">
            <w:pPr>
              <w:pStyle w:val="TableBodyText"/>
            </w:pPr>
            <w:r w:rsidRPr="00151ED9">
              <w:t>Accumulated depreciation transferred to reduce the carrying value</w:t>
            </w:r>
          </w:p>
        </w:tc>
        <w:tc>
          <w:tcPr>
            <w:tcW w:w="753"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4"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Revaluation</w:t>
            </w:r>
          </w:p>
        </w:tc>
        <w:tc>
          <w:tcPr>
            <w:tcW w:w="753"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2,281 </w:t>
            </w:r>
          </w:p>
        </w:tc>
        <w:tc>
          <w:tcPr>
            <w:tcW w:w="753" w:type="pct"/>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8 </w:t>
            </w:r>
          </w:p>
        </w:tc>
        <w:tc>
          <w:tcPr>
            <w:tcW w:w="754" w:type="pct"/>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tcBorders>
              <w:bottom w:val="single" w:sz="4" w:space="0" w:color="auto"/>
            </w:tcBorders>
            <w:hideMark/>
          </w:tcPr>
          <w:p w:rsidR="00151ED9" w:rsidRPr="00151ED9" w:rsidRDefault="00151ED9" w:rsidP="00151ED9">
            <w:pPr>
              <w:pStyle w:val="TableBodyText"/>
            </w:pPr>
            <w:r w:rsidRPr="00151ED9">
              <w:t>Transfer in/out of assets under construction</w:t>
            </w:r>
          </w:p>
        </w:tc>
        <w:tc>
          <w:tcPr>
            <w:tcW w:w="753" w:type="pct"/>
            <w:tcBorders>
              <w:bottom w:val="single" w:sz="4" w:space="0" w:color="auto"/>
            </w:tcBorders>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tcBorders>
              <w:bottom w:val="single" w:sz="4" w:space="0" w:color="auto"/>
            </w:tcBorders>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1,395 </w:t>
            </w:r>
          </w:p>
        </w:tc>
        <w:tc>
          <w:tcPr>
            <w:tcW w:w="753" w:type="pct"/>
            <w:tcBorders>
              <w:bottom w:val="single" w:sz="4" w:space="0" w:color="auto"/>
            </w:tcBorders>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4" w:type="pct"/>
            <w:tcBorders>
              <w:bottom w:val="single" w:sz="4" w:space="0" w:color="auto"/>
            </w:tcBorders>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rsidRPr="00151ED9">
              <w:t>1,804</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tcBorders>
              <w:top w:val="single" w:sz="4" w:space="0" w:color="auto"/>
              <w:bottom w:val="single" w:sz="4" w:space="0" w:color="auto"/>
            </w:tcBorders>
            <w:noWrap/>
            <w:hideMark/>
          </w:tcPr>
          <w:p w:rsidR="00151ED9" w:rsidRPr="00151ED9" w:rsidRDefault="00151ED9" w:rsidP="00151ED9">
            <w:pPr>
              <w:pStyle w:val="TableBodyText"/>
              <w:rPr>
                <w:rStyle w:val="Bold"/>
              </w:rPr>
            </w:pPr>
            <w:r w:rsidRPr="00151ED9">
              <w:rPr>
                <w:rStyle w:val="Bold"/>
              </w:rPr>
              <w:t>Closing balance</w:t>
            </w:r>
          </w:p>
        </w:tc>
        <w:tc>
          <w:tcPr>
            <w:tcW w:w="753" w:type="pct"/>
            <w:tcBorders>
              <w:top w:val="single" w:sz="4" w:space="0" w:color="auto"/>
              <w:bottom w:val="single" w:sz="4" w:space="0" w:color="auto"/>
            </w:tcBorders>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ED9">
              <w:rPr>
                <w:rStyle w:val="Bold"/>
              </w:rPr>
              <w:t>343,911</w:t>
            </w:r>
          </w:p>
        </w:tc>
        <w:tc>
          <w:tcPr>
            <w:tcW w:w="753" w:type="pct"/>
            <w:tcBorders>
              <w:top w:val="single" w:sz="4" w:space="0" w:color="auto"/>
              <w:bottom w:val="single" w:sz="4" w:space="0" w:color="auto"/>
            </w:tcBorders>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ED9">
              <w:rPr>
                <w:rStyle w:val="Bold"/>
              </w:rPr>
              <w:t>361,000</w:t>
            </w:r>
          </w:p>
        </w:tc>
        <w:tc>
          <w:tcPr>
            <w:tcW w:w="753" w:type="pct"/>
            <w:tcBorders>
              <w:top w:val="single" w:sz="4" w:space="0" w:color="auto"/>
              <w:bottom w:val="single" w:sz="4" w:space="0" w:color="auto"/>
            </w:tcBorders>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ED9">
              <w:rPr>
                <w:rStyle w:val="Bold"/>
              </w:rPr>
              <w:t>2,350</w:t>
            </w:r>
          </w:p>
        </w:tc>
        <w:tc>
          <w:tcPr>
            <w:tcW w:w="754" w:type="pct"/>
            <w:tcBorders>
              <w:top w:val="single" w:sz="4" w:space="0" w:color="auto"/>
              <w:bottom w:val="single" w:sz="4" w:space="0" w:color="auto"/>
            </w:tcBorders>
            <w:shd w:val="clear" w:color="auto" w:fill="F3F3F3"/>
            <w:noWrap/>
            <w:hideMark/>
          </w:tcPr>
          <w:p w:rsidR="00151ED9" w:rsidRP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151ED9">
              <w:rPr>
                <w:rStyle w:val="Bold"/>
              </w:rPr>
              <w:t>4,875</w:t>
            </w:r>
          </w:p>
        </w:tc>
      </w:tr>
    </w:tbl>
    <w:p w:rsidR="002817A4" w:rsidRDefault="00151ED9" w:rsidP="00151ED9">
      <w:pPr>
        <w:pStyle w:val="Caption"/>
      </w:pPr>
      <w:r>
        <w:lastRenderedPageBreak/>
        <w:t>2016</w:t>
      </w:r>
    </w:p>
    <w:tbl>
      <w:tblPr>
        <w:tblStyle w:val="FinancialTable"/>
        <w:tblW w:w="5000" w:type="pct"/>
        <w:tblLayout w:type="fixed"/>
        <w:tblLook w:val="04A0" w:firstRow="1" w:lastRow="0" w:firstColumn="1" w:lastColumn="0" w:noHBand="0" w:noVBand="1"/>
      </w:tblPr>
      <w:tblGrid>
        <w:gridCol w:w="3829"/>
        <w:gridCol w:w="1452"/>
        <w:gridCol w:w="1452"/>
        <w:gridCol w:w="1452"/>
        <w:gridCol w:w="1453"/>
      </w:tblGrid>
      <w:tr w:rsidR="00151ED9" w:rsidRPr="00151ED9" w:rsidTr="00151E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6" w:type="pct"/>
            <w:noWrap/>
            <w:hideMark/>
          </w:tcPr>
          <w:p w:rsidR="00151ED9" w:rsidRPr="00151ED9" w:rsidRDefault="00151ED9" w:rsidP="00151ED9">
            <w:pPr>
              <w:pStyle w:val="TableHeading"/>
            </w:pPr>
            <w:r w:rsidRPr="00151ED9">
              <w:t>2017</w:t>
            </w:r>
          </w:p>
        </w:tc>
        <w:tc>
          <w:tcPr>
            <w:tcW w:w="753" w:type="pct"/>
            <w:shd w:val="clear" w:color="auto" w:fill="F3F3F3"/>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t>S</w:t>
            </w:r>
            <w:r w:rsidRPr="00151ED9">
              <w:t>pecialised land</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$'000</w:t>
            </w:r>
          </w:p>
        </w:tc>
        <w:tc>
          <w:tcPr>
            <w:tcW w:w="753" w:type="pct"/>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Specialised buildings</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$'000</w:t>
            </w:r>
          </w:p>
        </w:tc>
        <w:tc>
          <w:tcPr>
            <w:tcW w:w="753" w:type="pct"/>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Plant and equipment</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$'000</w:t>
            </w:r>
          </w:p>
        </w:tc>
        <w:tc>
          <w:tcPr>
            <w:tcW w:w="754" w:type="pct"/>
            <w:shd w:val="clear" w:color="auto" w:fill="F3F3F3"/>
            <w:hideMark/>
          </w:tcPr>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t>Computer &amp;</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rPr>
                <w:rFonts w:ascii="Arial Bold" w:hAnsi="Arial Bold"/>
                <w:spacing w:val="-2"/>
              </w:rPr>
              <w:t>communication</w:t>
            </w:r>
            <w:r w:rsidRPr="00151ED9">
              <w:t xml:space="preserve"> equipment</w:t>
            </w:r>
          </w:p>
          <w:p w:rsidR="00151ED9" w:rsidRPr="00151ED9" w:rsidRDefault="00151ED9" w:rsidP="00151ED9">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151ED9">
              <w:rPr>
                <w:rFonts w:eastAsia="Calibri"/>
              </w:rPr>
              <w:t>$’000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rPr>
                <w:rStyle w:val="Bold"/>
              </w:rPr>
            </w:pPr>
            <w:r w:rsidRPr="00151ED9">
              <w:rPr>
                <w:rStyle w:val="Bold"/>
              </w:rPr>
              <w:t>Opening balance</w:t>
            </w:r>
          </w:p>
        </w:tc>
        <w:tc>
          <w:tcPr>
            <w:tcW w:w="753"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163,016</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304,395</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5,670</w:t>
            </w:r>
          </w:p>
        </w:tc>
        <w:tc>
          <w:tcPr>
            <w:tcW w:w="754"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5,214</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Purchases (sales)</w:t>
            </w:r>
          </w:p>
        </w:tc>
        <w:tc>
          <w:tcPr>
            <w:tcW w:w="753"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49,120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4,330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 xml:space="preserve">77 </w:t>
            </w:r>
          </w:p>
        </w:tc>
        <w:tc>
          <w:tcPr>
            <w:tcW w:w="754"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 xml:space="preserve">28 </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Transfers in (out) of level 3</w:t>
            </w:r>
          </w:p>
        </w:tc>
        <w:tc>
          <w:tcPr>
            <w:tcW w:w="753"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669</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(2,516)</w:t>
            </w:r>
          </w:p>
        </w:tc>
        <w:tc>
          <w:tcPr>
            <w:tcW w:w="754"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(135)</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hideMark/>
          </w:tcPr>
          <w:p w:rsidR="00151ED9" w:rsidRPr="00151ED9" w:rsidRDefault="00151ED9" w:rsidP="00151ED9">
            <w:pPr>
              <w:pStyle w:val="TableBodyText"/>
            </w:pPr>
            <w:r w:rsidRPr="00151ED9">
              <w:t>Disposal</w:t>
            </w:r>
          </w:p>
        </w:tc>
        <w:tc>
          <w:tcPr>
            <w:tcW w:w="753"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(9)</w:t>
            </w:r>
          </w:p>
        </w:tc>
        <w:tc>
          <w:tcPr>
            <w:tcW w:w="754"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Depreciation</w:t>
            </w:r>
          </w:p>
        </w:tc>
        <w:tc>
          <w:tcPr>
            <w:tcW w:w="753"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(10,893)</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(500)</w:t>
            </w:r>
          </w:p>
        </w:tc>
        <w:tc>
          <w:tcPr>
            <w:tcW w:w="754"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(819)</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hideMark/>
          </w:tcPr>
          <w:p w:rsidR="00151ED9" w:rsidRPr="00151ED9" w:rsidRDefault="00151ED9" w:rsidP="00151ED9">
            <w:pPr>
              <w:pStyle w:val="TableBodyText"/>
            </w:pPr>
            <w:r w:rsidRPr="00151ED9">
              <w:t>Accumulated depreciation transferred to reduce the carrying value</w:t>
            </w:r>
          </w:p>
        </w:tc>
        <w:tc>
          <w:tcPr>
            <w:tcW w:w="753"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4"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noWrap/>
            <w:hideMark/>
          </w:tcPr>
          <w:p w:rsidR="00151ED9" w:rsidRPr="00151ED9" w:rsidRDefault="00151ED9" w:rsidP="00151ED9">
            <w:pPr>
              <w:pStyle w:val="TableBodyText"/>
            </w:pPr>
            <w:r w:rsidRPr="00151ED9">
              <w:t>Revaluation</w:t>
            </w:r>
          </w:p>
        </w:tc>
        <w:tc>
          <w:tcPr>
            <w:tcW w:w="753"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131,775</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 xml:space="preserve">51,068 </w:t>
            </w:r>
          </w:p>
        </w:tc>
        <w:tc>
          <w:tcPr>
            <w:tcW w:w="753" w:type="pct"/>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4" w:type="pct"/>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tcBorders>
              <w:bottom w:val="single" w:sz="4" w:space="0" w:color="auto"/>
            </w:tcBorders>
            <w:hideMark/>
          </w:tcPr>
          <w:p w:rsidR="00151ED9" w:rsidRPr="00151ED9" w:rsidRDefault="00151ED9" w:rsidP="00151ED9">
            <w:pPr>
              <w:pStyle w:val="TableBodyText"/>
            </w:pPr>
            <w:r w:rsidRPr="00151ED9">
              <w:t>Transfer in/out of assets under construction</w:t>
            </w:r>
          </w:p>
        </w:tc>
        <w:tc>
          <w:tcPr>
            <w:tcW w:w="753" w:type="pct"/>
            <w:tcBorders>
              <w:bottom w:val="single" w:sz="4" w:space="0" w:color="auto"/>
            </w:tcBorders>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3" w:type="pct"/>
            <w:tcBorders>
              <w:bottom w:val="single" w:sz="4" w:space="0" w:color="auto"/>
            </w:tcBorders>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 xml:space="preserve">15,602 </w:t>
            </w:r>
          </w:p>
        </w:tc>
        <w:tc>
          <w:tcPr>
            <w:tcW w:w="753" w:type="pct"/>
            <w:tcBorders>
              <w:bottom w:val="single" w:sz="4" w:space="0" w:color="auto"/>
            </w:tcBorders>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4" w:type="pct"/>
            <w:tcBorders>
              <w:bottom w:val="single" w:sz="4" w:space="0" w:color="auto"/>
            </w:tcBorders>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0</w:t>
            </w:r>
          </w:p>
        </w:tc>
      </w:tr>
      <w:tr w:rsidR="00151ED9" w:rsidRPr="00151ED9" w:rsidTr="00151ED9">
        <w:tc>
          <w:tcPr>
            <w:cnfStyle w:val="001000000000" w:firstRow="0" w:lastRow="0" w:firstColumn="1" w:lastColumn="0" w:oddVBand="0" w:evenVBand="0" w:oddHBand="0" w:evenHBand="0" w:firstRowFirstColumn="0" w:firstRowLastColumn="0" w:lastRowFirstColumn="0" w:lastRowLastColumn="0"/>
            <w:tcW w:w="1986" w:type="pct"/>
            <w:tcBorders>
              <w:top w:val="single" w:sz="4" w:space="0" w:color="auto"/>
              <w:bottom w:val="single" w:sz="4" w:space="0" w:color="auto"/>
            </w:tcBorders>
            <w:noWrap/>
            <w:hideMark/>
          </w:tcPr>
          <w:p w:rsidR="00151ED9" w:rsidRPr="00151ED9" w:rsidRDefault="00151ED9" w:rsidP="00151ED9">
            <w:pPr>
              <w:pStyle w:val="TableBodyText"/>
              <w:rPr>
                <w:rStyle w:val="Bold"/>
              </w:rPr>
            </w:pPr>
            <w:r w:rsidRPr="00151ED9">
              <w:rPr>
                <w:rStyle w:val="Bold"/>
              </w:rPr>
              <w:t>Closing balance</w:t>
            </w:r>
          </w:p>
        </w:tc>
        <w:tc>
          <w:tcPr>
            <w:tcW w:w="753" w:type="pct"/>
            <w:tcBorders>
              <w:top w:val="single" w:sz="4" w:space="0" w:color="auto"/>
              <w:bottom w:val="single" w:sz="4" w:space="0" w:color="auto"/>
            </w:tcBorders>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343,911</w:t>
            </w:r>
          </w:p>
        </w:tc>
        <w:tc>
          <w:tcPr>
            <w:tcW w:w="753" w:type="pct"/>
            <w:tcBorders>
              <w:top w:val="single" w:sz="4" w:space="0" w:color="auto"/>
              <w:bottom w:val="single" w:sz="4" w:space="0" w:color="auto"/>
            </w:tcBorders>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365,171</w:t>
            </w:r>
          </w:p>
        </w:tc>
        <w:tc>
          <w:tcPr>
            <w:tcW w:w="753" w:type="pct"/>
            <w:tcBorders>
              <w:top w:val="single" w:sz="4" w:space="0" w:color="auto"/>
              <w:bottom w:val="single" w:sz="4" w:space="0" w:color="auto"/>
            </w:tcBorders>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2,722</w:t>
            </w:r>
          </w:p>
        </w:tc>
        <w:tc>
          <w:tcPr>
            <w:tcW w:w="754" w:type="pct"/>
            <w:tcBorders>
              <w:top w:val="single" w:sz="4" w:space="0" w:color="auto"/>
              <w:bottom w:val="single" w:sz="4" w:space="0" w:color="auto"/>
            </w:tcBorders>
            <w:shd w:val="clear" w:color="auto" w:fill="F3F3F3"/>
            <w:noWrap/>
            <w:vAlign w:val="bottom"/>
            <w:hideMark/>
          </w:tcPr>
          <w:p w:rsidR="00151ED9" w:rsidRDefault="00151ED9" w:rsidP="00151ED9">
            <w:pPr>
              <w:pStyle w:val="TableBodyText"/>
              <w:cnfStyle w:val="000000000000" w:firstRow="0" w:lastRow="0" w:firstColumn="0" w:lastColumn="0" w:oddVBand="0" w:evenVBand="0" w:oddHBand="0" w:evenHBand="0" w:firstRowFirstColumn="0" w:firstRowLastColumn="0" w:lastRowFirstColumn="0" w:lastRowLastColumn="0"/>
            </w:pPr>
            <w:r>
              <w:t>4,288</w:t>
            </w:r>
          </w:p>
        </w:tc>
      </w:tr>
    </w:tbl>
    <w:p w:rsidR="00151ED9" w:rsidRDefault="00151ED9" w:rsidP="002817A4">
      <w:pPr>
        <w:pStyle w:val="BodyText"/>
      </w:pPr>
      <w:r w:rsidRPr="00151ED9">
        <w:t>Specialised buildings includes heritage buildings</w:t>
      </w:r>
    </w:p>
    <w:p w:rsidR="00151ED9" w:rsidRPr="00BD6E5E" w:rsidRDefault="00151ED9" w:rsidP="00BD6E5E">
      <w:pPr>
        <w:pStyle w:val="BodyText"/>
        <w:rPr>
          <w:rStyle w:val="Bold"/>
        </w:rPr>
      </w:pPr>
      <w:r w:rsidRPr="00BD6E5E">
        <w:rPr>
          <w:rStyle w:val="Bold"/>
        </w:rPr>
        <w:t>Description of significant unobservable inputs to Level 3 valuation</w:t>
      </w:r>
    </w:p>
    <w:tbl>
      <w:tblPr>
        <w:tblStyle w:val="TableGrid"/>
        <w:tblW w:w="5000" w:type="pct"/>
        <w:tblLook w:val="04A0" w:firstRow="1" w:lastRow="0" w:firstColumn="1" w:lastColumn="0" w:noHBand="0" w:noVBand="1"/>
      </w:tblPr>
      <w:tblGrid>
        <w:gridCol w:w="2649"/>
        <w:gridCol w:w="1743"/>
        <w:gridCol w:w="1426"/>
        <w:gridCol w:w="1108"/>
        <w:gridCol w:w="2712"/>
      </w:tblGrid>
      <w:tr w:rsidR="00151ED9" w:rsidRPr="00151ED9" w:rsidTr="00151ED9">
        <w:trPr>
          <w:cnfStyle w:val="100000000000" w:firstRow="1" w:lastRow="0" w:firstColumn="0" w:lastColumn="0" w:oddVBand="0" w:evenVBand="0" w:oddHBand="0" w:evenHBand="0" w:firstRowFirstColumn="0" w:firstRowLastColumn="0" w:lastRowFirstColumn="0" w:lastRowLastColumn="0"/>
        </w:trPr>
        <w:tc>
          <w:tcPr>
            <w:tcW w:w="1377" w:type="pct"/>
          </w:tcPr>
          <w:p w:rsidR="00151ED9" w:rsidRPr="00151ED9" w:rsidRDefault="00151ED9" w:rsidP="00151ED9">
            <w:pPr>
              <w:pStyle w:val="TableHeading"/>
              <w:rPr>
                <w:rFonts w:eastAsia="Calibri"/>
              </w:rPr>
            </w:pPr>
            <w:r w:rsidRPr="00151ED9">
              <w:t>Details</w:t>
            </w:r>
          </w:p>
        </w:tc>
        <w:tc>
          <w:tcPr>
            <w:tcW w:w="907" w:type="pct"/>
          </w:tcPr>
          <w:p w:rsidR="00151ED9" w:rsidRPr="00151ED9" w:rsidRDefault="00151ED9" w:rsidP="00151ED9">
            <w:pPr>
              <w:pStyle w:val="TableHeading"/>
              <w:rPr>
                <w:rFonts w:eastAsia="Calibri"/>
              </w:rPr>
            </w:pPr>
            <w:r w:rsidRPr="00151ED9">
              <w:t>Valuation technique</w:t>
            </w:r>
          </w:p>
        </w:tc>
        <w:tc>
          <w:tcPr>
            <w:tcW w:w="729" w:type="pct"/>
          </w:tcPr>
          <w:p w:rsidR="00151ED9" w:rsidRPr="00151ED9" w:rsidRDefault="00151ED9" w:rsidP="00151ED9">
            <w:pPr>
              <w:pStyle w:val="TableHeading"/>
              <w:rPr>
                <w:rFonts w:eastAsia="Calibri"/>
              </w:rPr>
            </w:pPr>
            <w:r w:rsidRPr="00151ED9">
              <w:t>Significant unobservable inputs used in valuation</w:t>
            </w:r>
          </w:p>
        </w:tc>
        <w:tc>
          <w:tcPr>
            <w:tcW w:w="577" w:type="pct"/>
          </w:tcPr>
          <w:p w:rsidR="00151ED9" w:rsidRPr="00151ED9" w:rsidRDefault="00151ED9" w:rsidP="00151ED9">
            <w:pPr>
              <w:pStyle w:val="TableHeading"/>
              <w:rPr>
                <w:rFonts w:eastAsia="Calibri"/>
              </w:rPr>
            </w:pPr>
            <w:r w:rsidRPr="00151ED9">
              <w:t>Range (weighted average)</w:t>
            </w:r>
          </w:p>
        </w:tc>
        <w:tc>
          <w:tcPr>
            <w:tcW w:w="1409" w:type="pct"/>
          </w:tcPr>
          <w:p w:rsidR="00151ED9" w:rsidRPr="00151ED9" w:rsidRDefault="00151ED9" w:rsidP="00151ED9">
            <w:pPr>
              <w:pStyle w:val="TableHeading"/>
              <w:rPr>
                <w:rFonts w:eastAsia="Calibri"/>
              </w:rPr>
            </w:pPr>
            <w:r w:rsidRPr="00151ED9">
              <w:t>Sensitivity of fair value measurement to changes in significant unobservable inputs</w:t>
            </w:r>
          </w:p>
        </w:tc>
      </w:tr>
      <w:tr w:rsidR="00151ED9" w:rsidRPr="00151ED9" w:rsidTr="00151ED9">
        <w:tc>
          <w:tcPr>
            <w:tcW w:w="1377" w:type="pct"/>
          </w:tcPr>
          <w:p w:rsidR="00151ED9" w:rsidRPr="00151ED9" w:rsidRDefault="00151ED9" w:rsidP="00151ED9">
            <w:pPr>
              <w:pStyle w:val="TableBodyText"/>
              <w:rPr>
                <w:rFonts w:eastAsia="Calibri"/>
              </w:rPr>
            </w:pPr>
            <w:r w:rsidRPr="00151ED9">
              <w:t>Specialised land</w:t>
            </w:r>
          </w:p>
        </w:tc>
        <w:tc>
          <w:tcPr>
            <w:tcW w:w="907" w:type="pct"/>
          </w:tcPr>
          <w:p w:rsidR="00151ED9" w:rsidRPr="00151ED9" w:rsidRDefault="00151ED9" w:rsidP="00151ED9">
            <w:pPr>
              <w:pStyle w:val="TableBodyText"/>
              <w:rPr>
                <w:rFonts w:eastAsia="Calibri"/>
              </w:rPr>
            </w:pPr>
            <w:r w:rsidRPr="00151ED9">
              <w:t>Market approach</w:t>
            </w:r>
          </w:p>
        </w:tc>
        <w:tc>
          <w:tcPr>
            <w:tcW w:w="729" w:type="pct"/>
          </w:tcPr>
          <w:p w:rsidR="00151ED9" w:rsidRPr="00151ED9" w:rsidRDefault="00151ED9" w:rsidP="00151ED9">
            <w:pPr>
              <w:pStyle w:val="TableBodyText"/>
              <w:rPr>
                <w:rFonts w:eastAsia="Calibri"/>
              </w:rPr>
            </w:pPr>
            <w:proofErr w:type="spellStart"/>
            <w:r w:rsidRPr="00151ED9">
              <w:t>CSO</w:t>
            </w:r>
            <w:proofErr w:type="spellEnd"/>
            <w:r w:rsidRPr="00151ED9">
              <w:t xml:space="preserve"> adjustment</w:t>
            </w:r>
          </w:p>
        </w:tc>
        <w:tc>
          <w:tcPr>
            <w:tcW w:w="577" w:type="pct"/>
          </w:tcPr>
          <w:p w:rsidR="00151ED9" w:rsidRPr="00151ED9" w:rsidRDefault="00151ED9" w:rsidP="00151ED9">
            <w:pPr>
              <w:pStyle w:val="TableBodyText"/>
              <w:rPr>
                <w:rFonts w:eastAsia="Calibri"/>
              </w:rPr>
            </w:pPr>
            <w:r w:rsidRPr="00151ED9">
              <w:t>25 per cent</w:t>
            </w:r>
          </w:p>
        </w:tc>
        <w:tc>
          <w:tcPr>
            <w:tcW w:w="1409" w:type="pct"/>
          </w:tcPr>
          <w:p w:rsidR="00151ED9" w:rsidRPr="00151ED9" w:rsidRDefault="00151ED9" w:rsidP="00151ED9">
            <w:pPr>
              <w:pStyle w:val="TableBodyText"/>
              <w:rPr>
                <w:rFonts w:eastAsia="Calibri"/>
              </w:rPr>
            </w:pPr>
            <w:r w:rsidRPr="00151ED9">
              <w:t xml:space="preserve">Significant increase or decrease in the </w:t>
            </w:r>
            <w:proofErr w:type="spellStart"/>
            <w:r w:rsidRPr="00151ED9">
              <w:t>CSO</w:t>
            </w:r>
            <w:proofErr w:type="spellEnd"/>
            <w:r w:rsidRPr="00151ED9">
              <w:t xml:space="preserve"> adjustment would result in a significantly lower (higher) fair value.</w:t>
            </w:r>
          </w:p>
        </w:tc>
      </w:tr>
      <w:tr w:rsidR="00151ED9" w:rsidRPr="00151ED9" w:rsidTr="00151ED9">
        <w:tc>
          <w:tcPr>
            <w:tcW w:w="1377" w:type="pct"/>
          </w:tcPr>
          <w:p w:rsidR="00151ED9" w:rsidRPr="00151ED9" w:rsidRDefault="00151ED9" w:rsidP="00151ED9">
            <w:pPr>
              <w:pStyle w:val="TableBodyText"/>
              <w:rPr>
                <w:rFonts w:eastAsia="Calibri"/>
              </w:rPr>
            </w:pPr>
            <w:r w:rsidRPr="00151ED9">
              <w:t>Specialised buildings Structure/shell/building fabric</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rPr>
                <w:rFonts w:eastAsia="Calibri"/>
              </w:rPr>
              <w:t xml:space="preserve">6 </w:t>
            </w:r>
            <w:r w:rsidRPr="00151ED9">
              <w:rPr>
                <w:rFonts w:ascii="Cambria Math" w:eastAsia="Calibri" w:hAnsi="Cambria Math" w:cs="Cambria Math"/>
              </w:rPr>
              <w:t>‐</w:t>
            </w:r>
            <w:r w:rsidRPr="00151ED9">
              <w:rPr>
                <w:rFonts w:eastAsia="Calibri"/>
              </w:rPr>
              <w:t xml:space="preserve"> 37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Specialised buildings Site engineering services</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rPr>
                <w:rFonts w:eastAsia="Calibri"/>
              </w:rPr>
              <w:t xml:space="preserve">6 </w:t>
            </w:r>
            <w:r w:rsidRPr="00151ED9">
              <w:rPr>
                <w:rFonts w:ascii="Cambria Math" w:eastAsia="Calibri" w:hAnsi="Cambria Math" w:cs="Cambria Math"/>
              </w:rPr>
              <w:t>‐</w:t>
            </w:r>
            <w:r w:rsidRPr="00151ED9">
              <w:rPr>
                <w:rFonts w:eastAsia="Calibri"/>
              </w:rPr>
              <w:t xml:space="preserve"> 33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Specialised buildings Fit out</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rPr>
                <w:rFonts w:eastAsia="Calibri"/>
              </w:rPr>
              <w:t xml:space="preserve">3 </w:t>
            </w:r>
            <w:r w:rsidRPr="00151ED9">
              <w:rPr>
                <w:rFonts w:ascii="Cambria Math" w:eastAsia="Calibri" w:hAnsi="Cambria Math" w:cs="Cambria Math"/>
              </w:rPr>
              <w:t>‐</w:t>
            </w:r>
            <w:r w:rsidRPr="00151ED9">
              <w:rPr>
                <w:rFonts w:eastAsia="Calibri"/>
              </w:rPr>
              <w:t xml:space="preserve"> 25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Specialised buildings Trunk reticulated building systems</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rPr>
                <w:rFonts w:eastAsia="Calibri"/>
              </w:rPr>
              <w:t xml:space="preserve">3 </w:t>
            </w:r>
            <w:r w:rsidRPr="00151ED9">
              <w:rPr>
                <w:rFonts w:ascii="Cambria Math" w:eastAsia="Calibri" w:hAnsi="Cambria Math" w:cs="Cambria Math"/>
              </w:rPr>
              <w:t>‐</w:t>
            </w:r>
            <w:r w:rsidRPr="00151ED9">
              <w:rPr>
                <w:rFonts w:eastAsia="Calibri"/>
              </w:rPr>
              <w:t xml:space="preserve"> 20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Heritage buildings Structure/shell/building fabric</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t>50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Heritage buildings Site engineering services</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t>50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lastRenderedPageBreak/>
              <w:t>Heritage buildings Fit out</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t>10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Heritage buildings Trunk reticulated building systems</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t>10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Leasehold improvements</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Term of lease</w:t>
            </w:r>
          </w:p>
        </w:tc>
        <w:tc>
          <w:tcPr>
            <w:tcW w:w="577" w:type="pct"/>
          </w:tcPr>
          <w:p w:rsidR="00151ED9" w:rsidRPr="00151ED9" w:rsidRDefault="00151ED9" w:rsidP="00151ED9">
            <w:pPr>
              <w:pStyle w:val="TableBodyText"/>
              <w:rPr>
                <w:rFonts w:eastAsia="Calibri"/>
              </w:rPr>
            </w:pPr>
            <w:r w:rsidRPr="00151ED9">
              <w:rPr>
                <w:rFonts w:eastAsia="Calibri"/>
              </w:rPr>
              <w:t xml:space="preserve">2 </w:t>
            </w:r>
            <w:r w:rsidRPr="00151ED9">
              <w:rPr>
                <w:rFonts w:ascii="Cambria Math" w:eastAsia="Calibri" w:hAnsi="Cambria Math" w:cs="Cambria Math"/>
              </w:rPr>
              <w:t>‐</w:t>
            </w:r>
            <w:r w:rsidRPr="00151ED9">
              <w:rPr>
                <w:rFonts w:eastAsia="Calibri"/>
              </w:rPr>
              <w:t xml:space="preserve"> 37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r w:rsidR="00151ED9" w:rsidRPr="00151ED9" w:rsidTr="00151ED9">
        <w:tc>
          <w:tcPr>
            <w:tcW w:w="1377" w:type="pct"/>
          </w:tcPr>
          <w:p w:rsidR="00151ED9" w:rsidRPr="00151ED9" w:rsidRDefault="00151ED9" w:rsidP="00151ED9">
            <w:pPr>
              <w:pStyle w:val="TableBodyText"/>
              <w:rPr>
                <w:rFonts w:eastAsia="Calibri"/>
              </w:rPr>
            </w:pPr>
            <w:r w:rsidRPr="00151ED9">
              <w:t>Plant and equipment</w:t>
            </w:r>
          </w:p>
        </w:tc>
        <w:tc>
          <w:tcPr>
            <w:tcW w:w="907" w:type="pct"/>
          </w:tcPr>
          <w:p w:rsidR="00151ED9" w:rsidRPr="00151ED9" w:rsidRDefault="00151ED9" w:rsidP="00151ED9">
            <w:pPr>
              <w:pStyle w:val="TableBodyText"/>
              <w:rPr>
                <w:rFonts w:eastAsia="Calibri"/>
              </w:rPr>
            </w:pPr>
            <w:r w:rsidRPr="00151ED9">
              <w:t>Depreciated replacement cost</w:t>
            </w:r>
          </w:p>
        </w:tc>
        <w:tc>
          <w:tcPr>
            <w:tcW w:w="729" w:type="pct"/>
          </w:tcPr>
          <w:p w:rsidR="00151ED9" w:rsidRPr="00151ED9" w:rsidRDefault="00151ED9" w:rsidP="00151ED9">
            <w:pPr>
              <w:pStyle w:val="TableBodyText"/>
              <w:rPr>
                <w:rFonts w:eastAsia="Calibri"/>
              </w:rPr>
            </w:pPr>
            <w:r w:rsidRPr="00151ED9">
              <w:t>Useful life</w:t>
            </w:r>
          </w:p>
        </w:tc>
        <w:tc>
          <w:tcPr>
            <w:tcW w:w="577" w:type="pct"/>
          </w:tcPr>
          <w:p w:rsidR="00151ED9" w:rsidRPr="00151ED9" w:rsidRDefault="00151ED9" w:rsidP="00151ED9">
            <w:pPr>
              <w:pStyle w:val="TableBodyText"/>
              <w:rPr>
                <w:rFonts w:eastAsia="Calibri"/>
              </w:rPr>
            </w:pPr>
            <w:r w:rsidRPr="00151ED9">
              <w:rPr>
                <w:rFonts w:eastAsia="Calibri"/>
              </w:rPr>
              <w:t xml:space="preserve">1 </w:t>
            </w:r>
            <w:r w:rsidRPr="00151ED9">
              <w:rPr>
                <w:rFonts w:ascii="Cambria Math" w:eastAsia="Calibri" w:hAnsi="Cambria Math" w:cs="Cambria Math"/>
              </w:rPr>
              <w:t>‐</w:t>
            </w:r>
            <w:r w:rsidRPr="00151ED9">
              <w:rPr>
                <w:rFonts w:eastAsia="Calibri"/>
              </w:rPr>
              <w:t xml:space="preserve"> 10 years</w:t>
            </w:r>
          </w:p>
        </w:tc>
        <w:tc>
          <w:tcPr>
            <w:tcW w:w="1409" w:type="pct"/>
          </w:tcPr>
          <w:p w:rsidR="00151ED9" w:rsidRPr="00151ED9" w:rsidRDefault="00151ED9" w:rsidP="00151ED9">
            <w:pPr>
              <w:pStyle w:val="TableBodyText"/>
              <w:rPr>
                <w:rFonts w:eastAsia="Calibri"/>
              </w:rPr>
            </w:pPr>
            <w:r w:rsidRPr="00151ED9">
              <w:t>Significant increase or decrease in the estimated useful life of the asset would result in a significantly higher or lower valuation.</w:t>
            </w:r>
          </w:p>
        </w:tc>
      </w:tr>
    </w:tbl>
    <w:p w:rsidR="00151ED9" w:rsidRDefault="00151ED9" w:rsidP="00151ED9">
      <w:pPr>
        <w:pStyle w:val="Heading1"/>
      </w:pPr>
      <w:bookmarkStart w:id="62" w:name="_Toc497125490"/>
      <w:r>
        <w:lastRenderedPageBreak/>
        <w:t xml:space="preserve">Other </w:t>
      </w:r>
      <w:r w:rsidR="00E15939">
        <w:t>disclosures</w:t>
      </w:r>
      <w:bookmarkEnd w:id="62"/>
    </w:p>
    <w:p w:rsidR="00151ED9" w:rsidRPr="00BD6E5E" w:rsidRDefault="00151ED9" w:rsidP="00BD6E5E">
      <w:pPr>
        <w:pStyle w:val="BodyText"/>
        <w:rPr>
          <w:rStyle w:val="Bold"/>
        </w:rPr>
      </w:pPr>
      <w:r w:rsidRPr="00BD6E5E">
        <w:rPr>
          <w:rStyle w:val="Bold"/>
        </w:rPr>
        <w:t>Introduction</w:t>
      </w:r>
    </w:p>
    <w:p w:rsidR="00151ED9" w:rsidRDefault="00151ED9" w:rsidP="00151ED9">
      <w:pPr>
        <w:pStyle w:val="BodyText"/>
      </w:pPr>
      <w:r>
        <w:t>This section includes additional material disclosures required by accounting standards or otherwise, for the understanding of this financial report.</w:t>
      </w:r>
    </w:p>
    <w:p w:rsidR="00151ED9" w:rsidRPr="00BD6E5E" w:rsidRDefault="00151ED9" w:rsidP="00BD6E5E">
      <w:pPr>
        <w:pStyle w:val="BodyText"/>
        <w:rPr>
          <w:rStyle w:val="Bold"/>
        </w:rPr>
      </w:pPr>
      <w:r w:rsidRPr="00BD6E5E">
        <w:rPr>
          <w:rStyle w:val="Bold"/>
        </w:rPr>
        <w:t>Structure</w:t>
      </w:r>
    </w:p>
    <w:p w:rsidR="00151ED9" w:rsidRDefault="00151ED9" w:rsidP="00972891">
      <w:pPr>
        <w:pStyle w:val="BodyText"/>
        <w:tabs>
          <w:tab w:val="left" w:pos="567"/>
        </w:tabs>
        <w:contextualSpacing/>
      </w:pPr>
      <w:r>
        <w:t>9.1</w:t>
      </w:r>
      <w:r>
        <w:tab/>
        <w:t>Other economic flows included in net result</w:t>
      </w:r>
    </w:p>
    <w:p w:rsidR="00151ED9" w:rsidRDefault="00151ED9" w:rsidP="00972891">
      <w:pPr>
        <w:pStyle w:val="BodyText"/>
        <w:tabs>
          <w:tab w:val="left" w:pos="567"/>
        </w:tabs>
        <w:contextualSpacing/>
      </w:pPr>
      <w:r>
        <w:t>9.2</w:t>
      </w:r>
      <w:r>
        <w:tab/>
        <w:t xml:space="preserve">Non </w:t>
      </w:r>
      <w:r>
        <w:rPr>
          <w:rFonts w:ascii="Cambria Math" w:hAnsi="Cambria Math" w:cs="Cambria Math"/>
        </w:rPr>
        <w:t>‐</w:t>
      </w:r>
      <w:r>
        <w:t xml:space="preserve"> financial physical assets classified as held for sale</w:t>
      </w:r>
    </w:p>
    <w:p w:rsidR="00151ED9" w:rsidRDefault="00151ED9" w:rsidP="00972891">
      <w:pPr>
        <w:pStyle w:val="BodyText"/>
        <w:tabs>
          <w:tab w:val="left" w:pos="567"/>
        </w:tabs>
        <w:contextualSpacing/>
      </w:pPr>
      <w:r>
        <w:t>9.3</w:t>
      </w:r>
      <w:r>
        <w:tab/>
        <w:t>Responsible persons</w:t>
      </w:r>
    </w:p>
    <w:p w:rsidR="00151ED9" w:rsidRDefault="00151ED9" w:rsidP="00972891">
      <w:pPr>
        <w:pStyle w:val="BodyText"/>
        <w:tabs>
          <w:tab w:val="left" w:pos="567"/>
        </w:tabs>
        <w:contextualSpacing/>
      </w:pPr>
      <w:r>
        <w:t>9.4</w:t>
      </w:r>
      <w:r>
        <w:tab/>
        <w:t>Remuneration of executives and other personnel</w:t>
      </w:r>
    </w:p>
    <w:p w:rsidR="00151ED9" w:rsidRDefault="00151ED9" w:rsidP="00972891">
      <w:pPr>
        <w:pStyle w:val="BodyText"/>
        <w:tabs>
          <w:tab w:val="left" w:pos="567"/>
        </w:tabs>
        <w:contextualSpacing/>
      </w:pPr>
      <w:r>
        <w:t>9.5</w:t>
      </w:r>
      <w:r>
        <w:tab/>
        <w:t>Remuneration of auditors</w:t>
      </w:r>
    </w:p>
    <w:p w:rsidR="00151ED9" w:rsidRDefault="00151ED9" w:rsidP="00972891">
      <w:pPr>
        <w:pStyle w:val="BodyText"/>
        <w:tabs>
          <w:tab w:val="left" w:pos="567"/>
        </w:tabs>
        <w:contextualSpacing/>
      </w:pPr>
      <w:r>
        <w:t>9.6</w:t>
      </w:r>
      <w:r>
        <w:tab/>
        <w:t>Other accounting policies</w:t>
      </w:r>
    </w:p>
    <w:p w:rsidR="00151ED9" w:rsidRDefault="00151ED9" w:rsidP="00972891">
      <w:pPr>
        <w:pStyle w:val="BodyText"/>
        <w:tabs>
          <w:tab w:val="left" w:pos="567"/>
        </w:tabs>
        <w:contextualSpacing/>
      </w:pPr>
      <w:r>
        <w:t>9.7</w:t>
      </w:r>
      <w:r>
        <w:tab/>
        <w:t>Australian Accounting Standards issued that are not yet effective</w:t>
      </w:r>
    </w:p>
    <w:p w:rsidR="00151ED9" w:rsidRDefault="00151ED9" w:rsidP="00151ED9">
      <w:pPr>
        <w:pStyle w:val="Heading2"/>
      </w:pPr>
      <w:bookmarkStart w:id="63" w:name="_Toc497125491"/>
      <w:r>
        <w:t>Other economic flows included in net result</w:t>
      </w:r>
      <w:bookmarkEnd w:id="63"/>
    </w:p>
    <w:p w:rsidR="00151ED9" w:rsidRDefault="00151ED9" w:rsidP="00151ED9">
      <w:pPr>
        <w:pStyle w:val="BodyText"/>
      </w:pPr>
      <w:r>
        <w:t>Other economic flows are changes in the volume or value of an asset or liability that do not result from transactions. Other gains/(losses) from other economic flows include the gains or losses from the revaluation of the present value of the long service leave liability due to changes in the bond interest rates.</w:t>
      </w:r>
    </w:p>
    <w:tbl>
      <w:tblPr>
        <w:tblStyle w:val="FinancialTable"/>
        <w:tblW w:w="5000" w:type="pct"/>
        <w:tblLook w:val="04A0" w:firstRow="1" w:lastRow="0" w:firstColumn="1" w:lastColumn="0" w:noHBand="0" w:noVBand="1"/>
      </w:tblPr>
      <w:tblGrid>
        <w:gridCol w:w="6505"/>
        <w:gridCol w:w="1556"/>
        <w:gridCol w:w="1577"/>
      </w:tblGrid>
      <w:tr w:rsidR="00A228B8" w:rsidRPr="00A228B8" w:rsidTr="00A228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5" w:type="pct"/>
            <w:noWrap/>
            <w:hideMark/>
          </w:tcPr>
          <w:p w:rsidR="00A228B8" w:rsidRPr="00A228B8" w:rsidRDefault="00A228B8" w:rsidP="00A228B8">
            <w:pPr>
              <w:pStyle w:val="TableBodyText"/>
              <w:rPr>
                <w:rStyle w:val="Bold"/>
              </w:rPr>
            </w:pPr>
            <w:r w:rsidRPr="00A228B8">
              <w:rPr>
                <w:rStyle w:val="Bold"/>
              </w:rPr>
              <w:t>Item</w:t>
            </w:r>
          </w:p>
        </w:tc>
        <w:tc>
          <w:tcPr>
            <w:tcW w:w="807" w:type="pct"/>
            <w:shd w:val="clear" w:color="auto" w:fill="F3F3F3"/>
            <w:hideMark/>
          </w:tcPr>
          <w:p w:rsidR="00A228B8" w:rsidRPr="00A228B8" w:rsidRDefault="00A228B8" w:rsidP="00A228B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228B8">
              <w:rPr>
                <w:rStyle w:val="Bold"/>
              </w:rPr>
              <w:t>2017</w:t>
            </w:r>
            <w:r w:rsidRPr="00A228B8">
              <w:rPr>
                <w:rStyle w:val="Bold"/>
              </w:rPr>
              <w:br/>
              <w:t>$'000</w:t>
            </w:r>
          </w:p>
        </w:tc>
        <w:tc>
          <w:tcPr>
            <w:tcW w:w="818" w:type="pct"/>
            <w:hideMark/>
          </w:tcPr>
          <w:p w:rsidR="00A228B8" w:rsidRPr="00A228B8" w:rsidRDefault="00A228B8" w:rsidP="00A228B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228B8">
              <w:rPr>
                <w:rStyle w:val="Bold"/>
              </w:rPr>
              <w:t>2016</w:t>
            </w:r>
            <w:r w:rsidRPr="00A228B8">
              <w:rPr>
                <w:rStyle w:val="Bold"/>
              </w:rPr>
              <w:br/>
              <w:t>$'000</w:t>
            </w:r>
          </w:p>
        </w:tc>
      </w:tr>
      <w:tr w:rsidR="00A228B8" w:rsidRPr="00151ED9" w:rsidTr="00A228B8">
        <w:tc>
          <w:tcPr>
            <w:cnfStyle w:val="001000000000" w:firstRow="0" w:lastRow="0" w:firstColumn="1" w:lastColumn="0" w:oddVBand="0" w:evenVBand="0" w:oddHBand="0" w:evenHBand="0" w:firstRowFirstColumn="0" w:firstRowLastColumn="0" w:lastRowFirstColumn="0" w:lastRowLastColumn="0"/>
            <w:tcW w:w="3375" w:type="pct"/>
            <w:noWrap/>
            <w:hideMark/>
          </w:tcPr>
          <w:p w:rsidR="00A228B8" w:rsidRPr="00151ED9" w:rsidRDefault="00A228B8" w:rsidP="00A228B8">
            <w:pPr>
              <w:pStyle w:val="TableBodyText"/>
              <w:spacing w:before="120"/>
            </w:pPr>
            <w:r w:rsidRPr="00151ED9">
              <w:t>(a)</w:t>
            </w:r>
            <w:r>
              <w:t xml:space="preserve"> </w:t>
            </w:r>
            <w:r w:rsidRPr="00151ED9">
              <w:t>Net gain/(loss) on non-financial assets</w:t>
            </w:r>
          </w:p>
        </w:tc>
        <w:tc>
          <w:tcPr>
            <w:tcW w:w="807" w:type="pct"/>
            <w:shd w:val="clear" w:color="auto" w:fill="F3F3F3"/>
            <w:noWrap/>
          </w:tcPr>
          <w:p w:rsidR="00A228B8" w:rsidRPr="00151ED9" w:rsidRDefault="00A228B8" w:rsidP="00A228B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18" w:type="pct"/>
            <w:noWrap/>
            <w:hideMark/>
          </w:tcPr>
          <w:p w:rsidR="00A228B8" w:rsidRPr="00151ED9" w:rsidRDefault="00A228B8" w:rsidP="00A228B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A228B8" w:rsidRPr="00151ED9" w:rsidTr="00A228B8">
        <w:tc>
          <w:tcPr>
            <w:cnfStyle w:val="001000000000" w:firstRow="0" w:lastRow="0" w:firstColumn="1" w:lastColumn="0" w:oddVBand="0" w:evenVBand="0" w:oddHBand="0" w:evenHBand="0" w:firstRowFirstColumn="0" w:firstRowLastColumn="0" w:lastRowFirstColumn="0" w:lastRowLastColumn="0"/>
            <w:tcW w:w="3375" w:type="pct"/>
            <w:tcBorders>
              <w:bottom w:val="single" w:sz="4" w:space="0" w:color="auto"/>
            </w:tcBorders>
            <w:noWrap/>
            <w:hideMark/>
          </w:tcPr>
          <w:p w:rsidR="00A228B8" w:rsidRPr="00151ED9" w:rsidRDefault="00A228B8" w:rsidP="00A228B8">
            <w:pPr>
              <w:pStyle w:val="TableBodyText"/>
              <w:ind w:left="283"/>
            </w:pPr>
            <w:r w:rsidRPr="00151ED9">
              <w:t>Net gain/(loss) on disposal of property, plant and equipment</w:t>
            </w:r>
          </w:p>
        </w:tc>
        <w:tc>
          <w:tcPr>
            <w:tcW w:w="807" w:type="pct"/>
            <w:tcBorders>
              <w:bottom w:val="single" w:sz="4" w:space="0" w:color="auto"/>
            </w:tcBorders>
            <w:shd w:val="clear" w:color="auto" w:fill="F3F3F3"/>
            <w:noWrap/>
            <w:hideMark/>
          </w:tcPr>
          <w:p w:rsidR="00A228B8" w:rsidRPr="00151ED9"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461 </w:t>
            </w:r>
          </w:p>
        </w:tc>
        <w:tc>
          <w:tcPr>
            <w:tcW w:w="818" w:type="pct"/>
            <w:tcBorders>
              <w:bottom w:val="single" w:sz="4" w:space="0" w:color="auto"/>
            </w:tcBorders>
            <w:noWrap/>
            <w:hideMark/>
          </w:tcPr>
          <w:p w:rsidR="00A228B8" w:rsidRPr="00151ED9" w:rsidRDefault="00A228B8" w:rsidP="00151ED9">
            <w:pPr>
              <w:pStyle w:val="TableBodyText"/>
              <w:cnfStyle w:val="000000000000" w:firstRow="0" w:lastRow="0" w:firstColumn="0" w:lastColumn="0" w:oddVBand="0" w:evenVBand="0" w:oddHBand="0" w:evenHBand="0" w:firstRowFirstColumn="0" w:firstRowLastColumn="0" w:lastRowFirstColumn="0" w:lastRowLastColumn="0"/>
            </w:pPr>
            <w:r w:rsidRPr="00151ED9">
              <w:t>530</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3375" w:type="pct"/>
            <w:tcBorders>
              <w:top w:val="single" w:sz="4" w:space="0" w:color="auto"/>
              <w:bottom w:val="single" w:sz="4" w:space="0" w:color="auto"/>
            </w:tcBorders>
            <w:noWrap/>
            <w:hideMark/>
          </w:tcPr>
          <w:p w:rsidR="00A228B8" w:rsidRPr="00A228B8" w:rsidRDefault="00A228B8" w:rsidP="00A228B8">
            <w:pPr>
              <w:pStyle w:val="TableBodyText"/>
              <w:ind w:left="283"/>
              <w:rPr>
                <w:rStyle w:val="Bold"/>
              </w:rPr>
            </w:pPr>
            <w:r w:rsidRPr="00A228B8">
              <w:rPr>
                <w:rStyle w:val="Bold"/>
              </w:rPr>
              <w:t>Total net gain/(loss) on non-financial assets</w:t>
            </w:r>
          </w:p>
        </w:tc>
        <w:tc>
          <w:tcPr>
            <w:tcW w:w="807" w:type="pct"/>
            <w:tcBorders>
              <w:top w:val="single" w:sz="4" w:space="0" w:color="auto"/>
              <w:bottom w:val="single" w:sz="4" w:space="0" w:color="auto"/>
            </w:tcBorders>
            <w:shd w:val="clear" w:color="auto" w:fill="F3F3F3"/>
            <w:noWrap/>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 xml:space="preserve">461 </w:t>
            </w:r>
          </w:p>
        </w:tc>
        <w:tc>
          <w:tcPr>
            <w:tcW w:w="818" w:type="pct"/>
            <w:tcBorders>
              <w:top w:val="single" w:sz="4" w:space="0" w:color="auto"/>
              <w:bottom w:val="single" w:sz="4" w:space="0" w:color="auto"/>
            </w:tcBorders>
            <w:noWrap/>
            <w:hideMark/>
          </w:tcPr>
          <w:p w:rsidR="00A228B8" w:rsidRPr="00A228B8" w:rsidRDefault="00A228B8"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530</w:t>
            </w:r>
          </w:p>
        </w:tc>
      </w:tr>
      <w:tr w:rsidR="00A228B8" w:rsidRPr="00151ED9" w:rsidTr="00A228B8">
        <w:tc>
          <w:tcPr>
            <w:cnfStyle w:val="001000000000" w:firstRow="0" w:lastRow="0" w:firstColumn="1" w:lastColumn="0" w:oddVBand="0" w:evenVBand="0" w:oddHBand="0" w:evenHBand="0" w:firstRowFirstColumn="0" w:firstRowLastColumn="0" w:lastRowFirstColumn="0" w:lastRowLastColumn="0"/>
            <w:tcW w:w="3375" w:type="pct"/>
            <w:tcBorders>
              <w:top w:val="single" w:sz="4" w:space="0" w:color="auto"/>
            </w:tcBorders>
            <w:hideMark/>
          </w:tcPr>
          <w:p w:rsidR="00A228B8" w:rsidRPr="00151ED9" w:rsidRDefault="00A228B8" w:rsidP="00A228B8">
            <w:pPr>
              <w:pStyle w:val="TableBodyText"/>
              <w:spacing w:before="120"/>
            </w:pPr>
            <w:r w:rsidRPr="00151ED9">
              <w:t>(b)</w:t>
            </w:r>
            <w:r>
              <w:t xml:space="preserve"> </w:t>
            </w:r>
            <w:r w:rsidRPr="00151ED9">
              <w:t>Net gain/(loss) on financial instruments</w:t>
            </w:r>
          </w:p>
        </w:tc>
        <w:tc>
          <w:tcPr>
            <w:tcW w:w="807" w:type="pct"/>
            <w:tcBorders>
              <w:top w:val="single" w:sz="4" w:space="0" w:color="auto"/>
            </w:tcBorders>
            <w:shd w:val="clear" w:color="auto" w:fill="F3F3F3"/>
            <w:noWrap/>
          </w:tcPr>
          <w:p w:rsidR="00A228B8" w:rsidRPr="00151ED9" w:rsidRDefault="00A228B8" w:rsidP="00A228B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18" w:type="pct"/>
            <w:tcBorders>
              <w:top w:val="single" w:sz="4" w:space="0" w:color="auto"/>
            </w:tcBorders>
            <w:noWrap/>
            <w:hideMark/>
          </w:tcPr>
          <w:p w:rsidR="00A228B8" w:rsidRPr="00151ED9" w:rsidRDefault="00A228B8" w:rsidP="00A228B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A228B8" w:rsidRPr="00151ED9" w:rsidTr="00A228B8">
        <w:tc>
          <w:tcPr>
            <w:cnfStyle w:val="001000000000" w:firstRow="0" w:lastRow="0" w:firstColumn="1" w:lastColumn="0" w:oddVBand="0" w:evenVBand="0" w:oddHBand="0" w:evenHBand="0" w:firstRowFirstColumn="0" w:firstRowLastColumn="0" w:lastRowFirstColumn="0" w:lastRowLastColumn="0"/>
            <w:tcW w:w="3375" w:type="pct"/>
            <w:tcBorders>
              <w:bottom w:val="single" w:sz="4" w:space="0" w:color="auto"/>
            </w:tcBorders>
            <w:noWrap/>
            <w:hideMark/>
          </w:tcPr>
          <w:p w:rsidR="00A228B8" w:rsidRPr="00151ED9" w:rsidRDefault="00A228B8" w:rsidP="00A228B8">
            <w:pPr>
              <w:pStyle w:val="TableBodyText"/>
              <w:ind w:left="283"/>
            </w:pPr>
            <w:r w:rsidRPr="00151ED9">
              <w:t>Bad debts written off</w:t>
            </w:r>
          </w:p>
        </w:tc>
        <w:tc>
          <w:tcPr>
            <w:tcW w:w="807" w:type="pct"/>
            <w:tcBorders>
              <w:bottom w:val="single" w:sz="4" w:space="0" w:color="auto"/>
            </w:tcBorders>
            <w:shd w:val="clear" w:color="auto" w:fill="F3F3F3"/>
            <w:noWrap/>
            <w:hideMark/>
          </w:tcPr>
          <w:p w:rsidR="00A228B8" w:rsidRPr="00151ED9" w:rsidRDefault="00A228B8" w:rsidP="00151ED9">
            <w:pPr>
              <w:pStyle w:val="TableBodyText"/>
              <w:cnfStyle w:val="000000000000" w:firstRow="0" w:lastRow="0" w:firstColumn="0" w:lastColumn="0" w:oddVBand="0" w:evenVBand="0" w:oddHBand="0" w:evenHBand="0" w:firstRowFirstColumn="0" w:firstRowLastColumn="0" w:lastRowFirstColumn="0" w:lastRowLastColumn="0"/>
            </w:pPr>
            <w:r w:rsidRPr="00151ED9">
              <w:t>(13)</w:t>
            </w:r>
          </w:p>
        </w:tc>
        <w:tc>
          <w:tcPr>
            <w:tcW w:w="818" w:type="pct"/>
            <w:tcBorders>
              <w:bottom w:val="single" w:sz="4" w:space="0" w:color="auto"/>
            </w:tcBorders>
            <w:noWrap/>
            <w:hideMark/>
          </w:tcPr>
          <w:p w:rsidR="00A228B8" w:rsidRPr="00151ED9" w:rsidRDefault="00A228B8" w:rsidP="00151ED9">
            <w:pPr>
              <w:pStyle w:val="TableBodyText"/>
              <w:cnfStyle w:val="000000000000" w:firstRow="0" w:lastRow="0" w:firstColumn="0" w:lastColumn="0" w:oddVBand="0" w:evenVBand="0" w:oddHBand="0" w:evenHBand="0" w:firstRowFirstColumn="0" w:firstRowLastColumn="0" w:lastRowFirstColumn="0" w:lastRowLastColumn="0"/>
            </w:pPr>
            <w:r w:rsidRPr="00151ED9">
              <w:t>8</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3375" w:type="pct"/>
            <w:tcBorders>
              <w:top w:val="single" w:sz="4" w:space="0" w:color="auto"/>
              <w:bottom w:val="single" w:sz="4" w:space="0" w:color="auto"/>
            </w:tcBorders>
            <w:hideMark/>
          </w:tcPr>
          <w:p w:rsidR="00A228B8" w:rsidRPr="00A228B8" w:rsidRDefault="00A228B8" w:rsidP="00A228B8">
            <w:pPr>
              <w:pStyle w:val="TableBodyText"/>
              <w:ind w:left="283"/>
              <w:rPr>
                <w:rStyle w:val="Bold"/>
              </w:rPr>
            </w:pPr>
            <w:r w:rsidRPr="00A228B8">
              <w:rPr>
                <w:rStyle w:val="Bold"/>
              </w:rPr>
              <w:t>Total net gain/(loss) on financial instruments</w:t>
            </w:r>
          </w:p>
        </w:tc>
        <w:tc>
          <w:tcPr>
            <w:tcW w:w="807" w:type="pct"/>
            <w:tcBorders>
              <w:top w:val="single" w:sz="4" w:space="0" w:color="auto"/>
              <w:bottom w:val="single" w:sz="4" w:space="0" w:color="auto"/>
            </w:tcBorders>
            <w:shd w:val="clear" w:color="auto" w:fill="F3F3F3"/>
            <w:noWrap/>
            <w:hideMark/>
          </w:tcPr>
          <w:p w:rsidR="00A228B8" w:rsidRPr="00A228B8" w:rsidRDefault="00A228B8"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(13)</w:t>
            </w:r>
          </w:p>
        </w:tc>
        <w:tc>
          <w:tcPr>
            <w:tcW w:w="818" w:type="pct"/>
            <w:tcBorders>
              <w:top w:val="single" w:sz="4" w:space="0" w:color="auto"/>
              <w:bottom w:val="single" w:sz="4" w:space="0" w:color="auto"/>
            </w:tcBorders>
            <w:noWrap/>
            <w:hideMark/>
          </w:tcPr>
          <w:p w:rsidR="00A228B8" w:rsidRPr="00A228B8" w:rsidRDefault="00A228B8"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8</w:t>
            </w:r>
          </w:p>
        </w:tc>
      </w:tr>
      <w:tr w:rsidR="00A228B8" w:rsidRPr="00151ED9" w:rsidTr="00A228B8">
        <w:tc>
          <w:tcPr>
            <w:cnfStyle w:val="001000000000" w:firstRow="0" w:lastRow="0" w:firstColumn="1" w:lastColumn="0" w:oddVBand="0" w:evenVBand="0" w:oddHBand="0" w:evenHBand="0" w:firstRowFirstColumn="0" w:firstRowLastColumn="0" w:lastRowFirstColumn="0" w:lastRowLastColumn="0"/>
            <w:tcW w:w="3375" w:type="pct"/>
            <w:tcBorders>
              <w:top w:val="single" w:sz="4" w:space="0" w:color="auto"/>
            </w:tcBorders>
            <w:hideMark/>
          </w:tcPr>
          <w:p w:rsidR="00A228B8" w:rsidRPr="00151ED9" w:rsidRDefault="00A228B8" w:rsidP="00A228B8">
            <w:pPr>
              <w:pStyle w:val="TableBodyText"/>
              <w:spacing w:before="120"/>
            </w:pPr>
            <w:r w:rsidRPr="00151ED9">
              <w:t>(c)</w:t>
            </w:r>
            <w:r>
              <w:t xml:space="preserve"> </w:t>
            </w:r>
            <w:r w:rsidRPr="00151ED9">
              <w:t>Other gains/(losses) from other economic flows</w:t>
            </w:r>
          </w:p>
        </w:tc>
        <w:tc>
          <w:tcPr>
            <w:tcW w:w="807" w:type="pct"/>
            <w:tcBorders>
              <w:top w:val="single" w:sz="4" w:space="0" w:color="auto"/>
            </w:tcBorders>
            <w:shd w:val="clear" w:color="auto" w:fill="F3F3F3"/>
            <w:noWrap/>
          </w:tcPr>
          <w:p w:rsidR="00A228B8" w:rsidRPr="00151ED9" w:rsidRDefault="00A228B8" w:rsidP="00A228B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818" w:type="pct"/>
            <w:tcBorders>
              <w:top w:val="single" w:sz="4" w:space="0" w:color="auto"/>
            </w:tcBorders>
            <w:noWrap/>
            <w:hideMark/>
          </w:tcPr>
          <w:p w:rsidR="00A228B8" w:rsidRPr="00151ED9" w:rsidRDefault="00A228B8" w:rsidP="00A228B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A228B8" w:rsidRPr="00151ED9" w:rsidTr="00A228B8">
        <w:tc>
          <w:tcPr>
            <w:cnfStyle w:val="001000000000" w:firstRow="0" w:lastRow="0" w:firstColumn="1" w:lastColumn="0" w:oddVBand="0" w:evenVBand="0" w:oddHBand="0" w:evenHBand="0" w:firstRowFirstColumn="0" w:firstRowLastColumn="0" w:lastRowFirstColumn="0" w:lastRowLastColumn="0"/>
            <w:tcW w:w="3375" w:type="pct"/>
            <w:tcBorders>
              <w:bottom w:val="single" w:sz="4" w:space="0" w:color="auto"/>
            </w:tcBorders>
            <w:noWrap/>
            <w:hideMark/>
          </w:tcPr>
          <w:p w:rsidR="00A228B8" w:rsidRPr="00151ED9" w:rsidRDefault="00A228B8" w:rsidP="00A228B8">
            <w:pPr>
              <w:pStyle w:val="TableBodyText"/>
              <w:ind w:left="283"/>
            </w:pPr>
            <w:r w:rsidRPr="00151ED9">
              <w:t xml:space="preserve">Net gain/(loss) arising from revaluation of long service leave liability </w:t>
            </w:r>
          </w:p>
        </w:tc>
        <w:tc>
          <w:tcPr>
            <w:tcW w:w="807" w:type="pct"/>
            <w:tcBorders>
              <w:bottom w:val="single" w:sz="4" w:space="0" w:color="auto"/>
            </w:tcBorders>
            <w:shd w:val="clear" w:color="auto" w:fill="F3F3F3"/>
            <w:noWrap/>
            <w:hideMark/>
          </w:tcPr>
          <w:p w:rsidR="00A228B8" w:rsidRPr="00151ED9"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151ED9">
              <w:t xml:space="preserve">3,774 </w:t>
            </w:r>
          </w:p>
        </w:tc>
        <w:tc>
          <w:tcPr>
            <w:tcW w:w="818" w:type="pct"/>
            <w:tcBorders>
              <w:bottom w:val="single" w:sz="4" w:space="0" w:color="auto"/>
            </w:tcBorders>
            <w:noWrap/>
            <w:hideMark/>
          </w:tcPr>
          <w:p w:rsidR="00A228B8" w:rsidRPr="00151ED9" w:rsidRDefault="00A228B8" w:rsidP="00151ED9">
            <w:pPr>
              <w:pStyle w:val="TableBodyText"/>
              <w:cnfStyle w:val="000000000000" w:firstRow="0" w:lastRow="0" w:firstColumn="0" w:lastColumn="0" w:oddVBand="0" w:evenVBand="0" w:oddHBand="0" w:evenHBand="0" w:firstRowFirstColumn="0" w:firstRowLastColumn="0" w:lastRowFirstColumn="0" w:lastRowLastColumn="0"/>
            </w:pPr>
            <w:r w:rsidRPr="00151ED9">
              <w:t>(4,593)</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3375" w:type="pct"/>
            <w:tcBorders>
              <w:top w:val="single" w:sz="4" w:space="0" w:color="auto"/>
              <w:bottom w:val="single" w:sz="4" w:space="0" w:color="auto"/>
            </w:tcBorders>
            <w:hideMark/>
          </w:tcPr>
          <w:p w:rsidR="00A228B8" w:rsidRPr="00A228B8" w:rsidRDefault="00A228B8" w:rsidP="00A228B8">
            <w:pPr>
              <w:pStyle w:val="TableBodyText"/>
              <w:ind w:left="283"/>
              <w:rPr>
                <w:rStyle w:val="Bold"/>
              </w:rPr>
            </w:pPr>
            <w:r w:rsidRPr="00A228B8">
              <w:rPr>
                <w:rStyle w:val="Bold"/>
              </w:rPr>
              <w:t>Total other gains/(losses) from other economic flows</w:t>
            </w:r>
          </w:p>
        </w:tc>
        <w:tc>
          <w:tcPr>
            <w:tcW w:w="807" w:type="pct"/>
            <w:tcBorders>
              <w:top w:val="single" w:sz="4" w:space="0" w:color="auto"/>
              <w:bottom w:val="single" w:sz="4" w:space="0" w:color="auto"/>
            </w:tcBorders>
            <w:shd w:val="clear" w:color="auto" w:fill="F3F3F3"/>
            <w:noWrap/>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 xml:space="preserve">3,774 </w:t>
            </w:r>
          </w:p>
        </w:tc>
        <w:tc>
          <w:tcPr>
            <w:tcW w:w="818" w:type="pct"/>
            <w:tcBorders>
              <w:top w:val="single" w:sz="4" w:space="0" w:color="auto"/>
              <w:bottom w:val="single" w:sz="4" w:space="0" w:color="auto"/>
            </w:tcBorders>
            <w:noWrap/>
            <w:hideMark/>
          </w:tcPr>
          <w:p w:rsidR="00A228B8" w:rsidRPr="00A228B8" w:rsidRDefault="00A228B8" w:rsidP="00151ED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(4,593)</w:t>
            </w:r>
          </w:p>
        </w:tc>
      </w:tr>
    </w:tbl>
    <w:p w:rsidR="00151ED9" w:rsidRDefault="00A228B8" w:rsidP="00A228B8">
      <w:pPr>
        <w:pStyle w:val="Heading2"/>
      </w:pPr>
      <w:bookmarkStart w:id="64" w:name="_Toc497125492"/>
      <w:r w:rsidRPr="00A228B8">
        <w:t>Non</w:t>
      </w:r>
      <w:r w:rsidRPr="00A228B8">
        <w:rPr>
          <w:rFonts w:ascii="Cambria Math" w:hAnsi="Cambria Math" w:cs="Cambria Math"/>
        </w:rPr>
        <w:t>‐</w:t>
      </w:r>
      <w:r w:rsidRPr="00A228B8">
        <w:t>financial physical assets classified as held for sale</w:t>
      </w:r>
      <w:bookmarkEnd w:id="64"/>
    </w:p>
    <w:tbl>
      <w:tblPr>
        <w:tblStyle w:val="FinancialTable"/>
        <w:tblW w:w="5000" w:type="pct"/>
        <w:tblLook w:val="04A0" w:firstRow="1" w:lastRow="0" w:firstColumn="1" w:lastColumn="0" w:noHBand="0" w:noVBand="1"/>
      </w:tblPr>
      <w:tblGrid>
        <w:gridCol w:w="6521"/>
        <w:gridCol w:w="1656"/>
        <w:gridCol w:w="1461"/>
      </w:tblGrid>
      <w:tr w:rsidR="00A228B8" w:rsidRPr="00A228B8" w:rsidTr="00A228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83" w:type="pct"/>
          </w:tcPr>
          <w:p w:rsidR="00A228B8" w:rsidRPr="00A228B8" w:rsidRDefault="00A228B8" w:rsidP="00A228B8">
            <w:pPr>
              <w:pStyle w:val="TableHeading"/>
            </w:pPr>
            <w:r>
              <w:t>Item</w:t>
            </w:r>
          </w:p>
        </w:tc>
        <w:tc>
          <w:tcPr>
            <w:tcW w:w="859" w:type="pct"/>
            <w:shd w:val="clear" w:color="auto" w:fill="F3F3F3"/>
          </w:tcPr>
          <w:p w:rsidR="00A228B8" w:rsidRPr="00A228B8" w:rsidRDefault="00A228B8" w:rsidP="00A228B8">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A228B8">
              <w:t>2017</w:t>
            </w:r>
          </w:p>
          <w:p w:rsidR="00A228B8" w:rsidRPr="00A228B8" w:rsidRDefault="00A228B8" w:rsidP="00A228B8">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A228B8">
              <w:t>$'000</w:t>
            </w:r>
          </w:p>
        </w:tc>
        <w:tc>
          <w:tcPr>
            <w:tcW w:w="758" w:type="pct"/>
          </w:tcPr>
          <w:p w:rsidR="00A228B8" w:rsidRPr="00A228B8" w:rsidRDefault="00A228B8" w:rsidP="00A228B8">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A228B8">
              <w:t>2016</w:t>
            </w:r>
          </w:p>
          <w:p w:rsidR="00A228B8" w:rsidRPr="00A228B8" w:rsidRDefault="00A228B8" w:rsidP="00A228B8">
            <w:pPr>
              <w:pStyle w:val="TableHeading"/>
              <w:cnfStyle w:val="100000000000" w:firstRow="1" w:lastRow="0" w:firstColumn="0" w:lastColumn="0" w:oddVBand="0" w:evenVBand="0" w:oddHBand="0" w:evenHBand="0" w:firstRowFirstColumn="0" w:firstRowLastColumn="0" w:lastRowFirstColumn="0" w:lastRowLastColumn="0"/>
              <w:rPr>
                <w:rFonts w:eastAsia="Calibri"/>
              </w:rPr>
            </w:pPr>
            <w:r w:rsidRPr="00A228B8">
              <w:t>$'000</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3383" w:type="pct"/>
            <w:tcBorders>
              <w:bottom w:val="single" w:sz="4" w:space="0" w:color="auto"/>
            </w:tcBorders>
          </w:tcPr>
          <w:p w:rsidR="00A228B8" w:rsidRPr="00A228B8" w:rsidRDefault="00A228B8" w:rsidP="00A228B8">
            <w:pPr>
              <w:pStyle w:val="TableBodyText"/>
              <w:rPr>
                <w:rFonts w:eastAsia="Calibri"/>
              </w:rPr>
            </w:pPr>
            <w:r w:rsidRPr="00A228B8">
              <w:t>Finance lease motor vehicles held for sale</w:t>
            </w:r>
          </w:p>
        </w:tc>
        <w:tc>
          <w:tcPr>
            <w:tcW w:w="859" w:type="pct"/>
            <w:tcBorders>
              <w:bottom w:val="single" w:sz="4" w:space="0" w:color="auto"/>
            </w:tcBorders>
            <w:shd w:val="clear" w:color="auto" w:fill="F3F3F3"/>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A228B8">
              <w:t>233</w:t>
            </w:r>
          </w:p>
        </w:tc>
        <w:tc>
          <w:tcPr>
            <w:tcW w:w="758" w:type="pct"/>
            <w:tcBorders>
              <w:bottom w:val="single" w:sz="4" w:space="0" w:color="auto"/>
            </w:tcBorders>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Fonts w:eastAsia="Calibri"/>
              </w:rPr>
            </w:pPr>
            <w:r w:rsidRPr="00A228B8">
              <w:t>153</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3383" w:type="pct"/>
            <w:tcBorders>
              <w:top w:val="single" w:sz="4" w:space="0" w:color="auto"/>
              <w:bottom w:val="single" w:sz="4" w:space="0" w:color="auto"/>
            </w:tcBorders>
          </w:tcPr>
          <w:p w:rsidR="00A228B8" w:rsidRPr="00A228B8" w:rsidRDefault="00A228B8" w:rsidP="00A228B8">
            <w:pPr>
              <w:pStyle w:val="TableBodyText"/>
              <w:rPr>
                <w:rStyle w:val="Bold"/>
                <w:rFonts w:eastAsia="Calibri"/>
              </w:rPr>
            </w:pPr>
            <w:r w:rsidRPr="00A228B8">
              <w:rPr>
                <w:rStyle w:val="Bold"/>
                <w:rFonts w:eastAsia="Calibri"/>
              </w:rPr>
              <w:t>Total non</w:t>
            </w:r>
            <w:r w:rsidRPr="00A228B8">
              <w:rPr>
                <w:rStyle w:val="Bold"/>
                <w:rFonts w:ascii="Cambria Math" w:eastAsia="Calibri" w:hAnsi="Cambria Math" w:cs="Cambria Math"/>
              </w:rPr>
              <w:t>‐</w:t>
            </w:r>
            <w:r w:rsidRPr="00A228B8">
              <w:rPr>
                <w:rStyle w:val="Bold"/>
                <w:rFonts w:eastAsia="Calibri"/>
              </w:rPr>
              <w:t>financial physical assets classified as held for sale</w:t>
            </w:r>
          </w:p>
        </w:tc>
        <w:tc>
          <w:tcPr>
            <w:tcW w:w="859" w:type="pct"/>
            <w:tcBorders>
              <w:top w:val="single" w:sz="4" w:space="0" w:color="auto"/>
              <w:bottom w:val="single" w:sz="4" w:space="0" w:color="auto"/>
            </w:tcBorders>
            <w:shd w:val="clear" w:color="auto" w:fill="F3F3F3"/>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A228B8">
              <w:rPr>
                <w:rStyle w:val="Bold"/>
              </w:rPr>
              <w:t>233</w:t>
            </w:r>
          </w:p>
        </w:tc>
        <w:tc>
          <w:tcPr>
            <w:tcW w:w="758" w:type="pct"/>
            <w:tcBorders>
              <w:top w:val="single" w:sz="4" w:space="0" w:color="auto"/>
              <w:bottom w:val="single" w:sz="4" w:space="0" w:color="auto"/>
            </w:tcBorders>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Style w:val="Bold"/>
                <w:rFonts w:eastAsia="Calibri"/>
              </w:rPr>
            </w:pPr>
            <w:r w:rsidRPr="00A228B8">
              <w:rPr>
                <w:rStyle w:val="Bold"/>
              </w:rPr>
              <w:t>153</w:t>
            </w:r>
          </w:p>
        </w:tc>
      </w:tr>
    </w:tbl>
    <w:p w:rsidR="00A228B8" w:rsidRDefault="00A228B8" w:rsidP="00972891">
      <w:pPr>
        <w:pStyle w:val="Heading2"/>
        <w:pageBreakBefore/>
      </w:pPr>
      <w:bookmarkStart w:id="65" w:name="_Toc497125493"/>
      <w:r>
        <w:lastRenderedPageBreak/>
        <w:t>R</w:t>
      </w:r>
      <w:bookmarkStart w:id="66" w:name="_GoBack"/>
      <w:bookmarkEnd w:id="66"/>
      <w:r>
        <w:t>esponsible persons</w:t>
      </w:r>
      <w:bookmarkEnd w:id="65"/>
    </w:p>
    <w:p w:rsidR="00A228B8" w:rsidRDefault="00A228B8" w:rsidP="00A228B8">
      <w:pPr>
        <w:pStyle w:val="BodyText"/>
      </w:pPr>
      <w:r>
        <w:t>In accordance with the Ministerial Directions issued by the Minister for Finance under the Financial Management Act 1994, the following disclosures are made regarding responsible persons for the reporting period.</w:t>
      </w:r>
    </w:p>
    <w:p w:rsidR="00A228B8" w:rsidRPr="00A228B8" w:rsidRDefault="00A228B8" w:rsidP="00A228B8">
      <w:pPr>
        <w:pStyle w:val="BodyText"/>
        <w:spacing w:after="0"/>
        <w:rPr>
          <w:rStyle w:val="Bold"/>
        </w:rPr>
      </w:pPr>
      <w:r w:rsidRPr="00A228B8">
        <w:rPr>
          <w:rStyle w:val="Bold"/>
        </w:rPr>
        <w:t>Names</w:t>
      </w:r>
    </w:p>
    <w:p w:rsidR="00A228B8" w:rsidRDefault="00A228B8" w:rsidP="00A228B8">
      <w:pPr>
        <w:pStyle w:val="BodyText"/>
        <w:spacing w:before="0"/>
      </w:pPr>
      <w:r>
        <w:t>The persons who held the positions of Ministers and Accountable Officer in CSV are as follows:</w:t>
      </w:r>
    </w:p>
    <w:p w:rsidR="00A228B8" w:rsidRPr="00A228B8" w:rsidRDefault="00A228B8" w:rsidP="00A228B8">
      <w:pPr>
        <w:pStyle w:val="BodyText"/>
        <w:spacing w:after="0"/>
        <w:rPr>
          <w:rStyle w:val="Bold"/>
        </w:rPr>
      </w:pPr>
      <w:r w:rsidRPr="00A228B8">
        <w:rPr>
          <w:rStyle w:val="Bold"/>
        </w:rPr>
        <w:t>Responsible Minister</w:t>
      </w:r>
    </w:p>
    <w:p w:rsidR="00A228B8" w:rsidRDefault="00A228B8" w:rsidP="00A228B8">
      <w:pPr>
        <w:tabs>
          <w:tab w:val="left" w:pos="5670"/>
        </w:tabs>
      </w:pPr>
      <w:r>
        <w:t>Attorney</w:t>
      </w:r>
      <w:r>
        <w:rPr>
          <w:rFonts w:ascii="Cambria Math" w:hAnsi="Cambria Math" w:cs="Cambria Math"/>
        </w:rPr>
        <w:t>‐</w:t>
      </w:r>
      <w:r>
        <w:t xml:space="preserve">General, </w:t>
      </w:r>
      <w:proofErr w:type="gramStart"/>
      <w:r>
        <w:t>The</w:t>
      </w:r>
      <w:proofErr w:type="gramEnd"/>
      <w:r>
        <w:t xml:space="preserve"> Hon. Martin </w:t>
      </w:r>
      <w:proofErr w:type="spellStart"/>
      <w:r>
        <w:t>Pakula</w:t>
      </w:r>
      <w:proofErr w:type="spellEnd"/>
      <w:r>
        <w:t xml:space="preserve"> MP</w:t>
      </w:r>
      <w:r>
        <w:tab/>
        <w:t xml:space="preserve">1 July 2016 to 30 June 2017 </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Natalie Hutchins MP</w:t>
      </w:r>
      <w:r>
        <w:tab/>
        <w:t xml:space="preserve">1 July 2016 to 5 July 2016 </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Jill Hennessy MP</w:t>
      </w:r>
      <w:r>
        <w:tab/>
        <w:t>6 July 2016 to 10 July 2016</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Lisa Neville MP</w:t>
      </w:r>
      <w:r>
        <w:tab/>
        <w:t>2 September 2016 to 13 September 2016</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Steve Herbert MP</w:t>
      </w:r>
      <w:r>
        <w:tab/>
        <w:t>16 September 2016 to 25 September 2016</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Gayle Tierney MP</w:t>
      </w:r>
      <w:r>
        <w:tab/>
        <w:t xml:space="preserve">17 December 2016 to 20 December 2016 </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Lisa Neville MP</w:t>
      </w:r>
      <w:r>
        <w:tab/>
        <w:t xml:space="preserve">21 December 2016 to 24 December 2016 </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Jill Hennessy MP</w:t>
      </w:r>
      <w:r>
        <w:tab/>
        <w:t xml:space="preserve">25 December 2016 to 29 December 2016 </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Gayle Tierney MP</w:t>
      </w:r>
      <w:r>
        <w:tab/>
        <w:t xml:space="preserve">30 December 2016 to 8 January 2017 </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Lisa Neville MP</w:t>
      </w:r>
      <w:r>
        <w:tab/>
        <w:t xml:space="preserve">23 January 2017 to 29 January 2017 </w:t>
      </w:r>
    </w:p>
    <w:p w:rsidR="00A228B8" w:rsidRDefault="00A228B8" w:rsidP="00A228B8">
      <w:pPr>
        <w:tabs>
          <w:tab w:val="left" w:pos="5670"/>
        </w:tabs>
      </w:pPr>
      <w:r>
        <w:t>Acting Attorney</w:t>
      </w:r>
      <w:r>
        <w:rPr>
          <w:rFonts w:ascii="Cambria Math" w:hAnsi="Cambria Math" w:cs="Cambria Math"/>
        </w:rPr>
        <w:t>‐</w:t>
      </w:r>
      <w:r>
        <w:t xml:space="preserve">General, </w:t>
      </w:r>
      <w:proofErr w:type="gramStart"/>
      <w:r>
        <w:t>The</w:t>
      </w:r>
      <w:proofErr w:type="gramEnd"/>
      <w:r>
        <w:t xml:space="preserve"> Hon. Lisa Neville MP</w:t>
      </w:r>
      <w:r>
        <w:tab/>
        <w:t>24 February 2017 to 1 March 2017</w:t>
      </w:r>
    </w:p>
    <w:p w:rsidR="00A228B8" w:rsidRDefault="00A228B8" w:rsidP="00A228B8">
      <w:pPr>
        <w:pStyle w:val="BodyText"/>
      </w:pPr>
      <w:r>
        <w:t xml:space="preserve">The Attorney </w:t>
      </w:r>
      <w:r>
        <w:rPr>
          <w:rFonts w:ascii="Cambria Math" w:hAnsi="Cambria Math" w:cs="Cambria Math"/>
        </w:rPr>
        <w:t>‐</w:t>
      </w:r>
      <w:r>
        <w:t>General remuneration and allowances is set by the Parliamentary Salaries and Superannuation Act 1968 and is reported within the Department of Parliamentary Services' Financial Report.</w:t>
      </w:r>
    </w:p>
    <w:p w:rsidR="00A228B8" w:rsidRPr="00A228B8" w:rsidRDefault="00A228B8" w:rsidP="00A228B8">
      <w:pPr>
        <w:pStyle w:val="BodyText"/>
        <w:spacing w:after="0"/>
        <w:rPr>
          <w:rStyle w:val="Bold"/>
        </w:rPr>
      </w:pPr>
      <w:r w:rsidRPr="00A228B8">
        <w:rPr>
          <w:rStyle w:val="Bold"/>
        </w:rPr>
        <w:t>Accountable Officer</w:t>
      </w:r>
    </w:p>
    <w:p w:rsidR="00A228B8" w:rsidRDefault="00A228B8" w:rsidP="00A228B8">
      <w:pPr>
        <w:tabs>
          <w:tab w:val="left" w:pos="5670"/>
        </w:tabs>
      </w:pPr>
      <w:r>
        <w:t>Chief Executive Officer, Kerry Osborne</w:t>
      </w:r>
      <w:r>
        <w:tab/>
        <w:t>1 July 2016 to 28 November 2016 Acting Chief Executive Officer, Brian Stevenson</w:t>
      </w:r>
      <w:r>
        <w:tab/>
        <w:t>17 November 2016 to 29 January 2017 Chief Executive Officer, David Ware</w:t>
      </w:r>
      <w:r>
        <w:tab/>
        <w:t>30 January 2017 to 30 June 2017</w:t>
      </w:r>
    </w:p>
    <w:p w:rsidR="00A228B8" w:rsidRPr="00A228B8" w:rsidRDefault="00A228B8" w:rsidP="00A228B8">
      <w:pPr>
        <w:pStyle w:val="BodyText"/>
        <w:spacing w:after="0"/>
        <w:rPr>
          <w:rStyle w:val="Bold"/>
        </w:rPr>
      </w:pPr>
      <w:r w:rsidRPr="00A228B8">
        <w:rPr>
          <w:rStyle w:val="Bold"/>
        </w:rPr>
        <w:t>Chair of the Courts Council</w:t>
      </w:r>
    </w:p>
    <w:p w:rsidR="00A228B8" w:rsidRDefault="00A228B8" w:rsidP="00A228B8">
      <w:pPr>
        <w:tabs>
          <w:tab w:val="left" w:pos="5670"/>
        </w:tabs>
      </w:pPr>
      <w:r>
        <w:t>The Hon. Chief Justice Marilyn Warren AC</w:t>
      </w:r>
      <w:r>
        <w:tab/>
        <w:t>1 July 2016 to 30 June 2017</w:t>
      </w:r>
    </w:p>
    <w:p w:rsidR="00A228B8" w:rsidRPr="00A228B8" w:rsidRDefault="00A228B8" w:rsidP="00A228B8">
      <w:pPr>
        <w:pStyle w:val="BodyText"/>
        <w:rPr>
          <w:rStyle w:val="Bold"/>
        </w:rPr>
      </w:pPr>
      <w:r w:rsidRPr="00A228B8">
        <w:rPr>
          <w:rStyle w:val="Bold"/>
        </w:rPr>
        <w:t>Responsible Body: Courts Council</w:t>
      </w:r>
    </w:p>
    <w:p w:rsidR="00A228B8" w:rsidRDefault="00A228B8" w:rsidP="00A228B8">
      <w:pPr>
        <w:tabs>
          <w:tab w:val="left" w:pos="5670"/>
        </w:tabs>
      </w:pPr>
      <w:r>
        <w:t>The Honourable Chief Justice Marilyn Warren AC</w:t>
      </w:r>
      <w:r>
        <w:tab/>
        <w:t xml:space="preserve">1 July 2016 to 30 June 2017 </w:t>
      </w:r>
      <w:proofErr w:type="gramStart"/>
      <w:r>
        <w:t>The</w:t>
      </w:r>
      <w:proofErr w:type="gramEnd"/>
      <w:r>
        <w:t xml:space="preserve"> Honourable Justice Gregory </w:t>
      </w:r>
      <w:proofErr w:type="spellStart"/>
      <w:r>
        <w:t>Garde</w:t>
      </w:r>
      <w:proofErr w:type="spellEnd"/>
      <w:r>
        <w:t xml:space="preserve"> AO RFD</w:t>
      </w:r>
      <w:r>
        <w:tab/>
        <w:t>1 July 2016 to 30 June 2017</w:t>
      </w:r>
    </w:p>
    <w:p w:rsidR="00A228B8" w:rsidRDefault="00A228B8" w:rsidP="00A228B8">
      <w:pPr>
        <w:tabs>
          <w:tab w:val="left" w:pos="5670"/>
        </w:tabs>
      </w:pPr>
      <w:r>
        <w:t>His Honour Chief Judge Peter Kidd</w:t>
      </w:r>
      <w:r>
        <w:tab/>
        <w:t>1 July 2016 to 30 June 2017</w:t>
      </w:r>
    </w:p>
    <w:p w:rsidR="00A228B8" w:rsidRDefault="00A228B8" w:rsidP="00A228B8">
      <w:pPr>
        <w:tabs>
          <w:tab w:val="left" w:pos="5670"/>
        </w:tabs>
      </w:pPr>
      <w:r>
        <w:t xml:space="preserve">His Honour Chief Magistrate Peter </w:t>
      </w:r>
      <w:proofErr w:type="spellStart"/>
      <w:r>
        <w:t>Lauritsen</w:t>
      </w:r>
      <w:proofErr w:type="spellEnd"/>
      <w:r>
        <w:tab/>
        <w:t>1 July 2016 to 30 June 2017</w:t>
      </w:r>
    </w:p>
    <w:p w:rsidR="00A228B8" w:rsidRDefault="00A228B8" w:rsidP="00A228B8">
      <w:pPr>
        <w:tabs>
          <w:tab w:val="left" w:pos="5670"/>
        </w:tabs>
      </w:pPr>
      <w:r>
        <w:t>Her Honour Judge Amanda Chambers</w:t>
      </w:r>
      <w:r>
        <w:tab/>
        <w:t>1 July 2016 to 30 June 2017</w:t>
      </w:r>
    </w:p>
    <w:p w:rsidR="00A228B8" w:rsidRDefault="00A228B8" w:rsidP="00A228B8">
      <w:pPr>
        <w:tabs>
          <w:tab w:val="left" w:pos="5670"/>
        </w:tabs>
      </w:pPr>
      <w:r>
        <w:t>Her Honour Judge Sara Hinchey</w:t>
      </w:r>
      <w:r>
        <w:tab/>
        <w:t>1 July 2016 to 30 June 2017</w:t>
      </w:r>
    </w:p>
    <w:p w:rsidR="00A228B8" w:rsidRDefault="00A228B8" w:rsidP="00A228B8">
      <w:pPr>
        <w:tabs>
          <w:tab w:val="left" w:pos="5670"/>
        </w:tabs>
      </w:pPr>
      <w:r>
        <w:t>Dr Philip Williams</w:t>
      </w:r>
      <w:r>
        <w:tab/>
        <w:t>1 July 2016 to 30 June 2017</w:t>
      </w:r>
    </w:p>
    <w:p w:rsidR="00A228B8" w:rsidRPr="00A228B8" w:rsidRDefault="00A228B8" w:rsidP="00A228B8">
      <w:pPr>
        <w:pStyle w:val="BodyText"/>
        <w:spacing w:after="120"/>
        <w:rPr>
          <w:rStyle w:val="Bold"/>
          <w:rFonts w:ascii="Arial" w:hAnsi="Arial"/>
        </w:rPr>
      </w:pPr>
      <w:r w:rsidRPr="00A228B8">
        <w:rPr>
          <w:rStyle w:val="Bold"/>
        </w:rPr>
        <w:t>Remuneration: Accountable Officer</w:t>
      </w:r>
    </w:p>
    <w:tbl>
      <w:tblPr>
        <w:tblStyle w:val="FinancialTable"/>
        <w:tblW w:w="3015" w:type="pct"/>
        <w:tblLook w:val="04A0" w:firstRow="1" w:lastRow="0" w:firstColumn="1" w:lastColumn="0" w:noHBand="0" w:noVBand="1"/>
      </w:tblPr>
      <w:tblGrid>
        <w:gridCol w:w="2551"/>
        <w:gridCol w:w="1844"/>
        <w:gridCol w:w="1417"/>
      </w:tblGrid>
      <w:tr w:rsidR="00A228B8" w:rsidRPr="00A228B8" w:rsidTr="00A228B8">
        <w:trPr>
          <w:cnfStyle w:val="100000000000" w:firstRow="1" w:lastRow="0" w:firstColumn="0" w:lastColumn="0" w:oddVBand="0" w:evenVBand="0" w:oddHBand="0" w:evenHBand="0" w:firstRowFirstColumn="0" w:firstRowLastColumn="0" w:lastRowFirstColumn="0" w:lastRowLastColumn="0"/>
          <w:trHeight w:val="509"/>
        </w:trPr>
        <w:tc>
          <w:tcPr>
            <w:cnfStyle w:val="001000000100" w:firstRow="0" w:lastRow="0" w:firstColumn="1" w:lastColumn="0" w:oddVBand="0" w:evenVBand="0" w:oddHBand="0" w:evenHBand="0" w:firstRowFirstColumn="1" w:firstRowLastColumn="0" w:lastRowFirstColumn="0" w:lastRowLastColumn="0"/>
            <w:tcW w:w="2195" w:type="pct"/>
            <w:hideMark/>
          </w:tcPr>
          <w:p w:rsidR="00A228B8" w:rsidRPr="00A228B8" w:rsidRDefault="00A228B8" w:rsidP="00A228B8">
            <w:pPr>
              <w:pStyle w:val="TableHeading"/>
              <w:rPr>
                <w:rStyle w:val="Bold"/>
              </w:rPr>
            </w:pPr>
            <w:r w:rsidRPr="00A228B8">
              <w:rPr>
                <w:rStyle w:val="Bold"/>
              </w:rPr>
              <w:t>Remuneration</w:t>
            </w:r>
          </w:p>
        </w:tc>
        <w:tc>
          <w:tcPr>
            <w:tcW w:w="1586" w:type="pct"/>
            <w:hideMark/>
          </w:tcPr>
          <w:p w:rsidR="00A228B8" w:rsidRPr="00A228B8" w:rsidRDefault="00A228B8" w:rsidP="00A228B8">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228B8">
              <w:rPr>
                <w:rStyle w:val="Bold"/>
              </w:rPr>
              <w:t>2017</w:t>
            </w:r>
          </w:p>
          <w:p w:rsidR="00A228B8" w:rsidRPr="00A228B8" w:rsidRDefault="00A228B8" w:rsidP="00A228B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228B8">
              <w:rPr>
                <w:rStyle w:val="Bold"/>
              </w:rPr>
              <w:t>No.</w:t>
            </w:r>
          </w:p>
        </w:tc>
        <w:tc>
          <w:tcPr>
            <w:tcW w:w="1219" w:type="pct"/>
            <w:hideMark/>
          </w:tcPr>
          <w:p w:rsidR="00A228B8" w:rsidRPr="00A228B8" w:rsidRDefault="00A228B8" w:rsidP="00A228B8">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A228B8">
              <w:rPr>
                <w:rStyle w:val="Bold"/>
              </w:rPr>
              <w:t>2016</w:t>
            </w:r>
          </w:p>
          <w:p w:rsidR="00A228B8" w:rsidRPr="00A228B8" w:rsidRDefault="00A228B8" w:rsidP="00A228B8">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A228B8">
              <w:rPr>
                <w:rStyle w:val="Bold"/>
              </w:rPr>
              <w:t>No.</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2195" w:type="pct"/>
            <w:hideMark/>
          </w:tcPr>
          <w:p w:rsidR="00A228B8" w:rsidRPr="00A228B8" w:rsidRDefault="00A228B8" w:rsidP="00A228B8">
            <w:pPr>
              <w:pStyle w:val="TableBodyText"/>
            </w:pPr>
            <w:r w:rsidRPr="00A228B8">
              <w:t>$40,000-$49,999</w:t>
            </w:r>
          </w:p>
        </w:tc>
        <w:tc>
          <w:tcPr>
            <w:tcW w:w="1586"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t>0</w:t>
            </w:r>
          </w:p>
        </w:tc>
        <w:tc>
          <w:tcPr>
            <w:tcW w:w="1219"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A228B8">
              <w:t>1</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2195" w:type="pct"/>
            <w:hideMark/>
          </w:tcPr>
          <w:p w:rsidR="00A228B8" w:rsidRPr="00A228B8" w:rsidRDefault="00A228B8" w:rsidP="00A228B8">
            <w:pPr>
              <w:pStyle w:val="TableBodyText"/>
            </w:pPr>
            <w:r w:rsidRPr="00A228B8">
              <w:t>$60,000-$69,999</w:t>
            </w:r>
          </w:p>
        </w:tc>
        <w:tc>
          <w:tcPr>
            <w:tcW w:w="1586"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A228B8">
              <w:t>1</w:t>
            </w:r>
          </w:p>
        </w:tc>
        <w:tc>
          <w:tcPr>
            <w:tcW w:w="1219"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t>0</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2195" w:type="pct"/>
            <w:hideMark/>
          </w:tcPr>
          <w:p w:rsidR="00A228B8" w:rsidRPr="00A228B8" w:rsidRDefault="00A228B8" w:rsidP="00A228B8">
            <w:pPr>
              <w:pStyle w:val="TableBodyText"/>
            </w:pPr>
            <w:r w:rsidRPr="00A228B8">
              <w:t>$110,000-$119,999</w:t>
            </w:r>
          </w:p>
        </w:tc>
        <w:tc>
          <w:tcPr>
            <w:tcW w:w="1586"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t>0</w:t>
            </w:r>
          </w:p>
        </w:tc>
        <w:tc>
          <w:tcPr>
            <w:tcW w:w="1219"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A228B8">
              <w:t>1</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2195" w:type="pct"/>
            <w:hideMark/>
          </w:tcPr>
          <w:p w:rsidR="00A228B8" w:rsidRPr="00A228B8" w:rsidRDefault="00A228B8" w:rsidP="00A228B8">
            <w:pPr>
              <w:pStyle w:val="TableBodyText"/>
            </w:pPr>
            <w:r w:rsidRPr="00A228B8">
              <w:t>$210,000- $219,999</w:t>
            </w:r>
          </w:p>
        </w:tc>
        <w:tc>
          <w:tcPr>
            <w:tcW w:w="1586"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A228B8">
              <w:t>1</w:t>
            </w:r>
          </w:p>
        </w:tc>
        <w:tc>
          <w:tcPr>
            <w:tcW w:w="1219"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t>0</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2195" w:type="pct"/>
            <w:hideMark/>
          </w:tcPr>
          <w:p w:rsidR="00A228B8" w:rsidRPr="00A228B8" w:rsidRDefault="00A228B8" w:rsidP="00A228B8">
            <w:pPr>
              <w:pStyle w:val="TableBodyText"/>
            </w:pPr>
            <w:r w:rsidRPr="00A228B8">
              <w:t>$250,000- $259,999</w:t>
            </w:r>
          </w:p>
        </w:tc>
        <w:tc>
          <w:tcPr>
            <w:tcW w:w="1586"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t>0</w:t>
            </w:r>
          </w:p>
        </w:tc>
        <w:tc>
          <w:tcPr>
            <w:tcW w:w="1219"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A228B8">
              <w:t>1</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2195" w:type="pct"/>
            <w:hideMark/>
          </w:tcPr>
          <w:p w:rsidR="00A228B8" w:rsidRPr="00A228B8" w:rsidRDefault="00A228B8" w:rsidP="00A228B8">
            <w:pPr>
              <w:pStyle w:val="TableBodyText"/>
            </w:pPr>
            <w:r w:rsidRPr="00A228B8">
              <w:t>$390,000 - $399,999</w:t>
            </w:r>
          </w:p>
        </w:tc>
        <w:tc>
          <w:tcPr>
            <w:tcW w:w="1586"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rsidRPr="00A228B8">
              <w:t>1</w:t>
            </w:r>
          </w:p>
        </w:tc>
        <w:tc>
          <w:tcPr>
            <w:tcW w:w="1219"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pPr>
            <w:r>
              <w:t>0</w:t>
            </w:r>
          </w:p>
        </w:tc>
      </w:tr>
      <w:tr w:rsidR="00A228B8" w:rsidRPr="00A228B8" w:rsidTr="00A228B8">
        <w:tc>
          <w:tcPr>
            <w:cnfStyle w:val="001000000000" w:firstRow="0" w:lastRow="0" w:firstColumn="1" w:lastColumn="0" w:oddVBand="0" w:evenVBand="0" w:oddHBand="0" w:evenHBand="0" w:firstRowFirstColumn="0" w:firstRowLastColumn="0" w:lastRowFirstColumn="0" w:lastRowLastColumn="0"/>
            <w:tcW w:w="2195" w:type="pct"/>
            <w:hideMark/>
          </w:tcPr>
          <w:p w:rsidR="00A228B8" w:rsidRPr="00A228B8" w:rsidRDefault="00A228B8" w:rsidP="00A228B8">
            <w:pPr>
              <w:pStyle w:val="TableBodyText"/>
              <w:rPr>
                <w:rStyle w:val="Bold"/>
              </w:rPr>
            </w:pPr>
            <w:r w:rsidRPr="00A228B8">
              <w:rPr>
                <w:rStyle w:val="Bold"/>
              </w:rPr>
              <w:t>Total</w:t>
            </w:r>
          </w:p>
        </w:tc>
        <w:tc>
          <w:tcPr>
            <w:tcW w:w="1586"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3</w:t>
            </w:r>
          </w:p>
        </w:tc>
        <w:tc>
          <w:tcPr>
            <w:tcW w:w="1219" w:type="pct"/>
            <w:hideMark/>
          </w:tcPr>
          <w:p w:rsidR="00A228B8" w:rsidRPr="00A228B8" w:rsidRDefault="00A228B8" w:rsidP="00A228B8">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A228B8">
              <w:rPr>
                <w:rStyle w:val="Bold"/>
              </w:rPr>
              <w:t>3</w:t>
            </w:r>
          </w:p>
        </w:tc>
      </w:tr>
    </w:tbl>
    <w:p w:rsidR="00A228B8" w:rsidRDefault="00A228B8" w:rsidP="00A228B8">
      <w:pPr>
        <w:pStyle w:val="BodyText"/>
      </w:pPr>
      <w:r>
        <w:lastRenderedPageBreak/>
        <w:t>Remuneration received or receivable by the independent member during the reporting period was in the range: $20,000</w:t>
      </w:r>
      <w:r>
        <w:rPr>
          <w:rFonts w:ascii="Cambria Math" w:hAnsi="Cambria Math" w:cs="Cambria Math"/>
        </w:rPr>
        <w:t>‐</w:t>
      </w:r>
      <w:r>
        <w:t>$29,999 ($20,000</w:t>
      </w:r>
      <w:r>
        <w:rPr>
          <w:rFonts w:ascii="Cambria Math" w:hAnsi="Cambria Math" w:cs="Cambria Math"/>
        </w:rPr>
        <w:t>‐</w:t>
      </w:r>
      <w:r>
        <w:t>$29,999 in 2016</w:t>
      </w:r>
      <w:r>
        <w:rPr>
          <w:rFonts w:ascii="Cambria Math" w:hAnsi="Cambria Math" w:cs="Cambria Math"/>
        </w:rPr>
        <w:t>‐</w:t>
      </w:r>
      <w:r>
        <w:t>17).</w:t>
      </w:r>
    </w:p>
    <w:p w:rsidR="00A228B8" w:rsidRPr="00A228B8" w:rsidRDefault="00A228B8" w:rsidP="00A228B8">
      <w:pPr>
        <w:pStyle w:val="BodyText"/>
      </w:pPr>
      <w:r>
        <w:t xml:space="preserve">Judicial members of the responsible body are remunerated under the Judicial Salaries Act 2004 as holders </w:t>
      </w:r>
      <w:r w:rsidRPr="00A228B8">
        <w:t>of judicial positions defined by the respective acts of law that create the Victorian judiciary, namely the Constitution Act 1975 s 82, County Court Act 1958 s.10, Magistrates Court Act shc.1 Pt1 cl.10 and Victorian Civil and Administrative Tribunal Act 1998 s.17AA. The Judicial members receive no additional remuneration in their capacity as members of the Courts Council.</w:t>
      </w:r>
    </w:p>
    <w:p w:rsidR="00A228B8" w:rsidRDefault="00A228B8" w:rsidP="00A228B8">
      <w:pPr>
        <w:pStyle w:val="BodyText"/>
      </w:pPr>
      <w:r>
        <w:t>The key management personnel of CSV is the Courts Council and Chief Executive officer.</w:t>
      </w:r>
    </w:p>
    <w:p w:rsidR="00A228B8" w:rsidRDefault="00A228B8" w:rsidP="00A228B8">
      <w:pPr>
        <w:pStyle w:val="Heading2"/>
      </w:pPr>
      <w:bookmarkStart w:id="67" w:name="_Toc497125494"/>
      <w:r>
        <w:t>Remuneration of executives and other personnel</w:t>
      </w:r>
      <w:bookmarkEnd w:id="67"/>
    </w:p>
    <w:p w:rsidR="00A228B8" w:rsidRDefault="00A228B8" w:rsidP="00A228B8">
      <w:pPr>
        <w:pStyle w:val="BodyText"/>
      </w:pPr>
      <w:r>
        <w:t>The number of executive officers, other than ministers. The responsible body and accountable officer, and their total remuneration during the reporting period are shown in the table below. Total annualised employee equivalents provides a measure of full time equivalent executive officers over the reporting period.</w:t>
      </w:r>
    </w:p>
    <w:p w:rsidR="00A228B8" w:rsidRDefault="00A228B8" w:rsidP="00A228B8">
      <w:pPr>
        <w:pStyle w:val="BodyText"/>
      </w:pPr>
      <w:r>
        <w:t>Remuneration comprises employee benefits in all forms of consideration paid, payable or provided by the entity, or on behalf of the entity, in exchange for services rendered, and is disclosed in the following categories.</w:t>
      </w:r>
    </w:p>
    <w:p w:rsidR="00A228B8" w:rsidRDefault="00A228B8" w:rsidP="00A228B8">
      <w:pPr>
        <w:pStyle w:val="BodyText"/>
      </w:pPr>
      <w:r w:rsidRPr="00A228B8">
        <w:rPr>
          <w:rStyle w:val="Bold"/>
        </w:rPr>
        <w:t>Short</w:t>
      </w:r>
      <w:r w:rsidRPr="00A228B8">
        <w:rPr>
          <w:rStyle w:val="Bold"/>
          <w:rFonts w:ascii="Cambria Math" w:hAnsi="Cambria Math" w:cs="Cambria Math"/>
        </w:rPr>
        <w:t>‐</w:t>
      </w:r>
      <w:r w:rsidRPr="00A228B8">
        <w:rPr>
          <w:rStyle w:val="Bold"/>
        </w:rPr>
        <w:t xml:space="preserve">term employee benefits </w:t>
      </w:r>
      <w:r>
        <w:t>include amounts such as wages, salaries, annual leave or sick leave that are usually paid or payable on a regular basis, as well as non</w:t>
      </w:r>
      <w:r>
        <w:rPr>
          <w:rFonts w:ascii="Cambria Math" w:hAnsi="Cambria Math" w:cs="Cambria Math"/>
        </w:rPr>
        <w:t>‐</w:t>
      </w:r>
      <w:r>
        <w:t>monetary benefits such as allowances and free or subsidised goods or services.</w:t>
      </w:r>
    </w:p>
    <w:p w:rsidR="00A228B8" w:rsidRDefault="00A228B8" w:rsidP="00A228B8">
      <w:pPr>
        <w:pStyle w:val="BodyText"/>
      </w:pPr>
      <w:r w:rsidRPr="00A228B8">
        <w:rPr>
          <w:rStyle w:val="Bold"/>
        </w:rPr>
        <w:t>Post</w:t>
      </w:r>
      <w:r w:rsidRPr="00A228B8">
        <w:rPr>
          <w:rStyle w:val="Bold"/>
          <w:rFonts w:ascii="Cambria Math" w:hAnsi="Cambria Math" w:cs="Cambria Math"/>
        </w:rPr>
        <w:t>‐</w:t>
      </w:r>
      <w:r w:rsidRPr="00A228B8">
        <w:rPr>
          <w:rStyle w:val="Bold"/>
        </w:rPr>
        <w:t xml:space="preserve">employment benefits </w:t>
      </w:r>
      <w:r>
        <w:t>include pensions and other retirement benefits paid or payable on a discrete basis when employment has ceased.</w:t>
      </w:r>
    </w:p>
    <w:p w:rsidR="00A228B8" w:rsidRDefault="00A228B8" w:rsidP="00A228B8">
      <w:pPr>
        <w:pStyle w:val="BodyText"/>
      </w:pPr>
      <w:r w:rsidRPr="00A228B8">
        <w:rPr>
          <w:rStyle w:val="Bold"/>
        </w:rPr>
        <w:t>Other long</w:t>
      </w:r>
      <w:r w:rsidRPr="00A228B8">
        <w:rPr>
          <w:rStyle w:val="Bold"/>
          <w:rFonts w:ascii="Cambria Math" w:hAnsi="Cambria Math" w:cs="Cambria Math"/>
        </w:rPr>
        <w:t>‐</w:t>
      </w:r>
      <w:r w:rsidRPr="00A228B8">
        <w:rPr>
          <w:rStyle w:val="Bold"/>
        </w:rPr>
        <w:t xml:space="preserve">term benefits </w:t>
      </w:r>
      <w:r>
        <w:t>include long service leave, other long service benefit or deferred compensation.</w:t>
      </w:r>
    </w:p>
    <w:p w:rsidR="00A228B8" w:rsidRDefault="00A228B8" w:rsidP="00A228B8">
      <w:pPr>
        <w:pStyle w:val="BodyText"/>
      </w:pPr>
      <w:r w:rsidRPr="00A228B8">
        <w:rPr>
          <w:rStyle w:val="Bold"/>
        </w:rPr>
        <w:t xml:space="preserve">Termination benefits </w:t>
      </w:r>
      <w:r>
        <w:t>include termination of employment payments, such as severance packages.</w:t>
      </w:r>
    </w:p>
    <w:p w:rsidR="00A228B8" w:rsidRDefault="00A228B8" w:rsidP="00A228B8">
      <w:pPr>
        <w:pStyle w:val="Caption"/>
      </w:pPr>
      <w:r w:rsidRPr="00A228B8">
        <w:t>Remuneration of executive officers</w:t>
      </w:r>
    </w:p>
    <w:tbl>
      <w:tblPr>
        <w:tblStyle w:val="FinancialTable"/>
        <w:tblW w:w="5000" w:type="pct"/>
        <w:tblLook w:val="04A0" w:firstRow="1" w:lastRow="0" w:firstColumn="1" w:lastColumn="0" w:noHBand="0" w:noVBand="1"/>
      </w:tblPr>
      <w:tblGrid>
        <w:gridCol w:w="8487"/>
        <w:gridCol w:w="1151"/>
      </w:tblGrid>
      <w:tr w:rsidR="00DD1123" w:rsidRPr="00DD1123" w:rsidTr="00DD11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03" w:type="pct"/>
            <w:noWrap/>
            <w:hideMark/>
          </w:tcPr>
          <w:p w:rsidR="00DD1123" w:rsidRPr="00DD1123" w:rsidRDefault="00DD1123" w:rsidP="00DD1123">
            <w:pPr>
              <w:pStyle w:val="TableHeading"/>
            </w:pPr>
            <w:r>
              <w:t>Item</w:t>
            </w:r>
          </w:p>
        </w:tc>
        <w:tc>
          <w:tcPr>
            <w:tcW w:w="597" w:type="pct"/>
            <w:noWrap/>
            <w:hideMark/>
          </w:tcPr>
          <w:p w:rsidR="00DD1123" w:rsidRPr="00DD1123" w:rsidRDefault="00DD1123" w:rsidP="00DD1123">
            <w:pPr>
              <w:pStyle w:val="TableHeading"/>
              <w:cnfStyle w:val="100000000000" w:firstRow="1" w:lastRow="0" w:firstColumn="0" w:lastColumn="0" w:oddVBand="0" w:evenVBand="0" w:oddHBand="0" w:evenHBand="0" w:firstRowFirstColumn="0" w:firstRowLastColumn="0" w:lastRowFirstColumn="0" w:lastRowLastColumn="0"/>
            </w:pPr>
            <w:r w:rsidRPr="00DD1123">
              <w:t>2017</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4403" w:type="pct"/>
            <w:hideMark/>
          </w:tcPr>
          <w:p w:rsidR="00DD1123" w:rsidRPr="00DD1123" w:rsidRDefault="00DD1123" w:rsidP="00DD1123">
            <w:pPr>
              <w:pStyle w:val="TableBodyText"/>
            </w:pPr>
            <w:r w:rsidRPr="00DD1123">
              <w:t>Short-term employee benefits</w:t>
            </w:r>
          </w:p>
        </w:tc>
        <w:tc>
          <w:tcPr>
            <w:tcW w:w="597"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 xml:space="preserve">2,130 </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4403" w:type="pct"/>
            <w:hideMark/>
          </w:tcPr>
          <w:p w:rsidR="00DD1123" w:rsidRPr="00DD1123" w:rsidRDefault="00DD1123" w:rsidP="00DD1123">
            <w:pPr>
              <w:pStyle w:val="TableBodyText"/>
            </w:pPr>
            <w:r w:rsidRPr="00DD1123">
              <w:t xml:space="preserve">Post-employment benefits </w:t>
            </w:r>
          </w:p>
        </w:tc>
        <w:tc>
          <w:tcPr>
            <w:tcW w:w="597"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 xml:space="preserve">175 </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4403" w:type="pct"/>
            <w:hideMark/>
          </w:tcPr>
          <w:p w:rsidR="00DD1123" w:rsidRPr="00DD1123" w:rsidRDefault="00DD1123" w:rsidP="00DD1123">
            <w:pPr>
              <w:pStyle w:val="TableBodyText"/>
            </w:pPr>
            <w:r w:rsidRPr="00DD1123">
              <w:t xml:space="preserve">Other long-term benefits </w:t>
            </w:r>
          </w:p>
        </w:tc>
        <w:tc>
          <w:tcPr>
            <w:tcW w:w="597"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 xml:space="preserve">67 </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4403" w:type="pct"/>
            <w:hideMark/>
          </w:tcPr>
          <w:p w:rsidR="00DD1123" w:rsidRPr="00DD1123" w:rsidRDefault="00DD1123" w:rsidP="00DD1123">
            <w:pPr>
              <w:pStyle w:val="TableBodyText"/>
            </w:pPr>
            <w:r w:rsidRPr="00DD1123">
              <w:t xml:space="preserve">Termination benefits </w:t>
            </w:r>
          </w:p>
        </w:tc>
        <w:tc>
          <w:tcPr>
            <w:tcW w:w="597"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 xml:space="preserve">111 </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4403" w:type="pct"/>
            <w:noWrap/>
            <w:hideMark/>
          </w:tcPr>
          <w:p w:rsidR="00DD1123" w:rsidRPr="00DD1123" w:rsidRDefault="00DD1123" w:rsidP="00DD1123">
            <w:pPr>
              <w:pStyle w:val="TableBodyText"/>
            </w:pPr>
            <w:r w:rsidRPr="00DD1123">
              <w:t>Total remuneration (</w:t>
            </w:r>
            <w:hyperlink w:anchor="RemunerationA" w:history="1">
              <w:r w:rsidRPr="00DD1123">
                <w:rPr>
                  <w:rStyle w:val="Hyperlink"/>
                </w:rPr>
                <w:t>see note a</w:t>
              </w:r>
            </w:hyperlink>
            <w:r w:rsidRPr="00DD1123">
              <w:t xml:space="preserve">) </w:t>
            </w:r>
          </w:p>
        </w:tc>
        <w:tc>
          <w:tcPr>
            <w:tcW w:w="597"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 xml:space="preserve">2,483 </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4403" w:type="pct"/>
            <w:noWrap/>
            <w:hideMark/>
          </w:tcPr>
          <w:p w:rsidR="00DD1123" w:rsidRPr="00DD1123" w:rsidRDefault="00DD1123" w:rsidP="00DD1123">
            <w:pPr>
              <w:pStyle w:val="TableBodyText"/>
            </w:pPr>
            <w:r w:rsidRPr="00DD1123">
              <w:t>Total number of executives</w:t>
            </w:r>
          </w:p>
        </w:tc>
        <w:tc>
          <w:tcPr>
            <w:tcW w:w="597"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 xml:space="preserve">11 </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4403" w:type="pct"/>
            <w:noWrap/>
            <w:hideMark/>
          </w:tcPr>
          <w:p w:rsidR="00DD1123" w:rsidRPr="00DD1123" w:rsidRDefault="00DD1123" w:rsidP="00DD1123">
            <w:pPr>
              <w:pStyle w:val="TableBodyText"/>
            </w:pPr>
            <w:r w:rsidRPr="00DD1123">
              <w:t>Total annualised employee equivalents (</w:t>
            </w:r>
            <w:hyperlink w:anchor="RemunerationB" w:history="1">
              <w:r w:rsidRPr="00DD1123">
                <w:rPr>
                  <w:rStyle w:val="Hyperlink"/>
                </w:rPr>
                <w:t>see note b</w:t>
              </w:r>
            </w:hyperlink>
            <w:r w:rsidRPr="00DD1123">
              <w:t>)</w:t>
            </w:r>
          </w:p>
        </w:tc>
        <w:tc>
          <w:tcPr>
            <w:tcW w:w="597"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 xml:space="preserve">11 </w:t>
            </w:r>
          </w:p>
        </w:tc>
      </w:tr>
    </w:tbl>
    <w:p w:rsidR="00A228B8" w:rsidRDefault="00DD1123" w:rsidP="00A228B8">
      <w:pPr>
        <w:pStyle w:val="BodyText"/>
      </w:pPr>
      <w:r>
        <w:t>Notes</w:t>
      </w:r>
    </w:p>
    <w:p w:rsidR="00DD1123" w:rsidRDefault="00DD1123" w:rsidP="00DD1123">
      <w:pPr>
        <w:pStyle w:val="ListAlpha"/>
        <w:numPr>
          <w:ilvl w:val="0"/>
          <w:numId w:val="41"/>
        </w:numPr>
      </w:pPr>
      <w:bookmarkStart w:id="68" w:name="RemunerationA"/>
      <w:bookmarkEnd w:id="68"/>
      <w:r>
        <w:t xml:space="preserve">No comparatives have been reported because remuneration in the prior year was determined in line with the basis and definition under </w:t>
      </w:r>
      <w:proofErr w:type="spellStart"/>
      <w:r>
        <w:t>FRD</w:t>
      </w:r>
      <w:proofErr w:type="spellEnd"/>
      <w:r>
        <w:t xml:space="preserve"> 21B. Remuneration previously excluded non-monetary benefits and comprised any money, consideration or benefit received or receivable, excluding reimbursement of out-of-pocket expenses, including any amount received or receivable from a related party transaction. Refer to the prior year’s financial statements for executive remuneration for the 2015-16 reporting period.</w:t>
      </w:r>
    </w:p>
    <w:p w:rsidR="00DD1123" w:rsidRDefault="00DD1123" w:rsidP="00525182">
      <w:pPr>
        <w:pStyle w:val="ListAlpha"/>
        <w:numPr>
          <w:ilvl w:val="0"/>
          <w:numId w:val="41"/>
        </w:numPr>
      </w:pPr>
      <w:bookmarkStart w:id="69" w:name="RemunerationB"/>
      <w:bookmarkEnd w:id="69"/>
      <w:r>
        <w:t>Annualised employee equivalent is based on the time fraction worked over the reporting period.</w:t>
      </w:r>
    </w:p>
    <w:p w:rsidR="00A228B8" w:rsidRDefault="00DD1123" w:rsidP="00DD1123">
      <w:pPr>
        <w:pStyle w:val="Heading2"/>
      </w:pPr>
      <w:bookmarkStart w:id="70" w:name="_Toc497125495"/>
      <w:r w:rsidRPr="00DD1123">
        <w:lastRenderedPageBreak/>
        <w:t>Remuneration of auditors</w:t>
      </w:r>
      <w:bookmarkEnd w:id="70"/>
    </w:p>
    <w:tbl>
      <w:tblPr>
        <w:tblStyle w:val="FinancialTable"/>
        <w:tblW w:w="5000" w:type="pct"/>
        <w:tblLook w:val="04A0" w:firstRow="1" w:lastRow="0" w:firstColumn="1" w:lastColumn="0" w:noHBand="0" w:noVBand="1"/>
      </w:tblPr>
      <w:tblGrid>
        <w:gridCol w:w="7270"/>
        <w:gridCol w:w="1184"/>
        <w:gridCol w:w="1184"/>
      </w:tblGrid>
      <w:tr w:rsidR="00DD1123" w:rsidRPr="00DD1123" w:rsidTr="00DD112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72" w:type="pct"/>
            <w:noWrap/>
          </w:tcPr>
          <w:p w:rsidR="00DD1123" w:rsidRPr="00DD1123" w:rsidRDefault="00DD1123" w:rsidP="00DD1123">
            <w:pPr>
              <w:pStyle w:val="TableBodyText"/>
              <w:rPr>
                <w:rStyle w:val="Bold"/>
              </w:rPr>
            </w:pPr>
            <w:r>
              <w:rPr>
                <w:rStyle w:val="Bold"/>
              </w:rPr>
              <w:t>N/A</w:t>
            </w:r>
          </w:p>
        </w:tc>
        <w:tc>
          <w:tcPr>
            <w:tcW w:w="614" w:type="pct"/>
            <w:noWrap/>
            <w:hideMark/>
          </w:tcPr>
          <w:p w:rsidR="00DD1123" w:rsidRPr="00DD1123" w:rsidRDefault="00DD1123" w:rsidP="00DD112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DD1123">
              <w:rPr>
                <w:rStyle w:val="Bold"/>
              </w:rPr>
              <w:t>2017</w:t>
            </w:r>
          </w:p>
          <w:p w:rsidR="00DD1123" w:rsidRPr="00DD1123" w:rsidRDefault="00DD1123" w:rsidP="00DD112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DD1123">
              <w:rPr>
                <w:rStyle w:val="Bold"/>
              </w:rPr>
              <w:t>$'000</w:t>
            </w:r>
          </w:p>
        </w:tc>
        <w:tc>
          <w:tcPr>
            <w:tcW w:w="614" w:type="pct"/>
            <w:noWrap/>
            <w:hideMark/>
          </w:tcPr>
          <w:p w:rsidR="00DD1123" w:rsidRPr="00DD1123" w:rsidRDefault="00DD1123" w:rsidP="00DD112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DD1123">
              <w:rPr>
                <w:rStyle w:val="Bold"/>
              </w:rPr>
              <w:t>2016</w:t>
            </w:r>
          </w:p>
          <w:p w:rsidR="00DD1123" w:rsidRPr="00DD1123" w:rsidRDefault="00DD1123" w:rsidP="00DD1123">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DD1123">
              <w:rPr>
                <w:rStyle w:val="Bold"/>
              </w:rPr>
              <w:t>$'000</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3772" w:type="pct"/>
            <w:noWrap/>
            <w:hideMark/>
          </w:tcPr>
          <w:p w:rsidR="00DD1123" w:rsidRPr="00DD1123" w:rsidRDefault="00DD1123" w:rsidP="00DD1123">
            <w:pPr>
              <w:pStyle w:val="TableBodyText"/>
              <w:rPr>
                <w:rStyle w:val="Bold"/>
              </w:rPr>
            </w:pPr>
            <w:r w:rsidRPr="00DD1123">
              <w:rPr>
                <w:rStyle w:val="Bold"/>
              </w:rPr>
              <w:t>Victorian Auditor-General's Office</w:t>
            </w:r>
          </w:p>
        </w:tc>
        <w:tc>
          <w:tcPr>
            <w:tcW w:w="614" w:type="pct"/>
            <w:noWrap/>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14" w:type="pct"/>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t>N/A</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3772" w:type="pct"/>
            <w:tcBorders>
              <w:bottom w:val="single" w:sz="4" w:space="0" w:color="auto"/>
            </w:tcBorders>
            <w:noWrap/>
            <w:hideMark/>
          </w:tcPr>
          <w:p w:rsidR="00DD1123" w:rsidRPr="00DD1123" w:rsidRDefault="00DD1123" w:rsidP="00DD1123">
            <w:pPr>
              <w:pStyle w:val="TableBodyText"/>
            </w:pPr>
            <w:r w:rsidRPr="00DD1123">
              <w:t>Audit of the financial statements</w:t>
            </w:r>
          </w:p>
        </w:tc>
        <w:tc>
          <w:tcPr>
            <w:tcW w:w="614" w:type="pct"/>
            <w:tcBorders>
              <w:bottom w:val="single" w:sz="4" w:space="0" w:color="auto"/>
            </w:tcBorders>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224</w:t>
            </w:r>
          </w:p>
        </w:tc>
        <w:tc>
          <w:tcPr>
            <w:tcW w:w="614" w:type="pct"/>
            <w:tcBorders>
              <w:bottom w:val="single" w:sz="4" w:space="0" w:color="auto"/>
            </w:tcBorders>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pPr>
            <w:r w:rsidRPr="00DD1123">
              <w:t>209</w:t>
            </w:r>
          </w:p>
        </w:tc>
      </w:tr>
      <w:tr w:rsidR="00DD1123" w:rsidRPr="00DD1123" w:rsidTr="00DD1123">
        <w:tc>
          <w:tcPr>
            <w:cnfStyle w:val="001000000000" w:firstRow="0" w:lastRow="0" w:firstColumn="1" w:lastColumn="0" w:oddVBand="0" w:evenVBand="0" w:oddHBand="0" w:evenHBand="0" w:firstRowFirstColumn="0" w:firstRowLastColumn="0" w:lastRowFirstColumn="0" w:lastRowLastColumn="0"/>
            <w:tcW w:w="3772" w:type="pct"/>
            <w:tcBorders>
              <w:top w:val="single" w:sz="4" w:space="0" w:color="auto"/>
              <w:bottom w:val="single" w:sz="4" w:space="0" w:color="auto"/>
            </w:tcBorders>
            <w:noWrap/>
            <w:hideMark/>
          </w:tcPr>
          <w:p w:rsidR="00DD1123" w:rsidRPr="00DD1123" w:rsidRDefault="00DD1123" w:rsidP="00DD1123">
            <w:pPr>
              <w:pStyle w:val="TableBodyText"/>
              <w:rPr>
                <w:rStyle w:val="Bold"/>
              </w:rPr>
            </w:pPr>
            <w:r w:rsidRPr="00DD1123">
              <w:rPr>
                <w:rStyle w:val="Bold"/>
              </w:rPr>
              <w:t>Total remuneration of auditors</w:t>
            </w:r>
          </w:p>
        </w:tc>
        <w:tc>
          <w:tcPr>
            <w:tcW w:w="614" w:type="pct"/>
            <w:tcBorders>
              <w:top w:val="single" w:sz="4" w:space="0" w:color="auto"/>
              <w:bottom w:val="single" w:sz="4" w:space="0" w:color="auto"/>
            </w:tcBorders>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D1123">
              <w:rPr>
                <w:rStyle w:val="Bold"/>
              </w:rPr>
              <w:t>224</w:t>
            </w:r>
          </w:p>
        </w:tc>
        <w:tc>
          <w:tcPr>
            <w:tcW w:w="614" w:type="pct"/>
            <w:tcBorders>
              <w:top w:val="single" w:sz="4" w:space="0" w:color="auto"/>
              <w:bottom w:val="single" w:sz="4" w:space="0" w:color="auto"/>
            </w:tcBorders>
            <w:noWrap/>
            <w:hideMark/>
          </w:tcPr>
          <w:p w:rsidR="00DD1123" w:rsidRPr="00DD1123" w:rsidRDefault="00DD1123" w:rsidP="00DD1123">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DD1123">
              <w:rPr>
                <w:rStyle w:val="Bold"/>
              </w:rPr>
              <w:t>209</w:t>
            </w:r>
          </w:p>
        </w:tc>
      </w:tr>
    </w:tbl>
    <w:p w:rsidR="00DD1123" w:rsidRDefault="00DD1123" w:rsidP="00DD1123">
      <w:pPr>
        <w:pStyle w:val="Heading2"/>
      </w:pPr>
      <w:bookmarkStart w:id="71" w:name="_Toc497125496"/>
      <w:r>
        <w:t>Other accounting policies</w:t>
      </w:r>
      <w:bookmarkEnd w:id="71"/>
    </w:p>
    <w:p w:rsidR="00DD1123" w:rsidRDefault="00DD1123" w:rsidP="00DD1123">
      <w:pPr>
        <w:pStyle w:val="Heading3"/>
        <w:numPr>
          <w:ilvl w:val="0"/>
          <w:numId w:val="0"/>
        </w:numPr>
      </w:pPr>
      <w:r>
        <w:t>Contributions by owners</w:t>
      </w:r>
    </w:p>
    <w:p w:rsidR="00DD1123" w:rsidRDefault="00DD1123" w:rsidP="00DD1123">
      <w:pPr>
        <w:pStyle w:val="BodyText"/>
      </w:pPr>
      <w:r>
        <w:t xml:space="preserve">Consistent with the requirements of </w:t>
      </w:r>
      <w:proofErr w:type="spellStart"/>
      <w:r>
        <w:t>AASB</w:t>
      </w:r>
      <w:proofErr w:type="spellEnd"/>
      <w:r>
        <w:t xml:space="preserve"> 1004 Contributions, contributions by owners (that is, contributed capital and its repayment) are treated as equity transactions and, therefore, do not form part of the income and expenses of CSV.</w:t>
      </w:r>
    </w:p>
    <w:p w:rsidR="00DD1123" w:rsidRDefault="00DD1123" w:rsidP="00DD1123">
      <w:pPr>
        <w:pStyle w:val="BodyText"/>
      </w:pPr>
      <w:r>
        <w:t>Additions to net assets that have been designated as contributions by owners are recognised as contributed capital. Other transfers that are in the nature of contributions to or distributions by owners have also been designated as contributions by owners.</w:t>
      </w:r>
    </w:p>
    <w:p w:rsidR="00DD1123" w:rsidRDefault="00DD1123" w:rsidP="00DD1123">
      <w:pPr>
        <w:pStyle w:val="Heading3"/>
        <w:numPr>
          <w:ilvl w:val="0"/>
          <w:numId w:val="0"/>
        </w:numPr>
      </w:pPr>
      <w:r>
        <w:t>Reassessment of estimated useful lives of assets</w:t>
      </w:r>
    </w:p>
    <w:p w:rsidR="00DD1123" w:rsidRDefault="00DD1123" w:rsidP="00DD1123">
      <w:pPr>
        <w:pStyle w:val="BodyText"/>
      </w:pPr>
      <w:r>
        <w:t xml:space="preserve">An independent valuation of CSV specialised land and specialised buildings was performed by the </w:t>
      </w:r>
      <w:proofErr w:type="spellStart"/>
      <w:r>
        <w:t>Valuer</w:t>
      </w:r>
      <w:proofErr w:type="spellEnd"/>
      <w:r>
        <w:rPr>
          <w:rFonts w:ascii="Cambria Math" w:hAnsi="Cambria Math" w:cs="Cambria Math"/>
        </w:rPr>
        <w:t>‐</w:t>
      </w:r>
      <w:r>
        <w:t xml:space="preserve">General Victoria as at 30 June 2016. The valuation was performed using the market approach adjusted for </w:t>
      </w:r>
      <w:proofErr w:type="spellStart"/>
      <w:r>
        <w:t>CSO</w:t>
      </w:r>
      <w:proofErr w:type="spellEnd"/>
      <w:r>
        <w:t xml:space="preserve"> and componentisation of buildings.</w:t>
      </w:r>
    </w:p>
    <w:p w:rsidR="00DD1123" w:rsidRDefault="00DD1123" w:rsidP="00DD1123">
      <w:pPr>
        <w:pStyle w:val="BodyText"/>
      </w:pPr>
      <w:r>
        <w:t>Componentisation of buildings is a change in accounting policy. The nature and amount of change in an accounting estimate that has an effect in the current period and is expected to have an effect in future periods.</w:t>
      </w:r>
    </w:p>
    <w:p w:rsidR="00DD1123" w:rsidRDefault="00DD1123" w:rsidP="00DD1123">
      <w:pPr>
        <w:pStyle w:val="BodyText"/>
      </w:pPr>
      <w:r>
        <w:t>Assuming the assets are held until the end of their estimated useful lives, depreciation of CSV assets for the next four years in relation to these assets will be increased by the following amounts:</w:t>
      </w:r>
    </w:p>
    <w:p w:rsidR="00DD1123" w:rsidRDefault="00DD1123" w:rsidP="00DD1123">
      <w:r>
        <w:t>Year Ending 2017</w:t>
      </w:r>
      <w:r>
        <w:tab/>
        <w:t>$12,183,000</w:t>
      </w:r>
    </w:p>
    <w:p w:rsidR="00DD1123" w:rsidRDefault="00DD1123" w:rsidP="00DD1123">
      <w:r>
        <w:t>Year Ending 2018</w:t>
      </w:r>
      <w:r>
        <w:tab/>
        <w:t>$12,183,000</w:t>
      </w:r>
    </w:p>
    <w:p w:rsidR="00DD1123" w:rsidRDefault="00DD1123" w:rsidP="00DD1123">
      <w:r>
        <w:t>Year Ending 2019</w:t>
      </w:r>
      <w:r>
        <w:tab/>
        <w:t>$12,183,000</w:t>
      </w:r>
    </w:p>
    <w:p w:rsidR="00DD1123" w:rsidRDefault="00DD1123" w:rsidP="00DD1123">
      <w:r>
        <w:t>Year Ending 2020</w:t>
      </w:r>
      <w:r>
        <w:tab/>
        <w:t>$10,789,000</w:t>
      </w:r>
    </w:p>
    <w:p w:rsidR="00DD1123" w:rsidRDefault="00DD1123" w:rsidP="00DD1123">
      <w:pPr>
        <w:pStyle w:val="BodyText"/>
      </w:pPr>
      <w:r w:rsidRPr="00DD1123">
        <w:t>Year four estimated depreciation is reduced as some components of the assets will be fully depreciated over 3 years.</w:t>
      </w:r>
    </w:p>
    <w:p w:rsidR="00DD1123" w:rsidRDefault="00DD1123" w:rsidP="00DD1123">
      <w:pPr>
        <w:pStyle w:val="Heading2"/>
        <w:pageBreakBefore/>
      </w:pPr>
      <w:bookmarkStart w:id="72" w:name="_Toc497125497"/>
      <w:r w:rsidRPr="00DD1123">
        <w:lastRenderedPageBreak/>
        <w:t>Australian Accounting Standards issued that are not yet effective</w:t>
      </w:r>
      <w:bookmarkEnd w:id="72"/>
    </w:p>
    <w:tbl>
      <w:tblPr>
        <w:tblStyle w:val="TableGrid"/>
        <w:tblW w:w="5000" w:type="pct"/>
        <w:tblLayout w:type="fixed"/>
        <w:tblLook w:val="04A0" w:firstRow="1" w:lastRow="0" w:firstColumn="1" w:lastColumn="0" w:noHBand="0" w:noVBand="1"/>
      </w:tblPr>
      <w:tblGrid>
        <w:gridCol w:w="2409"/>
        <w:gridCol w:w="2409"/>
        <w:gridCol w:w="2410"/>
        <w:gridCol w:w="2410"/>
      </w:tblGrid>
      <w:tr w:rsidR="00525182" w:rsidRPr="00DD1123" w:rsidTr="00525182">
        <w:trPr>
          <w:cnfStyle w:val="100000000000" w:firstRow="1" w:lastRow="0" w:firstColumn="0" w:lastColumn="0" w:oddVBand="0" w:evenVBand="0" w:oddHBand="0" w:evenHBand="0" w:firstRowFirstColumn="0" w:firstRowLastColumn="0" w:lastRowFirstColumn="0" w:lastRowLastColumn="0"/>
        </w:trPr>
        <w:tc>
          <w:tcPr>
            <w:tcW w:w="1250" w:type="pct"/>
            <w:noWrap/>
            <w:hideMark/>
          </w:tcPr>
          <w:p w:rsidR="00DD1123" w:rsidRPr="00DD1123" w:rsidRDefault="00DD1123" w:rsidP="00DD1123">
            <w:pPr>
              <w:pStyle w:val="TableBodyText"/>
            </w:pPr>
            <w:r w:rsidRPr="00DD1123">
              <w:t>Standard/Interpretation</w:t>
            </w:r>
          </w:p>
        </w:tc>
        <w:tc>
          <w:tcPr>
            <w:tcW w:w="1250" w:type="pct"/>
            <w:noWrap/>
            <w:hideMark/>
          </w:tcPr>
          <w:p w:rsidR="00DD1123" w:rsidRPr="00DD1123" w:rsidRDefault="00DD1123" w:rsidP="00DD1123">
            <w:pPr>
              <w:pStyle w:val="TableBodyText"/>
            </w:pPr>
            <w:r w:rsidRPr="00DD1123">
              <w:t>Summary</w:t>
            </w:r>
          </w:p>
        </w:tc>
        <w:tc>
          <w:tcPr>
            <w:tcW w:w="1250" w:type="pct"/>
            <w:hideMark/>
          </w:tcPr>
          <w:p w:rsidR="00DD1123" w:rsidRPr="00DD1123" w:rsidRDefault="00DD1123" w:rsidP="00DD1123">
            <w:pPr>
              <w:pStyle w:val="TableBodyText"/>
            </w:pPr>
            <w:r w:rsidRPr="00DD1123">
              <w:t>Applicable for annual reporting periods beginning after</w:t>
            </w:r>
          </w:p>
        </w:tc>
        <w:tc>
          <w:tcPr>
            <w:tcW w:w="1250" w:type="pct"/>
            <w:noWrap/>
            <w:hideMark/>
          </w:tcPr>
          <w:p w:rsidR="00DD1123" w:rsidRPr="00DD1123" w:rsidRDefault="00DD1123" w:rsidP="00DD1123">
            <w:pPr>
              <w:pStyle w:val="TableBodyText"/>
            </w:pPr>
            <w:r w:rsidRPr="00DD1123">
              <w:t>Impact on CSV financial statements</w:t>
            </w:r>
          </w:p>
        </w:tc>
      </w:tr>
      <w:tr w:rsidR="00F65E51" w:rsidRPr="00DD1123" w:rsidTr="00525182">
        <w:trPr>
          <w:trHeight w:val="276"/>
        </w:trPr>
        <w:tc>
          <w:tcPr>
            <w:tcW w:w="1250" w:type="pct"/>
          </w:tcPr>
          <w:p w:rsidR="00F65E51" w:rsidRPr="00DD1123" w:rsidRDefault="00F65E51" w:rsidP="00F65E51">
            <w:pPr>
              <w:pStyle w:val="TableBodyText"/>
            </w:pPr>
            <w:proofErr w:type="spellStart"/>
            <w:r w:rsidRPr="00DD1123">
              <w:t>AASB</w:t>
            </w:r>
            <w:proofErr w:type="spellEnd"/>
            <w:r w:rsidRPr="00DD1123">
              <w:t> 15 Revenue from Contracts with Customers</w:t>
            </w:r>
          </w:p>
        </w:tc>
        <w:tc>
          <w:tcPr>
            <w:tcW w:w="1250" w:type="pct"/>
          </w:tcPr>
          <w:p w:rsidR="00F65E51" w:rsidRPr="00DD1123" w:rsidRDefault="00F65E51" w:rsidP="00F65E51">
            <w:pPr>
              <w:pStyle w:val="TableBodyText"/>
            </w:pPr>
            <w:r w:rsidRPr="00DD1123">
              <w:t xml:space="preserve">The core principle of </w:t>
            </w:r>
            <w:proofErr w:type="spellStart"/>
            <w:r w:rsidRPr="00DD1123">
              <w:t>AASB</w:t>
            </w:r>
            <w:proofErr w:type="spellEnd"/>
            <w:r w:rsidRPr="00DD1123">
              <w:t> 15 requires an entity to recognise revenue when the entity satisfies a performance obligation by transferring a promised good or service to a customer.</w:t>
            </w:r>
          </w:p>
        </w:tc>
        <w:tc>
          <w:tcPr>
            <w:tcW w:w="1250" w:type="pct"/>
          </w:tcPr>
          <w:p w:rsidR="00F65E51" w:rsidRPr="00DD1123" w:rsidRDefault="00F65E51" w:rsidP="00F65E51">
            <w:pPr>
              <w:pStyle w:val="TableBodyText"/>
            </w:pPr>
            <w:r w:rsidRPr="00DD1123">
              <w:t>1-Jan-18</w:t>
            </w:r>
          </w:p>
        </w:tc>
        <w:tc>
          <w:tcPr>
            <w:tcW w:w="1250" w:type="pct"/>
          </w:tcPr>
          <w:p w:rsidR="00F65E51" w:rsidRPr="00DD1123" w:rsidRDefault="00F65E51" w:rsidP="00F65E51">
            <w:pPr>
              <w:pStyle w:val="TableBodyText"/>
            </w:pPr>
            <w:r w:rsidRPr="00DD1123">
              <w:t xml:space="preserve">The changes in revenue recognition requirements in </w:t>
            </w:r>
            <w:proofErr w:type="spellStart"/>
            <w:r w:rsidRPr="00DD1123">
              <w:t>AASB</w:t>
            </w:r>
            <w:proofErr w:type="spellEnd"/>
            <w:r w:rsidRPr="00DD1123">
              <w:t> 15 may result in changes to the timing and amount of revenue recorded in the financial statements. The standard will also require additional disclosures on service revenue and contract modifications.</w:t>
            </w:r>
          </w:p>
        </w:tc>
      </w:tr>
      <w:tr w:rsidR="00F65E51" w:rsidRPr="00DD1123" w:rsidTr="00525182">
        <w:tc>
          <w:tcPr>
            <w:tcW w:w="1250" w:type="pct"/>
          </w:tcPr>
          <w:p w:rsidR="00F65E51" w:rsidRPr="00DD1123" w:rsidRDefault="00F65E51" w:rsidP="00F65E51">
            <w:pPr>
              <w:pStyle w:val="TableBodyText"/>
            </w:pPr>
            <w:proofErr w:type="spellStart"/>
            <w:r w:rsidRPr="00DD1123">
              <w:t>AASB</w:t>
            </w:r>
            <w:proofErr w:type="spellEnd"/>
            <w:r w:rsidRPr="00DD1123">
              <w:t xml:space="preserve"> 2014-5 Amendments to Australian Accounting Standards arising from </w:t>
            </w:r>
            <w:proofErr w:type="spellStart"/>
            <w:r w:rsidRPr="00DD1123">
              <w:t>AASB</w:t>
            </w:r>
            <w:proofErr w:type="spellEnd"/>
            <w:r w:rsidRPr="00DD1123">
              <w:t xml:space="preserve"> 15</w:t>
            </w:r>
          </w:p>
        </w:tc>
        <w:tc>
          <w:tcPr>
            <w:tcW w:w="1250" w:type="pct"/>
          </w:tcPr>
          <w:p w:rsidR="00E15939" w:rsidRDefault="00F65E51" w:rsidP="00E15939">
            <w:pPr>
              <w:pStyle w:val="TableBodyText"/>
              <w:spacing w:after="120"/>
            </w:pPr>
            <w:r w:rsidRPr="00DD1123">
              <w:t>Amends the measurement of trade receivables and the recognition of dividends.</w:t>
            </w:r>
          </w:p>
          <w:p w:rsidR="00F65E51" w:rsidRPr="00DD1123" w:rsidRDefault="00F65E51" w:rsidP="00F65E51">
            <w:pPr>
              <w:pStyle w:val="TableBodyText"/>
            </w:pPr>
            <w:r w:rsidRPr="00DD1123">
              <w:t xml:space="preserve">Trade </w:t>
            </w:r>
            <w:proofErr w:type="gramStart"/>
            <w:r w:rsidRPr="00DD1123">
              <w:t>receivables, that</w:t>
            </w:r>
            <w:proofErr w:type="gramEnd"/>
            <w:r w:rsidRPr="00DD1123">
              <w:t xml:space="preserve"> do not have a significant financing component, are to be measured at their transaction price, at initial recognition</w:t>
            </w:r>
            <w:r>
              <w:t>.</w:t>
            </w:r>
          </w:p>
        </w:tc>
        <w:tc>
          <w:tcPr>
            <w:tcW w:w="1250" w:type="pct"/>
            <w:noWrap/>
          </w:tcPr>
          <w:p w:rsidR="00F65E51" w:rsidRPr="00DD1123" w:rsidRDefault="00F65E51" w:rsidP="00F65E51">
            <w:pPr>
              <w:pStyle w:val="TableBodyText"/>
            </w:pPr>
            <w:r w:rsidRPr="00DD1123">
              <w:t xml:space="preserve">1-Jan-17 except amendments to </w:t>
            </w:r>
            <w:proofErr w:type="spellStart"/>
            <w:r w:rsidRPr="00DD1123">
              <w:t>AASB</w:t>
            </w:r>
            <w:proofErr w:type="spellEnd"/>
            <w:r w:rsidRPr="00DD1123">
              <w:t xml:space="preserve"> 9 (Dec 2009) and </w:t>
            </w:r>
            <w:proofErr w:type="spellStart"/>
            <w:r w:rsidRPr="00DD1123">
              <w:t>AASB</w:t>
            </w:r>
            <w:proofErr w:type="spellEnd"/>
            <w:r w:rsidRPr="00DD1123">
              <w:t xml:space="preserve"> 9 (Dec 2010) apply from</w:t>
            </w:r>
            <w:r w:rsidRPr="00DD1123">
              <w:br/>
              <w:t>1-Jan-18</w:t>
            </w:r>
          </w:p>
        </w:tc>
        <w:tc>
          <w:tcPr>
            <w:tcW w:w="1250" w:type="pct"/>
          </w:tcPr>
          <w:p w:rsidR="00F65E51" w:rsidRPr="00DD1123" w:rsidRDefault="00F65E51" w:rsidP="00F65E51">
            <w:pPr>
              <w:pStyle w:val="TableBodyText"/>
            </w:pPr>
            <w:r w:rsidRPr="00DD1123">
              <w:t>The assessment has indicated that there will be no significant impact for CSV.</w:t>
            </w:r>
          </w:p>
        </w:tc>
      </w:tr>
      <w:tr w:rsidR="00F65E51" w:rsidRPr="00DD1123" w:rsidTr="00525182">
        <w:tc>
          <w:tcPr>
            <w:tcW w:w="1250" w:type="pct"/>
            <w:hideMark/>
          </w:tcPr>
          <w:p w:rsidR="00F65E51" w:rsidRPr="00DD1123" w:rsidRDefault="00F65E51" w:rsidP="00F65E51">
            <w:pPr>
              <w:pStyle w:val="TableBodyText"/>
            </w:pPr>
            <w:proofErr w:type="spellStart"/>
            <w:r w:rsidRPr="00DD1123">
              <w:t>AASB</w:t>
            </w:r>
            <w:proofErr w:type="spellEnd"/>
            <w:r w:rsidRPr="00DD1123">
              <w:t xml:space="preserve"> 2015-8 Amendments to Australian Accounting Standards – Effective Date of </w:t>
            </w:r>
            <w:proofErr w:type="spellStart"/>
            <w:r w:rsidRPr="00DD1123">
              <w:t>AASB</w:t>
            </w:r>
            <w:proofErr w:type="spellEnd"/>
            <w:r w:rsidRPr="00DD1123">
              <w:t xml:space="preserve"> 15</w:t>
            </w:r>
          </w:p>
        </w:tc>
        <w:tc>
          <w:tcPr>
            <w:tcW w:w="1250" w:type="pct"/>
            <w:hideMark/>
          </w:tcPr>
          <w:p w:rsidR="00F65E51" w:rsidRPr="00DD1123" w:rsidRDefault="00F65E51" w:rsidP="00F65E51">
            <w:pPr>
              <w:pStyle w:val="TableBodyText"/>
            </w:pPr>
            <w:r w:rsidRPr="00DD1123">
              <w:t xml:space="preserve">This Standard defers the mandatory effective date of </w:t>
            </w:r>
            <w:proofErr w:type="spellStart"/>
            <w:r w:rsidRPr="00DD1123">
              <w:t>AASB</w:t>
            </w:r>
            <w:proofErr w:type="spellEnd"/>
            <w:r w:rsidRPr="00DD1123">
              <w:t xml:space="preserve"> 15 from 1 January 2017 to 1 January 2018.</w:t>
            </w:r>
          </w:p>
        </w:tc>
        <w:tc>
          <w:tcPr>
            <w:tcW w:w="1250" w:type="pct"/>
            <w:noWrap/>
            <w:hideMark/>
          </w:tcPr>
          <w:p w:rsidR="00F65E51" w:rsidRPr="00DD1123" w:rsidRDefault="00F65E51" w:rsidP="00F65E51">
            <w:pPr>
              <w:pStyle w:val="TableBodyText"/>
            </w:pPr>
            <w:r w:rsidRPr="00DD1123">
              <w:t>1-Jan-18</w:t>
            </w:r>
          </w:p>
        </w:tc>
        <w:tc>
          <w:tcPr>
            <w:tcW w:w="1250" w:type="pct"/>
            <w:hideMark/>
          </w:tcPr>
          <w:p w:rsidR="00F65E51" w:rsidRPr="00DD1123" w:rsidRDefault="00F65E51" w:rsidP="00F65E51">
            <w:pPr>
              <w:pStyle w:val="TableBodyText"/>
            </w:pPr>
            <w:r w:rsidRPr="00DD1123">
              <w:t xml:space="preserve">This amending standard will defer the application period of </w:t>
            </w:r>
            <w:proofErr w:type="spellStart"/>
            <w:r w:rsidRPr="00DD1123">
              <w:t>AASB</w:t>
            </w:r>
            <w:proofErr w:type="spellEnd"/>
            <w:r w:rsidRPr="00DD1123">
              <w:t xml:space="preserve"> 15 for for-profit entities to the 2018-19 reporting period in accordance with the transition requirements. </w:t>
            </w:r>
          </w:p>
        </w:tc>
      </w:tr>
      <w:tr w:rsidR="00F65E51" w:rsidRPr="00DD1123" w:rsidTr="00525182">
        <w:tc>
          <w:tcPr>
            <w:tcW w:w="1250" w:type="pct"/>
            <w:hideMark/>
          </w:tcPr>
          <w:p w:rsidR="00F65E51" w:rsidRPr="00DD1123" w:rsidRDefault="00F65E51" w:rsidP="00F65E51">
            <w:pPr>
              <w:pStyle w:val="TableBodyText"/>
            </w:pPr>
            <w:proofErr w:type="spellStart"/>
            <w:r w:rsidRPr="00DD1123">
              <w:t>AASB</w:t>
            </w:r>
            <w:proofErr w:type="spellEnd"/>
            <w:r w:rsidRPr="00DD1123">
              <w:t xml:space="preserve"> 2016-7 Amendments to Australian Accounting Standards – Deferral of </w:t>
            </w:r>
            <w:proofErr w:type="spellStart"/>
            <w:r w:rsidRPr="00DD1123">
              <w:t>AASB</w:t>
            </w:r>
            <w:proofErr w:type="spellEnd"/>
            <w:r w:rsidRPr="00DD1123">
              <w:t xml:space="preserve"> 15 for Not-for-Profit Entities</w:t>
            </w:r>
          </w:p>
        </w:tc>
        <w:tc>
          <w:tcPr>
            <w:tcW w:w="1250" w:type="pct"/>
            <w:hideMark/>
          </w:tcPr>
          <w:p w:rsidR="00F65E51" w:rsidRPr="00DD1123" w:rsidRDefault="00F65E51" w:rsidP="00F65E51">
            <w:pPr>
              <w:pStyle w:val="TableBodyText"/>
            </w:pPr>
            <w:r w:rsidRPr="00DD1123">
              <w:t xml:space="preserve">This Standard defers the mandatory effective date of </w:t>
            </w:r>
            <w:proofErr w:type="spellStart"/>
            <w:r w:rsidRPr="00DD1123">
              <w:t>AASB</w:t>
            </w:r>
            <w:proofErr w:type="spellEnd"/>
            <w:r w:rsidRPr="00DD1123">
              <w:t xml:space="preserve"> 15 for not-for-profit entities from 1 January 2018 to 1 January 2019.</w:t>
            </w:r>
          </w:p>
        </w:tc>
        <w:tc>
          <w:tcPr>
            <w:tcW w:w="1250" w:type="pct"/>
            <w:noWrap/>
            <w:hideMark/>
          </w:tcPr>
          <w:p w:rsidR="00F65E51" w:rsidRPr="00DD1123" w:rsidRDefault="00F65E51" w:rsidP="00F65E51">
            <w:pPr>
              <w:pStyle w:val="TableBodyText"/>
            </w:pPr>
            <w:r w:rsidRPr="00DD1123">
              <w:t>1-Jan-19</w:t>
            </w:r>
          </w:p>
        </w:tc>
        <w:tc>
          <w:tcPr>
            <w:tcW w:w="1250" w:type="pct"/>
            <w:hideMark/>
          </w:tcPr>
          <w:p w:rsidR="00F65E51" w:rsidRPr="00DD1123" w:rsidRDefault="00F65E51" w:rsidP="00F65E51">
            <w:pPr>
              <w:pStyle w:val="TableBodyText"/>
            </w:pPr>
            <w:r w:rsidRPr="00DD1123">
              <w:t xml:space="preserve">This amending standard will defer the application period of </w:t>
            </w:r>
            <w:proofErr w:type="spellStart"/>
            <w:r w:rsidRPr="00DD1123">
              <w:t>AASB</w:t>
            </w:r>
            <w:proofErr w:type="spellEnd"/>
            <w:r w:rsidRPr="00DD1123">
              <w:t xml:space="preserve"> 15 for not-for-profit entities to the 2019-20 reporting period.</w:t>
            </w:r>
          </w:p>
        </w:tc>
      </w:tr>
      <w:tr w:rsidR="00F65E51" w:rsidRPr="00DD1123" w:rsidTr="00525182">
        <w:tc>
          <w:tcPr>
            <w:tcW w:w="1250" w:type="pct"/>
          </w:tcPr>
          <w:p w:rsidR="00F65E51" w:rsidRPr="00DD1123" w:rsidRDefault="00F65E51" w:rsidP="00F65E51">
            <w:pPr>
              <w:pStyle w:val="TableBodyText"/>
            </w:pPr>
            <w:proofErr w:type="spellStart"/>
            <w:r w:rsidRPr="00DD1123">
              <w:t>AASB</w:t>
            </w:r>
            <w:proofErr w:type="spellEnd"/>
            <w:r w:rsidRPr="00DD1123">
              <w:t xml:space="preserve"> 2016-8 Amendments to Australian Accounting Standards – Australian Implementation Guidance for Not-for-Profit Entities</w:t>
            </w:r>
          </w:p>
        </w:tc>
        <w:tc>
          <w:tcPr>
            <w:tcW w:w="1250" w:type="pct"/>
          </w:tcPr>
          <w:p w:rsidR="00F65E51" w:rsidRDefault="00F65E51" w:rsidP="00F65E51">
            <w:pPr>
              <w:pStyle w:val="TableBodyText"/>
            </w:pPr>
            <w:r w:rsidRPr="00DD1123">
              <w:t xml:space="preserve">This Standard amends </w:t>
            </w:r>
            <w:proofErr w:type="spellStart"/>
            <w:r w:rsidRPr="00DD1123">
              <w:t>AASB</w:t>
            </w:r>
            <w:proofErr w:type="spellEnd"/>
            <w:r w:rsidRPr="00DD1123">
              <w:t xml:space="preserve"> 9 and </w:t>
            </w:r>
            <w:proofErr w:type="spellStart"/>
            <w:r w:rsidRPr="00DD1123">
              <w:t>AASB</w:t>
            </w:r>
            <w:proofErr w:type="spellEnd"/>
            <w:r w:rsidRPr="00DD1123">
              <w:t xml:space="preserve"> 15 to include requirements to assist not-for-profit entities in applying the respective standards to particular transactions and events</w:t>
            </w:r>
          </w:p>
          <w:p w:rsidR="00F65E51" w:rsidRDefault="00F65E51" w:rsidP="00F65E51">
            <w:pPr>
              <w:pStyle w:val="TableListBullet"/>
            </w:pPr>
            <w:r w:rsidRPr="00DD1123">
              <w:t xml:space="preserve">require non-contractual receivables arising from statutory requirements (i.e. taxes, rates and fines) to be initially measured and recognised in accordance with </w:t>
            </w:r>
            <w:proofErr w:type="spellStart"/>
            <w:r w:rsidRPr="00DD1123">
              <w:t>AASB</w:t>
            </w:r>
            <w:proofErr w:type="spellEnd"/>
            <w:r w:rsidRPr="00DD1123">
              <w:t xml:space="preserve"> 9 as if those receivables are financial instruments; and</w:t>
            </w:r>
          </w:p>
          <w:p w:rsidR="00F65E51" w:rsidRPr="00DD1123" w:rsidRDefault="00F65E51" w:rsidP="00F65E51">
            <w:pPr>
              <w:pStyle w:val="TableListBullet"/>
            </w:pPr>
            <w:proofErr w:type="gramStart"/>
            <w:r w:rsidRPr="00DD1123">
              <w:t>clarifies</w:t>
            </w:r>
            <w:proofErr w:type="gramEnd"/>
            <w:r w:rsidRPr="00DD1123">
              <w:t xml:space="preserve"> circumstances when a contract with a customer is within the scope of </w:t>
            </w:r>
            <w:proofErr w:type="spellStart"/>
            <w:r w:rsidRPr="00DD1123">
              <w:t>AASB</w:t>
            </w:r>
            <w:proofErr w:type="spellEnd"/>
            <w:r w:rsidRPr="00DD1123">
              <w:t xml:space="preserve"> 15.</w:t>
            </w:r>
          </w:p>
        </w:tc>
        <w:tc>
          <w:tcPr>
            <w:tcW w:w="1250" w:type="pct"/>
            <w:noWrap/>
          </w:tcPr>
          <w:p w:rsidR="00F65E51" w:rsidRPr="00DD1123" w:rsidRDefault="00F65E51" w:rsidP="00F65E51">
            <w:pPr>
              <w:pStyle w:val="TableBodyText"/>
            </w:pPr>
            <w:r w:rsidRPr="00DD1123">
              <w:t>1-Jan-19</w:t>
            </w:r>
          </w:p>
        </w:tc>
        <w:tc>
          <w:tcPr>
            <w:tcW w:w="1250" w:type="pct"/>
          </w:tcPr>
          <w:p w:rsidR="00F65E51" w:rsidRPr="00DD1123" w:rsidRDefault="00F65E51" w:rsidP="00F65E51">
            <w:pPr>
              <w:pStyle w:val="TableBodyText"/>
            </w:pPr>
            <w:r w:rsidRPr="00DD1123">
              <w:t xml:space="preserve">The assessment has indicated that there will be no significant impact for the public sector, other than the impacts identified for </w:t>
            </w:r>
            <w:proofErr w:type="spellStart"/>
            <w:r w:rsidRPr="00DD1123">
              <w:t>AASB</w:t>
            </w:r>
            <w:proofErr w:type="spellEnd"/>
            <w:r w:rsidRPr="00DD1123">
              <w:t xml:space="preserve"> 9 and </w:t>
            </w:r>
            <w:proofErr w:type="spellStart"/>
            <w:r w:rsidRPr="00DD1123">
              <w:t>AASB</w:t>
            </w:r>
            <w:proofErr w:type="spellEnd"/>
            <w:r w:rsidRPr="00DD1123">
              <w:t xml:space="preserve"> 15 above.</w:t>
            </w:r>
          </w:p>
        </w:tc>
      </w:tr>
      <w:tr w:rsidR="00F65E51" w:rsidRPr="00DD1123" w:rsidTr="00525182">
        <w:trPr>
          <w:trHeight w:val="2939"/>
        </w:trPr>
        <w:tc>
          <w:tcPr>
            <w:tcW w:w="1250" w:type="pct"/>
            <w:hideMark/>
          </w:tcPr>
          <w:p w:rsidR="00F65E51" w:rsidRPr="00DD1123" w:rsidRDefault="00F65E51" w:rsidP="00F65E51">
            <w:pPr>
              <w:pStyle w:val="TableBodyText"/>
            </w:pPr>
            <w:proofErr w:type="spellStart"/>
            <w:r w:rsidRPr="00DD1123">
              <w:lastRenderedPageBreak/>
              <w:t>AASB</w:t>
            </w:r>
            <w:proofErr w:type="spellEnd"/>
            <w:r w:rsidRPr="00DD1123">
              <w:t xml:space="preserve"> 16 Leases</w:t>
            </w:r>
          </w:p>
        </w:tc>
        <w:tc>
          <w:tcPr>
            <w:tcW w:w="1250" w:type="pct"/>
            <w:hideMark/>
          </w:tcPr>
          <w:p w:rsidR="00F65E51" w:rsidRPr="00DD1123" w:rsidRDefault="00F65E51" w:rsidP="00F65E51">
            <w:pPr>
              <w:pStyle w:val="TableBodyText"/>
            </w:pPr>
            <w:r w:rsidRPr="00DD1123">
              <w:t xml:space="preserve">The key changes introduced by </w:t>
            </w:r>
            <w:proofErr w:type="spellStart"/>
            <w:r w:rsidRPr="00DD1123">
              <w:t>AASB</w:t>
            </w:r>
            <w:proofErr w:type="spellEnd"/>
            <w:r w:rsidRPr="00DD1123">
              <w:t xml:space="preserve"> 16 include the recognition of most operating leases (which are currently not recognised) on balance sheet.</w:t>
            </w:r>
          </w:p>
        </w:tc>
        <w:tc>
          <w:tcPr>
            <w:tcW w:w="1250" w:type="pct"/>
            <w:noWrap/>
            <w:hideMark/>
          </w:tcPr>
          <w:p w:rsidR="00F65E51" w:rsidRPr="00DD1123" w:rsidRDefault="00F65E51" w:rsidP="00F65E51">
            <w:pPr>
              <w:pStyle w:val="TableBodyText"/>
            </w:pPr>
            <w:r w:rsidRPr="00DD1123">
              <w:t>1-Jan-19</w:t>
            </w:r>
          </w:p>
        </w:tc>
        <w:tc>
          <w:tcPr>
            <w:tcW w:w="1250" w:type="pct"/>
            <w:hideMark/>
          </w:tcPr>
          <w:p w:rsidR="00F65E51" w:rsidRPr="00DD1123" w:rsidRDefault="00F65E51" w:rsidP="00E15939">
            <w:pPr>
              <w:pStyle w:val="TableBodyText"/>
              <w:spacing w:after="60"/>
            </w:pPr>
            <w:r w:rsidRPr="00DD1123">
              <w:t xml:space="preserve">The assessment has indicated that as most operating leases will come on balance sheet, recognition of the right-of-use assets and lease liabilities will cause net debt to increase. </w:t>
            </w:r>
          </w:p>
          <w:p w:rsidR="00F65E51" w:rsidRPr="00DD1123" w:rsidRDefault="00F65E51" w:rsidP="00E15939">
            <w:pPr>
              <w:pStyle w:val="TableBodyText"/>
              <w:spacing w:after="60"/>
            </w:pPr>
            <w:r w:rsidRPr="00DD1123">
              <w:t>Rather than expensing the lease payments, depreciation of right-of-use assets and interest on lease liabilities will be recognised in the income statement with marginal impact on the operating surplus.</w:t>
            </w:r>
          </w:p>
          <w:p w:rsidR="00F65E51" w:rsidRPr="00DD1123" w:rsidRDefault="00F65E51" w:rsidP="00E15939">
            <w:pPr>
              <w:pStyle w:val="TableBodyText"/>
              <w:spacing w:after="60"/>
            </w:pPr>
            <w:r w:rsidRPr="00DD1123">
              <w:t xml:space="preserve">No change for lessors. </w:t>
            </w:r>
          </w:p>
        </w:tc>
      </w:tr>
      <w:tr w:rsidR="00F65E51" w:rsidRPr="00DD1123" w:rsidTr="00525182">
        <w:trPr>
          <w:trHeight w:val="276"/>
        </w:trPr>
        <w:tc>
          <w:tcPr>
            <w:tcW w:w="1250" w:type="pct"/>
          </w:tcPr>
          <w:p w:rsidR="00F65E51" w:rsidRPr="00DD1123" w:rsidRDefault="00F65E51" w:rsidP="00F65E51">
            <w:pPr>
              <w:pStyle w:val="TableBodyText"/>
            </w:pPr>
            <w:proofErr w:type="spellStart"/>
            <w:r w:rsidRPr="00DD1123">
              <w:t>AASB</w:t>
            </w:r>
            <w:proofErr w:type="spellEnd"/>
            <w:r w:rsidRPr="00DD1123">
              <w:t xml:space="preserve"> 2016-4 Amendments to Australian Accounting Standards – Recoverable Amount of Non-Cash-Generating Specialised Assets of Not-for-Profit Entities</w:t>
            </w:r>
          </w:p>
        </w:tc>
        <w:tc>
          <w:tcPr>
            <w:tcW w:w="1250" w:type="pct"/>
          </w:tcPr>
          <w:p w:rsidR="00F65E51" w:rsidRPr="00DD1123" w:rsidRDefault="00F65E51" w:rsidP="00F65E51">
            <w:pPr>
              <w:pStyle w:val="TableBodyText"/>
            </w:pPr>
            <w:r w:rsidRPr="00DD1123">
              <w:t xml:space="preserve">The Standard amends </w:t>
            </w:r>
            <w:proofErr w:type="spellStart"/>
            <w:r w:rsidRPr="00DD1123">
              <w:t>AASB</w:t>
            </w:r>
            <w:proofErr w:type="spellEnd"/>
            <w:r w:rsidRPr="00DD1123">
              <w:t xml:space="preserve"> 136 Impairment of Assets to remove references to using depreciated replacement cost (DRC) as a measure of value in use for not-for-profit entities.</w:t>
            </w:r>
          </w:p>
        </w:tc>
        <w:tc>
          <w:tcPr>
            <w:tcW w:w="1250" w:type="pct"/>
            <w:noWrap/>
          </w:tcPr>
          <w:p w:rsidR="00F65E51" w:rsidRPr="00DD1123" w:rsidRDefault="00F65E51" w:rsidP="00F65E51">
            <w:pPr>
              <w:pStyle w:val="TableBodyText"/>
            </w:pPr>
            <w:r w:rsidRPr="00DD1123">
              <w:t>1-Jan-17</w:t>
            </w:r>
          </w:p>
        </w:tc>
        <w:tc>
          <w:tcPr>
            <w:tcW w:w="1250" w:type="pct"/>
          </w:tcPr>
          <w:p w:rsidR="00F65E51" w:rsidRPr="00DD1123" w:rsidRDefault="00F65E51" w:rsidP="00F65E51">
            <w:pPr>
              <w:pStyle w:val="TableBodyText"/>
            </w:pPr>
            <w:r w:rsidRPr="00DD1123">
              <w:t>The assessment has indicated that there is minimal impact. Given the specialised nature and restrictions of public sector assets, the existing use is presumed to be the highest and best use (</w:t>
            </w:r>
            <w:proofErr w:type="spellStart"/>
            <w:r w:rsidRPr="00DD1123">
              <w:t>HBU</w:t>
            </w:r>
            <w:proofErr w:type="spellEnd"/>
            <w:r w:rsidRPr="00DD1123">
              <w:t xml:space="preserve">), hence current replacement cost under </w:t>
            </w:r>
            <w:proofErr w:type="spellStart"/>
            <w:r w:rsidRPr="00DD1123">
              <w:t>AASB</w:t>
            </w:r>
            <w:proofErr w:type="spellEnd"/>
            <w:r w:rsidRPr="00DD1123">
              <w:t xml:space="preserve"> 13 Fair Value Measurement is the same as the depreciated replacement cost concept under </w:t>
            </w:r>
            <w:proofErr w:type="spellStart"/>
            <w:r w:rsidRPr="00DD1123">
              <w:t>AASB</w:t>
            </w:r>
            <w:proofErr w:type="spellEnd"/>
            <w:r w:rsidRPr="00DD1123">
              <w:t xml:space="preserve"> 136.</w:t>
            </w:r>
          </w:p>
        </w:tc>
      </w:tr>
      <w:tr w:rsidR="00F65E51" w:rsidRPr="00DD1123" w:rsidTr="00525182">
        <w:trPr>
          <w:trHeight w:val="276"/>
        </w:trPr>
        <w:tc>
          <w:tcPr>
            <w:tcW w:w="1250" w:type="pct"/>
          </w:tcPr>
          <w:p w:rsidR="00F65E51" w:rsidRPr="00DD1123" w:rsidRDefault="00F65E51" w:rsidP="00F65E51">
            <w:pPr>
              <w:pStyle w:val="TableBodyText"/>
            </w:pPr>
            <w:proofErr w:type="spellStart"/>
            <w:r w:rsidRPr="00DD1123">
              <w:t>AASB</w:t>
            </w:r>
            <w:proofErr w:type="spellEnd"/>
            <w:r w:rsidRPr="00DD1123">
              <w:t xml:space="preserve"> 1058 Income of Not-for-Profit Entities</w:t>
            </w:r>
          </w:p>
        </w:tc>
        <w:tc>
          <w:tcPr>
            <w:tcW w:w="1250" w:type="pct"/>
          </w:tcPr>
          <w:p w:rsidR="00F65E51" w:rsidRPr="00DD1123" w:rsidRDefault="00F65E51" w:rsidP="00F65E51">
            <w:pPr>
              <w:pStyle w:val="TableBodyText"/>
            </w:pPr>
            <w:r w:rsidRPr="00DD1123">
              <w:t xml:space="preserve">This Standard replaces </w:t>
            </w:r>
            <w:proofErr w:type="spellStart"/>
            <w:r w:rsidRPr="00DD1123">
              <w:t>AASB</w:t>
            </w:r>
            <w:proofErr w:type="spellEnd"/>
            <w:r w:rsidRPr="00DD1123">
              <w:t xml:space="preserve"> 1004 Contributions and establishes revenue recognition principles for transactions where the consideration to acquire an asset is significantly less than fair value to enable to not-for-profit entity to further its objectives. </w:t>
            </w:r>
          </w:p>
        </w:tc>
        <w:tc>
          <w:tcPr>
            <w:tcW w:w="1250" w:type="pct"/>
            <w:noWrap/>
          </w:tcPr>
          <w:p w:rsidR="00F65E51" w:rsidRPr="00DD1123" w:rsidRDefault="00F65E51" w:rsidP="00F65E51">
            <w:pPr>
              <w:pStyle w:val="TableBodyText"/>
            </w:pPr>
            <w:r w:rsidRPr="00DD1123">
              <w:t>1-Jan-19</w:t>
            </w:r>
          </w:p>
        </w:tc>
        <w:tc>
          <w:tcPr>
            <w:tcW w:w="1250" w:type="pct"/>
          </w:tcPr>
          <w:p w:rsidR="00F65E51" w:rsidRPr="00DD1123" w:rsidRDefault="00F65E51" w:rsidP="00F65E51">
            <w:pPr>
              <w:pStyle w:val="TableBodyText"/>
            </w:pPr>
            <w:r w:rsidRPr="00DD1123">
              <w:t xml:space="preserve">The assessment has indicated that revenue from capital grants that are provided under an enforceable agreement that have sufficiently specific obligations, will now be deferred and recognised as performance obligations are satisfied. As a result, the timing recognition of revenue will change. </w:t>
            </w:r>
          </w:p>
        </w:tc>
      </w:tr>
    </w:tbl>
    <w:p w:rsidR="00525182" w:rsidRDefault="00525182" w:rsidP="00525182">
      <w:pPr>
        <w:pStyle w:val="BodyText"/>
      </w:pPr>
      <w:r>
        <w:t xml:space="preserve">In addition to the new standards and amendments above, the </w:t>
      </w:r>
      <w:proofErr w:type="spellStart"/>
      <w:r>
        <w:t>AASB</w:t>
      </w:r>
      <w:proofErr w:type="spellEnd"/>
      <w:r>
        <w:t xml:space="preserve"> has issued a list of other amending standards that are not effective for the 2016</w:t>
      </w:r>
      <w:r>
        <w:rPr>
          <w:rFonts w:ascii="Cambria Math" w:hAnsi="Cambria Math" w:cs="Cambria Math"/>
        </w:rPr>
        <w:t>‐</w:t>
      </w:r>
      <w:r>
        <w:t>17 reporting period (as</w:t>
      </w:r>
    </w:p>
    <w:p w:rsidR="00525182" w:rsidRDefault="00525182" w:rsidP="00525182">
      <w:pPr>
        <w:pStyle w:val="ListBullet"/>
      </w:pPr>
      <w:proofErr w:type="spellStart"/>
      <w:r>
        <w:t>AASB</w:t>
      </w:r>
      <w:proofErr w:type="spellEnd"/>
      <w:r>
        <w:t xml:space="preserve"> 2016</w:t>
      </w:r>
      <w:r>
        <w:rPr>
          <w:rFonts w:ascii="Cambria Math" w:hAnsi="Cambria Math" w:cs="Cambria Math"/>
        </w:rPr>
        <w:t>‐</w:t>
      </w:r>
      <w:r>
        <w:t xml:space="preserve">1 Amendments to Australian Accounting Standards </w:t>
      </w:r>
      <w:r>
        <w:rPr>
          <w:rFonts w:cs="Arial"/>
        </w:rPr>
        <w:t>–</w:t>
      </w:r>
      <w:r>
        <w:t xml:space="preserve"> Recognition of Deferred Tax Assets for Unrealised Losses [</w:t>
      </w:r>
      <w:proofErr w:type="spellStart"/>
      <w:r>
        <w:t>AASB</w:t>
      </w:r>
      <w:proofErr w:type="spellEnd"/>
      <w:r>
        <w:t xml:space="preserve"> 112]</w:t>
      </w:r>
    </w:p>
    <w:p w:rsidR="00525182" w:rsidRDefault="00525182" w:rsidP="00525182">
      <w:pPr>
        <w:pStyle w:val="ListBullet"/>
      </w:pPr>
      <w:proofErr w:type="spellStart"/>
      <w:r>
        <w:t>AASB</w:t>
      </w:r>
      <w:proofErr w:type="spellEnd"/>
      <w:r>
        <w:t xml:space="preserve"> 2016</w:t>
      </w:r>
      <w:r>
        <w:rPr>
          <w:rFonts w:ascii="Cambria Math" w:hAnsi="Cambria Math" w:cs="Cambria Math"/>
        </w:rPr>
        <w:t>‐</w:t>
      </w:r>
      <w:r>
        <w:t xml:space="preserve">2 Amendments to Australian Accounting Standards </w:t>
      </w:r>
      <w:r>
        <w:rPr>
          <w:rFonts w:cs="Arial"/>
        </w:rPr>
        <w:t>–</w:t>
      </w:r>
      <w:r>
        <w:t xml:space="preserve"> Disclosure Initiative: Amendments to </w:t>
      </w:r>
      <w:proofErr w:type="spellStart"/>
      <w:r>
        <w:t>AASB</w:t>
      </w:r>
      <w:proofErr w:type="spellEnd"/>
      <w:r>
        <w:t xml:space="preserve"> 107</w:t>
      </w:r>
    </w:p>
    <w:p w:rsidR="00525182" w:rsidRDefault="00525182" w:rsidP="00525182">
      <w:pPr>
        <w:pStyle w:val="ListBullet"/>
      </w:pPr>
      <w:proofErr w:type="spellStart"/>
      <w:r>
        <w:t>AASB</w:t>
      </w:r>
      <w:proofErr w:type="spellEnd"/>
      <w:r>
        <w:t xml:space="preserve"> 2016</w:t>
      </w:r>
      <w:r>
        <w:rPr>
          <w:rFonts w:ascii="Cambria Math" w:hAnsi="Cambria Math" w:cs="Cambria Math"/>
        </w:rPr>
        <w:t>‐</w:t>
      </w:r>
      <w:r>
        <w:t xml:space="preserve">5 Amendments to Australian Accounting Standards </w:t>
      </w:r>
      <w:r>
        <w:rPr>
          <w:rFonts w:cs="Arial"/>
        </w:rPr>
        <w:t>–</w:t>
      </w:r>
      <w:r>
        <w:t xml:space="preserve"> Classification and Measurements of Share</w:t>
      </w:r>
      <w:r>
        <w:rPr>
          <w:rFonts w:ascii="Cambria Math" w:hAnsi="Cambria Math" w:cs="Cambria Math"/>
        </w:rPr>
        <w:t>‐</w:t>
      </w:r>
      <w:r>
        <w:t>based Payment Transactions</w:t>
      </w:r>
    </w:p>
    <w:p w:rsidR="00525182" w:rsidRDefault="00525182" w:rsidP="00525182">
      <w:pPr>
        <w:pStyle w:val="ListBullet"/>
      </w:pPr>
      <w:proofErr w:type="spellStart"/>
      <w:r>
        <w:t>AASB</w:t>
      </w:r>
      <w:proofErr w:type="spellEnd"/>
      <w:r>
        <w:t xml:space="preserve"> 2016</w:t>
      </w:r>
      <w:r>
        <w:rPr>
          <w:rFonts w:ascii="Cambria Math" w:hAnsi="Cambria Math" w:cs="Cambria Math"/>
        </w:rPr>
        <w:t>‐</w:t>
      </w:r>
      <w:r>
        <w:t xml:space="preserve">6 Amendments to Australian Accounting Standards </w:t>
      </w:r>
      <w:r>
        <w:rPr>
          <w:rFonts w:cs="Arial"/>
        </w:rPr>
        <w:t>–</w:t>
      </w:r>
      <w:r>
        <w:t xml:space="preserve"> Applying </w:t>
      </w:r>
      <w:proofErr w:type="spellStart"/>
      <w:r>
        <w:t>AASB</w:t>
      </w:r>
      <w:proofErr w:type="spellEnd"/>
      <w:r>
        <w:t xml:space="preserve"> 9 Financial Instruments with </w:t>
      </w:r>
      <w:proofErr w:type="spellStart"/>
      <w:r>
        <w:t>AASB</w:t>
      </w:r>
      <w:proofErr w:type="spellEnd"/>
      <w:r>
        <w:t xml:space="preserve"> 4 Insurance Contracts</w:t>
      </w:r>
    </w:p>
    <w:p w:rsidR="00525182" w:rsidRDefault="00525182" w:rsidP="00525182">
      <w:pPr>
        <w:pStyle w:val="BodyText"/>
      </w:pPr>
      <w:r>
        <w:lastRenderedPageBreak/>
        <w:t>Notes:</w:t>
      </w:r>
    </w:p>
    <w:p w:rsidR="00525182" w:rsidRDefault="00525182" w:rsidP="00525182">
      <w:pPr>
        <w:pStyle w:val="ListNumber"/>
        <w:numPr>
          <w:ilvl w:val="0"/>
          <w:numId w:val="42"/>
        </w:numPr>
      </w:pPr>
      <w:r>
        <w:t xml:space="preserve">For the current year, given the number of consequential amendments to </w:t>
      </w:r>
      <w:proofErr w:type="spellStart"/>
      <w:r>
        <w:t>AASB</w:t>
      </w:r>
      <w:proofErr w:type="spellEnd"/>
      <w:r>
        <w:t xml:space="preserve"> 9 Financial Instruments and </w:t>
      </w:r>
      <w:proofErr w:type="spellStart"/>
      <w:r>
        <w:t>AASB</w:t>
      </w:r>
      <w:proofErr w:type="spellEnd"/>
      <w:r>
        <w:t xml:space="preserve"> 15 Revenue from Contracts with Customers, the standards/interpretations have been grouped together to provide a more relevant view of the upcoming changes.</w:t>
      </w:r>
    </w:p>
    <w:p w:rsidR="00525182" w:rsidRDefault="00525182" w:rsidP="00525182">
      <w:pPr>
        <w:pStyle w:val="Heading1"/>
      </w:pPr>
      <w:bookmarkStart w:id="73" w:name="_Toc497125498"/>
      <w:r w:rsidRPr="00525182">
        <w:lastRenderedPageBreak/>
        <w:t>Glossary</w:t>
      </w:r>
      <w:bookmarkEnd w:id="73"/>
      <w:r w:rsidRPr="00525182">
        <w:t xml:space="preserve"> </w:t>
      </w:r>
    </w:p>
    <w:p w:rsidR="00525182" w:rsidRDefault="00525182" w:rsidP="00525182">
      <w:pPr>
        <w:pStyle w:val="BodyText"/>
      </w:pPr>
      <w:r w:rsidRPr="00525182">
        <w:rPr>
          <w:rStyle w:val="Bold"/>
        </w:rPr>
        <w:t xml:space="preserve">Comprehensive result </w:t>
      </w:r>
      <w:r>
        <w:t>is the amount included in the operating statement representing total change in net worth other than transactions with owners as owners.</w:t>
      </w:r>
    </w:p>
    <w:p w:rsidR="00525182" w:rsidRDefault="00525182" w:rsidP="00525182">
      <w:pPr>
        <w:pStyle w:val="BodyText"/>
      </w:pPr>
      <w:r w:rsidRPr="00525182">
        <w:rPr>
          <w:rStyle w:val="Bold"/>
        </w:rPr>
        <w:t>Controlled item</w:t>
      </w:r>
      <w:r>
        <w:t xml:space="preserve"> generally refers to the capacity of CSV to benefit from that item in the pursuit of the entity’s objectives and to deny or regulate the access of others to that benefit.</w:t>
      </w:r>
    </w:p>
    <w:p w:rsidR="00525182" w:rsidRDefault="00525182" w:rsidP="00525182">
      <w:pPr>
        <w:pStyle w:val="BodyText"/>
      </w:pPr>
      <w:r w:rsidRPr="00525182">
        <w:rPr>
          <w:rStyle w:val="Bold"/>
        </w:rPr>
        <w:t>Current grant</w:t>
      </w:r>
      <w:r>
        <w:t>s are amounts payable or receivable for current purposes for which no economic benefits of equal value are receivable or payable in return.</w:t>
      </w:r>
    </w:p>
    <w:p w:rsidR="00525182" w:rsidRDefault="00525182" w:rsidP="00525182">
      <w:pPr>
        <w:pStyle w:val="BodyText"/>
      </w:pPr>
      <w:r w:rsidRPr="00525182">
        <w:rPr>
          <w:rStyle w:val="Bold"/>
        </w:rPr>
        <w:t>Community Service Obligation (</w:t>
      </w:r>
      <w:proofErr w:type="spellStart"/>
      <w:r w:rsidRPr="00525182">
        <w:rPr>
          <w:rStyle w:val="Bold"/>
        </w:rPr>
        <w:t>CSO</w:t>
      </w:r>
      <w:proofErr w:type="spellEnd"/>
      <w:r w:rsidRPr="00525182">
        <w:rPr>
          <w:rStyle w:val="Bold"/>
        </w:rPr>
        <w:t>) i</w:t>
      </w:r>
      <w:r>
        <w:t>s an allowance made to reflect the difference between unrestricted freehold land and assets held by the Public Sector which may be affected by social and economic restraints. This may arise because the land is Crown land and in a public use zone or it is considered an iconic property that would be difficult to sell.</w:t>
      </w:r>
    </w:p>
    <w:p w:rsidR="00525182" w:rsidRDefault="00525182" w:rsidP="00525182">
      <w:pPr>
        <w:pStyle w:val="BodyText"/>
      </w:pPr>
      <w:r w:rsidRPr="00525182">
        <w:rPr>
          <w:rStyle w:val="Bold"/>
        </w:rPr>
        <w:t>Depreciation</w:t>
      </w:r>
      <w:r>
        <w:t xml:space="preserve"> is an expense that arises from the consumption through wear or time of a produced physical or intangible asset. This expense is classified as a ‘transaction’ and so reduces the ‘net result from transaction’.</w:t>
      </w:r>
    </w:p>
    <w:p w:rsidR="00525182" w:rsidRPr="00525182" w:rsidRDefault="00525182" w:rsidP="00525182">
      <w:pPr>
        <w:pStyle w:val="BodyText"/>
      </w:pPr>
      <w:r w:rsidRPr="00525182">
        <w:rPr>
          <w:rStyle w:val="Bold"/>
        </w:rPr>
        <w:t>Effective interest method</w:t>
      </w:r>
      <w:r w:rsidRPr="00525182">
        <w:t xml:space="preserve"> is the method used to calculate the amortised cost of a financial asset and of allocating interest income over the relevant period. The effective interest rate is the rate that exactly discounts estimated future cash receipts through the expected life of the financial asset or, where appropriate, a shorter period.</w:t>
      </w:r>
    </w:p>
    <w:p w:rsidR="00525182" w:rsidRDefault="00525182" w:rsidP="00525182">
      <w:pPr>
        <w:pStyle w:val="BodyText"/>
      </w:pPr>
      <w:r w:rsidRPr="00525182">
        <w:rPr>
          <w:rStyle w:val="Bold"/>
        </w:rPr>
        <w:t>Employee benefits expenses</w:t>
      </w:r>
      <w:r>
        <w:t xml:space="preserve"> include all costs related to employment including wages and salaries, fringe benefits tax, leave entitlements, redundancy payments, defined benefits superannuation plans, and defined contribution superannuation plans.</w:t>
      </w:r>
    </w:p>
    <w:p w:rsidR="00525182" w:rsidRDefault="00525182" w:rsidP="00525182">
      <w:pPr>
        <w:pStyle w:val="BodyText"/>
      </w:pPr>
      <w:r w:rsidRPr="00525182">
        <w:rPr>
          <w:rStyle w:val="Bold"/>
        </w:rPr>
        <w:t>Ex</w:t>
      </w:r>
      <w:r w:rsidRPr="00525182">
        <w:rPr>
          <w:rStyle w:val="Bold"/>
          <w:rFonts w:ascii="Cambria Math" w:hAnsi="Cambria Math" w:cs="Cambria Math"/>
        </w:rPr>
        <w:t>‐</w:t>
      </w:r>
      <w:r w:rsidRPr="00525182">
        <w:rPr>
          <w:rStyle w:val="Bold"/>
        </w:rPr>
        <w:t>gratia expenses</w:t>
      </w:r>
      <w:r>
        <w:t xml:space="preserve"> mean the voluntary payment of money or other non</w:t>
      </w:r>
      <w:r>
        <w:rPr>
          <w:rFonts w:ascii="Cambria Math" w:hAnsi="Cambria Math" w:cs="Cambria Math"/>
        </w:rPr>
        <w:t>‐</w:t>
      </w:r>
      <w:r>
        <w:t>monetary benefit (e.g. a write</w:t>
      </w:r>
      <w:r>
        <w:rPr>
          <w:rFonts w:ascii="Cambria Math" w:hAnsi="Cambria Math" w:cs="Cambria Math"/>
        </w:rPr>
        <w:t>‐</w:t>
      </w:r>
      <w:r>
        <w:t>off) that is not made either to acquire goods, services or other benefits for the entity or to meet a legal liability, or to settle or resolve a possible legal liability or claim against the entity.</w:t>
      </w:r>
    </w:p>
    <w:p w:rsidR="00525182" w:rsidRDefault="00525182" w:rsidP="00525182">
      <w:pPr>
        <w:pStyle w:val="BodyText"/>
      </w:pPr>
      <w:r w:rsidRPr="00525182">
        <w:rPr>
          <w:rStyle w:val="Bold"/>
        </w:rPr>
        <w:t>Financial asset</w:t>
      </w:r>
      <w:r>
        <w:t xml:space="preserve"> is any asset that is:</w:t>
      </w:r>
    </w:p>
    <w:p w:rsidR="00525182" w:rsidRDefault="00525182" w:rsidP="00525182">
      <w:pPr>
        <w:pStyle w:val="ListAlpha"/>
        <w:numPr>
          <w:ilvl w:val="0"/>
          <w:numId w:val="44"/>
        </w:numPr>
      </w:pPr>
      <w:r>
        <w:t>cash;</w:t>
      </w:r>
    </w:p>
    <w:p w:rsidR="00525182" w:rsidRDefault="00525182" w:rsidP="00525182">
      <w:pPr>
        <w:pStyle w:val="ListAlpha"/>
      </w:pPr>
      <w:r>
        <w:t>an equity instrument of another entity;</w:t>
      </w:r>
    </w:p>
    <w:p w:rsidR="00525182" w:rsidRDefault="00525182" w:rsidP="00525182">
      <w:pPr>
        <w:pStyle w:val="ListAlpha"/>
      </w:pPr>
      <w:r>
        <w:t>a contractual right:</w:t>
      </w:r>
    </w:p>
    <w:p w:rsidR="00525182" w:rsidRDefault="00525182" w:rsidP="00525182">
      <w:pPr>
        <w:pStyle w:val="ListBullet2"/>
      </w:pPr>
      <w:r>
        <w:t>to receive cash or another financial asset from another entity; or</w:t>
      </w:r>
    </w:p>
    <w:p w:rsidR="00525182" w:rsidRDefault="00525182" w:rsidP="00525182">
      <w:pPr>
        <w:pStyle w:val="ListBullet2"/>
      </w:pPr>
      <w:r>
        <w:t>to exchange financial assets or financial liabilities with another entity under conditions that are potentially favourable to the entity; or</w:t>
      </w:r>
    </w:p>
    <w:p w:rsidR="00525182" w:rsidRDefault="00525182" w:rsidP="00525182">
      <w:pPr>
        <w:pStyle w:val="ListAlpha"/>
      </w:pPr>
      <w:r>
        <w:t>a contract that will or may be settled in the entity’s own equity instruments and is:</w:t>
      </w:r>
    </w:p>
    <w:p w:rsidR="00525182" w:rsidRDefault="00525182" w:rsidP="00525182">
      <w:pPr>
        <w:pStyle w:val="ListBullet2"/>
      </w:pPr>
      <w:r>
        <w:t>a non</w:t>
      </w:r>
      <w:r>
        <w:rPr>
          <w:rFonts w:ascii="Cambria Math" w:hAnsi="Cambria Math" w:cs="Cambria Math"/>
        </w:rPr>
        <w:t>‐</w:t>
      </w:r>
      <w:r>
        <w:t>derivative for which the entity is or may be obliged to receive a variable number of the entity</w:t>
      </w:r>
      <w:r>
        <w:rPr>
          <w:rFonts w:cs="Arial"/>
        </w:rPr>
        <w:t>’</w:t>
      </w:r>
      <w:r>
        <w:t>s own equity instruments; or</w:t>
      </w:r>
    </w:p>
    <w:p w:rsidR="00525182" w:rsidRDefault="00525182" w:rsidP="00525182">
      <w:pPr>
        <w:pStyle w:val="ListBullet2"/>
      </w:pPr>
      <w:proofErr w:type="gramStart"/>
      <w:r>
        <w:t>a</w:t>
      </w:r>
      <w:proofErr w:type="gramEnd"/>
      <w:r>
        <w:t xml:space="preserve"> derivative that will or may be settled other than by the exchange of a fixed amount of cash or another financial asset for a fixed number of the entity’s own equity instruments.</w:t>
      </w:r>
    </w:p>
    <w:p w:rsidR="00525182" w:rsidRDefault="00525182" w:rsidP="00525182">
      <w:pPr>
        <w:pStyle w:val="BodyText"/>
      </w:pPr>
      <w:r w:rsidRPr="00525182">
        <w:rPr>
          <w:rStyle w:val="Bold"/>
        </w:rPr>
        <w:t xml:space="preserve">Financial instrument </w:t>
      </w:r>
      <w:r>
        <w:t>is any contract that gives rise to a financial asset of one entity and a financial liability or equity instrument of another entity.</w:t>
      </w:r>
    </w:p>
    <w:p w:rsidR="00525182" w:rsidRDefault="00525182" w:rsidP="00525182">
      <w:pPr>
        <w:pStyle w:val="BodyText"/>
        <w:keepNext/>
      </w:pPr>
      <w:r w:rsidRPr="00525182">
        <w:rPr>
          <w:rStyle w:val="Bold"/>
        </w:rPr>
        <w:lastRenderedPageBreak/>
        <w:t xml:space="preserve">Financial liability </w:t>
      </w:r>
      <w:r>
        <w:t>is any liability that is:</w:t>
      </w:r>
    </w:p>
    <w:p w:rsidR="00525182" w:rsidRDefault="00525182" w:rsidP="00525182">
      <w:pPr>
        <w:pStyle w:val="ListAlpha"/>
        <w:keepNext/>
        <w:numPr>
          <w:ilvl w:val="0"/>
          <w:numId w:val="45"/>
        </w:numPr>
      </w:pPr>
      <w:r>
        <w:t>a contractual obligation:</w:t>
      </w:r>
    </w:p>
    <w:p w:rsidR="00525182" w:rsidRDefault="00525182" w:rsidP="00525182">
      <w:pPr>
        <w:pStyle w:val="ListBullet2"/>
      </w:pPr>
      <w:r>
        <w:t>to deliver cash or another financial asset to another entity; or</w:t>
      </w:r>
    </w:p>
    <w:p w:rsidR="00525182" w:rsidRDefault="00525182" w:rsidP="00525182">
      <w:pPr>
        <w:pStyle w:val="ListBullet2"/>
      </w:pPr>
      <w:r>
        <w:t>to exchange financial assets or financial liabilities with another entity under conditions that are potentially unfavourable to the entity; or</w:t>
      </w:r>
    </w:p>
    <w:p w:rsidR="00525182" w:rsidRDefault="00525182" w:rsidP="00525182">
      <w:pPr>
        <w:pStyle w:val="ListAlpha"/>
      </w:pPr>
      <w:r>
        <w:t>a contract that will or may be settled in the entity’s own equity instruments and is:</w:t>
      </w:r>
    </w:p>
    <w:p w:rsidR="00525182" w:rsidRDefault="00525182" w:rsidP="00525182">
      <w:pPr>
        <w:pStyle w:val="ListBullet2"/>
      </w:pPr>
      <w:r>
        <w:t xml:space="preserve">a </w:t>
      </w:r>
      <w:proofErr w:type="spellStart"/>
      <w:r>
        <w:t>non derivative</w:t>
      </w:r>
      <w:proofErr w:type="spellEnd"/>
      <w:r>
        <w:t xml:space="preserve"> for which the entity is or may be obliged to deliver a variable number of the entity</w:t>
      </w:r>
      <w:r>
        <w:rPr>
          <w:rFonts w:cs="Arial"/>
        </w:rPr>
        <w:t>’</w:t>
      </w:r>
      <w:r>
        <w:t>s own equity instruments; or</w:t>
      </w:r>
    </w:p>
    <w:p w:rsidR="00525182" w:rsidRDefault="00525182" w:rsidP="00525182">
      <w:pPr>
        <w:pStyle w:val="ListBullet2"/>
      </w:pPr>
      <w:proofErr w:type="gramStart"/>
      <w:r>
        <w:t>a</w:t>
      </w:r>
      <w:proofErr w:type="gramEnd"/>
      <w:r>
        <w:t xml:space="preserve"> derivative that will or may be settled other than by the exchange of a fixed amount of cash or another financial asset for a fixed number of the entity’s own equity instruments. For this purpose, the entity’s own equity instruments do not include instruments that are themselves contracts for the future receipt or delivery of the entity’s own equity instruments.</w:t>
      </w:r>
    </w:p>
    <w:p w:rsidR="00525182" w:rsidRDefault="00525182" w:rsidP="00525182">
      <w:pPr>
        <w:pStyle w:val="BodyText"/>
      </w:pPr>
      <w:r w:rsidRPr="00525182">
        <w:rPr>
          <w:rStyle w:val="Bold"/>
        </w:rPr>
        <w:t xml:space="preserve">Financial statements </w:t>
      </w:r>
      <w:r>
        <w:t>in this report comprises:</w:t>
      </w:r>
    </w:p>
    <w:p w:rsidR="00525182" w:rsidRDefault="00525182" w:rsidP="00525182">
      <w:pPr>
        <w:pStyle w:val="ListAlpha"/>
        <w:numPr>
          <w:ilvl w:val="0"/>
          <w:numId w:val="46"/>
        </w:numPr>
      </w:pPr>
      <w:r>
        <w:t>a balance sheet as at the end of the period;</w:t>
      </w:r>
    </w:p>
    <w:p w:rsidR="00525182" w:rsidRDefault="00525182" w:rsidP="00525182">
      <w:pPr>
        <w:pStyle w:val="ListAlpha"/>
      </w:pPr>
      <w:r>
        <w:t>a comprehensive operating statement for the period;</w:t>
      </w:r>
    </w:p>
    <w:p w:rsidR="00525182" w:rsidRDefault="00525182" w:rsidP="00525182">
      <w:pPr>
        <w:pStyle w:val="ListAlpha"/>
      </w:pPr>
      <w:r>
        <w:t>a statement of changes in equity for the period;</w:t>
      </w:r>
    </w:p>
    <w:p w:rsidR="00525182" w:rsidRDefault="00525182" w:rsidP="00525182">
      <w:pPr>
        <w:pStyle w:val="ListAlpha"/>
      </w:pPr>
      <w:r>
        <w:t>a cash flow statement for the period;</w:t>
      </w:r>
    </w:p>
    <w:p w:rsidR="00525182" w:rsidRDefault="00525182" w:rsidP="00525182">
      <w:pPr>
        <w:pStyle w:val="ListAlpha"/>
      </w:pPr>
      <w:r>
        <w:t>notes, comprising a summary of significant accounting policies and other explanatory information;</w:t>
      </w:r>
    </w:p>
    <w:p w:rsidR="00525182" w:rsidRDefault="00525182" w:rsidP="00525182">
      <w:pPr>
        <w:pStyle w:val="ListAlpha"/>
      </w:pPr>
      <w:r>
        <w:t xml:space="preserve">comparative information in respect of the preceding period as specified in paragraph 38 of </w:t>
      </w:r>
      <w:proofErr w:type="spellStart"/>
      <w:r>
        <w:t>AASB</w:t>
      </w:r>
      <w:proofErr w:type="spellEnd"/>
      <w:r>
        <w:t xml:space="preserve"> 101 Presentation of Financial Statements; and</w:t>
      </w:r>
    </w:p>
    <w:p w:rsidR="00525182" w:rsidRDefault="00525182" w:rsidP="00525182">
      <w:pPr>
        <w:pStyle w:val="ListAlpha"/>
      </w:pPr>
      <w:r>
        <w:t xml:space="preserve">a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w:t>
      </w:r>
      <w:proofErr w:type="spellStart"/>
      <w:r>
        <w:t>AASB</w:t>
      </w:r>
      <w:proofErr w:type="spellEnd"/>
      <w:r>
        <w:t xml:space="preserve"> 101.</w:t>
      </w:r>
    </w:p>
    <w:p w:rsidR="00525182" w:rsidRDefault="00525182" w:rsidP="00525182">
      <w:pPr>
        <w:pStyle w:val="BodyText"/>
      </w:pPr>
      <w:r w:rsidRPr="00525182">
        <w:rPr>
          <w:rStyle w:val="Bold"/>
        </w:rPr>
        <w:t>Grant expenses</w:t>
      </w:r>
      <w:r>
        <w:t xml:space="preserve"> and other transfers are transactions in which one unit provides goods, services, assets (or extinguishes a liability) or labour to another unit without receiving approximately equal value in return. Grants can either be operating or capital in nature.</w:t>
      </w:r>
    </w:p>
    <w:p w:rsidR="00525182" w:rsidRDefault="00525182" w:rsidP="00525182">
      <w:pPr>
        <w:pStyle w:val="BodyText"/>
      </w:pPr>
      <w:r>
        <w:t xml:space="preserve">While grants to governments may result in the provision of some goods or services to the transferor, they do not give the transferor a claim to receive directly benefits of approximately equal value. For this reason, grants are referred to by the </w:t>
      </w:r>
      <w:proofErr w:type="spellStart"/>
      <w:r>
        <w:t>AASB</w:t>
      </w:r>
      <w:proofErr w:type="spellEnd"/>
      <w:r>
        <w:t xml:space="preserve"> as involuntary transfers and are termed non reciprocal transfers. Receipt and sacrifice of approximately equal value may occur, but only by coincidence. For example, governments are not obliged to provide commensurate benefits, in the form of goods or services, to particular taxpayers in return for their taxes.</w:t>
      </w:r>
    </w:p>
    <w:p w:rsidR="00525182" w:rsidRDefault="00525182" w:rsidP="00525182">
      <w:pPr>
        <w:pStyle w:val="BodyText"/>
      </w:pPr>
      <w:r>
        <w:t>Grants can be paid as general purpose grants, which refer to grants that are not subject to conditions regarding their use. Alternatively, they may be paid as specific purpose grants, which are paid for a particular purpose and/or have conditions attached regarding their use.</w:t>
      </w:r>
    </w:p>
    <w:p w:rsidR="00525182" w:rsidRDefault="00525182" w:rsidP="00525182">
      <w:pPr>
        <w:pStyle w:val="BodyText"/>
      </w:pPr>
      <w:r w:rsidRPr="00525182">
        <w:rPr>
          <w:rStyle w:val="Bold"/>
        </w:rPr>
        <w:t>General government sector</w:t>
      </w:r>
      <w:r>
        <w:t xml:space="preserve"> comprises all government departments, offices and other bodies engaged in providing services free of charge or at prices significantly below their cost of production. General government services include those that are mainly non</w:t>
      </w:r>
      <w:r>
        <w:rPr>
          <w:rFonts w:ascii="Cambria Math" w:hAnsi="Cambria Math" w:cs="Cambria Math"/>
        </w:rPr>
        <w:t>‐</w:t>
      </w:r>
      <w:r>
        <w:t xml:space="preserve"> market in nature, those that are largely for collective consumption by the community and those that involve the transfer or redistribution of income. These services are financed mainly through taxes, or other compulsory levies and user charges.</w:t>
      </w:r>
    </w:p>
    <w:p w:rsidR="00525182" w:rsidRDefault="00525182" w:rsidP="00525182">
      <w:pPr>
        <w:pStyle w:val="BodyText"/>
      </w:pPr>
      <w:r w:rsidRPr="00525182">
        <w:rPr>
          <w:rStyle w:val="Bold"/>
        </w:rPr>
        <w:lastRenderedPageBreak/>
        <w:t>Grants for on</w:t>
      </w:r>
      <w:r w:rsidRPr="00525182">
        <w:rPr>
          <w:rStyle w:val="Bold"/>
          <w:rFonts w:ascii="Cambria Math" w:hAnsi="Cambria Math" w:cs="Cambria Math"/>
        </w:rPr>
        <w:t>‐</w:t>
      </w:r>
      <w:r w:rsidRPr="00525182">
        <w:rPr>
          <w:rStyle w:val="Bold"/>
        </w:rPr>
        <w:t>passing</w:t>
      </w:r>
      <w:r>
        <w:t xml:space="preserve"> are grants paid to one institutional sector (e.g. a State general government entity) to be passed on to another institutional sector (e.g. local government or a private non</w:t>
      </w:r>
      <w:r>
        <w:rPr>
          <w:rFonts w:ascii="Cambria Math" w:hAnsi="Cambria Math" w:cs="Cambria Math"/>
        </w:rPr>
        <w:t>‐</w:t>
      </w:r>
      <w:r>
        <w:t>profit institution).</w:t>
      </w:r>
    </w:p>
    <w:p w:rsidR="00525182" w:rsidRDefault="00525182" w:rsidP="00525182">
      <w:pPr>
        <w:pStyle w:val="BodyText"/>
      </w:pPr>
      <w:r w:rsidRPr="00525182">
        <w:rPr>
          <w:rStyle w:val="Bold"/>
        </w:rPr>
        <w:t>Interest expense</w:t>
      </w:r>
      <w:r>
        <w:t xml:space="preserve"> represents costs incurred in connection with borrowings. It includes interest on advances, loans, overdrafts, bonds and bills, deposits, interest components of finance lease repayments, and amortisation of discounts or premiums in relation to borrowings.</w:t>
      </w:r>
    </w:p>
    <w:p w:rsidR="00525182" w:rsidRDefault="00525182" w:rsidP="00525182">
      <w:pPr>
        <w:pStyle w:val="BodyText"/>
      </w:pPr>
      <w:r w:rsidRPr="00525182">
        <w:rPr>
          <w:rStyle w:val="Bold"/>
        </w:rPr>
        <w:t>Leases</w:t>
      </w:r>
      <w:r>
        <w:t xml:space="preserve"> are rights to use an asset for an agreed period of time in exchange for payment. Leases are classified at their inception as either operating or finance leases based on the economic substance of the agreement so as to reflect the risks and rewards incidental to ownership. Leases of infrastructure, property, plant and equipment are classified as finance leases whenever the terms of the lease transfer substantially all the risks and rewards of ownership from the lessor to the lessee. All other leases are classified as operating leases.</w:t>
      </w:r>
    </w:p>
    <w:p w:rsidR="00525182" w:rsidRDefault="00525182" w:rsidP="00525182">
      <w:pPr>
        <w:pStyle w:val="BodyText"/>
      </w:pPr>
      <w:r w:rsidRPr="00525182">
        <w:rPr>
          <w:rStyle w:val="Bold"/>
        </w:rPr>
        <w:t>Net financial worth</w:t>
      </w:r>
      <w:r>
        <w:t xml:space="preserve"> is equal to financial assets minus liabilities. It is a broader measure than net debt as it incorporates provisions made (such as superannuation, but excluding depreciation and bad debts) as well as holdings of equity. Net financial worth includes all classes of financial assets and liabilities, only some of which are included in net debt.</w:t>
      </w:r>
    </w:p>
    <w:p w:rsidR="00525182" w:rsidRDefault="00525182" w:rsidP="00525182">
      <w:pPr>
        <w:pStyle w:val="BodyText"/>
      </w:pPr>
      <w:r w:rsidRPr="00525182">
        <w:rPr>
          <w:rStyle w:val="Bold"/>
        </w:rPr>
        <w:t>Net operating balance</w:t>
      </w:r>
      <w:r>
        <w:t xml:space="preserve"> or </w:t>
      </w:r>
      <w:r w:rsidRPr="00525182">
        <w:rPr>
          <w:rStyle w:val="Bold"/>
        </w:rPr>
        <w:t>net result from transactions</w:t>
      </w:r>
      <w:r>
        <w:t xml:space="preserve">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rsidR="00525182" w:rsidRDefault="00525182" w:rsidP="00525182">
      <w:pPr>
        <w:pStyle w:val="BodyText"/>
      </w:pPr>
      <w:r w:rsidRPr="00525182">
        <w:rPr>
          <w:rStyle w:val="Bold"/>
        </w:rPr>
        <w:t>Net</w:t>
      </w:r>
      <w:r>
        <w:t xml:space="preserve"> </w:t>
      </w:r>
      <w:r w:rsidRPr="00525182">
        <w:rPr>
          <w:rStyle w:val="Bold"/>
        </w:rPr>
        <w:t>result</w:t>
      </w:r>
      <w:r>
        <w:t xml:space="preserve"> is a measure of financial performance of the operations for the period. It is the net result of items of revenue, gains and expenses (including losses) recognised for the period, excluding those classified as ‘other non</w:t>
      </w:r>
      <w:r>
        <w:rPr>
          <w:rFonts w:ascii="Cambria Math" w:hAnsi="Cambria Math" w:cs="Cambria Math"/>
        </w:rPr>
        <w:t>‐</w:t>
      </w:r>
      <w:r>
        <w:t>owner movements in equity</w:t>
      </w:r>
      <w:r>
        <w:rPr>
          <w:rFonts w:cs="Arial"/>
        </w:rPr>
        <w:t>’</w:t>
      </w:r>
      <w:r>
        <w:t>.</w:t>
      </w:r>
    </w:p>
    <w:p w:rsidR="00525182" w:rsidRDefault="00525182" w:rsidP="00525182">
      <w:pPr>
        <w:pStyle w:val="BodyText"/>
      </w:pPr>
      <w:r w:rsidRPr="00525182">
        <w:rPr>
          <w:rStyle w:val="Bold"/>
        </w:rPr>
        <w:t>Net worth</w:t>
      </w:r>
      <w:r>
        <w:t xml:space="preserve"> is calculated as assets less liabilities, which is an economic measure of wealth.</w:t>
      </w:r>
    </w:p>
    <w:p w:rsidR="00525182" w:rsidRDefault="00525182" w:rsidP="00525182">
      <w:pPr>
        <w:pStyle w:val="BodyText"/>
      </w:pPr>
      <w:r w:rsidRPr="00525182">
        <w:rPr>
          <w:rStyle w:val="Bold"/>
        </w:rPr>
        <w:t>Non</w:t>
      </w:r>
      <w:r w:rsidRPr="00525182">
        <w:rPr>
          <w:rStyle w:val="Bold"/>
          <w:rFonts w:ascii="Cambria Math" w:hAnsi="Cambria Math" w:cs="Cambria Math"/>
        </w:rPr>
        <w:t>‐</w:t>
      </w:r>
      <w:r w:rsidRPr="00525182">
        <w:rPr>
          <w:rStyle w:val="Bold"/>
        </w:rPr>
        <w:t>financial assets</w:t>
      </w:r>
      <w:r>
        <w:t xml:space="preserve"> are all assets that are not financial assets. It includes land, buildings, plant and equipment, cultural and heritage assets and intangibles.</w:t>
      </w:r>
    </w:p>
    <w:p w:rsidR="00525182" w:rsidRDefault="00525182" w:rsidP="00525182">
      <w:pPr>
        <w:pStyle w:val="BodyText"/>
      </w:pPr>
      <w:r w:rsidRPr="00525182">
        <w:rPr>
          <w:rStyle w:val="Bold"/>
        </w:rPr>
        <w:t>Operating result</w:t>
      </w:r>
      <w:r>
        <w:t xml:space="preserve"> is a measure of financial performance of the operations for the period. It is the net result of items of revenue, gains and expenses (including losses) recognised for the period, excluding those that are classified as ‘other non</w:t>
      </w:r>
      <w:r>
        <w:rPr>
          <w:rFonts w:ascii="Cambria Math" w:hAnsi="Cambria Math" w:cs="Cambria Math"/>
        </w:rPr>
        <w:t>‐</w:t>
      </w:r>
      <w:r>
        <w:t>owner movements in equity’. Refer also ‘net result’.</w:t>
      </w:r>
    </w:p>
    <w:p w:rsidR="00525182" w:rsidRDefault="00525182" w:rsidP="00525182">
      <w:pPr>
        <w:pStyle w:val="BodyText"/>
      </w:pPr>
      <w:r w:rsidRPr="00525182">
        <w:rPr>
          <w:rStyle w:val="Bold"/>
        </w:rPr>
        <w:t>Other economic flows included in net result</w:t>
      </w:r>
      <w:r>
        <w:t xml:space="preserve"> are changes in the volume or value of an asset or liability that do not result from transactions. In simple terms, other economic flows are changes arising from market </w:t>
      </w:r>
      <w:proofErr w:type="spellStart"/>
      <w:r>
        <w:t>remeasurements</w:t>
      </w:r>
      <w:proofErr w:type="spellEnd"/>
      <w:r>
        <w:t>. They include gains and losses from disposals, revaluations and impairments of non</w:t>
      </w:r>
      <w:r>
        <w:rPr>
          <w:rFonts w:ascii="Cambria Math" w:hAnsi="Cambria Math" w:cs="Cambria Math"/>
        </w:rPr>
        <w:t>‐</w:t>
      </w:r>
      <w:r>
        <w:t>current physical and intangible assets; fair value changes of financial instruments and agricultural assets; and depletion of natural assets (non</w:t>
      </w:r>
      <w:r>
        <w:rPr>
          <w:rFonts w:ascii="Cambria Math" w:hAnsi="Cambria Math" w:cs="Cambria Math"/>
        </w:rPr>
        <w:t>‐</w:t>
      </w:r>
      <w:r>
        <w:t>produced) from their use or removal.</w:t>
      </w:r>
    </w:p>
    <w:p w:rsidR="00525182" w:rsidRDefault="00525182" w:rsidP="00525182">
      <w:pPr>
        <w:pStyle w:val="BodyText"/>
      </w:pPr>
      <w:r w:rsidRPr="00525182">
        <w:rPr>
          <w:rStyle w:val="Bold"/>
        </w:rPr>
        <w:t>Other economic flows – other comprehensive income</w:t>
      </w:r>
      <w:r>
        <w:t xml:space="preserve"> comprises items (including reclassification adjustments) that are not recognised in net result as required or permitted by other Australian Accounting Standards. They include changes in physical asset revaluation surplus and gains and losses on remeasuring available</w:t>
      </w:r>
      <w:r>
        <w:rPr>
          <w:rFonts w:ascii="Cambria Math" w:hAnsi="Cambria Math" w:cs="Cambria Math"/>
        </w:rPr>
        <w:t>‐</w:t>
      </w:r>
      <w:r>
        <w:t>for</w:t>
      </w:r>
      <w:r>
        <w:rPr>
          <w:rFonts w:ascii="Cambria Math" w:hAnsi="Cambria Math" w:cs="Cambria Math"/>
        </w:rPr>
        <w:t>‐</w:t>
      </w:r>
      <w:r>
        <w:t>sale financial assets.</w:t>
      </w:r>
    </w:p>
    <w:p w:rsidR="00525182" w:rsidRDefault="00525182" w:rsidP="00525182">
      <w:pPr>
        <w:pStyle w:val="BodyText"/>
      </w:pPr>
      <w:r w:rsidRPr="00525182">
        <w:rPr>
          <w:rStyle w:val="Bold"/>
        </w:rPr>
        <w:t>Payables</w:t>
      </w:r>
      <w:r>
        <w:t xml:space="preserve"> includes short and long</w:t>
      </w:r>
      <w:r>
        <w:rPr>
          <w:rFonts w:ascii="Cambria Math" w:hAnsi="Cambria Math" w:cs="Cambria Math"/>
        </w:rPr>
        <w:t>‐</w:t>
      </w:r>
      <w:r>
        <w:t>term trade debt and accounts payable, grants, taxes and interest payable.</w:t>
      </w:r>
    </w:p>
    <w:p w:rsidR="00525182" w:rsidRDefault="00525182" w:rsidP="00525182">
      <w:pPr>
        <w:pStyle w:val="BodyText"/>
      </w:pPr>
      <w:r w:rsidRPr="00525182">
        <w:rPr>
          <w:rStyle w:val="Bold"/>
        </w:rPr>
        <w:t>Produced assets</w:t>
      </w:r>
      <w:r>
        <w:t xml:space="preserve"> include buildings, plant and equipment, inventories, cultivated assets and certain intangible assets. Intangible produced assets may include computer software and research and development costs (not including the start</w:t>
      </w:r>
      <w:r>
        <w:rPr>
          <w:rFonts w:ascii="Cambria Math" w:hAnsi="Cambria Math" w:cs="Cambria Math"/>
        </w:rPr>
        <w:t>‐</w:t>
      </w:r>
      <w:r>
        <w:t>up costs associated with capital projects).</w:t>
      </w:r>
    </w:p>
    <w:p w:rsidR="00525182" w:rsidRDefault="00525182" w:rsidP="00525182">
      <w:pPr>
        <w:pStyle w:val="BodyText"/>
      </w:pPr>
      <w:r w:rsidRPr="00525182">
        <w:rPr>
          <w:rStyle w:val="Bold"/>
        </w:rPr>
        <w:lastRenderedPageBreak/>
        <w:t>Receivables</w:t>
      </w:r>
      <w:r>
        <w:t xml:space="preserve"> include amounts owing from government through appropriation receivable, short and long</w:t>
      </w:r>
      <w:r>
        <w:rPr>
          <w:rFonts w:ascii="Cambria Math" w:hAnsi="Cambria Math" w:cs="Cambria Math"/>
        </w:rPr>
        <w:t>‐</w:t>
      </w:r>
      <w:r>
        <w:t>term trade credit and accounts receivable, accrued investment income, grants, taxes and interest receivable.</w:t>
      </w:r>
    </w:p>
    <w:p w:rsidR="00525182" w:rsidRDefault="00525182" w:rsidP="00525182">
      <w:pPr>
        <w:pStyle w:val="BodyText"/>
      </w:pPr>
      <w:r w:rsidRPr="00525182">
        <w:rPr>
          <w:rStyle w:val="Bold"/>
        </w:rPr>
        <w:t>Sales of goods and services</w:t>
      </w:r>
      <w:r>
        <w:t xml:space="preserve"> refers to income from the direct provision of goods and services and includes fees and charges for services rendered, sales of goods and services, fees from regulatory services and work done as an agent for private enterprises. It also includes rental income under operating leases and on produced assets, such as buildings and entertainment, but excludes rent income from the use of non</w:t>
      </w:r>
      <w:r>
        <w:rPr>
          <w:rFonts w:ascii="Cambria Math" w:hAnsi="Cambria Math" w:cs="Cambria Math"/>
        </w:rPr>
        <w:t>‐</w:t>
      </w:r>
      <w:r>
        <w:t>produced assets, such as land. User charges includes sale of goods and services income.</w:t>
      </w:r>
    </w:p>
    <w:p w:rsidR="00525182" w:rsidRDefault="00525182" w:rsidP="00525182">
      <w:pPr>
        <w:pStyle w:val="BodyText"/>
      </w:pPr>
      <w:r w:rsidRPr="00525182">
        <w:rPr>
          <w:rStyle w:val="Bold"/>
        </w:rPr>
        <w:t>Supplies and services</w:t>
      </w:r>
      <w:r>
        <w:t xml:space="preserve"> generally represent cost of goods sold and the day to day running costs, including maintenance costs, incurred in the normal operations of CSV.</w:t>
      </w:r>
    </w:p>
    <w:p w:rsidR="00525182" w:rsidRDefault="00525182" w:rsidP="00525182">
      <w:pPr>
        <w:pStyle w:val="BodyText"/>
      </w:pPr>
      <w:r w:rsidRPr="00525182">
        <w:rPr>
          <w:rStyle w:val="Bold"/>
        </w:rPr>
        <w:t>Taxation</w:t>
      </w:r>
      <w:r>
        <w:t xml:space="preserve"> </w:t>
      </w:r>
      <w:r w:rsidRPr="00525182">
        <w:rPr>
          <w:rStyle w:val="Bold"/>
        </w:rPr>
        <w:t>income</w:t>
      </w:r>
      <w:r>
        <w:t xml:space="preserve"> represents income received from the State’s taxpayers and includes:</w:t>
      </w:r>
    </w:p>
    <w:p w:rsidR="00525182" w:rsidRDefault="00525182" w:rsidP="00525182">
      <w:pPr>
        <w:pStyle w:val="ListBullet"/>
      </w:pPr>
      <w:r>
        <w:t>payroll tax, land tax and duties levied principally on conveyances and land transfers;</w:t>
      </w:r>
    </w:p>
    <w:p w:rsidR="00525182" w:rsidRDefault="00525182" w:rsidP="00525182">
      <w:pPr>
        <w:pStyle w:val="ListBullet"/>
      </w:pPr>
      <w:r>
        <w:t xml:space="preserve">insurance duty relating to compulsory third party, life and </w:t>
      </w:r>
      <w:proofErr w:type="spellStart"/>
      <w:r>
        <w:t>non life</w:t>
      </w:r>
      <w:proofErr w:type="spellEnd"/>
      <w:r>
        <w:t xml:space="preserve"> policies;</w:t>
      </w:r>
    </w:p>
    <w:p w:rsidR="00525182" w:rsidRDefault="00525182" w:rsidP="00525182">
      <w:pPr>
        <w:pStyle w:val="ListBullet"/>
      </w:pPr>
      <w:r>
        <w:t>insurance company contributions to fire brigades;</w:t>
      </w:r>
    </w:p>
    <w:p w:rsidR="00525182" w:rsidRDefault="00525182" w:rsidP="00525182">
      <w:pPr>
        <w:pStyle w:val="ListBullet"/>
      </w:pPr>
      <w:r>
        <w:t>motor vehicle taxes, including registration fees and duty on registrations and transfers;</w:t>
      </w:r>
    </w:p>
    <w:p w:rsidR="00525182" w:rsidRDefault="00525182" w:rsidP="00525182">
      <w:pPr>
        <w:pStyle w:val="ListBullet"/>
      </w:pPr>
      <w:r>
        <w:t>levies (including the environmental levy) on statutory corporations in other sectors of government; and</w:t>
      </w:r>
    </w:p>
    <w:p w:rsidR="00525182" w:rsidRDefault="00525182" w:rsidP="00525182">
      <w:pPr>
        <w:pStyle w:val="ListBullet"/>
      </w:pPr>
      <w:proofErr w:type="gramStart"/>
      <w:r>
        <w:t>other</w:t>
      </w:r>
      <w:proofErr w:type="gramEnd"/>
      <w:r>
        <w:t xml:space="preserve"> taxes, including landfill levies, licence and concession fees.</w:t>
      </w:r>
    </w:p>
    <w:p w:rsidR="00525182" w:rsidRDefault="00525182" w:rsidP="00525182">
      <w:pPr>
        <w:pStyle w:val="BodyText"/>
      </w:pPr>
      <w:r w:rsidRPr="00525182">
        <w:rPr>
          <w:rStyle w:val="Bold"/>
        </w:rPr>
        <w:t>Transactions</w:t>
      </w:r>
      <w:r>
        <w:t xml:space="preserve"> are those economic flows that are considered to arise as a result of policy decisions, usually an interaction between two entities by mutual agreement. They also include flows into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(e.g. assets provided/given free of charge or for nominal consideration) or where the final consideration is cash. In simple terms, transactions arise from the policy decisions of the Government.</w:t>
      </w:r>
    </w:p>
    <w:p w:rsidR="00525182" w:rsidRDefault="00525182" w:rsidP="00525182">
      <w:pPr>
        <w:pStyle w:val="BodyText"/>
      </w:pPr>
      <w:r w:rsidRPr="00525182">
        <w:rPr>
          <w:rStyle w:val="Bold"/>
        </w:rPr>
        <w:t>Style</w:t>
      </w:r>
      <w:r>
        <w:t xml:space="preserve"> </w:t>
      </w:r>
      <w:r w:rsidRPr="00525182">
        <w:rPr>
          <w:rStyle w:val="Bold"/>
        </w:rPr>
        <w:t>conventions</w:t>
      </w:r>
    </w:p>
    <w:p w:rsidR="00525182" w:rsidRDefault="00525182" w:rsidP="00525182">
      <w:pPr>
        <w:pStyle w:val="BodyText"/>
      </w:pPr>
      <w:r>
        <w:t>Figures in the tables and in the text have been rounded. Discrepancies in tables between totals and sums of components reflect rounding. Percentage variations in all tables are based on the underlying unrounded amounts.</w:t>
      </w:r>
    </w:p>
    <w:p w:rsidR="00525182" w:rsidRDefault="00525182" w:rsidP="00525182">
      <w:pPr>
        <w:pStyle w:val="BodyText"/>
      </w:pPr>
      <w:r>
        <w:t>The notation used in the tables is as follows:</w:t>
      </w:r>
    </w:p>
    <w:p w:rsidR="00525182" w:rsidRPr="00525182" w:rsidRDefault="00525182" w:rsidP="00525182">
      <w:proofErr w:type="spellStart"/>
      <w:r w:rsidRPr="00525182">
        <w:t>Hypen</w:t>
      </w:r>
      <w:proofErr w:type="spellEnd"/>
      <w:r w:rsidRPr="00525182">
        <w:rPr>
          <w:rFonts w:ascii="Cambria Math" w:hAnsi="Cambria Math" w:cs="Cambria Math"/>
        </w:rPr>
        <w:t>‐</w:t>
      </w:r>
      <w:r w:rsidRPr="00525182">
        <w:tab/>
        <w:t>zero, or rounded to zero</w:t>
      </w:r>
    </w:p>
    <w:p w:rsidR="00525182" w:rsidRPr="00525182" w:rsidRDefault="00525182" w:rsidP="00525182">
      <w:r w:rsidRPr="00525182">
        <w:t>(xxx)</w:t>
      </w:r>
      <w:r w:rsidRPr="00525182">
        <w:tab/>
      </w:r>
      <w:proofErr w:type="gramStart"/>
      <w:r w:rsidRPr="00525182">
        <w:t>negative</w:t>
      </w:r>
      <w:proofErr w:type="gramEnd"/>
      <w:r w:rsidRPr="00525182">
        <w:t xml:space="preserve"> numbers</w:t>
      </w:r>
    </w:p>
    <w:p w:rsidR="00525182" w:rsidRPr="00525182" w:rsidRDefault="00525182" w:rsidP="00525182">
      <w:r w:rsidRPr="00525182">
        <w:t>200x</w:t>
      </w:r>
      <w:r w:rsidRPr="00525182">
        <w:tab/>
        <w:t>year period 200x 0x</w:t>
      </w:r>
      <w:r w:rsidRPr="00525182">
        <w:tab/>
        <w:t>year period</w:t>
      </w:r>
    </w:p>
    <w:p w:rsidR="00525182" w:rsidRDefault="00525182" w:rsidP="00525182">
      <w:pPr>
        <w:pStyle w:val="BodyText"/>
      </w:pPr>
      <w:r>
        <w:t>The financial statements and notes are presented based on the illustration for a government department in the 2016</w:t>
      </w:r>
      <w:r>
        <w:rPr>
          <w:rFonts w:ascii="Cambria Math" w:hAnsi="Cambria Math" w:cs="Cambria Math"/>
        </w:rPr>
        <w:t>‐</w:t>
      </w:r>
      <w:r>
        <w:t>17 Model Report for Victorian Government Departments. The presentation of other disclosures is generally consistent with the other disclosures made in earlier publications of the CSV’s annual reports.</w:t>
      </w:r>
    </w:p>
    <w:p w:rsidR="00525182" w:rsidRDefault="00525182" w:rsidP="00525182">
      <w:pPr>
        <w:pStyle w:val="Heading1"/>
        <w:numPr>
          <w:ilvl w:val="0"/>
          <w:numId w:val="0"/>
        </w:numPr>
      </w:pPr>
      <w:bookmarkStart w:id="74" w:name="_Toc497125499"/>
      <w:r>
        <w:lastRenderedPageBreak/>
        <w:t>Appendix 1 Budgetary Reporting: Explanation of material variances between budget and actual outcome</w:t>
      </w:r>
      <w:bookmarkEnd w:id="74"/>
    </w:p>
    <w:p w:rsidR="00DD1123" w:rsidRDefault="00525182" w:rsidP="004379E9">
      <w:pPr>
        <w:pStyle w:val="Heading2"/>
        <w:numPr>
          <w:ilvl w:val="0"/>
          <w:numId w:val="0"/>
        </w:numPr>
      </w:pPr>
      <w:bookmarkStart w:id="75" w:name="_Toc497125500"/>
      <w:r>
        <w:t>Comprehensive operating statement for the financial year ended 30 June 2017</w:t>
      </w:r>
      <w:bookmarkEnd w:id="75"/>
    </w:p>
    <w:tbl>
      <w:tblPr>
        <w:tblStyle w:val="FinancialTable"/>
        <w:tblW w:w="5000" w:type="pct"/>
        <w:tblLook w:val="04A0" w:firstRow="1" w:lastRow="0" w:firstColumn="1" w:lastColumn="0" w:noHBand="0" w:noVBand="1"/>
      </w:tblPr>
      <w:tblGrid>
        <w:gridCol w:w="5134"/>
        <w:gridCol w:w="892"/>
        <w:gridCol w:w="1062"/>
        <w:gridCol w:w="1280"/>
        <w:gridCol w:w="1270"/>
      </w:tblGrid>
      <w:tr w:rsidR="004379E9" w:rsidRPr="00525182" w:rsidTr="00E159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3" w:type="pct"/>
            <w:noWrap/>
            <w:hideMark/>
          </w:tcPr>
          <w:p w:rsidR="004379E9" w:rsidRPr="004379E9" w:rsidRDefault="004379E9" w:rsidP="004379E9">
            <w:pPr>
              <w:pStyle w:val="TableBodyText"/>
              <w:rPr>
                <w:rStyle w:val="Bold"/>
              </w:rPr>
            </w:pPr>
            <w:r w:rsidRPr="004379E9">
              <w:rPr>
                <w:rStyle w:val="Bold"/>
              </w:rPr>
              <w:t>Item</w:t>
            </w:r>
          </w:p>
        </w:tc>
        <w:tc>
          <w:tcPr>
            <w:tcW w:w="463" w:type="pct"/>
            <w:shd w:val="clear" w:color="auto" w:fill="F3F3F3"/>
          </w:tcPr>
          <w:p w:rsidR="004379E9" w:rsidRPr="004379E9" w:rsidRDefault="00E24F2E" w:rsidP="004379E9">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Variance note</w:t>
            </w:r>
          </w:p>
        </w:tc>
        <w:tc>
          <w:tcPr>
            <w:tcW w:w="551" w:type="pct"/>
            <w:hideMark/>
          </w:tcPr>
          <w:p w:rsidR="004379E9" w:rsidRPr="004379E9" w:rsidRDefault="004379E9" w:rsidP="004379E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379E9">
              <w:rPr>
                <w:rStyle w:val="Bold"/>
              </w:rPr>
              <w:t>Original budget</w:t>
            </w:r>
            <w:r w:rsidRPr="004379E9">
              <w:rPr>
                <w:rStyle w:val="Bold"/>
              </w:rPr>
              <w:br/>
              <w:t>2017</w:t>
            </w:r>
          </w:p>
          <w:p w:rsidR="004379E9" w:rsidRPr="00E15939" w:rsidRDefault="004379E9" w:rsidP="004379E9">
            <w:pPr>
              <w:pStyle w:val="TableBodyText"/>
              <w:cnfStyle w:val="100000000000" w:firstRow="1" w:lastRow="0" w:firstColumn="0" w:lastColumn="0" w:oddVBand="0" w:evenVBand="0" w:oddHBand="0" w:evenHBand="0" w:firstRowFirstColumn="0" w:firstRowLastColumn="0" w:lastRowFirstColumn="0" w:lastRowLastColumn="0"/>
              <w:rPr>
                <w:rStyle w:val="Bold"/>
                <w:position w:val="-6"/>
              </w:rPr>
            </w:pPr>
            <w:r w:rsidRPr="00E15939">
              <w:rPr>
                <w:rStyle w:val="Bold"/>
                <w:position w:val="-6"/>
              </w:rPr>
              <w:t>($ million)</w:t>
            </w:r>
          </w:p>
        </w:tc>
        <w:tc>
          <w:tcPr>
            <w:tcW w:w="664" w:type="pct"/>
            <w:shd w:val="clear" w:color="auto" w:fill="F3F3F3"/>
            <w:hideMark/>
          </w:tcPr>
          <w:p w:rsidR="004379E9" w:rsidRPr="004379E9" w:rsidRDefault="004379E9" w:rsidP="00E15939">
            <w:pPr>
              <w:pStyle w:val="TableBodyText"/>
              <w:pageBreakBefore/>
              <w:cnfStyle w:val="100000000000" w:firstRow="1" w:lastRow="0" w:firstColumn="0" w:lastColumn="0" w:oddVBand="0" w:evenVBand="0" w:oddHBand="0" w:evenHBand="0" w:firstRowFirstColumn="0" w:firstRowLastColumn="0" w:lastRowFirstColumn="0" w:lastRowLastColumn="0"/>
              <w:rPr>
                <w:rStyle w:val="Bold"/>
              </w:rPr>
            </w:pPr>
            <w:r w:rsidRPr="004379E9">
              <w:rPr>
                <w:rStyle w:val="Bold"/>
              </w:rPr>
              <w:t>Actual</w:t>
            </w:r>
            <w:r w:rsidRPr="004379E9">
              <w:rPr>
                <w:rStyle w:val="Bold"/>
              </w:rPr>
              <w:br/>
              <w:t>2017</w:t>
            </w:r>
          </w:p>
          <w:p w:rsidR="004379E9" w:rsidRPr="004379E9" w:rsidRDefault="004379E9" w:rsidP="00E15939">
            <w:pPr>
              <w:pStyle w:val="TableBodyText"/>
              <w:pageBreakBefore/>
              <w:cnfStyle w:val="100000000000" w:firstRow="1" w:lastRow="0" w:firstColumn="0" w:lastColumn="0" w:oddVBand="0" w:evenVBand="0" w:oddHBand="0" w:evenHBand="0" w:firstRowFirstColumn="0" w:firstRowLastColumn="0" w:lastRowFirstColumn="0" w:lastRowLastColumn="0"/>
              <w:rPr>
                <w:rStyle w:val="Bold"/>
              </w:rPr>
            </w:pPr>
            <w:r w:rsidRPr="004379E9">
              <w:rPr>
                <w:rStyle w:val="Bold"/>
              </w:rPr>
              <w:t>($ million)</w:t>
            </w:r>
          </w:p>
        </w:tc>
        <w:tc>
          <w:tcPr>
            <w:tcW w:w="659" w:type="pct"/>
            <w:noWrap/>
            <w:hideMark/>
          </w:tcPr>
          <w:p w:rsidR="004379E9" w:rsidRPr="004379E9" w:rsidRDefault="004379E9" w:rsidP="004379E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379E9">
              <w:rPr>
                <w:rStyle w:val="Bold"/>
              </w:rPr>
              <w:t>Variance</w:t>
            </w:r>
          </w:p>
          <w:p w:rsidR="004379E9" w:rsidRPr="004379E9" w:rsidRDefault="004379E9" w:rsidP="004379E9">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4379E9">
              <w:rPr>
                <w:rStyle w:val="Bold"/>
              </w:rPr>
              <w:t>($ million)</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4379E9" w:rsidRDefault="00525182" w:rsidP="004379E9">
            <w:pPr>
              <w:pStyle w:val="TableBodyText"/>
              <w:rPr>
                <w:rStyle w:val="Bold"/>
              </w:rPr>
            </w:pPr>
            <w:r w:rsidRPr="004379E9">
              <w:rPr>
                <w:rStyle w:val="Bold"/>
              </w:rPr>
              <w:t>Continuing operations</w:t>
            </w:r>
          </w:p>
        </w:tc>
        <w:tc>
          <w:tcPr>
            <w:tcW w:w="463" w:type="pct"/>
            <w:shd w:val="clear" w:color="auto" w:fill="F3F3F3"/>
            <w:noWrap/>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64" w:type="pct"/>
            <w:shd w:val="clear" w:color="auto" w:fill="F3F3F3"/>
            <w:noWrap/>
          </w:tcPr>
          <w:p w:rsidR="00525182" w:rsidRPr="00525182" w:rsidRDefault="004379E9" w:rsidP="00E15939">
            <w:pPr>
              <w:pStyle w:val="TableBodyText"/>
              <w:pageBreakBefore/>
              <w:cnfStyle w:val="000000000000" w:firstRow="0" w:lastRow="0" w:firstColumn="0" w:lastColumn="0" w:oddVBand="0" w:evenVBand="0" w:oddHBand="0" w:evenHBand="0" w:firstRowFirstColumn="0" w:firstRowLastColumn="0" w:lastRowFirstColumn="0" w:lastRowLastColumn="0"/>
            </w:pPr>
            <w:r>
              <w:t>N/A</w:t>
            </w:r>
          </w:p>
        </w:tc>
        <w:tc>
          <w:tcPr>
            <w:tcW w:w="659" w:type="pct"/>
            <w:noWrap/>
            <w:hideMark/>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4379E9" w:rsidRDefault="00525182" w:rsidP="004379E9">
            <w:pPr>
              <w:pStyle w:val="TableBodyText"/>
              <w:rPr>
                <w:rStyle w:val="Bold"/>
              </w:rPr>
            </w:pPr>
            <w:r w:rsidRPr="004379E9">
              <w:rPr>
                <w:rStyle w:val="Bold"/>
              </w:rPr>
              <w:t>Income from transactions</w:t>
            </w:r>
          </w:p>
        </w:tc>
        <w:tc>
          <w:tcPr>
            <w:tcW w:w="463" w:type="pct"/>
            <w:shd w:val="clear" w:color="auto" w:fill="F3F3F3"/>
            <w:noWrap/>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64" w:type="pct"/>
            <w:shd w:val="clear" w:color="auto" w:fill="F3F3F3"/>
            <w:noWrap/>
          </w:tcPr>
          <w:p w:rsidR="00525182" w:rsidRPr="00525182" w:rsidRDefault="004379E9" w:rsidP="00E15939">
            <w:pPr>
              <w:pStyle w:val="TableBodyText"/>
              <w:pageBreakBefore/>
              <w:cnfStyle w:val="000000000000" w:firstRow="0" w:lastRow="0" w:firstColumn="0" w:lastColumn="0" w:oddVBand="0" w:evenVBand="0" w:oddHBand="0" w:evenHBand="0" w:firstRowFirstColumn="0" w:firstRowLastColumn="0" w:lastRowFirstColumn="0" w:lastRowLastColumn="0"/>
            </w:pPr>
            <w:r>
              <w:t>N/A</w:t>
            </w:r>
          </w:p>
        </w:tc>
        <w:tc>
          <w:tcPr>
            <w:tcW w:w="659" w:type="pct"/>
            <w:noWrap/>
            <w:hideMark/>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525182" w:rsidRDefault="00525182" w:rsidP="004379E9">
            <w:pPr>
              <w:pStyle w:val="TableBodyText"/>
            </w:pPr>
            <w:r w:rsidRPr="00525182">
              <w:t>Output appropriations</w:t>
            </w:r>
          </w:p>
        </w:tc>
        <w:tc>
          <w:tcPr>
            <w:tcW w:w="463" w:type="pct"/>
            <w:shd w:val="clear" w:color="auto" w:fill="F3F3F3"/>
            <w:noWrap/>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325.0</w:t>
            </w:r>
          </w:p>
        </w:tc>
        <w:tc>
          <w:tcPr>
            <w:tcW w:w="664" w:type="pct"/>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332.2</w:t>
            </w:r>
          </w:p>
        </w:tc>
        <w:tc>
          <w:tcPr>
            <w:tcW w:w="659"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7.2</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525182" w:rsidRDefault="00525182" w:rsidP="004379E9">
            <w:pPr>
              <w:pStyle w:val="TableBodyText"/>
            </w:pPr>
            <w:r w:rsidRPr="00525182">
              <w:t>Special appropriations</w:t>
            </w:r>
          </w:p>
        </w:tc>
        <w:tc>
          <w:tcPr>
            <w:tcW w:w="463" w:type="pct"/>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1</w:t>
            </w:r>
          </w:p>
        </w:tc>
        <w:tc>
          <w:tcPr>
            <w:tcW w:w="551"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145.0</w:t>
            </w:r>
          </w:p>
        </w:tc>
        <w:tc>
          <w:tcPr>
            <w:tcW w:w="664" w:type="pct"/>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125.5</w:t>
            </w:r>
          </w:p>
        </w:tc>
        <w:tc>
          <w:tcPr>
            <w:tcW w:w="659"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(19.5)</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525182" w:rsidRDefault="00525182" w:rsidP="004379E9">
            <w:pPr>
              <w:pStyle w:val="TableBodyText"/>
            </w:pPr>
            <w:r w:rsidRPr="00525182">
              <w:t>Grants</w:t>
            </w:r>
          </w:p>
        </w:tc>
        <w:tc>
          <w:tcPr>
            <w:tcW w:w="463" w:type="pct"/>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2</w:t>
            </w:r>
          </w:p>
        </w:tc>
        <w:tc>
          <w:tcPr>
            <w:tcW w:w="551"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17.0</w:t>
            </w:r>
          </w:p>
        </w:tc>
        <w:tc>
          <w:tcPr>
            <w:tcW w:w="664" w:type="pct"/>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26.9</w:t>
            </w:r>
          </w:p>
        </w:tc>
        <w:tc>
          <w:tcPr>
            <w:tcW w:w="659"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9.9</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tcBorders>
              <w:bottom w:val="single" w:sz="4" w:space="0" w:color="auto"/>
            </w:tcBorders>
            <w:noWrap/>
            <w:hideMark/>
          </w:tcPr>
          <w:p w:rsidR="00525182" w:rsidRPr="00525182" w:rsidRDefault="00525182" w:rsidP="004379E9">
            <w:pPr>
              <w:pStyle w:val="TableBodyText"/>
            </w:pPr>
            <w:r w:rsidRPr="00525182">
              <w:t>Other income</w:t>
            </w:r>
          </w:p>
        </w:tc>
        <w:tc>
          <w:tcPr>
            <w:tcW w:w="463" w:type="pct"/>
            <w:tcBorders>
              <w:bottom w:val="single" w:sz="4" w:space="0" w:color="auto"/>
            </w:tcBorders>
            <w:shd w:val="clear" w:color="auto" w:fill="F3F3F3"/>
            <w:noWrap/>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tcBorders>
              <w:bottom w:val="single" w:sz="4" w:space="0" w:color="auto"/>
            </w:tcBorders>
            <w:noWrap/>
          </w:tcPr>
          <w:p w:rsidR="00525182" w:rsidRPr="00525182" w:rsidRDefault="004379E9" w:rsidP="004379E9">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64" w:type="pct"/>
            <w:tcBorders>
              <w:bottom w:val="single" w:sz="4" w:space="0" w:color="auto"/>
            </w:tcBorders>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6.2</w:t>
            </w:r>
          </w:p>
        </w:tc>
        <w:tc>
          <w:tcPr>
            <w:tcW w:w="659" w:type="pct"/>
            <w:tcBorders>
              <w:bottom w:val="single" w:sz="4" w:space="0" w:color="auto"/>
            </w:tcBorders>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6.2</w:t>
            </w:r>
          </w:p>
        </w:tc>
      </w:tr>
      <w:tr w:rsidR="00525182" w:rsidRPr="00E24F2E" w:rsidTr="00E15939">
        <w:tc>
          <w:tcPr>
            <w:cnfStyle w:val="001000000000" w:firstRow="0" w:lastRow="0" w:firstColumn="1" w:lastColumn="0" w:oddVBand="0" w:evenVBand="0" w:oddHBand="0" w:evenHBand="0" w:firstRowFirstColumn="0" w:firstRowLastColumn="0" w:lastRowFirstColumn="0" w:lastRowLastColumn="0"/>
            <w:tcW w:w="2663" w:type="pct"/>
            <w:tcBorders>
              <w:top w:val="single" w:sz="4" w:space="0" w:color="auto"/>
              <w:bottom w:val="nil"/>
            </w:tcBorders>
            <w:noWrap/>
            <w:hideMark/>
          </w:tcPr>
          <w:p w:rsidR="00525182" w:rsidRPr="00E24F2E" w:rsidRDefault="00525182" w:rsidP="004379E9">
            <w:pPr>
              <w:pStyle w:val="TableBodyText"/>
              <w:rPr>
                <w:rStyle w:val="Bold"/>
              </w:rPr>
            </w:pPr>
            <w:r w:rsidRPr="00E24F2E">
              <w:rPr>
                <w:rStyle w:val="Bold"/>
              </w:rPr>
              <w:t>Total income from transactions</w:t>
            </w:r>
          </w:p>
        </w:tc>
        <w:tc>
          <w:tcPr>
            <w:tcW w:w="463" w:type="pct"/>
            <w:tcBorders>
              <w:top w:val="single" w:sz="4" w:space="0" w:color="auto"/>
              <w:bottom w:val="nil"/>
            </w:tcBorders>
            <w:shd w:val="clear" w:color="auto" w:fill="F3F3F3"/>
            <w:noWrap/>
          </w:tcPr>
          <w:p w:rsidR="00525182" w:rsidRPr="00E24F2E" w:rsidRDefault="004379E9" w:rsidP="004379E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N/A</w:t>
            </w:r>
          </w:p>
        </w:tc>
        <w:tc>
          <w:tcPr>
            <w:tcW w:w="551" w:type="pct"/>
            <w:tcBorders>
              <w:top w:val="single" w:sz="4" w:space="0" w:color="auto"/>
              <w:bottom w:val="nil"/>
            </w:tcBorders>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487.0</w:t>
            </w:r>
          </w:p>
        </w:tc>
        <w:tc>
          <w:tcPr>
            <w:tcW w:w="664" w:type="pct"/>
            <w:tcBorders>
              <w:top w:val="single" w:sz="4" w:space="0" w:color="auto"/>
              <w:bottom w:val="nil"/>
            </w:tcBorders>
            <w:shd w:val="clear" w:color="auto" w:fill="F3F3F3"/>
            <w:noWrap/>
            <w:hideMark/>
          </w:tcPr>
          <w:p w:rsidR="00525182" w:rsidRPr="00E24F2E"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490.9</w:t>
            </w:r>
          </w:p>
        </w:tc>
        <w:tc>
          <w:tcPr>
            <w:tcW w:w="659" w:type="pct"/>
            <w:tcBorders>
              <w:top w:val="single" w:sz="4" w:space="0" w:color="auto"/>
              <w:bottom w:val="nil"/>
            </w:tcBorders>
            <w:noWrap/>
            <w:hideMark/>
          </w:tcPr>
          <w:p w:rsidR="00525182" w:rsidRPr="00E24F2E" w:rsidRDefault="00525182" w:rsidP="004379E9">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3.9</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E24F2E" w:rsidRDefault="00525182" w:rsidP="00E24F2E">
            <w:pPr>
              <w:pStyle w:val="TableBodyText"/>
              <w:spacing w:before="120"/>
              <w:rPr>
                <w:rStyle w:val="Bold"/>
              </w:rPr>
            </w:pPr>
            <w:r w:rsidRPr="00E24F2E">
              <w:rPr>
                <w:rStyle w:val="Bold"/>
              </w:rPr>
              <w:t>Expenses from transactions</w:t>
            </w:r>
          </w:p>
        </w:tc>
        <w:tc>
          <w:tcPr>
            <w:tcW w:w="463" w:type="pct"/>
            <w:shd w:val="clear" w:color="auto" w:fill="F3F3F3"/>
            <w:noWrap/>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64" w:type="pct"/>
            <w:shd w:val="clear" w:color="auto" w:fill="F3F3F3"/>
            <w:noWrap/>
          </w:tcPr>
          <w:p w:rsidR="00525182" w:rsidRPr="00525182" w:rsidRDefault="004379E9" w:rsidP="00E15939">
            <w:pPr>
              <w:pStyle w:val="TableBodyText"/>
              <w:pageBreakBefore/>
              <w:spacing w:before="120"/>
              <w:cnfStyle w:val="000000000000" w:firstRow="0" w:lastRow="0" w:firstColumn="0" w:lastColumn="0" w:oddVBand="0" w:evenVBand="0" w:oddHBand="0" w:evenHBand="0" w:firstRowFirstColumn="0" w:firstRowLastColumn="0" w:lastRowFirstColumn="0" w:lastRowLastColumn="0"/>
            </w:pPr>
            <w:r>
              <w:t>N/A</w:t>
            </w:r>
          </w:p>
        </w:tc>
        <w:tc>
          <w:tcPr>
            <w:tcW w:w="659" w:type="pct"/>
            <w:noWrap/>
            <w:hideMark/>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525182" w:rsidRDefault="00525182" w:rsidP="004379E9">
            <w:pPr>
              <w:pStyle w:val="TableBodyText"/>
            </w:pPr>
            <w:r w:rsidRPr="00525182">
              <w:t>Employee expenses</w:t>
            </w:r>
          </w:p>
        </w:tc>
        <w:tc>
          <w:tcPr>
            <w:tcW w:w="463" w:type="pct"/>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3</w:t>
            </w:r>
          </w:p>
        </w:tc>
        <w:tc>
          <w:tcPr>
            <w:tcW w:w="551"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295.0</w:t>
            </w:r>
          </w:p>
        </w:tc>
        <w:tc>
          <w:tcPr>
            <w:tcW w:w="664" w:type="pct"/>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278.5</w:t>
            </w:r>
          </w:p>
        </w:tc>
        <w:tc>
          <w:tcPr>
            <w:tcW w:w="659"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(16.5)</w:t>
            </w:r>
          </w:p>
        </w:tc>
      </w:tr>
      <w:tr w:rsidR="00E24F2E"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E24F2E" w:rsidRPr="00525182" w:rsidRDefault="00E24F2E" w:rsidP="00E24F2E">
            <w:pPr>
              <w:pStyle w:val="TableBodyText"/>
            </w:pPr>
            <w:r w:rsidRPr="00525182">
              <w:t>Depreciation and amortisation</w:t>
            </w:r>
          </w:p>
        </w:tc>
        <w:tc>
          <w:tcPr>
            <w:tcW w:w="463" w:type="pct"/>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525182">
              <w:t>34.0</w:t>
            </w:r>
          </w:p>
        </w:tc>
        <w:tc>
          <w:tcPr>
            <w:tcW w:w="664" w:type="pct"/>
            <w:shd w:val="clear" w:color="auto" w:fill="F3F3F3"/>
            <w:noWrap/>
            <w:hideMark/>
          </w:tcPr>
          <w:p w:rsidR="00E24F2E" w:rsidRPr="00525182"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43.9</w:t>
            </w:r>
          </w:p>
        </w:tc>
        <w:tc>
          <w:tcPr>
            <w:tcW w:w="659"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9.9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525182" w:rsidRDefault="00525182" w:rsidP="004379E9">
            <w:pPr>
              <w:pStyle w:val="TableBodyText"/>
            </w:pPr>
            <w:r w:rsidRPr="00525182">
              <w:t>Interest expense</w:t>
            </w:r>
          </w:p>
        </w:tc>
        <w:tc>
          <w:tcPr>
            <w:tcW w:w="463" w:type="pct"/>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4</w:t>
            </w:r>
          </w:p>
        </w:tc>
        <w:tc>
          <w:tcPr>
            <w:tcW w:w="551"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11.0</w:t>
            </w:r>
          </w:p>
        </w:tc>
        <w:tc>
          <w:tcPr>
            <w:tcW w:w="664" w:type="pct"/>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7.2</w:t>
            </w:r>
          </w:p>
        </w:tc>
        <w:tc>
          <w:tcPr>
            <w:tcW w:w="659"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(3.8)</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525182" w:rsidRDefault="00525182" w:rsidP="004379E9">
            <w:pPr>
              <w:pStyle w:val="TableBodyText"/>
            </w:pPr>
            <w:r w:rsidRPr="00525182">
              <w:t>Grants and other transfers</w:t>
            </w:r>
          </w:p>
        </w:tc>
        <w:tc>
          <w:tcPr>
            <w:tcW w:w="463" w:type="pct"/>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5</w:t>
            </w:r>
          </w:p>
        </w:tc>
        <w:tc>
          <w:tcPr>
            <w:tcW w:w="551" w:type="pct"/>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1.0</w:t>
            </w:r>
          </w:p>
        </w:tc>
        <w:tc>
          <w:tcPr>
            <w:tcW w:w="664" w:type="pct"/>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8.5</w:t>
            </w:r>
          </w:p>
        </w:tc>
        <w:tc>
          <w:tcPr>
            <w:tcW w:w="659" w:type="pct"/>
            <w:noWrap/>
            <w:hideMark/>
          </w:tcPr>
          <w:p w:rsidR="00525182" w:rsidRPr="00525182" w:rsidRDefault="00525182" w:rsidP="004379E9">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7.5 </w:t>
            </w:r>
          </w:p>
        </w:tc>
      </w:tr>
      <w:tr w:rsidR="00E24F2E"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E24F2E" w:rsidRPr="00525182" w:rsidRDefault="00E24F2E" w:rsidP="00E24F2E">
            <w:pPr>
              <w:pStyle w:val="TableBodyText"/>
            </w:pPr>
            <w:r w:rsidRPr="00525182">
              <w:t>Capital asset charge</w:t>
            </w:r>
          </w:p>
        </w:tc>
        <w:tc>
          <w:tcPr>
            <w:tcW w:w="463" w:type="pct"/>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525182">
              <w:t>40.0</w:t>
            </w:r>
          </w:p>
        </w:tc>
        <w:tc>
          <w:tcPr>
            <w:tcW w:w="664" w:type="pct"/>
            <w:shd w:val="clear" w:color="auto" w:fill="F3F3F3"/>
            <w:noWrap/>
            <w:hideMark/>
          </w:tcPr>
          <w:p w:rsidR="00E24F2E" w:rsidRPr="00525182"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39.8</w:t>
            </w:r>
          </w:p>
        </w:tc>
        <w:tc>
          <w:tcPr>
            <w:tcW w:w="659"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(0.2)</w:t>
            </w:r>
          </w:p>
        </w:tc>
      </w:tr>
      <w:tr w:rsidR="00E24F2E"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E24F2E" w:rsidRPr="00525182" w:rsidRDefault="00E24F2E" w:rsidP="00E24F2E">
            <w:pPr>
              <w:pStyle w:val="TableBodyText"/>
            </w:pPr>
            <w:r w:rsidRPr="00525182">
              <w:t>Supplies and services</w:t>
            </w:r>
          </w:p>
        </w:tc>
        <w:tc>
          <w:tcPr>
            <w:tcW w:w="463" w:type="pct"/>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0</w:t>
            </w:r>
          </w:p>
        </w:tc>
        <w:tc>
          <w:tcPr>
            <w:tcW w:w="664" w:type="pct"/>
            <w:shd w:val="clear" w:color="auto" w:fill="F3F3F3"/>
            <w:noWrap/>
            <w:hideMark/>
          </w:tcPr>
          <w:p w:rsidR="00E24F2E" w:rsidRPr="00525182"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115.4</w:t>
            </w:r>
          </w:p>
        </w:tc>
        <w:tc>
          <w:tcPr>
            <w:tcW w:w="659"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115.4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tcBorders>
              <w:bottom w:val="single" w:sz="4" w:space="0" w:color="auto"/>
            </w:tcBorders>
            <w:noWrap/>
            <w:hideMark/>
          </w:tcPr>
          <w:p w:rsidR="00525182" w:rsidRPr="00525182" w:rsidRDefault="00525182" w:rsidP="004379E9">
            <w:pPr>
              <w:pStyle w:val="TableBodyText"/>
            </w:pPr>
            <w:r w:rsidRPr="00525182">
              <w:t>Other operating expenses</w:t>
            </w:r>
          </w:p>
        </w:tc>
        <w:tc>
          <w:tcPr>
            <w:tcW w:w="463" w:type="pct"/>
            <w:tcBorders>
              <w:bottom w:val="single" w:sz="4" w:space="0" w:color="auto"/>
            </w:tcBorders>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6</w:t>
            </w:r>
          </w:p>
        </w:tc>
        <w:tc>
          <w:tcPr>
            <w:tcW w:w="551" w:type="pct"/>
            <w:tcBorders>
              <w:bottom w:val="single" w:sz="4" w:space="0" w:color="auto"/>
            </w:tcBorders>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106.0</w:t>
            </w:r>
          </w:p>
        </w:tc>
        <w:tc>
          <w:tcPr>
            <w:tcW w:w="664" w:type="pct"/>
            <w:tcBorders>
              <w:bottom w:val="single" w:sz="4" w:space="0" w:color="auto"/>
            </w:tcBorders>
            <w:shd w:val="clear" w:color="auto" w:fill="F3F3F3"/>
            <w:noWrap/>
          </w:tcPr>
          <w:p w:rsidR="00525182" w:rsidRPr="00525182" w:rsidRDefault="004379E9" w:rsidP="00E15939">
            <w:pPr>
              <w:pStyle w:val="TableBodyText"/>
              <w:pageBreakBefore/>
              <w:cnfStyle w:val="000000000000" w:firstRow="0" w:lastRow="0" w:firstColumn="0" w:lastColumn="0" w:oddVBand="0" w:evenVBand="0" w:oddHBand="0" w:evenHBand="0" w:firstRowFirstColumn="0" w:firstRowLastColumn="0" w:lastRowFirstColumn="0" w:lastRowLastColumn="0"/>
            </w:pPr>
            <w:r>
              <w:t>N/A</w:t>
            </w:r>
          </w:p>
        </w:tc>
        <w:tc>
          <w:tcPr>
            <w:tcW w:w="659" w:type="pct"/>
            <w:tcBorders>
              <w:bottom w:val="single" w:sz="4" w:space="0" w:color="auto"/>
            </w:tcBorders>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(106.0)</w:t>
            </w:r>
          </w:p>
        </w:tc>
      </w:tr>
      <w:tr w:rsidR="00E24F2E" w:rsidRPr="00E24F2E" w:rsidTr="00E15939">
        <w:tc>
          <w:tcPr>
            <w:cnfStyle w:val="001000000000" w:firstRow="0" w:lastRow="0" w:firstColumn="1" w:lastColumn="0" w:oddVBand="0" w:evenVBand="0" w:oddHBand="0" w:evenHBand="0" w:firstRowFirstColumn="0" w:firstRowLastColumn="0" w:lastRowFirstColumn="0" w:lastRowLastColumn="0"/>
            <w:tcW w:w="2663" w:type="pct"/>
            <w:tcBorders>
              <w:top w:val="single" w:sz="4" w:space="0" w:color="auto"/>
              <w:bottom w:val="single" w:sz="4" w:space="0" w:color="auto"/>
            </w:tcBorders>
            <w:noWrap/>
            <w:hideMark/>
          </w:tcPr>
          <w:p w:rsidR="00E24F2E" w:rsidRPr="00E24F2E" w:rsidRDefault="00E24F2E" w:rsidP="00E24F2E">
            <w:pPr>
              <w:pStyle w:val="TableBodyText"/>
              <w:rPr>
                <w:rStyle w:val="Bold"/>
              </w:rPr>
            </w:pPr>
            <w:r w:rsidRPr="00E24F2E">
              <w:rPr>
                <w:rStyle w:val="Bold"/>
              </w:rPr>
              <w:t>Total expenses from transactions</w:t>
            </w:r>
          </w:p>
        </w:tc>
        <w:tc>
          <w:tcPr>
            <w:tcW w:w="463" w:type="pct"/>
            <w:tcBorders>
              <w:top w:val="single" w:sz="4" w:space="0" w:color="auto"/>
              <w:bottom w:val="single" w:sz="4" w:space="0" w:color="auto"/>
            </w:tcBorders>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487.0</w:t>
            </w:r>
          </w:p>
        </w:tc>
        <w:tc>
          <w:tcPr>
            <w:tcW w:w="664" w:type="pct"/>
            <w:tcBorders>
              <w:top w:val="single" w:sz="4" w:space="0" w:color="auto"/>
              <w:bottom w:val="single" w:sz="4" w:space="0" w:color="auto"/>
            </w:tcBorders>
            <w:shd w:val="clear" w:color="auto" w:fill="F3F3F3"/>
            <w:noWrap/>
            <w:hideMark/>
          </w:tcPr>
          <w:p w:rsidR="00E24F2E" w:rsidRPr="00E24F2E"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493.4</w:t>
            </w:r>
          </w:p>
        </w:tc>
        <w:tc>
          <w:tcPr>
            <w:tcW w:w="659"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6.4</w:t>
            </w:r>
          </w:p>
        </w:tc>
      </w:tr>
      <w:tr w:rsidR="00E24F2E" w:rsidRPr="00E24F2E" w:rsidTr="00E15939">
        <w:tc>
          <w:tcPr>
            <w:cnfStyle w:val="001000000000" w:firstRow="0" w:lastRow="0" w:firstColumn="1" w:lastColumn="0" w:oddVBand="0" w:evenVBand="0" w:oddHBand="0" w:evenHBand="0" w:firstRowFirstColumn="0" w:firstRowLastColumn="0" w:lastRowFirstColumn="0" w:lastRowLastColumn="0"/>
            <w:tcW w:w="2663" w:type="pct"/>
            <w:tcBorders>
              <w:top w:val="single" w:sz="4" w:space="0" w:color="auto"/>
              <w:bottom w:val="single" w:sz="4" w:space="0" w:color="auto"/>
            </w:tcBorders>
            <w:noWrap/>
            <w:hideMark/>
          </w:tcPr>
          <w:p w:rsidR="00E24F2E" w:rsidRPr="00E24F2E" w:rsidRDefault="00E24F2E" w:rsidP="00E24F2E">
            <w:pPr>
              <w:pStyle w:val="TableBodyText"/>
              <w:rPr>
                <w:rStyle w:val="Bold"/>
              </w:rPr>
            </w:pPr>
            <w:r w:rsidRPr="00E24F2E">
              <w:rPr>
                <w:rStyle w:val="Bold"/>
              </w:rPr>
              <w:t>Net result from transactions (net operating balance)</w:t>
            </w:r>
          </w:p>
        </w:tc>
        <w:tc>
          <w:tcPr>
            <w:tcW w:w="463" w:type="pct"/>
            <w:tcBorders>
              <w:top w:val="single" w:sz="4" w:space="0" w:color="auto"/>
              <w:bottom w:val="single" w:sz="4" w:space="0" w:color="auto"/>
            </w:tcBorders>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0.0</w:t>
            </w:r>
          </w:p>
        </w:tc>
        <w:tc>
          <w:tcPr>
            <w:tcW w:w="664" w:type="pct"/>
            <w:tcBorders>
              <w:top w:val="single" w:sz="4" w:space="0" w:color="auto"/>
              <w:bottom w:val="single" w:sz="4" w:space="0" w:color="auto"/>
            </w:tcBorders>
            <w:shd w:val="clear" w:color="auto" w:fill="F3F3F3"/>
            <w:noWrap/>
            <w:hideMark/>
          </w:tcPr>
          <w:p w:rsidR="00E24F2E" w:rsidRPr="00E24F2E"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 (2.5)</w:t>
            </w:r>
          </w:p>
        </w:tc>
        <w:tc>
          <w:tcPr>
            <w:tcW w:w="659"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 (2.5)</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E24F2E" w:rsidRDefault="00525182" w:rsidP="00E24F2E">
            <w:pPr>
              <w:pStyle w:val="TableBodyText"/>
              <w:spacing w:before="120"/>
              <w:rPr>
                <w:rStyle w:val="Bold"/>
              </w:rPr>
            </w:pPr>
            <w:r w:rsidRPr="00E24F2E">
              <w:rPr>
                <w:rStyle w:val="Bold"/>
              </w:rPr>
              <w:t>Other economic flows included in net result</w:t>
            </w:r>
          </w:p>
        </w:tc>
        <w:tc>
          <w:tcPr>
            <w:tcW w:w="463" w:type="pct"/>
            <w:shd w:val="clear" w:color="auto" w:fill="F3F3F3"/>
            <w:noWrap/>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64" w:type="pct"/>
            <w:shd w:val="clear" w:color="auto" w:fill="F3F3F3"/>
            <w:noWrap/>
          </w:tcPr>
          <w:p w:rsidR="00525182" w:rsidRPr="00525182" w:rsidRDefault="004379E9" w:rsidP="00E15939">
            <w:pPr>
              <w:pStyle w:val="TableBodyText"/>
              <w:pageBreakBefore/>
              <w:spacing w:before="120"/>
              <w:cnfStyle w:val="000000000000" w:firstRow="0" w:lastRow="0" w:firstColumn="0" w:lastColumn="0" w:oddVBand="0" w:evenVBand="0" w:oddHBand="0" w:evenHBand="0" w:firstRowFirstColumn="0" w:firstRowLastColumn="0" w:lastRowFirstColumn="0" w:lastRowLastColumn="0"/>
            </w:pPr>
            <w:r>
              <w:t>N/A</w:t>
            </w:r>
          </w:p>
        </w:tc>
        <w:tc>
          <w:tcPr>
            <w:tcW w:w="659" w:type="pct"/>
            <w:noWrap/>
            <w:hideMark/>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E24F2E"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E24F2E" w:rsidRPr="00525182" w:rsidRDefault="00E24F2E" w:rsidP="00E24F2E">
            <w:pPr>
              <w:pStyle w:val="TableBodyText"/>
            </w:pPr>
            <w:r w:rsidRPr="00525182">
              <w:t>Net gain/(loss) on non-financial assets</w:t>
            </w:r>
          </w:p>
        </w:tc>
        <w:tc>
          <w:tcPr>
            <w:tcW w:w="463" w:type="pct"/>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0</w:t>
            </w:r>
          </w:p>
        </w:tc>
        <w:tc>
          <w:tcPr>
            <w:tcW w:w="664" w:type="pct"/>
            <w:shd w:val="clear" w:color="auto" w:fill="F3F3F3"/>
            <w:noWrap/>
            <w:hideMark/>
          </w:tcPr>
          <w:p w:rsidR="00E24F2E" w:rsidRPr="00525182"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0.5</w:t>
            </w:r>
          </w:p>
        </w:tc>
        <w:tc>
          <w:tcPr>
            <w:tcW w:w="659"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525182">
              <w:t>0.5</w:t>
            </w:r>
          </w:p>
        </w:tc>
      </w:tr>
      <w:tr w:rsidR="00E24F2E"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E24F2E" w:rsidRPr="00525182" w:rsidRDefault="00E24F2E" w:rsidP="00E24F2E">
            <w:pPr>
              <w:pStyle w:val="TableBodyText"/>
            </w:pPr>
            <w:r w:rsidRPr="00525182">
              <w:t>Net gain/(loss) on financial instruments</w:t>
            </w:r>
          </w:p>
        </w:tc>
        <w:tc>
          <w:tcPr>
            <w:tcW w:w="463" w:type="pct"/>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0</w:t>
            </w:r>
          </w:p>
        </w:tc>
        <w:tc>
          <w:tcPr>
            <w:tcW w:w="664" w:type="pct"/>
            <w:shd w:val="clear" w:color="auto" w:fill="F3F3F3"/>
            <w:noWrap/>
            <w:hideMark/>
          </w:tcPr>
          <w:p w:rsidR="00E24F2E" w:rsidRPr="00525182"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0.0</w:t>
            </w:r>
          </w:p>
        </w:tc>
        <w:tc>
          <w:tcPr>
            <w:tcW w:w="659"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525182">
              <w:t>0.0</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tcBorders>
              <w:bottom w:val="single" w:sz="4" w:space="0" w:color="auto"/>
            </w:tcBorders>
            <w:noWrap/>
            <w:hideMark/>
          </w:tcPr>
          <w:p w:rsidR="00525182" w:rsidRPr="00525182" w:rsidRDefault="00525182" w:rsidP="004379E9">
            <w:pPr>
              <w:pStyle w:val="TableBodyText"/>
            </w:pPr>
            <w:r w:rsidRPr="00525182">
              <w:t>Other gains/(losses) from other economic flows</w:t>
            </w:r>
          </w:p>
        </w:tc>
        <w:tc>
          <w:tcPr>
            <w:tcW w:w="463" w:type="pct"/>
            <w:tcBorders>
              <w:bottom w:val="single" w:sz="4" w:space="0" w:color="auto"/>
            </w:tcBorders>
            <w:shd w:val="clear" w:color="auto" w:fill="F3F3F3"/>
            <w:noWrap/>
            <w:hideMark/>
          </w:tcPr>
          <w:p w:rsidR="00525182" w:rsidRPr="00525182" w:rsidRDefault="00525182" w:rsidP="004379E9">
            <w:pPr>
              <w:pStyle w:val="TableBodyText"/>
              <w:cnfStyle w:val="000000000000" w:firstRow="0" w:lastRow="0" w:firstColumn="0" w:lastColumn="0" w:oddVBand="0" w:evenVBand="0" w:oddHBand="0" w:evenHBand="0" w:firstRowFirstColumn="0" w:firstRowLastColumn="0" w:lastRowFirstColumn="0" w:lastRowLastColumn="0"/>
            </w:pPr>
            <w:r w:rsidRPr="00525182">
              <w:t>7</w:t>
            </w:r>
          </w:p>
        </w:tc>
        <w:tc>
          <w:tcPr>
            <w:tcW w:w="551" w:type="pct"/>
            <w:tcBorders>
              <w:bottom w:val="single" w:sz="4" w:space="0" w:color="auto"/>
            </w:tcBorders>
            <w:noWrap/>
            <w:hideMark/>
          </w:tcPr>
          <w:p w:rsidR="00525182" w:rsidRPr="00525182" w:rsidRDefault="00E24F2E" w:rsidP="004379E9">
            <w:pPr>
              <w:pStyle w:val="TableBodyText"/>
              <w:cnfStyle w:val="000000000000" w:firstRow="0" w:lastRow="0" w:firstColumn="0" w:lastColumn="0" w:oddVBand="0" w:evenVBand="0" w:oddHBand="0" w:evenHBand="0" w:firstRowFirstColumn="0" w:firstRowLastColumn="0" w:lastRowFirstColumn="0" w:lastRowLastColumn="0"/>
            </w:pPr>
            <w:r>
              <w:t>0</w:t>
            </w:r>
          </w:p>
        </w:tc>
        <w:tc>
          <w:tcPr>
            <w:tcW w:w="664" w:type="pct"/>
            <w:tcBorders>
              <w:bottom w:val="single" w:sz="4" w:space="0" w:color="auto"/>
            </w:tcBorders>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3.8</w:t>
            </w:r>
          </w:p>
        </w:tc>
        <w:tc>
          <w:tcPr>
            <w:tcW w:w="659" w:type="pct"/>
            <w:tcBorders>
              <w:bottom w:val="single" w:sz="4" w:space="0" w:color="auto"/>
            </w:tcBorders>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3.8</w:t>
            </w:r>
          </w:p>
        </w:tc>
      </w:tr>
      <w:tr w:rsidR="00E24F2E" w:rsidRPr="00E24F2E" w:rsidTr="00E15939">
        <w:tc>
          <w:tcPr>
            <w:cnfStyle w:val="001000000000" w:firstRow="0" w:lastRow="0" w:firstColumn="1" w:lastColumn="0" w:oddVBand="0" w:evenVBand="0" w:oddHBand="0" w:evenHBand="0" w:firstRowFirstColumn="0" w:firstRowLastColumn="0" w:lastRowFirstColumn="0" w:lastRowLastColumn="0"/>
            <w:tcW w:w="2663" w:type="pct"/>
            <w:tcBorders>
              <w:top w:val="single" w:sz="4" w:space="0" w:color="auto"/>
              <w:bottom w:val="single" w:sz="4" w:space="0" w:color="auto"/>
            </w:tcBorders>
            <w:noWrap/>
            <w:hideMark/>
          </w:tcPr>
          <w:p w:rsidR="00E24F2E" w:rsidRPr="00E24F2E" w:rsidRDefault="00E24F2E" w:rsidP="00E24F2E">
            <w:pPr>
              <w:pStyle w:val="TableBodyText"/>
              <w:rPr>
                <w:rStyle w:val="Bold"/>
              </w:rPr>
            </w:pPr>
            <w:r w:rsidRPr="00E24F2E">
              <w:rPr>
                <w:rStyle w:val="Bold"/>
              </w:rPr>
              <w:t>Total other economic flows included in net result</w:t>
            </w:r>
          </w:p>
        </w:tc>
        <w:tc>
          <w:tcPr>
            <w:tcW w:w="463" w:type="pct"/>
            <w:tcBorders>
              <w:top w:val="single" w:sz="4" w:space="0" w:color="auto"/>
              <w:bottom w:val="single" w:sz="4" w:space="0" w:color="auto"/>
            </w:tcBorders>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0.0</w:t>
            </w:r>
          </w:p>
        </w:tc>
        <w:tc>
          <w:tcPr>
            <w:tcW w:w="664" w:type="pct"/>
            <w:tcBorders>
              <w:top w:val="single" w:sz="4" w:space="0" w:color="auto"/>
              <w:bottom w:val="single" w:sz="4" w:space="0" w:color="auto"/>
            </w:tcBorders>
            <w:shd w:val="clear" w:color="auto" w:fill="F3F3F3"/>
            <w:noWrap/>
            <w:hideMark/>
          </w:tcPr>
          <w:p w:rsidR="00E24F2E" w:rsidRPr="00E24F2E"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4.2</w:t>
            </w:r>
          </w:p>
        </w:tc>
        <w:tc>
          <w:tcPr>
            <w:tcW w:w="659"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4.2</w:t>
            </w:r>
          </w:p>
        </w:tc>
      </w:tr>
      <w:tr w:rsidR="00E24F2E" w:rsidRPr="00E24F2E" w:rsidTr="00E15939">
        <w:tc>
          <w:tcPr>
            <w:cnfStyle w:val="001000000000" w:firstRow="0" w:lastRow="0" w:firstColumn="1" w:lastColumn="0" w:oddVBand="0" w:evenVBand="0" w:oddHBand="0" w:evenHBand="0" w:firstRowFirstColumn="0" w:firstRowLastColumn="0" w:lastRowFirstColumn="0" w:lastRowLastColumn="0"/>
            <w:tcW w:w="2663" w:type="pct"/>
            <w:tcBorders>
              <w:top w:val="single" w:sz="4" w:space="0" w:color="auto"/>
              <w:bottom w:val="single" w:sz="4" w:space="0" w:color="auto"/>
            </w:tcBorders>
            <w:noWrap/>
            <w:hideMark/>
          </w:tcPr>
          <w:p w:rsidR="00E24F2E" w:rsidRPr="00E24F2E" w:rsidRDefault="00E24F2E" w:rsidP="00E24F2E">
            <w:pPr>
              <w:pStyle w:val="TableBodyText"/>
              <w:rPr>
                <w:rStyle w:val="Bold"/>
              </w:rPr>
            </w:pPr>
            <w:r w:rsidRPr="00E24F2E">
              <w:rPr>
                <w:rStyle w:val="Bold"/>
              </w:rPr>
              <w:t>Net result</w:t>
            </w:r>
          </w:p>
        </w:tc>
        <w:tc>
          <w:tcPr>
            <w:tcW w:w="463" w:type="pct"/>
            <w:tcBorders>
              <w:top w:val="single" w:sz="4" w:space="0" w:color="auto"/>
              <w:bottom w:val="single" w:sz="4" w:space="0" w:color="auto"/>
            </w:tcBorders>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0.0</w:t>
            </w:r>
          </w:p>
        </w:tc>
        <w:tc>
          <w:tcPr>
            <w:tcW w:w="664" w:type="pct"/>
            <w:tcBorders>
              <w:top w:val="single" w:sz="4" w:space="0" w:color="auto"/>
              <w:bottom w:val="single" w:sz="4" w:space="0" w:color="auto"/>
            </w:tcBorders>
            <w:shd w:val="clear" w:color="auto" w:fill="F3F3F3"/>
            <w:noWrap/>
            <w:hideMark/>
          </w:tcPr>
          <w:p w:rsidR="00E24F2E" w:rsidRPr="00E24F2E"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1.7</w:t>
            </w:r>
          </w:p>
        </w:tc>
        <w:tc>
          <w:tcPr>
            <w:tcW w:w="659"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1.7</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525182" w:rsidRPr="00E24F2E" w:rsidRDefault="00525182" w:rsidP="00E24F2E">
            <w:pPr>
              <w:pStyle w:val="TableBodyText"/>
              <w:spacing w:before="120"/>
              <w:rPr>
                <w:rStyle w:val="Bold"/>
              </w:rPr>
            </w:pPr>
            <w:r w:rsidRPr="00E24F2E">
              <w:rPr>
                <w:rStyle w:val="Bold"/>
              </w:rPr>
              <w:t>Other economic flows - other comprehensive income</w:t>
            </w:r>
          </w:p>
        </w:tc>
        <w:tc>
          <w:tcPr>
            <w:tcW w:w="463" w:type="pct"/>
            <w:shd w:val="clear" w:color="auto" w:fill="F3F3F3"/>
            <w:noWrap/>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64" w:type="pct"/>
            <w:shd w:val="clear" w:color="auto" w:fill="F3F3F3"/>
            <w:noWrap/>
          </w:tcPr>
          <w:p w:rsidR="00525182" w:rsidRPr="00525182" w:rsidRDefault="004379E9" w:rsidP="00E15939">
            <w:pPr>
              <w:pStyle w:val="TableBodyText"/>
              <w:pageBreakBefore/>
              <w:spacing w:before="120"/>
              <w:cnfStyle w:val="000000000000" w:firstRow="0" w:lastRow="0" w:firstColumn="0" w:lastColumn="0" w:oddVBand="0" w:evenVBand="0" w:oddHBand="0" w:evenHBand="0" w:firstRowFirstColumn="0" w:firstRowLastColumn="0" w:lastRowFirstColumn="0" w:lastRowLastColumn="0"/>
            </w:pPr>
            <w:r>
              <w:t>N/A</w:t>
            </w:r>
          </w:p>
        </w:tc>
        <w:tc>
          <w:tcPr>
            <w:tcW w:w="659" w:type="pct"/>
            <w:noWrap/>
            <w:hideMark/>
          </w:tcPr>
          <w:p w:rsidR="00525182" w:rsidRPr="00525182" w:rsidRDefault="004379E9" w:rsidP="00E24F2E">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E24F2E" w:rsidRPr="00525182" w:rsidTr="00E15939">
        <w:tc>
          <w:tcPr>
            <w:cnfStyle w:val="001000000000" w:firstRow="0" w:lastRow="0" w:firstColumn="1" w:lastColumn="0" w:oddVBand="0" w:evenVBand="0" w:oddHBand="0" w:evenHBand="0" w:firstRowFirstColumn="0" w:firstRowLastColumn="0" w:lastRowFirstColumn="0" w:lastRowLastColumn="0"/>
            <w:tcW w:w="2663" w:type="pct"/>
            <w:noWrap/>
            <w:hideMark/>
          </w:tcPr>
          <w:p w:rsidR="00E24F2E" w:rsidRPr="00525182" w:rsidRDefault="00E24F2E" w:rsidP="00E24F2E">
            <w:pPr>
              <w:pStyle w:val="TableBodyText"/>
            </w:pPr>
            <w:r w:rsidRPr="00525182">
              <w:t>Items that will not be reclassified to net result</w:t>
            </w:r>
          </w:p>
        </w:tc>
        <w:tc>
          <w:tcPr>
            <w:tcW w:w="463" w:type="pct"/>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0</w:t>
            </w:r>
          </w:p>
        </w:tc>
        <w:tc>
          <w:tcPr>
            <w:tcW w:w="664" w:type="pct"/>
            <w:shd w:val="clear" w:color="auto" w:fill="F3F3F3"/>
            <w:noWrap/>
          </w:tcPr>
          <w:p w:rsidR="00E24F2E" w:rsidRPr="00525182"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pPr>
            <w:r>
              <w:t>0</w:t>
            </w:r>
          </w:p>
        </w:tc>
        <w:tc>
          <w:tcPr>
            <w:tcW w:w="659" w:type="pct"/>
            <w:noWrap/>
            <w:hideMark/>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0</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663" w:type="pct"/>
            <w:tcBorders>
              <w:bottom w:val="single" w:sz="4" w:space="0" w:color="auto"/>
            </w:tcBorders>
            <w:noWrap/>
            <w:hideMark/>
          </w:tcPr>
          <w:p w:rsidR="00525182" w:rsidRPr="00525182" w:rsidRDefault="00525182" w:rsidP="004379E9">
            <w:pPr>
              <w:pStyle w:val="TableBodyText"/>
            </w:pPr>
            <w:r w:rsidRPr="00525182">
              <w:t>Changes in physical asset revaluation reserve</w:t>
            </w:r>
          </w:p>
        </w:tc>
        <w:tc>
          <w:tcPr>
            <w:tcW w:w="463" w:type="pct"/>
            <w:tcBorders>
              <w:bottom w:val="single" w:sz="4" w:space="0" w:color="auto"/>
            </w:tcBorders>
            <w:shd w:val="clear" w:color="auto" w:fill="F3F3F3"/>
            <w:noWrap/>
            <w:hideMark/>
          </w:tcPr>
          <w:p w:rsidR="00525182" w:rsidRPr="00525182" w:rsidRDefault="00525182" w:rsidP="004379E9">
            <w:pPr>
              <w:pStyle w:val="TableBodyText"/>
              <w:cnfStyle w:val="000000000000" w:firstRow="0" w:lastRow="0" w:firstColumn="0" w:lastColumn="0" w:oddVBand="0" w:evenVBand="0" w:oddHBand="0" w:evenHBand="0" w:firstRowFirstColumn="0" w:firstRowLastColumn="0" w:lastRowFirstColumn="0" w:lastRowLastColumn="0"/>
            </w:pPr>
            <w:r w:rsidRPr="00525182">
              <w:t>8</w:t>
            </w:r>
          </w:p>
        </w:tc>
        <w:tc>
          <w:tcPr>
            <w:tcW w:w="551" w:type="pct"/>
            <w:tcBorders>
              <w:bottom w:val="single" w:sz="4" w:space="0" w:color="auto"/>
            </w:tcBorders>
            <w:noWrap/>
            <w:hideMark/>
          </w:tcPr>
          <w:p w:rsidR="00525182" w:rsidRPr="00525182" w:rsidRDefault="00E24F2E" w:rsidP="004379E9">
            <w:pPr>
              <w:pStyle w:val="TableBodyText"/>
              <w:cnfStyle w:val="000000000000" w:firstRow="0" w:lastRow="0" w:firstColumn="0" w:lastColumn="0" w:oddVBand="0" w:evenVBand="0" w:oddHBand="0" w:evenHBand="0" w:firstRowFirstColumn="0" w:firstRowLastColumn="0" w:lastRowFirstColumn="0" w:lastRowLastColumn="0"/>
            </w:pPr>
            <w:r>
              <w:t>0</w:t>
            </w:r>
          </w:p>
        </w:tc>
        <w:tc>
          <w:tcPr>
            <w:tcW w:w="664" w:type="pct"/>
            <w:tcBorders>
              <w:bottom w:val="single" w:sz="4" w:space="0" w:color="auto"/>
            </w:tcBorders>
            <w:shd w:val="clear" w:color="auto" w:fill="F3F3F3"/>
            <w:noWrap/>
            <w:hideMark/>
          </w:tcPr>
          <w:p w:rsidR="00525182" w:rsidRPr="00525182" w:rsidRDefault="00525182" w:rsidP="00E15939">
            <w:pPr>
              <w:pStyle w:val="TableBodyText"/>
              <w:pageBreakBefore/>
              <w:cnfStyle w:val="000000000000" w:firstRow="0" w:lastRow="0" w:firstColumn="0" w:lastColumn="0" w:oddVBand="0" w:evenVBand="0" w:oddHBand="0" w:evenHBand="0" w:firstRowFirstColumn="0" w:firstRowLastColumn="0" w:lastRowFirstColumn="0" w:lastRowLastColumn="0"/>
            </w:pPr>
            <w:r w:rsidRPr="00525182">
              <w:t>3.9</w:t>
            </w:r>
          </w:p>
        </w:tc>
        <w:tc>
          <w:tcPr>
            <w:tcW w:w="659" w:type="pct"/>
            <w:tcBorders>
              <w:bottom w:val="single" w:sz="4" w:space="0" w:color="auto"/>
            </w:tcBorders>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3.9</w:t>
            </w:r>
          </w:p>
        </w:tc>
      </w:tr>
      <w:tr w:rsidR="00E24F2E" w:rsidRPr="00E24F2E" w:rsidTr="00E15939">
        <w:tc>
          <w:tcPr>
            <w:cnfStyle w:val="001000000000" w:firstRow="0" w:lastRow="0" w:firstColumn="1" w:lastColumn="0" w:oddVBand="0" w:evenVBand="0" w:oddHBand="0" w:evenHBand="0" w:firstRowFirstColumn="0" w:firstRowLastColumn="0" w:lastRowFirstColumn="0" w:lastRowLastColumn="0"/>
            <w:tcW w:w="2663" w:type="pct"/>
            <w:tcBorders>
              <w:top w:val="single" w:sz="4" w:space="0" w:color="auto"/>
              <w:bottom w:val="single" w:sz="4" w:space="0" w:color="auto"/>
            </w:tcBorders>
            <w:noWrap/>
            <w:hideMark/>
          </w:tcPr>
          <w:p w:rsidR="00E24F2E" w:rsidRPr="00E24F2E" w:rsidRDefault="00E24F2E" w:rsidP="00E24F2E">
            <w:pPr>
              <w:pStyle w:val="TableBodyText"/>
              <w:rPr>
                <w:rStyle w:val="Bold"/>
              </w:rPr>
            </w:pPr>
            <w:r w:rsidRPr="00E24F2E">
              <w:rPr>
                <w:rStyle w:val="Bold"/>
              </w:rPr>
              <w:t>Total other economic flows - other comprehensive income</w:t>
            </w:r>
          </w:p>
        </w:tc>
        <w:tc>
          <w:tcPr>
            <w:tcW w:w="463" w:type="pct"/>
            <w:tcBorders>
              <w:top w:val="single" w:sz="4" w:space="0" w:color="auto"/>
              <w:bottom w:val="single" w:sz="4" w:space="0" w:color="auto"/>
            </w:tcBorders>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0.0</w:t>
            </w:r>
          </w:p>
        </w:tc>
        <w:tc>
          <w:tcPr>
            <w:tcW w:w="664" w:type="pct"/>
            <w:tcBorders>
              <w:top w:val="single" w:sz="4" w:space="0" w:color="auto"/>
              <w:bottom w:val="single" w:sz="4" w:space="0" w:color="auto"/>
            </w:tcBorders>
            <w:shd w:val="clear" w:color="auto" w:fill="F3F3F3"/>
            <w:noWrap/>
            <w:hideMark/>
          </w:tcPr>
          <w:p w:rsidR="00E24F2E" w:rsidRPr="00E24F2E"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3.9</w:t>
            </w:r>
          </w:p>
        </w:tc>
        <w:tc>
          <w:tcPr>
            <w:tcW w:w="659"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3.9</w:t>
            </w:r>
          </w:p>
        </w:tc>
      </w:tr>
      <w:tr w:rsidR="00E24F2E" w:rsidRPr="00E24F2E" w:rsidTr="00E15939">
        <w:tc>
          <w:tcPr>
            <w:cnfStyle w:val="001000000000" w:firstRow="0" w:lastRow="0" w:firstColumn="1" w:lastColumn="0" w:oddVBand="0" w:evenVBand="0" w:oddHBand="0" w:evenHBand="0" w:firstRowFirstColumn="0" w:firstRowLastColumn="0" w:lastRowFirstColumn="0" w:lastRowLastColumn="0"/>
            <w:tcW w:w="2663" w:type="pct"/>
            <w:tcBorders>
              <w:top w:val="single" w:sz="4" w:space="0" w:color="auto"/>
              <w:bottom w:val="single" w:sz="4" w:space="0" w:color="auto"/>
            </w:tcBorders>
            <w:noWrap/>
            <w:hideMark/>
          </w:tcPr>
          <w:p w:rsidR="00E24F2E" w:rsidRPr="00E24F2E" w:rsidRDefault="00E24F2E" w:rsidP="00E24F2E">
            <w:pPr>
              <w:pStyle w:val="TableBodyText"/>
              <w:rPr>
                <w:rStyle w:val="Bold"/>
              </w:rPr>
            </w:pPr>
            <w:r w:rsidRPr="00E24F2E">
              <w:rPr>
                <w:rStyle w:val="Bold"/>
              </w:rPr>
              <w:t>Comprehensive result</w:t>
            </w:r>
          </w:p>
        </w:tc>
        <w:tc>
          <w:tcPr>
            <w:tcW w:w="463" w:type="pct"/>
            <w:tcBorders>
              <w:top w:val="single" w:sz="4" w:space="0" w:color="auto"/>
              <w:bottom w:val="single" w:sz="4" w:space="0" w:color="auto"/>
            </w:tcBorders>
            <w:shd w:val="clear" w:color="auto" w:fill="F3F3F3"/>
            <w:noWrap/>
          </w:tcPr>
          <w:p w:rsidR="00E24F2E"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51"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0.0</w:t>
            </w:r>
          </w:p>
        </w:tc>
        <w:tc>
          <w:tcPr>
            <w:tcW w:w="664" w:type="pct"/>
            <w:tcBorders>
              <w:top w:val="single" w:sz="4" w:space="0" w:color="auto"/>
              <w:bottom w:val="single" w:sz="4" w:space="0" w:color="auto"/>
            </w:tcBorders>
            <w:shd w:val="clear" w:color="auto" w:fill="F3F3F3"/>
            <w:noWrap/>
            <w:hideMark/>
          </w:tcPr>
          <w:p w:rsidR="00E24F2E" w:rsidRPr="00E24F2E" w:rsidRDefault="00E24F2E" w:rsidP="00E15939">
            <w:pPr>
              <w:pStyle w:val="TableBodyText"/>
              <w:pageBreakBefore/>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5.6</w:t>
            </w:r>
          </w:p>
        </w:tc>
        <w:tc>
          <w:tcPr>
            <w:tcW w:w="659" w:type="pct"/>
            <w:tcBorders>
              <w:top w:val="single" w:sz="4" w:space="0" w:color="auto"/>
              <w:bottom w:val="single" w:sz="4" w:space="0" w:color="auto"/>
            </w:tcBorders>
            <w:noWrap/>
            <w:hideMark/>
          </w:tcPr>
          <w:p w:rsidR="00E24F2E"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5.6</w:t>
            </w:r>
          </w:p>
        </w:tc>
      </w:tr>
    </w:tbl>
    <w:p w:rsidR="00525182" w:rsidRDefault="00525182" w:rsidP="00E24F2E">
      <w:pPr>
        <w:pStyle w:val="Heading2"/>
        <w:pageBreakBefore/>
        <w:numPr>
          <w:ilvl w:val="0"/>
          <w:numId w:val="0"/>
        </w:numPr>
      </w:pPr>
      <w:bookmarkStart w:id="76" w:name="_Toc497125501"/>
      <w:r w:rsidRPr="00525182">
        <w:lastRenderedPageBreak/>
        <w:t>Balance sheet as at 30 June 2017</w:t>
      </w:r>
      <w:bookmarkEnd w:id="76"/>
    </w:p>
    <w:tbl>
      <w:tblPr>
        <w:tblStyle w:val="FinancialTable"/>
        <w:tblW w:w="5000" w:type="pct"/>
        <w:tblLook w:val="04A0" w:firstRow="1" w:lastRow="0" w:firstColumn="1" w:lastColumn="0" w:noHBand="0" w:noVBand="1"/>
      </w:tblPr>
      <w:tblGrid>
        <w:gridCol w:w="4524"/>
        <w:gridCol w:w="892"/>
        <w:gridCol w:w="1301"/>
        <w:gridCol w:w="1450"/>
        <w:gridCol w:w="1471"/>
      </w:tblGrid>
      <w:tr w:rsidR="00E24F2E" w:rsidRPr="00525182" w:rsidTr="00E159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7" w:type="pct"/>
            <w:noWrap/>
          </w:tcPr>
          <w:p w:rsidR="00E24F2E" w:rsidRPr="00E24F2E" w:rsidRDefault="00E24F2E" w:rsidP="00E24F2E">
            <w:pPr>
              <w:pStyle w:val="TableBodyText"/>
              <w:rPr>
                <w:rStyle w:val="Bold"/>
              </w:rPr>
            </w:pPr>
            <w:r>
              <w:rPr>
                <w:rStyle w:val="Bold"/>
              </w:rPr>
              <w:t>Item</w:t>
            </w:r>
          </w:p>
        </w:tc>
        <w:tc>
          <w:tcPr>
            <w:tcW w:w="463" w:type="pct"/>
          </w:tcPr>
          <w:p w:rsidR="00E24F2E" w:rsidRPr="00E24F2E" w:rsidRDefault="00E24F2E" w:rsidP="00E24F2E">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24F2E">
              <w:rPr>
                <w:rStyle w:val="Bold"/>
              </w:rPr>
              <w:t>Variance Note</w:t>
            </w:r>
          </w:p>
        </w:tc>
        <w:tc>
          <w:tcPr>
            <w:tcW w:w="675" w:type="pct"/>
            <w:shd w:val="clear" w:color="auto" w:fill="F3F3F3"/>
            <w:hideMark/>
          </w:tcPr>
          <w:p w:rsidR="00E24F2E" w:rsidRPr="00E24F2E" w:rsidRDefault="00E24F2E" w:rsidP="00E24F2E">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24F2E">
              <w:rPr>
                <w:rStyle w:val="Bold"/>
              </w:rPr>
              <w:t>Original budget</w:t>
            </w:r>
            <w:r w:rsidRPr="00E24F2E">
              <w:rPr>
                <w:rStyle w:val="Bold"/>
              </w:rPr>
              <w:br/>
              <w:t>2017</w:t>
            </w:r>
          </w:p>
          <w:p w:rsidR="00E24F2E" w:rsidRPr="00E24F2E" w:rsidRDefault="00E24F2E" w:rsidP="00E24F2E">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24F2E">
              <w:rPr>
                <w:rStyle w:val="Bold"/>
              </w:rPr>
              <w:t>($ million)</w:t>
            </w:r>
          </w:p>
        </w:tc>
        <w:tc>
          <w:tcPr>
            <w:tcW w:w="752" w:type="pct"/>
            <w:hideMark/>
          </w:tcPr>
          <w:p w:rsidR="00E24F2E" w:rsidRPr="00E24F2E" w:rsidRDefault="00E24F2E" w:rsidP="00E24F2E">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24F2E">
              <w:rPr>
                <w:rStyle w:val="Bold"/>
              </w:rPr>
              <w:t>Actual</w:t>
            </w:r>
            <w:r w:rsidRPr="00E24F2E">
              <w:rPr>
                <w:rStyle w:val="Bold"/>
              </w:rPr>
              <w:br/>
              <w:t>2017</w:t>
            </w:r>
          </w:p>
          <w:p w:rsidR="00E24F2E" w:rsidRPr="00E24F2E" w:rsidRDefault="00E24F2E" w:rsidP="00E24F2E">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24F2E">
              <w:rPr>
                <w:rStyle w:val="Bold"/>
              </w:rPr>
              <w:t>($ million)</w:t>
            </w:r>
          </w:p>
        </w:tc>
        <w:tc>
          <w:tcPr>
            <w:tcW w:w="763" w:type="pct"/>
            <w:shd w:val="clear" w:color="auto" w:fill="F3F3F3"/>
            <w:noWrap/>
            <w:hideMark/>
          </w:tcPr>
          <w:p w:rsidR="00E24F2E" w:rsidRPr="00E24F2E" w:rsidRDefault="00E24F2E" w:rsidP="00E24F2E">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24F2E">
              <w:rPr>
                <w:rStyle w:val="Bold"/>
              </w:rPr>
              <w:t>Variance</w:t>
            </w:r>
          </w:p>
          <w:p w:rsidR="00E24F2E" w:rsidRPr="00E24F2E" w:rsidRDefault="00E24F2E" w:rsidP="00E24F2E">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E24F2E">
              <w:rPr>
                <w:rStyle w:val="Bold"/>
              </w:rPr>
              <w:t>($ million)</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E24F2E" w:rsidRDefault="00525182" w:rsidP="00E24F2E">
            <w:pPr>
              <w:pStyle w:val="TableBodyText"/>
              <w:rPr>
                <w:rStyle w:val="Bold"/>
              </w:rPr>
            </w:pPr>
            <w:r w:rsidRPr="00E24F2E">
              <w:rPr>
                <w:rStyle w:val="Bold"/>
              </w:rPr>
              <w:t>Financial assets</w:t>
            </w:r>
          </w:p>
        </w:tc>
        <w:tc>
          <w:tcPr>
            <w:tcW w:w="463" w:type="pct"/>
            <w:noWrap/>
            <w:hideMark/>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shd w:val="clear" w:color="auto" w:fill="F3F3F3"/>
            <w:noWrap/>
          </w:tcPr>
          <w:p w:rsidR="00525182"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52" w:type="pct"/>
            <w:noWrap/>
            <w:hideMark/>
          </w:tcPr>
          <w:p w:rsidR="00525182"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63" w:type="pct"/>
            <w:shd w:val="clear" w:color="auto" w:fill="F3F3F3"/>
            <w:noWrap/>
          </w:tcPr>
          <w:p w:rsidR="00525182" w:rsidRPr="00525182"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t>N/A</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Cash and deposits</w:t>
            </w:r>
          </w:p>
        </w:tc>
        <w:tc>
          <w:tcPr>
            <w:tcW w:w="463" w:type="pct"/>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E24F2E">
              <w:t>9</w:t>
            </w:r>
          </w:p>
        </w:tc>
        <w:tc>
          <w:tcPr>
            <w:tcW w:w="675"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5.0 </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9.1 </w:t>
            </w:r>
          </w:p>
        </w:tc>
        <w:tc>
          <w:tcPr>
            <w:tcW w:w="763"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4.1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tcBorders>
              <w:bottom w:val="single" w:sz="4" w:space="0" w:color="auto"/>
            </w:tcBorders>
            <w:noWrap/>
            <w:hideMark/>
          </w:tcPr>
          <w:p w:rsidR="00525182" w:rsidRPr="00525182" w:rsidRDefault="00525182" w:rsidP="00E24F2E">
            <w:pPr>
              <w:pStyle w:val="TableBodyText"/>
            </w:pPr>
            <w:r w:rsidRPr="00525182">
              <w:t>Receivables</w:t>
            </w:r>
          </w:p>
        </w:tc>
        <w:tc>
          <w:tcPr>
            <w:tcW w:w="463" w:type="pct"/>
            <w:tcBorders>
              <w:bottom w:val="single" w:sz="4" w:space="0" w:color="auto"/>
            </w:tcBorders>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E24F2E">
              <w:t>10</w:t>
            </w:r>
          </w:p>
        </w:tc>
        <w:tc>
          <w:tcPr>
            <w:tcW w:w="675" w:type="pct"/>
            <w:tcBorders>
              <w:bottom w:val="single" w:sz="4" w:space="0" w:color="auto"/>
            </w:tcBorders>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101.0 </w:t>
            </w:r>
          </w:p>
        </w:tc>
        <w:tc>
          <w:tcPr>
            <w:tcW w:w="752" w:type="pct"/>
            <w:tcBorders>
              <w:bottom w:val="single" w:sz="4" w:space="0" w:color="auto"/>
            </w:tcBorders>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81.9 </w:t>
            </w:r>
          </w:p>
        </w:tc>
        <w:tc>
          <w:tcPr>
            <w:tcW w:w="763" w:type="pct"/>
            <w:tcBorders>
              <w:bottom w:val="single" w:sz="4" w:space="0" w:color="auto"/>
            </w:tcBorders>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(19.1)</w:t>
            </w:r>
          </w:p>
        </w:tc>
      </w:tr>
      <w:tr w:rsidR="00525182" w:rsidRPr="00E24F2E"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bottom w:val="single" w:sz="4" w:space="0" w:color="auto"/>
            </w:tcBorders>
            <w:noWrap/>
            <w:hideMark/>
          </w:tcPr>
          <w:p w:rsidR="00525182" w:rsidRPr="00E24F2E" w:rsidRDefault="00525182" w:rsidP="00E24F2E">
            <w:pPr>
              <w:pStyle w:val="TableBodyText"/>
              <w:rPr>
                <w:rStyle w:val="Bold"/>
              </w:rPr>
            </w:pPr>
            <w:r w:rsidRPr="00E24F2E">
              <w:rPr>
                <w:rStyle w:val="Bold"/>
              </w:rPr>
              <w:t>Total financial assets</w:t>
            </w:r>
          </w:p>
        </w:tc>
        <w:tc>
          <w:tcPr>
            <w:tcW w:w="463" w:type="pct"/>
            <w:tcBorders>
              <w:top w:val="single" w:sz="4" w:space="0" w:color="auto"/>
              <w:bottom w:val="single" w:sz="4" w:space="0" w:color="auto"/>
            </w:tcBorders>
            <w:noWrap/>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105.0 </w:t>
            </w:r>
          </w:p>
        </w:tc>
        <w:tc>
          <w:tcPr>
            <w:tcW w:w="752" w:type="pct"/>
            <w:tcBorders>
              <w:top w:val="single" w:sz="4" w:space="0" w:color="auto"/>
              <w:bottom w:val="single" w:sz="4" w:space="0" w:color="auto"/>
            </w:tcBorders>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91.0 </w:t>
            </w:r>
          </w:p>
        </w:tc>
        <w:tc>
          <w:tcPr>
            <w:tcW w:w="763" w:type="pct"/>
            <w:tcBorders>
              <w:top w:val="single" w:sz="4" w:space="0" w:color="auto"/>
              <w:bottom w:val="single" w:sz="4" w:space="0" w:color="auto"/>
            </w:tcBorders>
            <w:shd w:val="clear" w:color="auto" w:fill="F3F3F3"/>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 (15.0)</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tcBorders>
            <w:noWrap/>
            <w:hideMark/>
          </w:tcPr>
          <w:p w:rsidR="00525182" w:rsidRPr="00E24F2E" w:rsidRDefault="00525182" w:rsidP="00F37478">
            <w:pPr>
              <w:pStyle w:val="TableBodyText"/>
              <w:spacing w:before="120"/>
              <w:rPr>
                <w:rStyle w:val="Bold"/>
              </w:rPr>
            </w:pPr>
            <w:r w:rsidRPr="00E24F2E">
              <w:rPr>
                <w:rStyle w:val="Bold"/>
              </w:rPr>
              <w:t>Non-financial assets</w:t>
            </w:r>
          </w:p>
        </w:tc>
        <w:tc>
          <w:tcPr>
            <w:tcW w:w="463" w:type="pct"/>
            <w:tcBorders>
              <w:top w:val="single" w:sz="4" w:space="0" w:color="auto"/>
            </w:tcBorders>
            <w:noWrap/>
            <w:hideMark/>
          </w:tcPr>
          <w:p w:rsidR="00525182" w:rsidRPr="00E24F2E"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tcBorders>
            <w:shd w:val="clear" w:color="auto" w:fill="F3F3F3"/>
            <w:noWrap/>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52" w:type="pct"/>
            <w:tcBorders>
              <w:top w:val="single" w:sz="4" w:space="0" w:color="auto"/>
            </w:tcBorders>
            <w:noWrap/>
            <w:hideMark/>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63" w:type="pct"/>
            <w:tcBorders>
              <w:top w:val="single" w:sz="4" w:space="0" w:color="auto"/>
            </w:tcBorders>
            <w:shd w:val="clear" w:color="auto" w:fill="F3F3F3"/>
            <w:noWrap/>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Non-financial physical assets classified as held for sale</w:t>
            </w:r>
          </w:p>
        </w:tc>
        <w:tc>
          <w:tcPr>
            <w:tcW w:w="463" w:type="pct"/>
            <w:noWrap/>
            <w:hideMark/>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shd w:val="clear" w:color="auto" w:fill="F3F3F3"/>
            <w:noWrap/>
            <w:hideMark/>
          </w:tcPr>
          <w:p w:rsidR="00525182" w:rsidRPr="00525182" w:rsidRDefault="00E24F2E"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0.2 </w:t>
            </w:r>
          </w:p>
        </w:tc>
        <w:tc>
          <w:tcPr>
            <w:tcW w:w="763"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0.2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 xml:space="preserve">Property, plant and equipment </w:t>
            </w:r>
          </w:p>
        </w:tc>
        <w:tc>
          <w:tcPr>
            <w:tcW w:w="463" w:type="pct"/>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E24F2E">
              <w:t>11</w:t>
            </w:r>
          </w:p>
        </w:tc>
        <w:tc>
          <w:tcPr>
            <w:tcW w:w="675"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762.4 </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975.2 </w:t>
            </w:r>
          </w:p>
        </w:tc>
        <w:tc>
          <w:tcPr>
            <w:tcW w:w="763"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212.8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Intangible assets</w:t>
            </w:r>
          </w:p>
        </w:tc>
        <w:tc>
          <w:tcPr>
            <w:tcW w:w="463" w:type="pct"/>
            <w:noWrap/>
            <w:hideMark/>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18.4 </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18.3 </w:t>
            </w:r>
          </w:p>
        </w:tc>
        <w:tc>
          <w:tcPr>
            <w:tcW w:w="763" w:type="pct"/>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(0.1)</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tcBorders>
              <w:bottom w:val="single" w:sz="4" w:space="0" w:color="auto"/>
            </w:tcBorders>
            <w:noWrap/>
            <w:hideMark/>
          </w:tcPr>
          <w:p w:rsidR="00525182" w:rsidRPr="00525182" w:rsidRDefault="00525182" w:rsidP="00E24F2E">
            <w:pPr>
              <w:pStyle w:val="TableBodyText"/>
            </w:pPr>
            <w:r w:rsidRPr="00525182">
              <w:t>Prepayments</w:t>
            </w:r>
          </w:p>
        </w:tc>
        <w:tc>
          <w:tcPr>
            <w:tcW w:w="463" w:type="pct"/>
            <w:tcBorders>
              <w:bottom w:val="single" w:sz="4" w:space="0" w:color="auto"/>
            </w:tcBorders>
            <w:noWrap/>
            <w:hideMark/>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bottom w:val="single" w:sz="4" w:space="0" w:color="auto"/>
            </w:tcBorders>
            <w:shd w:val="clear" w:color="auto" w:fill="F3F3F3"/>
            <w:noWrap/>
            <w:hideMark/>
          </w:tcPr>
          <w:p w:rsidR="00525182" w:rsidRPr="00525182" w:rsidRDefault="00E24F2E"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2" w:type="pct"/>
            <w:tcBorders>
              <w:bottom w:val="single" w:sz="4" w:space="0" w:color="auto"/>
            </w:tcBorders>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2.1 </w:t>
            </w:r>
          </w:p>
        </w:tc>
        <w:tc>
          <w:tcPr>
            <w:tcW w:w="763" w:type="pct"/>
            <w:tcBorders>
              <w:bottom w:val="single" w:sz="4" w:space="0" w:color="auto"/>
            </w:tcBorders>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2.1 </w:t>
            </w:r>
          </w:p>
        </w:tc>
      </w:tr>
      <w:tr w:rsidR="00525182" w:rsidRPr="00E24F2E"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bottom w:val="single" w:sz="4" w:space="0" w:color="auto"/>
            </w:tcBorders>
            <w:noWrap/>
            <w:hideMark/>
          </w:tcPr>
          <w:p w:rsidR="00525182" w:rsidRPr="00E24F2E" w:rsidRDefault="00525182" w:rsidP="00E24F2E">
            <w:pPr>
              <w:pStyle w:val="TableBodyText"/>
              <w:rPr>
                <w:rStyle w:val="Bold"/>
              </w:rPr>
            </w:pPr>
            <w:r w:rsidRPr="00E24F2E">
              <w:rPr>
                <w:rStyle w:val="Bold"/>
              </w:rPr>
              <w:t>Total non-financial assets</w:t>
            </w:r>
          </w:p>
        </w:tc>
        <w:tc>
          <w:tcPr>
            <w:tcW w:w="463" w:type="pct"/>
            <w:tcBorders>
              <w:top w:val="single" w:sz="4" w:space="0" w:color="auto"/>
              <w:bottom w:val="single" w:sz="4" w:space="0" w:color="auto"/>
            </w:tcBorders>
            <w:noWrap/>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782.0 </w:t>
            </w:r>
          </w:p>
        </w:tc>
        <w:tc>
          <w:tcPr>
            <w:tcW w:w="752" w:type="pct"/>
            <w:tcBorders>
              <w:top w:val="single" w:sz="4" w:space="0" w:color="auto"/>
              <w:bottom w:val="single" w:sz="4" w:space="0" w:color="auto"/>
            </w:tcBorders>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995.9 </w:t>
            </w:r>
          </w:p>
        </w:tc>
        <w:tc>
          <w:tcPr>
            <w:tcW w:w="763"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215.1 </w:t>
            </w:r>
          </w:p>
        </w:tc>
      </w:tr>
      <w:tr w:rsidR="00525182" w:rsidRPr="00E24F2E"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bottom w:val="single" w:sz="4" w:space="0" w:color="auto"/>
            </w:tcBorders>
            <w:noWrap/>
            <w:hideMark/>
          </w:tcPr>
          <w:p w:rsidR="00525182" w:rsidRPr="00E24F2E" w:rsidRDefault="00525182" w:rsidP="00E24F2E">
            <w:pPr>
              <w:pStyle w:val="TableBodyText"/>
              <w:rPr>
                <w:rStyle w:val="Bold"/>
              </w:rPr>
            </w:pPr>
            <w:r w:rsidRPr="00E24F2E">
              <w:rPr>
                <w:rStyle w:val="Bold"/>
              </w:rPr>
              <w:t>Total assets</w:t>
            </w:r>
          </w:p>
        </w:tc>
        <w:tc>
          <w:tcPr>
            <w:tcW w:w="463" w:type="pct"/>
            <w:tcBorders>
              <w:top w:val="single" w:sz="4" w:space="0" w:color="auto"/>
              <w:bottom w:val="single" w:sz="4" w:space="0" w:color="auto"/>
            </w:tcBorders>
            <w:noWrap/>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887.0 </w:t>
            </w:r>
          </w:p>
        </w:tc>
        <w:tc>
          <w:tcPr>
            <w:tcW w:w="752" w:type="pct"/>
            <w:tcBorders>
              <w:top w:val="single" w:sz="4" w:space="0" w:color="auto"/>
              <w:bottom w:val="single" w:sz="4" w:space="0" w:color="auto"/>
            </w:tcBorders>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1,086.8 </w:t>
            </w:r>
          </w:p>
        </w:tc>
        <w:tc>
          <w:tcPr>
            <w:tcW w:w="763"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200.0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tcBorders>
            <w:noWrap/>
            <w:hideMark/>
          </w:tcPr>
          <w:p w:rsidR="00525182" w:rsidRPr="00525182" w:rsidRDefault="00525182" w:rsidP="00F37478">
            <w:pPr>
              <w:pStyle w:val="TableBodyText"/>
              <w:spacing w:before="120"/>
            </w:pPr>
            <w:r w:rsidRPr="00E24F2E">
              <w:rPr>
                <w:rStyle w:val="Bold"/>
              </w:rPr>
              <w:t>Liabilities</w:t>
            </w:r>
          </w:p>
        </w:tc>
        <w:tc>
          <w:tcPr>
            <w:tcW w:w="463" w:type="pct"/>
            <w:tcBorders>
              <w:top w:val="single" w:sz="4" w:space="0" w:color="auto"/>
            </w:tcBorders>
            <w:noWrap/>
            <w:hideMark/>
          </w:tcPr>
          <w:p w:rsidR="00525182" w:rsidRPr="00E24F2E"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tcBorders>
            <w:shd w:val="clear" w:color="auto" w:fill="F3F3F3"/>
            <w:noWrap/>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52" w:type="pct"/>
            <w:tcBorders>
              <w:top w:val="single" w:sz="4" w:space="0" w:color="auto"/>
            </w:tcBorders>
            <w:noWrap/>
            <w:hideMark/>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63" w:type="pct"/>
            <w:tcBorders>
              <w:top w:val="single" w:sz="4" w:space="0" w:color="auto"/>
            </w:tcBorders>
            <w:shd w:val="clear" w:color="auto" w:fill="F3F3F3"/>
            <w:noWrap/>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Payables</w:t>
            </w:r>
          </w:p>
        </w:tc>
        <w:tc>
          <w:tcPr>
            <w:tcW w:w="463" w:type="pct"/>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E24F2E">
              <w:t>12</w:t>
            </w:r>
          </w:p>
        </w:tc>
        <w:tc>
          <w:tcPr>
            <w:tcW w:w="675"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25.0 </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31.1 </w:t>
            </w:r>
          </w:p>
        </w:tc>
        <w:tc>
          <w:tcPr>
            <w:tcW w:w="763"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6.1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Borrowings</w:t>
            </w:r>
          </w:p>
        </w:tc>
        <w:tc>
          <w:tcPr>
            <w:tcW w:w="463" w:type="pct"/>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E24F2E">
              <w:t>13</w:t>
            </w:r>
          </w:p>
        </w:tc>
        <w:tc>
          <w:tcPr>
            <w:tcW w:w="675"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91.0 </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79.1 </w:t>
            </w:r>
          </w:p>
        </w:tc>
        <w:tc>
          <w:tcPr>
            <w:tcW w:w="763" w:type="pct"/>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(11.9)</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tcBorders>
              <w:bottom w:val="single" w:sz="4" w:space="0" w:color="auto"/>
            </w:tcBorders>
            <w:noWrap/>
            <w:hideMark/>
          </w:tcPr>
          <w:p w:rsidR="00525182" w:rsidRPr="00525182" w:rsidRDefault="00525182" w:rsidP="00E24F2E">
            <w:pPr>
              <w:pStyle w:val="TableBodyText"/>
            </w:pPr>
            <w:r w:rsidRPr="00525182">
              <w:t>Provisions</w:t>
            </w:r>
          </w:p>
        </w:tc>
        <w:tc>
          <w:tcPr>
            <w:tcW w:w="463" w:type="pct"/>
            <w:tcBorders>
              <w:bottom w:val="single" w:sz="4" w:space="0" w:color="auto"/>
            </w:tcBorders>
            <w:noWrap/>
            <w:hideMark/>
          </w:tcPr>
          <w:p w:rsidR="00525182" w:rsidRPr="00E24F2E"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E24F2E">
              <w:t>14</w:t>
            </w:r>
          </w:p>
        </w:tc>
        <w:tc>
          <w:tcPr>
            <w:tcW w:w="675" w:type="pct"/>
            <w:tcBorders>
              <w:bottom w:val="single" w:sz="4" w:space="0" w:color="auto"/>
            </w:tcBorders>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70.0 </w:t>
            </w:r>
          </w:p>
        </w:tc>
        <w:tc>
          <w:tcPr>
            <w:tcW w:w="752" w:type="pct"/>
            <w:tcBorders>
              <w:bottom w:val="single" w:sz="4" w:space="0" w:color="auto"/>
            </w:tcBorders>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76.9 </w:t>
            </w:r>
          </w:p>
        </w:tc>
        <w:tc>
          <w:tcPr>
            <w:tcW w:w="763" w:type="pct"/>
            <w:tcBorders>
              <w:bottom w:val="single" w:sz="4" w:space="0" w:color="auto"/>
            </w:tcBorders>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6.9 </w:t>
            </w:r>
          </w:p>
        </w:tc>
      </w:tr>
      <w:tr w:rsidR="00525182" w:rsidRPr="00E24F2E"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bottom w:val="single" w:sz="4" w:space="0" w:color="auto"/>
            </w:tcBorders>
            <w:noWrap/>
            <w:hideMark/>
          </w:tcPr>
          <w:p w:rsidR="00525182" w:rsidRPr="00E24F2E" w:rsidRDefault="00525182" w:rsidP="00E24F2E">
            <w:pPr>
              <w:pStyle w:val="TableBodyText"/>
              <w:rPr>
                <w:rStyle w:val="Bold"/>
              </w:rPr>
            </w:pPr>
            <w:r w:rsidRPr="00E24F2E">
              <w:rPr>
                <w:rStyle w:val="Bold"/>
              </w:rPr>
              <w:t>Total liabilities</w:t>
            </w:r>
          </w:p>
        </w:tc>
        <w:tc>
          <w:tcPr>
            <w:tcW w:w="463" w:type="pct"/>
            <w:tcBorders>
              <w:top w:val="single" w:sz="4" w:space="0" w:color="auto"/>
              <w:bottom w:val="single" w:sz="4" w:space="0" w:color="auto"/>
            </w:tcBorders>
            <w:noWrap/>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185.0 </w:t>
            </w:r>
          </w:p>
        </w:tc>
        <w:tc>
          <w:tcPr>
            <w:tcW w:w="752" w:type="pct"/>
            <w:tcBorders>
              <w:top w:val="single" w:sz="4" w:space="0" w:color="auto"/>
              <w:bottom w:val="single" w:sz="4" w:space="0" w:color="auto"/>
            </w:tcBorders>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187.1 </w:t>
            </w:r>
          </w:p>
        </w:tc>
        <w:tc>
          <w:tcPr>
            <w:tcW w:w="763"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1.1 </w:t>
            </w:r>
          </w:p>
        </w:tc>
      </w:tr>
      <w:tr w:rsidR="00525182" w:rsidRPr="00E24F2E"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bottom w:val="single" w:sz="4" w:space="0" w:color="auto"/>
            </w:tcBorders>
            <w:noWrap/>
            <w:hideMark/>
          </w:tcPr>
          <w:p w:rsidR="00525182" w:rsidRPr="00E24F2E" w:rsidRDefault="00525182" w:rsidP="00E24F2E">
            <w:pPr>
              <w:pStyle w:val="TableBodyText"/>
              <w:rPr>
                <w:rStyle w:val="Bold"/>
              </w:rPr>
            </w:pPr>
            <w:r w:rsidRPr="00E24F2E">
              <w:rPr>
                <w:rStyle w:val="Bold"/>
              </w:rPr>
              <w:t>Net assets</w:t>
            </w:r>
          </w:p>
        </w:tc>
        <w:tc>
          <w:tcPr>
            <w:tcW w:w="463" w:type="pct"/>
            <w:tcBorders>
              <w:top w:val="single" w:sz="4" w:space="0" w:color="auto"/>
              <w:bottom w:val="single" w:sz="4" w:space="0" w:color="auto"/>
            </w:tcBorders>
            <w:noWrap/>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702.0 </w:t>
            </w:r>
          </w:p>
        </w:tc>
        <w:tc>
          <w:tcPr>
            <w:tcW w:w="752" w:type="pct"/>
            <w:tcBorders>
              <w:top w:val="single" w:sz="4" w:space="0" w:color="auto"/>
              <w:bottom w:val="single" w:sz="4" w:space="0" w:color="auto"/>
            </w:tcBorders>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899.7 </w:t>
            </w:r>
          </w:p>
        </w:tc>
        <w:tc>
          <w:tcPr>
            <w:tcW w:w="763"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198.9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tcBorders>
            <w:noWrap/>
            <w:hideMark/>
          </w:tcPr>
          <w:p w:rsidR="00525182" w:rsidRPr="00525182" w:rsidRDefault="00525182" w:rsidP="00F37478">
            <w:pPr>
              <w:pStyle w:val="TableBodyText"/>
              <w:spacing w:before="120"/>
            </w:pPr>
            <w:r w:rsidRPr="00E24F2E">
              <w:rPr>
                <w:rStyle w:val="Bold"/>
              </w:rPr>
              <w:t>Equity</w:t>
            </w:r>
          </w:p>
        </w:tc>
        <w:tc>
          <w:tcPr>
            <w:tcW w:w="463" w:type="pct"/>
            <w:tcBorders>
              <w:top w:val="single" w:sz="4" w:space="0" w:color="auto"/>
            </w:tcBorders>
            <w:noWrap/>
            <w:hideMark/>
          </w:tcPr>
          <w:p w:rsidR="00525182" w:rsidRPr="00E24F2E"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tcBorders>
            <w:shd w:val="clear" w:color="auto" w:fill="F3F3F3"/>
            <w:noWrap/>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52" w:type="pct"/>
            <w:tcBorders>
              <w:top w:val="single" w:sz="4" w:space="0" w:color="auto"/>
            </w:tcBorders>
            <w:noWrap/>
            <w:hideMark/>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63" w:type="pct"/>
            <w:tcBorders>
              <w:top w:val="single" w:sz="4" w:space="0" w:color="auto"/>
            </w:tcBorders>
            <w:shd w:val="clear" w:color="auto" w:fill="F3F3F3"/>
            <w:noWrap/>
          </w:tcPr>
          <w:p w:rsidR="00525182" w:rsidRPr="00525182" w:rsidRDefault="00E24F2E" w:rsidP="00F37478">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Accumulated surplus/(deficit)</w:t>
            </w:r>
          </w:p>
        </w:tc>
        <w:tc>
          <w:tcPr>
            <w:tcW w:w="463" w:type="pct"/>
            <w:noWrap/>
            <w:hideMark/>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shd w:val="clear" w:color="auto" w:fill="F3F3F3"/>
            <w:noWrap/>
            <w:hideMark/>
          </w:tcPr>
          <w:p w:rsidR="00525182" w:rsidRPr="00525182" w:rsidRDefault="00E24F2E"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1.2 </w:t>
            </w:r>
          </w:p>
        </w:tc>
        <w:tc>
          <w:tcPr>
            <w:tcW w:w="763"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1.2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noWrap/>
            <w:hideMark/>
          </w:tcPr>
          <w:p w:rsidR="00525182" w:rsidRPr="00525182" w:rsidRDefault="00525182" w:rsidP="00E24F2E">
            <w:pPr>
              <w:pStyle w:val="TableBodyText"/>
            </w:pPr>
            <w:r w:rsidRPr="00525182">
              <w:t>Physical asset revaluation surplus</w:t>
            </w:r>
          </w:p>
        </w:tc>
        <w:tc>
          <w:tcPr>
            <w:tcW w:w="463" w:type="pct"/>
            <w:noWrap/>
            <w:hideMark/>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shd w:val="clear" w:color="auto" w:fill="F3F3F3"/>
            <w:noWrap/>
            <w:hideMark/>
          </w:tcPr>
          <w:p w:rsidR="00525182" w:rsidRPr="00525182" w:rsidRDefault="00E24F2E"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2" w:type="pct"/>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711.7 </w:t>
            </w:r>
          </w:p>
        </w:tc>
        <w:tc>
          <w:tcPr>
            <w:tcW w:w="763" w:type="pct"/>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711.7 </w:t>
            </w:r>
          </w:p>
        </w:tc>
      </w:tr>
      <w:tr w:rsidR="00525182" w:rsidRPr="00525182" w:rsidTr="00E15939">
        <w:tc>
          <w:tcPr>
            <w:cnfStyle w:val="001000000000" w:firstRow="0" w:lastRow="0" w:firstColumn="1" w:lastColumn="0" w:oddVBand="0" w:evenVBand="0" w:oddHBand="0" w:evenHBand="0" w:firstRowFirstColumn="0" w:firstRowLastColumn="0" w:lastRowFirstColumn="0" w:lastRowLastColumn="0"/>
            <w:tcW w:w="2347" w:type="pct"/>
            <w:tcBorders>
              <w:bottom w:val="single" w:sz="4" w:space="0" w:color="auto"/>
            </w:tcBorders>
            <w:noWrap/>
            <w:hideMark/>
          </w:tcPr>
          <w:p w:rsidR="00525182" w:rsidRPr="00525182" w:rsidRDefault="00525182" w:rsidP="00E24F2E">
            <w:pPr>
              <w:pStyle w:val="TableBodyText"/>
            </w:pPr>
            <w:r w:rsidRPr="00525182">
              <w:t>Contributed capital</w:t>
            </w:r>
          </w:p>
        </w:tc>
        <w:tc>
          <w:tcPr>
            <w:tcW w:w="463" w:type="pct"/>
            <w:tcBorders>
              <w:bottom w:val="single" w:sz="4" w:space="0" w:color="auto"/>
            </w:tcBorders>
            <w:noWrap/>
            <w:hideMark/>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bottom w:val="single" w:sz="4" w:space="0" w:color="auto"/>
            </w:tcBorders>
            <w:shd w:val="clear" w:color="auto" w:fill="F3F3F3"/>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704.0 </w:t>
            </w:r>
          </w:p>
        </w:tc>
        <w:tc>
          <w:tcPr>
            <w:tcW w:w="752" w:type="pct"/>
            <w:tcBorders>
              <w:bottom w:val="single" w:sz="4" w:space="0" w:color="auto"/>
            </w:tcBorders>
            <w:noWrap/>
            <w:hideMark/>
          </w:tcPr>
          <w:p w:rsidR="00525182" w:rsidRPr="00525182" w:rsidRDefault="00525182" w:rsidP="00E24F2E">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186.8 </w:t>
            </w:r>
          </w:p>
        </w:tc>
        <w:tc>
          <w:tcPr>
            <w:tcW w:w="763" w:type="pct"/>
            <w:tcBorders>
              <w:bottom w:val="single" w:sz="4" w:space="0" w:color="auto"/>
            </w:tcBorders>
            <w:shd w:val="clear" w:color="auto" w:fill="F3F3F3"/>
            <w:noWrap/>
            <w:hideMark/>
          </w:tcPr>
          <w:p w:rsidR="00525182" w:rsidRPr="00525182" w:rsidRDefault="00525182" w:rsidP="00525182">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(517.2)</w:t>
            </w:r>
          </w:p>
        </w:tc>
      </w:tr>
      <w:tr w:rsidR="00525182" w:rsidRPr="00E24F2E" w:rsidTr="00E15939">
        <w:tc>
          <w:tcPr>
            <w:cnfStyle w:val="001000000000" w:firstRow="0" w:lastRow="0" w:firstColumn="1" w:lastColumn="0" w:oddVBand="0" w:evenVBand="0" w:oddHBand="0" w:evenHBand="0" w:firstRowFirstColumn="0" w:firstRowLastColumn="0" w:lastRowFirstColumn="0" w:lastRowLastColumn="0"/>
            <w:tcW w:w="2347" w:type="pct"/>
            <w:tcBorders>
              <w:top w:val="single" w:sz="4" w:space="0" w:color="auto"/>
              <w:bottom w:val="single" w:sz="4" w:space="0" w:color="auto"/>
            </w:tcBorders>
            <w:noWrap/>
            <w:hideMark/>
          </w:tcPr>
          <w:p w:rsidR="00525182" w:rsidRPr="00E24F2E" w:rsidRDefault="00525182" w:rsidP="00E24F2E">
            <w:pPr>
              <w:pStyle w:val="TableBodyText"/>
              <w:rPr>
                <w:rStyle w:val="Bold"/>
              </w:rPr>
            </w:pPr>
            <w:r w:rsidRPr="00E24F2E">
              <w:rPr>
                <w:rStyle w:val="Bold"/>
              </w:rPr>
              <w:t>Net worth</w:t>
            </w:r>
          </w:p>
        </w:tc>
        <w:tc>
          <w:tcPr>
            <w:tcW w:w="463" w:type="pct"/>
            <w:tcBorders>
              <w:top w:val="single" w:sz="4" w:space="0" w:color="auto"/>
              <w:bottom w:val="single" w:sz="4" w:space="0" w:color="auto"/>
            </w:tcBorders>
            <w:noWrap/>
          </w:tcPr>
          <w:p w:rsidR="00525182" w:rsidRPr="00E24F2E" w:rsidRDefault="00E24F2E" w:rsidP="00E24F2E">
            <w:pPr>
              <w:pStyle w:val="TableBodyText"/>
              <w:cnfStyle w:val="000000000000" w:firstRow="0" w:lastRow="0" w:firstColumn="0" w:lastColumn="0" w:oddVBand="0" w:evenVBand="0" w:oddHBand="0" w:evenHBand="0" w:firstRowFirstColumn="0" w:firstRowLastColumn="0" w:lastRowFirstColumn="0" w:lastRowLastColumn="0"/>
            </w:pPr>
            <w:r w:rsidRPr="00E24F2E">
              <w:t>N/A</w:t>
            </w:r>
          </w:p>
        </w:tc>
        <w:tc>
          <w:tcPr>
            <w:tcW w:w="675"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702.0 </w:t>
            </w:r>
          </w:p>
        </w:tc>
        <w:tc>
          <w:tcPr>
            <w:tcW w:w="752" w:type="pct"/>
            <w:tcBorders>
              <w:top w:val="single" w:sz="4" w:space="0" w:color="auto"/>
              <w:bottom w:val="single" w:sz="4" w:space="0" w:color="auto"/>
            </w:tcBorders>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899.7 </w:t>
            </w:r>
          </w:p>
        </w:tc>
        <w:tc>
          <w:tcPr>
            <w:tcW w:w="763" w:type="pct"/>
            <w:tcBorders>
              <w:top w:val="single" w:sz="4" w:space="0" w:color="auto"/>
              <w:bottom w:val="single" w:sz="4" w:space="0" w:color="auto"/>
            </w:tcBorders>
            <w:shd w:val="clear" w:color="auto" w:fill="F3F3F3"/>
            <w:noWrap/>
            <w:hideMark/>
          </w:tcPr>
          <w:p w:rsidR="00525182" w:rsidRPr="00E24F2E" w:rsidRDefault="00525182" w:rsidP="00E24F2E">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24F2E">
              <w:rPr>
                <w:rStyle w:val="Bold"/>
              </w:rPr>
              <w:t xml:space="preserve">195.7 </w:t>
            </w:r>
          </w:p>
        </w:tc>
      </w:tr>
    </w:tbl>
    <w:p w:rsidR="00525182" w:rsidRDefault="00525182" w:rsidP="00E24F2E">
      <w:pPr>
        <w:pStyle w:val="Heading2"/>
        <w:pageBreakBefore/>
        <w:numPr>
          <w:ilvl w:val="0"/>
          <w:numId w:val="0"/>
        </w:numPr>
      </w:pPr>
      <w:bookmarkStart w:id="77" w:name="_Toc497125502"/>
      <w:r w:rsidRPr="00525182">
        <w:lastRenderedPageBreak/>
        <w:t>Statement of changes in equity for the financial year ended 30 June 2017</w:t>
      </w:r>
      <w:bookmarkEnd w:id="77"/>
    </w:p>
    <w:p w:rsidR="009C5A8D" w:rsidRPr="009C5A8D" w:rsidRDefault="009C5A8D" w:rsidP="00762961">
      <w:pPr>
        <w:pStyle w:val="Caption"/>
      </w:pPr>
      <w:r>
        <w:t>Original budget</w:t>
      </w:r>
    </w:p>
    <w:tbl>
      <w:tblPr>
        <w:tblStyle w:val="FinancialTable"/>
        <w:tblW w:w="4965" w:type="pct"/>
        <w:tblLook w:val="04A0" w:firstRow="1" w:lastRow="0" w:firstColumn="1" w:lastColumn="0" w:noHBand="0" w:noVBand="1"/>
      </w:tblPr>
      <w:tblGrid>
        <w:gridCol w:w="4343"/>
        <w:gridCol w:w="1342"/>
        <w:gridCol w:w="1363"/>
        <w:gridCol w:w="1363"/>
        <w:gridCol w:w="1160"/>
      </w:tblGrid>
      <w:tr w:rsidR="009C5A8D" w:rsidRPr="009C5A8D" w:rsidTr="00762961">
        <w:trPr>
          <w:cnfStyle w:val="100000000000" w:firstRow="1" w:lastRow="0" w:firstColumn="0" w:lastColumn="0" w:oddVBand="0" w:evenVBand="0" w:oddHBand="0" w:evenHBand="0" w:firstRowFirstColumn="0" w:firstRowLastColumn="0" w:lastRowFirstColumn="0" w:lastRowLastColumn="0"/>
          <w:trHeight w:val="1045"/>
        </w:trPr>
        <w:tc>
          <w:tcPr>
            <w:cnfStyle w:val="001000000100" w:firstRow="0" w:lastRow="0" w:firstColumn="1" w:lastColumn="0" w:oddVBand="0" w:evenVBand="0" w:oddHBand="0" w:evenHBand="0" w:firstRowFirstColumn="1" w:firstRowLastColumn="0" w:lastRowFirstColumn="0" w:lastRowLastColumn="0"/>
            <w:tcW w:w="2269" w:type="pct"/>
            <w:noWrap/>
            <w:hideMark/>
          </w:tcPr>
          <w:p w:rsidR="009C5A8D" w:rsidRPr="009C5A8D" w:rsidRDefault="00E15939" w:rsidP="00E15939">
            <w:pPr>
              <w:pStyle w:val="TableHeading"/>
              <w:rPr>
                <w:rStyle w:val="Bold"/>
              </w:rPr>
            </w:pPr>
            <w:r>
              <w:rPr>
                <w:rStyle w:val="Bold"/>
              </w:rPr>
              <w:t>Original budget</w:t>
            </w:r>
          </w:p>
        </w:tc>
        <w:tc>
          <w:tcPr>
            <w:tcW w:w="701" w:type="pct"/>
            <w:shd w:val="clear" w:color="auto" w:fill="F3F3F3"/>
            <w:hideMark/>
          </w:tcPr>
          <w:p w:rsidR="009C5A8D" w:rsidRPr="009C5A8D" w:rsidRDefault="009C5A8D" w:rsidP="00525182">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xml:space="preserve">Physical asset revaluation surplus </w:t>
            </w:r>
          </w:p>
          <w:p w:rsidR="009C5A8D" w:rsidRPr="009C5A8D" w:rsidRDefault="009C5A8D" w:rsidP="00525182">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712" w:type="pct"/>
            <w:hideMark/>
          </w:tcPr>
          <w:p w:rsidR="009C5A8D" w:rsidRPr="009C5A8D" w:rsidRDefault="009C5A8D" w:rsidP="00525182">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Accumulated surplus/ (deficit)</w:t>
            </w:r>
          </w:p>
          <w:p w:rsidR="009C5A8D" w:rsidRPr="009C5A8D" w:rsidRDefault="009C5A8D" w:rsidP="00525182">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712" w:type="pct"/>
            <w:shd w:val="clear" w:color="auto" w:fill="F3F3F3"/>
            <w:hideMark/>
          </w:tcPr>
          <w:p w:rsidR="009C5A8D" w:rsidRPr="009C5A8D" w:rsidRDefault="009C5A8D" w:rsidP="00525182">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Contributions by owner</w:t>
            </w:r>
          </w:p>
          <w:p w:rsidR="009C5A8D" w:rsidRPr="009C5A8D" w:rsidRDefault="009C5A8D" w:rsidP="00525182">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606" w:type="pct"/>
            <w:hideMark/>
          </w:tcPr>
          <w:p w:rsidR="009C5A8D" w:rsidRPr="009C5A8D" w:rsidRDefault="009C5A8D" w:rsidP="00525182">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Total</w:t>
            </w:r>
          </w:p>
          <w:p w:rsidR="009C5A8D" w:rsidRPr="009C5A8D" w:rsidRDefault="009C5A8D" w:rsidP="00525182">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r>
      <w:tr w:rsidR="009C5A8D" w:rsidRPr="00525182" w:rsidTr="00762961">
        <w:tc>
          <w:tcPr>
            <w:cnfStyle w:val="001000000000" w:firstRow="0" w:lastRow="0" w:firstColumn="1" w:lastColumn="0" w:oddVBand="0" w:evenVBand="0" w:oddHBand="0" w:evenHBand="0" w:firstRowFirstColumn="0" w:firstRowLastColumn="0" w:lastRowFirstColumn="0" w:lastRowLastColumn="0"/>
            <w:tcW w:w="2269" w:type="pct"/>
            <w:noWrap/>
            <w:hideMark/>
          </w:tcPr>
          <w:p w:rsidR="009C5A8D" w:rsidRPr="009C5A8D" w:rsidRDefault="009C5A8D" w:rsidP="00525182">
            <w:pPr>
              <w:pStyle w:val="TableBodyText"/>
              <w:rPr>
                <w:rStyle w:val="Bold"/>
              </w:rPr>
            </w:pPr>
            <w:r w:rsidRPr="009C5A8D">
              <w:rPr>
                <w:rStyle w:val="Bold"/>
              </w:rPr>
              <w:t>Opening balance</w:t>
            </w:r>
          </w:p>
        </w:tc>
        <w:tc>
          <w:tcPr>
            <w:tcW w:w="701" w:type="pct"/>
            <w:shd w:val="clear" w:color="auto" w:fill="F3F3F3"/>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r w:rsidR="009C5A8D" w:rsidRPr="00525182">
              <w:t> </w:t>
            </w:r>
          </w:p>
        </w:tc>
        <w:tc>
          <w:tcPr>
            <w:tcW w:w="712" w:type="pct"/>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9C5A8D" w:rsidRPr="00525182" w:rsidRDefault="009C5A8D" w:rsidP="00525182">
            <w:pPr>
              <w:pStyle w:val="TableBodyText"/>
              <w:cnfStyle w:val="000000000000" w:firstRow="0" w:lastRow="0" w:firstColumn="0" w:lastColumn="0" w:oddVBand="0" w:evenVBand="0" w:oddHBand="0" w:evenHBand="0" w:firstRowFirstColumn="0" w:firstRowLastColumn="0" w:lastRowFirstColumn="0" w:lastRowLastColumn="0"/>
            </w:pPr>
            <w:r w:rsidRPr="00525182">
              <w:t>658.0</w:t>
            </w:r>
          </w:p>
        </w:tc>
        <w:tc>
          <w:tcPr>
            <w:tcW w:w="606" w:type="pct"/>
            <w:noWrap/>
            <w:hideMark/>
          </w:tcPr>
          <w:p w:rsidR="009C5A8D" w:rsidRPr="00525182" w:rsidRDefault="009C5A8D" w:rsidP="00525182">
            <w:pPr>
              <w:pStyle w:val="TableBodyText"/>
              <w:cnfStyle w:val="000000000000" w:firstRow="0" w:lastRow="0" w:firstColumn="0" w:lastColumn="0" w:oddVBand="0" w:evenVBand="0" w:oddHBand="0" w:evenHBand="0" w:firstRowFirstColumn="0" w:firstRowLastColumn="0" w:lastRowFirstColumn="0" w:lastRowLastColumn="0"/>
            </w:pPr>
            <w:r w:rsidRPr="00525182">
              <w:t>658.0</w:t>
            </w:r>
          </w:p>
        </w:tc>
      </w:tr>
      <w:tr w:rsidR="009C5A8D" w:rsidRPr="00525182" w:rsidTr="00762961">
        <w:tc>
          <w:tcPr>
            <w:cnfStyle w:val="001000000000" w:firstRow="0" w:lastRow="0" w:firstColumn="1" w:lastColumn="0" w:oddVBand="0" w:evenVBand="0" w:oddHBand="0" w:evenHBand="0" w:firstRowFirstColumn="0" w:firstRowLastColumn="0" w:lastRowFirstColumn="0" w:lastRowLastColumn="0"/>
            <w:tcW w:w="2269" w:type="pct"/>
            <w:hideMark/>
          </w:tcPr>
          <w:p w:rsidR="009C5A8D" w:rsidRPr="00525182" w:rsidRDefault="009C5A8D" w:rsidP="00525182">
            <w:pPr>
              <w:pStyle w:val="TableBodyText"/>
            </w:pPr>
            <w:r w:rsidRPr="00525182">
              <w:t>Net result for the year</w:t>
            </w:r>
          </w:p>
        </w:tc>
        <w:tc>
          <w:tcPr>
            <w:tcW w:w="701" w:type="pct"/>
            <w:shd w:val="clear" w:color="auto" w:fill="F3F3F3"/>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6" w:type="pct"/>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r>
      <w:tr w:rsidR="009C5A8D" w:rsidRPr="00525182" w:rsidTr="00762961">
        <w:tc>
          <w:tcPr>
            <w:cnfStyle w:val="001000000000" w:firstRow="0" w:lastRow="0" w:firstColumn="1" w:lastColumn="0" w:oddVBand="0" w:evenVBand="0" w:oddHBand="0" w:evenHBand="0" w:firstRowFirstColumn="0" w:firstRowLastColumn="0" w:lastRowFirstColumn="0" w:lastRowLastColumn="0"/>
            <w:tcW w:w="2269" w:type="pct"/>
            <w:hideMark/>
          </w:tcPr>
          <w:p w:rsidR="009C5A8D" w:rsidRPr="00525182" w:rsidRDefault="009C5A8D" w:rsidP="00525182">
            <w:pPr>
              <w:pStyle w:val="TableBodyText"/>
            </w:pPr>
            <w:r w:rsidRPr="00525182">
              <w:t>Other comprehensive income for the year</w:t>
            </w:r>
          </w:p>
        </w:tc>
        <w:tc>
          <w:tcPr>
            <w:tcW w:w="701" w:type="pct"/>
            <w:shd w:val="clear" w:color="auto" w:fill="F3F3F3"/>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6" w:type="pct"/>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r>
      <w:tr w:rsidR="009C5A8D" w:rsidRPr="00525182" w:rsidTr="00762961">
        <w:tc>
          <w:tcPr>
            <w:cnfStyle w:val="001000000000" w:firstRow="0" w:lastRow="0" w:firstColumn="1" w:lastColumn="0" w:oddVBand="0" w:evenVBand="0" w:oddHBand="0" w:evenHBand="0" w:firstRowFirstColumn="0" w:firstRowLastColumn="0" w:lastRowFirstColumn="0" w:lastRowLastColumn="0"/>
            <w:tcW w:w="2269" w:type="pct"/>
            <w:hideMark/>
          </w:tcPr>
          <w:p w:rsidR="009C5A8D" w:rsidRPr="00525182" w:rsidRDefault="009C5A8D" w:rsidP="00762961">
            <w:pPr>
              <w:pStyle w:val="TableBodyText"/>
              <w:spacing w:before="120"/>
            </w:pPr>
            <w:r w:rsidRPr="00525182">
              <w:t>Transactions with the State in its capacity as owners</w:t>
            </w:r>
          </w:p>
        </w:tc>
        <w:tc>
          <w:tcPr>
            <w:tcW w:w="701" w:type="pct"/>
            <w:shd w:val="clear" w:color="auto" w:fill="F3F3F3"/>
            <w:noWrap/>
            <w:hideMark/>
          </w:tcPr>
          <w:p w:rsidR="009C5A8D"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c>
          <w:tcPr>
            <w:tcW w:w="712" w:type="pct"/>
            <w:noWrap/>
            <w:hideMark/>
          </w:tcPr>
          <w:p w:rsidR="009C5A8D"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9C5A8D" w:rsidRPr="00525182" w:rsidRDefault="009C5A8D"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525182">
              <w:t xml:space="preserve">43.0 </w:t>
            </w:r>
          </w:p>
        </w:tc>
        <w:tc>
          <w:tcPr>
            <w:tcW w:w="606" w:type="pct"/>
            <w:noWrap/>
            <w:hideMark/>
          </w:tcPr>
          <w:p w:rsidR="009C5A8D" w:rsidRPr="00525182" w:rsidRDefault="009C5A8D"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525182">
              <w:t xml:space="preserve">43.0 </w:t>
            </w:r>
          </w:p>
        </w:tc>
      </w:tr>
      <w:tr w:rsidR="009C5A8D" w:rsidRPr="00525182" w:rsidTr="00762961">
        <w:tc>
          <w:tcPr>
            <w:cnfStyle w:val="001000000000" w:firstRow="0" w:lastRow="0" w:firstColumn="1" w:lastColumn="0" w:oddVBand="0" w:evenVBand="0" w:oddHBand="0" w:evenHBand="0" w:firstRowFirstColumn="0" w:firstRowLastColumn="0" w:lastRowFirstColumn="0" w:lastRowLastColumn="0"/>
            <w:tcW w:w="2269" w:type="pct"/>
            <w:hideMark/>
          </w:tcPr>
          <w:p w:rsidR="009C5A8D" w:rsidRPr="00525182" w:rsidRDefault="009C5A8D" w:rsidP="00525182">
            <w:pPr>
              <w:pStyle w:val="TableBodyText"/>
            </w:pPr>
            <w:r w:rsidRPr="00525182">
              <w:t xml:space="preserve">Administered liability transfer from </w:t>
            </w:r>
            <w:proofErr w:type="spellStart"/>
            <w:r w:rsidRPr="00525182">
              <w:t>DJR</w:t>
            </w:r>
            <w:proofErr w:type="spellEnd"/>
            <w:r w:rsidRPr="00525182">
              <w:t xml:space="preserve"> to CSV</w:t>
            </w:r>
          </w:p>
        </w:tc>
        <w:tc>
          <w:tcPr>
            <w:tcW w:w="701" w:type="pct"/>
            <w:shd w:val="clear" w:color="auto" w:fill="F3F3F3"/>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6" w:type="pct"/>
            <w:noWrap/>
            <w:hideMark/>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r>
      <w:tr w:rsidR="009C5A8D" w:rsidRPr="00525182" w:rsidTr="00762961">
        <w:tc>
          <w:tcPr>
            <w:cnfStyle w:val="001000000000" w:firstRow="0" w:lastRow="0" w:firstColumn="1" w:lastColumn="0" w:oddVBand="0" w:evenVBand="0" w:oddHBand="0" w:evenHBand="0" w:firstRowFirstColumn="0" w:firstRowLastColumn="0" w:lastRowFirstColumn="0" w:lastRowLastColumn="0"/>
            <w:tcW w:w="2269" w:type="pct"/>
            <w:tcBorders>
              <w:bottom w:val="single" w:sz="4" w:space="0" w:color="auto"/>
            </w:tcBorders>
            <w:noWrap/>
          </w:tcPr>
          <w:p w:rsidR="009C5A8D" w:rsidRPr="00525182" w:rsidRDefault="009C5A8D" w:rsidP="00525182">
            <w:pPr>
              <w:pStyle w:val="TableBodyText"/>
            </w:pPr>
            <w:r w:rsidRPr="00525182">
              <w:t>Transactions with owners in their capacity as owners</w:t>
            </w:r>
          </w:p>
        </w:tc>
        <w:tc>
          <w:tcPr>
            <w:tcW w:w="701" w:type="pct"/>
            <w:tcBorders>
              <w:bottom w:val="single" w:sz="4" w:space="0" w:color="auto"/>
            </w:tcBorders>
            <w:shd w:val="clear" w:color="auto" w:fill="F3F3F3"/>
            <w:noWrap/>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tcBorders>
              <w:bottom w:val="single" w:sz="4" w:space="0" w:color="auto"/>
            </w:tcBorders>
            <w:noWrap/>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tcBorders>
              <w:bottom w:val="single" w:sz="4" w:space="0" w:color="auto"/>
            </w:tcBorders>
            <w:shd w:val="clear" w:color="auto" w:fill="F3F3F3"/>
            <w:noWrap/>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6" w:type="pct"/>
            <w:tcBorders>
              <w:bottom w:val="single" w:sz="4" w:space="0" w:color="auto"/>
            </w:tcBorders>
            <w:noWrap/>
          </w:tcPr>
          <w:p w:rsidR="009C5A8D" w:rsidRPr="00525182" w:rsidRDefault="00762961" w:rsidP="00525182">
            <w:pPr>
              <w:pStyle w:val="TableBodyText"/>
              <w:cnfStyle w:val="000000000000" w:firstRow="0" w:lastRow="0" w:firstColumn="0" w:lastColumn="0" w:oddVBand="0" w:evenVBand="0" w:oddHBand="0" w:evenHBand="0" w:firstRowFirstColumn="0" w:firstRowLastColumn="0" w:lastRowFirstColumn="0" w:lastRowLastColumn="0"/>
            </w:pPr>
            <w:r>
              <w:t>0</w:t>
            </w:r>
          </w:p>
        </w:tc>
      </w:tr>
      <w:tr w:rsidR="00762961" w:rsidRPr="00525182" w:rsidTr="00762961">
        <w:tc>
          <w:tcPr>
            <w:cnfStyle w:val="001000000000" w:firstRow="0" w:lastRow="0" w:firstColumn="1" w:lastColumn="0" w:oddVBand="0" w:evenVBand="0" w:oddHBand="0" w:evenHBand="0" w:firstRowFirstColumn="0" w:firstRowLastColumn="0" w:lastRowFirstColumn="0" w:lastRowLastColumn="0"/>
            <w:tcW w:w="2269" w:type="pct"/>
            <w:tcBorders>
              <w:top w:val="single" w:sz="4" w:space="0" w:color="auto"/>
              <w:bottom w:val="single" w:sz="4" w:space="0" w:color="auto"/>
            </w:tcBorders>
            <w:noWrap/>
          </w:tcPr>
          <w:p w:rsidR="00762961" w:rsidRPr="009C5A8D" w:rsidRDefault="00762961" w:rsidP="00762961">
            <w:pPr>
              <w:pStyle w:val="TableBodyText"/>
              <w:rPr>
                <w:rStyle w:val="Bold"/>
              </w:rPr>
            </w:pPr>
            <w:r w:rsidRPr="009C5A8D">
              <w:rPr>
                <w:rStyle w:val="Bold"/>
              </w:rPr>
              <w:t>Balance at 30 June 2017</w:t>
            </w:r>
          </w:p>
        </w:tc>
        <w:tc>
          <w:tcPr>
            <w:tcW w:w="701" w:type="pct"/>
            <w:tcBorders>
              <w:top w:val="single" w:sz="4" w:space="0" w:color="auto"/>
              <w:bottom w:val="single" w:sz="4" w:space="0" w:color="auto"/>
            </w:tcBorders>
            <w:shd w:val="clear" w:color="auto" w:fill="F3F3F3"/>
            <w:noWrap/>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0 </w:t>
            </w:r>
          </w:p>
        </w:tc>
        <w:tc>
          <w:tcPr>
            <w:tcW w:w="712" w:type="pct"/>
            <w:tcBorders>
              <w:top w:val="single" w:sz="4" w:space="0" w:color="auto"/>
              <w:bottom w:val="single" w:sz="4" w:space="0" w:color="auto"/>
            </w:tcBorders>
            <w:noWrap/>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0 </w:t>
            </w:r>
          </w:p>
        </w:tc>
        <w:tc>
          <w:tcPr>
            <w:tcW w:w="712" w:type="pct"/>
            <w:tcBorders>
              <w:top w:val="single" w:sz="4" w:space="0" w:color="auto"/>
              <w:bottom w:val="single" w:sz="4" w:space="0" w:color="auto"/>
            </w:tcBorders>
            <w:shd w:val="clear" w:color="auto" w:fill="F3F3F3"/>
            <w:noWrap/>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701.0 </w:t>
            </w:r>
          </w:p>
        </w:tc>
        <w:tc>
          <w:tcPr>
            <w:tcW w:w="606" w:type="pct"/>
            <w:tcBorders>
              <w:top w:val="single" w:sz="4" w:space="0" w:color="auto"/>
              <w:bottom w:val="single" w:sz="4" w:space="0" w:color="auto"/>
            </w:tcBorders>
            <w:noWrap/>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701.0 </w:t>
            </w:r>
          </w:p>
        </w:tc>
      </w:tr>
    </w:tbl>
    <w:p w:rsidR="00762961" w:rsidRDefault="00762961" w:rsidP="00762961">
      <w:pPr>
        <w:pStyle w:val="Caption"/>
      </w:pPr>
      <w:r>
        <w:t>Actuals</w:t>
      </w:r>
    </w:p>
    <w:tbl>
      <w:tblPr>
        <w:tblStyle w:val="FinancialTable"/>
        <w:tblW w:w="4965" w:type="pct"/>
        <w:tblLayout w:type="fixed"/>
        <w:tblLook w:val="04A0" w:firstRow="1" w:lastRow="0" w:firstColumn="1" w:lastColumn="0" w:noHBand="0" w:noVBand="1"/>
      </w:tblPr>
      <w:tblGrid>
        <w:gridCol w:w="4343"/>
        <w:gridCol w:w="1342"/>
        <w:gridCol w:w="1363"/>
        <w:gridCol w:w="1363"/>
        <w:gridCol w:w="1160"/>
      </w:tblGrid>
      <w:tr w:rsidR="00762961" w:rsidRPr="009C5A8D" w:rsidTr="007629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9" w:type="pct"/>
            <w:noWrap/>
          </w:tcPr>
          <w:p w:rsidR="00762961" w:rsidRPr="009C5A8D" w:rsidRDefault="00762961" w:rsidP="00E15939">
            <w:pPr>
              <w:pStyle w:val="TableHeading"/>
              <w:rPr>
                <w:rStyle w:val="Bold"/>
              </w:rPr>
            </w:pPr>
            <w:r>
              <w:rPr>
                <w:rStyle w:val="Bold"/>
              </w:rPr>
              <w:t>Actuals</w:t>
            </w:r>
          </w:p>
        </w:tc>
        <w:tc>
          <w:tcPr>
            <w:tcW w:w="701" w:type="pct"/>
            <w:shd w:val="clear" w:color="auto" w:fill="F3F3F3"/>
            <w:noWrap/>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xml:space="preserve">Physical asset revaluation surplus </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712" w:type="pct"/>
            <w:noWrap/>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Accumulated surplus/ (deficit)</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712" w:type="pct"/>
            <w:shd w:val="clear" w:color="auto" w:fill="F3F3F3"/>
            <w:noWrap/>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Contributions by owner</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606" w:type="pct"/>
            <w:noWrap/>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Total</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r>
      <w:tr w:rsidR="00762961" w:rsidRPr="00525182" w:rsidTr="00762961">
        <w:tc>
          <w:tcPr>
            <w:cnfStyle w:val="001000000000" w:firstRow="0" w:lastRow="0" w:firstColumn="1" w:lastColumn="0" w:oddVBand="0" w:evenVBand="0" w:oddHBand="0" w:evenHBand="0" w:firstRowFirstColumn="0" w:firstRowLastColumn="0" w:lastRowFirstColumn="0" w:lastRowLastColumn="0"/>
            <w:tcW w:w="2269" w:type="pct"/>
            <w:noWrap/>
            <w:hideMark/>
          </w:tcPr>
          <w:p w:rsidR="00762961" w:rsidRPr="00525182" w:rsidRDefault="00762961" w:rsidP="00762961">
            <w:pPr>
              <w:pStyle w:val="TableBodyText"/>
            </w:pPr>
            <w:r w:rsidRPr="00525182">
              <w:t>Balance as at 1 July 2016</w:t>
            </w:r>
          </w:p>
        </w:tc>
        <w:tc>
          <w:tcPr>
            <w:tcW w:w="701" w:type="pct"/>
            <w:shd w:val="clear" w:color="auto" w:fill="F3F3F3"/>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182.9 </w:t>
            </w:r>
          </w:p>
        </w:tc>
        <w:tc>
          <w:tcPr>
            <w:tcW w:w="712" w:type="pct"/>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(0.4)</w:t>
            </w:r>
          </w:p>
        </w:tc>
        <w:tc>
          <w:tcPr>
            <w:tcW w:w="712" w:type="pct"/>
            <w:shd w:val="clear" w:color="auto" w:fill="F3F3F3"/>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692.1 </w:t>
            </w:r>
          </w:p>
        </w:tc>
        <w:tc>
          <w:tcPr>
            <w:tcW w:w="606" w:type="pct"/>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874.6 </w:t>
            </w:r>
          </w:p>
        </w:tc>
      </w:tr>
      <w:tr w:rsidR="00762961" w:rsidRPr="00525182" w:rsidTr="00762961">
        <w:tc>
          <w:tcPr>
            <w:cnfStyle w:val="001000000000" w:firstRow="0" w:lastRow="0" w:firstColumn="1" w:lastColumn="0" w:oddVBand="0" w:evenVBand="0" w:oddHBand="0" w:evenHBand="0" w:firstRowFirstColumn="0" w:firstRowLastColumn="0" w:lastRowFirstColumn="0" w:lastRowLastColumn="0"/>
            <w:tcW w:w="2269" w:type="pct"/>
            <w:hideMark/>
          </w:tcPr>
          <w:p w:rsidR="00762961" w:rsidRPr="00525182" w:rsidRDefault="00762961" w:rsidP="00762961">
            <w:pPr>
              <w:pStyle w:val="TableBodyText"/>
            </w:pPr>
            <w:r w:rsidRPr="00525182">
              <w:t>Net result for the year</w:t>
            </w:r>
          </w:p>
        </w:tc>
        <w:tc>
          <w:tcPr>
            <w:tcW w:w="701" w:type="pct"/>
            <w:shd w:val="clear" w:color="auto" w:fill="F3F3F3"/>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0</w:t>
            </w:r>
            <w:r w:rsidRPr="00525182">
              <w:t> </w:t>
            </w:r>
          </w:p>
        </w:tc>
        <w:tc>
          <w:tcPr>
            <w:tcW w:w="712" w:type="pct"/>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1.7 </w:t>
            </w:r>
          </w:p>
        </w:tc>
        <w:tc>
          <w:tcPr>
            <w:tcW w:w="712" w:type="pct"/>
            <w:shd w:val="clear" w:color="auto" w:fill="F3F3F3"/>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6" w:type="pct"/>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1.7 </w:t>
            </w:r>
          </w:p>
        </w:tc>
      </w:tr>
      <w:tr w:rsidR="00762961" w:rsidRPr="00525182" w:rsidTr="00762961">
        <w:tc>
          <w:tcPr>
            <w:cnfStyle w:val="001000000000" w:firstRow="0" w:lastRow="0" w:firstColumn="1" w:lastColumn="0" w:oddVBand="0" w:evenVBand="0" w:oddHBand="0" w:evenHBand="0" w:firstRowFirstColumn="0" w:firstRowLastColumn="0" w:lastRowFirstColumn="0" w:lastRowLastColumn="0"/>
            <w:tcW w:w="2269" w:type="pct"/>
            <w:hideMark/>
          </w:tcPr>
          <w:p w:rsidR="00762961" w:rsidRPr="00525182" w:rsidRDefault="00762961" w:rsidP="00762961">
            <w:pPr>
              <w:pStyle w:val="TableBodyText"/>
            </w:pPr>
            <w:r w:rsidRPr="00525182">
              <w:t>Other comprehensive income for the year</w:t>
            </w:r>
          </w:p>
        </w:tc>
        <w:tc>
          <w:tcPr>
            <w:tcW w:w="701" w:type="pct"/>
            <w:shd w:val="clear" w:color="auto" w:fill="F3F3F3"/>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3.9 </w:t>
            </w:r>
          </w:p>
        </w:tc>
        <w:tc>
          <w:tcPr>
            <w:tcW w:w="712" w:type="pct"/>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6" w:type="pct"/>
            <w:noWrap/>
            <w:hideMark/>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3.9 </w:t>
            </w:r>
          </w:p>
        </w:tc>
      </w:tr>
      <w:tr w:rsidR="00762961" w:rsidRPr="00525182" w:rsidTr="00762961">
        <w:tc>
          <w:tcPr>
            <w:cnfStyle w:val="001000000000" w:firstRow="0" w:lastRow="0" w:firstColumn="1" w:lastColumn="0" w:oddVBand="0" w:evenVBand="0" w:oddHBand="0" w:evenHBand="0" w:firstRowFirstColumn="0" w:firstRowLastColumn="0" w:lastRowFirstColumn="0" w:lastRowLastColumn="0"/>
            <w:tcW w:w="2269" w:type="pct"/>
            <w:hideMark/>
          </w:tcPr>
          <w:p w:rsidR="00762961" w:rsidRPr="00525182" w:rsidRDefault="00762961" w:rsidP="00762961">
            <w:pPr>
              <w:pStyle w:val="TableBodyText"/>
              <w:spacing w:before="120"/>
            </w:pPr>
            <w:r w:rsidRPr="00525182">
              <w:t>Transactions with the State in its capacity as owners</w:t>
            </w:r>
          </w:p>
        </w:tc>
        <w:tc>
          <w:tcPr>
            <w:tcW w:w="701" w:type="pct"/>
            <w:shd w:val="clear" w:color="auto" w:fill="F3F3F3"/>
            <w:noWrap/>
            <w:hideMark/>
          </w:tcPr>
          <w:p w:rsidR="00762961"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c>
          <w:tcPr>
            <w:tcW w:w="712" w:type="pct"/>
            <w:noWrap/>
            <w:hideMark/>
          </w:tcPr>
          <w:p w:rsidR="00762961"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762961"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c>
          <w:tcPr>
            <w:tcW w:w="606" w:type="pct"/>
            <w:noWrap/>
            <w:hideMark/>
          </w:tcPr>
          <w:p w:rsidR="00762961"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r>
      <w:tr w:rsidR="00762961" w:rsidRPr="00525182" w:rsidTr="00762961">
        <w:tc>
          <w:tcPr>
            <w:cnfStyle w:val="001000000000" w:firstRow="0" w:lastRow="0" w:firstColumn="1" w:lastColumn="0" w:oddVBand="0" w:evenVBand="0" w:oddHBand="0" w:evenHBand="0" w:firstRowFirstColumn="0" w:firstRowLastColumn="0" w:lastRowFirstColumn="0" w:lastRowLastColumn="0"/>
            <w:tcW w:w="2269" w:type="pct"/>
            <w:tcBorders>
              <w:bottom w:val="single" w:sz="4" w:space="0" w:color="auto"/>
            </w:tcBorders>
            <w:noWrap/>
          </w:tcPr>
          <w:p w:rsidR="00762961" w:rsidRPr="00525182" w:rsidRDefault="00762961" w:rsidP="00762961">
            <w:pPr>
              <w:pStyle w:val="TableBodyText"/>
            </w:pPr>
            <w:r w:rsidRPr="00525182">
              <w:t>Transactions with owners in their capacity as owners</w:t>
            </w:r>
          </w:p>
        </w:tc>
        <w:tc>
          <w:tcPr>
            <w:tcW w:w="701" w:type="pct"/>
            <w:tcBorders>
              <w:bottom w:val="single" w:sz="4" w:space="0" w:color="auto"/>
            </w:tcBorders>
            <w:shd w:val="clear" w:color="auto" w:fill="F3F3F3"/>
            <w:noWrap/>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tcBorders>
              <w:bottom w:val="single" w:sz="4" w:space="0" w:color="auto"/>
            </w:tcBorders>
            <w:noWrap/>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tcBorders>
              <w:bottom w:val="single" w:sz="4" w:space="0" w:color="auto"/>
            </w:tcBorders>
            <w:shd w:val="clear" w:color="auto" w:fill="F3F3F3"/>
            <w:noWrap/>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19.5 </w:t>
            </w:r>
          </w:p>
        </w:tc>
        <w:tc>
          <w:tcPr>
            <w:tcW w:w="606" w:type="pct"/>
            <w:tcBorders>
              <w:bottom w:val="single" w:sz="4" w:space="0" w:color="auto"/>
            </w:tcBorders>
            <w:noWrap/>
          </w:tcPr>
          <w:p w:rsidR="00762961" w:rsidRPr="00525182"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19.5 </w:t>
            </w:r>
          </w:p>
        </w:tc>
      </w:tr>
      <w:tr w:rsidR="00762961" w:rsidRPr="009C5A8D" w:rsidTr="00762961">
        <w:tc>
          <w:tcPr>
            <w:cnfStyle w:val="001000000000" w:firstRow="0" w:lastRow="0" w:firstColumn="1" w:lastColumn="0" w:oddVBand="0" w:evenVBand="0" w:oddHBand="0" w:evenHBand="0" w:firstRowFirstColumn="0" w:firstRowLastColumn="0" w:lastRowFirstColumn="0" w:lastRowLastColumn="0"/>
            <w:tcW w:w="2269" w:type="pct"/>
            <w:tcBorders>
              <w:top w:val="single" w:sz="4" w:space="0" w:color="auto"/>
              <w:bottom w:val="single" w:sz="4" w:space="0" w:color="auto"/>
            </w:tcBorders>
            <w:noWrap/>
            <w:hideMark/>
          </w:tcPr>
          <w:p w:rsidR="00762961" w:rsidRPr="009C5A8D" w:rsidRDefault="00762961" w:rsidP="00762961">
            <w:pPr>
              <w:pStyle w:val="TableBodyText"/>
              <w:rPr>
                <w:rStyle w:val="Bold"/>
              </w:rPr>
            </w:pPr>
            <w:r w:rsidRPr="009C5A8D">
              <w:rPr>
                <w:rStyle w:val="Bold"/>
              </w:rPr>
              <w:t>Balance at 30 June 2017</w:t>
            </w:r>
          </w:p>
        </w:tc>
        <w:tc>
          <w:tcPr>
            <w:tcW w:w="701" w:type="pct"/>
            <w:tcBorders>
              <w:top w:val="single" w:sz="4" w:space="0" w:color="auto"/>
              <w:bottom w:val="single" w:sz="4" w:space="0" w:color="auto"/>
            </w:tcBorders>
            <w:shd w:val="clear" w:color="auto" w:fill="F3F3F3"/>
            <w:noWrap/>
            <w:hideMark/>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186.8 </w:t>
            </w:r>
          </w:p>
        </w:tc>
        <w:tc>
          <w:tcPr>
            <w:tcW w:w="712" w:type="pct"/>
            <w:tcBorders>
              <w:top w:val="single" w:sz="4" w:space="0" w:color="auto"/>
              <w:bottom w:val="single" w:sz="4" w:space="0" w:color="auto"/>
            </w:tcBorders>
            <w:noWrap/>
            <w:hideMark/>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1.2 </w:t>
            </w:r>
          </w:p>
        </w:tc>
        <w:tc>
          <w:tcPr>
            <w:tcW w:w="712" w:type="pct"/>
            <w:tcBorders>
              <w:top w:val="single" w:sz="4" w:space="0" w:color="auto"/>
              <w:bottom w:val="single" w:sz="4" w:space="0" w:color="auto"/>
            </w:tcBorders>
            <w:shd w:val="clear" w:color="auto" w:fill="F3F3F3"/>
            <w:noWrap/>
            <w:hideMark/>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711.7 </w:t>
            </w:r>
          </w:p>
        </w:tc>
        <w:tc>
          <w:tcPr>
            <w:tcW w:w="606" w:type="pct"/>
            <w:tcBorders>
              <w:top w:val="single" w:sz="4" w:space="0" w:color="auto"/>
              <w:bottom w:val="single" w:sz="4" w:space="0" w:color="auto"/>
            </w:tcBorders>
            <w:noWrap/>
            <w:hideMark/>
          </w:tcPr>
          <w:p w:rsidR="00762961" w:rsidRPr="009C5A8D"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899.7 </w:t>
            </w:r>
          </w:p>
        </w:tc>
      </w:tr>
    </w:tbl>
    <w:p w:rsidR="00762961" w:rsidRDefault="00762961" w:rsidP="00762961">
      <w:pPr>
        <w:pStyle w:val="Caption"/>
      </w:pPr>
      <w:r>
        <w:t>Variance to budget</w:t>
      </w:r>
    </w:p>
    <w:tbl>
      <w:tblPr>
        <w:tblStyle w:val="FinancialTable"/>
        <w:tblW w:w="4965" w:type="pct"/>
        <w:tblLook w:val="04A0" w:firstRow="1" w:lastRow="0" w:firstColumn="1" w:lastColumn="0" w:noHBand="0" w:noVBand="1"/>
      </w:tblPr>
      <w:tblGrid>
        <w:gridCol w:w="4343"/>
        <w:gridCol w:w="1342"/>
        <w:gridCol w:w="1363"/>
        <w:gridCol w:w="1363"/>
        <w:gridCol w:w="1160"/>
      </w:tblGrid>
      <w:tr w:rsidR="00762961" w:rsidRPr="00525182" w:rsidTr="009C5A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9" w:type="pct"/>
            <w:noWrap/>
            <w:hideMark/>
          </w:tcPr>
          <w:p w:rsidR="00762961" w:rsidRPr="009C5A8D" w:rsidRDefault="00762961" w:rsidP="00762961">
            <w:pPr>
              <w:pStyle w:val="TableBodyText"/>
              <w:rPr>
                <w:rStyle w:val="Bold"/>
              </w:rPr>
            </w:pPr>
            <w:r w:rsidRPr="009C5A8D">
              <w:rPr>
                <w:rStyle w:val="Bold"/>
              </w:rPr>
              <w:t>Variance to budget</w:t>
            </w:r>
          </w:p>
        </w:tc>
        <w:tc>
          <w:tcPr>
            <w:tcW w:w="701" w:type="pct"/>
            <w:shd w:val="clear" w:color="auto" w:fill="F3F3F3"/>
            <w:hideMark/>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xml:space="preserve">Physical asset revaluation surplus </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712" w:type="pct"/>
            <w:hideMark/>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Accumulated surplus/ (deficit)</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712" w:type="pct"/>
            <w:shd w:val="clear" w:color="auto" w:fill="F3F3F3"/>
            <w:hideMark/>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Contributions by owner</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c>
          <w:tcPr>
            <w:tcW w:w="607" w:type="pct"/>
            <w:hideMark/>
          </w:tcPr>
          <w:p w:rsidR="00762961" w:rsidRPr="009C5A8D" w:rsidRDefault="00762961" w:rsidP="00762961">
            <w:pPr>
              <w:pStyle w:val="TableHeading"/>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Total</w:t>
            </w:r>
          </w:p>
          <w:p w:rsidR="00762961" w:rsidRPr="009C5A8D"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9C5A8D">
              <w:rPr>
                <w:rStyle w:val="Bold"/>
              </w:rPr>
              <w:t>($ million)</w:t>
            </w:r>
          </w:p>
        </w:tc>
      </w:tr>
      <w:tr w:rsidR="009C5A8D" w:rsidRPr="00525182" w:rsidTr="009C5A8D">
        <w:tc>
          <w:tcPr>
            <w:cnfStyle w:val="001000000000" w:firstRow="0" w:lastRow="0" w:firstColumn="1" w:lastColumn="0" w:oddVBand="0" w:evenVBand="0" w:oddHBand="0" w:evenHBand="0" w:firstRowFirstColumn="0" w:firstRowLastColumn="0" w:lastRowFirstColumn="0" w:lastRowLastColumn="0"/>
            <w:tcW w:w="2269" w:type="pct"/>
            <w:noWrap/>
            <w:hideMark/>
          </w:tcPr>
          <w:p w:rsidR="009C5A8D" w:rsidRPr="00525182" w:rsidRDefault="009C5A8D" w:rsidP="009C5A8D">
            <w:pPr>
              <w:pStyle w:val="TableBodyText"/>
            </w:pPr>
            <w:r w:rsidRPr="00525182">
              <w:t>Balance as at 1 July 2016</w:t>
            </w:r>
          </w:p>
        </w:tc>
        <w:tc>
          <w:tcPr>
            <w:tcW w:w="701" w:type="pct"/>
            <w:shd w:val="clear" w:color="auto" w:fill="F3F3F3"/>
            <w:noWrap/>
            <w:hideMark/>
          </w:tcPr>
          <w:p w:rsidR="009C5A8D" w:rsidRPr="00525182" w:rsidRDefault="00762961" w:rsidP="009C5A8D">
            <w:pPr>
              <w:pStyle w:val="TableBodyText"/>
              <w:cnfStyle w:val="000000000000" w:firstRow="0" w:lastRow="0" w:firstColumn="0" w:lastColumn="0" w:oddVBand="0" w:evenVBand="0" w:oddHBand="0" w:evenHBand="0" w:firstRowFirstColumn="0" w:firstRowLastColumn="0" w:lastRowFirstColumn="0" w:lastRowLastColumn="0"/>
            </w:pPr>
            <w:r>
              <w:t>0</w:t>
            </w:r>
            <w:r w:rsidR="009C5A8D" w:rsidRPr="00525182">
              <w:t> </w:t>
            </w:r>
          </w:p>
        </w:tc>
        <w:tc>
          <w:tcPr>
            <w:tcW w:w="712" w:type="pct"/>
            <w:noWrap/>
            <w:hideMark/>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 (0.4)</w:t>
            </w:r>
          </w:p>
        </w:tc>
        <w:tc>
          <w:tcPr>
            <w:tcW w:w="712" w:type="pct"/>
            <w:shd w:val="clear" w:color="auto" w:fill="F3F3F3"/>
            <w:noWrap/>
            <w:hideMark/>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34.1 </w:t>
            </w:r>
          </w:p>
        </w:tc>
        <w:tc>
          <w:tcPr>
            <w:tcW w:w="607" w:type="pct"/>
            <w:noWrap/>
            <w:hideMark/>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33.7 </w:t>
            </w:r>
          </w:p>
        </w:tc>
      </w:tr>
      <w:tr w:rsidR="009C5A8D" w:rsidRPr="00525182" w:rsidTr="009C5A8D">
        <w:tc>
          <w:tcPr>
            <w:cnfStyle w:val="001000000000" w:firstRow="0" w:lastRow="0" w:firstColumn="1" w:lastColumn="0" w:oddVBand="0" w:evenVBand="0" w:oddHBand="0" w:evenHBand="0" w:firstRowFirstColumn="0" w:firstRowLastColumn="0" w:lastRowFirstColumn="0" w:lastRowLastColumn="0"/>
            <w:tcW w:w="2269" w:type="pct"/>
            <w:hideMark/>
          </w:tcPr>
          <w:p w:rsidR="009C5A8D" w:rsidRPr="00525182" w:rsidRDefault="009C5A8D" w:rsidP="009C5A8D">
            <w:pPr>
              <w:pStyle w:val="TableBodyText"/>
            </w:pPr>
            <w:r w:rsidRPr="00525182">
              <w:t>Net result for the year</w:t>
            </w:r>
          </w:p>
        </w:tc>
        <w:tc>
          <w:tcPr>
            <w:tcW w:w="701" w:type="pct"/>
            <w:shd w:val="clear" w:color="auto" w:fill="F3F3F3"/>
            <w:noWrap/>
            <w:hideMark/>
          </w:tcPr>
          <w:p w:rsidR="009C5A8D" w:rsidRPr="00525182" w:rsidRDefault="00762961" w:rsidP="009C5A8D">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noWrap/>
            <w:hideMark/>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1.7 </w:t>
            </w:r>
          </w:p>
        </w:tc>
        <w:tc>
          <w:tcPr>
            <w:tcW w:w="712" w:type="pct"/>
            <w:shd w:val="clear" w:color="auto" w:fill="F3F3F3"/>
            <w:noWrap/>
            <w:hideMark/>
          </w:tcPr>
          <w:p w:rsidR="009C5A8D" w:rsidRPr="00525182" w:rsidRDefault="00762961" w:rsidP="009C5A8D">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7" w:type="pct"/>
            <w:noWrap/>
            <w:hideMark/>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1.7 </w:t>
            </w:r>
          </w:p>
        </w:tc>
      </w:tr>
      <w:tr w:rsidR="009C5A8D" w:rsidRPr="00525182" w:rsidTr="009C5A8D">
        <w:tc>
          <w:tcPr>
            <w:cnfStyle w:val="001000000000" w:firstRow="0" w:lastRow="0" w:firstColumn="1" w:lastColumn="0" w:oddVBand="0" w:evenVBand="0" w:oddHBand="0" w:evenHBand="0" w:firstRowFirstColumn="0" w:firstRowLastColumn="0" w:lastRowFirstColumn="0" w:lastRowLastColumn="0"/>
            <w:tcW w:w="2269" w:type="pct"/>
            <w:hideMark/>
          </w:tcPr>
          <w:p w:rsidR="009C5A8D" w:rsidRPr="00525182" w:rsidRDefault="009C5A8D" w:rsidP="009C5A8D">
            <w:pPr>
              <w:pStyle w:val="TableBodyText"/>
            </w:pPr>
            <w:r w:rsidRPr="00525182">
              <w:t>Other comprehensive income for the year</w:t>
            </w:r>
          </w:p>
        </w:tc>
        <w:tc>
          <w:tcPr>
            <w:tcW w:w="701" w:type="pct"/>
            <w:shd w:val="clear" w:color="auto" w:fill="F3F3F3"/>
            <w:noWrap/>
            <w:hideMark/>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3.9 </w:t>
            </w:r>
          </w:p>
        </w:tc>
        <w:tc>
          <w:tcPr>
            <w:tcW w:w="712" w:type="pct"/>
            <w:noWrap/>
            <w:hideMark/>
          </w:tcPr>
          <w:p w:rsidR="009C5A8D" w:rsidRPr="00525182" w:rsidRDefault="00762961" w:rsidP="009C5A8D">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9C5A8D" w:rsidRPr="00525182" w:rsidRDefault="00762961" w:rsidP="009C5A8D">
            <w:pPr>
              <w:pStyle w:val="TableBodyText"/>
              <w:cnfStyle w:val="000000000000" w:firstRow="0" w:lastRow="0" w:firstColumn="0" w:lastColumn="0" w:oddVBand="0" w:evenVBand="0" w:oddHBand="0" w:evenHBand="0" w:firstRowFirstColumn="0" w:firstRowLastColumn="0" w:lastRowFirstColumn="0" w:lastRowLastColumn="0"/>
            </w:pPr>
            <w:r>
              <w:t>0</w:t>
            </w:r>
          </w:p>
        </w:tc>
        <w:tc>
          <w:tcPr>
            <w:tcW w:w="607" w:type="pct"/>
            <w:noWrap/>
            <w:hideMark/>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3.9 </w:t>
            </w:r>
          </w:p>
        </w:tc>
      </w:tr>
      <w:tr w:rsidR="009C5A8D" w:rsidRPr="00525182" w:rsidTr="009C5A8D">
        <w:tc>
          <w:tcPr>
            <w:cnfStyle w:val="001000000000" w:firstRow="0" w:lastRow="0" w:firstColumn="1" w:lastColumn="0" w:oddVBand="0" w:evenVBand="0" w:oddHBand="0" w:evenHBand="0" w:firstRowFirstColumn="0" w:firstRowLastColumn="0" w:lastRowFirstColumn="0" w:lastRowLastColumn="0"/>
            <w:tcW w:w="2269" w:type="pct"/>
            <w:hideMark/>
          </w:tcPr>
          <w:p w:rsidR="009C5A8D" w:rsidRPr="00525182" w:rsidRDefault="009C5A8D" w:rsidP="00762961">
            <w:pPr>
              <w:pStyle w:val="TableBodyText"/>
              <w:spacing w:before="120"/>
            </w:pPr>
            <w:r w:rsidRPr="00525182">
              <w:t>Transactions with the State in its capacity as owners</w:t>
            </w:r>
          </w:p>
        </w:tc>
        <w:tc>
          <w:tcPr>
            <w:tcW w:w="701" w:type="pct"/>
            <w:shd w:val="clear" w:color="auto" w:fill="F3F3F3"/>
            <w:noWrap/>
            <w:hideMark/>
          </w:tcPr>
          <w:p w:rsidR="009C5A8D"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c>
          <w:tcPr>
            <w:tcW w:w="712" w:type="pct"/>
            <w:noWrap/>
            <w:hideMark/>
          </w:tcPr>
          <w:p w:rsidR="009C5A8D" w:rsidRPr="00525182"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0</w:t>
            </w:r>
          </w:p>
        </w:tc>
        <w:tc>
          <w:tcPr>
            <w:tcW w:w="712" w:type="pct"/>
            <w:shd w:val="clear" w:color="auto" w:fill="F3F3F3"/>
            <w:noWrap/>
            <w:hideMark/>
          </w:tcPr>
          <w:p w:rsidR="009C5A8D" w:rsidRPr="00525182" w:rsidRDefault="009C5A8D"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525182">
              <w:t xml:space="preserve"> (43.0)</w:t>
            </w:r>
          </w:p>
        </w:tc>
        <w:tc>
          <w:tcPr>
            <w:tcW w:w="607" w:type="pct"/>
            <w:noWrap/>
            <w:hideMark/>
          </w:tcPr>
          <w:p w:rsidR="009C5A8D" w:rsidRPr="00525182" w:rsidRDefault="009C5A8D"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525182">
              <w:t xml:space="preserve"> (43.0)</w:t>
            </w:r>
          </w:p>
        </w:tc>
      </w:tr>
      <w:tr w:rsidR="009C5A8D" w:rsidRPr="00525182" w:rsidTr="00762961">
        <w:tc>
          <w:tcPr>
            <w:cnfStyle w:val="001000000000" w:firstRow="0" w:lastRow="0" w:firstColumn="1" w:lastColumn="0" w:oddVBand="0" w:evenVBand="0" w:oddHBand="0" w:evenHBand="0" w:firstRowFirstColumn="0" w:firstRowLastColumn="0" w:lastRowFirstColumn="0" w:lastRowLastColumn="0"/>
            <w:tcW w:w="2269" w:type="pct"/>
            <w:tcBorders>
              <w:bottom w:val="single" w:sz="4" w:space="0" w:color="auto"/>
            </w:tcBorders>
            <w:noWrap/>
          </w:tcPr>
          <w:p w:rsidR="009C5A8D" w:rsidRPr="00525182" w:rsidRDefault="009C5A8D" w:rsidP="009C5A8D">
            <w:pPr>
              <w:pStyle w:val="TableBodyText"/>
            </w:pPr>
            <w:r w:rsidRPr="00525182">
              <w:t>Transactions with owners in their capacity as owners</w:t>
            </w:r>
          </w:p>
        </w:tc>
        <w:tc>
          <w:tcPr>
            <w:tcW w:w="701" w:type="pct"/>
            <w:tcBorders>
              <w:bottom w:val="single" w:sz="4" w:space="0" w:color="auto"/>
            </w:tcBorders>
            <w:shd w:val="clear" w:color="auto" w:fill="F3F3F3"/>
            <w:noWrap/>
          </w:tcPr>
          <w:p w:rsidR="009C5A8D" w:rsidRPr="00525182" w:rsidRDefault="00762961" w:rsidP="009C5A8D">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tcBorders>
              <w:bottom w:val="single" w:sz="4" w:space="0" w:color="auto"/>
            </w:tcBorders>
            <w:noWrap/>
          </w:tcPr>
          <w:p w:rsidR="009C5A8D" w:rsidRPr="00525182" w:rsidRDefault="00762961" w:rsidP="009C5A8D">
            <w:pPr>
              <w:pStyle w:val="TableBodyText"/>
              <w:cnfStyle w:val="000000000000" w:firstRow="0" w:lastRow="0" w:firstColumn="0" w:lastColumn="0" w:oddVBand="0" w:evenVBand="0" w:oddHBand="0" w:evenHBand="0" w:firstRowFirstColumn="0" w:firstRowLastColumn="0" w:lastRowFirstColumn="0" w:lastRowLastColumn="0"/>
            </w:pPr>
            <w:r>
              <w:t>0</w:t>
            </w:r>
          </w:p>
        </w:tc>
        <w:tc>
          <w:tcPr>
            <w:tcW w:w="712" w:type="pct"/>
            <w:tcBorders>
              <w:bottom w:val="single" w:sz="4" w:space="0" w:color="auto"/>
            </w:tcBorders>
            <w:shd w:val="clear" w:color="auto" w:fill="F3F3F3"/>
            <w:noWrap/>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19.5 </w:t>
            </w:r>
          </w:p>
        </w:tc>
        <w:tc>
          <w:tcPr>
            <w:tcW w:w="607" w:type="pct"/>
            <w:tcBorders>
              <w:bottom w:val="single" w:sz="4" w:space="0" w:color="auto"/>
            </w:tcBorders>
            <w:noWrap/>
          </w:tcPr>
          <w:p w:rsidR="009C5A8D" w:rsidRPr="00525182" w:rsidRDefault="009C5A8D" w:rsidP="009C5A8D">
            <w:pPr>
              <w:pStyle w:val="TableBodyText"/>
              <w:cnfStyle w:val="000000000000" w:firstRow="0" w:lastRow="0" w:firstColumn="0" w:lastColumn="0" w:oddVBand="0" w:evenVBand="0" w:oddHBand="0" w:evenHBand="0" w:firstRowFirstColumn="0" w:firstRowLastColumn="0" w:lastRowFirstColumn="0" w:lastRowLastColumn="0"/>
            </w:pPr>
            <w:r w:rsidRPr="00525182">
              <w:t xml:space="preserve">19.5 </w:t>
            </w:r>
          </w:p>
        </w:tc>
      </w:tr>
      <w:tr w:rsidR="009C5A8D" w:rsidRPr="009C5A8D" w:rsidTr="00762961">
        <w:tc>
          <w:tcPr>
            <w:cnfStyle w:val="001000000000" w:firstRow="0" w:lastRow="0" w:firstColumn="1" w:lastColumn="0" w:oddVBand="0" w:evenVBand="0" w:oddHBand="0" w:evenHBand="0" w:firstRowFirstColumn="0" w:firstRowLastColumn="0" w:lastRowFirstColumn="0" w:lastRowLastColumn="0"/>
            <w:tcW w:w="2269" w:type="pct"/>
            <w:tcBorders>
              <w:top w:val="single" w:sz="4" w:space="0" w:color="auto"/>
              <w:bottom w:val="single" w:sz="4" w:space="0" w:color="auto"/>
            </w:tcBorders>
            <w:noWrap/>
            <w:hideMark/>
          </w:tcPr>
          <w:p w:rsidR="009C5A8D" w:rsidRPr="009C5A8D" w:rsidRDefault="009C5A8D" w:rsidP="009C5A8D">
            <w:pPr>
              <w:pStyle w:val="TableBodyText"/>
              <w:rPr>
                <w:rStyle w:val="Bold"/>
              </w:rPr>
            </w:pPr>
            <w:r w:rsidRPr="009C5A8D">
              <w:rPr>
                <w:rStyle w:val="Bold"/>
              </w:rPr>
              <w:t>Total</w:t>
            </w:r>
          </w:p>
        </w:tc>
        <w:tc>
          <w:tcPr>
            <w:tcW w:w="701" w:type="pct"/>
            <w:tcBorders>
              <w:top w:val="single" w:sz="4" w:space="0" w:color="auto"/>
              <w:bottom w:val="single" w:sz="4" w:space="0" w:color="auto"/>
            </w:tcBorders>
            <w:shd w:val="clear" w:color="auto" w:fill="F3F3F3"/>
            <w:noWrap/>
            <w:hideMark/>
          </w:tcPr>
          <w:p w:rsidR="009C5A8D" w:rsidRPr="009C5A8D" w:rsidRDefault="009C5A8D" w:rsidP="009C5A8D">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3.9 </w:t>
            </w:r>
          </w:p>
        </w:tc>
        <w:tc>
          <w:tcPr>
            <w:tcW w:w="712" w:type="pct"/>
            <w:tcBorders>
              <w:top w:val="single" w:sz="4" w:space="0" w:color="auto"/>
              <w:bottom w:val="single" w:sz="4" w:space="0" w:color="auto"/>
            </w:tcBorders>
            <w:noWrap/>
            <w:hideMark/>
          </w:tcPr>
          <w:p w:rsidR="009C5A8D" w:rsidRPr="009C5A8D" w:rsidRDefault="009C5A8D" w:rsidP="009C5A8D">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1.2 </w:t>
            </w:r>
          </w:p>
        </w:tc>
        <w:tc>
          <w:tcPr>
            <w:tcW w:w="712" w:type="pct"/>
            <w:tcBorders>
              <w:top w:val="single" w:sz="4" w:space="0" w:color="auto"/>
              <w:bottom w:val="single" w:sz="4" w:space="0" w:color="auto"/>
            </w:tcBorders>
            <w:shd w:val="clear" w:color="auto" w:fill="F3F3F3"/>
            <w:noWrap/>
            <w:hideMark/>
          </w:tcPr>
          <w:p w:rsidR="009C5A8D" w:rsidRPr="009C5A8D" w:rsidRDefault="009C5A8D" w:rsidP="009C5A8D">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10.7 </w:t>
            </w:r>
          </w:p>
        </w:tc>
        <w:tc>
          <w:tcPr>
            <w:tcW w:w="607" w:type="pct"/>
            <w:tcBorders>
              <w:top w:val="single" w:sz="4" w:space="0" w:color="auto"/>
              <w:bottom w:val="single" w:sz="4" w:space="0" w:color="auto"/>
            </w:tcBorders>
            <w:noWrap/>
            <w:hideMark/>
          </w:tcPr>
          <w:p w:rsidR="009C5A8D" w:rsidRPr="009C5A8D" w:rsidRDefault="009C5A8D" w:rsidP="009C5A8D">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9C5A8D">
              <w:rPr>
                <w:rStyle w:val="Bold"/>
              </w:rPr>
              <w:t xml:space="preserve">15.8 </w:t>
            </w:r>
          </w:p>
        </w:tc>
      </w:tr>
    </w:tbl>
    <w:p w:rsidR="00525182" w:rsidRDefault="004379E9" w:rsidP="00762961">
      <w:pPr>
        <w:pStyle w:val="Heading2"/>
        <w:pageBreakBefore/>
        <w:numPr>
          <w:ilvl w:val="0"/>
          <w:numId w:val="0"/>
        </w:numPr>
      </w:pPr>
      <w:bookmarkStart w:id="78" w:name="_Toc497125503"/>
      <w:r w:rsidRPr="004379E9">
        <w:lastRenderedPageBreak/>
        <w:t>Cash flow statement for the financial year ended 30 June 2017</w:t>
      </w:r>
      <w:bookmarkEnd w:id="78"/>
    </w:p>
    <w:tbl>
      <w:tblPr>
        <w:tblStyle w:val="FinancialTable"/>
        <w:tblW w:w="5000" w:type="pct"/>
        <w:tblLayout w:type="fixed"/>
        <w:tblLook w:val="04A0" w:firstRow="1" w:lastRow="0" w:firstColumn="1" w:lastColumn="0" w:noHBand="0" w:noVBand="1"/>
      </w:tblPr>
      <w:tblGrid>
        <w:gridCol w:w="5103"/>
        <w:gridCol w:w="1135"/>
        <w:gridCol w:w="1133"/>
        <w:gridCol w:w="1155"/>
        <w:gridCol w:w="1112"/>
      </w:tblGrid>
      <w:tr w:rsidR="00762961" w:rsidRPr="00762961" w:rsidTr="005873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7" w:type="pct"/>
            <w:tcBorders>
              <w:top w:val="nil"/>
            </w:tcBorders>
            <w:noWrap/>
          </w:tcPr>
          <w:p w:rsidR="00762961" w:rsidRPr="00762961" w:rsidRDefault="00762961" w:rsidP="00762961">
            <w:pPr>
              <w:pStyle w:val="TableBodyText"/>
              <w:rPr>
                <w:rStyle w:val="Bold"/>
              </w:rPr>
            </w:pPr>
            <w:r w:rsidRPr="00762961">
              <w:rPr>
                <w:rStyle w:val="Bold"/>
              </w:rPr>
              <w:t>Item</w:t>
            </w:r>
          </w:p>
        </w:tc>
        <w:tc>
          <w:tcPr>
            <w:tcW w:w="589" w:type="pct"/>
            <w:shd w:val="clear" w:color="auto" w:fill="F3F3F3"/>
            <w:noWrap/>
          </w:tcPr>
          <w:p w:rsidR="00762961" w:rsidRPr="00762961"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762961">
              <w:rPr>
                <w:rStyle w:val="Bold"/>
              </w:rPr>
              <w:t>Variance note</w:t>
            </w:r>
          </w:p>
        </w:tc>
        <w:tc>
          <w:tcPr>
            <w:tcW w:w="588" w:type="pct"/>
            <w:noWrap/>
          </w:tcPr>
          <w:p w:rsidR="00762961" w:rsidRPr="00762961"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762961">
              <w:rPr>
                <w:rStyle w:val="Bold"/>
              </w:rPr>
              <w:t>Original Budget</w:t>
            </w:r>
            <w:r w:rsidRPr="00762961">
              <w:rPr>
                <w:rStyle w:val="Bold"/>
              </w:rPr>
              <w:br/>
              <w:t>2017</w:t>
            </w:r>
          </w:p>
          <w:p w:rsidR="00762961" w:rsidRPr="00762961"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762961">
              <w:rPr>
                <w:rStyle w:val="Bold"/>
              </w:rPr>
              <w:t>($ million)</w:t>
            </w:r>
          </w:p>
        </w:tc>
        <w:tc>
          <w:tcPr>
            <w:tcW w:w="599" w:type="pct"/>
            <w:shd w:val="clear" w:color="auto" w:fill="F3F3F3"/>
            <w:noWrap/>
          </w:tcPr>
          <w:p w:rsidR="00762961" w:rsidRPr="00762961"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762961">
              <w:rPr>
                <w:rStyle w:val="Bold"/>
              </w:rPr>
              <w:t>Actual</w:t>
            </w:r>
            <w:r w:rsidRPr="00762961">
              <w:rPr>
                <w:rStyle w:val="Bold"/>
              </w:rPr>
              <w:br/>
              <w:t>2017</w:t>
            </w:r>
          </w:p>
          <w:p w:rsidR="00762961" w:rsidRPr="00762961"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762961">
              <w:rPr>
                <w:rStyle w:val="Bold"/>
              </w:rPr>
              <w:t>($ million)</w:t>
            </w:r>
          </w:p>
        </w:tc>
        <w:tc>
          <w:tcPr>
            <w:tcW w:w="577" w:type="pct"/>
            <w:noWrap/>
          </w:tcPr>
          <w:p w:rsidR="00762961" w:rsidRPr="00762961"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762961">
              <w:rPr>
                <w:rStyle w:val="Bold"/>
              </w:rPr>
              <w:t>Variance</w:t>
            </w:r>
          </w:p>
          <w:p w:rsidR="00762961" w:rsidRPr="00762961" w:rsidRDefault="00762961" w:rsidP="00762961">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762961">
              <w:rPr>
                <w:rStyle w:val="Bold"/>
              </w:rPr>
              <w:t>($ million)</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tcBorders>
              <w:top w:val="nil"/>
            </w:tcBorders>
            <w:noWrap/>
            <w:hideMark/>
          </w:tcPr>
          <w:p w:rsidR="00762961" w:rsidRPr="00762961" w:rsidRDefault="00762961" w:rsidP="00762961">
            <w:pPr>
              <w:pStyle w:val="TableBodyText"/>
              <w:spacing w:before="120"/>
              <w:rPr>
                <w:rStyle w:val="Bold"/>
              </w:rPr>
            </w:pPr>
            <w:r w:rsidRPr="00762961">
              <w:rPr>
                <w:rStyle w:val="Bold"/>
              </w:rPr>
              <w:t>Cash flows from operating activities</w:t>
            </w:r>
          </w:p>
        </w:tc>
        <w:tc>
          <w:tcPr>
            <w:tcW w:w="589" w:type="pct"/>
            <w:shd w:val="clear" w:color="auto" w:fill="F3F3F3"/>
            <w:noWrap/>
          </w:tcPr>
          <w:p w:rsidR="00762961" w:rsidRPr="00762961"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99" w:type="pct"/>
            <w:shd w:val="clear" w:color="auto" w:fill="F3F3F3"/>
            <w:noWrap/>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77" w:type="pct"/>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762961" w:rsidRDefault="00762961" w:rsidP="00762961">
            <w:pPr>
              <w:pStyle w:val="TableBodyText"/>
              <w:rPr>
                <w:rStyle w:val="Bold"/>
              </w:rPr>
            </w:pPr>
            <w:r w:rsidRPr="00762961">
              <w:rPr>
                <w:rStyle w:val="Bold"/>
              </w:rPr>
              <w:t>Receipts</w:t>
            </w:r>
          </w:p>
        </w:tc>
        <w:tc>
          <w:tcPr>
            <w:tcW w:w="589" w:type="pct"/>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99" w:type="pct"/>
            <w:shd w:val="clear" w:color="auto" w:fill="F3F3F3"/>
            <w:noWrap/>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N/A</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4379E9" w:rsidRDefault="00762961" w:rsidP="00762961">
            <w:pPr>
              <w:pStyle w:val="TableBodyText"/>
            </w:pPr>
            <w:r w:rsidRPr="004379E9">
              <w:t>Receipts from Government</w:t>
            </w:r>
          </w:p>
        </w:tc>
        <w:tc>
          <w:tcPr>
            <w:tcW w:w="589" w:type="pct"/>
            <w:shd w:val="clear" w:color="auto" w:fill="F3F3F3"/>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15</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447.0 </w:t>
            </w:r>
          </w:p>
        </w:tc>
        <w:tc>
          <w:tcPr>
            <w:tcW w:w="599" w:type="pct"/>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437.2 </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(9.8)</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4379E9" w:rsidRDefault="00762961" w:rsidP="00762961">
            <w:pPr>
              <w:pStyle w:val="TableBodyText"/>
            </w:pPr>
            <w:r w:rsidRPr="004379E9">
              <w:t>Receipts from other entities</w:t>
            </w:r>
          </w:p>
        </w:tc>
        <w:tc>
          <w:tcPr>
            <w:tcW w:w="589" w:type="pct"/>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16.6 </w:t>
            </w:r>
          </w:p>
        </w:tc>
        <w:tc>
          <w:tcPr>
            <w:tcW w:w="599" w:type="pct"/>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30.4 </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13.8 </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tcBorders>
              <w:bottom w:val="single" w:sz="4" w:space="0" w:color="auto"/>
            </w:tcBorders>
            <w:noWrap/>
            <w:hideMark/>
          </w:tcPr>
          <w:p w:rsidR="00762961" w:rsidRPr="004379E9" w:rsidRDefault="00762961" w:rsidP="00762961">
            <w:pPr>
              <w:pStyle w:val="TableBodyText"/>
            </w:pPr>
            <w:r w:rsidRPr="004379E9">
              <w:t xml:space="preserve">Goods and services tax recovered from the </w:t>
            </w:r>
            <w:proofErr w:type="spellStart"/>
            <w:r w:rsidRPr="004379E9">
              <w:t>ATO</w:t>
            </w:r>
            <w:proofErr w:type="spellEnd"/>
          </w:p>
        </w:tc>
        <w:tc>
          <w:tcPr>
            <w:tcW w:w="589" w:type="pct"/>
            <w:tcBorders>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bottom w:val="single" w:sz="4" w:space="0" w:color="auto"/>
            </w:tcBorders>
            <w:noWrap/>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99" w:type="pct"/>
            <w:tcBorders>
              <w:bottom w:val="single" w:sz="4" w:space="0" w:color="auto"/>
            </w:tcBorders>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14.7 </w:t>
            </w:r>
          </w:p>
        </w:tc>
        <w:tc>
          <w:tcPr>
            <w:tcW w:w="577" w:type="pct"/>
            <w:tcBorders>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14.7 </w:t>
            </w:r>
          </w:p>
        </w:tc>
      </w:tr>
      <w:tr w:rsidR="00762961" w:rsidRPr="00762961" w:rsidTr="00587321">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nil"/>
            </w:tcBorders>
            <w:noWrap/>
            <w:hideMark/>
          </w:tcPr>
          <w:p w:rsidR="00762961" w:rsidRPr="00762961" w:rsidRDefault="00762961" w:rsidP="00762961">
            <w:pPr>
              <w:pStyle w:val="TableBodyText"/>
              <w:rPr>
                <w:rStyle w:val="Bold"/>
              </w:rPr>
            </w:pPr>
            <w:r w:rsidRPr="00762961">
              <w:rPr>
                <w:rStyle w:val="Bold"/>
              </w:rPr>
              <w:t>Total receipts</w:t>
            </w:r>
          </w:p>
        </w:tc>
        <w:tc>
          <w:tcPr>
            <w:tcW w:w="589" w:type="pct"/>
            <w:tcBorders>
              <w:top w:val="single" w:sz="4" w:space="0" w:color="auto"/>
              <w:bottom w:val="nil"/>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single" w:sz="4" w:space="0" w:color="auto"/>
              <w:bottom w:val="nil"/>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463.6 </w:t>
            </w:r>
          </w:p>
        </w:tc>
        <w:tc>
          <w:tcPr>
            <w:tcW w:w="599" w:type="pct"/>
            <w:tcBorders>
              <w:top w:val="single" w:sz="4" w:space="0" w:color="auto"/>
              <w:bottom w:val="nil"/>
            </w:tcBorders>
            <w:shd w:val="clear" w:color="auto" w:fill="F3F3F3"/>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482.4 </w:t>
            </w:r>
          </w:p>
        </w:tc>
        <w:tc>
          <w:tcPr>
            <w:tcW w:w="577" w:type="pct"/>
            <w:tcBorders>
              <w:top w:val="single" w:sz="4" w:space="0" w:color="auto"/>
              <w:bottom w:val="nil"/>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18.8 </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tcBorders>
              <w:top w:val="nil"/>
            </w:tcBorders>
            <w:noWrap/>
            <w:hideMark/>
          </w:tcPr>
          <w:p w:rsidR="00762961" w:rsidRPr="004379E9" w:rsidRDefault="00762961" w:rsidP="00762961">
            <w:pPr>
              <w:pStyle w:val="TableBodyText"/>
              <w:spacing w:before="120"/>
            </w:pPr>
            <w:r w:rsidRPr="00762961">
              <w:rPr>
                <w:rStyle w:val="Bold"/>
              </w:rPr>
              <w:t>Payments</w:t>
            </w:r>
          </w:p>
        </w:tc>
        <w:tc>
          <w:tcPr>
            <w:tcW w:w="589" w:type="pct"/>
            <w:tcBorders>
              <w:top w:val="nil"/>
            </w:tcBorders>
            <w:shd w:val="clear" w:color="auto" w:fill="F3F3F3"/>
            <w:noWrap/>
          </w:tcPr>
          <w:p w:rsidR="00762961" w:rsidRPr="00762961"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nil"/>
            </w:tcBorders>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99" w:type="pct"/>
            <w:tcBorders>
              <w:top w:val="nil"/>
            </w:tcBorders>
            <w:shd w:val="clear" w:color="auto" w:fill="F3F3F3"/>
            <w:noWrap/>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77" w:type="pct"/>
            <w:tcBorders>
              <w:top w:val="nil"/>
            </w:tcBorders>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4379E9" w:rsidRDefault="00762961" w:rsidP="00762961">
            <w:pPr>
              <w:pStyle w:val="TableBodyText"/>
            </w:pPr>
            <w:r w:rsidRPr="004379E9">
              <w:t xml:space="preserve">Payments to suppliers and employees </w:t>
            </w:r>
          </w:p>
        </w:tc>
        <w:tc>
          <w:tcPr>
            <w:tcW w:w="589" w:type="pct"/>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(401.0)</w:t>
            </w:r>
          </w:p>
        </w:tc>
        <w:tc>
          <w:tcPr>
            <w:tcW w:w="599" w:type="pct"/>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(397.6)</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3.4 </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4379E9" w:rsidRDefault="00762961" w:rsidP="00762961">
            <w:pPr>
              <w:pStyle w:val="TableBodyText"/>
            </w:pPr>
            <w:r w:rsidRPr="004379E9">
              <w:t>Payments of grants and other transfers</w:t>
            </w:r>
          </w:p>
        </w:tc>
        <w:tc>
          <w:tcPr>
            <w:tcW w:w="589" w:type="pct"/>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(1.0)</w:t>
            </w:r>
          </w:p>
        </w:tc>
        <w:tc>
          <w:tcPr>
            <w:tcW w:w="599" w:type="pct"/>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(6.1)</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(5.1)</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4379E9" w:rsidRDefault="00762961" w:rsidP="00762961">
            <w:pPr>
              <w:pStyle w:val="TableBodyText"/>
            </w:pPr>
            <w:r w:rsidRPr="004379E9">
              <w:t>Capital assets charge payments</w:t>
            </w:r>
          </w:p>
        </w:tc>
        <w:tc>
          <w:tcPr>
            <w:tcW w:w="589" w:type="pct"/>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(40.0)</w:t>
            </w:r>
          </w:p>
        </w:tc>
        <w:tc>
          <w:tcPr>
            <w:tcW w:w="599" w:type="pct"/>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(39.8)</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0.2 </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tcBorders>
              <w:bottom w:val="single" w:sz="4" w:space="0" w:color="auto"/>
            </w:tcBorders>
            <w:noWrap/>
            <w:hideMark/>
          </w:tcPr>
          <w:p w:rsidR="00762961" w:rsidRPr="004379E9" w:rsidRDefault="00762961" w:rsidP="00762961">
            <w:pPr>
              <w:pStyle w:val="TableBodyText"/>
            </w:pPr>
            <w:r w:rsidRPr="004379E9">
              <w:t>Interest and other costs of finance paid</w:t>
            </w:r>
          </w:p>
        </w:tc>
        <w:tc>
          <w:tcPr>
            <w:tcW w:w="589" w:type="pct"/>
            <w:tcBorders>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(11.0)</w:t>
            </w:r>
          </w:p>
        </w:tc>
        <w:tc>
          <w:tcPr>
            <w:tcW w:w="599" w:type="pct"/>
            <w:tcBorders>
              <w:bottom w:val="single" w:sz="4" w:space="0" w:color="auto"/>
            </w:tcBorders>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(7.2)</w:t>
            </w:r>
          </w:p>
        </w:tc>
        <w:tc>
          <w:tcPr>
            <w:tcW w:w="577" w:type="pct"/>
            <w:tcBorders>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3.8 </w:t>
            </w:r>
          </w:p>
        </w:tc>
      </w:tr>
      <w:tr w:rsidR="00762961" w:rsidRPr="00762961" w:rsidTr="00E15939">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noWrap/>
            <w:hideMark/>
          </w:tcPr>
          <w:p w:rsidR="00762961" w:rsidRPr="00762961" w:rsidRDefault="00762961" w:rsidP="00762961">
            <w:pPr>
              <w:pStyle w:val="TableBodyText"/>
              <w:rPr>
                <w:rStyle w:val="Bold"/>
              </w:rPr>
            </w:pPr>
            <w:r w:rsidRPr="00762961">
              <w:rPr>
                <w:rStyle w:val="Bold"/>
              </w:rPr>
              <w:t>Total payments</w:t>
            </w:r>
          </w:p>
        </w:tc>
        <w:tc>
          <w:tcPr>
            <w:tcW w:w="589" w:type="pct"/>
            <w:tcBorders>
              <w:top w:val="single" w:sz="4" w:space="0" w:color="auto"/>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single" w:sz="4" w:space="0" w:color="auto"/>
              <w:bottom w:val="single" w:sz="4" w:space="0" w:color="auto"/>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(453.0)</w:t>
            </w:r>
          </w:p>
        </w:tc>
        <w:tc>
          <w:tcPr>
            <w:tcW w:w="599" w:type="pct"/>
            <w:tcBorders>
              <w:top w:val="single" w:sz="4" w:space="0" w:color="auto"/>
              <w:bottom w:val="single" w:sz="4" w:space="0" w:color="auto"/>
            </w:tcBorders>
            <w:shd w:val="clear" w:color="auto" w:fill="F3F3F3"/>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(450.7)</w:t>
            </w:r>
          </w:p>
        </w:tc>
        <w:tc>
          <w:tcPr>
            <w:tcW w:w="577" w:type="pct"/>
            <w:tcBorders>
              <w:top w:val="single" w:sz="4" w:space="0" w:color="auto"/>
              <w:bottom w:val="single" w:sz="4" w:space="0" w:color="auto"/>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2.3 </w:t>
            </w:r>
          </w:p>
        </w:tc>
      </w:tr>
      <w:tr w:rsidR="00762961" w:rsidRPr="00762961" w:rsidTr="00E15939">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noWrap/>
            <w:hideMark/>
          </w:tcPr>
          <w:p w:rsidR="00762961" w:rsidRPr="00762961" w:rsidRDefault="00762961" w:rsidP="00762961">
            <w:pPr>
              <w:pStyle w:val="TableBodyText"/>
              <w:rPr>
                <w:rStyle w:val="Bold"/>
              </w:rPr>
            </w:pPr>
            <w:r w:rsidRPr="00762961">
              <w:rPr>
                <w:rStyle w:val="Bold"/>
              </w:rPr>
              <w:t>Net cash provided by/(used in) operating activities</w:t>
            </w:r>
          </w:p>
        </w:tc>
        <w:tc>
          <w:tcPr>
            <w:tcW w:w="589" w:type="pct"/>
            <w:tcBorders>
              <w:top w:val="single" w:sz="4" w:space="0" w:color="auto"/>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single" w:sz="4" w:space="0" w:color="auto"/>
              <w:bottom w:val="single" w:sz="4" w:space="0" w:color="auto"/>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10.6 </w:t>
            </w:r>
          </w:p>
        </w:tc>
        <w:tc>
          <w:tcPr>
            <w:tcW w:w="599" w:type="pct"/>
            <w:tcBorders>
              <w:top w:val="single" w:sz="4" w:space="0" w:color="auto"/>
              <w:bottom w:val="single" w:sz="4" w:space="0" w:color="auto"/>
            </w:tcBorders>
            <w:shd w:val="clear" w:color="auto" w:fill="F3F3F3"/>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31.6 </w:t>
            </w:r>
          </w:p>
        </w:tc>
        <w:tc>
          <w:tcPr>
            <w:tcW w:w="577" w:type="pct"/>
            <w:tcBorders>
              <w:top w:val="single" w:sz="4" w:space="0" w:color="auto"/>
              <w:bottom w:val="single" w:sz="4" w:space="0" w:color="auto"/>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21.0 </w:t>
            </w:r>
          </w:p>
        </w:tc>
      </w:tr>
      <w:tr w:rsidR="00762961" w:rsidRPr="004379E9" w:rsidTr="00E15939">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nil"/>
            </w:tcBorders>
            <w:noWrap/>
            <w:hideMark/>
          </w:tcPr>
          <w:p w:rsidR="00762961" w:rsidRPr="004379E9" w:rsidRDefault="00762961" w:rsidP="00762961">
            <w:pPr>
              <w:pStyle w:val="TableBodyText"/>
              <w:spacing w:before="120"/>
            </w:pPr>
            <w:r w:rsidRPr="00762961">
              <w:rPr>
                <w:rStyle w:val="Bold"/>
              </w:rPr>
              <w:t>Cash flows from investing activities</w:t>
            </w:r>
          </w:p>
        </w:tc>
        <w:tc>
          <w:tcPr>
            <w:tcW w:w="589" w:type="pct"/>
            <w:tcBorders>
              <w:top w:val="single" w:sz="4" w:space="0" w:color="auto"/>
              <w:bottom w:val="nil"/>
            </w:tcBorders>
            <w:shd w:val="clear" w:color="auto" w:fill="F3F3F3"/>
            <w:noWrap/>
          </w:tcPr>
          <w:p w:rsidR="00762961" w:rsidRPr="00762961"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single" w:sz="4" w:space="0" w:color="auto"/>
              <w:bottom w:val="nil"/>
            </w:tcBorders>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99" w:type="pct"/>
            <w:tcBorders>
              <w:top w:val="single" w:sz="4" w:space="0" w:color="auto"/>
              <w:bottom w:val="nil"/>
            </w:tcBorders>
            <w:shd w:val="clear" w:color="auto" w:fill="F3F3F3"/>
            <w:noWrap/>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77" w:type="pct"/>
            <w:tcBorders>
              <w:top w:val="single" w:sz="4" w:space="0" w:color="auto"/>
              <w:bottom w:val="nil"/>
            </w:tcBorders>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762961" w:rsidRPr="004379E9" w:rsidTr="00E15939">
        <w:tc>
          <w:tcPr>
            <w:cnfStyle w:val="001000000000" w:firstRow="0" w:lastRow="0" w:firstColumn="1" w:lastColumn="0" w:oddVBand="0" w:evenVBand="0" w:oddHBand="0" w:evenHBand="0" w:firstRowFirstColumn="0" w:firstRowLastColumn="0" w:lastRowFirstColumn="0" w:lastRowLastColumn="0"/>
            <w:tcW w:w="2647" w:type="pct"/>
            <w:tcBorders>
              <w:top w:val="nil"/>
            </w:tcBorders>
            <w:noWrap/>
            <w:hideMark/>
          </w:tcPr>
          <w:p w:rsidR="00762961" w:rsidRPr="004379E9" w:rsidRDefault="00762961" w:rsidP="00762961">
            <w:pPr>
              <w:pStyle w:val="TableBodyText"/>
            </w:pPr>
            <w:r w:rsidRPr="004379E9">
              <w:t>Purchases of non-financial assets</w:t>
            </w:r>
          </w:p>
        </w:tc>
        <w:tc>
          <w:tcPr>
            <w:tcW w:w="589" w:type="pct"/>
            <w:tcBorders>
              <w:top w:val="nil"/>
            </w:tcBorders>
            <w:shd w:val="clear" w:color="auto" w:fill="F3F3F3"/>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16</w:t>
            </w:r>
          </w:p>
        </w:tc>
        <w:tc>
          <w:tcPr>
            <w:tcW w:w="588" w:type="pct"/>
            <w:tcBorders>
              <w:top w:val="nil"/>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(49.0)</w:t>
            </w:r>
          </w:p>
        </w:tc>
        <w:tc>
          <w:tcPr>
            <w:tcW w:w="599" w:type="pct"/>
            <w:tcBorders>
              <w:top w:val="nil"/>
            </w:tcBorders>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(41.0)</w:t>
            </w:r>
          </w:p>
        </w:tc>
        <w:tc>
          <w:tcPr>
            <w:tcW w:w="577" w:type="pct"/>
            <w:tcBorders>
              <w:top w:val="nil"/>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8.0 </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4379E9" w:rsidRDefault="00762961" w:rsidP="00762961">
            <w:pPr>
              <w:pStyle w:val="TableBodyText"/>
            </w:pPr>
            <w:r w:rsidRPr="004379E9">
              <w:t xml:space="preserve">Proceed sales of non-financial assets </w:t>
            </w:r>
          </w:p>
        </w:tc>
        <w:tc>
          <w:tcPr>
            <w:tcW w:w="589" w:type="pct"/>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99" w:type="pct"/>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2.2 </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2.2 </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tcBorders>
              <w:bottom w:val="single" w:sz="4" w:space="0" w:color="auto"/>
            </w:tcBorders>
            <w:noWrap/>
            <w:hideMark/>
          </w:tcPr>
          <w:p w:rsidR="00762961" w:rsidRPr="004379E9" w:rsidRDefault="00762961" w:rsidP="00762961">
            <w:pPr>
              <w:pStyle w:val="TableBodyText"/>
            </w:pPr>
            <w:r w:rsidRPr="004379E9">
              <w:t>Net investment</w:t>
            </w:r>
          </w:p>
        </w:tc>
        <w:tc>
          <w:tcPr>
            <w:tcW w:w="589" w:type="pct"/>
            <w:tcBorders>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99" w:type="pct"/>
            <w:tcBorders>
              <w:bottom w:val="single" w:sz="4" w:space="0" w:color="auto"/>
            </w:tcBorders>
            <w:shd w:val="clear" w:color="auto" w:fill="F3F3F3"/>
            <w:noWrap/>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N/A</w:t>
            </w:r>
          </w:p>
        </w:tc>
        <w:tc>
          <w:tcPr>
            <w:tcW w:w="577" w:type="pct"/>
            <w:tcBorders>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 xml:space="preserve">0 </w:t>
            </w:r>
          </w:p>
        </w:tc>
      </w:tr>
      <w:tr w:rsidR="00762961" w:rsidRPr="00762961" w:rsidTr="00587321">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nil"/>
            </w:tcBorders>
            <w:noWrap/>
            <w:hideMark/>
          </w:tcPr>
          <w:p w:rsidR="00762961" w:rsidRPr="00762961" w:rsidRDefault="00762961" w:rsidP="00762961">
            <w:pPr>
              <w:pStyle w:val="TableBodyText"/>
              <w:rPr>
                <w:rStyle w:val="Bold"/>
              </w:rPr>
            </w:pPr>
            <w:r w:rsidRPr="00762961">
              <w:rPr>
                <w:rStyle w:val="Bold"/>
              </w:rPr>
              <w:t>Net cash provided by/(used in) investing activities</w:t>
            </w:r>
          </w:p>
        </w:tc>
        <w:tc>
          <w:tcPr>
            <w:tcW w:w="589" w:type="pct"/>
            <w:tcBorders>
              <w:top w:val="single" w:sz="4" w:space="0" w:color="auto"/>
              <w:bottom w:val="nil"/>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single" w:sz="4" w:space="0" w:color="auto"/>
              <w:bottom w:val="nil"/>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(49.0)</w:t>
            </w:r>
          </w:p>
        </w:tc>
        <w:tc>
          <w:tcPr>
            <w:tcW w:w="599" w:type="pct"/>
            <w:tcBorders>
              <w:top w:val="single" w:sz="4" w:space="0" w:color="auto"/>
              <w:bottom w:val="nil"/>
            </w:tcBorders>
            <w:shd w:val="clear" w:color="auto" w:fill="F3F3F3"/>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(38.7)</w:t>
            </w:r>
          </w:p>
        </w:tc>
        <w:tc>
          <w:tcPr>
            <w:tcW w:w="577" w:type="pct"/>
            <w:tcBorders>
              <w:top w:val="single" w:sz="4" w:space="0" w:color="auto"/>
              <w:bottom w:val="nil"/>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10.3 </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tcBorders>
              <w:top w:val="nil"/>
            </w:tcBorders>
            <w:noWrap/>
            <w:hideMark/>
          </w:tcPr>
          <w:p w:rsidR="00762961" w:rsidRPr="00762961" w:rsidRDefault="00762961" w:rsidP="00762961">
            <w:pPr>
              <w:pStyle w:val="TableBodyText"/>
              <w:spacing w:before="120"/>
              <w:rPr>
                <w:rStyle w:val="Bold"/>
              </w:rPr>
            </w:pPr>
            <w:r w:rsidRPr="00762961">
              <w:rPr>
                <w:rStyle w:val="Bold"/>
              </w:rPr>
              <w:t>Cash flows from financing activities</w:t>
            </w:r>
          </w:p>
        </w:tc>
        <w:tc>
          <w:tcPr>
            <w:tcW w:w="589" w:type="pct"/>
            <w:tcBorders>
              <w:top w:val="nil"/>
            </w:tcBorders>
            <w:shd w:val="clear" w:color="auto" w:fill="F3F3F3"/>
            <w:noWrap/>
          </w:tcPr>
          <w:p w:rsidR="00762961" w:rsidRPr="00762961"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nil"/>
            </w:tcBorders>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99" w:type="pct"/>
            <w:tcBorders>
              <w:top w:val="nil"/>
            </w:tcBorders>
            <w:shd w:val="clear" w:color="auto" w:fill="F3F3F3"/>
            <w:noWrap/>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577" w:type="pct"/>
            <w:tcBorders>
              <w:top w:val="nil"/>
            </w:tcBorders>
            <w:noWrap/>
            <w:hideMark/>
          </w:tcPr>
          <w:p w:rsidR="00762961" w:rsidRPr="004379E9" w:rsidRDefault="00762961" w:rsidP="00762961">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762961" w:rsidRPr="004379E9" w:rsidTr="00587321">
        <w:tc>
          <w:tcPr>
            <w:cnfStyle w:val="001000000000" w:firstRow="0" w:lastRow="0" w:firstColumn="1" w:lastColumn="0" w:oddVBand="0" w:evenVBand="0" w:oddHBand="0" w:evenHBand="0" w:firstRowFirstColumn="0" w:firstRowLastColumn="0" w:lastRowFirstColumn="0" w:lastRowLastColumn="0"/>
            <w:tcW w:w="2647" w:type="pct"/>
            <w:noWrap/>
            <w:hideMark/>
          </w:tcPr>
          <w:p w:rsidR="00762961" w:rsidRPr="004379E9" w:rsidRDefault="00762961" w:rsidP="00762961">
            <w:pPr>
              <w:pStyle w:val="TableBodyText"/>
            </w:pPr>
            <w:r w:rsidRPr="004379E9">
              <w:t>Owner contributions by State Government</w:t>
            </w:r>
          </w:p>
        </w:tc>
        <w:tc>
          <w:tcPr>
            <w:tcW w:w="589" w:type="pct"/>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43.0 </w:t>
            </w:r>
          </w:p>
        </w:tc>
        <w:tc>
          <w:tcPr>
            <w:tcW w:w="599" w:type="pct"/>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19.5 </w:t>
            </w:r>
          </w:p>
        </w:tc>
        <w:tc>
          <w:tcPr>
            <w:tcW w:w="577" w:type="pct"/>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(23.5)</w:t>
            </w:r>
          </w:p>
        </w:tc>
      </w:tr>
      <w:tr w:rsidR="00762961" w:rsidRPr="004379E9" w:rsidTr="00E15939">
        <w:tc>
          <w:tcPr>
            <w:cnfStyle w:val="001000000000" w:firstRow="0" w:lastRow="0" w:firstColumn="1" w:lastColumn="0" w:oddVBand="0" w:evenVBand="0" w:oddHBand="0" w:evenHBand="0" w:firstRowFirstColumn="0" w:firstRowLastColumn="0" w:lastRowFirstColumn="0" w:lastRowLastColumn="0"/>
            <w:tcW w:w="2647" w:type="pct"/>
            <w:tcBorders>
              <w:bottom w:val="single" w:sz="4" w:space="0" w:color="auto"/>
            </w:tcBorders>
            <w:noWrap/>
            <w:hideMark/>
          </w:tcPr>
          <w:p w:rsidR="00762961" w:rsidRPr="004379E9" w:rsidRDefault="00762961" w:rsidP="00762961">
            <w:pPr>
              <w:pStyle w:val="TableBodyText"/>
            </w:pPr>
            <w:r w:rsidRPr="004379E9">
              <w:t>Repayment of borrowing and</w:t>
            </w:r>
            <w:r>
              <w:t xml:space="preserve"> </w:t>
            </w:r>
            <w:r w:rsidRPr="004379E9">
              <w:t>finance leases</w:t>
            </w:r>
          </w:p>
        </w:tc>
        <w:tc>
          <w:tcPr>
            <w:tcW w:w="589" w:type="pct"/>
            <w:tcBorders>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(4.8)</w:t>
            </w:r>
          </w:p>
        </w:tc>
        <w:tc>
          <w:tcPr>
            <w:tcW w:w="599" w:type="pct"/>
            <w:tcBorders>
              <w:bottom w:val="single" w:sz="4" w:space="0" w:color="auto"/>
            </w:tcBorders>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(11.7)</w:t>
            </w:r>
          </w:p>
        </w:tc>
        <w:tc>
          <w:tcPr>
            <w:tcW w:w="577" w:type="pct"/>
            <w:tcBorders>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(6.9)</w:t>
            </w:r>
          </w:p>
        </w:tc>
      </w:tr>
      <w:tr w:rsidR="00762961" w:rsidRPr="00E15939" w:rsidTr="00E15939">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noWrap/>
            <w:hideMark/>
          </w:tcPr>
          <w:p w:rsidR="00762961" w:rsidRPr="00E15939" w:rsidRDefault="00762961" w:rsidP="00762961">
            <w:pPr>
              <w:pStyle w:val="TableBodyText"/>
              <w:rPr>
                <w:rStyle w:val="Bold"/>
              </w:rPr>
            </w:pPr>
            <w:r w:rsidRPr="00E15939">
              <w:rPr>
                <w:rStyle w:val="Bold"/>
              </w:rPr>
              <w:t>Net cash provided by/(used in) financing activities</w:t>
            </w:r>
          </w:p>
        </w:tc>
        <w:tc>
          <w:tcPr>
            <w:tcW w:w="589" w:type="pct"/>
            <w:tcBorders>
              <w:top w:val="single" w:sz="4" w:space="0" w:color="auto"/>
              <w:bottom w:val="single" w:sz="4" w:space="0" w:color="auto"/>
            </w:tcBorders>
            <w:shd w:val="clear" w:color="auto" w:fill="F3F3F3"/>
            <w:noWrap/>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N/A</w:t>
            </w:r>
          </w:p>
        </w:tc>
        <w:tc>
          <w:tcPr>
            <w:tcW w:w="588" w:type="pct"/>
            <w:tcBorders>
              <w:top w:val="single" w:sz="4" w:space="0" w:color="auto"/>
              <w:bottom w:val="single" w:sz="4" w:space="0" w:color="auto"/>
            </w:tcBorders>
            <w:noWrap/>
            <w:hideMark/>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 xml:space="preserve">38.2 </w:t>
            </w:r>
          </w:p>
        </w:tc>
        <w:tc>
          <w:tcPr>
            <w:tcW w:w="599" w:type="pct"/>
            <w:tcBorders>
              <w:top w:val="single" w:sz="4" w:space="0" w:color="auto"/>
              <w:bottom w:val="single" w:sz="4" w:space="0" w:color="auto"/>
            </w:tcBorders>
            <w:shd w:val="clear" w:color="auto" w:fill="F3F3F3"/>
            <w:noWrap/>
            <w:hideMark/>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 xml:space="preserve">7.8 </w:t>
            </w:r>
          </w:p>
        </w:tc>
        <w:tc>
          <w:tcPr>
            <w:tcW w:w="577" w:type="pct"/>
            <w:tcBorders>
              <w:top w:val="single" w:sz="4" w:space="0" w:color="auto"/>
              <w:bottom w:val="single" w:sz="4" w:space="0" w:color="auto"/>
            </w:tcBorders>
            <w:noWrap/>
            <w:hideMark/>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(30.4)</w:t>
            </w:r>
          </w:p>
        </w:tc>
      </w:tr>
      <w:tr w:rsidR="00762961" w:rsidRPr="00E15939" w:rsidTr="00E15939">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noWrap/>
            <w:hideMark/>
          </w:tcPr>
          <w:p w:rsidR="00762961" w:rsidRPr="00E15939" w:rsidRDefault="00762961" w:rsidP="00762961">
            <w:pPr>
              <w:pStyle w:val="TableBodyText"/>
              <w:rPr>
                <w:rStyle w:val="Bold"/>
              </w:rPr>
            </w:pPr>
            <w:r w:rsidRPr="00E15939">
              <w:rPr>
                <w:rStyle w:val="Bold"/>
              </w:rPr>
              <w:t>Net increase (decrease) in cash held</w:t>
            </w:r>
          </w:p>
        </w:tc>
        <w:tc>
          <w:tcPr>
            <w:tcW w:w="589" w:type="pct"/>
            <w:tcBorders>
              <w:top w:val="single" w:sz="4" w:space="0" w:color="auto"/>
              <w:bottom w:val="single" w:sz="4" w:space="0" w:color="auto"/>
            </w:tcBorders>
            <w:shd w:val="clear" w:color="auto" w:fill="F3F3F3"/>
            <w:noWrap/>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N/A</w:t>
            </w:r>
          </w:p>
        </w:tc>
        <w:tc>
          <w:tcPr>
            <w:tcW w:w="588" w:type="pct"/>
            <w:tcBorders>
              <w:top w:val="single" w:sz="4" w:space="0" w:color="auto"/>
              <w:bottom w:val="single" w:sz="4" w:space="0" w:color="auto"/>
            </w:tcBorders>
            <w:noWrap/>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0</w:t>
            </w:r>
          </w:p>
        </w:tc>
        <w:tc>
          <w:tcPr>
            <w:tcW w:w="599" w:type="pct"/>
            <w:tcBorders>
              <w:top w:val="single" w:sz="4" w:space="0" w:color="auto"/>
              <w:bottom w:val="single" w:sz="4" w:space="0" w:color="auto"/>
            </w:tcBorders>
            <w:shd w:val="clear" w:color="auto" w:fill="F3F3F3"/>
            <w:noWrap/>
            <w:hideMark/>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 xml:space="preserve">0.7 </w:t>
            </w:r>
          </w:p>
        </w:tc>
        <w:tc>
          <w:tcPr>
            <w:tcW w:w="577" w:type="pct"/>
            <w:tcBorders>
              <w:top w:val="single" w:sz="4" w:space="0" w:color="auto"/>
              <w:bottom w:val="single" w:sz="4" w:space="0" w:color="auto"/>
            </w:tcBorders>
            <w:noWrap/>
            <w:hideMark/>
          </w:tcPr>
          <w:p w:rsidR="00762961" w:rsidRPr="00E15939"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E15939">
              <w:rPr>
                <w:rStyle w:val="Bold"/>
              </w:rPr>
              <w:t>(0.7)</w:t>
            </w:r>
          </w:p>
        </w:tc>
      </w:tr>
      <w:tr w:rsidR="00762961" w:rsidRPr="004379E9" w:rsidTr="00E15939">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hideMark/>
          </w:tcPr>
          <w:p w:rsidR="00762961" w:rsidRPr="004379E9" w:rsidRDefault="00762961" w:rsidP="00762961">
            <w:pPr>
              <w:pStyle w:val="TableBodyText"/>
            </w:pPr>
            <w:r w:rsidRPr="004379E9">
              <w:t>Cash and cash equivalents at the beginning of the financial year</w:t>
            </w:r>
          </w:p>
        </w:tc>
        <w:tc>
          <w:tcPr>
            <w:tcW w:w="589" w:type="pct"/>
            <w:tcBorders>
              <w:top w:val="single" w:sz="4" w:space="0" w:color="auto"/>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single" w:sz="4" w:space="0" w:color="auto"/>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5.0 </w:t>
            </w:r>
          </w:p>
        </w:tc>
        <w:tc>
          <w:tcPr>
            <w:tcW w:w="599" w:type="pct"/>
            <w:tcBorders>
              <w:top w:val="single" w:sz="4" w:space="0" w:color="auto"/>
              <w:bottom w:val="single" w:sz="4" w:space="0" w:color="auto"/>
            </w:tcBorders>
            <w:shd w:val="clear" w:color="auto" w:fill="F3F3F3"/>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8.4 </w:t>
            </w:r>
          </w:p>
        </w:tc>
        <w:tc>
          <w:tcPr>
            <w:tcW w:w="577" w:type="pct"/>
            <w:tcBorders>
              <w:top w:val="single" w:sz="4" w:space="0" w:color="auto"/>
              <w:bottom w:val="single" w:sz="4" w:space="0" w:color="auto"/>
            </w:tcBorders>
            <w:noWrap/>
            <w:hideMark/>
          </w:tcPr>
          <w:p w:rsidR="00762961" w:rsidRPr="004379E9"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t>0</w:t>
            </w:r>
          </w:p>
        </w:tc>
      </w:tr>
      <w:tr w:rsidR="00762961" w:rsidRPr="00762961" w:rsidTr="00587321">
        <w:tc>
          <w:tcPr>
            <w:cnfStyle w:val="001000000000" w:firstRow="0" w:lastRow="0" w:firstColumn="1" w:lastColumn="0" w:oddVBand="0" w:evenVBand="0" w:oddHBand="0" w:evenHBand="0" w:firstRowFirstColumn="0" w:firstRowLastColumn="0" w:lastRowFirstColumn="0" w:lastRowLastColumn="0"/>
            <w:tcW w:w="2647" w:type="pct"/>
            <w:tcBorders>
              <w:top w:val="single" w:sz="4" w:space="0" w:color="auto"/>
              <w:bottom w:val="single" w:sz="4" w:space="0" w:color="auto"/>
            </w:tcBorders>
            <w:noWrap/>
            <w:hideMark/>
          </w:tcPr>
          <w:p w:rsidR="00762961" w:rsidRPr="00762961" w:rsidRDefault="00762961" w:rsidP="00762961">
            <w:pPr>
              <w:pStyle w:val="TableBodyText"/>
              <w:rPr>
                <w:rStyle w:val="Bold"/>
              </w:rPr>
            </w:pPr>
            <w:r w:rsidRPr="00762961">
              <w:rPr>
                <w:rStyle w:val="Bold"/>
              </w:rPr>
              <w:t>Cash and cash equivalents at the end of the financial year</w:t>
            </w:r>
          </w:p>
        </w:tc>
        <w:tc>
          <w:tcPr>
            <w:tcW w:w="589" w:type="pct"/>
            <w:tcBorders>
              <w:top w:val="single" w:sz="4" w:space="0" w:color="auto"/>
              <w:bottom w:val="single" w:sz="4" w:space="0" w:color="auto"/>
            </w:tcBorders>
            <w:shd w:val="clear" w:color="auto" w:fill="F3F3F3"/>
            <w:noWrap/>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pPr>
            <w:r w:rsidRPr="00762961">
              <w:t>N/A</w:t>
            </w:r>
          </w:p>
        </w:tc>
        <w:tc>
          <w:tcPr>
            <w:tcW w:w="588" w:type="pct"/>
            <w:tcBorders>
              <w:top w:val="single" w:sz="4" w:space="0" w:color="auto"/>
              <w:bottom w:val="single" w:sz="4" w:space="0" w:color="auto"/>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5.0 </w:t>
            </w:r>
          </w:p>
        </w:tc>
        <w:tc>
          <w:tcPr>
            <w:tcW w:w="599" w:type="pct"/>
            <w:tcBorders>
              <w:top w:val="single" w:sz="4" w:space="0" w:color="auto"/>
              <w:bottom w:val="single" w:sz="4" w:space="0" w:color="auto"/>
            </w:tcBorders>
            <w:shd w:val="clear" w:color="auto" w:fill="F3F3F3"/>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 xml:space="preserve">9.1 </w:t>
            </w:r>
          </w:p>
        </w:tc>
        <w:tc>
          <w:tcPr>
            <w:tcW w:w="577" w:type="pct"/>
            <w:tcBorders>
              <w:top w:val="single" w:sz="4" w:space="0" w:color="auto"/>
              <w:bottom w:val="single" w:sz="4" w:space="0" w:color="auto"/>
            </w:tcBorders>
            <w:noWrap/>
            <w:hideMark/>
          </w:tcPr>
          <w:p w:rsidR="00762961" w:rsidRPr="00762961" w:rsidRDefault="00762961" w:rsidP="00762961">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762961">
              <w:rPr>
                <w:rStyle w:val="Bold"/>
              </w:rPr>
              <w:t>0</w:t>
            </w:r>
          </w:p>
        </w:tc>
      </w:tr>
    </w:tbl>
    <w:p w:rsidR="004379E9" w:rsidRDefault="004379E9" w:rsidP="0002777B">
      <w:pPr>
        <w:pStyle w:val="Heading2"/>
        <w:pageBreakBefore/>
        <w:numPr>
          <w:ilvl w:val="0"/>
          <w:numId w:val="0"/>
        </w:numPr>
      </w:pPr>
      <w:bookmarkStart w:id="79" w:name="_Toc497125504"/>
      <w:r w:rsidRPr="004379E9">
        <w:lastRenderedPageBreak/>
        <w:t>Administered (non</w:t>
      </w:r>
      <w:r w:rsidRPr="004379E9">
        <w:rPr>
          <w:rFonts w:ascii="Cambria Math" w:hAnsi="Cambria Math" w:cs="Cambria Math"/>
        </w:rPr>
        <w:t>‐</w:t>
      </w:r>
      <w:r w:rsidRPr="004379E9">
        <w:t>controlled) items</w:t>
      </w:r>
      <w:bookmarkEnd w:id="79"/>
    </w:p>
    <w:tbl>
      <w:tblPr>
        <w:tblStyle w:val="FinancialTable"/>
        <w:tblW w:w="5000" w:type="pct"/>
        <w:tblLook w:val="04A0" w:firstRow="1" w:lastRow="0" w:firstColumn="1" w:lastColumn="0" w:noHBand="0" w:noVBand="1"/>
      </w:tblPr>
      <w:tblGrid>
        <w:gridCol w:w="4595"/>
        <w:gridCol w:w="964"/>
        <w:gridCol w:w="1473"/>
        <w:gridCol w:w="1448"/>
        <w:gridCol w:w="1158"/>
      </w:tblGrid>
      <w:tr w:rsidR="0002777B" w:rsidRPr="0002777B" w:rsidTr="005873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4" w:type="pct"/>
            <w:noWrap/>
          </w:tcPr>
          <w:p w:rsidR="0002777B" w:rsidRPr="0002777B" w:rsidRDefault="0002777B" w:rsidP="002108FC">
            <w:pPr>
              <w:pStyle w:val="TableBodyText"/>
              <w:rPr>
                <w:rStyle w:val="Bold"/>
              </w:rPr>
            </w:pPr>
            <w:r w:rsidRPr="0002777B">
              <w:rPr>
                <w:rStyle w:val="Bold"/>
              </w:rPr>
              <w:t>Item</w:t>
            </w:r>
          </w:p>
        </w:tc>
        <w:tc>
          <w:tcPr>
            <w:tcW w:w="500" w:type="pct"/>
            <w:noWrap/>
          </w:tcPr>
          <w:p w:rsidR="0002777B" w:rsidRPr="0002777B" w:rsidRDefault="002108FC" w:rsidP="002108FC">
            <w:pPr>
              <w:pStyle w:val="TableBodyText"/>
              <w:cnfStyle w:val="100000000000" w:firstRow="1" w:lastRow="0" w:firstColumn="0" w:lastColumn="0" w:oddVBand="0" w:evenVBand="0" w:oddHBand="0" w:evenHBand="0" w:firstRowFirstColumn="0" w:firstRowLastColumn="0" w:lastRowFirstColumn="0" w:lastRowLastColumn="0"/>
              <w:rPr>
                <w:rStyle w:val="Bold"/>
              </w:rPr>
            </w:pPr>
            <w:r>
              <w:rPr>
                <w:rStyle w:val="Bold"/>
              </w:rPr>
              <w:t xml:space="preserve">Variance </w:t>
            </w:r>
            <w:r>
              <w:rPr>
                <w:rStyle w:val="Bold"/>
              </w:rPr>
              <w:br/>
              <w:t>note</w:t>
            </w:r>
          </w:p>
        </w:tc>
        <w:tc>
          <w:tcPr>
            <w:tcW w:w="764" w:type="pct"/>
            <w:shd w:val="clear" w:color="auto" w:fill="F3F3F3"/>
            <w:noWrap/>
          </w:tcPr>
          <w:p w:rsidR="0002777B" w:rsidRPr="0002777B" w:rsidRDefault="0002777B" w:rsidP="002108FC">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2777B">
              <w:rPr>
                <w:rStyle w:val="Bold"/>
              </w:rPr>
              <w:t>Original budget</w:t>
            </w:r>
            <w:r w:rsidRPr="0002777B">
              <w:rPr>
                <w:rStyle w:val="Bold"/>
              </w:rPr>
              <w:br/>
              <w:t>2017</w:t>
            </w:r>
          </w:p>
          <w:p w:rsidR="0002777B" w:rsidRPr="0002777B" w:rsidRDefault="0002777B" w:rsidP="002108FC">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2777B">
              <w:rPr>
                <w:rStyle w:val="Bold"/>
              </w:rPr>
              <w:t>$'million</w:t>
            </w:r>
          </w:p>
        </w:tc>
        <w:tc>
          <w:tcPr>
            <w:tcW w:w="751" w:type="pct"/>
            <w:noWrap/>
          </w:tcPr>
          <w:p w:rsidR="0002777B" w:rsidRPr="0002777B" w:rsidRDefault="0002777B" w:rsidP="002108FC">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2777B">
              <w:rPr>
                <w:rStyle w:val="Bold"/>
              </w:rPr>
              <w:t>Actual</w:t>
            </w:r>
            <w:r w:rsidRPr="0002777B">
              <w:rPr>
                <w:rStyle w:val="Bold"/>
              </w:rPr>
              <w:br/>
              <w:t>2017</w:t>
            </w:r>
          </w:p>
          <w:p w:rsidR="0002777B" w:rsidRPr="0002777B" w:rsidRDefault="0002777B" w:rsidP="002108FC">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2777B">
              <w:rPr>
                <w:rStyle w:val="Bold"/>
              </w:rPr>
              <w:t>$'million</w:t>
            </w:r>
          </w:p>
        </w:tc>
        <w:tc>
          <w:tcPr>
            <w:tcW w:w="601" w:type="pct"/>
            <w:tcBorders>
              <w:top w:val="nil"/>
            </w:tcBorders>
            <w:shd w:val="clear" w:color="auto" w:fill="F3F3F3"/>
            <w:noWrap/>
          </w:tcPr>
          <w:p w:rsidR="0002777B" w:rsidRPr="0002777B" w:rsidRDefault="0002777B" w:rsidP="002108FC">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2777B">
              <w:rPr>
                <w:rStyle w:val="Bold"/>
              </w:rPr>
              <w:t>Variance</w:t>
            </w:r>
          </w:p>
          <w:p w:rsidR="0002777B" w:rsidRPr="0002777B" w:rsidRDefault="0002777B" w:rsidP="002108FC">
            <w:pPr>
              <w:pStyle w:val="TableBodyText"/>
              <w:cnfStyle w:val="100000000000" w:firstRow="1" w:lastRow="0" w:firstColumn="0" w:lastColumn="0" w:oddVBand="0" w:evenVBand="0" w:oddHBand="0" w:evenHBand="0" w:firstRowFirstColumn="0" w:firstRowLastColumn="0" w:lastRowFirstColumn="0" w:lastRowLastColumn="0"/>
              <w:rPr>
                <w:rStyle w:val="Bold"/>
              </w:rPr>
            </w:pPr>
            <w:r w:rsidRPr="0002777B">
              <w:rPr>
                <w:rStyle w:val="Bold"/>
              </w:rPr>
              <w:t>$'million</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2108FC" w:rsidRDefault="0002777B" w:rsidP="002108FC">
            <w:pPr>
              <w:pStyle w:val="TableBodyText"/>
              <w:rPr>
                <w:rStyle w:val="Bold"/>
              </w:rPr>
            </w:pPr>
            <w:r w:rsidRPr="002108FC">
              <w:rPr>
                <w:rStyle w:val="Bold"/>
              </w:rPr>
              <w:t>Administered income from transactions</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751" w:type="pct"/>
            <w:noWrap/>
            <w:hideMark/>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01" w:type="pct"/>
            <w:tcBorders>
              <w:top w:val="nil"/>
            </w:tcBorders>
            <w:shd w:val="clear" w:color="auto" w:fill="F3F3F3"/>
            <w:noWrap/>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N/A</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Special appropriations applied</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63.0 </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42.6 </w:t>
            </w:r>
          </w:p>
        </w:tc>
        <w:tc>
          <w:tcPr>
            <w:tcW w:w="601" w:type="pct"/>
            <w:shd w:val="clear" w:color="auto" w:fill="F3F3F3"/>
            <w:noWrap/>
            <w:hideMark/>
          </w:tcPr>
          <w:p w:rsidR="0002777B" w:rsidRPr="004379E9" w:rsidRDefault="0002777B" w:rsidP="0002777B">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(20.4)</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Fines</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28.0 </w:t>
            </w:r>
          </w:p>
        </w:tc>
        <w:tc>
          <w:tcPr>
            <w:tcW w:w="601"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28.0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Sales of goods and services (including fees)</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57.0 </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62.4 </w:t>
            </w:r>
          </w:p>
        </w:tc>
        <w:tc>
          <w:tcPr>
            <w:tcW w:w="601"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5.4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tcBorders>
              <w:bottom w:val="single" w:sz="4" w:space="0" w:color="auto"/>
            </w:tcBorders>
            <w:noWrap/>
            <w:hideMark/>
          </w:tcPr>
          <w:p w:rsidR="0002777B" w:rsidRPr="004379E9" w:rsidRDefault="0002777B" w:rsidP="002108FC">
            <w:pPr>
              <w:pStyle w:val="TableBodyText"/>
            </w:pPr>
            <w:r w:rsidRPr="004379E9">
              <w:t>Other income</w:t>
            </w:r>
          </w:p>
        </w:tc>
        <w:tc>
          <w:tcPr>
            <w:tcW w:w="500" w:type="pct"/>
            <w:tcBorders>
              <w:bottom w:val="single" w:sz="4" w:space="0" w:color="auto"/>
            </w:tcBorders>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bottom w:val="single" w:sz="4" w:space="0" w:color="auto"/>
            </w:tcBorders>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21.0 </w:t>
            </w:r>
          </w:p>
        </w:tc>
        <w:tc>
          <w:tcPr>
            <w:tcW w:w="751" w:type="pct"/>
            <w:tcBorders>
              <w:bottom w:val="single" w:sz="4" w:space="0" w:color="auto"/>
            </w:tcBorders>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3.7 </w:t>
            </w:r>
          </w:p>
        </w:tc>
        <w:tc>
          <w:tcPr>
            <w:tcW w:w="601" w:type="pct"/>
            <w:tcBorders>
              <w:bottom w:val="single" w:sz="4" w:space="0" w:color="auto"/>
            </w:tcBorders>
            <w:shd w:val="clear" w:color="auto" w:fill="F3F3F3"/>
            <w:noWrap/>
            <w:hideMark/>
          </w:tcPr>
          <w:p w:rsidR="0002777B" w:rsidRPr="004379E9" w:rsidRDefault="0002777B" w:rsidP="0002777B">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(17.3)</w:t>
            </w:r>
          </w:p>
        </w:tc>
      </w:tr>
      <w:tr w:rsidR="0002777B" w:rsidRPr="002108FC"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bottom w:val="single" w:sz="4" w:space="0" w:color="auto"/>
            </w:tcBorders>
            <w:noWrap/>
            <w:hideMark/>
          </w:tcPr>
          <w:p w:rsidR="0002777B" w:rsidRPr="002108FC" w:rsidRDefault="0002777B" w:rsidP="002108FC">
            <w:pPr>
              <w:pStyle w:val="TableBodyText"/>
              <w:rPr>
                <w:rStyle w:val="Bold"/>
              </w:rPr>
            </w:pPr>
            <w:r w:rsidRPr="002108FC">
              <w:rPr>
                <w:rStyle w:val="Bold"/>
              </w:rPr>
              <w:t>Total administered income from transactions</w:t>
            </w:r>
          </w:p>
        </w:tc>
        <w:tc>
          <w:tcPr>
            <w:tcW w:w="500" w:type="pct"/>
            <w:tcBorders>
              <w:top w:val="single" w:sz="4" w:space="0" w:color="auto"/>
              <w:bottom w:val="single" w:sz="4" w:space="0" w:color="auto"/>
            </w:tcBorders>
            <w:noWrap/>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141.0 </w:t>
            </w:r>
          </w:p>
        </w:tc>
        <w:tc>
          <w:tcPr>
            <w:tcW w:w="751" w:type="pct"/>
            <w:tcBorders>
              <w:top w:val="single" w:sz="4" w:space="0" w:color="auto"/>
              <w:bottom w:val="single" w:sz="4" w:space="0" w:color="auto"/>
            </w:tcBorders>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136.7 </w:t>
            </w:r>
          </w:p>
        </w:tc>
        <w:tc>
          <w:tcPr>
            <w:tcW w:w="601" w:type="pct"/>
            <w:tcBorders>
              <w:top w:val="single" w:sz="4" w:space="0" w:color="auto"/>
              <w:bottom w:val="single" w:sz="4" w:space="0" w:color="auto"/>
            </w:tcBorders>
            <w:shd w:val="clear" w:color="auto" w:fill="F3F3F3"/>
            <w:noWrap/>
            <w:hideMark/>
          </w:tcPr>
          <w:p w:rsidR="0002777B" w:rsidRPr="002108FC" w:rsidRDefault="0002777B" w:rsidP="0002777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(4.3)</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tcBorders>
            <w:noWrap/>
            <w:hideMark/>
          </w:tcPr>
          <w:p w:rsidR="0002777B" w:rsidRPr="004379E9" w:rsidRDefault="0002777B" w:rsidP="002108FC">
            <w:pPr>
              <w:pStyle w:val="TableBodyText"/>
              <w:spacing w:before="120"/>
            </w:pPr>
            <w:r w:rsidRPr="004379E9">
              <w:t>Administered expenses from transactions</w:t>
            </w:r>
          </w:p>
        </w:tc>
        <w:tc>
          <w:tcPr>
            <w:tcW w:w="500" w:type="pct"/>
            <w:tcBorders>
              <w:top w:val="single" w:sz="4" w:space="0" w:color="auto"/>
            </w:tcBorders>
            <w:noWrap/>
            <w:hideMark/>
          </w:tcPr>
          <w:p w:rsidR="0002777B" w:rsidRPr="002108FC"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tcBorders>
            <w:shd w:val="clear" w:color="auto" w:fill="F3F3F3"/>
            <w:noWrap/>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51" w:type="pct"/>
            <w:tcBorders>
              <w:top w:val="single" w:sz="4" w:space="0" w:color="auto"/>
            </w:tcBorders>
            <w:noWrap/>
            <w:hideMark/>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01" w:type="pct"/>
            <w:tcBorders>
              <w:top w:val="single" w:sz="4" w:space="0" w:color="auto"/>
            </w:tcBorders>
            <w:shd w:val="clear" w:color="auto" w:fill="F3F3F3"/>
            <w:noWrap/>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Payments into the Consolidated Fund</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78.0 </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92.1 </w:t>
            </w:r>
          </w:p>
        </w:tc>
        <w:tc>
          <w:tcPr>
            <w:tcW w:w="601"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14.1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Criminal injuries compensation</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43.4 </w:t>
            </w:r>
          </w:p>
        </w:tc>
        <w:tc>
          <w:tcPr>
            <w:tcW w:w="601"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43.4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Other expenses</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2.5 </w:t>
            </w:r>
          </w:p>
        </w:tc>
        <w:tc>
          <w:tcPr>
            <w:tcW w:w="601"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2.5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Grants and other transfer</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58.0 </w:t>
            </w:r>
          </w:p>
        </w:tc>
        <w:tc>
          <w:tcPr>
            <w:tcW w:w="751" w:type="pct"/>
            <w:noWrap/>
            <w:hideMark/>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01" w:type="pct"/>
            <w:shd w:val="clear" w:color="auto" w:fill="F3F3F3"/>
            <w:noWrap/>
            <w:hideMark/>
          </w:tcPr>
          <w:p w:rsidR="0002777B" w:rsidRPr="004379E9" w:rsidRDefault="0002777B" w:rsidP="0002777B">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(58.0)</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tcBorders>
              <w:bottom w:val="single" w:sz="4" w:space="0" w:color="auto"/>
            </w:tcBorders>
            <w:noWrap/>
            <w:hideMark/>
          </w:tcPr>
          <w:p w:rsidR="0002777B" w:rsidRPr="004379E9" w:rsidRDefault="0002777B" w:rsidP="002108FC">
            <w:pPr>
              <w:pStyle w:val="TableBodyText"/>
            </w:pPr>
            <w:r w:rsidRPr="004379E9">
              <w:t>Expenses on behalf of the State</w:t>
            </w:r>
          </w:p>
        </w:tc>
        <w:tc>
          <w:tcPr>
            <w:tcW w:w="500" w:type="pct"/>
            <w:tcBorders>
              <w:bottom w:val="single" w:sz="4" w:space="0" w:color="auto"/>
            </w:tcBorders>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bottom w:val="single" w:sz="4" w:space="0" w:color="auto"/>
            </w:tcBorders>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rsidRPr="004379E9">
              <w:t xml:space="preserve">5.0 </w:t>
            </w:r>
          </w:p>
        </w:tc>
        <w:tc>
          <w:tcPr>
            <w:tcW w:w="751" w:type="pct"/>
            <w:tcBorders>
              <w:bottom w:val="single" w:sz="4" w:space="0" w:color="auto"/>
            </w:tcBorders>
            <w:noWrap/>
            <w:hideMark/>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N/A</w:t>
            </w:r>
          </w:p>
        </w:tc>
        <w:tc>
          <w:tcPr>
            <w:tcW w:w="601" w:type="pct"/>
            <w:tcBorders>
              <w:bottom w:val="single" w:sz="4" w:space="0" w:color="auto"/>
            </w:tcBorders>
            <w:shd w:val="clear" w:color="auto" w:fill="F3F3F3"/>
            <w:noWrap/>
            <w:hideMark/>
          </w:tcPr>
          <w:p w:rsidR="0002777B" w:rsidRPr="004379E9" w:rsidRDefault="0002777B" w:rsidP="0002777B">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(5.0)</w:t>
            </w:r>
          </w:p>
        </w:tc>
      </w:tr>
      <w:tr w:rsidR="0002777B" w:rsidRPr="002108FC"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bottom w:val="single" w:sz="4" w:space="0" w:color="auto"/>
            </w:tcBorders>
            <w:noWrap/>
            <w:hideMark/>
          </w:tcPr>
          <w:p w:rsidR="0002777B" w:rsidRPr="002108FC" w:rsidRDefault="0002777B" w:rsidP="002108FC">
            <w:pPr>
              <w:pStyle w:val="TableBodyText"/>
              <w:rPr>
                <w:rStyle w:val="Bold"/>
              </w:rPr>
            </w:pPr>
            <w:r w:rsidRPr="002108FC">
              <w:rPr>
                <w:rStyle w:val="Bold"/>
              </w:rPr>
              <w:t>Total administered expenses from transactions</w:t>
            </w:r>
          </w:p>
        </w:tc>
        <w:tc>
          <w:tcPr>
            <w:tcW w:w="500" w:type="pct"/>
            <w:tcBorders>
              <w:top w:val="single" w:sz="4" w:space="0" w:color="auto"/>
              <w:bottom w:val="single" w:sz="4" w:space="0" w:color="auto"/>
            </w:tcBorders>
            <w:noWrap/>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141.0 </w:t>
            </w:r>
          </w:p>
        </w:tc>
        <w:tc>
          <w:tcPr>
            <w:tcW w:w="751" w:type="pct"/>
            <w:tcBorders>
              <w:top w:val="single" w:sz="4" w:space="0" w:color="auto"/>
              <w:bottom w:val="single" w:sz="4" w:space="0" w:color="auto"/>
            </w:tcBorders>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138.0 </w:t>
            </w:r>
          </w:p>
        </w:tc>
        <w:tc>
          <w:tcPr>
            <w:tcW w:w="601" w:type="pct"/>
            <w:tcBorders>
              <w:top w:val="single" w:sz="4" w:space="0" w:color="auto"/>
              <w:bottom w:val="single" w:sz="4" w:space="0" w:color="auto"/>
            </w:tcBorders>
            <w:shd w:val="clear" w:color="auto" w:fill="F3F3F3"/>
            <w:noWrap/>
            <w:hideMark/>
          </w:tcPr>
          <w:p w:rsidR="0002777B" w:rsidRPr="002108FC" w:rsidRDefault="0002777B" w:rsidP="0002777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(3.0)</w:t>
            </w:r>
          </w:p>
        </w:tc>
      </w:tr>
      <w:tr w:rsidR="0002777B" w:rsidRPr="002108FC"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bottom w:val="single" w:sz="4" w:space="0" w:color="auto"/>
            </w:tcBorders>
            <w:hideMark/>
          </w:tcPr>
          <w:p w:rsidR="0002777B" w:rsidRPr="002108FC" w:rsidRDefault="0002777B" w:rsidP="002108FC">
            <w:pPr>
              <w:pStyle w:val="TableBodyText"/>
              <w:spacing w:before="120"/>
              <w:rPr>
                <w:rStyle w:val="Bold"/>
              </w:rPr>
            </w:pPr>
            <w:r w:rsidRPr="002108FC">
              <w:rPr>
                <w:rStyle w:val="Bold"/>
              </w:rPr>
              <w:t>Total administered net result from transactions (net operating balance)</w:t>
            </w:r>
          </w:p>
        </w:tc>
        <w:tc>
          <w:tcPr>
            <w:tcW w:w="500" w:type="pct"/>
            <w:tcBorders>
              <w:top w:val="single" w:sz="4" w:space="0" w:color="auto"/>
              <w:bottom w:val="single" w:sz="4" w:space="0" w:color="auto"/>
            </w:tcBorders>
            <w:noWrap/>
            <w:hideMark/>
          </w:tcPr>
          <w:p w:rsidR="0002777B" w:rsidRPr="002108FC"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0</w:t>
            </w:r>
          </w:p>
        </w:tc>
        <w:tc>
          <w:tcPr>
            <w:tcW w:w="751" w:type="pct"/>
            <w:tcBorders>
              <w:top w:val="single" w:sz="4" w:space="0" w:color="auto"/>
              <w:bottom w:val="single" w:sz="4" w:space="0" w:color="auto"/>
            </w:tcBorders>
            <w:noWrap/>
            <w:hideMark/>
          </w:tcPr>
          <w:p w:rsidR="0002777B" w:rsidRPr="002108FC" w:rsidRDefault="0002777B" w:rsidP="002108FC">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(1.3)</w:t>
            </w:r>
          </w:p>
        </w:tc>
        <w:tc>
          <w:tcPr>
            <w:tcW w:w="601"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spacing w:before="120"/>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(1.3)</w:t>
            </w:r>
          </w:p>
        </w:tc>
      </w:tr>
      <w:tr w:rsidR="0002777B" w:rsidRPr="002108FC"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bottom w:val="nil"/>
            </w:tcBorders>
            <w:noWrap/>
            <w:hideMark/>
          </w:tcPr>
          <w:p w:rsidR="0002777B" w:rsidRPr="002108FC" w:rsidRDefault="0002777B" w:rsidP="002108FC">
            <w:pPr>
              <w:pStyle w:val="TableBodyText"/>
              <w:rPr>
                <w:rStyle w:val="Bold"/>
              </w:rPr>
            </w:pPr>
            <w:r w:rsidRPr="002108FC">
              <w:rPr>
                <w:rStyle w:val="Bold"/>
              </w:rPr>
              <w:t>Total administered comprehensive result</w:t>
            </w:r>
          </w:p>
        </w:tc>
        <w:tc>
          <w:tcPr>
            <w:tcW w:w="500" w:type="pct"/>
            <w:tcBorders>
              <w:top w:val="single" w:sz="4" w:space="0" w:color="auto"/>
              <w:bottom w:val="nil"/>
            </w:tcBorders>
            <w:noWrap/>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bottom w:val="nil"/>
            </w:tcBorders>
            <w:shd w:val="clear" w:color="auto" w:fill="F3F3F3"/>
            <w:noWrap/>
            <w:hideMark/>
          </w:tcPr>
          <w:p w:rsidR="0002777B" w:rsidRPr="002108FC" w:rsidRDefault="0002777B" w:rsidP="0002777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0</w:t>
            </w:r>
          </w:p>
        </w:tc>
        <w:tc>
          <w:tcPr>
            <w:tcW w:w="751" w:type="pct"/>
            <w:tcBorders>
              <w:top w:val="single" w:sz="4" w:space="0" w:color="auto"/>
              <w:bottom w:val="nil"/>
            </w:tcBorders>
            <w:noWrap/>
            <w:hideMark/>
          </w:tcPr>
          <w:p w:rsidR="0002777B" w:rsidRPr="002108FC" w:rsidRDefault="0002777B" w:rsidP="0002777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(1.3)</w:t>
            </w:r>
          </w:p>
        </w:tc>
        <w:tc>
          <w:tcPr>
            <w:tcW w:w="601" w:type="pct"/>
            <w:tcBorders>
              <w:top w:val="single" w:sz="4" w:space="0" w:color="auto"/>
              <w:bottom w:val="nil"/>
            </w:tcBorders>
            <w:shd w:val="clear" w:color="auto" w:fill="F3F3F3"/>
            <w:noWrap/>
            <w:hideMark/>
          </w:tcPr>
          <w:p w:rsidR="0002777B" w:rsidRPr="002108FC" w:rsidRDefault="0002777B" w:rsidP="0002777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(1.3)</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tcBorders>
              <w:top w:val="nil"/>
            </w:tcBorders>
            <w:noWrap/>
            <w:hideMark/>
          </w:tcPr>
          <w:p w:rsidR="0002777B" w:rsidRPr="004379E9" w:rsidRDefault="0002777B" w:rsidP="002108FC">
            <w:pPr>
              <w:pStyle w:val="TableBodyText"/>
              <w:spacing w:before="120"/>
            </w:pPr>
            <w:r w:rsidRPr="002108FC">
              <w:rPr>
                <w:rStyle w:val="Bold"/>
              </w:rPr>
              <w:t>Administered financial assets</w:t>
            </w:r>
          </w:p>
        </w:tc>
        <w:tc>
          <w:tcPr>
            <w:tcW w:w="500" w:type="pct"/>
            <w:tcBorders>
              <w:top w:val="nil"/>
            </w:tcBorders>
            <w:noWrap/>
            <w:hideMark/>
          </w:tcPr>
          <w:p w:rsidR="0002777B" w:rsidRPr="002108FC"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nil"/>
            </w:tcBorders>
            <w:shd w:val="clear" w:color="auto" w:fill="F3F3F3"/>
            <w:noWrap/>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51" w:type="pct"/>
            <w:tcBorders>
              <w:top w:val="nil"/>
            </w:tcBorders>
            <w:noWrap/>
            <w:hideMark/>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01" w:type="pct"/>
            <w:tcBorders>
              <w:top w:val="nil"/>
            </w:tcBorders>
            <w:shd w:val="clear" w:color="auto" w:fill="F3F3F3"/>
            <w:noWrap/>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Cash and deposits</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7.0 </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5.8 </w:t>
            </w:r>
          </w:p>
        </w:tc>
        <w:tc>
          <w:tcPr>
            <w:tcW w:w="601" w:type="pct"/>
            <w:shd w:val="clear" w:color="auto" w:fill="F3F3F3"/>
            <w:noWrap/>
            <w:hideMark/>
          </w:tcPr>
          <w:p w:rsidR="0002777B" w:rsidRPr="004379E9" w:rsidRDefault="0002777B" w:rsidP="0002777B">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(1.2)</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tcBorders>
              <w:bottom w:val="single" w:sz="4" w:space="0" w:color="auto"/>
            </w:tcBorders>
            <w:noWrap/>
            <w:hideMark/>
          </w:tcPr>
          <w:p w:rsidR="0002777B" w:rsidRPr="004379E9" w:rsidRDefault="0002777B" w:rsidP="002108FC">
            <w:pPr>
              <w:pStyle w:val="TableBodyText"/>
            </w:pPr>
            <w:r w:rsidRPr="004379E9">
              <w:t>Receivables</w:t>
            </w:r>
          </w:p>
        </w:tc>
        <w:tc>
          <w:tcPr>
            <w:tcW w:w="500" w:type="pct"/>
            <w:tcBorders>
              <w:bottom w:val="single" w:sz="4" w:space="0" w:color="auto"/>
            </w:tcBorders>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bottom w:val="single" w:sz="4" w:space="0" w:color="auto"/>
            </w:tcBorders>
            <w:shd w:val="clear" w:color="auto" w:fill="F3F3F3"/>
            <w:noWrap/>
          </w:tcPr>
          <w:p w:rsidR="0002777B" w:rsidRPr="004379E9"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t>0</w:t>
            </w:r>
          </w:p>
        </w:tc>
        <w:tc>
          <w:tcPr>
            <w:tcW w:w="751" w:type="pct"/>
            <w:tcBorders>
              <w:bottom w:val="single" w:sz="4" w:space="0" w:color="auto"/>
            </w:tcBorders>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6.4 </w:t>
            </w:r>
          </w:p>
        </w:tc>
        <w:tc>
          <w:tcPr>
            <w:tcW w:w="601" w:type="pct"/>
            <w:tcBorders>
              <w:bottom w:val="single" w:sz="4" w:space="0" w:color="auto"/>
            </w:tcBorders>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6.4 </w:t>
            </w:r>
          </w:p>
        </w:tc>
      </w:tr>
      <w:tr w:rsidR="0002777B" w:rsidRPr="002108FC"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bottom w:val="single" w:sz="4" w:space="0" w:color="auto"/>
            </w:tcBorders>
            <w:noWrap/>
            <w:hideMark/>
          </w:tcPr>
          <w:p w:rsidR="0002777B" w:rsidRPr="002108FC" w:rsidRDefault="0002777B" w:rsidP="002108FC">
            <w:pPr>
              <w:pStyle w:val="TableBodyText"/>
              <w:rPr>
                <w:rStyle w:val="Bold"/>
              </w:rPr>
            </w:pPr>
            <w:r w:rsidRPr="002108FC">
              <w:rPr>
                <w:rStyle w:val="Bold"/>
              </w:rPr>
              <w:t>Total administered financial assets</w:t>
            </w:r>
          </w:p>
        </w:tc>
        <w:tc>
          <w:tcPr>
            <w:tcW w:w="500" w:type="pct"/>
            <w:tcBorders>
              <w:top w:val="single" w:sz="4" w:space="0" w:color="auto"/>
              <w:bottom w:val="single" w:sz="4" w:space="0" w:color="auto"/>
            </w:tcBorders>
            <w:noWrap/>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11.0 </w:t>
            </w:r>
          </w:p>
        </w:tc>
        <w:tc>
          <w:tcPr>
            <w:tcW w:w="751" w:type="pct"/>
            <w:tcBorders>
              <w:top w:val="single" w:sz="4" w:space="0" w:color="auto"/>
              <w:bottom w:val="single" w:sz="4" w:space="0" w:color="auto"/>
            </w:tcBorders>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12.1 </w:t>
            </w:r>
          </w:p>
        </w:tc>
        <w:tc>
          <w:tcPr>
            <w:tcW w:w="601"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5.1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tcBorders>
            <w:noWrap/>
            <w:hideMark/>
          </w:tcPr>
          <w:p w:rsidR="0002777B" w:rsidRPr="004379E9" w:rsidRDefault="0002777B" w:rsidP="002108FC">
            <w:pPr>
              <w:pStyle w:val="TableBodyText"/>
              <w:spacing w:before="120"/>
            </w:pPr>
            <w:r w:rsidRPr="002108FC">
              <w:rPr>
                <w:rStyle w:val="Bold"/>
              </w:rPr>
              <w:t>Administered liabilities</w:t>
            </w:r>
          </w:p>
        </w:tc>
        <w:tc>
          <w:tcPr>
            <w:tcW w:w="500" w:type="pct"/>
            <w:tcBorders>
              <w:top w:val="single" w:sz="4" w:space="0" w:color="auto"/>
            </w:tcBorders>
            <w:noWrap/>
            <w:hideMark/>
          </w:tcPr>
          <w:p w:rsidR="0002777B" w:rsidRPr="002108FC"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tcBorders>
            <w:shd w:val="clear" w:color="auto" w:fill="F3F3F3"/>
            <w:noWrap/>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751" w:type="pct"/>
            <w:tcBorders>
              <w:top w:val="single" w:sz="4" w:space="0" w:color="auto"/>
            </w:tcBorders>
            <w:noWrap/>
            <w:hideMark/>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c>
          <w:tcPr>
            <w:tcW w:w="601" w:type="pct"/>
            <w:tcBorders>
              <w:top w:val="single" w:sz="4" w:space="0" w:color="auto"/>
            </w:tcBorders>
            <w:shd w:val="clear" w:color="auto" w:fill="F3F3F3"/>
            <w:noWrap/>
          </w:tcPr>
          <w:p w:rsidR="0002777B" w:rsidRPr="004379E9" w:rsidRDefault="002108FC" w:rsidP="002108FC">
            <w:pPr>
              <w:pStyle w:val="TableBodyText"/>
              <w:spacing w:before="120"/>
              <w:cnfStyle w:val="000000000000" w:firstRow="0" w:lastRow="0" w:firstColumn="0" w:lastColumn="0" w:oddVBand="0" w:evenVBand="0" w:oddHBand="0" w:evenHBand="0" w:firstRowFirstColumn="0" w:firstRowLastColumn="0" w:lastRowFirstColumn="0" w:lastRowLastColumn="0"/>
            </w:pPr>
            <w:r>
              <w:t>N/A</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Creditors and accruals</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tcPr>
          <w:p w:rsidR="0002777B" w:rsidRPr="004379E9" w:rsidRDefault="002108FC" w:rsidP="002108FC">
            <w:pPr>
              <w:pStyle w:val="TableBodyText"/>
              <w:tabs>
                <w:tab w:val="center" w:pos="694"/>
                <w:tab w:val="right" w:pos="1360"/>
              </w:tabs>
              <w:cnfStyle w:val="000000000000" w:firstRow="0" w:lastRow="0" w:firstColumn="0" w:lastColumn="0" w:oddVBand="0" w:evenVBand="0" w:oddHBand="0" w:evenHBand="0" w:firstRowFirstColumn="0" w:firstRowLastColumn="0" w:lastRowFirstColumn="0" w:lastRowLastColumn="0"/>
            </w:pPr>
            <w:r>
              <w:t>0</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0.8 </w:t>
            </w:r>
          </w:p>
        </w:tc>
        <w:tc>
          <w:tcPr>
            <w:tcW w:w="601"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0.8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noWrap/>
            <w:hideMark/>
          </w:tcPr>
          <w:p w:rsidR="0002777B" w:rsidRPr="004379E9" w:rsidRDefault="0002777B" w:rsidP="002108FC">
            <w:pPr>
              <w:pStyle w:val="TableBodyText"/>
            </w:pPr>
            <w:r w:rsidRPr="004379E9">
              <w:t>Payable</w:t>
            </w:r>
          </w:p>
        </w:tc>
        <w:tc>
          <w:tcPr>
            <w:tcW w:w="500" w:type="pct"/>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7.0 </w:t>
            </w:r>
          </w:p>
        </w:tc>
        <w:tc>
          <w:tcPr>
            <w:tcW w:w="751" w:type="pct"/>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8.5 </w:t>
            </w:r>
          </w:p>
        </w:tc>
        <w:tc>
          <w:tcPr>
            <w:tcW w:w="601" w:type="pct"/>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1.5 </w:t>
            </w:r>
          </w:p>
        </w:tc>
      </w:tr>
      <w:tr w:rsidR="0002777B" w:rsidRPr="004379E9" w:rsidTr="00587321">
        <w:tc>
          <w:tcPr>
            <w:cnfStyle w:val="001000000000" w:firstRow="0" w:lastRow="0" w:firstColumn="1" w:lastColumn="0" w:oddVBand="0" w:evenVBand="0" w:oddHBand="0" w:evenHBand="0" w:firstRowFirstColumn="0" w:firstRowLastColumn="0" w:lastRowFirstColumn="0" w:lastRowLastColumn="0"/>
            <w:tcW w:w="2384" w:type="pct"/>
            <w:tcBorders>
              <w:bottom w:val="single" w:sz="4" w:space="0" w:color="auto"/>
            </w:tcBorders>
            <w:noWrap/>
            <w:hideMark/>
          </w:tcPr>
          <w:p w:rsidR="0002777B" w:rsidRPr="004379E9" w:rsidRDefault="0002777B" w:rsidP="002108FC">
            <w:pPr>
              <w:pStyle w:val="TableBodyText"/>
            </w:pPr>
            <w:r w:rsidRPr="004379E9">
              <w:t>Provisions</w:t>
            </w:r>
          </w:p>
        </w:tc>
        <w:tc>
          <w:tcPr>
            <w:tcW w:w="500" w:type="pct"/>
            <w:tcBorders>
              <w:bottom w:val="single" w:sz="4" w:space="0" w:color="auto"/>
            </w:tcBorders>
            <w:noWrap/>
            <w:hideMark/>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bottom w:val="single" w:sz="4" w:space="0" w:color="auto"/>
            </w:tcBorders>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3.0 </w:t>
            </w:r>
          </w:p>
        </w:tc>
        <w:tc>
          <w:tcPr>
            <w:tcW w:w="751" w:type="pct"/>
            <w:tcBorders>
              <w:bottom w:val="single" w:sz="4" w:space="0" w:color="auto"/>
            </w:tcBorders>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3.3 </w:t>
            </w:r>
          </w:p>
        </w:tc>
        <w:tc>
          <w:tcPr>
            <w:tcW w:w="601" w:type="pct"/>
            <w:tcBorders>
              <w:bottom w:val="single" w:sz="4" w:space="0" w:color="auto"/>
            </w:tcBorders>
            <w:shd w:val="clear" w:color="auto" w:fill="F3F3F3"/>
            <w:noWrap/>
            <w:hideMark/>
          </w:tcPr>
          <w:p w:rsidR="0002777B" w:rsidRPr="004379E9" w:rsidRDefault="0002777B" w:rsidP="002108FC">
            <w:pPr>
              <w:pStyle w:val="TableBodyText"/>
              <w:cnfStyle w:val="000000000000" w:firstRow="0" w:lastRow="0" w:firstColumn="0" w:lastColumn="0" w:oddVBand="0" w:evenVBand="0" w:oddHBand="0" w:evenHBand="0" w:firstRowFirstColumn="0" w:firstRowLastColumn="0" w:lastRowFirstColumn="0" w:lastRowLastColumn="0"/>
            </w:pPr>
            <w:r>
              <w:t xml:space="preserve"> </w:t>
            </w:r>
            <w:r w:rsidRPr="004379E9">
              <w:t xml:space="preserve">0.3 </w:t>
            </w:r>
          </w:p>
        </w:tc>
      </w:tr>
      <w:tr w:rsidR="0002777B" w:rsidRPr="002108FC"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bottom w:val="single" w:sz="4" w:space="0" w:color="auto"/>
            </w:tcBorders>
            <w:noWrap/>
            <w:hideMark/>
          </w:tcPr>
          <w:p w:rsidR="0002777B" w:rsidRPr="002108FC" w:rsidRDefault="0002777B" w:rsidP="002108FC">
            <w:pPr>
              <w:pStyle w:val="TableBodyText"/>
              <w:rPr>
                <w:rStyle w:val="Bold"/>
              </w:rPr>
            </w:pPr>
            <w:r w:rsidRPr="002108FC">
              <w:rPr>
                <w:rStyle w:val="Bold"/>
              </w:rPr>
              <w:t>Total administered liabilities</w:t>
            </w:r>
          </w:p>
        </w:tc>
        <w:tc>
          <w:tcPr>
            <w:tcW w:w="500" w:type="pct"/>
            <w:tcBorders>
              <w:top w:val="single" w:sz="4" w:space="0" w:color="auto"/>
              <w:bottom w:val="single" w:sz="4" w:space="0" w:color="auto"/>
            </w:tcBorders>
            <w:noWrap/>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10.0 </w:t>
            </w:r>
          </w:p>
        </w:tc>
        <w:tc>
          <w:tcPr>
            <w:tcW w:w="751" w:type="pct"/>
            <w:tcBorders>
              <w:top w:val="single" w:sz="4" w:space="0" w:color="auto"/>
              <w:bottom w:val="single" w:sz="4" w:space="0" w:color="auto"/>
            </w:tcBorders>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12.6 </w:t>
            </w:r>
          </w:p>
        </w:tc>
        <w:tc>
          <w:tcPr>
            <w:tcW w:w="601"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2.6 </w:t>
            </w:r>
          </w:p>
        </w:tc>
      </w:tr>
      <w:tr w:rsidR="0002777B" w:rsidRPr="002108FC" w:rsidTr="00587321">
        <w:tc>
          <w:tcPr>
            <w:cnfStyle w:val="001000000000" w:firstRow="0" w:lastRow="0" w:firstColumn="1" w:lastColumn="0" w:oddVBand="0" w:evenVBand="0" w:oddHBand="0" w:evenHBand="0" w:firstRowFirstColumn="0" w:firstRowLastColumn="0" w:lastRowFirstColumn="0" w:lastRowLastColumn="0"/>
            <w:tcW w:w="2384" w:type="pct"/>
            <w:tcBorders>
              <w:top w:val="single" w:sz="4" w:space="0" w:color="auto"/>
              <w:bottom w:val="single" w:sz="4" w:space="0" w:color="auto"/>
            </w:tcBorders>
            <w:noWrap/>
            <w:hideMark/>
          </w:tcPr>
          <w:p w:rsidR="0002777B" w:rsidRPr="002108FC" w:rsidRDefault="0002777B" w:rsidP="002108FC">
            <w:pPr>
              <w:pStyle w:val="TableBodyText"/>
              <w:rPr>
                <w:rStyle w:val="Bold"/>
              </w:rPr>
            </w:pPr>
            <w:r w:rsidRPr="002108FC">
              <w:rPr>
                <w:rStyle w:val="Bold"/>
              </w:rPr>
              <w:t>Total administered net assets</w:t>
            </w:r>
          </w:p>
        </w:tc>
        <w:tc>
          <w:tcPr>
            <w:tcW w:w="500" w:type="pct"/>
            <w:tcBorders>
              <w:top w:val="single" w:sz="4" w:space="0" w:color="auto"/>
              <w:bottom w:val="single" w:sz="4" w:space="0" w:color="auto"/>
            </w:tcBorders>
            <w:noWrap/>
          </w:tcPr>
          <w:p w:rsidR="0002777B" w:rsidRPr="002108FC" w:rsidRDefault="002108FC" w:rsidP="002108FC">
            <w:pPr>
              <w:pStyle w:val="TableBodyText"/>
              <w:cnfStyle w:val="000000000000" w:firstRow="0" w:lastRow="0" w:firstColumn="0" w:lastColumn="0" w:oddVBand="0" w:evenVBand="0" w:oddHBand="0" w:evenHBand="0" w:firstRowFirstColumn="0" w:firstRowLastColumn="0" w:lastRowFirstColumn="0" w:lastRowLastColumn="0"/>
            </w:pPr>
            <w:r w:rsidRPr="002108FC">
              <w:t>N/A</w:t>
            </w:r>
          </w:p>
        </w:tc>
        <w:tc>
          <w:tcPr>
            <w:tcW w:w="764"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1.0 </w:t>
            </w:r>
          </w:p>
        </w:tc>
        <w:tc>
          <w:tcPr>
            <w:tcW w:w="751" w:type="pct"/>
            <w:tcBorders>
              <w:top w:val="single" w:sz="4" w:space="0" w:color="auto"/>
              <w:bottom w:val="single" w:sz="4" w:space="0" w:color="auto"/>
            </w:tcBorders>
            <w:noWrap/>
            <w:hideMark/>
          </w:tcPr>
          <w:p w:rsidR="0002777B" w:rsidRPr="002108FC" w:rsidRDefault="0002777B" w:rsidP="0002777B">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(0.4)</w:t>
            </w:r>
          </w:p>
        </w:tc>
        <w:tc>
          <w:tcPr>
            <w:tcW w:w="601" w:type="pct"/>
            <w:tcBorders>
              <w:top w:val="single" w:sz="4" w:space="0" w:color="auto"/>
              <w:bottom w:val="single" w:sz="4" w:space="0" w:color="auto"/>
            </w:tcBorders>
            <w:shd w:val="clear" w:color="auto" w:fill="F3F3F3"/>
            <w:noWrap/>
            <w:hideMark/>
          </w:tcPr>
          <w:p w:rsidR="0002777B" w:rsidRPr="002108FC" w:rsidRDefault="0002777B" w:rsidP="002108FC">
            <w:pPr>
              <w:pStyle w:val="TableBodyText"/>
              <w:cnfStyle w:val="000000000000" w:firstRow="0" w:lastRow="0" w:firstColumn="0" w:lastColumn="0" w:oddVBand="0" w:evenVBand="0" w:oddHBand="0" w:evenHBand="0" w:firstRowFirstColumn="0" w:firstRowLastColumn="0" w:lastRowFirstColumn="0" w:lastRowLastColumn="0"/>
              <w:rPr>
                <w:rStyle w:val="Bold"/>
              </w:rPr>
            </w:pPr>
            <w:r w:rsidRPr="002108FC">
              <w:rPr>
                <w:rStyle w:val="Bold"/>
              </w:rPr>
              <w:t xml:space="preserve"> 2.6 </w:t>
            </w:r>
          </w:p>
        </w:tc>
      </w:tr>
    </w:tbl>
    <w:p w:rsidR="004379E9" w:rsidRDefault="004379E9" w:rsidP="004379E9">
      <w:pPr>
        <w:pStyle w:val="BodyText"/>
      </w:pPr>
      <w:r>
        <w:t>The following are brief explanations for major variances that are assessed to be relevant for the entity's performance analysis, and the discharge of accountability.</w:t>
      </w:r>
    </w:p>
    <w:p w:rsidR="004379E9" w:rsidRDefault="004379E9" w:rsidP="004379E9">
      <w:pPr>
        <w:pStyle w:val="BodyText"/>
        <w:tabs>
          <w:tab w:val="left" w:pos="397"/>
          <w:tab w:val="left" w:pos="426"/>
        </w:tabs>
        <w:ind w:left="397" w:hanging="397"/>
      </w:pPr>
      <w:r>
        <w:t>1</w:t>
      </w:r>
      <w:r>
        <w:tab/>
        <w:t>Special appropriation budget represents the annual warrant provided to cover judicial entitlements and non</w:t>
      </w:r>
      <w:r>
        <w:rPr>
          <w:rFonts w:ascii="Cambria Math" w:hAnsi="Cambria Math" w:cs="Cambria Math"/>
        </w:rPr>
        <w:t>‐</w:t>
      </w:r>
      <w:r>
        <w:t>judicial members of the Victorian Civil and Administrative Tribunal (</w:t>
      </w:r>
      <w:proofErr w:type="spellStart"/>
      <w:r>
        <w:t>VCAT</w:t>
      </w:r>
      <w:proofErr w:type="spellEnd"/>
      <w:r>
        <w:t>). The variance from controlled special appropriations represents undrawn revenue and it is mainly due to the timing of cash requirements.</w:t>
      </w:r>
    </w:p>
    <w:p w:rsidR="004379E9" w:rsidRDefault="004379E9" w:rsidP="004379E9">
      <w:pPr>
        <w:pStyle w:val="BodyText"/>
        <w:tabs>
          <w:tab w:val="left" w:pos="397"/>
          <w:tab w:val="left" w:pos="426"/>
        </w:tabs>
        <w:ind w:left="397" w:hanging="397"/>
      </w:pPr>
      <w:r>
        <w:t>2</w:t>
      </w:r>
      <w:r>
        <w:tab/>
        <w:t xml:space="preserve">Grants variance relates to </w:t>
      </w:r>
      <w:proofErr w:type="spellStart"/>
      <w:r>
        <w:t>VCAT</w:t>
      </w:r>
      <w:proofErr w:type="spellEnd"/>
      <w:r>
        <w:t xml:space="preserve"> received more than anticipated grants on </w:t>
      </w:r>
      <w:proofErr w:type="spellStart"/>
      <w:r>
        <w:t>VCAT</w:t>
      </w:r>
      <w:proofErr w:type="spellEnd"/>
      <w:r>
        <w:t xml:space="preserve"> hearings on Consumer Affairs Victoria (CAV) specialist list. CSV also received additional grants from Department of Justice and Regulations (</w:t>
      </w:r>
      <w:proofErr w:type="spellStart"/>
      <w:r>
        <w:t>DJR</w:t>
      </w:r>
      <w:proofErr w:type="spellEnd"/>
      <w:r>
        <w:t>), Department of Health and Human Service (</w:t>
      </w:r>
      <w:proofErr w:type="spellStart"/>
      <w:r>
        <w:t>DHHS</w:t>
      </w:r>
      <w:proofErr w:type="spellEnd"/>
      <w:r>
        <w:t>) and Department of Premier and Cabinet (</w:t>
      </w:r>
      <w:proofErr w:type="spellStart"/>
      <w:r>
        <w:t>DPC</w:t>
      </w:r>
      <w:proofErr w:type="spellEnd"/>
      <w:r>
        <w:t>) to the Magistrates Court and Children's Court for family violence contingency and specialist courts and court support services.</w:t>
      </w:r>
    </w:p>
    <w:p w:rsidR="004379E9" w:rsidRDefault="004379E9" w:rsidP="004379E9">
      <w:pPr>
        <w:pStyle w:val="BodyText"/>
        <w:tabs>
          <w:tab w:val="left" w:pos="397"/>
          <w:tab w:val="left" w:pos="426"/>
        </w:tabs>
        <w:ind w:left="397" w:hanging="397"/>
      </w:pPr>
      <w:r>
        <w:t>3</w:t>
      </w:r>
      <w:r>
        <w:tab/>
        <w:t xml:space="preserve">Employee expense variance to budget is due to the increase in judicial entitlements budget which is determined by the Federal Government Judicial Remuneration Tribunal and only came into actual effect in April 2017, increase in employee budget in </w:t>
      </w:r>
      <w:proofErr w:type="spellStart"/>
      <w:r>
        <w:t>VCAT</w:t>
      </w:r>
      <w:proofErr w:type="spellEnd"/>
      <w:r>
        <w:t xml:space="preserve"> additional Warrant, unused Treasury Advance (TA) supplementation funding for additional judicial resource to County Court, Bourke Street Incident and the </w:t>
      </w:r>
      <w:r>
        <w:lastRenderedPageBreak/>
        <w:t>delay in implementation of Ending Violence against Women and Children initiative, Expansion of Drug Court and Shepparton Law Court Redevelopment projects.</w:t>
      </w:r>
    </w:p>
    <w:p w:rsidR="004379E9" w:rsidRDefault="004379E9" w:rsidP="004379E9">
      <w:pPr>
        <w:pStyle w:val="BodyText"/>
        <w:tabs>
          <w:tab w:val="left" w:pos="397"/>
          <w:tab w:val="left" w:pos="426"/>
        </w:tabs>
        <w:ind w:left="397" w:hanging="397"/>
      </w:pPr>
      <w:r>
        <w:t>4</w:t>
      </w:r>
      <w:r>
        <w:tab/>
        <w:t>Interest expense materially relates to the finance lease interest paid for the schedule of amortisation for County Court Public Private Partnership (PPP) contract. The interest expense has declined as the lease principal has reduced over the term of the contract.</w:t>
      </w:r>
    </w:p>
    <w:p w:rsidR="004379E9" w:rsidRDefault="004379E9" w:rsidP="004379E9">
      <w:pPr>
        <w:pStyle w:val="BodyText"/>
        <w:tabs>
          <w:tab w:val="left" w:pos="397"/>
          <w:tab w:val="left" w:pos="426"/>
        </w:tabs>
        <w:ind w:left="397" w:hanging="397"/>
      </w:pPr>
      <w:r>
        <w:t>5</w:t>
      </w:r>
      <w:r>
        <w:tab/>
        <w:t xml:space="preserve">The grants variance is materially due to statutory reporting requirements relating to appropriation revenue allocated to the Judicial College of Victoria, additional grants to Corrections Victoria (CV) Housing Program, </w:t>
      </w:r>
      <w:proofErr w:type="spellStart"/>
      <w:r>
        <w:t>DHHS</w:t>
      </w:r>
      <w:proofErr w:type="spellEnd"/>
      <w:r>
        <w:t xml:space="preserve"> Housing Agreement, Supreme Court Library, Youth Diversion Pilot Program, Court Network and Coronial Council of Victoria Reportable Deaths Project.</w:t>
      </w:r>
    </w:p>
    <w:p w:rsidR="004379E9" w:rsidRDefault="004379E9" w:rsidP="004379E9">
      <w:pPr>
        <w:pStyle w:val="BodyText"/>
        <w:tabs>
          <w:tab w:val="left" w:pos="397"/>
          <w:tab w:val="left" w:pos="426"/>
        </w:tabs>
        <w:ind w:left="397" w:hanging="397"/>
      </w:pPr>
      <w:r>
        <w:t>6</w:t>
      </w:r>
      <w:r>
        <w:tab/>
        <w:t>The supplies and services variance is mainly driven by the engagement of contractors and professional services for the CSV Family Violence Reform Program, Supreme Court Digital Strategy and general supplies and consumables.</w:t>
      </w:r>
    </w:p>
    <w:p w:rsidR="004379E9" w:rsidRDefault="004379E9" w:rsidP="004379E9">
      <w:pPr>
        <w:pStyle w:val="BodyText"/>
        <w:tabs>
          <w:tab w:val="left" w:pos="397"/>
          <w:tab w:val="left" w:pos="426"/>
        </w:tabs>
        <w:ind w:left="397" w:hanging="397"/>
      </w:pPr>
      <w:r>
        <w:t>7</w:t>
      </w:r>
      <w:r>
        <w:tab/>
        <w:t>The variance is due to the revaluation of long service leave as a result of change in discounting factor.</w:t>
      </w:r>
    </w:p>
    <w:p w:rsidR="004379E9" w:rsidRDefault="004379E9" w:rsidP="004379E9">
      <w:pPr>
        <w:pStyle w:val="BodyText"/>
        <w:tabs>
          <w:tab w:val="left" w:pos="397"/>
          <w:tab w:val="left" w:pos="426"/>
        </w:tabs>
        <w:ind w:left="397" w:hanging="397"/>
      </w:pPr>
      <w:r>
        <w:t>8</w:t>
      </w:r>
      <w:r>
        <w:tab/>
        <w:t>This variance is due to the revaluation of Heidelberg Magistrates Court and County Court; non</w:t>
      </w:r>
      <w:r>
        <w:rPr>
          <w:rFonts w:ascii="Cambria Math" w:hAnsi="Cambria Math" w:cs="Cambria Math"/>
        </w:rPr>
        <w:t>‐</w:t>
      </w:r>
      <w:r>
        <w:t xml:space="preserve">financial physical assets were revalued by the </w:t>
      </w:r>
      <w:proofErr w:type="spellStart"/>
      <w:r>
        <w:t>Valuer</w:t>
      </w:r>
      <w:proofErr w:type="spellEnd"/>
      <w:r>
        <w:rPr>
          <w:rFonts w:ascii="Cambria Math" w:hAnsi="Cambria Math" w:cs="Cambria Math"/>
        </w:rPr>
        <w:t>‐</w:t>
      </w:r>
      <w:r>
        <w:t>General's Office.</w:t>
      </w:r>
    </w:p>
    <w:p w:rsidR="004379E9" w:rsidRDefault="004379E9" w:rsidP="004379E9">
      <w:pPr>
        <w:pStyle w:val="BodyText"/>
        <w:tabs>
          <w:tab w:val="left" w:pos="397"/>
          <w:tab w:val="left" w:pos="426"/>
        </w:tabs>
        <w:ind w:left="397" w:hanging="397"/>
      </w:pPr>
      <w:r>
        <w:t>9</w:t>
      </w:r>
      <w:r>
        <w:tab/>
        <w:t xml:space="preserve">The cash and deposits </w:t>
      </w:r>
      <w:proofErr w:type="spellStart"/>
      <w:r>
        <w:t>year end</w:t>
      </w:r>
      <w:proofErr w:type="spellEnd"/>
      <w:r>
        <w:t xml:space="preserve"> balance consists mainly of deposits held in Trust for third parties.</w:t>
      </w:r>
    </w:p>
    <w:p w:rsidR="004379E9" w:rsidRDefault="004379E9" w:rsidP="004379E9">
      <w:pPr>
        <w:pStyle w:val="BodyText"/>
        <w:tabs>
          <w:tab w:val="left" w:pos="397"/>
          <w:tab w:val="left" w:pos="426"/>
        </w:tabs>
        <w:ind w:left="397" w:hanging="397"/>
      </w:pPr>
      <w:r>
        <w:t>10</w:t>
      </w:r>
      <w:r>
        <w:tab/>
        <w:t>The receivables balance represents primarily the annual appropriation revenue drawdown from the State Administration Unit (SAU), for funding that is owed from the Victorian Government for output expenses recognised by CSV as they are incurred.</w:t>
      </w:r>
    </w:p>
    <w:p w:rsidR="004379E9" w:rsidRDefault="004379E9" w:rsidP="004379E9">
      <w:pPr>
        <w:pStyle w:val="BodyText"/>
        <w:tabs>
          <w:tab w:val="left" w:pos="397"/>
          <w:tab w:val="left" w:pos="426"/>
        </w:tabs>
        <w:ind w:left="397" w:hanging="397"/>
      </w:pPr>
      <w:r>
        <w:t>11</w:t>
      </w:r>
      <w:r>
        <w:tab/>
        <w:t>The property, plant and equipment variance is mainly due to the revaluation as at 30 June 2016 of CSV’s non</w:t>
      </w:r>
      <w:r>
        <w:rPr>
          <w:rFonts w:ascii="Cambria Math" w:hAnsi="Cambria Math" w:cs="Cambria Math"/>
        </w:rPr>
        <w:t>‐</w:t>
      </w:r>
      <w:r>
        <w:t xml:space="preserve">financial physical assets under the requirements of Financial Reporting Direction </w:t>
      </w:r>
      <w:proofErr w:type="spellStart"/>
      <w:r>
        <w:t>FRD</w:t>
      </w:r>
      <w:proofErr w:type="spellEnd"/>
      <w:r>
        <w:t xml:space="preserve"> 103F, not reflected in the 2016</w:t>
      </w:r>
      <w:r>
        <w:rPr>
          <w:rFonts w:ascii="Cambria Math" w:hAnsi="Cambria Math" w:cs="Cambria Math"/>
        </w:rPr>
        <w:t>‐</w:t>
      </w:r>
      <w:r>
        <w:t>17 Budget and increase to Assets Under Constructions for the Shepparton Law Court Redevelopment, CSV Video Conferencing Pilot project, Court Safety and Security Assets upgrade, Ending Violence Against Women and Children Initiative, Expansion of the Drug Court and various minor capital works for the refurbishment and upgrade of CSV buildings and facilities.</w:t>
      </w:r>
    </w:p>
    <w:p w:rsidR="004379E9" w:rsidRDefault="004379E9" w:rsidP="004379E9">
      <w:pPr>
        <w:pStyle w:val="BodyText"/>
        <w:tabs>
          <w:tab w:val="left" w:pos="397"/>
          <w:tab w:val="left" w:pos="426"/>
        </w:tabs>
        <w:ind w:left="397" w:hanging="397"/>
      </w:pPr>
      <w:r>
        <w:t>12</w:t>
      </w:r>
      <w:r>
        <w:tab/>
        <w:t>The payables balance represents accrued liabilities for creditors, salary and wages, and accrued capital works for the Shepparton Law Court Redevelopment project.</w:t>
      </w:r>
    </w:p>
    <w:p w:rsidR="004379E9" w:rsidRDefault="004379E9" w:rsidP="004379E9">
      <w:pPr>
        <w:pStyle w:val="BodyText"/>
        <w:tabs>
          <w:tab w:val="left" w:pos="397"/>
          <w:tab w:val="left" w:pos="426"/>
        </w:tabs>
        <w:ind w:left="397" w:hanging="397"/>
      </w:pPr>
      <w:r>
        <w:t>13</w:t>
      </w:r>
      <w:r>
        <w:tab/>
        <w:t xml:space="preserve">The borrowing balance includes the finance lease liabilities for County Court PPP contract and the </w:t>
      </w:r>
      <w:proofErr w:type="spellStart"/>
      <w:r>
        <w:t>VicFleet</w:t>
      </w:r>
      <w:proofErr w:type="spellEnd"/>
      <w:r>
        <w:t xml:space="preserve"> finance lease liabilities.</w:t>
      </w:r>
    </w:p>
    <w:p w:rsidR="004379E9" w:rsidRDefault="004379E9" w:rsidP="004379E9">
      <w:pPr>
        <w:pStyle w:val="BodyText"/>
        <w:tabs>
          <w:tab w:val="left" w:pos="397"/>
          <w:tab w:val="left" w:pos="426"/>
        </w:tabs>
        <w:ind w:left="397" w:hanging="397"/>
      </w:pPr>
      <w:r>
        <w:t>14</w:t>
      </w:r>
      <w:r>
        <w:tab/>
        <w:t>The variance to published budget relates to the movement in provision of leave liabilities and employee on</w:t>
      </w:r>
      <w:r>
        <w:rPr>
          <w:rFonts w:ascii="Cambria Math" w:hAnsi="Cambria Math" w:cs="Cambria Math"/>
        </w:rPr>
        <w:t>‐</w:t>
      </w:r>
      <w:r>
        <w:t>costs.</w:t>
      </w:r>
    </w:p>
    <w:p w:rsidR="004379E9" w:rsidRDefault="004379E9" w:rsidP="004379E9">
      <w:pPr>
        <w:pStyle w:val="BodyText"/>
        <w:tabs>
          <w:tab w:val="left" w:pos="397"/>
          <w:tab w:val="left" w:pos="426"/>
        </w:tabs>
        <w:ind w:left="397" w:hanging="397"/>
      </w:pPr>
      <w:r>
        <w:t>15</w:t>
      </w:r>
      <w:r>
        <w:tab/>
        <w:t xml:space="preserve">The receipts from government variance is due to </w:t>
      </w:r>
      <w:proofErr w:type="spellStart"/>
      <w:r>
        <w:t>VCAT</w:t>
      </w:r>
      <w:proofErr w:type="spellEnd"/>
      <w:r>
        <w:t xml:space="preserve"> received more than anticipated grants from Consumer Affairs Victoria (CAV) for </w:t>
      </w:r>
      <w:proofErr w:type="spellStart"/>
      <w:r>
        <w:t>VCAT</w:t>
      </w:r>
      <w:proofErr w:type="spellEnd"/>
      <w:r>
        <w:t xml:space="preserve"> Specialist Lists, an increase in revenue retention under Section 29 of the Financial Management Act 1994, Treasurer's Advance (TA) for Bourke Street Incident, Fast Track Remand Court, County Count additional judicial resource, supplementation funding for courts depreciations and County Court PPP land tax and a net increase of carryover from prior year under Section 32 of the Financial Management Act 1994; offset by a transfer from Annual Appropriations to Capital.</w:t>
      </w:r>
    </w:p>
    <w:p w:rsidR="004379E9" w:rsidRPr="00DD1123" w:rsidRDefault="004379E9" w:rsidP="004379E9">
      <w:pPr>
        <w:pStyle w:val="BodyText"/>
        <w:tabs>
          <w:tab w:val="left" w:pos="397"/>
          <w:tab w:val="left" w:pos="426"/>
        </w:tabs>
        <w:ind w:left="397" w:hanging="397"/>
      </w:pPr>
      <w:r>
        <w:t>16</w:t>
      </w:r>
      <w:r>
        <w:tab/>
        <w:t>Purchases of non</w:t>
      </w:r>
      <w:r>
        <w:rPr>
          <w:rFonts w:ascii="Cambria Math" w:hAnsi="Cambria Math" w:cs="Cambria Math"/>
        </w:rPr>
        <w:t>‐</w:t>
      </w:r>
      <w:r>
        <w:t>financial assets is lower than budget primarily due to the delays to various projects including the Shepparton Law Court Redevelopment, Court Safety and Security Courts Assets Upgrade, Video Conferencing Project, Implementation of e</w:t>
      </w:r>
      <w:r w:rsidR="002108FC">
        <w:t>-</w:t>
      </w:r>
      <w:r>
        <w:t>Lodgement and minor capital works.</w:t>
      </w:r>
    </w:p>
    <w:sectPr w:rsidR="004379E9" w:rsidRPr="00DD1123" w:rsidSect="003475E2">
      <w:pgSz w:w="11906" w:h="16838"/>
      <w:pgMar w:top="1134" w:right="1134" w:bottom="1134" w:left="1134" w:header="708"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ED" w:rsidRPr="00C33C38" w:rsidRDefault="007742ED" w:rsidP="00256624">
      <w:pPr>
        <w:spacing w:line="240" w:lineRule="auto"/>
        <w:rPr>
          <w:sz w:val="19"/>
          <w:szCs w:val="19"/>
        </w:rPr>
      </w:pPr>
      <w:r w:rsidRPr="00C33C38">
        <w:rPr>
          <w:sz w:val="19"/>
          <w:szCs w:val="19"/>
        </w:rPr>
        <w:separator/>
      </w:r>
    </w:p>
    <w:p w:rsidR="007742ED" w:rsidRDefault="007742ED"/>
  </w:endnote>
  <w:endnote w:type="continuationSeparator" w:id="0">
    <w:p w:rsidR="007742ED" w:rsidRPr="00C33C38" w:rsidRDefault="007742ED" w:rsidP="00256624">
      <w:pPr>
        <w:spacing w:line="240" w:lineRule="auto"/>
        <w:rPr>
          <w:sz w:val="19"/>
          <w:szCs w:val="19"/>
        </w:rPr>
      </w:pPr>
      <w:r w:rsidRPr="00C33C38">
        <w:rPr>
          <w:sz w:val="19"/>
          <w:szCs w:val="19"/>
        </w:rPr>
        <w:continuationSeparator/>
      </w:r>
    </w:p>
    <w:p w:rsidR="007742ED" w:rsidRDefault="00774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ED" w:rsidRDefault="007742ED">
    <w:pPr>
      <w:pStyle w:val="Footer"/>
    </w:pPr>
    <w:r>
      <w:fldChar w:fldCharType="begin"/>
    </w:r>
    <w:r>
      <w:instrText xml:space="preserve"> PAGE   \* MERGEFORMAT </w:instrText>
    </w:r>
    <w:r>
      <w:fldChar w:fldCharType="separate"/>
    </w:r>
    <w:r w:rsidR="00972891">
      <w:rPr>
        <w:noProof/>
      </w:rPr>
      <w:t>67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ED" w:rsidRPr="00FE1F60" w:rsidRDefault="007742ED">
    <w:pPr>
      <w:jc w:val="righ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ED" w:rsidRPr="0032656F" w:rsidRDefault="007742ED" w:rsidP="0032656F">
      <w:r w:rsidRPr="0032656F">
        <w:separator/>
      </w:r>
    </w:p>
  </w:footnote>
  <w:footnote w:type="continuationSeparator" w:id="0">
    <w:p w:rsidR="007742ED" w:rsidRDefault="00774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CC3"/>
    <w:multiLevelType w:val="multilevel"/>
    <w:tmpl w:val="591C1A3C"/>
    <w:name w:val="PullOutBoxNumbering"/>
    <w:lvl w:ilvl="0">
      <w:start w:val="1"/>
      <w:numFmt w:val="decimal"/>
      <w:lvlText w:val="%1."/>
      <w:lvlJc w:val="left"/>
      <w:pPr>
        <w:tabs>
          <w:tab w:val="num" w:pos="680"/>
        </w:tabs>
        <w:ind w:left="680" w:hanging="396"/>
      </w:pPr>
      <w:rPr>
        <w:rFonts w:hint="default"/>
      </w:rPr>
    </w:lvl>
    <w:lvl w:ilvl="1">
      <w:start w:val="1"/>
      <w:numFmt w:val="lowerLetter"/>
      <w:lvlText w:val="%2."/>
      <w:lvlJc w:val="left"/>
      <w:pPr>
        <w:tabs>
          <w:tab w:val="num" w:pos="1077"/>
        </w:tabs>
        <w:ind w:left="1077" w:hanging="397"/>
      </w:pPr>
      <w:rPr>
        <w:rFonts w:hint="default"/>
      </w:rPr>
    </w:lvl>
    <w:lvl w:ilvl="2">
      <w:start w:val="1"/>
      <w:numFmt w:val="lowerRoman"/>
      <w:lvlText w:val="%3."/>
      <w:lvlJc w:val="left"/>
      <w:pPr>
        <w:tabs>
          <w:tab w:val="num" w:pos="1474"/>
        </w:tabs>
        <w:ind w:left="147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DC31CCD"/>
    <w:multiLevelType w:val="multilevel"/>
    <w:tmpl w:val="A23C844C"/>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3" w15:restartNumberingAfterBreak="0">
    <w:nsid w:val="12E57C0C"/>
    <w:multiLevelType w:val="hybridMultilevel"/>
    <w:tmpl w:val="0D689528"/>
    <w:lvl w:ilvl="0" w:tplc="C2FE18F0">
      <w:start w:val="1"/>
      <w:numFmt w:val="lowerRoman"/>
      <w:lvlText w:val="(%1)"/>
      <w:lvlJc w:val="left"/>
      <w:pPr>
        <w:ind w:left="720" w:hanging="360"/>
      </w:pPr>
      <w:rPr>
        <w:rFonts w:ascii="Calibri" w:eastAsia="Calibri" w:hAnsi="Calibri" w:hint="default"/>
        <w:i w:val="0"/>
        <w:spacing w:val="-1"/>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90D1D"/>
    <w:multiLevelType w:val="multilevel"/>
    <w:tmpl w:val="9B5A65BA"/>
    <w:name w:val="MyBullets"/>
    <w:lvl w:ilvl="0">
      <w:start w:val="7"/>
      <w:numFmt w:val="bullet"/>
      <w:pStyle w:val="ListBullet"/>
      <w:lvlText w:val=""/>
      <w:lvlJc w:val="left"/>
      <w:pPr>
        <w:tabs>
          <w:tab w:val="num" w:pos="397"/>
        </w:tabs>
        <w:ind w:left="397" w:hanging="397"/>
      </w:pPr>
      <w:rPr>
        <w:rFonts w:ascii="Symbol" w:hAnsi="Symbol" w:hint="default"/>
        <w:color w:val="auto"/>
        <w:position w:val="0"/>
        <w:sz w:val="20"/>
      </w:rPr>
    </w:lvl>
    <w:lvl w:ilvl="1">
      <w:start w:val="5"/>
      <w:numFmt w:val="bullet"/>
      <w:pStyle w:val="ListBullet2"/>
      <w:lvlText w:val="o"/>
      <w:lvlJc w:val="left"/>
      <w:pPr>
        <w:tabs>
          <w:tab w:val="num" w:pos="794"/>
        </w:tabs>
        <w:ind w:left="794" w:hanging="397"/>
      </w:pPr>
      <w:rPr>
        <w:rFonts w:ascii="Courier New" w:hAnsi="Courier New" w:hint="default"/>
        <w:b w:val="0"/>
        <w:i w:val="0"/>
        <w:color w:val="auto"/>
        <w:position w:val="2"/>
        <w:sz w:val="18"/>
      </w:rPr>
    </w:lvl>
    <w:lvl w:ilvl="2">
      <w:start w:val="1"/>
      <w:numFmt w:val="bullet"/>
      <w:pStyle w:val="ListBullet3"/>
      <w:lvlText w:val="–"/>
      <w:lvlJc w:val="left"/>
      <w:pPr>
        <w:tabs>
          <w:tab w:val="num" w:pos="1191"/>
        </w:tabs>
        <w:ind w:left="1191" w:hanging="397"/>
      </w:pPr>
      <w:rPr>
        <w:rFonts w:ascii="Calibri" w:hAnsi="Calibri" w:hint="default"/>
        <w:color w:val="auto"/>
        <w:position w:val="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5" w15:restartNumberingAfterBreak="0">
    <w:nsid w:val="1AA4375A"/>
    <w:multiLevelType w:val="multilevel"/>
    <w:tmpl w:val="15049394"/>
    <w:name w:val="PullOutBoxBullets"/>
    <w:lvl w:ilvl="0">
      <w:start w:val="1"/>
      <w:numFmt w:val="bullet"/>
      <w:lvlText w:val=""/>
      <w:lvlJc w:val="left"/>
      <w:pPr>
        <w:tabs>
          <w:tab w:val="num" w:pos="680"/>
        </w:tabs>
        <w:ind w:left="680" w:hanging="396"/>
      </w:pPr>
      <w:rPr>
        <w:rFonts w:ascii="Symbol" w:hAnsi="Symbol" w:hint="default"/>
        <w:color w:val="auto"/>
        <w:position w:val="0"/>
        <w:sz w:val="22"/>
      </w:rPr>
    </w:lvl>
    <w:lvl w:ilvl="1">
      <w:start w:val="1"/>
      <w:numFmt w:val="bullet"/>
      <w:lvlText w:val="o"/>
      <w:lvlJc w:val="left"/>
      <w:pPr>
        <w:tabs>
          <w:tab w:val="num" w:pos="1077"/>
        </w:tabs>
        <w:ind w:left="1077" w:hanging="397"/>
      </w:pPr>
      <w:rPr>
        <w:rFonts w:ascii="Courier New" w:hAnsi="Courier New" w:hint="default"/>
        <w:sz w:val="18"/>
      </w:rPr>
    </w:lvl>
    <w:lvl w:ilvl="2">
      <w:start w:val="1"/>
      <w:numFmt w:val="bullet"/>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6"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7" w15:restartNumberingAfterBreak="0">
    <w:nsid w:val="226A6EE6"/>
    <w:multiLevelType w:val="multilevel"/>
    <w:tmpl w:val="F41C9AAA"/>
    <w:lvl w:ilvl="0">
      <w:start w:val="1"/>
      <w:numFmt w:val="bullet"/>
      <w:pStyle w:val="TableListBullet"/>
      <w:lvlText w:val="–"/>
      <w:lvlJc w:val="left"/>
      <w:pPr>
        <w:tabs>
          <w:tab w:val="num" w:pos="198"/>
        </w:tabs>
        <w:ind w:left="198" w:hanging="170"/>
      </w:pPr>
      <w:rPr>
        <w:rFonts w:ascii="Arial" w:hAnsi="Arial" w:hint="default"/>
        <w:color w:val="auto"/>
        <w:position w:val="0"/>
        <w:sz w:val="18"/>
      </w:rPr>
    </w:lvl>
    <w:lvl w:ilvl="1">
      <w:start w:val="1"/>
      <w:numFmt w:val="bullet"/>
      <w:lvlText w:val="o"/>
      <w:lvlJc w:val="left"/>
      <w:pPr>
        <w:tabs>
          <w:tab w:val="num" w:pos="397"/>
        </w:tabs>
        <w:ind w:left="397" w:hanging="199"/>
      </w:pPr>
      <w:rPr>
        <w:rFonts w:ascii="Courier New" w:hAnsi="Courier New" w:hint="default"/>
        <w:color w:val="auto"/>
        <w:position w:val="2"/>
        <w:sz w:val="14"/>
      </w:rPr>
    </w:lvl>
    <w:lvl w:ilvl="2">
      <w:start w:val="1"/>
      <w:numFmt w:val="bullet"/>
      <w:lvlText w:val="–"/>
      <w:lvlJc w:val="left"/>
      <w:pPr>
        <w:tabs>
          <w:tab w:val="num" w:pos="595"/>
        </w:tabs>
        <w:ind w:left="595" w:hanging="198"/>
      </w:pPr>
      <w:rPr>
        <w:rFonts w:ascii="Calibri" w:hAnsi="Calibri" w:hint="default"/>
        <w:color w:val="auto"/>
        <w:position w:val="0"/>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4592C63"/>
    <w:multiLevelType w:val="hybridMultilevel"/>
    <w:tmpl w:val="D76261CA"/>
    <w:lvl w:ilvl="0" w:tplc="0C09001B">
      <w:start w:val="1"/>
      <w:numFmt w:val="lowerRoman"/>
      <w:lvlText w:val="%1."/>
      <w:lvlJc w:val="right"/>
      <w:pPr>
        <w:ind w:left="720" w:hanging="360"/>
      </w:pPr>
    </w:lvl>
    <w:lvl w:ilvl="1" w:tplc="0F1AA9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0" w15:restartNumberingAfterBreak="0">
    <w:nsid w:val="2C696240"/>
    <w:multiLevelType w:val="multilevel"/>
    <w:tmpl w:val="9D02C690"/>
    <w:lvl w:ilvl="0">
      <w:start w:val="1"/>
      <w:numFmt w:val="bullet"/>
      <w:lvlText w:val=""/>
      <w:lvlJc w:val="left"/>
      <w:pPr>
        <w:ind w:left="624" w:hanging="284"/>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2" w15:restartNumberingAfterBreak="0">
    <w:nsid w:val="2F127A67"/>
    <w:multiLevelType w:val="hybridMultilevel"/>
    <w:tmpl w:val="493A9E82"/>
    <w:lvl w:ilvl="0" w:tplc="00C8496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5672CA"/>
    <w:multiLevelType w:val="multilevel"/>
    <w:tmpl w:val="F9C0EF30"/>
    <w:lvl w:ilvl="0">
      <w:start w:val="1"/>
      <w:numFmt w:val="decimal"/>
      <w:lvlText w:val="%1."/>
      <w:lvlJc w:val="left"/>
      <w:pPr>
        <w:tabs>
          <w:tab w:val="num" w:pos="312"/>
        </w:tabs>
        <w:ind w:left="312" w:hanging="284"/>
      </w:pPr>
      <w:rPr>
        <w:rFonts w:hint="default"/>
        <w:color w:val="252420"/>
      </w:rPr>
    </w:lvl>
    <w:lvl w:ilvl="1">
      <w:start w:val="1"/>
      <w:numFmt w:val="lowerLetter"/>
      <w:lvlText w:val="%2."/>
      <w:lvlJc w:val="left"/>
      <w:pPr>
        <w:tabs>
          <w:tab w:val="num" w:pos="595"/>
        </w:tabs>
        <w:ind w:left="595" w:hanging="283"/>
      </w:pPr>
      <w:rPr>
        <w:rFonts w:hint="default"/>
        <w:color w:val="252420"/>
      </w:rPr>
    </w:lvl>
    <w:lvl w:ilvl="2">
      <w:start w:val="1"/>
      <w:numFmt w:val="lowerRoman"/>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4" w15:restartNumberingAfterBreak="0">
    <w:nsid w:val="32511C1B"/>
    <w:multiLevelType w:val="multilevel"/>
    <w:tmpl w:val="9F2A8B76"/>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422CC7"/>
    <w:multiLevelType w:val="hybridMultilevel"/>
    <w:tmpl w:val="23A6D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F63BAA"/>
    <w:multiLevelType w:val="hybridMultilevel"/>
    <w:tmpl w:val="32601CF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9"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0" w15:restartNumberingAfterBreak="0">
    <w:nsid w:val="59F55208"/>
    <w:multiLevelType w:val="hybridMultilevel"/>
    <w:tmpl w:val="8D96518E"/>
    <w:name w:val="MyNumbering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AA542A9"/>
    <w:multiLevelType w:val="multilevel"/>
    <w:tmpl w:val="937A5B48"/>
    <w:name w:val="My Headings"/>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AC21323"/>
    <w:multiLevelType w:val="hybridMultilevel"/>
    <w:tmpl w:val="B832E06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AE6625A"/>
    <w:multiLevelType w:val="multilevel"/>
    <w:tmpl w:val="CC080D32"/>
    <w:name w:val="MyHeadings"/>
    <w:lvl w:ilvl="0">
      <w:start w:val="1"/>
      <w:numFmt w:val="none"/>
      <w:lvlRestart w:val="0"/>
      <w:suff w:val="nothing"/>
      <w:lvlText w:val=""/>
      <w:lvlJc w:val="left"/>
      <w:pPr>
        <w:tabs>
          <w:tab w:val="num" w:pos="1191"/>
        </w:tabs>
        <w:ind w:left="0" w:firstLine="0"/>
      </w:pPr>
      <w:rPr>
        <w:rFonts w:hint="default"/>
        <w:b w:val="0"/>
        <w:i w:val="0"/>
        <w:color w:val="277BB4"/>
      </w:rPr>
    </w:lvl>
    <w:lvl w:ilvl="1">
      <w:start w:val="1"/>
      <w:numFmt w:val="none"/>
      <w:suff w:val="nothing"/>
      <w:lvlText w:val=""/>
      <w:lvlJc w:val="left"/>
      <w:pPr>
        <w:tabs>
          <w:tab w:val="num" w:pos="851"/>
        </w:tabs>
        <w:ind w:left="0" w:firstLine="0"/>
      </w:pPr>
      <w:rPr>
        <w:rFonts w:hint="default"/>
      </w:rPr>
    </w:lvl>
    <w:lvl w:ilvl="2">
      <w:start w:val="1"/>
      <w:numFmt w:val="none"/>
      <w:suff w:val="nothing"/>
      <w:lvlText w:val=""/>
      <w:lvlJc w:val="left"/>
      <w:pPr>
        <w:tabs>
          <w:tab w:val="num" w:pos="851"/>
        </w:tabs>
        <w:ind w:left="0" w:firstLine="0"/>
      </w:pPr>
      <w:rPr>
        <w:rFonts w:hint="default"/>
      </w:rPr>
    </w:lvl>
    <w:lvl w:ilvl="3">
      <w:start w:val="1"/>
      <w:numFmt w:val="none"/>
      <w:suff w:val="nothing"/>
      <w:lvlText w:val=""/>
      <w:lvlJc w:val="left"/>
      <w:pPr>
        <w:tabs>
          <w:tab w:val="num" w:pos="851"/>
        </w:tabs>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4" w15:restartNumberingAfterBreak="0">
    <w:nsid w:val="5CDB0B2D"/>
    <w:multiLevelType w:val="hybridMultilevel"/>
    <w:tmpl w:val="BBCC0278"/>
    <w:name w:val="MyNumbering3"/>
    <w:lvl w:ilvl="0" w:tplc="90709BCE">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0540A9"/>
    <w:multiLevelType w:val="multilevel"/>
    <w:tmpl w:val="3A10CE0C"/>
    <w:name w:val="MyAppendicesNumbering"/>
    <w:lvl w:ilvl="0">
      <w:start w:val="1"/>
      <w:numFmt w:val="upperLetter"/>
      <w:lvlRestart w:val="0"/>
      <w:pStyle w:val="Heading8"/>
      <w:suff w:val="space"/>
      <w:lvlText w:val="Appendix %1"/>
      <w:lvlJc w:val="left"/>
      <w:pPr>
        <w:tabs>
          <w:tab w:val="num" w:pos="0"/>
        </w:tabs>
        <w:ind w:left="0" w:firstLine="0"/>
      </w:pPr>
      <w:rPr>
        <w:rFonts w:ascii="Arial" w:hAnsi="Arial" w:hint="default"/>
        <w:b w:val="0"/>
        <w:i w:val="0"/>
        <w:color w:val="auto"/>
        <w:sz w:val="38"/>
      </w:rPr>
    </w:lvl>
    <w:lvl w:ilvl="1">
      <w:start w:val="1"/>
      <w:numFmt w:val="none"/>
      <w:pStyle w:val="Heading9"/>
      <w:suff w:val="nothing"/>
      <w:lvlText w:val=""/>
      <w:lvlJc w:val="left"/>
      <w:pPr>
        <w:tabs>
          <w:tab w:val="num" w:pos="851"/>
        </w:tabs>
        <w:ind w:left="0" w:firstLine="0"/>
      </w:pPr>
      <w:rPr>
        <w:rFonts w:hint="default"/>
        <w:sz w:val="24"/>
      </w:rPr>
    </w:lvl>
    <w:lvl w:ilvl="2">
      <w:start w:val="1"/>
      <w:numFmt w:val="none"/>
      <w:suff w:val="nothing"/>
      <w:lvlText w:val=""/>
      <w:lvlJc w:val="left"/>
      <w:pPr>
        <w:tabs>
          <w:tab w:val="num" w:pos="851"/>
        </w:tabs>
        <w:ind w:left="0" w:firstLine="0"/>
      </w:pPr>
      <w:rPr>
        <w:rFonts w:hint="default"/>
      </w:rPr>
    </w:lvl>
    <w:lvl w:ilvl="3">
      <w:start w:val="1"/>
      <w:numFmt w:val="none"/>
      <w:suff w:val="nothing"/>
      <w:lvlText w:val=""/>
      <w:lvlJc w:val="left"/>
      <w:pPr>
        <w:tabs>
          <w:tab w:val="num" w:pos="851"/>
        </w:tabs>
        <w:ind w:left="0" w:firstLine="0"/>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26" w15:restartNumberingAfterBreak="0">
    <w:nsid w:val="5F883DB1"/>
    <w:multiLevelType w:val="multilevel"/>
    <w:tmpl w:val="5E1CE3A8"/>
    <w:lvl w:ilvl="0">
      <w:start w:val="1"/>
      <w:numFmt w:val="lowerLetter"/>
      <w:pStyle w:val="ListAlpha"/>
      <w:lvlText w:val="%1)"/>
      <w:lvlJc w:val="left"/>
      <w:pPr>
        <w:tabs>
          <w:tab w:val="num" w:pos="397"/>
        </w:tabs>
        <w:ind w:left="397" w:hanging="397"/>
      </w:pPr>
      <w:rPr>
        <w:rFonts w:hint="default"/>
      </w:rPr>
    </w:lvl>
    <w:lvl w:ilvl="1">
      <w:start w:val="1"/>
      <w:numFmt w:val="lowerRoman"/>
      <w:pStyle w:val="ListAlpha2"/>
      <w:lvlText w:val="%2)"/>
      <w:lvlJc w:val="left"/>
      <w:pPr>
        <w:tabs>
          <w:tab w:val="num" w:pos="794"/>
        </w:tabs>
        <w:ind w:left="794" w:hanging="397"/>
      </w:pPr>
      <w:rPr>
        <w:rFonts w:hint="default"/>
      </w:rPr>
    </w:lvl>
    <w:lvl w:ilvl="2">
      <w:start w:val="1"/>
      <w:numFmt w:val="lowerRoman"/>
      <w:pStyle w:val="ListAlpha3"/>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4E3C5B"/>
    <w:multiLevelType w:val="hybridMultilevel"/>
    <w:tmpl w:val="73AAC0E6"/>
    <w:lvl w:ilvl="0" w:tplc="CD189AEC">
      <w:start w:val="1"/>
      <w:numFmt w:val="lowerRoman"/>
      <w:lvlText w:val="(%1)"/>
      <w:lvlJc w:val="left"/>
      <w:pPr>
        <w:ind w:left="2625" w:hanging="2265"/>
      </w:pPr>
      <w:rPr>
        <w:rFonts w:ascii="Calibri" w:eastAsia="Calibri" w:hAnsi="Calibri" w:hint="default"/>
        <w:i w:val="0"/>
        <w:spacing w:val="-1"/>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652514"/>
    <w:multiLevelType w:val="multilevel"/>
    <w:tmpl w:val="A34AFE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7061B7"/>
    <w:multiLevelType w:val="hybridMultilevel"/>
    <w:tmpl w:val="D0748AC4"/>
    <w:lvl w:ilvl="0" w:tplc="A0D46B3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0250B03"/>
    <w:multiLevelType w:val="multilevel"/>
    <w:tmpl w:val="5D1EC8C4"/>
    <w:name w:val="quotebullets"/>
    <w:lvl w:ilvl="0">
      <w:start w:val="1"/>
      <w:numFmt w:val="bullet"/>
      <w:lvlText w:val="•"/>
      <w:lvlJc w:val="left"/>
      <w:pPr>
        <w:tabs>
          <w:tab w:val="num" w:pos="851"/>
        </w:tabs>
        <w:ind w:left="851" w:hanging="284"/>
      </w:pPr>
      <w:rPr>
        <w:rFonts w:ascii="Calibri" w:hAnsi="Calibri" w:hint="default"/>
        <w:color w:val="auto"/>
      </w:rPr>
    </w:lvl>
    <w:lvl w:ilvl="1">
      <w:start w:val="1"/>
      <w:numFmt w:val="bullet"/>
      <w:lvlText w:val="‒"/>
      <w:lvlJc w:val="left"/>
      <w:pPr>
        <w:tabs>
          <w:tab w:val="num" w:pos="1134"/>
        </w:tabs>
        <w:ind w:left="1134" w:hanging="283"/>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77BB4"/>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1138A4"/>
    <w:multiLevelType w:val="hybridMultilevel"/>
    <w:tmpl w:val="0ADE3AA2"/>
    <w:lvl w:ilvl="0" w:tplc="04BCF8E6">
      <w:start w:val="1"/>
      <w:numFmt w:val="lowerLetter"/>
      <w:lvlText w:val="(%1)"/>
      <w:lvlJc w:val="left"/>
      <w:pPr>
        <w:ind w:left="720" w:hanging="360"/>
      </w:pPr>
      <w:rPr>
        <w:rFonts w:ascii="Calibri" w:eastAsia="Calibri" w:hAnsi="Calibri" w:hint="default"/>
        <w:spacing w:val="-1"/>
        <w:w w:val="103"/>
        <w:sz w:val="19"/>
        <w:szCs w:val="19"/>
      </w:rPr>
    </w:lvl>
    <w:lvl w:ilvl="1" w:tplc="04BCF8E6">
      <w:start w:val="1"/>
      <w:numFmt w:val="lowerLetter"/>
      <w:lvlText w:val="(%2)"/>
      <w:lvlJc w:val="left"/>
      <w:pPr>
        <w:ind w:left="1440" w:hanging="360"/>
      </w:pPr>
      <w:rPr>
        <w:rFonts w:ascii="Calibri" w:eastAsia="Calibri" w:hAnsi="Calibri" w:hint="default"/>
        <w:spacing w:val="-1"/>
        <w:w w:val="103"/>
        <w:sz w:val="19"/>
        <w:szCs w:val="19"/>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030DAE"/>
    <w:multiLevelType w:val="multilevel"/>
    <w:tmpl w:val="B038DB4E"/>
    <w:name w:val="MyNumbering"/>
    <w:lvl w:ilvl="0">
      <w:start w:val="1"/>
      <w:numFmt w:val="lowerRoman"/>
      <w:pStyle w:val="ListNumber"/>
      <w:lvlText w:val="(%1)"/>
      <w:lvlJc w:val="left"/>
      <w:pPr>
        <w:tabs>
          <w:tab w:val="num" w:pos="397"/>
        </w:tabs>
        <w:ind w:left="397" w:hanging="397"/>
      </w:pPr>
      <w:rPr>
        <w:rFonts w:hint="default"/>
        <w:color w:val="000000"/>
        <w:sz w:val="20"/>
      </w:rPr>
    </w:lvl>
    <w:lvl w:ilvl="1">
      <w:start w:val="1"/>
      <w:numFmt w:val="lowerLetter"/>
      <w:pStyle w:val="ListNumber2"/>
      <w:lvlText w:val="%2."/>
      <w:lvlJc w:val="left"/>
      <w:pPr>
        <w:tabs>
          <w:tab w:val="num" w:pos="794"/>
        </w:tabs>
        <w:ind w:left="794" w:hanging="397"/>
      </w:pPr>
      <w:rPr>
        <w:rFonts w:hint="default"/>
        <w:color w:val="000000"/>
        <w:sz w:val="20"/>
      </w:rPr>
    </w:lvl>
    <w:lvl w:ilvl="2">
      <w:start w:val="1"/>
      <w:numFmt w:val="lowerRoman"/>
      <w:pStyle w:val="ListNumber3"/>
      <w:lvlText w:val="%3."/>
      <w:lvlJc w:val="left"/>
      <w:pPr>
        <w:tabs>
          <w:tab w:val="num" w:pos="1191"/>
        </w:tabs>
        <w:ind w:left="1191" w:hanging="397"/>
      </w:pPr>
      <w:rPr>
        <w:rFonts w:hint="default"/>
        <w:color w:val="00000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9"/>
  </w:num>
  <w:num w:numId="2">
    <w:abstractNumId w:val="6"/>
  </w:num>
  <w:num w:numId="3">
    <w:abstractNumId w:val="32"/>
  </w:num>
  <w:num w:numId="4">
    <w:abstractNumId w:val="14"/>
  </w:num>
  <w:num w:numId="5">
    <w:abstractNumId w:val="1"/>
  </w:num>
  <w:num w:numId="6">
    <w:abstractNumId w:val="11"/>
  </w:num>
  <w:num w:numId="7">
    <w:abstractNumId w:val="19"/>
  </w:num>
  <w:num w:numId="8">
    <w:abstractNumId w:val="17"/>
  </w:num>
  <w:num w:numId="9">
    <w:abstractNumId w:val="25"/>
  </w:num>
  <w:num w:numId="10">
    <w:abstractNumId w:val="4"/>
  </w:num>
  <w:num w:numId="11">
    <w:abstractNumId w:val="28"/>
  </w:num>
  <w:num w:numId="12">
    <w:abstractNumId w:val="26"/>
  </w:num>
  <w:num w:numId="13">
    <w:abstractNumId w:val="5"/>
  </w:num>
  <w:num w:numId="14">
    <w:abstractNumId w:val="0"/>
  </w:num>
  <w:num w:numId="15">
    <w:abstractNumId w:val="10"/>
  </w:num>
  <w:num w:numId="16">
    <w:abstractNumId w:val="30"/>
  </w:num>
  <w:num w:numId="17">
    <w:abstractNumId w:val="7"/>
  </w:num>
  <w:num w:numId="18">
    <w:abstractNumId w:val="13"/>
  </w:num>
  <w:num w:numId="19">
    <w:abstractNumId w:val="2"/>
  </w:num>
  <w:num w:numId="20">
    <w:abstractNumId w:val="20"/>
  </w:num>
  <w:num w:numId="21">
    <w:abstractNumId w:val="24"/>
  </w:num>
  <w:num w:numId="22">
    <w:abstractNumId w:val="22"/>
  </w:num>
  <w:num w:numId="23">
    <w:abstractNumId w:val="12"/>
  </w:num>
  <w:num w:numId="24">
    <w:abstractNumId w:val="29"/>
  </w:num>
  <w:num w:numId="25">
    <w:abstractNumId w:val="8"/>
  </w:num>
  <w:num w:numId="26">
    <w:abstractNumId w:val="16"/>
  </w:num>
  <w:num w:numId="27">
    <w:abstractNumId w:val="31"/>
  </w:num>
  <w:num w:numId="28">
    <w:abstractNumId w:val="3"/>
  </w:num>
  <w:num w:numId="29">
    <w:abstractNumId w:val="27"/>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ame" w:val="Appendix"/>
    <w:docVar w:name="Heading1Numbered" w:val="False"/>
    <w:docVar w:name="Heading2Numbered" w:val="False"/>
    <w:docVar w:name="Heading3Numbered" w:val="False"/>
    <w:docVar w:name="Heading4Numbered" w:val="False"/>
  </w:docVars>
  <w:rsids>
    <w:rsidRoot w:val="007F1BFA"/>
    <w:rsid w:val="00000194"/>
    <w:rsid w:val="000009B8"/>
    <w:rsid w:val="000019EA"/>
    <w:rsid w:val="0000231C"/>
    <w:rsid w:val="000035F6"/>
    <w:rsid w:val="00003E8F"/>
    <w:rsid w:val="000043B6"/>
    <w:rsid w:val="00004522"/>
    <w:rsid w:val="00004810"/>
    <w:rsid w:val="00004A68"/>
    <w:rsid w:val="0000533E"/>
    <w:rsid w:val="00006ECE"/>
    <w:rsid w:val="00007510"/>
    <w:rsid w:val="00007614"/>
    <w:rsid w:val="0001021B"/>
    <w:rsid w:val="000105A9"/>
    <w:rsid w:val="00011166"/>
    <w:rsid w:val="000123D2"/>
    <w:rsid w:val="000125A5"/>
    <w:rsid w:val="000142A8"/>
    <w:rsid w:val="000150E2"/>
    <w:rsid w:val="0001659D"/>
    <w:rsid w:val="00016D1E"/>
    <w:rsid w:val="00020425"/>
    <w:rsid w:val="00021E0F"/>
    <w:rsid w:val="00021F0C"/>
    <w:rsid w:val="00022679"/>
    <w:rsid w:val="00023619"/>
    <w:rsid w:val="000246C0"/>
    <w:rsid w:val="00024714"/>
    <w:rsid w:val="00025F4C"/>
    <w:rsid w:val="00026B55"/>
    <w:rsid w:val="0002777B"/>
    <w:rsid w:val="0003266E"/>
    <w:rsid w:val="0003290F"/>
    <w:rsid w:val="00032F6A"/>
    <w:rsid w:val="00033ED6"/>
    <w:rsid w:val="000343D3"/>
    <w:rsid w:val="000348BD"/>
    <w:rsid w:val="00035C28"/>
    <w:rsid w:val="00036D45"/>
    <w:rsid w:val="000374E9"/>
    <w:rsid w:val="00037589"/>
    <w:rsid w:val="0004061B"/>
    <w:rsid w:val="00041613"/>
    <w:rsid w:val="000436A1"/>
    <w:rsid w:val="00043BD5"/>
    <w:rsid w:val="000469FF"/>
    <w:rsid w:val="00047D04"/>
    <w:rsid w:val="00050713"/>
    <w:rsid w:val="00050FA5"/>
    <w:rsid w:val="00051D5C"/>
    <w:rsid w:val="00052454"/>
    <w:rsid w:val="0005252A"/>
    <w:rsid w:val="00053432"/>
    <w:rsid w:val="0005444D"/>
    <w:rsid w:val="00055232"/>
    <w:rsid w:val="00055F1B"/>
    <w:rsid w:val="00056B4D"/>
    <w:rsid w:val="000574CC"/>
    <w:rsid w:val="00057CAE"/>
    <w:rsid w:val="00057FA5"/>
    <w:rsid w:val="00060B9F"/>
    <w:rsid w:val="00061256"/>
    <w:rsid w:val="000634B5"/>
    <w:rsid w:val="00063941"/>
    <w:rsid w:val="000650B5"/>
    <w:rsid w:val="00065F04"/>
    <w:rsid w:val="00066A4B"/>
    <w:rsid w:val="00066DA8"/>
    <w:rsid w:val="00067A55"/>
    <w:rsid w:val="00071724"/>
    <w:rsid w:val="00072E55"/>
    <w:rsid w:val="00074EF6"/>
    <w:rsid w:val="00075D8E"/>
    <w:rsid w:val="000763BB"/>
    <w:rsid w:val="000764DD"/>
    <w:rsid w:val="00076CEC"/>
    <w:rsid w:val="00077A9C"/>
    <w:rsid w:val="000818A1"/>
    <w:rsid w:val="00082CAC"/>
    <w:rsid w:val="00083976"/>
    <w:rsid w:val="00083C07"/>
    <w:rsid w:val="00084022"/>
    <w:rsid w:val="000840C4"/>
    <w:rsid w:val="00085B5D"/>
    <w:rsid w:val="00086400"/>
    <w:rsid w:val="00086C5B"/>
    <w:rsid w:val="00087D4A"/>
    <w:rsid w:val="000901D6"/>
    <w:rsid w:val="00090D68"/>
    <w:rsid w:val="00090EF6"/>
    <w:rsid w:val="0009129D"/>
    <w:rsid w:val="00091E67"/>
    <w:rsid w:val="000946E4"/>
    <w:rsid w:val="000961D0"/>
    <w:rsid w:val="00097590"/>
    <w:rsid w:val="000A043A"/>
    <w:rsid w:val="000A0D39"/>
    <w:rsid w:val="000A0F51"/>
    <w:rsid w:val="000A1838"/>
    <w:rsid w:val="000A1A10"/>
    <w:rsid w:val="000A2042"/>
    <w:rsid w:val="000A27F6"/>
    <w:rsid w:val="000A2A5F"/>
    <w:rsid w:val="000A4D96"/>
    <w:rsid w:val="000A64D2"/>
    <w:rsid w:val="000B1F7F"/>
    <w:rsid w:val="000B59CB"/>
    <w:rsid w:val="000B65EE"/>
    <w:rsid w:val="000B77E0"/>
    <w:rsid w:val="000C036C"/>
    <w:rsid w:val="000C043D"/>
    <w:rsid w:val="000C1ABD"/>
    <w:rsid w:val="000C22B1"/>
    <w:rsid w:val="000C269E"/>
    <w:rsid w:val="000C3390"/>
    <w:rsid w:val="000C53ED"/>
    <w:rsid w:val="000C582A"/>
    <w:rsid w:val="000C5ACB"/>
    <w:rsid w:val="000C7566"/>
    <w:rsid w:val="000C7BB4"/>
    <w:rsid w:val="000D01DB"/>
    <w:rsid w:val="000D1DA0"/>
    <w:rsid w:val="000D2418"/>
    <w:rsid w:val="000D26EA"/>
    <w:rsid w:val="000D2DCC"/>
    <w:rsid w:val="000D31CB"/>
    <w:rsid w:val="000D3881"/>
    <w:rsid w:val="000D5967"/>
    <w:rsid w:val="000D66AF"/>
    <w:rsid w:val="000D6A96"/>
    <w:rsid w:val="000D73BF"/>
    <w:rsid w:val="000E0068"/>
    <w:rsid w:val="000E2931"/>
    <w:rsid w:val="000E2E35"/>
    <w:rsid w:val="000E2F22"/>
    <w:rsid w:val="000E3622"/>
    <w:rsid w:val="000E3F49"/>
    <w:rsid w:val="000E4C67"/>
    <w:rsid w:val="000E5431"/>
    <w:rsid w:val="000E7057"/>
    <w:rsid w:val="000E70E9"/>
    <w:rsid w:val="000F1017"/>
    <w:rsid w:val="000F3362"/>
    <w:rsid w:val="000F47F5"/>
    <w:rsid w:val="000F4819"/>
    <w:rsid w:val="000F4D26"/>
    <w:rsid w:val="000F59FB"/>
    <w:rsid w:val="000F5E55"/>
    <w:rsid w:val="000F60CE"/>
    <w:rsid w:val="000F669B"/>
    <w:rsid w:val="000F6E1F"/>
    <w:rsid w:val="000F7466"/>
    <w:rsid w:val="000F7FBB"/>
    <w:rsid w:val="00101C2D"/>
    <w:rsid w:val="00101C4D"/>
    <w:rsid w:val="001020B6"/>
    <w:rsid w:val="0010297B"/>
    <w:rsid w:val="0010305F"/>
    <w:rsid w:val="0010358A"/>
    <w:rsid w:val="001042E1"/>
    <w:rsid w:val="0010618D"/>
    <w:rsid w:val="00107129"/>
    <w:rsid w:val="0011087C"/>
    <w:rsid w:val="00110DC1"/>
    <w:rsid w:val="0011109A"/>
    <w:rsid w:val="00111554"/>
    <w:rsid w:val="00112D6F"/>
    <w:rsid w:val="0011371C"/>
    <w:rsid w:val="00114377"/>
    <w:rsid w:val="001146CA"/>
    <w:rsid w:val="00116264"/>
    <w:rsid w:val="001172AE"/>
    <w:rsid w:val="00117584"/>
    <w:rsid w:val="001176AC"/>
    <w:rsid w:val="00120459"/>
    <w:rsid w:val="00120CB6"/>
    <w:rsid w:val="0012123B"/>
    <w:rsid w:val="001217CB"/>
    <w:rsid w:val="001230A0"/>
    <w:rsid w:val="00126002"/>
    <w:rsid w:val="001260F6"/>
    <w:rsid w:val="00126984"/>
    <w:rsid w:val="00126CBB"/>
    <w:rsid w:val="00127013"/>
    <w:rsid w:val="00127C8A"/>
    <w:rsid w:val="00127D0A"/>
    <w:rsid w:val="0013044E"/>
    <w:rsid w:val="001320DB"/>
    <w:rsid w:val="00133CEB"/>
    <w:rsid w:val="00134615"/>
    <w:rsid w:val="00135FD4"/>
    <w:rsid w:val="00136233"/>
    <w:rsid w:val="001369AB"/>
    <w:rsid w:val="00136F1B"/>
    <w:rsid w:val="00136FB3"/>
    <w:rsid w:val="00137A24"/>
    <w:rsid w:val="00140BB8"/>
    <w:rsid w:val="0014220A"/>
    <w:rsid w:val="00143675"/>
    <w:rsid w:val="001438BA"/>
    <w:rsid w:val="00144DE1"/>
    <w:rsid w:val="001451BE"/>
    <w:rsid w:val="00146133"/>
    <w:rsid w:val="00146947"/>
    <w:rsid w:val="0014722D"/>
    <w:rsid w:val="00147C4E"/>
    <w:rsid w:val="001503F4"/>
    <w:rsid w:val="00151705"/>
    <w:rsid w:val="00151ED9"/>
    <w:rsid w:val="001527FF"/>
    <w:rsid w:val="00152AF0"/>
    <w:rsid w:val="001536B2"/>
    <w:rsid w:val="00155B41"/>
    <w:rsid w:val="001571C1"/>
    <w:rsid w:val="00157F04"/>
    <w:rsid w:val="00162508"/>
    <w:rsid w:val="0016271B"/>
    <w:rsid w:val="001636AB"/>
    <w:rsid w:val="001646FC"/>
    <w:rsid w:val="00164716"/>
    <w:rsid w:val="00164C14"/>
    <w:rsid w:val="00166097"/>
    <w:rsid w:val="00166E6D"/>
    <w:rsid w:val="0016704C"/>
    <w:rsid w:val="00171E9C"/>
    <w:rsid w:val="001726D4"/>
    <w:rsid w:val="001738A8"/>
    <w:rsid w:val="00175051"/>
    <w:rsid w:val="001750A0"/>
    <w:rsid w:val="001752D2"/>
    <w:rsid w:val="00175896"/>
    <w:rsid w:val="001759D5"/>
    <w:rsid w:val="0017706B"/>
    <w:rsid w:val="001827CC"/>
    <w:rsid w:val="001837C4"/>
    <w:rsid w:val="0018426D"/>
    <w:rsid w:val="00184490"/>
    <w:rsid w:val="001844C6"/>
    <w:rsid w:val="001845EF"/>
    <w:rsid w:val="00184FAE"/>
    <w:rsid w:val="00184FF7"/>
    <w:rsid w:val="00186171"/>
    <w:rsid w:val="001861A5"/>
    <w:rsid w:val="001861CB"/>
    <w:rsid w:val="0018731E"/>
    <w:rsid w:val="001874D7"/>
    <w:rsid w:val="00190F39"/>
    <w:rsid w:val="001923D4"/>
    <w:rsid w:val="00193CE4"/>
    <w:rsid w:val="001948DE"/>
    <w:rsid w:val="00194B60"/>
    <w:rsid w:val="00195CFA"/>
    <w:rsid w:val="00195D19"/>
    <w:rsid w:val="00197A9E"/>
    <w:rsid w:val="001A093A"/>
    <w:rsid w:val="001A0C3F"/>
    <w:rsid w:val="001A2189"/>
    <w:rsid w:val="001A3352"/>
    <w:rsid w:val="001A3695"/>
    <w:rsid w:val="001A52EC"/>
    <w:rsid w:val="001A6CF4"/>
    <w:rsid w:val="001A7E21"/>
    <w:rsid w:val="001B00BC"/>
    <w:rsid w:val="001B0E58"/>
    <w:rsid w:val="001B1992"/>
    <w:rsid w:val="001B1B2B"/>
    <w:rsid w:val="001B1C52"/>
    <w:rsid w:val="001B1D98"/>
    <w:rsid w:val="001B2291"/>
    <w:rsid w:val="001B3405"/>
    <w:rsid w:val="001B3DB3"/>
    <w:rsid w:val="001B5EAD"/>
    <w:rsid w:val="001B667B"/>
    <w:rsid w:val="001B688C"/>
    <w:rsid w:val="001B6D41"/>
    <w:rsid w:val="001C0BAE"/>
    <w:rsid w:val="001C145F"/>
    <w:rsid w:val="001C2358"/>
    <w:rsid w:val="001C2511"/>
    <w:rsid w:val="001C33BA"/>
    <w:rsid w:val="001C5AF4"/>
    <w:rsid w:val="001C6004"/>
    <w:rsid w:val="001C69DA"/>
    <w:rsid w:val="001C7946"/>
    <w:rsid w:val="001C79A2"/>
    <w:rsid w:val="001D213E"/>
    <w:rsid w:val="001D2467"/>
    <w:rsid w:val="001D39F8"/>
    <w:rsid w:val="001D3B02"/>
    <w:rsid w:val="001D51E6"/>
    <w:rsid w:val="001D591B"/>
    <w:rsid w:val="001D5BFF"/>
    <w:rsid w:val="001D5C3F"/>
    <w:rsid w:val="001D63D0"/>
    <w:rsid w:val="001D76BC"/>
    <w:rsid w:val="001E04BC"/>
    <w:rsid w:val="001E2412"/>
    <w:rsid w:val="001E274C"/>
    <w:rsid w:val="001E3E6C"/>
    <w:rsid w:val="001E539A"/>
    <w:rsid w:val="001E56FB"/>
    <w:rsid w:val="001E6421"/>
    <w:rsid w:val="001E6674"/>
    <w:rsid w:val="001E7225"/>
    <w:rsid w:val="001E768A"/>
    <w:rsid w:val="001F1EBE"/>
    <w:rsid w:val="001F2191"/>
    <w:rsid w:val="001F2D7D"/>
    <w:rsid w:val="001F44D3"/>
    <w:rsid w:val="001F5040"/>
    <w:rsid w:val="001F55A0"/>
    <w:rsid w:val="001F684F"/>
    <w:rsid w:val="001F6CCB"/>
    <w:rsid w:val="001F797E"/>
    <w:rsid w:val="002001B1"/>
    <w:rsid w:val="00200A6F"/>
    <w:rsid w:val="00200DC3"/>
    <w:rsid w:val="0020216F"/>
    <w:rsid w:val="00202628"/>
    <w:rsid w:val="00202D57"/>
    <w:rsid w:val="00203374"/>
    <w:rsid w:val="00206566"/>
    <w:rsid w:val="002068CE"/>
    <w:rsid w:val="002071C2"/>
    <w:rsid w:val="00207596"/>
    <w:rsid w:val="002076E7"/>
    <w:rsid w:val="002108FC"/>
    <w:rsid w:val="002114AD"/>
    <w:rsid w:val="00211B7F"/>
    <w:rsid w:val="0021200B"/>
    <w:rsid w:val="00212389"/>
    <w:rsid w:val="00213A6D"/>
    <w:rsid w:val="002142D0"/>
    <w:rsid w:val="002146AD"/>
    <w:rsid w:val="00215847"/>
    <w:rsid w:val="0022074F"/>
    <w:rsid w:val="00222422"/>
    <w:rsid w:val="00225FD7"/>
    <w:rsid w:val="002261A0"/>
    <w:rsid w:val="00226225"/>
    <w:rsid w:val="00226496"/>
    <w:rsid w:val="002266B7"/>
    <w:rsid w:val="00230874"/>
    <w:rsid w:val="00232D3E"/>
    <w:rsid w:val="00233418"/>
    <w:rsid w:val="002335EE"/>
    <w:rsid w:val="002340CC"/>
    <w:rsid w:val="00234CDD"/>
    <w:rsid w:val="00235D22"/>
    <w:rsid w:val="0023624D"/>
    <w:rsid w:val="00240671"/>
    <w:rsid w:val="002410D9"/>
    <w:rsid w:val="00242B92"/>
    <w:rsid w:val="00243399"/>
    <w:rsid w:val="00243751"/>
    <w:rsid w:val="002448CB"/>
    <w:rsid w:val="0024565C"/>
    <w:rsid w:val="00245A76"/>
    <w:rsid w:val="0024629C"/>
    <w:rsid w:val="00246892"/>
    <w:rsid w:val="00247DAF"/>
    <w:rsid w:val="002515DA"/>
    <w:rsid w:val="00251FC6"/>
    <w:rsid w:val="002530B3"/>
    <w:rsid w:val="00254F5A"/>
    <w:rsid w:val="0025626D"/>
    <w:rsid w:val="00256560"/>
    <w:rsid w:val="00256624"/>
    <w:rsid w:val="002574B6"/>
    <w:rsid w:val="00257EA4"/>
    <w:rsid w:val="00257F30"/>
    <w:rsid w:val="002606CC"/>
    <w:rsid w:val="00260CB3"/>
    <w:rsid w:val="00261D30"/>
    <w:rsid w:val="0026239B"/>
    <w:rsid w:val="00262A91"/>
    <w:rsid w:val="00262ACE"/>
    <w:rsid w:val="00263A5F"/>
    <w:rsid w:val="00265C0D"/>
    <w:rsid w:val="00265D70"/>
    <w:rsid w:val="00266435"/>
    <w:rsid w:val="0026655E"/>
    <w:rsid w:val="002665B3"/>
    <w:rsid w:val="00266DC2"/>
    <w:rsid w:val="002676EB"/>
    <w:rsid w:val="00267F65"/>
    <w:rsid w:val="0027169B"/>
    <w:rsid w:val="002722EC"/>
    <w:rsid w:val="0027240B"/>
    <w:rsid w:val="002726B6"/>
    <w:rsid w:val="00273651"/>
    <w:rsid w:val="002744C7"/>
    <w:rsid w:val="00274D13"/>
    <w:rsid w:val="00274DED"/>
    <w:rsid w:val="00276CBD"/>
    <w:rsid w:val="00276CE4"/>
    <w:rsid w:val="0027759D"/>
    <w:rsid w:val="00280075"/>
    <w:rsid w:val="002817A4"/>
    <w:rsid w:val="0028219A"/>
    <w:rsid w:val="0028270C"/>
    <w:rsid w:val="0028347E"/>
    <w:rsid w:val="002834E2"/>
    <w:rsid w:val="00283EA9"/>
    <w:rsid w:val="00284193"/>
    <w:rsid w:val="002841D2"/>
    <w:rsid w:val="00284AA5"/>
    <w:rsid w:val="002857D1"/>
    <w:rsid w:val="002859D1"/>
    <w:rsid w:val="00287FD0"/>
    <w:rsid w:val="00290C42"/>
    <w:rsid w:val="002953E2"/>
    <w:rsid w:val="00296514"/>
    <w:rsid w:val="00297C2D"/>
    <w:rsid w:val="002A04E1"/>
    <w:rsid w:val="002A0A44"/>
    <w:rsid w:val="002A11B8"/>
    <w:rsid w:val="002A175E"/>
    <w:rsid w:val="002A2882"/>
    <w:rsid w:val="002A2BBA"/>
    <w:rsid w:val="002A4F8B"/>
    <w:rsid w:val="002A5C16"/>
    <w:rsid w:val="002A68DC"/>
    <w:rsid w:val="002A7D81"/>
    <w:rsid w:val="002B118F"/>
    <w:rsid w:val="002B23F8"/>
    <w:rsid w:val="002B349C"/>
    <w:rsid w:val="002B4A7C"/>
    <w:rsid w:val="002B4A82"/>
    <w:rsid w:val="002B500E"/>
    <w:rsid w:val="002B5A41"/>
    <w:rsid w:val="002B6B22"/>
    <w:rsid w:val="002B7038"/>
    <w:rsid w:val="002B742D"/>
    <w:rsid w:val="002B77BD"/>
    <w:rsid w:val="002B7B5A"/>
    <w:rsid w:val="002B7F31"/>
    <w:rsid w:val="002C017A"/>
    <w:rsid w:val="002C02B3"/>
    <w:rsid w:val="002C0A65"/>
    <w:rsid w:val="002C37A5"/>
    <w:rsid w:val="002C3B94"/>
    <w:rsid w:val="002C5D6F"/>
    <w:rsid w:val="002C64DF"/>
    <w:rsid w:val="002D21C9"/>
    <w:rsid w:val="002D2577"/>
    <w:rsid w:val="002D277A"/>
    <w:rsid w:val="002D2A80"/>
    <w:rsid w:val="002D2D1D"/>
    <w:rsid w:val="002D31B5"/>
    <w:rsid w:val="002D36E7"/>
    <w:rsid w:val="002D44EE"/>
    <w:rsid w:val="002D4C04"/>
    <w:rsid w:val="002D525E"/>
    <w:rsid w:val="002D575C"/>
    <w:rsid w:val="002D5A8E"/>
    <w:rsid w:val="002D7740"/>
    <w:rsid w:val="002D7AA5"/>
    <w:rsid w:val="002D7B07"/>
    <w:rsid w:val="002E0ED2"/>
    <w:rsid w:val="002E1030"/>
    <w:rsid w:val="002E3000"/>
    <w:rsid w:val="002E34C5"/>
    <w:rsid w:val="002E3829"/>
    <w:rsid w:val="002E4582"/>
    <w:rsid w:val="002E4C49"/>
    <w:rsid w:val="002E4E4D"/>
    <w:rsid w:val="002E5E0C"/>
    <w:rsid w:val="002E6528"/>
    <w:rsid w:val="002E674E"/>
    <w:rsid w:val="002F00B2"/>
    <w:rsid w:val="002F0D9F"/>
    <w:rsid w:val="002F1B14"/>
    <w:rsid w:val="002F3731"/>
    <w:rsid w:val="002F3ED9"/>
    <w:rsid w:val="002F47C0"/>
    <w:rsid w:val="002F498A"/>
    <w:rsid w:val="002F625A"/>
    <w:rsid w:val="0030018A"/>
    <w:rsid w:val="00301647"/>
    <w:rsid w:val="0030259D"/>
    <w:rsid w:val="00303BC3"/>
    <w:rsid w:val="0030427C"/>
    <w:rsid w:val="00304861"/>
    <w:rsid w:val="003064BD"/>
    <w:rsid w:val="00306C20"/>
    <w:rsid w:val="0031211F"/>
    <w:rsid w:val="003135D8"/>
    <w:rsid w:val="00314734"/>
    <w:rsid w:val="00315198"/>
    <w:rsid w:val="00315D95"/>
    <w:rsid w:val="003163EB"/>
    <w:rsid w:val="00316518"/>
    <w:rsid w:val="003172A7"/>
    <w:rsid w:val="00317539"/>
    <w:rsid w:val="00317D2D"/>
    <w:rsid w:val="0032074B"/>
    <w:rsid w:val="0032084F"/>
    <w:rsid w:val="00325018"/>
    <w:rsid w:val="00325069"/>
    <w:rsid w:val="003253FC"/>
    <w:rsid w:val="00325E0A"/>
    <w:rsid w:val="0032602F"/>
    <w:rsid w:val="0032656F"/>
    <w:rsid w:val="00326E64"/>
    <w:rsid w:val="003270E8"/>
    <w:rsid w:val="003307F2"/>
    <w:rsid w:val="00331625"/>
    <w:rsid w:val="00331931"/>
    <w:rsid w:val="00332CF5"/>
    <w:rsid w:val="003337C6"/>
    <w:rsid w:val="0033380E"/>
    <w:rsid w:val="00333977"/>
    <w:rsid w:val="00334447"/>
    <w:rsid w:val="003347F7"/>
    <w:rsid w:val="00334EDC"/>
    <w:rsid w:val="00335083"/>
    <w:rsid w:val="0033555D"/>
    <w:rsid w:val="003379B1"/>
    <w:rsid w:val="00340873"/>
    <w:rsid w:val="00340F88"/>
    <w:rsid w:val="00341858"/>
    <w:rsid w:val="00341D4C"/>
    <w:rsid w:val="003425C3"/>
    <w:rsid w:val="00343100"/>
    <w:rsid w:val="00343F93"/>
    <w:rsid w:val="0034413F"/>
    <w:rsid w:val="003442EC"/>
    <w:rsid w:val="00344548"/>
    <w:rsid w:val="00344FFE"/>
    <w:rsid w:val="0034506E"/>
    <w:rsid w:val="003459BB"/>
    <w:rsid w:val="00345F29"/>
    <w:rsid w:val="00346ADF"/>
    <w:rsid w:val="003475E2"/>
    <w:rsid w:val="00347812"/>
    <w:rsid w:val="003516D3"/>
    <w:rsid w:val="0035206E"/>
    <w:rsid w:val="003520AE"/>
    <w:rsid w:val="00352A8F"/>
    <w:rsid w:val="003536B2"/>
    <w:rsid w:val="003541A0"/>
    <w:rsid w:val="00361ECA"/>
    <w:rsid w:val="00362370"/>
    <w:rsid w:val="0036258B"/>
    <w:rsid w:val="003626FB"/>
    <w:rsid w:val="003647D0"/>
    <w:rsid w:val="00366113"/>
    <w:rsid w:val="003667EB"/>
    <w:rsid w:val="00366E1B"/>
    <w:rsid w:val="003670C0"/>
    <w:rsid w:val="00370000"/>
    <w:rsid w:val="00370140"/>
    <w:rsid w:val="00371EBC"/>
    <w:rsid w:val="003720BE"/>
    <w:rsid w:val="003725D5"/>
    <w:rsid w:val="00372CFD"/>
    <w:rsid w:val="0037354A"/>
    <w:rsid w:val="003756A1"/>
    <w:rsid w:val="003763C4"/>
    <w:rsid w:val="003803CA"/>
    <w:rsid w:val="00380517"/>
    <w:rsid w:val="00380973"/>
    <w:rsid w:val="00380F4A"/>
    <w:rsid w:val="00381B72"/>
    <w:rsid w:val="00382081"/>
    <w:rsid w:val="003824AA"/>
    <w:rsid w:val="00382C4B"/>
    <w:rsid w:val="0038455A"/>
    <w:rsid w:val="003845DB"/>
    <w:rsid w:val="00384A8F"/>
    <w:rsid w:val="003903BC"/>
    <w:rsid w:val="003915C3"/>
    <w:rsid w:val="003930BB"/>
    <w:rsid w:val="00394117"/>
    <w:rsid w:val="0039477E"/>
    <w:rsid w:val="0039701A"/>
    <w:rsid w:val="003972DF"/>
    <w:rsid w:val="00397F7A"/>
    <w:rsid w:val="003A02AE"/>
    <w:rsid w:val="003A0F33"/>
    <w:rsid w:val="003A205E"/>
    <w:rsid w:val="003A362B"/>
    <w:rsid w:val="003A3FB4"/>
    <w:rsid w:val="003A4666"/>
    <w:rsid w:val="003A6115"/>
    <w:rsid w:val="003A76AB"/>
    <w:rsid w:val="003A7E6D"/>
    <w:rsid w:val="003B198A"/>
    <w:rsid w:val="003B1D62"/>
    <w:rsid w:val="003B2299"/>
    <w:rsid w:val="003B2E0D"/>
    <w:rsid w:val="003B2ECE"/>
    <w:rsid w:val="003B3578"/>
    <w:rsid w:val="003B3D5D"/>
    <w:rsid w:val="003B53BD"/>
    <w:rsid w:val="003B5CFA"/>
    <w:rsid w:val="003B600B"/>
    <w:rsid w:val="003B74BE"/>
    <w:rsid w:val="003C1599"/>
    <w:rsid w:val="003C18F9"/>
    <w:rsid w:val="003C1E76"/>
    <w:rsid w:val="003C25F9"/>
    <w:rsid w:val="003C2C0D"/>
    <w:rsid w:val="003C2C66"/>
    <w:rsid w:val="003C300B"/>
    <w:rsid w:val="003C34DF"/>
    <w:rsid w:val="003C3B57"/>
    <w:rsid w:val="003C3D35"/>
    <w:rsid w:val="003C3E74"/>
    <w:rsid w:val="003C3FC2"/>
    <w:rsid w:val="003C42F6"/>
    <w:rsid w:val="003C4C72"/>
    <w:rsid w:val="003C5282"/>
    <w:rsid w:val="003C657E"/>
    <w:rsid w:val="003C79B3"/>
    <w:rsid w:val="003C7E56"/>
    <w:rsid w:val="003D1296"/>
    <w:rsid w:val="003D1B95"/>
    <w:rsid w:val="003D2532"/>
    <w:rsid w:val="003D659B"/>
    <w:rsid w:val="003D70B4"/>
    <w:rsid w:val="003D70C8"/>
    <w:rsid w:val="003D7434"/>
    <w:rsid w:val="003D7E3D"/>
    <w:rsid w:val="003E1BAD"/>
    <w:rsid w:val="003E2D32"/>
    <w:rsid w:val="003E31A8"/>
    <w:rsid w:val="003E329B"/>
    <w:rsid w:val="003E4269"/>
    <w:rsid w:val="003E4809"/>
    <w:rsid w:val="003E5011"/>
    <w:rsid w:val="003E52BC"/>
    <w:rsid w:val="003E55A4"/>
    <w:rsid w:val="003E563C"/>
    <w:rsid w:val="003E5979"/>
    <w:rsid w:val="003E6391"/>
    <w:rsid w:val="003E726F"/>
    <w:rsid w:val="003E72F6"/>
    <w:rsid w:val="003E77E8"/>
    <w:rsid w:val="003E7BA2"/>
    <w:rsid w:val="003E7C0D"/>
    <w:rsid w:val="003F0B33"/>
    <w:rsid w:val="003F0C6C"/>
    <w:rsid w:val="003F1A32"/>
    <w:rsid w:val="003F1A4D"/>
    <w:rsid w:val="003F38A2"/>
    <w:rsid w:val="003F38F0"/>
    <w:rsid w:val="003F5238"/>
    <w:rsid w:val="003F5645"/>
    <w:rsid w:val="003F591F"/>
    <w:rsid w:val="003F71C4"/>
    <w:rsid w:val="003F782D"/>
    <w:rsid w:val="003F78FC"/>
    <w:rsid w:val="003F7F1F"/>
    <w:rsid w:val="00400BD3"/>
    <w:rsid w:val="00401071"/>
    <w:rsid w:val="0040166B"/>
    <w:rsid w:val="004019F9"/>
    <w:rsid w:val="0040292D"/>
    <w:rsid w:val="004038A4"/>
    <w:rsid w:val="0040391C"/>
    <w:rsid w:val="00404231"/>
    <w:rsid w:val="00404CC3"/>
    <w:rsid w:val="00406CE3"/>
    <w:rsid w:val="004070BE"/>
    <w:rsid w:val="0040743E"/>
    <w:rsid w:val="00407885"/>
    <w:rsid w:val="004100F3"/>
    <w:rsid w:val="0041156D"/>
    <w:rsid w:val="00411865"/>
    <w:rsid w:val="00411C72"/>
    <w:rsid w:val="00412ABA"/>
    <w:rsid w:val="00412BB4"/>
    <w:rsid w:val="0041376D"/>
    <w:rsid w:val="00414C7D"/>
    <w:rsid w:val="004164F2"/>
    <w:rsid w:val="00417333"/>
    <w:rsid w:val="004178B0"/>
    <w:rsid w:val="00417EBE"/>
    <w:rsid w:val="0042169D"/>
    <w:rsid w:val="00422D7F"/>
    <w:rsid w:val="00423068"/>
    <w:rsid w:val="0042336A"/>
    <w:rsid w:val="004243DC"/>
    <w:rsid w:val="00424E64"/>
    <w:rsid w:val="00425417"/>
    <w:rsid w:val="0042583F"/>
    <w:rsid w:val="00425CB8"/>
    <w:rsid w:val="00426F5A"/>
    <w:rsid w:val="00430175"/>
    <w:rsid w:val="0043064D"/>
    <w:rsid w:val="00430A40"/>
    <w:rsid w:val="004335DB"/>
    <w:rsid w:val="004335F0"/>
    <w:rsid w:val="00433F43"/>
    <w:rsid w:val="00434060"/>
    <w:rsid w:val="0043452E"/>
    <w:rsid w:val="004352F7"/>
    <w:rsid w:val="00436175"/>
    <w:rsid w:val="004368A2"/>
    <w:rsid w:val="00436F59"/>
    <w:rsid w:val="00437842"/>
    <w:rsid w:val="0043786F"/>
    <w:rsid w:val="004379E9"/>
    <w:rsid w:val="00440496"/>
    <w:rsid w:val="00440FCE"/>
    <w:rsid w:val="00440FE9"/>
    <w:rsid w:val="0044145F"/>
    <w:rsid w:val="004418A6"/>
    <w:rsid w:val="00441C6D"/>
    <w:rsid w:val="004435BE"/>
    <w:rsid w:val="00444688"/>
    <w:rsid w:val="00446A75"/>
    <w:rsid w:val="00446A79"/>
    <w:rsid w:val="0045080F"/>
    <w:rsid w:val="00450F63"/>
    <w:rsid w:val="00452294"/>
    <w:rsid w:val="00452568"/>
    <w:rsid w:val="00452E74"/>
    <w:rsid w:val="00454250"/>
    <w:rsid w:val="004547DD"/>
    <w:rsid w:val="00455994"/>
    <w:rsid w:val="00456BDA"/>
    <w:rsid w:val="0045796F"/>
    <w:rsid w:val="00457E74"/>
    <w:rsid w:val="00460B70"/>
    <w:rsid w:val="00461467"/>
    <w:rsid w:val="0046149F"/>
    <w:rsid w:val="0046152D"/>
    <w:rsid w:val="00461991"/>
    <w:rsid w:val="004620C7"/>
    <w:rsid w:val="00463D10"/>
    <w:rsid w:val="00463E1E"/>
    <w:rsid w:val="004645BE"/>
    <w:rsid w:val="00466199"/>
    <w:rsid w:val="004664F8"/>
    <w:rsid w:val="0046745D"/>
    <w:rsid w:val="00467742"/>
    <w:rsid w:val="00471615"/>
    <w:rsid w:val="004732F9"/>
    <w:rsid w:val="00473606"/>
    <w:rsid w:val="004744DC"/>
    <w:rsid w:val="00475145"/>
    <w:rsid w:val="00475624"/>
    <w:rsid w:val="00477C86"/>
    <w:rsid w:val="004801AC"/>
    <w:rsid w:val="00480746"/>
    <w:rsid w:val="004807F0"/>
    <w:rsid w:val="00481250"/>
    <w:rsid w:val="00481819"/>
    <w:rsid w:val="00481A08"/>
    <w:rsid w:val="0048263F"/>
    <w:rsid w:val="0048370C"/>
    <w:rsid w:val="00483A93"/>
    <w:rsid w:val="00484F7A"/>
    <w:rsid w:val="00485859"/>
    <w:rsid w:val="00486331"/>
    <w:rsid w:val="0048667B"/>
    <w:rsid w:val="004867EE"/>
    <w:rsid w:val="00487320"/>
    <w:rsid w:val="00487817"/>
    <w:rsid w:val="00490510"/>
    <w:rsid w:val="0049103C"/>
    <w:rsid w:val="00491DD5"/>
    <w:rsid w:val="00492527"/>
    <w:rsid w:val="00493160"/>
    <w:rsid w:val="004932B2"/>
    <w:rsid w:val="0049478A"/>
    <w:rsid w:val="00494D37"/>
    <w:rsid w:val="004A0B32"/>
    <w:rsid w:val="004A12EC"/>
    <w:rsid w:val="004A21CE"/>
    <w:rsid w:val="004A3769"/>
    <w:rsid w:val="004A42E3"/>
    <w:rsid w:val="004A4B42"/>
    <w:rsid w:val="004A4EB1"/>
    <w:rsid w:val="004B0498"/>
    <w:rsid w:val="004B22EB"/>
    <w:rsid w:val="004B2721"/>
    <w:rsid w:val="004B3314"/>
    <w:rsid w:val="004B35FF"/>
    <w:rsid w:val="004B40AB"/>
    <w:rsid w:val="004B49B3"/>
    <w:rsid w:val="004B555E"/>
    <w:rsid w:val="004B5875"/>
    <w:rsid w:val="004B5E17"/>
    <w:rsid w:val="004B61BF"/>
    <w:rsid w:val="004B6750"/>
    <w:rsid w:val="004B7293"/>
    <w:rsid w:val="004C0249"/>
    <w:rsid w:val="004C1238"/>
    <w:rsid w:val="004C1248"/>
    <w:rsid w:val="004C2263"/>
    <w:rsid w:val="004C25AB"/>
    <w:rsid w:val="004C4381"/>
    <w:rsid w:val="004C4521"/>
    <w:rsid w:val="004C52AC"/>
    <w:rsid w:val="004C5440"/>
    <w:rsid w:val="004C6AF8"/>
    <w:rsid w:val="004C6E0D"/>
    <w:rsid w:val="004C7B70"/>
    <w:rsid w:val="004D085E"/>
    <w:rsid w:val="004D348A"/>
    <w:rsid w:val="004D457F"/>
    <w:rsid w:val="004D5882"/>
    <w:rsid w:val="004D59A9"/>
    <w:rsid w:val="004D5E29"/>
    <w:rsid w:val="004D703D"/>
    <w:rsid w:val="004D711D"/>
    <w:rsid w:val="004D777B"/>
    <w:rsid w:val="004D7A9B"/>
    <w:rsid w:val="004E0C0A"/>
    <w:rsid w:val="004E23A6"/>
    <w:rsid w:val="004E2B69"/>
    <w:rsid w:val="004E4150"/>
    <w:rsid w:val="004E60F4"/>
    <w:rsid w:val="004E78B5"/>
    <w:rsid w:val="004F02A8"/>
    <w:rsid w:val="004F03F3"/>
    <w:rsid w:val="004F06E6"/>
    <w:rsid w:val="004F2932"/>
    <w:rsid w:val="004F659E"/>
    <w:rsid w:val="004F6971"/>
    <w:rsid w:val="004F6D5C"/>
    <w:rsid w:val="00500384"/>
    <w:rsid w:val="00500C6B"/>
    <w:rsid w:val="005021BD"/>
    <w:rsid w:val="00504037"/>
    <w:rsid w:val="005040D3"/>
    <w:rsid w:val="005047D7"/>
    <w:rsid w:val="00505775"/>
    <w:rsid w:val="00506106"/>
    <w:rsid w:val="0050628A"/>
    <w:rsid w:val="00506C1C"/>
    <w:rsid w:val="00507008"/>
    <w:rsid w:val="00507966"/>
    <w:rsid w:val="005127C4"/>
    <w:rsid w:val="005134D4"/>
    <w:rsid w:val="00513D22"/>
    <w:rsid w:val="00513E47"/>
    <w:rsid w:val="00517E9C"/>
    <w:rsid w:val="005202C1"/>
    <w:rsid w:val="00522412"/>
    <w:rsid w:val="00523946"/>
    <w:rsid w:val="00525182"/>
    <w:rsid w:val="0052700E"/>
    <w:rsid w:val="005272DD"/>
    <w:rsid w:val="00527BD6"/>
    <w:rsid w:val="00531BE4"/>
    <w:rsid w:val="00531C1B"/>
    <w:rsid w:val="005327B9"/>
    <w:rsid w:val="005338E4"/>
    <w:rsid w:val="00533ED7"/>
    <w:rsid w:val="00534179"/>
    <w:rsid w:val="00534CEB"/>
    <w:rsid w:val="00534FA0"/>
    <w:rsid w:val="00535041"/>
    <w:rsid w:val="00535361"/>
    <w:rsid w:val="005367BF"/>
    <w:rsid w:val="0053703D"/>
    <w:rsid w:val="00537683"/>
    <w:rsid w:val="0053776D"/>
    <w:rsid w:val="00540946"/>
    <w:rsid w:val="00541545"/>
    <w:rsid w:val="00542301"/>
    <w:rsid w:val="005423F5"/>
    <w:rsid w:val="00542C86"/>
    <w:rsid w:val="00544D97"/>
    <w:rsid w:val="00545192"/>
    <w:rsid w:val="00545DA0"/>
    <w:rsid w:val="00547E9F"/>
    <w:rsid w:val="00550CF5"/>
    <w:rsid w:val="005516A4"/>
    <w:rsid w:val="0055198C"/>
    <w:rsid w:val="0055254F"/>
    <w:rsid w:val="005542F9"/>
    <w:rsid w:val="00554375"/>
    <w:rsid w:val="00554A12"/>
    <w:rsid w:val="00554CC8"/>
    <w:rsid w:val="00557481"/>
    <w:rsid w:val="00560B95"/>
    <w:rsid w:val="00561458"/>
    <w:rsid w:val="00561DAB"/>
    <w:rsid w:val="00561FA0"/>
    <w:rsid w:val="00565168"/>
    <w:rsid w:val="005664B7"/>
    <w:rsid w:val="00566786"/>
    <w:rsid w:val="00566E04"/>
    <w:rsid w:val="00570F6F"/>
    <w:rsid w:val="0057108A"/>
    <w:rsid w:val="00571E03"/>
    <w:rsid w:val="00573A99"/>
    <w:rsid w:val="00573E5B"/>
    <w:rsid w:val="00573E71"/>
    <w:rsid w:val="0057410A"/>
    <w:rsid w:val="00574171"/>
    <w:rsid w:val="00574C7C"/>
    <w:rsid w:val="00575582"/>
    <w:rsid w:val="00575665"/>
    <w:rsid w:val="005760E9"/>
    <w:rsid w:val="00576543"/>
    <w:rsid w:val="00576894"/>
    <w:rsid w:val="0058075D"/>
    <w:rsid w:val="005808C1"/>
    <w:rsid w:val="00580E6D"/>
    <w:rsid w:val="005817D6"/>
    <w:rsid w:val="005820A8"/>
    <w:rsid w:val="00582406"/>
    <w:rsid w:val="00582B69"/>
    <w:rsid w:val="0058438B"/>
    <w:rsid w:val="005857C7"/>
    <w:rsid w:val="005864D6"/>
    <w:rsid w:val="00586B37"/>
    <w:rsid w:val="00587321"/>
    <w:rsid w:val="00587502"/>
    <w:rsid w:val="0059012D"/>
    <w:rsid w:val="00590789"/>
    <w:rsid w:val="00591BA5"/>
    <w:rsid w:val="00593334"/>
    <w:rsid w:val="0059378B"/>
    <w:rsid w:val="00593EF8"/>
    <w:rsid w:val="005947B6"/>
    <w:rsid w:val="00597C8E"/>
    <w:rsid w:val="005A09FD"/>
    <w:rsid w:val="005A0D0C"/>
    <w:rsid w:val="005A2734"/>
    <w:rsid w:val="005A2FB7"/>
    <w:rsid w:val="005A46E2"/>
    <w:rsid w:val="005A56E5"/>
    <w:rsid w:val="005A5F39"/>
    <w:rsid w:val="005A64AB"/>
    <w:rsid w:val="005A7587"/>
    <w:rsid w:val="005B3837"/>
    <w:rsid w:val="005B3B15"/>
    <w:rsid w:val="005B4410"/>
    <w:rsid w:val="005B6B22"/>
    <w:rsid w:val="005B772F"/>
    <w:rsid w:val="005B774B"/>
    <w:rsid w:val="005C0DAF"/>
    <w:rsid w:val="005C1D4E"/>
    <w:rsid w:val="005C1E38"/>
    <w:rsid w:val="005C274A"/>
    <w:rsid w:val="005C3EF5"/>
    <w:rsid w:val="005C45E7"/>
    <w:rsid w:val="005C4E07"/>
    <w:rsid w:val="005C4F14"/>
    <w:rsid w:val="005C4FD0"/>
    <w:rsid w:val="005D05CF"/>
    <w:rsid w:val="005D21B8"/>
    <w:rsid w:val="005D2B17"/>
    <w:rsid w:val="005D3BC3"/>
    <w:rsid w:val="005D5A74"/>
    <w:rsid w:val="005D63E9"/>
    <w:rsid w:val="005D7931"/>
    <w:rsid w:val="005D7DD8"/>
    <w:rsid w:val="005E1111"/>
    <w:rsid w:val="005E16DB"/>
    <w:rsid w:val="005E2331"/>
    <w:rsid w:val="005E562C"/>
    <w:rsid w:val="005E66E9"/>
    <w:rsid w:val="005E69D4"/>
    <w:rsid w:val="005E6AF2"/>
    <w:rsid w:val="005E6D30"/>
    <w:rsid w:val="005E7F6C"/>
    <w:rsid w:val="005F0A6A"/>
    <w:rsid w:val="005F154B"/>
    <w:rsid w:val="005F253E"/>
    <w:rsid w:val="005F2AD6"/>
    <w:rsid w:val="005F2FD2"/>
    <w:rsid w:val="005F3BFD"/>
    <w:rsid w:val="005F3DBC"/>
    <w:rsid w:val="005F4F76"/>
    <w:rsid w:val="005F5340"/>
    <w:rsid w:val="005F6F44"/>
    <w:rsid w:val="005F7638"/>
    <w:rsid w:val="00600610"/>
    <w:rsid w:val="006008FF"/>
    <w:rsid w:val="0060174F"/>
    <w:rsid w:val="00601B57"/>
    <w:rsid w:val="006023D2"/>
    <w:rsid w:val="00602408"/>
    <w:rsid w:val="006039DD"/>
    <w:rsid w:val="00603CE8"/>
    <w:rsid w:val="00603F2E"/>
    <w:rsid w:val="0060492D"/>
    <w:rsid w:val="00604B4C"/>
    <w:rsid w:val="00604EAC"/>
    <w:rsid w:val="00605ECF"/>
    <w:rsid w:val="0060715B"/>
    <w:rsid w:val="00607178"/>
    <w:rsid w:val="00607E04"/>
    <w:rsid w:val="00610636"/>
    <w:rsid w:val="00611BC7"/>
    <w:rsid w:val="00612169"/>
    <w:rsid w:val="0061394B"/>
    <w:rsid w:val="00613FE0"/>
    <w:rsid w:val="0061560A"/>
    <w:rsid w:val="00616561"/>
    <w:rsid w:val="00616A37"/>
    <w:rsid w:val="00616B71"/>
    <w:rsid w:val="00616D97"/>
    <w:rsid w:val="00616FE2"/>
    <w:rsid w:val="00617C92"/>
    <w:rsid w:val="00617CBC"/>
    <w:rsid w:val="00617DF8"/>
    <w:rsid w:val="006204DC"/>
    <w:rsid w:val="00620D5E"/>
    <w:rsid w:val="00621F59"/>
    <w:rsid w:val="00622CE8"/>
    <w:rsid w:val="00623492"/>
    <w:rsid w:val="0062479B"/>
    <w:rsid w:val="006252F9"/>
    <w:rsid w:val="006254C4"/>
    <w:rsid w:val="00627FD3"/>
    <w:rsid w:val="00630EAB"/>
    <w:rsid w:val="00631BA5"/>
    <w:rsid w:val="00632211"/>
    <w:rsid w:val="00632F36"/>
    <w:rsid w:val="00635921"/>
    <w:rsid w:val="006363D7"/>
    <w:rsid w:val="006364F7"/>
    <w:rsid w:val="00636569"/>
    <w:rsid w:val="006369AA"/>
    <w:rsid w:val="00637032"/>
    <w:rsid w:val="00637E93"/>
    <w:rsid w:val="00641ED0"/>
    <w:rsid w:val="00642199"/>
    <w:rsid w:val="00642B11"/>
    <w:rsid w:val="0064321C"/>
    <w:rsid w:val="00644445"/>
    <w:rsid w:val="006451D0"/>
    <w:rsid w:val="00646218"/>
    <w:rsid w:val="00647212"/>
    <w:rsid w:val="00650F8A"/>
    <w:rsid w:val="0065223A"/>
    <w:rsid w:val="00652BB6"/>
    <w:rsid w:val="006534DA"/>
    <w:rsid w:val="00654314"/>
    <w:rsid w:val="00654CCE"/>
    <w:rsid w:val="00656D5B"/>
    <w:rsid w:val="0065786B"/>
    <w:rsid w:val="00657F2D"/>
    <w:rsid w:val="0066034F"/>
    <w:rsid w:val="0066072A"/>
    <w:rsid w:val="00662E98"/>
    <w:rsid w:val="00664075"/>
    <w:rsid w:val="006642E5"/>
    <w:rsid w:val="0066591C"/>
    <w:rsid w:val="00665B44"/>
    <w:rsid w:val="00665E29"/>
    <w:rsid w:val="0066625B"/>
    <w:rsid w:val="00666960"/>
    <w:rsid w:val="00667539"/>
    <w:rsid w:val="00672F1B"/>
    <w:rsid w:val="006730D3"/>
    <w:rsid w:val="00673F34"/>
    <w:rsid w:val="006741AF"/>
    <w:rsid w:val="0067478C"/>
    <w:rsid w:val="0067498F"/>
    <w:rsid w:val="00674DD9"/>
    <w:rsid w:val="006755F5"/>
    <w:rsid w:val="006757AD"/>
    <w:rsid w:val="00676832"/>
    <w:rsid w:val="00677476"/>
    <w:rsid w:val="00677CF9"/>
    <w:rsid w:val="006819DB"/>
    <w:rsid w:val="00682117"/>
    <w:rsid w:val="006838F2"/>
    <w:rsid w:val="006839A8"/>
    <w:rsid w:val="00684FA4"/>
    <w:rsid w:val="006850B6"/>
    <w:rsid w:val="00685CEE"/>
    <w:rsid w:val="00686043"/>
    <w:rsid w:val="00687A04"/>
    <w:rsid w:val="006906B9"/>
    <w:rsid w:val="006907D4"/>
    <w:rsid w:val="00690DB1"/>
    <w:rsid w:val="00691348"/>
    <w:rsid w:val="00691F19"/>
    <w:rsid w:val="00692A16"/>
    <w:rsid w:val="00693432"/>
    <w:rsid w:val="00694A03"/>
    <w:rsid w:val="006956B4"/>
    <w:rsid w:val="00695CB5"/>
    <w:rsid w:val="00696DA3"/>
    <w:rsid w:val="00697182"/>
    <w:rsid w:val="00697F56"/>
    <w:rsid w:val="006A0EE1"/>
    <w:rsid w:val="006A1F33"/>
    <w:rsid w:val="006A203C"/>
    <w:rsid w:val="006A384C"/>
    <w:rsid w:val="006B0408"/>
    <w:rsid w:val="006B0A47"/>
    <w:rsid w:val="006B18B0"/>
    <w:rsid w:val="006B1957"/>
    <w:rsid w:val="006B1996"/>
    <w:rsid w:val="006B286A"/>
    <w:rsid w:val="006B36BE"/>
    <w:rsid w:val="006B45FE"/>
    <w:rsid w:val="006B4CED"/>
    <w:rsid w:val="006B511E"/>
    <w:rsid w:val="006B5312"/>
    <w:rsid w:val="006B6A6F"/>
    <w:rsid w:val="006B772C"/>
    <w:rsid w:val="006C0B97"/>
    <w:rsid w:val="006C2129"/>
    <w:rsid w:val="006C287F"/>
    <w:rsid w:val="006C2899"/>
    <w:rsid w:val="006C34DF"/>
    <w:rsid w:val="006C5505"/>
    <w:rsid w:val="006C5FC0"/>
    <w:rsid w:val="006C6F24"/>
    <w:rsid w:val="006C7521"/>
    <w:rsid w:val="006C7E85"/>
    <w:rsid w:val="006D0986"/>
    <w:rsid w:val="006D1319"/>
    <w:rsid w:val="006D147C"/>
    <w:rsid w:val="006D1FA1"/>
    <w:rsid w:val="006D2896"/>
    <w:rsid w:val="006D2CF9"/>
    <w:rsid w:val="006D35DB"/>
    <w:rsid w:val="006D3E98"/>
    <w:rsid w:val="006D51BE"/>
    <w:rsid w:val="006D72A4"/>
    <w:rsid w:val="006D7E52"/>
    <w:rsid w:val="006E0FAB"/>
    <w:rsid w:val="006E12E1"/>
    <w:rsid w:val="006E2B12"/>
    <w:rsid w:val="006E40EA"/>
    <w:rsid w:val="006E4193"/>
    <w:rsid w:val="006E4544"/>
    <w:rsid w:val="006E4C72"/>
    <w:rsid w:val="006E589E"/>
    <w:rsid w:val="006E5A02"/>
    <w:rsid w:val="006E6D63"/>
    <w:rsid w:val="006E6DDD"/>
    <w:rsid w:val="006E7E29"/>
    <w:rsid w:val="006F04BD"/>
    <w:rsid w:val="006F1DED"/>
    <w:rsid w:val="006F213C"/>
    <w:rsid w:val="006F3A6D"/>
    <w:rsid w:val="006F4220"/>
    <w:rsid w:val="006F5486"/>
    <w:rsid w:val="006F5723"/>
    <w:rsid w:val="006F7104"/>
    <w:rsid w:val="0070077A"/>
    <w:rsid w:val="00701020"/>
    <w:rsid w:val="007011CA"/>
    <w:rsid w:val="00701E34"/>
    <w:rsid w:val="00703CB5"/>
    <w:rsid w:val="00704460"/>
    <w:rsid w:val="00704C1B"/>
    <w:rsid w:val="0070524C"/>
    <w:rsid w:val="007052EF"/>
    <w:rsid w:val="00705590"/>
    <w:rsid w:val="0070748E"/>
    <w:rsid w:val="00710D0B"/>
    <w:rsid w:val="007110C0"/>
    <w:rsid w:val="007113ED"/>
    <w:rsid w:val="00712433"/>
    <w:rsid w:val="00712F84"/>
    <w:rsid w:val="0071366C"/>
    <w:rsid w:val="00715422"/>
    <w:rsid w:val="00715639"/>
    <w:rsid w:val="00715B04"/>
    <w:rsid w:val="007164CC"/>
    <w:rsid w:val="00717478"/>
    <w:rsid w:val="00720389"/>
    <w:rsid w:val="00720522"/>
    <w:rsid w:val="007217F6"/>
    <w:rsid w:val="00722328"/>
    <w:rsid w:val="007223EA"/>
    <w:rsid w:val="00722C6D"/>
    <w:rsid w:val="0072483E"/>
    <w:rsid w:val="00724A3D"/>
    <w:rsid w:val="00724E16"/>
    <w:rsid w:val="007257E3"/>
    <w:rsid w:val="00725CB5"/>
    <w:rsid w:val="00726C14"/>
    <w:rsid w:val="00727F09"/>
    <w:rsid w:val="00731EAE"/>
    <w:rsid w:val="00732488"/>
    <w:rsid w:val="00734A2F"/>
    <w:rsid w:val="00735635"/>
    <w:rsid w:val="00735F27"/>
    <w:rsid w:val="0073663C"/>
    <w:rsid w:val="00737F14"/>
    <w:rsid w:val="00740F5A"/>
    <w:rsid w:val="00742AB3"/>
    <w:rsid w:val="00743D78"/>
    <w:rsid w:val="00743EEF"/>
    <w:rsid w:val="00744138"/>
    <w:rsid w:val="007457AD"/>
    <w:rsid w:val="00745894"/>
    <w:rsid w:val="007459EF"/>
    <w:rsid w:val="00745CF0"/>
    <w:rsid w:val="007475B7"/>
    <w:rsid w:val="00747643"/>
    <w:rsid w:val="00747EE1"/>
    <w:rsid w:val="0075052F"/>
    <w:rsid w:val="00751956"/>
    <w:rsid w:val="007522B6"/>
    <w:rsid w:val="0075306A"/>
    <w:rsid w:val="007533AB"/>
    <w:rsid w:val="00753CBF"/>
    <w:rsid w:val="00755225"/>
    <w:rsid w:val="0075649A"/>
    <w:rsid w:val="00756864"/>
    <w:rsid w:val="0076050F"/>
    <w:rsid w:val="00760D0A"/>
    <w:rsid w:val="00760E17"/>
    <w:rsid w:val="00761B6C"/>
    <w:rsid w:val="0076217B"/>
    <w:rsid w:val="00762184"/>
    <w:rsid w:val="00762550"/>
    <w:rsid w:val="00762961"/>
    <w:rsid w:val="007637DA"/>
    <w:rsid w:val="00764B99"/>
    <w:rsid w:val="00764D97"/>
    <w:rsid w:val="00765B60"/>
    <w:rsid w:val="007661B9"/>
    <w:rsid w:val="007663EC"/>
    <w:rsid w:val="00766D74"/>
    <w:rsid w:val="007701D9"/>
    <w:rsid w:val="0077058F"/>
    <w:rsid w:val="007706BC"/>
    <w:rsid w:val="007721CE"/>
    <w:rsid w:val="007725BD"/>
    <w:rsid w:val="00773114"/>
    <w:rsid w:val="007742ED"/>
    <w:rsid w:val="007762BD"/>
    <w:rsid w:val="007767AF"/>
    <w:rsid w:val="00776AF9"/>
    <w:rsid w:val="00777C7B"/>
    <w:rsid w:val="0078047F"/>
    <w:rsid w:val="00780A66"/>
    <w:rsid w:val="00780F08"/>
    <w:rsid w:val="00781783"/>
    <w:rsid w:val="00781974"/>
    <w:rsid w:val="00782A2E"/>
    <w:rsid w:val="00783085"/>
    <w:rsid w:val="00783686"/>
    <w:rsid w:val="007837DE"/>
    <w:rsid w:val="007844D4"/>
    <w:rsid w:val="007866A6"/>
    <w:rsid w:val="00786AF1"/>
    <w:rsid w:val="00786E3C"/>
    <w:rsid w:val="00787161"/>
    <w:rsid w:val="00787561"/>
    <w:rsid w:val="007878E7"/>
    <w:rsid w:val="00787BEB"/>
    <w:rsid w:val="007909A5"/>
    <w:rsid w:val="00792D28"/>
    <w:rsid w:val="00792E16"/>
    <w:rsid w:val="0079383D"/>
    <w:rsid w:val="0079469C"/>
    <w:rsid w:val="00795E14"/>
    <w:rsid w:val="00796548"/>
    <w:rsid w:val="00796BD1"/>
    <w:rsid w:val="00797ACC"/>
    <w:rsid w:val="007A0CFA"/>
    <w:rsid w:val="007A0EE2"/>
    <w:rsid w:val="007A1745"/>
    <w:rsid w:val="007A5E84"/>
    <w:rsid w:val="007A72E0"/>
    <w:rsid w:val="007B08CA"/>
    <w:rsid w:val="007B1032"/>
    <w:rsid w:val="007B152F"/>
    <w:rsid w:val="007B4530"/>
    <w:rsid w:val="007B4D16"/>
    <w:rsid w:val="007B54A7"/>
    <w:rsid w:val="007B55E5"/>
    <w:rsid w:val="007B6990"/>
    <w:rsid w:val="007B71B3"/>
    <w:rsid w:val="007B724E"/>
    <w:rsid w:val="007C1158"/>
    <w:rsid w:val="007C22E7"/>
    <w:rsid w:val="007C3BEC"/>
    <w:rsid w:val="007C3F2B"/>
    <w:rsid w:val="007C42C1"/>
    <w:rsid w:val="007C59D7"/>
    <w:rsid w:val="007C6263"/>
    <w:rsid w:val="007C6A17"/>
    <w:rsid w:val="007C6D10"/>
    <w:rsid w:val="007D1E23"/>
    <w:rsid w:val="007D3508"/>
    <w:rsid w:val="007D3982"/>
    <w:rsid w:val="007D4F87"/>
    <w:rsid w:val="007D53F9"/>
    <w:rsid w:val="007D59C9"/>
    <w:rsid w:val="007D59F2"/>
    <w:rsid w:val="007D606D"/>
    <w:rsid w:val="007D62D8"/>
    <w:rsid w:val="007D6B92"/>
    <w:rsid w:val="007D6D43"/>
    <w:rsid w:val="007D762B"/>
    <w:rsid w:val="007D7B46"/>
    <w:rsid w:val="007E16E5"/>
    <w:rsid w:val="007E19F2"/>
    <w:rsid w:val="007E60D9"/>
    <w:rsid w:val="007E7B26"/>
    <w:rsid w:val="007E7ED8"/>
    <w:rsid w:val="007F1526"/>
    <w:rsid w:val="007F17D1"/>
    <w:rsid w:val="007F1A74"/>
    <w:rsid w:val="007F1BFA"/>
    <w:rsid w:val="007F24AF"/>
    <w:rsid w:val="007F2770"/>
    <w:rsid w:val="007F2AD9"/>
    <w:rsid w:val="007F360E"/>
    <w:rsid w:val="007F3F43"/>
    <w:rsid w:val="007F4065"/>
    <w:rsid w:val="007F4EAA"/>
    <w:rsid w:val="007F62CF"/>
    <w:rsid w:val="007F75EA"/>
    <w:rsid w:val="007F787A"/>
    <w:rsid w:val="00801064"/>
    <w:rsid w:val="00801DBE"/>
    <w:rsid w:val="00802228"/>
    <w:rsid w:val="00803778"/>
    <w:rsid w:val="00804B4A"/>
    <w:rsid w:val="00805BCE"/>
    <w:rsid w:val="00806816"/>
    <w:rsid w:val="008078A9"/>
    <w:rsid w:val="00807926"/>
    <w:rsid w:val="00807963"/>
    <w:rsid w:val="00810F25"/>
    <w:rsid w:val="00811425"/>
    <w:rsid w:val="0081324A"/>
    <w:rsid w:val="008145A3"/>
    <w:rsid w:val="008145DD"/>
    <w:rsid w:val="00815934"/>
    <w:rsid w:val="0081606A"/>
    <w:rsid w:val="008166A5"/>
    <w:rsid w:val="008177C6"/>
    <w:rsid w:val="00817B01"/>
    <w:rsid w:val="00824530"/>
    <w:rsid w:val="00824C66"/>
    <w:rsid w:val="00825311"/>
    <w:rsid w:val="0082639C"/>
    <w:rsid w:val="00826F38"/>
    <w:rsid w:val="0082737B"/>
    <w:rsid w:val="00831C65"/>
    <w:rsid w:val="0083435D"/>
    <w:rsid w:val="008346EA"/>
    <w:rsid w:val="00834F97"/>
    <w:rsid w:val="0083537A"/>
    <w:rsid w:val="008353AA"/>
    <w:rsid w:val="00835C6A"/>
    <w:rsid w:val="0083767B"/>
    <w:rsid w:val="00837CE7"/>
    <w:rsid w:val="008407E2"/>
    <w:rsid w:val="00840F2D"/>
    <w:rsid w:val="00841320"/>
    <w:rsid w:val="008413B7"/>
    <w:rsid w:val="0084608A"/>
    <w:rsid w:val="008463B6"/>
    <w:rsid w:val="00846561"/>
    <w:rsid w:val="008473E4"/>
    <w:rsid w:val="00847B52"/>
    <w:rsid w:val="00851AAA"/>
    <w:rsid w:val="00852557"/>
    <w:rsid w:val="008529AC"/>
    <w:rsid w:val="00852D2C"/>
    <w:rsid w:val="00852FBD"/>
    <w:rsid w:val="0085347B"/>
    <w:rsid w:val="008540B1"/>
    <w:rsid w:val="0085436B"/>
    <w:rsid w:val="00854C95"/>
    <w:rsid w:val="008562D8"/>
    <w:rsid w:val="00856706"/>
    <w:rsid w:val="00856BE8"/>
    <w:rsid w:val="008577D9"/>
    <w:rsid w:val="00860C56"/>
    <w:rsid w:val="00860D9A"/>
    <w:rsid w:val="008623B2"/>
    <w:rsid w:val="008625C9"/>
    <w:rsid w:val="008625D2"/>
    <w:rsid w:val="00864874"/>
    <w:rsid w:val="0086499C"/>
    <w:rsid w:val="00864D16"/>
    <w:rsid w:val="00865485"/>
    <w:rsid w:val="00867018"/>
    <w:rsid w:val="00867D73"/>
    <w:rsid w:val="008700B8"/>
    <w:rsid w:val="00870A00"/>
    <w:rsid w:val="008717E0"/>
    <w:rsid w:val="008719A5"/>
    <w:rsid w:val="0087277B"/>
    <w:rsid w:val="0087308A"/>
    <w:rsid w:val="00873815"/>
    <w:rsid w:val="00873832"/>
    <w:rsid w:val="00873DA2"/>
    <w:rsid w:val="00873E58"/>
    <w:rsid w:val="00874BC4"/>
    <w:rsid w:val="008768B4"/>
    <w:rsid w:val="00876A26"/>
    <w:rsid w:val="00877292"/>
    <w:rsid w:val="0087733C"/>
    <w:rsid w:val="0088004D"/>
    <w:rsid w:val="00880E76"/>
    <w:rsid w:val="0088381B"/>
    <w:rsid w:val="00883AFC"/>
    <w:rsid w:val="008857B7"/>
    <w:rsid w:val="00885F11"/>
    <w:rsid w:val="00890263"/>
    <w:rsid w:val="008906BE"/>
    <w:rsid w:val="00890C65"/>
    <w:rsid w:val="00890F8D"/>
    <w:rsid w:val="0089117D"/>
    <w:rsid w:val="0089365B"/>
    <w:rsid w:val="00894DB9"/>
    <w:rsid w:val="00895320"/>
    <w:rsid w:val="0089565A"/>
    <w:rsid w:val="0089654F"/>
    <w:rsid w:val="00896C70"/>
    <w:rsid w:val="008972C0"/>
    <w:rsid w:val="0089760C"/>
    <w:rsid w:val="008A064A"/>
    <w:rsid w:val="008A0940"/>
    <w:rsid w:val="008A0DE9"/>
    <w:rsid w:val="008A16BD"/>
    <w:rsid w:val="008A1AEB"/>
    <w:rsid w:val="008A4059"/>
    <w:rsid w:val="008A4B37"/>
    <w:rsid w:val="008A67A7"/>
    <w:rsid w:val="008A76B6"/>
    <w:rsid w:val="008A7DDE"/>
    <w:rsid w:val="008A7EC1"/>
    <w:rsid w:val="008B023E"/>
    <w:rsid w:val="008B06E2"/>
    <w:rsid w:val="008B0A41"/>
    <w:rsid w:val="008B10A3"/>
    <w:rsid w:val="008B1885"/>
    <w:rsid w:val="008B18C9"/>
    <w:rsid w:val="008B3930"/>
    <w:rsid w:val="008B4C12"/>
    <w:rsid w:val="008B51D2"/>
    <w:rsid w:val="008C1547"/>
    <w:rsid w:val="008C1A44"/>
    <w:rsid w:val="008C2638"/>
    <w:rsid w:val="008C2659"/>
    <w:rsid w:val="008C465E"/>
    <w:rsid w:val="008C4EDA"/>
    <w:rsid w:val="008C5770"/>
    <w:rsid w:val="008C63BB"/>
    <w:rsid w:val="008C6BB4"/>
    <w:rsid w:val="008C7D64"/>
    <w:rsid w:val="008D118E"/>
    <w:rsid w:val="008D1451"/>
    <w:rsid w:val="008D1E63"/>
    <w:rsid w:val="008D2381"/>
    <w:rsid w:val="008D2A7D"/>
    <w:rsid w:val="008D2C37"/>
    <w:rsid w:val="008D53CB"/>
    <w:rsid w:val="008D5561"/>
    <w:rsid w:val="008D5739"/>
    <w:rsid w:val="008D6CEE"/>
    <w:rsid w:val="008E06C8"/>
    <w:rsid w:val="008E0AAD"/>
    <w:rsid w:val="008E1310"/>
    <w:rsid w:val="008E1714"/>
    <w:rsid w:val="008E1A05"/>
    <w:rsid w:val="008E1B15"/>
    <w:rsid w:val="008E2589"/>
    <w:rsid w:val="008E29D1"/>
    <w:rsid w:val="008E37E7"/>
    <w:rsid w:val="008E3B77"/>
    <w:rsid w:val="008E4267"/>
    <w:rsid w:val="008E4978"/>
    <w:rsid w:val="008E4B5F"/>
    <w:rsid w:val="008E56B5"/>
    <w:rsid w:val="008E6090"/>
    <w:rsid w:val="008E6956"/>
    <w:rsid w:val="008E7151"/>
    <w:rsid w:val="008E77AF"/>
    <w:rsid w:val="008E7E66"/>
    <w:rsid w:val="008F0264"/>
    <w:rsid w:val="008F1D01"/>
    <w:rsid w:val="008F2B26"/>
    <w:rsid w:val="008F326A"/>
    <w:rsid w:val="008F5CCE"/>
    <w:rsid w:val="008F7501"/>
    <w:rsid w:val="009004A6"/>
    <w:rsid w:val="00900C0C"/>
    <w:rsid w:val="00900E43"/>
    <w:rsid w:val="00903693"/>
    <w:rsid w:val="00903F43"/>
    <w:rsid w:val="00904306"/>
    <w:rsid w:val="009063BC"/>
    <w:rsid w:val="009067A6"/>
    <w:rsid w:val="00910243"/>
    <w:rsid w:val="0091073A"/>
    <w:rsid w:val="00910879"/>
    <w:rsid w:val="00912521"/>
    <w:rsid w:val="00912CF7"/>
    <w:rsid w:val="00913B7A"/>
    <w:rsid w:val="00914202"/>
    <w:rsid w:val="00920056"/>
    <w:rsid w:val="00920B66"/>
    <w:rsid w:val="009232A6"/>
    <w:rsid w:val="00923B98"/>
    <w:rsid w:val="0092562A"/>
    <w:rsid w:val="00925975"/>
    <w:rsid w:val="009266BD"/>
    <w:rsid w:val="00931896"/>
    <w:rsid w:val="00931BA4"/>
    <w:rsid w:val="0093292E"/>
    <w:rsid w:val="00932C92"/>
    <w:rsid w:val="009337AC"/>
    <w:rsid w:val="00933901"/>
    <w:rsid w:val="00934267"/>
    <w:rsid w:val="00934701"/>
    <w:rsid w:val="009352B2"/>
    <w:rsid w:val="009352BF"/>
    <w:rsid w:val="00937054"/>
    <w:rsid w:val="00937BF0"/>
    <w:rsid w:val="00940A90"/>
    <w:rsid w:val="00940F4E"/>
    <w:rsid w:val="009414C3"/>
    <w:rsid w:val="00941AC7"/>
    <w:rsid w:val="0094308B"/>
    <w:rsid w:val="009434B2"/>
    <w:rsid w:val="009435EC"/>
    <w:rsid w:val="00943D1A"/>
    <w:rsid w:val="00944643"/>
    <w:rsid w:val="00944839"/>
    <w:rsid w:val="00944933"/>
    <w:rsid w:val="00944D57"/>
    <w:rsid w:val="009463E5"/>
    <w:rsid w:val="0094658C"/>
    <w:rsid w:val="00947477"/>
    <w:rsid w:val="00952061"/>
    <w:rsid w:val="00952E11"/>
    <w:rsid w:val="00953333"/>
    <w:rsid w:val="00954406"/>
    <w:rsid w:val="00954942"/>
    <w:rsid w:val="00955607"/>
    <w:rsid w:val="0095594E"/>
    <w:rsid w:val="00956076"/>
    <w:rsid w:val="00957E19"/>
    <w:rsid w:val="0096025F"/>
    <w:rsid w:val="00960BDA"/>
    <w:rsid w:val="00961455"/>
    <w:rsid w:val="009621BE"/>
    <w:rsid w:val="009622D5"/>
    <w:rsid w:val="009636D4"/>
    <w:rsid w:val="009640A1"/>
    <w:rsid w:val="009640FE"/>
    <w:rsid w:val="00964840"/>
    <w:rsid w:val="00964BBF"/>
    <w:rsid w:val="00965427"/>
    <w:rsid w:val="00966AC0"/>
    <w:rsid w:val="0096743B"/>
    <w:rsid w:val="00970331"/>
    <w:rsid w:val="00970571"/>
    <w:rsid w:val="00970D2E"/>
    <w:rsid w:val="00971624"/>
    <w:rsid w:val="0097248E"/>
    <w:rsid w:val="00972891"/>
    <w:rsid w:val="0097395E"/>
    <w:rsid w:val="00973B2B"/>
    <w:rsid w:val="00973C7F"/>
    <w:rsid w:val="00973EB7"/>
    <w:rsid w:val="00976414"/>
    <w:rsid w:val="0097651A"/>
    <w:rsid w:val="009773C9"/>
    <w:rsid w:val="00977AB7"/>
    <w:rsid w:val="00980559"/>
    <w:rsid w:val="00980D9D"/>
    <w:rsid w:val="009818CA"/>
    <w:rsid w:val="009832DC"/>
    <w:rsid w:val="00983860"/>
    <w:rsid w:val="009840C0"/>
    <w:rsid w:val="00984322"/>
    <w:rsid w:val="009848DE"/>
    <w:rsid w:val="00984EAC"/>
    <w:rsid w:val="00990EE2"/>
    <w:rsid w:val="009918CD"/>
    <w:rsid w:val="00993EF6"/>
    <w:rsid w:val="0099409A"/>
    <w:rsid w:val="00994251"/>
    <w:rsid w:val="0099513A"/>
    <w:rsid w:val="00995567"/>
    <w:rsid w:val="009957DF"/>
    <w:rsid w:val="009A27FF"/>
    <w:rsid w:val="009A2C7E"/>
    <w:rsid w:val="009A4128"/>
    <w:rsid w:val="009A44B2"/>
    <w:rsid w:val="009A4954"/>
    <w:rsid w:val="009A54C5"/>
    <w:rsid w:val="009A57D5"/>
    <w:rsid w:val="009A5A0E"/>
    <w:rsid w:val="009A6B6F"/>
    <w:rsid w:val="009A7701"/>
    <w:rsid w:val="009A78D4"/>
    <w:rsid w:val="009A7932"/>
    <w:rsid w:val="009B0306"/>
    <w:rsid w:val="009B0F0F"/>
    <w:rsid w:val="009B0FBD"/>
    <w:rsid w:val="009B126B"/>
    <w:rsid w:val="009B2E13"/>
    <w:rsid w:val="009B362C"/>
    <w:rsid w:val="009B3B6E"/>
    <w:rsid w:val="009B5347"/>
    <w:rsid w:val="009B65F8"/>
    <w:rsid w:val="009C0258"/>
    <w:rsid w:val="009C058E"/>
    <w:rsid w:val="009C1668"/>
    <w:rsid w:val="009C1676"/>
    <w:rsid w:val="009C27D3"/>
    <w:rsid w:val="009C5A8D"/>
    <w:rsid w:val="009C5DBD"/>
    <w:rsid w:val="009C72D5"/>
    <w:rsid w:val="009C76BC"/>
    <w:rsid w:val="009D01DD"/>
    <w:rsid w:val="009D0883"/>
    <w:rsid w:val="009D151C"/>
    <w:rsid w:val="009D1908"/>
    <w:rsid w:val="009D1EFC"/>
    <w:rsid w:val="009D246B"/>
    <w:rsid w:val="009D29BE"/>
    <w:rsid w:val="009D42D3"/>
    <w:rsid w:val="009D4706"/>
    <w:rsid w:val="009E0460"/>
    <w:rsid w:val="009E11B8"/>
    <w:rsid w:val="009E1509"/>
    <w:rsid w:val="009E1572"/>
    <w:rsid w:val="009E2EA2"/>
    <w:rsid w:val="009E3197"/>
    <w:rsid w:val="009E3508"/>
    <w:rsid w:val="009E3CBE"/>
    <w:rsid w:val="009E40CF"/>
    <w:rsid w:val="009E420F"/>
    <w:rsid w:val="009E518B"/>
    <w:rsid w:val="009E51E9"/>
    <w:rsid w:val="009E5907"/>
    <w:rsid w:val="009E5ECE"/>
    <w:rsid w:val="009E6EE3"/>
    <w:rsid w:val="009E6F06"/>
    <w:rsid w:val="009E7348"/>
    <w:rsid w:val="009F0619"/>
    <w:rsid w:val="009F1D5A"/>
    <w:rsid w:val="009F22D2"/>
    <w:rsid w:val="009F28C7"/>
    <w:rsid w:val="009F692A"/>
    <w:rsid w:val="009F6D0A"/>
    <w:rsid w:val="009F7F58"/>
    <w:rsid w:val="00A01C60"/>
    <w:rsid w:val="00A02F3D"/>
    <w:rsid w:val="00A037E2"/>
    <w:rsid w:val="00A03F86"/>
    <w:rsid w:val="00A05B0B"/>
    <w:rsid w:val="00A06647"/>
    <w:rsid w:val="00A11123"/>
    <w:rsid w:val="00A11490"/>
    <w:rsid w:val="00A117F4"/>
    <w:rsid w:val="00A13524"/>
    <w:rsid w:val="00A13BA1"/>
    <w:rsid w:val="00A142E5"/>
    <w:rsid w:val="00A14A66"/>
    <w:rsid w:val="00A158EC"/>
    <w:rsid w:val="00A163AC"/>
    <w:rsid w:val="00A16DF6"/>
    <w:rsid w:val="00A171DB"/>
    <w:rsid w:val="00A20D7A"/>
    <w:rsid w:val="00A228B8"/>
    <w:rsid w:val="00A236AE"/>
    <w:rsid w:val="00A23809"/>
    <w:rsid w:val="00A23A5B"/>
    <w:rsid w:val="00A24350"/>
    <w:rsid w:val="00A2568B"/>
    <w:rsid w:val="00A268DC"/>
    <w:rsid w:val="00A272A7"/>
    <w:rsid w:val="00A304A2"/>
    <w:rsid w:val="00A30C5B"/>
    <w:rsid w:val="00A30FFA"/>
    <w:rsid w:val="00A31456"/>
    <w:rsid w:val="00A32C09"/>
    <w:rsid w:val="00A33520"/>
    <w:rsid w:val="00A33891"/>
    <w:rsid w:val="00A34875"/>
    <w:rsid w:val="00A34DDF"/>
    <w:rsid w:val="00A35D0A"/>
    <w:rsid w:val="00A3606E"/>
    <w:rsid w:val="00A375EF"/>
    <w:rsid w:val="00A376F2"/>
    <w:rsid w:val="00A4102E"/>
    <w:rsid w:val="00A42606"/>
    <w:rsid w:val="00A429B4"/>
    <w:rsid w:val="00A42B29"/>
    <w:rsid w:val="00A42B41"/>
    <w:rsid w:val="00A44680"/>
    <w:rsid w:val="00A4514C"/>
    <w:rsid w:val="00A451A2"/>
    <w:rsid w:val="00A455D6"/>
    <w:rsid w:val="00A45A3B"/>
    <w:rsid w:val="00A46C87"/>
    <w:rsid w:val="00A46E0E"/>
    <w:rsid w:val="00A46F6D"/>
    <w:rsid w:val="00A47F4E"/>
    <w:rsid w:val="00A50D7E"/>
    <w:rsid w:val="00A515AC"/>
    <w:rsid w:val="00A51A13"/>
    <w:rsid w:val="00A51E51"/>
    <w:rsid w:val="00A52408"/>
    <w:rsid w:val="00A52AEC"/>
    <w:rsid w:val="00A52D7B"/>
    <w:rsid w:val="00A53B8D"/>
    <w:rsid w:val="00A53FA5"/>
    <w:rsid w:val="00A547B3"/>
    <w:rsid w:val="00A549C0"/>
    <w:rsid w:val="00A55E78"/>
    <w:rsid w:val="00A5658C"/>
    <w:rsid w:val="00A57A87"/>
    <w:rsid w:val="00A610E2"/>
    <w:rsid w:val="00A61A2B"/>
    <w:rsid w:val="00A61F26"/>
    <w:rsid w:val="00A62989"/>
    <w:rsid w:val="00A63094"/>
    <w:rsid w:val="00A64163"/>
    <w:rsid w:val="00A643B2"/>
    <w:rsid w:val="00A648A0"/>
    <w:rsid w:val="00A66F4B"/>
    <w:rsid w:val="00A677D1"/>
    <w:rsid w:val="00A67A2C"/>
    <w:rsid w:val="00A70215"/>
    <w:rsid w:val="00A71D1D"/>
    <w:rsid w:val="00A7209C"/>
    <w:rsid w:val="00A7278A"/>
    <w:rsid w:val="00A73423"/>
    <w:rsid w:val="00A75743"/>
    <w:rsid w:val="00A76776"/>
    <w:rsid w:val="00A769E9"/>
    <w:rsid w:val="00A77A90"/>
    <w:rsid w:val="00A77EBC"/>
    <w:rsid w:val="00A8162F"/>
    <w:rsid w:val="00A825B4"/>
    <w:rsid w:val="00A82DC0"/>
    <w:rsid w:val="00A82EF6"/>
    <w:rsid w:val="00A82FB1"/>
    <w:rsid w:val="00A836EF"/>
    <w:rsid w:val="00A83A62"/>
    <w:rsid w:val="00A83FD4"/>
    <w:rsid w:val="00A848BF"/>
    <w:rsid w:val="00A85EE4"/>
    <w:rsid w:val="00A86429"/>
    <w:rsid w:val="00A86E56"/>
    <w:rsid w:val="00A87653"/>
    <w:rsid w:val="00A87AF1"/>
    <w:rsid w:val="00A90B98"/>
    <w:rsid w:val="00A91763"/>
    <w:rsid w:val="00A91AE7"/>
    <w:rsid w:val="00A936FC"/>
    <w:rsid w:val="00A94703"/>
    <w:rsid w:val="00AA046A"/>
    <w:rsid w:val="00AA073E"/>
    <w:rsid w:val="00AA1BF9"/>
    <w:rsid w:val="00AA1C8E"/>
    <w:rsid w:val="00AA20DB"/>
    <w:rsid w:val="00AA318A"/>
    <w:rsid w:val="00AA50FD"/>
    <w:rsid w:val="00AA6573"/>
    <w:rsid w:val="00AA672A"/>
    <w:rsid w:val="00AA6F96"/>
    <w:rsid w:val="00AB063A"/>
    <w:rsid w:val="00AB0AC2"/>
    <w:rsid w:val="00AB13E8"/>
    <w:rsid w:val="00AB23A4"/>
    <w:rsid w:val="00AB2453"/>
    <w:rsid w:val="00AB36A1"/>
    <w:rsid w:val="00AB3C7D"/>
    <w:rsid w:val="00AB634E"/>
    <w:rsid w:val="00AB676F"/>
    <w:rsid w:val="00AB67CB"/>
    <w:rsid w:val="00AB6C50"/>
    <w:rsid w:val="00AC001C"/>
    <w:rsid w:val="00AC277F"/>
    <w:rsid w:val="00AC5927"/>
    <w:rsid w:val="00AC6A9B"/>
    <w:rsid w:val="00AC6B36"/>
    <w:rsid w:val="00AC72F0"/>
    <w:rsid w:val="00AD1B5F"/>
    <w:rsid w:val="00AD28F7"/>
    <w:rsid w:val="00AD3168"/>
    <w:rsid w:val="00AD3E68"/>
    <w:rsid w:val="00AD44C9"/>
    <w:rsid w:val="00AD4B18"/>
    <w:rsid w:val="00AD4C4E"/>
    <w:rsid w:val="00AD5026"/>
    <w:rsid w:val="00AD5316"/>
    <w:rsid w:val="00AD57A8"/>
    <w:rsid w:val="00AD60C1"/>
    <w:rsid w:val="00AD65D6"/>
    <w:rsid w:val="00AD6DB1"/>
    <w:rsid w:val="00AE0455"/>
    <w:rsid w:val="00AE1158"/>
    <w:rsid w:val="00AE11FA"/>
    <w:rsid w:val="00AE1241"/>
    <w:rsid w:val="00AE1838"/>
    <w:rsid w:val="00AE1D7B"/>
    <w:rsid w:val="00AE1F0F"/>
    <w:rsid w:val="00AE2E4A"/>
    <w:rsid w:val="00AE4AA7"/>
    <w:rsid w:val="00AE4ABE"/>
    <w:rsid w:val="00AE4BDB"/>
    <w:rsid w:val="00AE4D23"/>
    <w:rsid w:val="00AE5749"/>
    <w:rsid w:val="00AE5A85"/>
    <w:rsid w:val="00AE63ED"/>
    <w:rsid w:val="00AE6FD4"/>
    <w:rsid w:val="00AE752E"/>
    <w:rsid w:val="00AF019A"/>
    <w:rsid w:val="00AF1C39"/>
    <w:rsid w:val="00AF1E3A"/>
    <w:rsid w:val="00AF1F43"/>
    <w:rsid w:val="00AF28CA"/>
    <w:rsid w:val="00AF2B4C"/>
    <w:rsid w:val="00AF34BA"/>
    <w:rsid w:val="00AF4B2A"/>
    <w:rsid w:val="00AF5CF3"/>
    <w:rsid w:val="00B0020E"/>
    <w:rsid w:val="00B00D50"/>
    <w:rsid w:val="00B01507"/>
    <w:rsid w:val="00B01604"/>
    <w:rsid w:val="00B01AE9"/>
    <w:rsid w:val="00B05D56"/>
    <w:rsid w:val="00B05E5D"/>
    <w:rsid w:val="00B05FD5"/>
    <w:rsid w:val="00B06CE5"/>
    <w:rsid w:val="00B06F39"/>
    <w:rsid w:val="00B077C2"/>
    <w:rsid w:val="00B114B2"/>
    <w:rsid w:val="00B11A0C"/>
    <w:rsid w:val="00B12295"/>
    <w:rsid w:val="00B123E8"/>
    <w:rsid w:val="00B1302B"/>
    <w:rsid w:val="00B149D2"/>
    <w:rsid w:val="00B16B40"/>
    <w:rsid w:val="00B16D88"/>
    <w:rsid w:val="00B16E6E"/>
    <w:rsid w:val="00B202A1"/>
    <w:rsid w:val="00B2123D"/>
    <w:rsid w:val="00B213F2"/>
    <w:rsid w:val="00B22739"/>
    <w:rsid w:val="00B22934"/>
    <w:rsid w:val="00B24E86"/>
    <w:rsid w:val="00B25292"/>
    <w:rsid w:val="00B252BB"/>
    <w:rsid w:val="00B25886"/>
    <w:rsid w:val="00B26495"/>
    <w:rsid w:val="00B26540"/>
    <w:rsid w:val="00B307F9"/>
    <w:rsid w:val="00B316A1"/>
    <w:rsid w:val="00B3393F"/>
    <w:rsid w:val="00B34F24"/>
    <w:rsid w:val="00B34F72"/>
    <w:rsid w:val="00B3560D"/>
    <w:rsid w:val="00B35B06"/>
    <w:rsid w:val="00B3623E"/>
    <w:rsid w:val="00B36966"/>
    <w:rsid w:val="00B37969"/>
    <w:rsid w:val="00B4269D"/>
    <w:rsid w:val="00B4280D"/>
    <w:rsid w:val="00B43659"/>
    <w:rsid w:val="00B43B6D"/>
    <w:rsid w:val="00B44B89"/>
    <w:rsid w:val="00B50B42"/>
    <w:rsid w:val="00B50FDC"/>
    <w:rsid w:val="00B51E7B"/>
    <w:rsid w:val="00B52448"/>
    <w:rsid w:val="00B52A44"/>
    <w:rsid w:val="00B531EB"/>
    <w:rsid w:val="00B547EB"/>
    <w:rsid w:val="00B54AC4"/>
    <w:rsid w:val="00B54DEE"/>
    <w:rsid w:val="00B55114"/>
    <w:rsid w:val="00B55531"/>
    <w:rsid w:val="00B57880"/>
    <w:rsid w:val="00B60235"/>
    <w:rsid w:val="00B60798"/>
    <w:rsid w:val="00B60800"/>
    <w:rsid w:val="00B60C9E"/>
    <w:rsid w:val="00B61169"/>
    <w:rsid w:val="00B612D2"/>
    <w:rsid w:val="00B617FF"/>
    <w:rsid w:val="00B620F0"/>
    <w:rsid w:val="00B629EA"/>
    <w:rsid w:val="00B63EF2"/>
    <w:rsid w:val="00B6401F"/>
    <w:rsid w:val="00B6415B"/>
    <w:rsid w:val="00B64F42"/>
    <w:rsid w:val="00B65B86"/>
    <w:rsid w:val="00B666EF"/>
    <w:rsid w:val="00B66B79"/>
    <w:rsid w:val="00B671BD"/>
    <w:rsid w:val="00B67530"/>
    <w:rsid w:val="00B6778A"/>
    <w:rsid w:val="00B713CB"/>
    <w:rsid w:val="00B71835"/>
    <w:rsid w:val="00B71976"/>
    <w:rsid w:val="00B71B69"/>
    <w:rsid w:val="00B7215D"/>
    <w:rsid w:val="00B741AA"/>
    <w:rsid w:val="00B747CF"/>
    <w:rsid w:val="00B752AC"/>
    <w:rsid w:val="00B77829"/>
    <w:rsid w:val="00B77A01"/>
    <w:rsid w:val="00B803CA"/>
    <w:rsid w:val="00B80924"/>
    <w:rsid w:val="00B8162B"/>
    <w:rsid w:val="00B83097"/>
    <w:rsid w:val="00B8325F"/>
    <w:rsid w:val="00B8471A"/>
    <w:rsid w:val="00B84FDB"/>
    <w:rsid w:val="00B86DDD"/>
    <w:rsid w:val="00B87F60"/>
    <w:rsid w:val="00B904B0"/>
    <w:rsid w:val="00B90C75"/>
    <w:rsid w:val="00B915AE"/>
    <w:rsid w:val="00B93DAB"/>
    <w:rsid w:val="00B93EA8"/>
    <w:rsid w:val="00B9495F"/>
    <w:rsid w:val="00B94DA8"/>
    <w:rsid w:val="00B95C49"/>
    <w:rsid w:val="00B96973"/>
    <w:rsid w:val="00B97040"/>
    <w:rsid w:val="00B97F54"/>
    <w:rsid w:val="00BA06E2"/>
    <w:rsid w:val="00BA0764"/>
    <w:rsid w:val="00BA105B"/>
    <w:rsid w:val="00BA1296"/>
    <w:rsid w:val="00BA1355"/>
    <w:rsid w:val="00BA1C62"/>
    <w:rsid w:val="00BA2314"/>
    <w:rsid w:val="00BA28E6"/>
    <w:rsid w:val="00BA3E37"/>
    <w:rsid w:val="00BA4ED5"/>
    <w:rsid w:val="00BA52AF"/>
    <w:rsid w:val="00BA53F8"/>
    <w:rsid w:val="00BA5590"/>
    <w:rsid w:val="00BA7E6A"/>
    <w:rsid w:val="00BB1964"/>
    <w:rsid w:val="00BB1F8D"/>
    <w:rsid w:val="00BB3671"/>
    <w:rsid w:val="00BB472F"/>
    <w:rsid w:val="00BB71DF"/>
    <w:rsid w:val="00BB75D1"/>
    <w:rsid w:val="00BB78B1"/>
    <w:rsid w:val="00BB7E87"/>
    <w:rsid w:val="00BC0928"/>
    <w:rsid w:val="00BC1B43"/>
    <w:rsid w:val="00BC2ECB"/>
    <w:rsid w:val="00BC3211"/>
    <w:rsid w:val="00BC3A68"/>
    <w:rsid w:val="00BC531C"/>
    <w:rsid w:val="00BC5397"/>
    <w:rsid w:val="00BC674F"/>
    <w:rsid w:val="00BC69FC"/>
    <w:rsid w:val="00BC6D91"/>
    <w:rsid w:val="00BC7C2D"/>
    <w:rsid w:val="00BD0E6A"/>
    <w:rsid w:val="00BD17E8"/>
    <w:rsid w:val="00BD1B0F"/>
    <w:rsid w:val="00BD3C50"/>
    <w:rsid w:val="00BD466D"/>
    <w:rsid w:val="00BD4D54"/>
    <w:rsid w:val="00BD5615"/>
    <w:rsid w:val="00BD6E5E"/>
    <w:rsid w:val="00BD71F3"/>
    <w:rsid w:val="00BD76DA"/>
    <w:rsid w:val="00BD7B09"/>
    <w:rsid w:val="00BE08DD"/>
    <w:rsid w:val="00BE174A"/>
    <w:rsid w:val="00BE1E57"/>
    <w:rsid w:val="00BE3521"/>
    <w:rsid w:val="00BE3CAB"/>
    <w:rsid w:val="00BE400C"/>
    <w:rsid w:val="00BE46F6"/>
    <w:rsid w:val="00BE489A"/>
    <w:rsid w:val="00BE510A"/>
    <w:rsid w:val="00BE5282"/>
    <w:rsid w:val="00BE5933"/>
    <w:rsid w:val="00BF0829"/>
    <w:rsid w:val="00BF0BFA"/>
    <w:rsid w:val="00BF19E6"/>
    <w:rsid w:val="00BF261B"/>
    <w:rsid w:val="00BF27E5"/>
    <w:rsid w:val="00BF5422"/>
    <w:rsid w:val="00BF5582"/>
    <w:rsid w:val="00BF55ED"/>
    <w:rsid w:val="00BF56F0"/>
    <w:rsid w:val="00BF60A2"/>
    <w:rsid w:val="00BF6B7F"/>
    <w:rsid w:val="00BF6CC9"/>
    <w:rsid w:val="00BF7E14"/>
    <w:rsid w:val="00C00BD8"/>
    <w:rsid w:val="00C01A36"/>
    <w:rsid w:val="00C02AFA"/>
    <w:rsid w:val="00C02F28"/>
    <w:rsid w:val="00C03DDC"/>
    <w:rsid w:val="00C03FB0"/>
    <w:rsid w:val="00C05FC4"/>
    <w:rsid w:val="00C06464"/>
    <w:rsid w:val="00C0699E"/>
    <w:rsid w:val="00C10E19"/>
    <w:rsid w:val="00C11C2F"/>
    <w:rsid w:val="00C11D23"/>
    <w:rsid w:val="00C1237D"/>
    <w:rsid w:val="00C12474"/>
    <w:rsid w:val="00C12B79"/>
    <w:rsid w:val="00C138ED"/>
    <w:rsid w:val="00C15471"/>
    <w:rsid w:val="00C15C6A"/>
    <w:rsid w:val="00C162DB"/>
    <w:rsid w:val="00C2058A"/>
    <w:rsid w:val="00C20DFF"/>
    <w:rsid w:val="00C25EC4"/>
    <w:rsid w:val="00C269CE"/>
    <w:rsid w:val="00C27679"/>
    <w:rsid w:val="00C30CB4"/>
    <w:rsid w:val="00C339C7"/>
    <w:rsid w:val="00C33C38"/>
    <w:rsid w:val="00C33F8D"/>
    <w:rsid w:val="00C3453D"/>
    <w:rsid w:val="00C34FEA"/>
    <w:rsid w:val="00C36A12"/>
    <w:rsid w:val="00C37456"/>
    <w:rsid w:val="00C37DCF"/>
    <w:rsid w:val="00C410DC"/>
    <w:rsid w:val="00C4391E"/>
    <w:rsid w:val="00C443CE"/>
    <w:rsid w:val="00C44908"/>
    <w:rsid w:val="00C44A3E"/>
    <w:rsid w:val="00C46A06"/>
    <w:rsid w:val="00C46F32"/>
    <w:rsid w:val="00C47177"/>
    <w:rsid w:val="00C504AE"/>
    <w:rsid w:val="00C54499"/>
    <w:rsid w:val="00C55251"/>
    <w:rsid w:val="00C554B5"/>
    <w:rsid w:val="00C57A78"/>
    <w:rsid w:val="00C57B35"/>
    <w:rsid w:val="00C6057F"/>
    <w:rsid w:val="00C6084A"/>
    <w:rsid w:val="00C617AF"/>
    <w:rsid w:val="00C6246E"/>
    <w:rsid w:val="00C62F1B"/>
    <w:rsid w:val="00C63299"/>
    <w:rsid w:val="00C63BCD"/>
    <w:rsid w:val="00C63E70"/>
    <w:rsid w:val="00C64A8A"/>
    <w:rsid w:val="00C65493"/>
    <w:rsid w:val="00C656C0"/>
    <w:rsid w:val="00C6612A"/>
    <w:rsid w:val="00C70317"/>
    <w:rsid w:val="00C70921"/>
    <w:rsid w:val="00C70F76"/>
    <w:rsid w:val="00C718FE"/>
    <w:rsid w:val="00C72107"/>
    <w:rsid w:val="00C725CF"/>
    <w:rsid w:val="00C7417F"/>
    <w:rsid w:val="00C74225"/>
    <w:rsid w:val="00C743EE"/>
    <w:rsid w:val="00C7473A"/>
    <w:rsid w:val="00C74B36"/>
    <w:rsid w:val="00C75ACF"/>
    <w:rsid w:val="00C75DA8"/>
    <w:rsid w:val="00C761F4"/>
    <w:rsid w:val="00C76830"/>
    <w:rsid w:val="00C769CA"/>
    <w:rsid w:val="00C778F0"/>
    <w:rsid w:val="00C8043D"/>
    <w:rsid w:val="00C80953"/>
    <w:rsid w:val="00C81B50"/>
    <w:rsid w:val="00C81E94"/>
    <w:rsid w:val="00C82D8F"/>
    <w:rsid w:val="00C83A59"/>
    <w:rsid w:val="00C83DE6"/>
    <w:rsid w:val="00C84519"/>
    <w:rsid w:val="00C847FA"/>
    <w:rsid w:val="00C85F98"/>
    <w:rsid w:val="00C8647A"/>
    <w:rsid w:val="00C86516"/>
    <w:rsid w:val="00C9332D"/>
    <w:rsid w:val="00C94844"/>
    <w:rsid w:val="00C96FF1"/>
    <w:rsid w:val="00C97062"/>
    <w:rsid w:val="00C9767D"/>
    <w:rsid w:val="00CA0D98"/>
    <w:rsid w:val="00CA0F85"/>
    <w:rsid w:val="00CA14FF"/>
    <w:rsid w:val="00CA1BA6"/>
    <w:rsid w:val="00CA3F20"/>
    <w:rsid w:val="00CA41C7"/>
    <w:rsid w:val="00CA4B34"/>
    <w:rsid w:val="00CA507D"/>
    <w:rsid w:val="00CA542A"/>
    <w:rsid w:val="00CA74E0"/>
    <w:rsid w:val="00CA7B39"/>
    <w:rsid w:val="00CB0DE0"/>
    <w:rsid w:val="00CB1147"/>
    <w:rsid w:val="00CB2F0A"/>
    <w:rsid w:val="00CB5F5C"/>
    <w:rsid w:val="00CB7B52"/>
    <w:rsid w:val="00CC0DFC"/>
    <w:rsid w:val="00CC11E7"/>
    <w:rsid w:val="00CC1311"/>
    <w:rsid w:val="00CC1BF5"/>
    <w:rsid w:val="00CC277B"/>
    <w:rsid w:val="00CC40E5"/>
    <w:rsid w:val="00CC4D24"/>
    <w:rsid w:val="00CC5633"/>
    <w:rsid w:val="00CC5C9B"/>
    <w:rsid w:val="00CC5E7B"/>
    <w:rsid w:val="00CC6367"/>
    <w:rsid w:val="00CC6734"/>
    <w:rsid w:val="00CC7B2D"/>
    <w:rsid w:val="00CD0688"/>
    <w:rsid w:val="00CD13C7"/>
    <w:rsid w:val="00CD2632"/>
    <w:rsid w:val="00CD2A6F"/>
    <w:rsid w:val="00CD2BF8"/>
    <w:rsid w:val="00CD3240"/>
    <w:rsid w:val="00CD3552"/>
    <w:rsid w:val="00CD35CB"/>
    <w:rsid w:val="00CD3B87"/>
    <w:rsid w:val="00CD44EF"/>
    <w:rsid w:val="00CD638D"/>
    <w:rsid w:val="00CD6538"/>
    <w:rsid w:val="00CD73F0"/>
    <w:rsid w:val="00CD7889"/>
    <w:rsid w:val="00CD78D6"/>
    <w:rsid w:val="00CD7E51"/>
    <w:rsid w:val="00CD7FCF"/>
    <w:rsid w:val="00CE04BE"/>
    <w:rsid w:val="00CE0671"/>
    <w:rsid w:val="00CE0779"/>
    <w:rsid w:val="00CE156E"/>
    <w:rsid w:val="00CE182D"/>
    <w:rsid w:val="00CE1E84"/>
    <w:rsid w:val="00CE2BB8"/>
    <w:rsid w:val="00CE36A0"/>
    <w:rsid w:val="00CE4C6C"/>
    <w:rsid w:val="00CE5F60"/>
    <w:rsid w:val="00CE76FD"/>
    <w:rsid w:val="00CE7C82"/>
    <w:rsid w:val="00CE7EB1"/>
    <w:rsid w:val="00CE7F79"/>
    <w:rsid w:val="00CF1281"/>
    <w:rsid w:val="00CF13C6"/>
    <w:rsid w:val="00CF13F3"/>
    <w:rsid w:val="00CF1F74"/>
    <w:rsid w:val="00CF25B4"/>
    <w:rsid w:val="00CF41EC"/>
    <w:rsid w:val="00CF4252"/>
    <w:rsid w:val="00CF4A57"/>
    <w:rsid w:val="00CF58FE"/>
    <w:rsid w:val="00CF5BE5"/>
    <w:rsid w:val="00CF5F04"/>
    <w:rsid w:val="00CF6A86"/>
    <w:rsid w:val="00CF6C9D"/>
    <w:rsid w:val="00CF766A"/>
    <w:rsid w:val="00D0206E"/>
    <w:rsid w:val="00D02C00"/>
    <w:rsid w:val="00D02CDC"/>
    <w:rsid w:val="00D038B6"/>
    <w:rsid w:val="00D04112"/>
    <w:rsid w:val="00D05169"/>
    <w:rsid w:val="00D05FB0"/>
    <w:rsid w:val="00D060E9"/>
    <w:rsid w:val="00D06726"/>
    <w:rsid w:val="00D10CCF"/>
    <w:rsid w:val="00D12254"/>
    <w:rsid w:val="00D13148"/>
    <w:rsid w:val="00D1336B"/>
    <w:rsid w:val="00D13B54"/>
    <w:rsid w:val="00D1483D"/>
    <w:rsid w:val="00D15798"/>
    <w:rsid w:val="00D17349"/>
    <w:rsid w:val="00D1738B"/>
    <w:rsid w:val="00D17867"/>
    <w:rsid w:val="00D20865"/>
    <w:rsid w:val="00D20CE0"/>
    <w:rsid w:val="00D21335"/>
    <w:rsid w:val="00D21530"/>
    <w:rsid w:val="00D21666"/>
    <w:rsid w:val="00D22336"/>
    <w:rsid w:val="00D22E4F"/>
    <w:rsid w:val="00D2321D"/>
    <w:rsid w:val="00D2427A"/>
    <w:rsid w:val="00D247D8"/>
    <w:rsid w:val="00D26285"/>
    <w:rsid w:val="00D2782F"/>
    <w:rsid w:val="00D3123A"/>
    <w:rsid w:val="00D312EF"/>
    <w:rsid w:val="00D31849"/>
    <w:rsid w:val="00D324A1"/>
    <w:rsid w:val="00D3295B"/>
    <w:rsid w:val="00D333B0"/>
    <w:rsid w:val="00D33449"/>
    <w:rsid w:val="00D33E32"/>
    <w:rsid w:val="00D345BA"/>
    <w:rsid w:val="00D34973"/>
    <w:rsid w:val="00D3669C"/>
    <w:rsid w:val="00D367D8"/>
    <w:rsid w:val="00D416F8"/>
    <w:rsid w:val="00D42AF9"/>
    <w:rsid w:val="00D437EF"/>
    <w:rsid w:val="00D43D10"/>
    <w:rsid w:val="00D4434C"/>
    <w:rsid w:val="00D44EFD"/>
    <w:rsid w:val="00D4710B"/>
    <w:rsid w:val="00D479BB"/>
    <w:rsid w:val="00D5084B"/>
    <w:rsid w:val="00D5086E"/>
    <w:rsid w:val="00D512DE"/>
    <w:rsid w:val="00D5184A"/>
    <w:rsid w:val="00D51E2C"/>
    <w:rsid w:val="00D544DD"/>
    <w:rsid w:val="00D55B8F"/>
    <w:rsid w:val="00D570AD"/>
    <w:rsid w:val="00D5772F"/>
    <w:rsid w:val="00D57DDF"/>
    <w:rsid w:val="00D6041B"/>
    <w:rsid w:val="00D60A5E"/>
    <w:rsid w:val="00D6168B"/>
    <w:rsid w:val="00D62240"/>
    <w:rsid w:val="00D6234B"/>
    <w:rsid w:val="00D63097"/>
    <w:rsid w:val="00D638C8"/>
    <w:rsid w:val="00D64513"/>
    <w:rsid w:val="00D647A7"/>
    <w:rsid w:val="00D654B7"/>
    <w:rsid w:val="00D656BB"/>
    <w:rsid w:val="00D6733C"/>
    <w:rsid w:val="00D703A4"/>
    <w:rsid w:val="00D7144D"/>
    <w:rsid w:val="00D72DAB"/>
    <w:rsid w:val="00D737DE"/>
    <w:rsid w:val="00D741BC"/>
    <w:rsid w:val="00D750B5"/>
    <w:rsid w:val="00D76112"/>
    <w:rsid w:val="00D777E8"/>
    <w:rsid w:val="00D77F3E"/>
    <w:rsid w:val="00D81B09"/>
    <w:rsid w:val="00D81C69"/>
    <w:rsid w:val="00D8387E"/>
    <w:rsid w:val="00D85B09"/>
    <w:rsid w:val="00D863D7"/>
    <w:rsid w:val="00D86D45"/>
    <w:rsid w:val="00D870B7"/>
    <w:rsid w:val="00D905E9"/>
    <w:rsid w:val="00D912D5"/>
    <w:rsid w:val="00D9145B"/>
    <w:rsid w:val="00D94560"/>
    <w:rsid w:val="00D95BF2"/>
    <w:rsid w:val="00D95EA5"/>
    <w:rsid w:val="00D96043"/>
    <w:rsid w:val="00D96B71"/>
    <w:rsid w:val="00D97BBC"/>
    <w:rsid w:val="00D97F67"/>
    <w:rsid w:val="00DA0443"/>
    <w:rsid w:val="00DA04F1"/>
    <w:rsid w:val="00DA0C39"/>
    <w:rsid w:val="00DA13E8"/>
    <w:rsid w:val="00DA191C"/>
    <w:rsid w:val="00DA2736"/>
    <w:rsid w:val="00DA5EF9"/>
    <w:rsid w:val="00DB02F7"/>
    <w:rsid w:val="00DB0BC6"/>
    <w:rsid w:val="00DB0EEF"/>
    <w:rsid w:val="00DB1C47"/>
    <w:rsid w:val="00DB2255"/>
    <w:rsid w:val="00DB2FC6"/>
    <w:rsid w:val="00DB3251"/>
    <w:rsid w:val="00DB4DCB"/>
    <w:rsid w:val="00DB506A"/>
    <w:rsid w:val="00DB56BF"/>
    <w:rsid w:val="00DB5879"/>
    <w:rsid w:val="00DC034B"/>
    <w:rsid w:val="00DC1FBA"/>
    <w:rsid w:val="00DC2DAE"/>
    <w:rsid w:val="00DC312C"/>
    <w:rsid w:val="00DC41C0"/>
    <w:rsid w:val="00DC44FB"/>
    <w:rsid w:val="00DC4689"/>
    <w:rsid w:val="00DC532F"/>
    <w:rsid w:val="00DC540E"/>
    <w:rsid w:val="00DC5CDC"/>
    <w:rsid w:val="00DC66B3"/>
    <w:rsid w:val="00DC7DDA"/>
    <w:rsid w:val="00DC7E4E"/>
    <w:rsid w:val="00DC7E5B"/>
    <w:rsid w:val="00DD1123"/>
    <w:rsid w:val="00DD19F5"/>
    <w:rsid w:val="00DD2875"/>
    <w:rsid w:val="00DD2C71"/>
    <w:rsid w:val="00DD4F89"/>
    <w:rsid w:val="00DD4FB3"/>
    <w:rsid w:val="00DD65C4"/>
    <w:rsid w:val="00DD7311"/>
    <w:rsid w:val="00DD74BB"/>
    <w:rsid w:val="00DD791E"/>
    <w:rsid w:val="00DE080F"/>
    <w:rsid w:val="00DE0D42"/>
    <w:rsid w:val="00DE2F24"/>
    <w:rsid w:val="00DE30F9"/>
    <w:rsid w:val="00DE3403"/>
    <w:rsid w:val="00DE3C95"/>
    <w:rsid w:val="00DE3E27"/>
    <w:rsid w:val="00DE4070"/>
    <w:rsid w:val="00DE5602"/>
    <w:rsid w:val="00DE726B"/>
    <w:rsid w:val="00DE75E2"/>
    <w:rsid w:val="00DF0292"/>
    <w:rsid w:val="00DF2654"/>
    <w:rsid w:val="00DF313A"/>
    <w:rsid w:val="00DF39C3"/>
    <w:rsid w:val="00DF4F52"/>
    <w:rsid w:val="00DF5913"/>
    <w:rsid w:val="00DF794E"/>
    <w:rsid w:val="00E009CB"/>
    <w:rsid w:val="00E00D3E"/>
    <w:rsid w:val="00E015F9"/>
    <w:rsid w:val="00E0221F"/>
    <w:rsid w:val="00E0334E"/>
    <w:rsid w:val="00E03FB4"/>
    <w:rsid w:val="00E042FE"/>
    <w:rsid w:val="00E04968"/>
    <w:rsid w:val="00E053EB"/>
    <w:rsid w:val="00E05BCC"/>
    <w:rsid w:val="00E05CB2"/>
    <w:rsid w:val="00E0695E"/>
    <w:rsid w:val="00E06A34"/>
    <w:rsid w:val="00E06BFB"/>
    <w:rsid w:val="00E100AE"/>
    <w:rsid w:val="00E10149"/>
    <w:rsid w:val="00E10B14"/>
    <w:rsid w:val="00E10BA2"/>
    <w:rsid w:val="00E10D1C"/>
    <w:rsid w:val="00E10DF0"/>
    <w:rsid w:val="00E12688"/>
    <w:rsid w:val="00E12832"/>
    <w:rsid w:val="00E13A68"/>
    <w:rsid w:val="00E13E43"/>
    <w:rsid w:val="00E147A0"/>
    <w:rsid w:val="00E15939"/>
    <w:rsid w:val="00E20745"/>
    <w:rsid w:val="00E212F8"/>
    <w:rsid w:val="00E214FC"/>
    <w:rsid w:val="00E215E7"/>
    <w:rsid w:val="00E219D7"/>
    <w:rsid w:val="00E21F4C"/>
    <w:rsid w:val="00E2200F"/>
    <w:rsid w:val="00E2321B"/>
    <w:rsid w:val="00E23324"/>
    <w:rsid w:val="00E2361F"/>
    <w:rsid w:val="00E24F2E"/>
    <w:rsid w:val="00E25764"/>
    <w:rsid w:val="00E26215"/>
    <w:rsid w:val="00E275AE"/>
    <w:rsid w:val="00E316D8"/>
    <w:rsid w:val="00E32675"/>
    <w:rsid w:val="00E32E84"/>
    <w:rsid w:val="00E33C69"/>
    <w:rsid w:val="00E33E6A"/>
    <w:rsid w:val="00E34124"/>
    <w:rsid w:val="00E34BF0"/>
    <w:rsid w:val="00E35BAD"/>
    <w:rsid w:val="00E4057B"/>
    <w:rsid w:val="00E40F80"/>
    <w:rsid w:val="00E4115C"/>
    <w:rsid w:val="00E41D6B"/>
    <w:rsid w:val="00E42602"/>
    <w:rsid w:val="00E432AB"/>
    <w:rsid w:val="00E4478B"/>
    <w:rsid w:val="00E44D87"/>
    <w:rsid w:val="00E452F1"/>
    <w:rsid w:val="00E45586"/>
    <w:rsid w:val="00E45866"/>
    <w:rsid w:val="00E45DDA"/>
    <w:rsid w:val="00E45ECA"/>
    <w:rsid w:val="00E45F9C"/>
    <w:rsid w:val="00E4675C"/>
    <w:rsid w:val="00E468AB"/>
    <w:rsid w:val="00E5101D"/>
    <w:rsid w:val="00E511AA"/>
    <w:rsid w:val="00E52171"/>
    <w:rsid w:val="00E526EB"/>
    <w:rsid w:val="00E5409A"/>
    <w:rsid w:val="00E54C6A"/>
    <w:rsid w:val="00E55FEF"/>
    <w:rsid w:val="00E5638F"/>
    <w:rsid w:val="00E56B83"/>
    <w:rsid w:val="00E61015"/>
    <w:rsid w:val="00E6118F"/>
    <w:rsid w:val="00E61574"/>
    <w:rsid w:val="00E61690"/>
    <w:rsid w:val="00E61AEC"/>
    <w:rsid w:val="00E6239C"/>
    <w:rsid w:val="00E623AB"/>
    <w:rsid w:val="00E63BB0"/>
    <w:rsid w:val="00E63D14"/>
    <w:rsid w:val="00E64179"/>
    <w:rsid w:val="00E64A11"/>
    <w:rsid w:val="00E65977"/>
    <w:rsid w:val="00E65D1E"/>
    <w:rsid w:val="00E65F77"/>
    <w:rsid w:val="00E664BF"/>
    <w:rsid w:val="00E66A4B"/>
    <w:rsid w:val="00E66B2C"/>
    <w:rsid w:val="00E66DDE"/>
    <w:rsid w:val="00E67E23"/>
    <w:rsid w:val="00E7013C"/>
    <w:rsid w:val="00E7263E"/>
    <w:rsid w:val="00E72CB4"/>
    <w:rsid w:val="00E72F53"/>
    <w:rsid w:val="00E75267"/>
    <w:rsid w:val="00E7577C"/>
    <w:rsid w:val="00E76025"/>
    <w:rsid w:val="00E76492"/>
    <w:rsid w:val="00E817BF"/>
    <w:rsid w:val="00E84FBE"/>
    <w:rsid w:val="00E86678"/>
    <w:rsid w:val="00E870A7"/>
    <w:rsid w:val="00E902FC"/>
    <w:rsid w:val="00E90860"/>
    <w:rsid w:val="00E9301F"/>
    <w:rsid w:val="00E946F1"/>
    <w:rsid w:val="00E96EE9"/>
    <w:rsid w:val="00E97D0B"/>
    <w:rsid w:val="00EA0725"/>
    <w:rsid w:val="00EA116F"/>
    <w:rsid w:val="00EA2529"/>
    <w:rsid w:val="00EA6BDC"/>
    <w:rsid w:val="00EB06C8"/>
    <w:rsid w:val="00EB080E"/>
    <w:rsid w:val="00EB149F"/>
    <w:rsid w:val="00EB179B"/>
    <w:rsid w:val="00EB2037"/>
    <w:rsid w:val="00EB239D"/>
    <w:rsid w:val="00EB2F2A"/>
    <w:rsid w:val="00EB39D9"/>
    <w:rsid w:val="00EB4844"/>
    <w:rsid w:val="00EB55A7"/>
    <w:rsid w:val="00EB76F1"/>
    <w:rsid w:val="00EC2822"/>
    <w:rsid w:val="00EC2F7A"/>
    <w:rsid w:val="00EC439D"/>
    <w:rsid w:val="00EC4687"/>
    <w:rsid w:val="00EC49A0"/>
    <w:rsid w:val="00EC51D3"/>
    <w:rsid w:val="00EC591E"/>
    <w:rsid w:val="00EC7D3B"/>
    <w:rsid w:val="00ED0A1C"/>
    <w:rsid w:val="00ED22EE"/>
    <w:rsid w:val="00ED230B"/>
    <w:rsid w:val="00ED326C"/>
    <w:rsid w:val="00ED3B58"/>
    <w:rsid w:val="00ED6179"/>
    <w:rsid w:val="00ED7B3E"/>
    <w:rsid w:val="00ED7B8A"/>
    <w:rsid w:val="00EE1057"/>
    <w:rsid w:val="00EE1177"/>
    <w:rsid w:val="00EE1BAA"/>
    <w:rsid w:val="00EE3C2F"/>
    <w:rsid w:val="00EE441E"/>
    <w:rsid w:val="00EE47B3"/>
    <w:rsid w:val="00EE49E4"/>
    <w:rsid w:val="00EE4D8F"/>
    <w:rsid w:val="00EE521D"/>
    <w:rsid w:val="00EE6483"/>
    <w:rsid w:val="00EE6632"/>
    <w:rsid w:val="00EE6971"/>
    <w:rsid w:val="00EE769D"/>
    <w:rsid w:val="00EF04AB"/>
    <w:rsid w:val="00EF1B03"/>
    <w:rsid w:val="00EF209F"/>
    <w:rsid w:val="00EF2DB4"/>
    <w:rsid w:val="00EF3AA0"/>
    <w:rsid w:val="00EF464A"/>
    <w:rsid w:val="00EF4F39"/>
    <w:rsid w:val="00EF635B"/>
    <w:rsid w:val="00EF69E3"/>
    <w:rsid w:val="00EF7932"/>
    <w:rsid w:val="00F00C2C"/>
    <w:rsid w:val="00F0148C"/>
    <w:rsid w:val="00F02159"/>
    <w:rsid w:val="00F021EF"/>
    <w:rsid w:val="00F03016"/>
    <w:rsid w:val="00F03B6D"/>
    <w:rsid w:val="00F0454A"/>
    <w:rsid w:val="00F04996"/>
    <w:rsid w:val="00F06425"/>
    <w:rsid w:val="00F0680F"/>
    <w:rsid w:val="00F07312"/>
    <w:rsid w:val="00F108D1"/>
    <w:rsid w:val="00F11228"/>
    <w:rsid w:val="00F122CB"/>
    <w:rsid w:val="00F12536"/>
    <w:rsid w:val="00F1461E"/>
    <w:rsid w:val="00F147FC"/>
    <w:rsid w:val="00F14B21"/>
    <w:rsid w:val="00F14F09"/>
    <w:rsid w:val="00F155D7"/>
    <w:rsid w:val="00F16871"/>
    <w:rsid w:val="00F21BAD"/>
    <w:rsid w:val="00F22AC9"/>
    <w:rsid w:val="00F23530"/>
    <w:rsid w:val="00F243E5"/>
    <w:rsid w:val="00F25527"/>
    <w:rsid w:val="00F25E60"/>
    <w:rsid w:val="00F263C0"/>
    <w:rsid w:val="00F263F0"/>
    <w:rsid w:val="00F27717"/>
    <w:rsid w:val="00F27994"/>
    <w:rsid w:val="00F30B94"/>
    <w:rsid w:val="00F31664"/>
    <w:rsid w:val="00F31F39"/>
    <w:rsid w:val="00F33891"/>
    <w:rsid w:val="00F344CB"/>
    <w:rsid w:val="00F3573D"/>
    <w:rsid w:val="00F366F3"/>
    <w:rsid w:val="00F37478"/>
    <w:rsid w:val="00F41AE7"/>
    <w:rsid w:val="00F42509"/>
    <w:rsid w:val="00F427CB"/>
    <w:rsid w:val="00F43A6F"/>
    <w:rsid w:val="00F43B84"/>
    <w:rsid w:val="00F44A53"/>
    <w:rsid w:val="00F45C2B"/>
    <w:rsid w:val="00F46CBC"/>
    <w:rsid w:val="00F46D52"/>
    <w:rsid w:val="00F5143F"/>
    <w:rsid w:val="00F52637"/>
    <w:rsid w:val="00F52A35"/>
    <w:rsid w:val="00F5355E"/>
    <w:rsid w:val="00F549BC"/>
    <w:rsid w:val="00F55259"/>
    <w:rsid w:val="00F567F2"/>
    <w:rsid w:val="00F56D49"/>
    <w:rsid w:val="00F57362"/>
    <w:rsid w:val="00F57BD9"/>
    <w:rsid w:val="00F60150"/>
    <w:rsid w:val="00F6099F"/>
    <w:rsid w:val="00F60A31"/>
    <w:rsid w:val="00F60D25"/>
    <w:rsid w:val="00F61C3C"/>
    <w:rsid w:val="00F63246"/>
    <w:rsid w:val="00F64AF8"/>
    <w:rsid w:val="00F65E51"/>
    <w:rsid w:val="00F66D35"/>
    <w:rsid w:val="00F673B1"/>
    <w:rsid w:val="00F67A1A"/>
    <w:rsid w:val="00F67FA3"/>
    <w:rsid w:val="00F7059A"/>
    <w:rsid w:val="00F71846"/>
    <w:rsid w:val="00F720DA"/>
    <w:rsid w:val="00F723B6"/>
    <w:rsid w:val="00F730A6"/>
    <w:rsid w:val="00F74F44"/>
    <w:rsid w:val="00F76A30"/>
    <w:rsid w:val="00F77391"/>
    <w:rsid w:val="00F77496"/>
    <w:rsid w:val="00F80654"/>
    <w:rsid w:val="00F81D52"/>
    <w:rsid w:val="00F822C5"/>
    <w:rsid w:val="00F82A75"/>
    <w:rsid w:val="00F82AA6"/>
    <w:rsid w:val="00F82B8E"/>
    <w:rsid w:val="00F82C65"/>
    <w:rsid w:val="00F83668"/>
    <w:rsid w:val="00F83D7F"/>
    <w:rsid w:val="00F851EF"/>
    <w:rsid w:val="00F87455"/>
    <w:rsid w:val="00F90836"/>
    <w:rsid w:val="00F92490"/>
    <w:rsid w:val="00F92BCB"/>
    <w:rsid w:val="00F97FBB"/>
    <w:rsid w:val="00FA0391"/>
    <w:rsid w:val="00FA10C8"/>
    <w:rsid w:val="00FA1E4E"/>
    <w:rsid w:val="00FA2487"/>
    <w:rsid w:val="00FA3066"/>
    <w:rsid w:val="00FA3F60"/>
    <w:rsid w:val="00FA4029"/>
    <w:rsid w:val="00FA4E7E"/>
    <w:rsid w:val="00FA57F6"/>
    <w:rsid w:val="00FA5ADB"/>
    <w:rsid w:val="00FA681D"/>
    <w:rsid w:val="00FA778F"/>
    <w:rsid w:val="00FB0898"/>
    <w:rsid w:val="00FB0D9F"/>
    <w:rsid w:val="00FB2155"/>
    <w:rsid w:val="00FB2268"/>
    <w:rsid w:val="00FB41C7"/>
    <w:rsid w:val="00FB43B3"/>
    <w:rsid w:val="00FB4858"/>
    <w:rsid w:val="00FB495D"/>
    <w:rsid w:val="00FB4B75"/>
    <w:rsid w:val="00FB5830"/>
    <w:rsid w:val="00FB6CC5"/>
    <w:rsid w:val="00FB6D53"/>
    <w:rsid w:val="00FB7131"/>
    <w:rsid w:val="00FB7307"/>
    <w:rsid w:val="00FB7940"/>
    <w:rsid w:val="00FC0038"/>
    <w:rsid w:val="00FC0042"/>
    <w:rsid w:val="00FC0770"/>
    <w:rsid w:val="00FC1EC1"/>
    <w:rsid w:val="00FC365E"/>
    <w:rsid w:val="00FC39FE"/>
    <w:rsid w:val="00FC3C28"/>
    <w:rsid w:val="00FC5A72"/>
    <w:rsid w:val="00FC5AC2"/>
    <w:rsid w:val="00FC65E9"/>
    <w:rsid w:val="00FC6633"/>
    <w:rsid w:val="00FC7B64"/>
    <w:rsid w:val="00FC7F97"/>
    <w:rsid w:val="00FD17BA"/>
    <w:rsid w:val="00FD1E93"/>
    <w:rsid w:val="00FD2936"/>
    <w:rsid w:val="00FD30A3"/>
    <w:rsid w:val="00FD32C6"/>
    <w:rsid w:val="00FD45E8"/>
    <w:rsid w:val="00FD4CF8"/>
    <w:rsid w:val="00FD52A0"/>
    <w:rsid w:val="00FD583D"/>
    <w:rsid w:val="00FD6AD9"/>
    <w:rsid w:val="00FD7EDA"/>
    <w:rsid w:val="00FE19EE"/>
    <w:rsid w:val="00FE21C1"/>
    <w:rsid w:val="00FE254C"/>
    <w:rsid w:val="00FE2F05"/>
    <w:rsid w:val="00FE5415"/>
    <w:rsid w:val="00FE5D4B"/>
    <w:rsid w:val="00FE67E3"/>
    <w:rsid w:val="00FE6A61"/>
    <w:rsid w:val="00FE7768"/>
    <w:rsid w:val="00FF098B"/>
    <w:rsid w:val="00FF09C3"/>
    <w:rsid w:val="00FF2577"/>
    <w:rsid w:val="00FF2C2D"/>
    <w:rsid w:val="00FF2E17"/>
    <w:rsid w:val="00FF3963"/>
    <w:rsid w:val="00FF39CA"/>
    <w:rsid w:val="00FF3AFF"/>
    <w:rsid w:val="00FF4667"/>
    <w:rsid w:val="00FF63A1"/>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24AAC70F-13E1-46F2-AC50-86CA8FB0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qFormat="1"/>
    <w:lsdException w:name="heading 6" w:locked="0" w:semiHidden="1" w:unhideWhenUsed="1" w:qFormat="1"/>
    <w:lsdException w:name="heading 7" w:locked="0" w:semiHidden="1" w:unhideWhenUsed="1" w:qFormat="1"/>
    <w:lsdException w:name="heading 8" w:locked="0" w:semiHidden="1" w:uiPriority="3" w:unhideWhenUsed="1" w:qFormat="1"/>
    <w:lsdException w:name="heading 9" w:locked="0"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99"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qFormat="1"/>
    <w:lsdException w:name="List 2" w:semiHidden="1" w:unhideWhenUsed="1"/>
    <w:lsdException w:name="List 3" w:semiHidden="1" w:unhideWhenUsed="1"/>
    <w:lsdException w:name="List Bullet 2" w:locked="0" w:semiHidden="1" w:unhideWhenUsed="1" w:qFormat="1"/>
    <w:lsdException w:name="List Bullet 3" w:locked="0" w:semiHidden="1" w:unhideWhenUsed="1" w:qFormat="1"/>
    <w:lsdException w:name="List Bullet 4" w:semiHidden="1" w:unhideWhenUsed="1"/>
    <w:lsdException w:name="List Bullet 5" w:semiHidden="1" w:unhideWhenUsed="1"/>
    <w:lsdException w:name="List Number 2" w:locked="0" w:semiHidden="1" w:unhideWhenUsed="1" w:qFormat="1"/>
    <w:lsdException w:name="List Number 3" w:locked="0" w:semiHidden="1" w:unhideWhenUsed="1" w:qFormat="1"/>
    <w:lsdException w:name="List Number 4" w:semiHidden="1" w:unhideWhenUsed="1"/>
    <w:lsdException w:name="List Number 5" w:semiHidden="1" w:unhideWhenUsed="1"/>
    <w:lsdException w:name="Title" w:locked="0" w:uiPriority="99"/>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semiHidden="1" w:unhideWhenUsed="1"/>
    <w:lsdException w:name="Subtitle" w:locked="0"/>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iPriority="99" w:unhideWhenUsed="1"/>
    <w:lsdException w:name="FollowedHyperlink" w:locked="0" w:semiHidden="1" w:uiPriority="99" w:unhideWhenUsed="1"/>
    <w:lsdException w:name="Strong" w:uiPriority="99"/>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lsdException w:name="Table Grid" w:locked="0" w:uiPriority="59"/>
    <w:lsdException w:name="Table Theme" w:semiHidden="1" w:unhideWhenUsed="1"/>
    <w:lsdException w:name="Placeholder Text" w:locked="0" w:semiHidden="1" w:uiPriority="99"/>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42602"/>
    <w:pPr>
      <w:spacing w:line="288" w:lineRule="auto"/>
    </w:pPr>
    <w:rPr>
      <w:color w:val="000000"/>
    </w:rPr>
  </w:style>
  <w:style w:type="paragraph" w:styleId="Heading1">
    <w:name w:val="heading 1"/>
    <w:basedOn w:val="Normal"/>
    <w:next w:val="BodyText"/>
    <w:link w:val="Heading1Char"/>
    <w:qFormat/>
    <w:locked/>
    <w:rsid w:val="006F5486"/>
    <w:pPr>
      <w:keepNext/>
      <w:keepLines/>
      <w:pageBreakBefore/>
      <w:numPr>
        <w:numId w:val="19"/>
      </w:numPr>
      <w:spacing w:line="276" w:lineRule="auto"/>
      <w:outlineLvl w:val="0"/>
    </w:pPr>
    <w:rPr>
      <w:bCs/>
      <w:color w:val="auto"/>
      <w:spacing w:val="-10"/>
      <w:sz w:val="38"/>
      <w:szCs w:val="32"/>
    </w:rPr>
  </w:style>
  <w:style w:type="paragraph" w:styleId="Heading2">
    <w:name w:val="heading 2"/>
    <w:basedOn w:val="Normal"/>
    <w:next w:val="BodyText"/>
    <w:link w:val="Heading2Char"/>
    <w:qFormat/>
    <w:locked/>
    <w:rsid w:val="007F1BFA"/>
    <w:pPr>
      <w:keepNext/>
      <w:keepLines/>
      <w:numPr>
        <w:ilvl w:val="1"/>
        <w:numId w:val="19"/>
      </w:numPr>
      <w:spacing w:before="360" w:after="200"/>
      <w:outlineLvl w:val="1"/>
    </w:pPr>
    <w:rPr>
      <w:rFonts w:ascii="Arial Bold" w:hAnsi="Arial Bold"/>
      <w:bCs/>
      <w:color w:val="auto"/>
      <w:sz w:val="24"/>
      <w:szCs w:val="26"/>
    </w:rPr>
  </w:style>
  <w:style w:type="paragraph" w:styleId="Heading3">
    <w:name w:val="heading 3"/>
    <w:basedOn w:val="Normal"/>
    <w:next w:val="BodyText"/>
    <w:link w:val="Heading3Char"/>
    <w:unhideWhenUsed/>
    <w:qFormat/>
    <w:locked/>
    <w:rsid w:val="007F1BFA"/>
    <w:pPr>
      <w:keepNext/>
      <w:keepLines/>
      <w:numPr>
        <w:ilvl w:val="2"/>
        <w:numId w:val="19"/>
      </w:numPr>
      <w:spacing w:before="240" w:after="200"/>
      <w:outlineLvl w:val="2"/>
    </w:pPr>
    <w:rPr>
      <w:rFonts w:ascii="Arial Bold" w:hAnsi="Arial Bold"/>
      <w:bCs/>
      <w:color w:val="auto"/>
      <w:sz w:val="22"/>
    </w:rPr>
  </w:style>
  <w:style w:type="paragraph" w:styleId="Heading4">
    <w:name w:val="heading 4"/>
    <w:basedOn w:val="Normal"/>
    <w:next w:val="BodyText"/>
    <w:link w:val="Heading4Char"/>
    <w:unhideWhenUsed/>
    <w:qFormat/>
    <w:locked/>
    <w:rsid w:val="007F1BFA"/>
    <w:pPr>
      <w:keepNext/>
      <w:keepLines/>
      <w:spacing w:before="360" w:after="200"/>
      <w:outlineLvl w:val="3"/>
    </w:pPr>
    <w:rPr>
      <w:rFonts w:ascii="Arial Bold" w:hAnsi="Arial Bold"/>
      <w:bCs/>
      <w:iCs/>
      <w:color w:val="auto"/>
    </w:rPr>
  </w:style>
  <w:style w:type="paragraph" w:styleId="Heading5">
    <w:name w:val="heading 5"/>
    <w:basedOn w:val="Normal"/>
    <w:next w:val="Normal"/>
    <w:link w:val="Heading5Char"/>
    <w:qFormat/>
    <w:locked/>
    <w:rsid w:val="007F1BFA"/>
    <w:pPr>
      <w:keepNext/>
      <w:keepLines/>
      <w:spacing w:before="240" w:after="60"/>
      <w:outlineLvl w:val="4"/>
    </w:pPr>
    <w:rPr>
      <w:b/>
    </w:rPr>
  </w:style>
  <w:style w:type="paragraph" w:styleId="Heading6">
    <w:name w:val="heading 6"/>
    <w:basedOn w:val="Normal"/>
    <w:next w:val="Normal"/>
    <w:link w:val="Heading6Char"/>
    <w:semiHidden/>
    <w:qFormat/>
    <w:locked/>
    <w:rsid w:val="007F1BFA"/>
    <w:pPr>
      <w:keepNext/>
      <w:keepLines/>
      <w:spacing w:before="200" w:line="276" w:lineRule="auto"/>
      <w:outlineLvl w:val="5"/>
    </w:pPr>
    <w:rPr>
      <w:i/>
      <w:iCs/>
      <w:lang w:eastAsia="en-US"/>
    </w:rPr>
  </w:style>
  <w:style w:type="paragraph" w:styleId="Heading7">
    <w:name w:val="heading 7"/>
    <w:basedOn w:val="Normal"/>
    <w:next w:val="BodyText"/>
    <w:link w:val="Heading7Char"/>
    <w:semiHidden/>
    <w:unhideWhenUsed/>
    <w:qFormat/>
    <w:locked/>
    <w:rsid w:val="00DD7311"/>
    <w:pPr>
      <w:keepNext/>
      <w:keepLines/>
      <w:pageBreakBefore/>
      <w:spacing w:afterLines="100"/>
      <w:outlineLvl w:val="6"/>
    </w:pPr>
    <w:rPr>
      <w:b/>
      <w:iCs/>
    </w:rPr>
  </w:style>
  <w:style w:type="paragraph" w:styleId="Heading8">
    <w:name w:val="heading 8"/>
    <w:basedOn w:val="Normal"/>
    <w:next w:val="BodyText"/>
    <w:link w:val="Heading8Char"/>
    <w:semiHidden/>
    <w:qFormat/>
    <w:locked/>
    <w:rsid w:val="00120CB6"/>
    <w:pPr>
      <w:keepNext/>
      <w:keepLines/>
      <w:pageBreakBefore/>
      <w:numPr>
        <w:numId w:val="9"/>
      </w:numPr>
      <w:tabs>
        <w:tab w:val="clear" w:pos="0"/>
      </w:tabs>
      <w:spacing w:after="400" w:line="240" w:lineRule="auto"/>
      <w:outlineLvl w:val="7"/>
    </w:pPr>
    <w:rPr>
      <w:color w:val="auto"/>
      <w:spacing w:val="-10"/>
      <w:sz w:val="38"/>
      <w:lang w:eastAsia="en-US"/>
    </w:rPr>
  </w:style>
  <w:style w:type="paragraph" w:styleId="Heading9">
    <w:name w:val="heading 9"/>
    <w:basedOn w:val="Normal"/>
    <w:next w:val="BodyText"/>
    <w:link w:val="Heading9Char"/>
    <w:semiHidden/>
    <w:qFormat/>
    <w:locked/>
    <w:rsid w:val="00B22739"/>
    <w:pPr>
      <w:keepNext/>
      <w:keepLines/>
      <w:numPr>
        <w:ilvl w:val="1"/>
        <w:numId w:val="9"/>
      </w:numPr>
      <w:tabs>
        <w:tab w:val="left" w:pos="1559"/>
        <w:tab w:val="left" w:pos="2126"/>
        <w:tab w:val="left" w:pos="2410"/>
        <w:tab w:val="right" w:pos="9639"/>
      </w:tabs>
      <w:spacing w:before="360" w:after="200"/>
      <w:outlineLvl w:val="8"/>
    </w:pPr>
    <w:rPr>
      <w:rFonts w:cs="Arial"/>
      <w:b/>
      <w:color w:val="auto"/>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440FE9"/>
    <w:pPr>
      <w:spacing w:after="100" w:line="259" w:lineRule="auto"/>
      <w:ind w:left="660"/>
    </w:pPr>
    <w:rPr>
      <w:rFonts w:asciiTheme="minorHAnsi" w:eastAsiaTheme="minorEastAsia" w:hAnsiTheme="minorHAnsi" w:cstheme="minorBidi"/>
      <w:color w:val="auto"/>
      <w:sz w:val="22"/>
      <w:szCs w:val="22"/>
    </w:rPr>
  </w:style>
  <w:style w:type="paragraph" w:styleId="BodyText">
    <w:name w:val="Body Text"/>
    <w:basedOn w:val="Normal"/>
    <w:link w:val="BodyTextChar"/>
    <w:qFormat/>
    <w:rsid w:val="00CF1F74"/>
    <w:pPr>
      <w:tabs>
        <w:tab w:val="left" w:pos="2268"/>
        <w:tab w:val="left" w:pos="4536"/>
        <w:tab w:val="left" w:pos="6804"/>
        <w:tab w:val="right" w:pos="9638"/>
      </w:tabs>
      <w:spacing w:before="200" w:after="200"/>
    </w:pPr>
  </w:style>
  <w:style w:type="character" w:customStyle="1" w:styleId="BodyTextChar">
    <w:name w:val="Body Text Char"/>
    <w:basedOn w:val="DefaultParagraphFont"/>
    <w:link w:val="BodyText"/>
    <w:rsid w:val="00CF1F74"/>
  </w:style>
  <w:style w:type="paragraph" w:styleId="TOC5">
    <w:name w:val="toc 5"/>
    <w:basedOn w:val="Normal"/>
    <w:next w:val="Normal"/>
    <w:autoRedefine/>
    <w:uiPriority w:val="39"/>
    <w:unhideWhenUsed/>
    <w:rsid w:val="00440FE9"/>
    <w:pPr>
      <w:spacing w:after="100" w:line="259" w:lineRule="auto"/>
      <w:ind w:left="880"/>
    </w:pPr>
    <w:rPr>
      <w:rFonts w:asciiTheme="minorHAnsi" w:eastAsiaTheme="minorEastAsia" w:hAnsiTheme="minorHAnsi" w:cstheme="minorBidi"/>
      <w:color w:val="auto"/>
      <w:sz w:val="22"/>
      <w:szCs w:val="22"/>
    </w:rPr>
  </w:style>
  <w:style w:type="paragraph" w:styleId="BlockText">
    <w:name w:val="Block Text"/>
    <w:basedOn w:val="BodyText"/>
    <w:semiHidden/>
    <w:unhideWhenUsed/>
    <w:locked/>
    <w:rsid w:val="00EF3AA0"/>
    <w:rPr>
      <w:iCs/>
    </w:rPr>
  </w:style>
  <w:style w:type="paragraph" w:styleId="Caption">
    <w:name w:val="caption"/>
    <w:basedOn w:val="Normal"/>
    <w:next w:val="BodyText"/>
    <w:qFormat/>
    <w:locked/>
    <w:rsid w:val="00AB2453"/>
    <w:pPr>
      <w:keepNext/>
      <w:keepLines/>
      <w:tabs>
        <w:tab w:val="left" w:pos="1276"/>
      </w:tabs>
      <w:spacing w:before="240" w:after="90" w:line="240" w:lineRule="auto"/>
      <w:ind w:left="1276" w:hanging="1276"/>
    </w:pPr>
    <w:rPr>
      <w:bCs/>
      <w:spacing w:val="4"/>
      <w:sz w:val="18"/>
    </w:rPr>
  </w:style>
  <w:style w:type="paragraph" w:styleId="BalloonText">
    <w:name w:val="Balloon Text"/>
    <w:basedOn w:val="Normal"/>
    <w:link w:val="BalloonTextChar"/>
    <w:uiPriority w:val="99"/>
    <w:semiHidden/>
    <w:unhideWhenUsed/>
    <w:locked/>
    <w:rsid w:val="005542F9"/>
    <w:pPr>
      <w:spacing w:line="240" w:lineRule="auto"/>
    </w:pPr>
    <w:rPr>
      <w:rFonts w:ascii="Tahoma" w:hAnsi="Tahoma" w:cs="Tahoma"/>
      <w:sz w:val="16"/>
      <w:szCs w:val="16"/>
    </w:rPr>
  </w:style>
  <w:style w:type="paragraph" w:styleId="TOCHeading">
    <w:name w:val="TOC Heading"/>
    <w:basedOn w:val="Normal"/>
    <w:next w:val="Normal"/>
    <w:uiPriority w:val="39"/>
    <w:unhideWhenUsed/>
    <w:qFormat/>
    <w:locked/>
    <w:rsid w:val="00440FE9"/>
    <w:rPr>
      <w:sz w:val="38"/>
      <w:szCs w:val="28"/>
    </w:rPr>
  </w:style>
  <w:style w:type="character" w:customStyle="1" w:styleId="BalloonTextChar">
    <w:name w:val="Balloon Text Char"/>
    <w:link w:val="BalloonText"/>
    <w:uiPriority w:val="99"/>
    <w:semiHidden/>
    <w:rsid w:val="00475145"/>
    <w:rPr>
      <w:rFonts w:ascii="Tahoma" w:hAnsi="Tahoma" w:cs="Tahoma"/>
      <w:color w:val="000000"/>
      <w:sz w:val="16"/>
      <w:szCs w:val="16"/>
    </w:rPr>
  </w:style>
  <w:style w:type="paragraph" w:styleId="Footer">
    <w:name w:val="footer"/>
    <w:basedOn w:val="Normal"/>
    <w:link w:val="FooterChar"/>
    <w:uiPriority w:val="99"/>
    <w:locked/>
    <w:rsid w:val="003475E2"/>
    <w:pPr>
      <w:tabs>
        <w:tab w:val="left" w:pos="1077"/>
        <w:tab w:val="center" w:pos="4320"/>
        <w:tab w:val="right" w:pos="8640"/>
      </w:tabs>
      <w:spacing w:line="240" w:lineRule="auto"/>
      <w:jc w:val="right"/>
    </w:pPr>
    <w:rPr>
      <w:rFonts w:eastAsia="Cambria"/>
      <w:sz w:val="18"/>
      <w:lang w:eastAsia="en-US"/>
    </w:rPr>
  </w:style>
  <w:style w:type="character" w:customStyle="1" w:styleId="FooterChar">
    <w:name w:val="Footer Char"/>
    <w:link w:val="Footer"/>
    <w:uiPriority w:val="99"/>
    <w:rsid w:val="003475E2"/>
    <w:rPr>
      <w:rFonts w:eastAsia="Cambria"/>
      <w:color w:val="000000"/>
      <w:sz w:val="18"/>
      <w:lang w:eastAsia="en-US"/>
    </w:rPr>
  </w:style>
  <w:style w:type="numbering" w:customStyle="1" w:styleId="HangingList">
    <w:name w:val="HangingList"/>
    <w:uiPriority w:val="99"/>
    <w:locked/>
    <w:rsid w:val="00DD7311"/>
    <w:pPr>
      <w:numPr>
        <w:numId w:val="1"/>
      </w:numPr>
    </w:pPr>
  </w:style>
  <w:style w:type="paragraph" w:styleId="Header">
    <w:name w:val="header"/>
    <w:basedOn w:val="Normal"/>
    <w:link w:val="HeaderChar"/>
    <w:uiPriority w:val="99"/>
    <w:locked/>
    <w:rsid w:val="007D7B46"/>
    <w:pPr>
      <w:tabs>
        <w:tab w:val="center" w:pos="4513"/>
        <w:tab w:val="right" w:pos="9026"/>
      </w:tabs>
      <w:spacing w:line="240" w:lineRule="auto"/>
    </w:pPr>
    <w:rPr>
      <w:sz w:val="18"/>
    </w:rPr>
  </w:style>
  <w:style w:type="character" w:customStyle="1" w:styleId="HeaderChar">
    <w:name w:val="Header Char"/>
    <w:link w:val="Header"/>
    <w:uiPriority w:val="99"/>
    <w:rsid w:val="007D7B46"/>
    <w:rPr>
      <w:sz w:val="18"/>
    </w:rPr>
  </w:style>
  <w:style w:type="paragraph" w:styleId="TOC6">
    <w:name w:val="toc 6"/>
    <w:basedOn w:val="Normal"/>
    <w:next w:val="Normal"/>
    <w:autoRedefine/>
    <w:uiPriority w:val="39"/>
    <w:unhideWhenUsed/>
    <w:rsid w:val="00440FE9"/>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40FE9"/>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40FE9"/>
    <w:pPr>
      <w:spacing w:after="100" w:line="259" w:lineRule="auto"/>
      <w:ind w:left="1540"/>
    </w:pPr>
    <w:rPr>
      <w:rFonts w:asciiTheme="minorHAnsi" w:eastAsiaTheme="minorEastAsia" w:hAnsiTheme="minorHAnsi" w:cstheme="minorBidi"/>
      <w:color w:val="auto"/>
      <w:sz w:val="22"/>
      <w:szCs w:val="22"/>
    </w:rPr>
  </w:style>
  <w:style w:type="character" w:customStyle="1" w:styleId="Heading1Char">
    <w:name w:val="Heading 1 Char"/>
    <w:link w:val="Heading1"/>
    <w:rsid w:val="006F5486"/>
    <w:rPr>
      <w:bCs/>
      <w:spacing w:val="-10"/>
      <w:sz w:val="38"/>
      <w:szCs w:val="32"/>
    </w:rPr>
  </w:style>
  <w:style w:type="character" w:customStyle="1" w:styleId="Heading2Char">
    <w:name w:val="Heading 2 Char"/>
    <w:link w:val="Heading2"/>
    <w:rsid w:val="007F1BFA"/>
    <w:rPr>
      <w:rFonts w:ascii="Arial Bold" w:hAnsi="Arial Bold"/>
      <w:bCs/>
      <w:sz w:val="24"/>
      <w:szCs w:val="26"/>
    </w:rPr>
  </w:style>
  <w:style w:type="character" w:customStyle="1" w:styleId="Heading3Char">
    <w:name w:val="Heading 3 Char"/>
    <w:link w:val="Heading3"/>
    <w:rsid w:val="007F1BFA"/>
    <w:rPr>
      <w:rFonts w:ascii="Arial Bold" w:hAnsi="Arial Bold"/>
      <w:bCs/>
      <w:sz w:val="22"/>
    </w:rPr>
  </w:style>
  <w:style w:type="character" w:customStyle="1" w:styleId="Heading4Char">
    <w:name w:val="Heading 4 Char"/>
    <w:link w:val="Heading4"/>
    <w:rsid w:val="007F1BFA"/>
    <w:rPr>
      <w:rFonts w:ascii="Arial Bold" w:hAnsi="Arial Bold"/>
      <w:bCs/>
      <w:iCs/>
      <w:color w:val="auto"/>
    </w:rPr>
  </w:style>
  <w:style w:type="character" w:customStyle="1" w:styleId="Heading7Char">
    <w:name w:val="Heading 7 Char"/>
    <w:link w:val="Heading7"/>
    <w:semiHidden/>
    <w:rsid w:val="00DD7311"/>
    <w:rPr>
      <w:rFonts w:ascii="Arial" w:eastAsia="Times New Roman" w:hAnsi="Arial" w:cs="Times New Roman"/>
      <w:b/>
      <w:iCs/>
      <w:sz w:val="18"/>
      <w:szCs w:val="18"/>
    </w:rPr>
  </w:style>
  <w:style w:type="character" w:customStyle="1" w:styleId="Heading8Char">
    <w:name w:val="Heading 8 Char"/>
    <w:link w:val="Heading8"/>
    <w:semiHidden/>
    <w:rsid w:val="00E42602"/>
    <w:rPr>
      <w:spacing w:val="-10"/>
      <w:sz w:val="38"/>
      <w:lang w:eastAsia="en-US"/>
    </w:rPr>
  </w:style>
  <w:style w:type="character" w:customStyle="1" w:styleId="Heading9Char">
    <w:name w:val="Heading 9 Char"/>
    <w:link w:val="Heading9"/>
    <w:semiHidden/>
    <w:rsid w:val="00E42602"/>
    <w:rPr>
      <w:rFonts w:cs="Arial"/>
      <w:b/>
      <w:sz w:val="28"/>
    </w:rPr>
  </w:style>
  <w:style w:type="numbering" w:customStyle="1" w:styleId="Headings">
    <w:name w:val="Headings"/>
    <w:uiPriority w:val="99"/>
    <w:locked/>
    <w:rsid w:val="00DD7311"/>
    <w:pPr>
      <w:numPr>
        <w:numId w:val="2"/>
      </w:numPr>
    </w:pPr>
  </w:style>
  <w:style w:type="character" w:styleId="Hyperlink">
    <w:name w:val="Hyperlink"/>
    <w:uiPriority w:val="99"/>
    <w:unhideWhenUsed/>
    <w:locked/>
    <w:rsid w:val="0004061B"/>
    <w:rPr>
      <w:color w:val="0000FF"/>
      <w:u w:val="single"/>
    </w:rPr>
  </w:style>
  <w:style w:type="character" w:styleId="FollowedHyperlink">
    <w:name w:val="FollowedHyperlink"/>
    <w:uiPriority w:val="99"/>
    <w:locked/>
    <w:rsid w:val="003E7C0D"/>
    <w:rPr>
      <w:color w:val="0000FF"/>
      <w:u w:val="single"/>
    </w:rPr>
  </w:style>
  <w:style w:type="paragraph" w:styleId="ListBullet">
    <w:name w:val="List Bullet"/>
    <w:basedOn w:val="BodyText"/>
    <w:qFormat/>
    <w:locked/>
    <w:rsid w:val="00B87F60"/>
    <w:pPr>
      <w:numPr>
        <w:numId w:val="10"/>
      </w:numPr>
      <w:tabs>
        <w:tab w:val="clear" w:pos="2268"/>
        <w:tab w:val="clear" w:pos="4536"/>
        <w:tab w:val="clear" w:pos="6804"/>
        <w:tab w:val="clear" w:pos="9638"/>
      </w:tabs>
      <w:spacing w:before="60" w:after="60"/>
    </w:pPr>
  </w:style>
  <w:style w:type="paragraph" w:styleId="ListBullet2">
    <w:name w:val="List Bullet 2"/>
    <w:basedOn w:val="ListBullet"/>
    <w:qFormat/>
    <w:locked/>
    <w:rsid w:val="00B87F60"/>
    <w:pPr>
      <w:numPr>
        <w:ilvl w:val="1"/>
      </w:numPr>
    </w:pPr>
  </w:style>
  <w:style w:type="paragraph" w:styleId="ListBullet3">
    <w:name w:val="List Bullet 3"/>
    <w:basedOn w:val="ListBullet2"/>
    <w:qFormat/>
    <w:locked/>
    <w:rsid w:val="00345F29"/>
    <w:pPr>
      <w:numPr>
        <w:ilvl w:val="2"/>
      </w:numPr>
    </w:pPr>
  </w:style>
  <w:style w:type="paragraph" w:styleId="ListContinue">
    <w:name w:val="List Continue"/>
    <w:basedOn w:val="Normal"/>
    <w:locked/>
    <w:rsid w:val="003C3FC2"/>
    <w:pPr>
      <w:spacing w:before="120" w:after="120"/>
      <w:ind w:left="397"/>
    </w:pPr>
  </w:style>
  <w:style w:type="paragraph" w:styleId="ListNumber">
    <w:name w:val="List Number"/>
    <w:basedOn w:val="BodyText"/>
    <w:qFormat/>
    <w:locked/>
    <w:rsid w:val="00D02C00"/>
    <w:pPr>
      <w:numPr>
        <w:numId w:val="3"/>
      </w:numPr>
      <w:tabs>
        <w:tab w:val="clear" w:pos="2268"/>
        <w:tab w:val="clear" w:pos="4536"/>
        <w:tab w:val="clear" w:pos="6804"/>
        <w:tab w:val="clear" w:pos="9638"/>
      </w:tabs>
      <w:spacing w:before="120" w:after="120"/>
    </w:pPr>
  </w:style>
  <w:style w:type="paragraph" w:styleId="ListNumber2">
    <w:name w:val="List Number 2"/>
    <w:basedOn w:val="ListNumber"/>
    <w:qFormat/>
    <w:locked/>
    <w:rsid w:val="00B87F60"/>
    <w:pPr>
      <w:numPr>
        <w:ilvl w:val="1"/>
      </w:numPr>
    </w:pPr>
  </w:style>
  <w:style w:type="paragraph" w:styleId="ListNumber3">
    <w:name w:val="List Number 3"/>
    <w:basedOn w:val="ListNumber2"/>
    <w:qFormat/>
    <w:locked/>
    <w:rsid w:val="00A61A2B"/>
    <w:pPr>
      <w:numPr>
        <w:ilvl w:val="2"/>
      </w:numPr>
    </w:pPr>
  </w:style>
  <w:style w:type="paragraph" w:styleId="TOC9">
    <w:name w:val="toc 9"/>
    <w:basedOn w:val="Normal"/>
    <w:next w:val="Normal"/>
    <w:autoRedefine/>
    <w:uiPriority w:val="39"/>
    <w:unhideWhenUsed/>
    <w:rsid w:val="00440FE9"/>
    <w:pPr>
      <w:spacing w:after="100" w:line="259" w:lineRule="auto"/>
      <w:ind w:left="1760"/>
    </w:pPr>
    <w:rPr>
      <w:rFonts w:asciiTheme="minorHAnsi" w:eastAsiaTheme="minorEastAsia" w:hAnsiTheme="minorHAnsi" w:cstheme="minorBidi"/>
      <w:color w:val="auto"/>
      <w:sz w:val="22"/>
      <w:szCs w:val="22"/>
    </w:rPr>
  </w:style>
  <w:style w:type="character" w:styleId="PlaceholderText">
    <w:name w:val="Placeholder Text"/>
    <w:uiPriority w:val="99"/>
    <w:semiHidden/>
    <w:locked/>
    <w:rsid w:val="00DD7311"/>
    <w:rPr>
      <w:color w:val="808080"/>
    </w:rPr>
  </w:style>
  <w:style w:type="paragraph" w:customStyle="1" w:styleId="TableBodyText">
    <w:name w:val="Table Body Text"/>
    <w:basedOn w:val="Normal"/>
    <w:qFormat/>
    <w:locked/>
    <w:rsid w:val="007F1BFA"/>
    <w:pPr>
      <w:spacing w:line="240" w:lineRule="auto"/>
      <w:ind w:left="28" w:right="113"/>
    </w:pPr>
    <w:rPr>
      <w:sz w:val="18"/>
    </w:rPr>
  </w:style>
  <w:style w:type="paragraph" w:customStyle="1" w:styleId="Footnotes">
    <w:name w:val="Footnotes"/>
    <w:basedOn w:val="Normal"/>
    <w:qFormat/>
    <w:locked/>
    <w:rsid w:val="00662E98"/>
    <w:pPr>
      <w:numPr>
        <w:ilvl w:val="1"/>
        <w:numId w:val="5"/>
      </w:numPr>
      <w:spacing w:before="40" w:after="280" w:line="180" w:lineRule="atLeast"/>
      <w:contextualSpacing/>
    </w:pPr>
    <w:rPr>
      <w:sz w:val="16"/>
    </w:rPr>
  </w:style>
  <w:style w:type="table" w:styleId="TableGrid">
    <w:name w:val="Table Grid"/>
    <w:basedOn w:val="TableNormal"/>
    <w:uiPriority w:val="59"/>
    <w:locked/>
    <w:rsid w:val="00DD1123"/>
    <w:pPr>
      <w:spacing w:line="276" w:lineRule="auto"/>
    </w:pPr>
    <w:tblPr>
      <w:tblBorders>
        <w:top w:val="single" w:sz="4" w:space="0" w:color="auto"/>
        <w:bottom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rPr>
        <w:rFonts w:ascii="Arial Bold" w:hAnsi="Arial Bold"/>
      </w:rPr>
      <w:tblPr/>
      <w:trPr>
        <w:cantSplit w:val="0"/>
        <w:tblHeader/>
      </w:trPr>
    </w:tblStylePr>
  </w:style>
  <w:style w:type="paragraph" w:customStyle="1" w:styleId="TableHeading">
    <w:name w:val="Table Heading"/>
    <w:basedOn w:val="TableBodyText"/>
    <w:qFormat/>
    <w:locked/>
    <w:rsid w:val="007F1BFA"/>
    <w:rPr>
      <w:b/>
      <w:color w:val="auto"/>
    </w:rPr>
  </w:style>
  <w:style w:type="paragraph" w:customStyle="1" w:styleId="TableListBullet">
    <w:name w:val="Table List Bullet"/>
    <w:basedOn w:val="Normal"/>
    <w:qFormat/>
    <w:locked/>
    <w:rsid w:val="00525182"/>
    <w:pPr>
      <w:numPr>
        <w:numId w:val="17"/>
      </w:numPr>
      <w:spacing w:before="40" w:line="240" w:lineRule="auto"/>
      <w:ind w:right="113"/>
    </w:pPr>
    <w:rPr>
      <w:sz w:val="18"/>
    </w:rPr>
  </w:style>
  <w:style w:type="numbering" w:customStyle="1" w:styleId="TableBullets">
    <w:name w:val="TableBullets"/>
    <w:uiPriority w:val="99"/>
    <w:locked/>
    <w:rsid w:val="00DD7311"/>
    <w:pPr>
      <w:numPr>
        <w:numId w:val="6"/>
      </w:numPr>
    </w:pPr>
  </w:style>
  <w:style w:type="numbering" w:customStyle="1" w:styleId="TableFootnotes">
    <w:name w:val="TableFootnotes"/>
    <w:uiPriority w:val="99"/>
    <w:locked/>
    <w:rsid w:val="00DD7311"/>
    <w:pPr>
      <w:numPr>
        <w:numId w:val="7"/>
      </w:numPr>
    </w:pPr>
  </w:style>
  <w:style w:type="numbering" w:customStyle="1" w:styleId="TableNumbering">
    <w:name w:val="TableNumbering"/>
    <w:uiPriority w:val="99"/>
    <w:locked/>
    <w:rsid w:val="00DD7311"/>
    <w:pPr>
      <w:numPr>
        <w:numId w:val="8"/>
      </w:numPr>
    </w:pPr>
  </w:style>
  <w:style w:type="paragraph" w:styleId="Title">
    <w:name w:val="Title"/>
    <w:basedOn w:val="Normal"/>
    <w:link w:val="TitleChar"/>
    <w:uiPriority w:val="99"/>
    <w:locked/>
    <w:rsid w:val="00E946F1"/>
    <w:pPr>
      <w:spacing w:before="240" w:after="240" w:line="240" w:lineRule="auto"/>
      <w:jc w:val="center"/>
      <w:outlineLvl w:val="0"/>
    </w:pPr>
    <w:rPr>
      <w:rFonts w:ascii="Arial Bold" w:hAnsi="Arial Bold"/>
      <w:color w:val="auto"/>
      <w:sz w:val="32"/>
      <w:szCs w:val="96"/>
    </w:rPr>
  </w:style>
  <w:style w:type="character" w:customStyle="1" w:styleId="TitleChar">
    <w:name w:val="Title Char"/>
    <w:link w:val="Title"/>
    <w:uiPriority w:val="99"/>
    <w:rsid w:val="00E946F1"/>
    <w:rPr>
      <w:rFonts w:ascii="Arial Bold" w:hAnsi="Arial Bold"/>
      <w:sz w:val="32"/>
      <w:szCs w:val="96"/>
    </w:rPr>
  </w:style>
  <w:style w:type="paragraph" w:styleId="Subtitle">
    <w:name w:val="Subtitle"/>
    <w:basedOn w:val="Normal"/>
    <w:next w:val="Normal"/>
    <w:link w:val="SubtitleChar"/>
    <w:locked/>
    <w:rsid w:val="007F1BFA"/>
    <w:pPr>
      <w:ind w:right="2551"/>
    </w:pPr>
    <w:rPr>
      <w:sz w:val="44"/>
      <w:szCs w:val="60"/>
    </w:rPr>
  </w:style>
  <w:style w:type="paragraph" w:styleId="TOC1">
    <w:name w:val="toc 1"/>
    <w:basedOn w:val="Normal"/>
    <w:next w:val="Normal"/>
    <w:autoRedefine/>
    <w:uiPriority w:val="39"/>
    <w:locked/>
    <w:rsid w:val="00BD6E5E"/>
    <w:pPr>
      <w:keepNext/>
      <w:tabs>
        <w:tab w:val="left" w:pos="567"/>
        <w:tab w:val="right" w:leader="dot" w:pos="9071"/>
      </w:tabs>
      <w:spacing w:before="180" w:after="70"/>
      <w:ind w:right="851"/>
    </w:pPr>
    <w:rPr>
      <w:rFonts w:ascii="Arial Bold" w:hAnsi="Arial Bold"/>
      <w:noProof/>
    </w:rPr>
  </w:style>
  <w:style w:type="paragraph" w:styleId="TOC2">
    <w:name w:val="toc 2"/>
    <w:basedOn w:val="Normal"/>
    <w:next w:val="Normal"/>
    <w:autoRedefine/>
    <w:uiPriority w:val="39"/>
    <w:locked/>
    <w:rsid w:val="006E6DDD"/>
    <w:pPr>
      <w:tabs>
        <w:tab w:val="right" w:leader="dot" w:pos="9071"/>
      </w:tabs>
      <w:spacing w:before="90" w:after="90"/>
      <w:ind w:right="851"/>
    </w:pPr>
    <w:rPr>
      <w:noProof/>
    </w:rPr>
  </w:style>
  <w:style w:type="paragraph" w:styleId="TOC3">
    <w:name w:val="toc 3"/>
    <w:basedOn w:val="Normal"/>
    <w:next w:val="Normal"/>
    <w:autoRedefine/>
    <w:uiPriority w:val="39"/>
    <w:locked/>
    <w:rsid w:val="006E6DDD"/>
    <w:pPr>
      <w:tabs>
        <w:tab w:val="right" w:leader="dot" w:pos="9071"/>
      </w:tabs>
      <w:spacing w:before="90" w:after="90"/>
      <w:ind w:left="567" w:right="851"/>
    </w:pPr>
    <w:rPr>
      <w:noProof/>
    </w:rPr>
  </w:style>
  <w:style w:type="paragraph" w:customStyle="1" w:styleId="xDocumentDetails">
    <w:name w:val="xDocument Details"/>
    <w:basedOn w:val="Normal"/>
    <w:semiHidden/>
    <w:qFormat/>
    <w:locked/>
    <w:rsid w:val="00DD7311"/>
    <w:pPr>
      <w:framePr w:hSpace="181" w:vSpace="567" w:wrap="around" w:hAnchor="margin" w:yAlign="bottom"/>
      <w:tabs>
        <w:tab w:val="left" w:pos="2268"/>
      </w:tabs>
      <w:ind w:left="2268" w:hanging="2268"/>
      <w:suppressOverlap/>
    </w:pPr>
  </w:style>
  <w:style w:type="character" w:customStyle="1" w:styleId="SubtitleChar">
    <w:name w:val="Subtitle Char"/>
    <w:link w:val="Subtitle"/>
    <w:rsid w:val="007F1BFA"/>
    <w:rPr>
      <w:rFonts w:ascii="Arial" w:hAnsi="Arial"/>
      <w:color w:val="000000"/>
      <w:sz w:val="44"/>
      <w:szCs w:val="60"/>
    </w:rPr>
  </w:style>
  <w:style w:type="paragraph" w:styleId="ListContinue2">
    <w:name w:val="List Continue 2"/>
    <w:basedOn w:val="Normal"/>
    <w:locked/>
    <w:rsid w:val="00EE6483"/>
    <w:pPr>
      <w:spacing w:before="120" w:after="60"/>
      <w:ind w:left="794"/>
    </w:pPr>
  </w:style>
  <w:style w:type="paragraph" w:styleId="ListContinue3">
    <w:name w:val="List Continue 3"/>
    <w:basedOn w:val="Normal"/>
    <w:locked/>
    <w:rsid w:val="00EE6483"/>
    <w:pPr>
      <w:spacing w:before="120" w:after="60"/>
      <w:ind w:left="1191"/>
    </w:pPr>
  </w:style>
  <w:style w:type="paragraph" w:styleId="NoSpacing">
    <w:name w:val="No Spacing"/>
    <w:basedOn w:val="Normal"/>
    <w:next w:val="BodyText"/>
    <w:locked/>
    <w:rsid w:val="004D457F"/>
  </w:style>
  <w:style w:type="paragraph" w:styleId="Date">
    <w:name w:val="Date"/>
    <w:basedOn w:val="Normal"/>
    <w:next w:val="Normal"/>
    <w:link w:val="DateChar"/>
    <w:semiHidden/>
    <w:locked/>
    <w:rsid w:val="00AE5749"/>
    <w:pPr>
      <w:spacing w:before="360"/>
      <w:jc w:val="center"/>
    </w:pPr>
    <w:rPr>
      <w:sz w:val="32"/>
    </w:rPr>
  </w:style>
  <w:style w:type="character" w:customStyle="1" w:styleId="DateChar">
    <w:name w:val="Date Char"/>
    <w:link w:val="Date"/>
    <w:semiHidden/>
    <w:rsid w:val="000B59CB"/>
    <w:rPr>
      <w:color w:val="000000"/>
      <w:sz w:val="32"/>
      <w:szCs w:val="18"/>
    </w:rPr>
  </w:style>
  <w:style w:type="paragraph" w:customStyle="1" w:styleId="FooterLeftText">
    <w:name w:val="Footer Left Text"/>
    <w:semiHidden/>
    <w:locked/>
    <w:rsid w:val="00F27994"/>
    <w:pPr>
      <w:framePr w:hSpace="113" w:wrap="around" w:vAnchor="page" w:hAnchor="margin" w:yAlign="bottom"/>
      <w:spacing w:line="288" w:lineRule="auto"/>
    </w:pPr>
    <w:rPr>
      <w:color w:val="5B5652"/>
      <w:sz w:val="18"/>
      <w:szCs w:val="18"/>
    </w:rPr>
  </w:style>
  <w:style w:type="paragraph" w:customStyle="1" w:styleId="Address">
    <w:name w:val="Address"/>
    <w:basedOn w:val="Normal"/>
    <w:semiHidden/>
    <w:locked/>
    <w:rsid w:val="00C6084A"/>
    <w:pPr>
      <w:framePr w:hSpace="181" w:wrap="around" w:vAnchor="page" w:hAnchor="page" w:xAlign="right" w:yAlign="bottom"/>
      <w:tabs>
        <w:tab w:val="left" w:pos="227"/>
      </w:tabs>
      <w:suppressOverlap/>
    </w:pPr>
    <w:rPr>
      <w:noProof/>
      <w:color w:val="FFFFFF"/>
    </w:rPr>
  </w:style>
  <w:style w:type="character" w:customStyle="1" w:styleId="Heading5Char">
    <w:name w:val="Heading 5 Char"/>
    <w:link w:val="Heading5"/>
    <w:rsid w:val="007F1BFA"/>
    <w:rPr>
      <w:rFonts w:ascii="Arial" w:hAnsi="Arial"/>
      <w:b/>
      <w:color w:val="000000"/>
    </w:rPr>
  </w:style>
  <w:style w:type="character" w:customStyle="1" w:styleId="Heading6Char">
    <w:name w:val="Heading 6 Char"/>
    <w:link w:val="Heading6"/>
    <w:semiHidden/>
    <w:rsid w:val="00E42602"/>
    <w:rPr>
      <w:i/>
      <w:iCs/>
      <w:color w:val="000000"/>
      <w:lang w:eastAsia="en-US"/>
    </w:rPr>
  </w:style>
  <w:style w:type="paragraph" w:styleId="ListParagraph">
    <w:name w:val="List Paragraph"/>
    <w:basedOn w:val="Normal"/>
    <w:uiPriority w:val="1"/>
    <w:qFormat/>
    <w:locked/>
    <w:rsid w:val="00C778F0"/>
    <w:pPr>
      <w:spacing w:before="120" w:after="120"/>
      <w:ind w:left="720"/>
    </w:pPr>
    <w:rPr>
      <w:rFonts w:eastAsia="Calibri"/>
      <w:lang w:eastAsia="en-US"/>
    </w:rPr>
  </w:style>
  <w:style w:type="paragraph" w:styleId="Revision">
    <w:name w:val="Revision"/>
    <w:hidden/>
    <w:rsid w:val="009E7348"/>
    <w:rPr>
      <w:rFonts w:ascii="Calibri" w:eastAsia="Calibri" w:hAnsi="Calibri"/>
      <w:color w:val="000000"/>
      <w:lang w:eastAsia="en-US"/>
    </w:rPr>
  </w:style>
  <w:style w:type="paragraph" w:styleId="FootnoteText">
    <w:name w:val="footnote text"/>
    <w:basedOn w:val="Normal"/>
    <w:link w:val="FootnoteTextChar"/>
    <w:locked/>
    <w:rsid w:val="00262A91"/>
    <w:pPr>
      <w:spacing w:line="240" w:lineRule="auto"/>
    </w:pPr>
    <w:rPr>
      <w:sz w:val="16"/>
    </w:rPr>
  </w:style>
  <w:style w:type="character" w:customStyle="1" w:styleId="FootnoteTextChar">
    <w:name w:val="Footnote Text Char"/>
    <w:link w:val="FootnoteText"/>
    <w:rsid w:val="00262A91"/>
    <w:rPr>
      <w:sz w:val="16"/>
    </w:rPr>
  </w:style>
  <w:style w:type="character" w:styleId="FootnoteReference">
    <w:name w:val="footnote reference"/>
    <w:locked/>
    <w:rsid w:val="00617C92"/>
    <w:rPr>
      <w:vertAlign w:val="superscript"/>
    </w:rPr>
  </w:style>
  <w:style w:type="table" w:styleId="LightGrid-Accent6">
    <w:name w:val="Light Grid Accent 6"/>
    <w:basedOn w:val="TableNormal"/>
    <w:uiPriority w:val="62"/>
    <w:locked/>
    <w:rsid w:val="0095594E"/>
    <w:tblPr>
      <w:tblStyleRowBandSize w:val="1"/>
      <w:tblStyleColBandSize w:val="1"/>
      <w:tblBorders>
        <w:top w:val="single" w:sz="8" w:space="0" w:color="878686"/>
        <w:left w:val="single" w:sz="8" w:space="0" w:color="878686"/>
        <w:bottom w:val="single" w:sz="8" w:space="0" w:color="878686"/>
        <w:right w:val="single" w:sz="8" w:space="0" w:color="878686"/>
        <w:insideH w:val="single" w:sz="8" w:space="0" w:color="878686"/>
        <w:insideV w:val="single" w:sz="8" w:space="0" w:color="878686"/>
      </w:tblBorders>
    </w:tblPr>
    <w:tblStylePr w:type="firstRow">
      <w:pPr>
        <w:spacing w:before="0" w:after="0" w:line="240" w:lineRule="auto"/>
      </w:pPr>
      <w:rPr>
        <w:rFonts w:ascii="Arial" w:eastAsia="Times New Roman" w:hAnsi="Arial" w:cs="Times New Roman"/>
        <w:b/>
        <w:bCs/>
      </w:rPr>
      <w:tblPr/>
      <w:tcPr>
        <w:tcBorders>
          <w:top w:val="single" w:sz="8" w:space="0" w:color="878686"/>
          <w:left w:val="single" w:sz="8" w:space="0" w:color="878686"/>
          <w:bottom w:val="single" w:sz="18" w:space="0" w:color="878686"/>
          <w:right w:val="single" w:sz="8" w:space="0" w:color="878686"/>
          <w:insideH w:val="nil"/>
          <w:insideV w:val="single" w:sz="8" w:space="0" w:color="878686"/>
        </w:tcBorders>
      </w:tcPr>
    </w:tblStylePr>
    <w:tblStylePr w:type="lastRow">
      <w:pPr>
        <w:spacing w:before="0" w:after="0" w:line="240" w:lineRule="auto"/>
      </w:pPr>
      <w:rPr>
        <w:rFonts w:ascii="Arial" w:eastAsia="Times New Roman" w:hAnsi="Arial" w:cs="Times New Roman"/>
        <w:b/>
        <w:bCs/>
      </w:rPr>
      <w:tblPr/>
      <w:tcPr>
        <w:tcBorders>
          <w:top w:val="double" w:sz="6" w:space="0" w:color="878686"/>
          <w:left w:val="single" w:sz="8" w:space="0" w:color="878686"/>
          <w:bottom w:val="single" w:sz="8" w:space="0" w:color="878686"/>
          <w:right w:val="single" w:sz="8" w:space="0" w:color="878686"/>
          <w:insideH w:val="nil"/>
          <w:insideV w:val="single" w:sz="8" w:space="0" w:color="87868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78686"/>
          <w:left w:val="single" w:sz="8" w:space="0" w:color="878686"/>
          <w:bottom w:val="single" w:sz="8" w:space="0" w:color="878686"/>
          <w:right w:val="single" w:sz="8" w:space="0" w:color="878686"/>
        </w:tcBorders>
      </w:tcPr>
    </w:tblStylePr>
    <w:tblStylePr w:type="band1Vert">
      <w:tblPr/>
      <w:tcPr>
        <w:tcBorders>
          <w:top w:val="single" w:sz="8" w:space="0" w:color="878686"/>
          <w:left w:val="single" w:sz="8" w:space="0" w:color="878686"/>
          <w:bottom w:val="single" w:sz="8" w:space="0" w:color="878686"/>
          <w:right w:val="single" w:sz="8" w:space="0" w:color="878686"/>
        </w:tcBorders>
        <w:shd w:val="clear" w:color="auto" w:fill="E1E1E1"/>
      </w:tcPr>
    </w:tblStylePr>
    <w:tblStylePr w:type="band1Horz">
      <w:tblPr/>
      <w:tcPr>
        <w:tcBorders>
          <w:top w:val="single" w:sz="8" w:space="0" w:color="878686"/>
          <w:left w:val="single" w:sz="8" w:space="0" w:color="878686"/>
          <w:bottom w:val="single" w:sz="8" w:space="0" w:color="878686"/>
          <w:right w:val="single" w:sz="8" w:space="0" w:color="878686"/>
          <w:insideV w:val="single" w:sz="8" w:space="0" w:color="878686"/>
        </w:tcBorders>
        <w:shd w:val="clear" w:color="auto" w:fill="E1E1E1"/>
      </w:tcPr>
    </w:tblStylePr>
    <w:tblStylePr w:type="band2Horz">
      <w:tblPr/>
      <w:tcPr>
        <w:tcBorders>
          <w:top w:val="single" w:sz="8" w:space="0" w:color="878686"/>
          <w:left w:val="single" w:sz="8" w:space="0" w:color="878686"/>
          <w:bottom w:val="single" w:sz="8" w:space="0" w:color="878686"/>
          <w:right w:val="single" w:sz="8" w:space="0" w:color="878686"/>
          <w:insideV w:val="single" w:sz="8" w:space="0" w:color="878686"/>
        </w:tcBorders>
      </w:tcPr>
    </w:tblStylePr>
  </w:style>
  <w:style w:type="character" w:customStyle="1" w:styleId="Bold">
    <w:name w:val="Bold"/>
    <w:qFormat/>
    <w:locked/>
    <w:rsid w:val="00575665"/>
    <w:rPr>
      <w:rFonts w:ascii="Arial Bold" w:hAnsi="Arial Bold"/>
      <w:b w:val="0"/>
    </w:rPr>
  </w:style>
  <w:style w:type="table" w:customStyle="1" w:styleId="FinancialTable">
    <w:name w:val="Financial Table"/>
    <w:basedOn w:val="TableNormal"/>
    <w:uiPriority w:val="99"/>
    <w:locked/>
    <w:rsid w:val="007F1BFA"/>
    <w:pPr>
      <w:ind w:left="28" w:right="113"/>
      <w:jc w:val="right"/>
    </w:pPr>
    <w:rPr>
      <w:sz w:val="18"/>
    </w:rPr>
    <w:tblPr>
      <w:tblBorders>
        <w:top w:val="single" w:sz="4" w:space="0" w:color="auto"/>
        <w:bottom w:val="single" w:sz="4" w:space="0" w:color="auto"/>
      </w:tblBorders>
      <w:tblCellMar>
        <w:top w:w="57" w:type="dxa"/>
        <w:left w:w="0" w:type="dxa"/>
        <w:bottom w:w="28" w:type="dxa"/>
        <w:right w:w="0" w:type="dxa"/>
      </w:tblCellMar>
    </w:tblPr>
    <w:trPr>
      <w:cantSplit/>
    </w:trPr>
    <w:tblStylePr w:type="firstRow">
      <w:pPr>
        <w:keepNext/>
        <w:wordWrap/>
        <w:jc w:val="right"/>
      </w:pPr>
      <w:rPr>
        <w:b w:val="0"/>
        <w:color w:val="auto"/>
      </w:rPr>
      <w:tblPr/>
      <w:trPr>
        <w:tblHeader/>
      </w:trPr>
      <w:tcPr>
        <w:tcBorders>
          <w:top w:val="single" w:sz="4" w:space="0" w:color="auto"/>
          <w:left w:val="nil"/>
          <w:bottom w:val="single" w:sz="4" w:space="0" w:color="auto"/>
          <w:right w:val="nil"/>
          <w:insideH w:val="nil"/>
          <w:insideV w:val="nil"/>
          <w:tl2br w:val="nil"/>
          <w:tr2bl w:val="nil"/>
        </w:tcBorders>
        <w:vAlign w:val="bottom"/>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Pr/>
      <w:tcPr>
        <w:vAlign w:val="bottom"/>
      </w:tcPr>
    </w:tblStylePr>
    <w:tblStylePr w:type="swCell">
      <w:tblPr/>
      <w:tcPr>
        <w:tcBorders>
          <w:top w:val="nil"/>
          <w:left w:val="nil"/>
          <w:bottom w:val="single" w:sz="4" w:space="0" w:color="auto"/>
          <w:right w:val="nil"/>
          <w:insideH w:val="nil"/>
          <w:insideV w:val="nil"/>
          <w:tl2br w:val="nil"/>
          <w:tr2bl w:val="nil"/>
        </w:tcBorders>
      </w:tcPr>
    </w:tblStylePr>
  </w:style>
  <w:style w:type="table" w:styleId="Table3Deffects1">
    <w:name w:val="Table 3D effects 1"/>
    <w:basedOn w:val="TableNormal"/>
    <w:locked/>
    <w:rsid w:val="000375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ListAlpha">
    <w:name w:val="List Alpha"/>
    <w:basedOn w:val="Normal"/>
    <w:qFormat/>
    <w:locked/>
    <w:rsid w:val="00D02C00"/>
    <w:pPr>
      <w:numPr>
        <w:numId w:val="12"/>
      </w:numPr>
      <w:spacing w:before="120" w:after="120"/>
    </w:pPr>
  </w:style>
  <w:style w:type="paragraph" w:customStyle="1" w:styleId="ListAlpha2">
    <w:name w:val="List Alpha 2"/>
    <w:basedOn w:val="Normal"/>
    <w:qFormat/>
    <w:locked/>
    <w:rsid w:val="00D02C00"/>
    <w:pPr>
      <w:numPr>
        <w:ilvl w:val="1"/>
        <w:numId w:val="12"/>
      </w:numPr>
      <w:spacing w:before="120" w:after="120"/>
    </w:pPr>
  </w:style>
  <w:style w:type="paragraph" w:customStyle="1" w:styleId="ListAlpha3">
    <w:name w:val="List Alpha 3"/>
    <w:basedOn w:val="Normal"/>
    <w:qFormat/>
    <w:locked/>
    <w:rsid w:val="00D02C00"/>
    <w:pPr>
      <w:numPr>
        <w:ilvl w:val="2"/>
        <w:numId w:val="12"/>
      </w:numPr>
      <w:spacing w:before="120" w:after="120"/>
    </w:pPr>
  </w:style>
  <w:style w:type="character" w:styleId="CommentReference">
    <w:name w:val="annotation reference"/>
    <w:uiPriority w:val="99"/>
    <w:semiHidden/>
    <w:unhideWhenUsed/>
    <w:locked/>
    <w:rsid w:val="008C6BB4"/>
    <w:rPr>
      <w:sz w:val="16"/>
      <w:szCs w:val="16"/>
    </w:rPr>
  </w:style>
  <w:style w:type="paragraph" w:styleId="CommentText">
    <w:name w:val="annotation text"/>
    <w:basedOn w:val="Normal"/>
    <w:link w:val="CommentTextChar"/>
    <w:uiPriority w:val="99"/>
    <w:semiHidden/>
    <w:unhideWhenUsed/>
    <w:locked/>
    <w:rsid w:val="008C6BB4"/>
    <w:pPr>
      <w:spacing w:line="240" w:lineRule="auto"/>
    </w:pPr>
  </w:style>
  <w:style w:type="character" w:customStyle="1" w:styleId="CommentTextChar">
    <w:name w:val="Comment Text Char"/>
    <w:basedOn w:val="DefaultParagraphFont"/>
    <w:link w:val="CommentText"/>
    <w:uiPriority w:val="99"/>
    <w:semiHidden/>
    <w:rsid w:val="008C6BB4"/>
  </w:style>
  <w:style w:type="paragraph" w:styleId="CommentSubject">
    <w:name w:val="annotation subject"/>
    <w:basedOn w:val="CommentText"/>
    <w:next w:val="CommentText"/>
    <w:link w:val="CommentSubjectChar"/>
    <w:uiPriority w:val="99"/>
    <w:semiHidden/>
    <w:unhideWhenUsed/>
    <w:locked/>
    <w:rsid w:val="008C6BB4"/>
    <w:rPr>
      <w:b/>
      <w:bCs/>
    </w:rPr>
  </w:style>
  <w:style w:type="character" w:customStyle="1" w:styleId="CommentSubjectChar">
    <w:name w:val="Comment Subject Char"/>
    <w:link w:val="CommentSubject"/>
    <w:uiPriority w:val="99"/>
    <w:semiHidden/>
    <w:rsid w:val="008C6BB4"/>
    <w:rPr>
      <w:b/>
      <w:bCs/>
    </w:rPr>
  </w:style>
  <w:style w:type="paragraph" w:styleId="HTMLPreformatted">
    <w:name w:val="HTML Preformatted"/>
    <w:basedOn w:val="Normal"/>
    <w:link w:val="HTMLPreformattedChar"/>
    <w:semiHidden/>
    <w:unhideWhenUsed/>
    <w:locked/>
    <w:rsid w:val="008C6BB4"/>
    <w:pPr>
      <w:spacing w:line="240" w:lineRule="auto"/>
    </w:pPr>
    <w:rPr>
      <w:rFonts w:ascii="Consolas" w:hAnsi="Consolas" w:cs="Consolas"/>
    </w:rPr>
  </w:style>
  <w:style w:type="character" w:customStyle="1" w:styleId="HTMLPreformattedChar">
    <w:name w:val="HTML Preformatted Char"/>
    <w:link w:val="HTMLPreformatted"/>
    <w:semiHidden/>
    <w:rsid w:val="008C6BB4"/>
    <w:rPr>
      <w:rFonts w:ascii="Consolas" w:hAnsi="Consolas" w:cs="Consolas"/>
    </w:rPr>
  </w:style>
  <w:style w:type="paragraph" w:styleId="BodyTextIndent">
    <w:name w:val="Body Text Indent"/>
    <w:basedOn w:val="Normal"/>
    <w:link w:val="BodyTextIndentChar"/>
    <w:unhideWhenUsed/>
    <w:locked/>
    <w:rsid w:val="00AF4B2A"/>
    <w:pPr>
      <w:tabs>
        <w:tab w:val="left" w:pos="1134"/>
      </w:tabs>
      <w:spacing w:after="120"/>
      <w:ind w:left="567"/>
    </w:pPr>
  </w:style>
  <w:style w:type="character" w:customStyle="1" w:styleId="BodyTextIndentChar">
    <w:name w:val="Body Text Indent Char"/>
    <w:basedOn w:val="DefaultParagraphFont"/>
    <w:link w:val="BodyTextIndent"/>
    <w:rsid w:val="00AF4B2A"/>
    <w:rPr>
      <w:color w:val="000000"/>
    </w:rPr>
  </w:style>
  <w:style w:type="paragraph" w:styleId="BodyText3">
    <w:name w:val="Body Text 3"/>
    <w:basedOn w:val="Normal"/>
    <w:link w:val="BodyText3Char"/>
    <w:semiHidden/>
    <w:unhideWhenUsed/>
    <w:locked/>
    <w:rsid w:val="008C6BB4"/>
    <w:pPr>
      <w:spacing w:after="120"/>
    </w:pPr>
    <w:rPr>
      <w:sz w:val="16"/>
      <w:szCs w:val="16"/>
    </w:rPr>
  </w:style>
  <w:style w:type="character" w:customStyle="1" w:styleId="BodyText3Char">
    <w:name w:val="Body Text 3 Char"/>
    <w:link w:val="BodyText3"/>
    <w:semiHidden/>
    <w:rsid w:val="008C6BB4"/>
    <w:rPr>
      <w:sz w:val="16"/>
      <w:szCs w:val="16"/>
    </w:rPr>
  </w:style>
  <w:style w:type="paragraph" w:styleId="BodyText2">
    <w:name w:val="Body Text 2"/>
    <w:basedOn w:val="Normal"/>
    <w:link w:val="BodyText2Char"/>
    <w:semiHidden/>
    <w:unhideWhenUsed/>
    <w:locked/>
    <w:rsid w:val="008C6BB4"/>
    <w:pPr>
      <w:spacing w:after="120" w:line="480" w:lineRule="auto"/>
    </w:pPr>
  </w:style>
  <w:style w:type="character" w:customStyle="1" w:styleId="BodyText2Char">
    <w:name w:val="Body Text 2 Char"/>
    <w:basedOn w:val="DefaultParagraphFont"/>
    <w:link w:val="BodyText2"/>
    <w:semiHidden/>
    <w:rsid w:val="008C6BB4"/>
  </w:style>
  <w:style w:type="paragraph" w:styleId="BodyTextIndent2">
    <w:name w:val="Body Text Indent 2"/>
    <w:basedOn w:val="Normal"/>
    <w:link w:val="BodyTextIndent2Char"/>
    <w:semiHidden/>
    <w:unhideWhenUsed/>
    <w:locked/>
    <w:rsid w:val="008C6BB4"/>
    <w:pPr>
      <w:spacing w:after="120" w:line="480" w:lineRule="auto"/>
      <w:ind w:left="283"/>
    </w:pPr>
  </w:style>
  <w:style w:type="character" w:customStyle="1" w:styleId="BodyTextIndent2Char">
    <w:name w:val="Body Text Indent 2 Char"/>
    <w:basedOn w:val="DefaultParagraphFont"/>
    <w:link w:val="BodyTextIndent2"/>
    <w:semiHidden/>
    <w:rsid w:val="008C6BB4"/>
  </w:style>
  <w:style w:type="paragraph" w:styleId="BodyTextIndent3">
    <w:name w:val="Body Text Indent 3"/>
    <w:basedOn w:val="Normal"/>
    <w:link w:val="BodyTextIndent3Char"/>
    <w:semiHidden/>
    <w:unhideWhenUsed/>
    <w:locked/>
    <w:rsid w:val="008C6BB4"/>
    <w:pPr>
      <w:spacing w:after="120"/>
      <w:ind w:left="283"/>
    </w:pPr>
    <w:rPr>
      <w:sz w:val="16"/>
      <w:szCs w:val="16"/>
    </w:rPr>
  </w:style>
  <w:style w:type="character" w:customStyle="1" w:styleId="BodyTextIndent3Char">
    <w:name w:val="Body Text Indent 3 Char"/>
    <w:link w:val="BodyTextIndent3"/>
    <w:semiHidden/>
    <w:rsid w:val="008C6BB4"/>
    <w:rPr>
      <w:sz w:val="16"/>
      <w:szCs w:val="16"/>
    </w:rPr>
  </w:style>
  <w:style w:type="paragraph" w:styleId="List">
    <w:name w:val="List"/>
    <w:basedOn w:val="Normal"/>
    <w:semiHidden/>
    <w:unhideWhenUsed/>
    <w:locked/>
    <w:rsid w:val="008C6BB4"/>
    <w:pPr>
      <w:ind w:left="283" w:hanging="283"/>
      <w:contextualSpacing/>
    </w:pPr>
  </w:style>
  <w:style w:type="paragraph" w:styleId="List2">
    <w:name w:val="List 2"/>
    <w:basedOn w:val="Normal"/>
    <w:semiHidden/>
    <w:unhideWhenUsed/>
    <w:locked/>
    <w:rsid w:val="008C6BB4"/>
    <w:pPr>
      <w:ind w:left="566" w:hanging="283"/>
      <w:contextualSpacing/>
    </w:pPr>
  </w:style>
  <w:style w:type="paragraph" w:styleId="List3">
    <w:name w:val="List 3"/>
    <w:basedOn w:val="Normal"/>
    <w:semiHidden/>
    <w:unhideWhenUsed/>
    <w:locked/>
    <w:rsid w:val="008C6BB4"/>
    <w:pPr>
      <w:ind w:left="849" w:hanging="283"/>
      <w:contextualSpacing/>
    </w:pPr>
  </w:style>
  <w:style w:type="character" w:styleId="PageNumber">
    <w:name w:val="page number"/>
    <w:basedOn w:val="DefaultParagraphFont"/>
    <w:semiHidden/>
    <w:unhideWhenUsed/>
    <w:locked/>
    <w:rsid w:val="008C6BB4"/>
  </w:style>
  <w:style w:type="table" w:styleId="LightShading-Accent5">
    <w:name w:val="Light Shading Accent 5"/>
    <w:basedOn w:val="TableNormal"/>
    <w:uiPriority w:val="60"/>
    <w:semiHidden/>
    <w:unhideWhenUsed/>
    <w:locked/>
    <w:rsid w:val="008C6BB4"/>
    <w:rPr>
      <w:color w:val="008198"/>
    </w:rPr>
    <w:tblPr>
      <w:tblStyleRowBandSize w:val="1"/>
      <w:tblStyleColBandSize w:val="1"/>
      <w:tblBorders>
        <w:top w:val="single" w:sz="8" w:space="0" w:color="00AECB"/>
        <w:bottom w:val="single" w:sz="8" w:space="0" w:color="00AECB"/>
      </w:tblBorders>
    </w:tblPr>
    <w:tblStylePr w:type="firstRow">
      <w:pPr>
        <w:spacing w:before="0" w:after="0" w:line="240" w:lineRule="auto"/>
      </w:pPr>
      <w:rPr>
        <w:b/>
        <w:bCs/>
      </w:rPr>
      <w:tblPr/>
      <w:tcPr>
        <w:tcBorders>
          <w:top w:val="single" w:sz="8" w:space="0" w:color="00AECB"/>
          <w:left w:val="nil"/>
          <w:bottom w:val="single" w:sz="8" w:space="0" w:color="00AECB"/>
          <w:right w:val="nil"/>
          <w:insideH w:val="nil"/>
          <w:insideV w:val="nil"/>
        </w:tcBorders>
      </w:tcPr>
    </w:tblStylePr>
    <w:tblStylePr w:type="lastRow">
      <w:pPr>
        <w:spacing w:before="0" w:after="0" w:line="240" w:lineRule="auto"/>
      </w:pPr>
      <w:rPr>
        <w:b/>
        <w:bCs/>
      </w:rPr>
      <w:tblPr/>
      <w:tcPr>
        <w:tcBorders>
          <w:top w:val="single" w:sz="8" w:space="0" w:color="00AECB"/>
          <w:left w:val="nil"/>
          <w:bottom w:val="single" w:sz="8" w:space="0" w:color="00AEC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3FF"/>
      </w:tcPr>
    </w:tblStylePr>
    <w:tblStylePr w:type="band1Horz">
      <w:tblPr/>
      <w:tcPr>
        <w:tcBorders>
          <w:left w:val="nil"/>
          <w:right w:val="nil"/>
          <w:insideH w:val="nil"/>
          <w:insideV w:val="nil"/>
        </w:tcBorders>
        <w:shd w:val="clear" w:color="auto" w:fill="B3F3FF"/>
      </w:tcPr>
    </w:tblStylePr>
  </w:style>
  <w:style w:type="paragraph" w:styleId="Index1">
    <w:name w:val="index 1"/>
    <w:basedOn w:val="Normal"/>
    <w:next w:val="Normal"/>
    <w:autoRedefine/>
    <w:semiHidden/>
    <w:unhideWhenUsed/>
    <w:locked/>
    <w:rsid w:val="008C6BB4"/>
    <w:pPr>
      <w:spacing w:line="240" w:lineRule="auto"/>
      <w:ind w:left="200" w:hanging="200"/>
    </w:pPr>
  </w:style>
  <w:style w:type="paragraph" w:customStyle="1" w:styleId="TableParagraph">
    <w:name w:val="Table Paragraph"/>
    <w:basedOn w:val="Normal"/>
    <w:uiPriority w:val="1"/>
    <w:qFormat/>
    <w:rsid w:val="00B25292"/>
    <w:pPr>
      <w:widowControl w:val="0"/>
      <w:spacing w:line="240" w:lineRule="auto"/>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395">
      <w:bodyDiv w:val="1"/>
      <w:marLeft w:val="0"/>
      <w:marRight w:val="0"/>
      <w:marTop w:val="0"/>
      <w:marBottom w:val="0"/>
      <w:divBdr>
        <w:top w:val="none" w:sz="0" w:space="0" w:color="auto"/>
        <w:left w:val="none" w:sz="0" w:space="0" w:color="auto"/>
        <w:bottom w:val="none" w:sz="0" w:space="0" w:color="auto"/>
        <w:right w:val="none" w:sz="0" w:space="0" w:color="auto"/>
      </w:divBdr>
    </w:div>
    <w:div w:id="47340804">
      <w:bodyDiv w:val="1"/>
      <w:marLeft w:val="0"/>
      <w:marRight w:val="0"/>
      <w:marTop w:val="0"/>
      <w:marBottom w:val="0"/>
      <w:divBdr>
        <w:top w:val="none" w:sz="0" w:space="0" w:color="auto"/>
        <w:left w:val="none" w:sz="0" w:space="0" w:color="auto"/>
        <w:bottom w:val="none" w:sz="0" w:space="0" w:color="auto"/>
        <w:right w:val="none" w:sz="0" w:space="0" w:color="auto"/>
      </w:divBdr>
    </w:div>
    <w:div w:id="52043183">
      <w:bodyDiv w:val="1"/>
      <w:marLeft w:val="0"/>
      <w:marRight w:val="0"/>
      <w:marTop w:val="0"/>
      <w:marBottom w:val="0"/>
      <w:divBdr>
        <w:top w:val="none" w:sz="0" w:space="0" w:color="auto"/>
        <w:left w:val="none" w:sz="0" w:space="0" w:color="auto"/>
        <w:bottom w:val="none" w:sz="0" w:space="0" w:color="auto"/>
        <w:right w:val="none" w:sz="0" w:space="0" w:color="auto"/>
      </w:divBdr>
    </w:div>
    <w:div w:id="138692552">
      <w:bodyDiv w:val="1"/>
      <w:marLeft w:val="0"/>
      <w:marRight w:val="0"/>
      <w:marTop w:val="0"/>
      <w:marBottom w:val="0"/>
      <w:divBdr>
        <w:top w:val="none" w:sz="0" w:space="0" w:color="auto"/>
        <w:left w:val="none" w:sz="0" w:space="0" w:color="auto"/>
        <w:bottom w:val="none" w:sz="0" w:space="0" w:color="auto"/>
        <w:right w:val="none" w:sz="0" w:space="0" w:color="auto"/>
      </w:divBdr>
    </w:div>
    <w:div w:id="148257199">
      <w:bodyDiv w:val="1"/>
      <w:marLeft w:val="0"/>
      <w:marRight w:val="0"/>
      <w:marTop w:val="0"/>
      <w:marBottom w:val="0"/>
      <w:divBdr>
        <w:top w:val="none" w:sz="0" w:space="0" w:color="auto"/>
        <w:left w:val="none" w:sz="0" w:space="0" w:color="auto"/>
        <w:bottom w:val="none" w:sz="0" w:space="0" w:color="auto"/>
        <w:right w:val="none" w:sz="0" w:space="0" w:color="auto"/>
      </w:divBdr>
    </w:div>
    <w:div w:id="197865254">
      <w:bodyDiv w:val="1"/>
      <w:marLeft w:val="0"/>
      <w:marRight w:val="0"/>
      <w:marTop w:val="0"/>
      <w:marBottom w:val="0"/>
      <w:divBdr>
        <w:top w:val="none" w:sz="0" w:space="0" w:color="auto"/>
        <w:left w:val="none" w:sz="0" w:space="0" w:color="auto"/>
        <w:bottom w:val="none" w:sz="0" w:space="0" w:color="auto"/>
        <w:right w:val="none" w:sz="0" w:space="0" w:color="auto"/>
      </w:divBdr>
    </w:div>
    <w:div w:id="224413192">
      <w:bodyDiv w:val="1"/>
      <w:marLeft w:val="0"/>
      <w:marRight w:val="0"/>
      <w:marTop w:val="0"/>
      <w:marBottom w:val="0"/>
      <w:divBdr>
        <w:top w:val="none" w:sz="0" w:space="0" w:color="auto"/>
        <w:left w:val="none" w:sz="0" w:space="0" w:color="auto"/>
        <w:bottom w:val="none" w:sz="0" w:space="0" w:color="auto"/>
        <w:right w:val="none" w:sz="0" w:space="0" w:color="auto"/>
      </w:divBdr>
    </w:div>
    <w:div w:id="234168540">
      <w:bodyDiv w:val="1"/>
      <w:marLeft w:val="0"/>
      <w:marRight w:val="0"/>
      <w:marTop w:val="0"/>
      <w:marBottom w:val="0"/>
      <w:divBdr>
        <w:top w:val="none" w:sz="0" w:space="0" w:color="auto"/>
        <w:left w:val="none" w:sz="0" w:space="0" w:color="auto"/>
        <w:bottom w:val="none" w:sz="0" w:space="0" w:color="auto"/>
        <w:right w:val="none" w:sz="0" w:space="0" w:color="auto"/>
      </w:divBdr>
    </w:div>
    <w:div w:id="248195911">
      <w:bodyDiv w:val="1"/>
      <w:marLeft w:val="0"/>
      <w:marRight w:val="0"/>
      <w:marTop w:val="0"/>
      <w:marBottom w:val="0"/>
      <w:divBdr>
        <w:top w:val="none" w:sz="0" w:space="0" w:color="auto"/>
        <w:left w:val="none" w:sz="0" w:space="0" w:color="auto"/>
        <w:bottom w:val="none" w:sz="0" w:space="0" w:color="auto"/>
        <w:right w:val="none" w:sz="0" w:space="0" w:color="auto"/>
      </w:divBdr>
    </w:div>
    <w:div w:id="330838298">
      <w:bodyDiv w:val="1"/>
      <w:marLeft w:val="0"/>
      <w:marRight w:val="0"/>
      <w:marTop w:val="0"/>
      <w:marBottom w:val="0"/>
      <w:divBdr>
        <w:top w:val="none" w:sz="0" w:space="0" w:color="auto"/>
        <w:left w:val="none" w:sz="0" w:space="0" w:color="auto"/>
        <w:bottom w:val="none" w:sz="0" w:space="0" w:color="auto"/>
        <w:right w:val="none" w:sz="0" w:space="0" w:color="auto"/>
      </w:divBdr>
    </w:div>
    <w:div w:id="331223963">
      <w:bodyDiv w:val="1"/>
      <w:marLeft w:val="0"/>
      <w:marRight w:val="0"/>
      <w:marTop w:val="0"/>
      <w:marBottom w:val="0"/>
      <w:divBdr>
        <w:top w:val="none" w:sz="0" w:space="0" w:color="auto"/>
        <w:left w:val="none" w:sz="0" w:space="0" w:color="auto"/>
        <w:bottom w:val="none" w:sz="0" w:space="0" w:color="auto"/>
        <w:right w:val="none" w:sz="0" w:space="0" w:color="auto"/>
      </w:divBdr>
    </w:div>
    <w:div w:id="338236990">
      <w:bodyDiv w:val="1"/>
      <w:marLeft w:val="0"/>
      <w:marRight w:val="0"/>
      <w:marTop w:val="0"/>
      <w:marBottom w:val="0"/>
      <w:divBdr>
        <w:top w:val="none" w:sz="0" w:space="0" w:color="auto"/>
        <w:left w:val="none" w:sz="0" w:space="0" w:color="auto"/>
        <w:bottom w:val="none" w:sz="0" w:space="0" w:color="auto"/>
        <w:right w:val="none" w:sz="0" w:space="0" w:color="auto"/>
      </w:divBdr>
    </w:div>
    <w:div w:id="388844501">
      <w:bodyDiv w:val="1"/>
      <w:marLeft w:val="0"/>
      <w:marRight w:val="0"/>
      <w:marTop w:val="0"/>
      <w:marBottom w:val="0"/>
      <w:divBdr>
        <w:top w:val="none" w:sz="0" w:space="0" w:color="auto"/>
        <w:left w:val="none" w:sz="0" w:space="0" w:color="auto"/>
        <w:bottom w:val="none" w:sz="0" w:space="0" w:color="auto"/>
        <w:right w:val="none" w:sz="0" w:space="0" w:color="auto"/>
      </w:divBdr>
    </w:div>
    <w:div w:id="388965791">
      <w:bodyDiv w:val="1"/>
      <w:marLeft w:val="0"/>
      <w:marRight w:val="0"/>
      <w:marTop w:val="0"/>
      <w:marBottom w:val="0"/>
      <w:divBdr>
        <w:top w:val="none" w:sz="0" w:space="0" w:color="auto"/>
        <w:left w:val="none" w:sz="0" w:space="0" w:color="auto"/>
        <w:bottom w:val="none" w:sz="0" w:space="0" w:color="auto"/>
        <w:right w:val="none" w:sz="0" w:space="0" w:color="auto"/>
      </w:divBdr>
    </w:div>
    <w:div w:id="395972892">
      <w:bodyDiv w:val="1"/>
      <w:marLeft w:val="0"/>
      <w:marRight w:val="0"/>
      <w:marTop w:val="0"/>
      <w:marBottom w:val="0"/>
      <w:divBdr>
        <w:top w:val="none" w:sz="0" w:space="0" w:color="auto"/>
        <w:left w:val="none" w:sz="0" w:space="0" w:color="auto"/>
        <w:bottom w:val="none" w:sz="0" w:space="0" w:color="auto"/>
        <w:right w:val="none" w:sz="0" w:space="0" w:color="auto"/>
      </w:divBdr>
    </w:div>
    <w:div w:id="457067436">
      <w:bodyDiv w:val="1"/>
      <w:marLeft w:val="0"/>
      <w:marRight w:val="0"/>
      <w:marTop w:val="0"/>
      <w:marBottom w:val="0"/>
      <w:divBdr>
        <w:top w:val="none" w:sz="0" w:space="0" w:color="auto"/>
        <w:left w:val="none" w:sz="0" w:space="0" w:color="auto"/>
        <w:bottom w:val="none" w:sz="0" w:space="0" w:color="auto"/>
        <w:right w:val="none" w:sz="0" w:space="0" w:color="auto"/>
      </w:divBdr>
    </w:div>
    <w:div w:id="497037716">
      <w:bodyDiv w:val="1"/>
      <w:marLeft w:val="0"/>
      <w:marRight w:val="0"/>
      <w:marTop w:val="0"/>
      <w:marBottom w:val="0"/>
      <w:divBdr>
        <w:top w:val="none" w:sz="0" w:space="0" w:color="auto"/>
        <w:left w:val="none" w:sz="0" w:space="0" w:color="auto"/>
        <w:bottom w:val="none" w:sz="0" w:space="0" w:color="auto"/>
        <w:right w:val="none" w:sz="0" w:space="0" w:color="auto"/>
      </w:divBdr>
    </w:div>
    <w:div w:id="497574436">
      <w:bodyDiv w:val="1"/>
      <w:marLeft w:val="0"/>
      <w:marRight w:val="0"/>
      <w:marTop w:val="0"/>
      <w:marBottom w:val="0"/>
      <w:divBdr>
        <w:top w:val="none" w:sz="0" w:space="0" w:color="auto"/>
        <w:left w:val="none" w:sz="0" w:space="0" w:color="auto"/>
        <w:bottom w:val="none" w:sz="0" w:space="0" w:color="auto"/>
        <w:right w:val="none" w:sz="0" w:space="0" w:color="auto"/>
      </w:divBdr>
    </w:div>
    <w:div w:id="501163103">
      <w:bodyDiv w:val="1"/>
      <w:marLeft w:val="0"/>
      <w:marRight w:val="0"/>
      <w:marTop w:val="0"/>
      <w:marBottom w:val="0"/>
      <w:divBdr>
        <w:top w:val="none" w:sz="0" w:space="0" w:color="auto"/>
        <w:left w:val="none" w:sz="0" w:space="0" w:color="auto"/>
        <w:bottom w:val="none" w:sz="0" w:space="0" w:color="auto"/>
        <w:right w:val="none" w:sz="0" w:space="0" w:color="auto"/>
      </w:divBdr>
    </w:div>
    <w:div w:id="521168500">
      <w:bodyDiv w:val="1"/>
      <w:marLeft w:val="0"/>
      <w:marRight w:val="0"/>
      <w:marTop w:val="0"/>
      <w:marBottom w:val="0"/>
      <w:divBdr>
        <w:top w:val="none" w:sz="0" w:space="0" w:color="auto"/>
        <w:left w:val="none" w:sz="0" w:space="0" w:color="auto"/>
        <w:bottom w:val="none" w:sz="0" w:space="0" w:color="auto"/>
        <w:right w:val="none" w:sz="0" w:space="0" w:color="auto"/>
      </w:divBdr>
    </w:div>
    <w:div w:id="556161653">
      <w:bodyDiv w:val="1"/>
      <w:marLeft w:val="0"/>
      <w:marRight w:val="0"/>
      <w:marTop w:val="0"/>
      <w:marBottom w:val="0"/>
      <w:divBdr>
        <w:top w:val="none" w:sz="0" w:space="0" w:color="auto"/>
        <w:left w:val="none" w:sz="0" w:space="0" w:color="auto"/>
        <w:bottom w:val="none" w:sz="0" w:space="0" w:color="auto"/>
        <w:right w:val="none" w:sz="0" w:space="0" w:color="auto"/>
      </w:divBdr>
    </w:div>
    <w:div w:id="557327817">
      <w:bodyDiv w:val="1"/>
      <w:marLeft w:val="0"/>
      <w:marRight w:val="0"/>
      <w:marTop w:val="0"/>
      <w:marBottom w:val="0"/>
      <w:divBdr>
        <w:top w:val="none" w:sz="0" w:space="0" w:color="auto"/>
        <w:left w:val="none" w:sz="0" w:space="0" w:color="auto"/>
        <w:bottom w:val="none" w:sz="0" w:space="0" w:color="auto"/>
        <w:right w:val="none" w:sz="0" w:space="0" w:color="auto"/>
      </w:divBdr>
    </w:div>
    <w:div w:id="561067460">
      <w:bodyDiv w:val="1"/>
      <w:marLeft w:val="0"/>
      <w:marRight w:val="0"/>
      <w:marTop w:val="0"/>
      <w:marBottom w:val="0"/>
      <w:divBdr>
        <w:top w:val="none" w:sz="0" w:space="0" w:color="auto"/>
        <w:left w:val="none" w:sz="0" w:space="0" w:color="auto"/>
        <w:bottom w:val="none" w:sz="0" w:space="0" w:color="auto"/>
        <w:right w:val="none" w:sz="0" w:space="0" w:color="auto"/>
      </w:divBdr>
    </w:div>
    <w:div w:id="579482435">
      <w:bodyDiv w:val="1"/>
      <w:marLeft w:val="0"/>
      <w:marRight w:val="0"/>
      <w:marTop w:val="0"/>
      <w:marBottom w:val="0"/>
      <w:divBdr>
        <w:top w:val="none" w:sz="0" w:space="0" w:color="auto"/>
        <w:left w:val="none" w:sz="0" w:space="0" w:color="auto"/>
        <w:bottom w:val="none" w:sz="0" w:space="0" w:color="auto"/>
        <w:right w:val="none" w:sz="0" w:space="0" w:color="auto"/>
      </w:divBdr>
    </w:div>
    <w:div w:id="582497841">
      <w:bodyDiv w:val="1"/>
      <w:marLeft w:val="0"/>
      <w:marRight w:val="0"/>
      <w:marTop w:val="0"/>
      <w:marBottom w:val="0"/>
      <w:divBdr>
        <w:top w:val="none" w:sz="0" w:space="0" w:color="auto"/>
        <w:left w:val="none" w:sz="0" w:space="0" w:color="auto"/>
        <w:bottom w:val="none" w:sz="0" w:space="0" w:color="auto"/>
        <w:right w:val="none" w:sz="0" w:space="0" w:color="auto"/>
      </w:divBdr>
    </w:div>
    <w:div w:id="638001066">
      <w:bodyDiv w:val="1"/>
      <w:marLeft w:val="0"/>
      <w:marRight w:val="0"/>
      <w:marTop w:val="0"/>
      <w:marBottom w:val="0"/>
      <w:divBdr>
        <w:top w:val="none" w:sz="0" w:space="0" w:color="auto"/>
        <w:left w:val="none" w:sz="0" w:space="0" w:color="auto"/>
        <w:bottom w:val="none" w:sz="0" w:space="0" w:color="auto"/>
        <w:right w:val="none" w:sz="0" w:space="0" w:color="auto"/>
      </w:divBdr>
    </w:div>
    <w:div w:id="667287957">
      <w:bodyDiv w:val="1"/>
      <w:marLeft w:val="0"/>
      <w:marRight w:val="0"/>
      <w:marTop w:val="0"/>
      <w:marBottom w:val="0"/>
      <w:divBdr>
        <w:top w:val="none" w:sz="0" w:space="0" w:color="auto"/>
        <w:left w:val="none" w:sz="0" w:space="0" w:color="auto"/>
        <w:bottom w:val="none" w:sz="0" w:space="0" w:color="auto"/>
        <w:right w:val="none" w:sz="0" w:space="0" w:color="auto"/>
      </w:divBdr>
    </w:div>
    <w:div w:id="678850992">
      <w:bodyDiv w:val="1"/>
      <w:marLeft w:val="0"/>
      <w:marRight w:val="0"/>
      <w:marTop w:val="0"/>
      <w:marBottom w:val="0"/>
      <w:divBdr>
        <w:top w:val="none" w:sz="0" w:space="0" w:color="auto"/>
        <w:left w:val="none" w:sz="0" w:space="0" w:color="auto"/>
        <w:bottom w:val="none" w:sz="0" w:space="0" w:color="auto"/>
        <w:right w:val="none" w:sz="0" w:space="0" w:color="auto"/>
      </w:divBdr>
    </w:div>
    <w:div w:id="770589451">
      <w:bodyDiv w:val="1"/>
      <w:marLeft w:val="0"/>
      <w:marRight w:val="0"/>
      <w:marTop w:val="0"/>
      <w:marBottom w:val="0"/>
      <w:divBdr>
        <w:top w:val="none" w:sz="0" w:space="0" w:color="auto"/>
        <w:left w:val="none" w:sz="0" w:space="0" w:color="auto"/>
        <w:bottom w:val="none" w:sz="0" w:space="0" w:color="auto"/>
        <w:right w:val="none" w:sz="0" w:space="0" w:color="auto"/>
      </w:divBdr>
    </w:div>
    <w:div w:id="774667082">
      <w:bodyDiv w:val="1"/>
      <w:marLeft w:val="0"/>
      <w:marRight w:val="0"/>
      <w:marTop w:val="0"/>
      <w:marBottom w:val="0"/>
      <w:divBdr>
        <w:top w:val="none" w:sz="0" w:space="0" w:color="auto"/>
        <w:left w:val="none" w:sz="0" w:space="0" w:color="auto"/>
        <w:bottom w:val="none" w:sz="0" w:space="0" w:color="auto"/>
        <w:right w:val="none" w:sz="0" w:space="0" w:color="auto"/>
      </w:divBdr>
    </w:div>
    <w:div w:id="812671920">
      <w:bodyDiv w:val="1"/>
      <w:marLeft w:val="0"/>
      <w:marRight w:val="0"/>
      <w:marTop w:val="0"/>
      <w:marBottom w:val="0"/>
      <w:divBdr>
        <w:top w:val="none" w:sz="0" w:space="0" w:color="auto"/>
        <w:left w:val="none" w:sz="0" w:space="0" w:color="auto"/>
        <w:bottom w:val="none" w:sz="0" w:space="0" w:color="auto"/>
        <w:right w:val="none" w:sz="0" w:space="0" w:color="auto"/>
      </w:divBdr>
    </w:div>
    <w:div w:id="827787930">
      <w:bodyDiv w:val="1"/>
      <w:marLeft w:val="0"/>
      <w:marRight w:val="0"/>
      <w:marTop w:val="0"/>
      <w:marBottom w:val="0"/>
      <w:divBdr>
        <w:top w:val="none" w:sz="0" w:space="0" w:color="auto"/>
        <w:left w:val="none" w:sz="0" w:space="0" w:color="auto"/>
        <w:bottom w:val="none" w:sz="0" w:space="0" w:color="auto"/>
        <w:right w:val="none" w:sz="0" w:space="0" w:color="auto"/>
      </w:divBdr>
    </w:div>
    <w:div w:id="833565416">
      <w:bodyDiv w:val="1"/>
      <w:marLeft w:val="0"/>
      <w:marRight w:val="0"/>
      <w:marTop w:val="0"/>
      <w:marBottom w:val="0"/>
      <w:divBdr>
        <w:top w:val="none" w:sz="0" w:space="0" w:color="auto"/>
        <w:left w:val="none" w:sz="0" w:space="0" w:color="auto"/>
        <w:bottom w:val="none" w:sz="0" w:space="0" w:color="auto"/>
        <w:right w:val="none" w:sz="0" w:space="0" w:color="auto"/>
      </w:divBdr>
    </w:div>
    <w:div w:id="836387799">
      <w:bodyDiv w:val="1"/>
      <w:marLeft w:val="0"/>
      <w:marRight w:val="0"/>
      <w:marTop w:val="0"/>
      <w:marBottom w:val="0"/>
      <w:divBdr>
        <w:top w:val="none" w:sz="0" w:space="0" w:color="auto"/>
        <w:left w:val="none" w:sz="0" w:space="0" w:color="auto"/>
        <w:bottom w:val="none" w:sz="0" w:space="0" w:color="auto"/>
        <w:right w:val="none" w:sz="0" w:space="0" w:color="auto"/>
      </w:divBdr>
      <w:divsChild>
        <w:div w:id="1709454304">
          <w:marLeft w:val="0"/>
          <w:marRight w:val="0"/>
          <w:marTop w:val="0"/>
          <w:marBottom w:val="0"/>
          <w:divBdr>
            <w:top w:val="none" w:sz="0" w:space="0" w:color="auto"/>
            <w:left w:val="none" w:sz="0" w:space="0" w:color="auto"/>
            <w:bottom w:val="none" w:sz="0" w:space="0" w:color="auto"/>
            <w:right w:val="none" w:sz="0" w:space="0" w:color="auto"/>
          </w:divBdr>
          <w:divsChild>
            <w:div w:id="961423058">
              <w:marLeft w:val="0"/>
              <w:marRight w:val="0"/>
              <w:marTop w:val="0"/>
              <w:marBottom w:val="0"/>
              <w:divBdr>
                <w:top w:val="none" w:sz="0" w:space="0" w:color="auto"/>
                <w:left w:val="none" w:sz="0" w:space="0" w:color="auto"/>
                <w:bottom w:val="none" w:sz="0" w:space="0" w:color="auto"/>
                <w:right w:val="none" w:sz="0" w:space="0" w:color="auto"/>
              </w:divBdr>
              <w:divsChild>
                <w:div w:id="1542093207">
                  <w:marLeft w:val="0"/>
                  <w:marRight w:val="0"/>
                  <w:marTop w:val="0"/>
                  <w:marBottom w:val="0"/>
                  <w:divBdr>
                    <w:top w:val="none" w:sz="0" w:space="0" w:color="auto"/>
                    <w:left w:val="none" w:sz="0" w:space="0" w:color="auto"/>
                    <w:bottom w:val="none" w:sz="0" w:space="0" w:color="auto"/>
                    <w:right w:val="none" w:sz="0" w:space="0" w:color="auto"/>
                  </w:divBdr>
                  <w:divsChild>
                    <w:div w:id="1925609689">
                      <w:marLeft w:val="0"/>
                      <w:marRight w:val="0"/>
                      <w:marTop w:val="0"/>
                      <w:marBottom w:val="0"/>
                      <w:divBdr>
                        <w:top w:val="none" w:sz="0" w:space="0" w:color="auto"/>
                        <w:left w:val="none" w:sz="0" w:space="0" w:color="auto"/>
                        <w:bottom w:val="none" w:sz="0" w:space="0" w:color="auto"/>
                        <w:right w:val="none" w:sz="0" w:space="0" w:color="auto"/>
                      </w:divBdr>
                      <w:divsChild>
                        <w:div w:id="1591811981">
                          <w:marLeft w:val="0"/>
                          <w:marRight w:val="0"/>
                          <w:marTop w:val="0"/>
                          <w:marBottom w:val="0"/>
                          <w:divBdr>
                            <w:top w:val="none" w:sz="0" w:space="0" w:color="auto"/>
                            <w:left w:val="none" w:sz="0" w:space="0" w:color="auto"/>
                            <w:bottom w:val="none" w:sz="0" w:space="0" w:color="auto"/>
                            <w:right w:val="none" w:sz="0" w:space="0" w:color="auto"/>
                          </w:divBdr>
                          <w:divsChild>
                            <w:div w:id="42560619">
                              <w:marLeft w:val="0"/>
                              <w:marRight w:val="5"/>
                              <w:marTop w:val="0"/>
                              <w:marBottom w:val="600"/>
                              <w:divBdr>
                                <w:top w:val="none" w:sz="0" w:space="0" w:color="auto"/>
                                <w:left w:val="none" w:sz="0" w:space="0" w:color="auto"/>
                                <w:bottom w:val="none" w:sz="0" w:space="0" w:color="auto"/>
                                <w:right w:val="none" w:sz="0" w:space="0" w:color="auto"/>
                              </w:divBdr>
                              <w:divsChild>
                                <w:div w:id="665327311">
                                  <w:marLeft w:val="0"/>
                                  <w:marRight w:val="0"/>
                                  <w:marTop w:val="0"/>
                                  <w:marBottom w:val="0"/>
                                  <w:divBdr>
                                    <w:top w:val="none" w:sz="0" w:space="0" w:color="auto"/>
                                    <w:left w:val="none" w:sz="0" w:space="0" w:color="auto"/>
                                    <w:bottom w:val="none" w:sz="0" w:space="0" w:color="auto"/>
                                    <w:right w:val="none" w:sz="0" w:space="0" w:color="auto"/>
                                  </w:divBdr>
                                  <w:divsChild>
                                    <w:div w:id="1149515714">
                                      <w:marLeft w:val="0"/>
                                      <w:marRight w:val="0"/>
                                      <w:marTop w:val="0"/>
                                      <w:marBottom w:val="0"/>
                                      <w:divBdr>
                                        <w:top w:val="none" w:sz="0" w:space="0" w:color="auto"/>
                                        <w:left w:val="none" w:sz="0" w:space="0" w:color="auto"/>
                                        <w:bottom w:val="none" w:sz="0" w:space="0" w:color="auto"/>
                                        <w:right w:val="none" w:sz="0" w:space="0" w:color="auto"/>
                                      </w:divBdr>
                                      <w:divsChild>
                                        <w:div w:id="1418164698">
                                          <w:marLeft w:val="0"/>
                                          <w:marRight w:val="0"/>
                                          <w:marTop w:val="0"/>
                                          <w:marBottom w:val="0"/>
                                          <w:divBdr>
                                            <w:top w:val="none" w:sz="0" w:space="0" w:color="auto"/>
                                            <w:left w:val="none" w:sz="0" w:space="0" w:color="auto"/>
                                            <w:bottom w:val="none" w:sz="0" w:space="0" w:color="auto"/>
                                            <w:right w:val="none" w:sz="0" w:space="0" w:color="auto"/>
                                          </w:divBdr>
                                          <w:divsChild>
                                            <w:div w:id="643856715">
                                              <w:marLeft w:val="0"/>
                                              <w:marRight w:val="0"/>
                                              <w:marTop w:val="0"/>
                                              <w:marBottom w:val="0"/>
                                              <w:divBdr>
                                                <w:top w:val="none" w:sz="0" w:space="0" w:color="auto"/>
                                                <w:left w:val="none" w:sz="0" w:space="0" w:color="auto"/>
                                                <w:bottom w:val="none" w:sz="0" w:space="0" w:color="auto"/>
                                                <w:right w:val="none" w:sz="0" w:space="0" w:color="auto"/>
                                              </w:divBdr>
                                              <w:divsChild>
                                                <w:div w:id="454058512">
                                                  <w:marLeft w:val="0"/>
                                                  <w:marRight w:val="0"/>
                                                  <w:marTop w:val="0"/>
                                                  <w:marBottom w:val="0"/>
                                                  <w:divBdr>
                                                    <w:top w:val="none" w:sz="0" w:space="0" w:color="auto"/>
                                                    <w:left w:val="none" w:sz="0" w:space="0" w:color="auto"/>
                                                    <w:bottom w:val="none" w:sz="0" w:space="0" w:color="auto"/>
                                                    <w:right w:val="none" w:sz="0" w:space="0" w:color="auto"/>
                                                  </w:divBdr>
                                                  <w:divsChild>
                                                    <w:div w:id="1063413261">
                                                      <w:marLeft w:val="0"/>
                                                      <w:marRight w:val="0"/>
                                                      <w:marTop w:val="0"/>
                                                      <w:marBottom w:val="0"/>
                                                      <w:divBdr>
                                                        <w:top w:val="none" w:sz="0" w:space="0" w:color="auto"/>
                                                        <w:left w:val="none" w:sz="0" w:space="0" w:color="auto"/>
                                                        <w:bottom w:val="none" w:sz="0" w:space="0" w:color="auto"/>
                                                        <w:right w:val="none" w:sz="0" w:space="0" w:color="auto"/>
                                                      </w:divBdr>
                                                      <w:divsChild>
                                                        <w:div w:id="1550264982">
                                                          <w:marLeft w:val="0"/>
                                                          <w:marRight w:val="0"/>
                                                          <w:marTop w:val="0"/>
                                                          <w:marBottom w:val="0"/>
                                                          <w:divBdr>
                                                            <w:top w:val="none" w:sz="0" w:space="0" w:color="auto"/>
                                                            <w:left w:val="none" w:sz="0" w:space="0" w:color="auto"/>
                                                            <w:bottom w:val="none" w:sz="0" w:space="0" w:color="auto"/>
                                                            <w:right w:val="none" w:sz="0" w:space="0" w:color="auto"/>
                                                          </w:divBdr>
                                                          <w:divsChild>
                                                            <w:div w:id="1480347316">
                                                              <w:marLeft w:val="0"/>
                                                              <w:marRight w:val="0"/>
                                                              <w:marTop w:val="0"/>
                                                              <w:marBottom w:val="0"/>
                                                              <w:divBdr>
                                                                <w:top w:val="none" w:sz="0" w:space="0" w:color="auto"/>
                                                                <w:left w:val="none" w:sz="0" w:space="0" w:color="auto"/>
                                                                <w:bottom w:val="none" w:sz="0" w:space="0" w:color="auto"/>
                                                                <w:right w:val="none" w:sz="0" w:space="0" w:color="auto"/>
                                                              </w:divBdr>
                                                              <w:divsChild>
                                                                <w:div w:id="1369573963">
                                                                  <w:marLeft w:val="0"/>
                                                                  <w:marRight w:val="0"/>
                                                                  <w:marTop w:val="0"/>
                                                                  <w:marBottom w:val="0"/>
                                                                  <w:divBdr>
                                                                    <w:top w:val="none" w:sz="0" w:space="0" w:color="auto"/>
                                                                    <w:left w:val="none" w:sz="0" w:space="0" w:color="auto"/>
                                                                    <w:bottom w:val="none" w:sz="0" w:space="0" w:color="auto"/>
                                                                    <w:right w:val="none" w:sz="0" w:space="0" w:color="auto"/>
                                                                  </w:divBdr>
                                                                  <w:divsChild>
                                                                    <w:div w:id="849879598">
                                                                      <w:marLeft w:val="0"/>
                                                                      <w:marRight w:val="0"/>
                                                                      <w:marTop w:val="0"/>
                                                                      <w:marBottom w:val="0"/>
                                                                      <w:divBdr>
                                                                        <w:top w:val="none" w:sz="0" w:space="0" w:color="auto"/>
                                                                        <w:left w:val="none" w:sz="0" w:space="0" w:color="auto"/>
                                                                        <w:bottom w:val="none" w:sz="0" w:space="0" w:color="auto"/>
                                                                        <w:right w:val="none" w:sz="0" w:space="0" w:color="auto"/>
                                                                      </w:divBdr>
                                                                      <w:divsChild>
                                                                        <w:div w:id="1667631239">
                                                                          <w:marLeft w:val="0"/>
                                                                          <w:marRight w:val="0"/>
                                                                          <w:marTop w:val="0"/>
                                                                          <w:marBottom w:val="0"/>
                                                                          <w:divBdr>
                                                                            <w:top w:val="none" w:sz="0" w:space="0" w:color="auto"/>
                                                                            <w:left w:val="none" w:sz="0" w:space="0" w:color="auto"/>
                                                                            <w:bottom w:val="none" w:sz="0" w:space="0" w:color="auto"/>
                                                                            <w:right w:val="none" w:sz="0" w:space="0" w:color="auto"/>
                                                                          </w:divBdr>
                                                                          <w:divsChild>
                                                                            <w:div w:id="224219381">
                                                                              <w:marLeft w:val="0"/>
                                                                              <w:marRight w:val="0"/>
                                                                              <w:marTop w:val="0"/>
                                                                              <w:marBottom w:val="0"/>
                                                                              <w:divBdr>
                                                                                <w:top w:val="none" w:sz="0" w:space="0" w:color="auto"/>
                                                                                <w:left w:val="none" w:sz="0" w:space="0" w:color="auto"/>
                                                                                <w:bottom w:val="none" w:sz="0" w:space="0" w:color="auto"/>
                                                                                <w:right w:val="none" w:sz="0" w:space="0" w:color="auto"/>
                                                                              </w:divBdr>
                                                                              <w:divsChild>
                                                                                <w:div w:id="14071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634779">
      <w:bodyDiv w:val="1"/>
      <w:marLeft w:val="0"/>
      <w:marRight w:val="0"/>
      <w:marTop w:val="0"/>
      <w:marBottom w:val="0"/>
      <w:divBdr>
        <w:top w:val="none" w:sz="0" w:space="0" w:color="auto"/>
        <w:left w:val="none" w:sz="0" w:space="0" w:color="auto"/>
        <w:bottom w:val="none" w:sz="0" w:space="0" w:color="auto"/>
        <w:right w:val="none" w:sz="0" w:space="0" w:color="auto"/>
      </w:divBdr>
    </w:div>
    <w:div w:id="845632703">
      <w:bodyDiv w:val="1"/>
      <w:marLeft w:val="0"/>
      <w:marRight w:val="0"/>
      <w:marTop w:val="0"/>
      <w:marBottom w:val="0"/>
      <w:divBdr>
        <w:top w:val="none" w:sz="0" w:space="0" w:color="auto"/>
        <w:left w:val="none" w:sz="0" w:space="0" w:color="auto"/>
        <w:bottom w:val="none" w:sz="0" w:space="0" w:color="auto"/>
        <w:right w:val="none" w:sz="0" w:space="0" w:color="auto"/>
      </w:divBdr>
    </w:div>
    <w:div w:id="856623480">
      <w:bodyDiv w:val="1"/>
      <w:marLeft w:val="0"/>
      <w:marRight w:val="0"/>
      <w:marTop w:val="0"/>
      <w:marBottom w:val="0"/>
      <w:divBdr>
        <w:top w:val="none" w:sz="0" w:space="0" w:color="auto"/>
        <w:left w:val="none" w:sz="0" w:space="0" w:color="auto"/>
        <w:bottom w:val="none" w:sz="0" w:space="0" w:color="auto"/>
        <w:right w:val="none" w:sz="0" w:space="0" w:color="auto"/>
      </w:divBdr>
    </w:div>
    <w:div w:id="885527109">
      <w:bodyDiv w:val="1"/>
      <w:marLeft w:val="0"/>
      <w:marRight w:val="0"/>
      <w:marTop w:val="0"/>
      <w:marBottom w:val="0"/>
      <w:divBdr>
        <w:top w:val="none" w:sz="0" w:space="0" w:color="auto"/>
        <w:left w:val="none" w:sz="0" w:space="0" w:color="auto"/>
        <w:bottom w:val="none" w:sz="0" w:space="0" w:color="auto"/>
        <w:right w:val="none" w:sz="0" w:space="0" w:color="auto"/>
      </w:divBdr>
    </w:div>
    <w:div w:id="892811462">
      <w:bodyDiv w:val="1"/>
      <w:marLeft w:val="0"/>
      <w:marRight w:val="0"/>
      <w:marTop w:val="0"/>
      <w:marBottom w:val="0"/>
      <w:divBdr>
        <w:top w:val="none" w:sz="0" w:space="0" w:color="auto"/>
        <w:left w:val="none" w:sz="0" w:space="0" w:color="auto"/>
        <w:bottom w:val="none" w:sz="0" w:space="0" w:color="auto"/>
        <w:right w:val="none" w:sz="0" w:space="0" w:color="auto"/>
      </w:divBdr>
    </w:div>
    <w:div w:id="897664048">
      <w:bodyDiv w:val="1"/>
      <w:marLeft w:val="0"/>
      <w:marRight w:val="0"/>
      <w:marTop w:val="0"/>
      <w:marBottom w:val="0"/>
      <w:divBdr>
        <w:top w:val="none" w:sz="0" w:space="0" w:color="auto"/>
        <w:left w:val="none" w:sz="0" w:space="0" w:color="auto"/>
        <w:bottom w:val="none" w:sz="0" w:space="0" w:color="auto"/>
        <w:right w:val="none" w:sz="0" w:space="0" w:color="auto"/>
      </w:divBdr>
    </w:div>
    <w:div w:id="921062945">
      <w:bodyDiv w:val="1"/>
      <w:marLeft w:val="0"/>
      <w:marRight w:val="0"/>
      <w:marTop w:val="0"/>
      <w:marBottom w:val="0"/>
      <w:divBdr>
        <w:top w:val="none" w:sz="0" w:space="0" w:color="auto"/>
        <w:left w:val="none" w:sz="0" w:space="0" w:color="auto"/>
        <w:bottom w:val="none" w:sz="0" w:space="0" w:color="auto"/>
        <w:right w:val="none" w:sz="0" w:space="0" w:color="auto"/>
      </w:divBdr>
    </w:div>
    <w:div w:id="987243881">
      <w:bodyDiv w:val="1"/>
      <w:marLeft w:val="0"/>
      <w:marRight w:val="0"/>
      <w:marTop w:val="0"/>
      <w:marBottom w:val="0"/>
      <w:divBdr>
        <w:top w:val="none" w:sz="0" w:space="0" w:color="auto"/>
        <w:left w:val="none" w:sz="0" w:space="0" w:color="auto"/>
        <w:bottom w:val="none" w:sz="0" w:space="0" w:color="auto"/>
        <w:right w:val="none" w:sz="0" w:space="0" w:color="auto"/>
      </w:divBdr>
    </w:div>
    <w:div w:id="1005286838">
      <w:bodyDiv w:val="1"/>
      <w:marLeft w:val="0"/>
      <w:marRight w:val="0"/>
      <w:marTop w:val="0"/>
      <w:marBottom w:val="0"/>
      <w:divBdr>
        <w:top w:val="none" w:sz="0" w:space="0" w:color="auto"/>
        <w:left w:val="none" w:sz="0" w:space="0" w:color="auto"/>
        <w:bottom w:val="none" w:sz="0" w:space="0" w:color="auto"/>
        <w:right w:val="none" w:sz="0" w:space="0" w:color="auto"/>
      </w:divBdr>
    </w:div>
    <w:div w:id="1044476344">
      <w:bodyDiv w:val="1"/>
      <w:marLeft w:val="0"/>
      <w:marRight w:val="0"/>
      <w:marTop w:val="0"/>
      <w:marBottom w:val="0"/>
      <w:divBdr>
        <w:top w:val="none" w:sz="0" w:space="0" w:color="auto"/>
        <w:left w:val="none" w:sz="0" w:space="0" w:color="auto"/>
        <w:bottom w:val="none" w:sz="0" w:space="0" w:color="auto"/>
        <w:right w:val="none" w:sz="0" w:space="0" w:color="auto"/>
      </w:divBdr>
    </w:div>
    <w:div w:id="1045717278">
      <w:bodyDiv w:val="1"/>
      <w:marLeft w:val="0"/>
      <w:marRight w:val="0"/>
      <w:marTop w:val="0"/>
      <w:marBottom w:val="0"/>
      <w:divBdr>
        <w:top w:val="none" w:sz="0" w:space="0" w:color="auto"/>
        <w:left w:val="none" w:sz="0" w:space="0" w:color="auto"/>
        <w:bottom w:val="none" w:sz="0" w:space="0" w:color="auto"/>
        <w:right w:val="none" w:sz="0" w:space="0" w:color="auto"/>
      </w:divBdr>
    </w:div>
    <w:div w:id="1074274666">
      <w:bodyDiv w:val="1"/>
      <w:marLeft w:val="0"/>
      <w:marRight w:val="0"/>
      <w:marTop w:val="0"/>
      <w:marBottom w:val="0"/>
      <w:divBdr>
        <w:top w:val="none" w:sz="0" w:space="0" w:color="auto"/>
        <w:left w:val="none" w:sz="0" w:space="0" w:color="auto"/>
        <w:bottom w:val="none" w:sz="0" w:space="0" w:color="auto"/>
        <w:right w:val="none" w:sz="0" w:space="0" w:color="auto"/>
      </w:divBdr>
    </w:div>
    <w:div w:id="1082727293">
      <w:bodyDiv w:val="1"/>
      <w:marLeft w:val="0"/>
      <w:marRight w:val="0"/>
      <w:marTop w:val="0"/>
      <w:marBottom w:val="0"/>
      <w:divBdr>
        <w:top w:val="none" w:sz="0" w:space="0" w:color="auto"/>
        <w:left w:val="none" w:sz="0" w:space="0" w:color="auto"/>
        <w:bottom w:val="none" w:sz="0" w:space="0" w:color="auto"/>
        <w:right w:val="none" w:sz="0" w:space="0" w:color="auto"/>
      </w:divBdr>
    </w:div>
    <w:div w:id="1113741555">
      <w:bodyDiv w:val="1"/>
      <w:marLeft w:val="0"/>
      <w:marRight w:val="0"/>
      <w:marTop w:val="0"/>
      <w:marBottom w:val="0"/>
      <w:divBdr>
        <w:top w:val="none" w:sz="0" w:space="0" w:color="auto"/>
        <w:left w:val="none" w:sz="0" w:space="0" w:color="auto"/>
        <w:bottom w:val="none" w:sz="0" w:space="0" w:color="auto"/>
        <w:right w:val="none" w:sz="0" w:space="0" w:color="auto"/>
      </w:divBdr>
    </w:div>
    <w:div w:id="1156536937">
      <w:bodyDiv w:val="1"/>
      <w:marLeft w:val="0"/>
      <w:marRight w:val="0"/>
      <w:marTop w:val="0"/>
      <w:marBottom w:val="0"/>
      <w:divBdr>
        <w:top w:val="none" w:sz="0" w:space="0" w:color="auto"/>
        <w:left w:val="none" w:sz="0" w:space="0" w:color="auto"/>
        <w:bottom w:val="none" w:sz="0" w:space="0" w:color="auto"/>
        <w:right w:val="none" w:sz="0" w:space="0" w:color="auto"/>
      </w:divBdr>
    </w:div>
    <w:div w:id="1165171100">
      <w:bodyDiv w:val="1"/>
      <w:marLeft w:val="0"/>
      <w:marRight w:val="0"/>
      <w:marTop w:val="0"/>
      <w:marBottom w:val="0"/>
      <w:divBdr>
        <w:top w:val="none" w:sz="0" w:space="0" w:color="auto"/>
        <w:left w:val="none" w:sz="0" w:space="0" w:color="auto"/>
        <w:bottom w:val="none" w:sz="0" w:space="0" w:color="auto"/>
        <w:right w:val="none" w:sz="0" w:space="0" w:color="auto"/>
      </w:divBdr>
    </w:div>
    <w:div w:id="1181160251">
      <w:bodyDiv w:val="1"/>
      <w:marLeft w:val="0"/>
      <w:marRight w:val="0"/>
      <w:marTop w:val="0"/>
      <w:marBottom w:val="0"/>
      <w:divBdr>
        <w:top w:val="none" w:sz="0" w:space="0" w:color="auto"/>
        <w:left w:val="none" w:sz="0" w:space="0" w:color="auto"/>
        <w:bottom w:val="none" w:sz="0" w:space="0" w:color="auto"/>
        <w:right w:val="none" w:sz="0" w:space="0" w:color="auto"/>
      </w:divBdr>
    </w:div>
    <w:div w:id="1190799190">
      <w:bodyDiv w:val="1"/>
      <w:marLeft w:val="0"/>
      <w:marRight w:val="0"/>
      <w:marTop w:val="0"/>
      <w:marBottom w:val="0"/>
      <w:divBdr>
        <w:top w:val="none" w:sz="0" w:space="0" w:color="auto"/>
        <w:left w:val="none" w:sz="0" w:space="0" w:color="auto"/>
        <w:bottom w:val="none" w:sz="0" w:space="0" w:color="auto"/>
        <w:right w:val="none" w:sz="0" w:space="0" w:color="auto"/>
      </w:divBdr>
    </w:div>
    <w:div w:id="1210726641">
      <w:bodyDiv w:val="1"/>
      <w:marLeft w:val="0"/>
      <w:marRight w:val="0"/>
      <w:marTop w:val="0"/>
      <w:marBottom w:val="0"/>
      <w:divBdr>
        <w:top w:val="none" w:sz="0" w:space="0" w:color="auto"/>
        <w:left w:val="none" w:sz="0" w:space="0" w:color="auto"/>
        <w:bottom w:val="none" w:sz="0" w:space="0" w:color="auto"/>
        <w:right w:val="none" w:sz="0" w:space="0" w:color="auto"/>
      </w:divBdr>
    </w:div>
    <w:div w:id="1246651563">
      <w:bodyDiv w:val="1"/>
      <w:marLeft w:val="0"/>
      <w:marRight w:val="0"/>
      <w:marTop w:val="0"/>
      <w:marBottom w:val="0"/>
      <w:divBdr>
        <w:top w:val="none" w:sz="0" w:space="0" w:color="auto"/>
        <w:left w:val="none" w:sz="0" w:space="0" w:color="auto"/>
        <w:bottom w:val="none" w:sz="0" w:space="0" w:color="auto"/>
        <w:right w:val="none" w:sz="0" w:space="0" w:color="auto"/>
      </w:divBdr>
    </w:div>
    <w:div w:id="1259172350">
      <w:bodyDiv w:val="1"/>
      <w:marLeft w:val="0"/>
      <w:marRight w:val="0"/>
      <w:marTop w:val="0"/>
      <w:marBottom w:val="0"/>
      <w:divBdr>
        <w:top w:val="none" w:sz="0" w:space="0" w:color="auto"/>
        <w:left w:val="none" w:sz="0" w:space="0" w:color="auto"/>
        <w:bottom w:val="none" w:sz="0" w:space="0" w:color="auto"/>
        <w:right w:val="none" w:sz="0" w:space="0" w:color="auto"/>
      </w:divBdr>
    </w:div>
    <w:div w:id="1306810633">
      <w:bodyDiv w:val="1"/>
      <w:marLeft w:val="0"/>
      <w:marRight w:val="0"/>
      <w:marTop w:val="0"/>
      <w:marBottom w:val="0"/>
      <w:divBdr>
        <w:top w:val="none" w:sz="0" w:space="0" w:color="auto"/>
        <w:left w:val="none" w:sz="0" w:space="0" w:color="auto"/>
        <w:bottom w:val="none" w:sz="0" w:space="0" w:color="auto"/>
        <w:right w:val="none" w:sz="0" w:space="0" w:color="auto"/>
      </w:divBdr>
    </w:div>
    <w:div w:id="1323050385">
      <w:bodyDiv w:val="1"/>
      <w:marLeft w:val="0"/>
      <w:marRight w:val="0"/>
      <w:marTop w:val="0"/>
      <w:marBottom w:val="0"/>
      <w:divBdr>
        <w:top w:val="none" w:sz="0" w:space="0" w:color="auto"/>
        <w:left w:val="none" w:sz="0" w:space="0" w:color="auto"/>
        <w:bottom w:val="none" w:sz="0" w:space="0" w:color="auto"/>
        <w:right w:val="none" w:sz="0" w:space="0" w:color="auto"/>
      </w:divBdr>
    </w:div>
    <w:div w:id="1442873125">
      <w:bodyDiv w:val="1"/>
      <w:marLeft w:val="0"/>
      <w:marRight w:val="0"/>
      <w:marTop w:val="0"/>
      <w:marBottom w:val="0"/>
      <w:divBdr>
        <w:top w:val="none" w:sz="0" w:space="0" w:color="auto"/>
        <w:left w:val="none" w:sz="0" w:space="0" w:color="auto"/>
        <w:bottom w:val="none" w:sz="0" w:space="0" w:color="auto"/>
        <w:right w:val="none" w:sz="0" w:space="0" w:color="auto"/>
      </w:divBdr>
    </w:div>
    <w:div w:id="1475098342">
      <w:bodyDiv w:val="1"/>
      <w:marLeft w:val="0"/>
      <w:marRight w:val="0"/>
      <w:marTop w:val="0"/>
      <w:marBottom w:val="0"/>
      <w:divBdr>
        <w:top w:val="none" w:sz="0" w:space="0" w:color="auto"/>
        <w:left w:val="none" w:sz="0" w:space="0" w:color="auto"/>
        <w:bottom w:val="none" w:sz="0" w:space="0" w:color="auto"/>
        <w:right w:val="none" w:sz="0" w:space="0" w:color="auto"/>
      </w:divBdr>
    </w:div>
    <w:div w:id="1487360553">
      <w:bodyDiv w:val="1"/>
      <w:marLeft w:val="0"/>
      <w:marRight w:val="0"/>
      <w:marTop w:val="0"/>
      <w:marBottom w:val="0"/>
      <w:divBdr>
        <w:top w:val="none" w:sz="0" w:space="0" w:color="auto"/>
        <w:left w:val="none" w:sz="0" w:space="0" w:color="auto"/>
        <w:bottom w:val="none" w:sz="0" w:space="0" w:color="auto"/>
        <w:right w:val="none" w:sz="0" w:space="0" w:color="auto"/>
      </w:divBdr>
    </w:div>
    <w:div w:id="1532255462">
      <w:bodyDiv w:val="1"/>
      <w:marLeft w:val="0"/>
      <w:marRight w:val="0"/>
      <w:marTop w:val="0"/>
      <w:marBottom w:val="0"/>
      <w:divBdr>
        <w:top w:val="none" w:sz="0" w:space="0" w:color="auto"/>
        <w:left w:val="none" w:sz="0" w:space="0" w:color="auto"/>
        <w:bottom w:val="none" w:sz="0" w:space="0" w:color="auto"/>
        <w:right w:val="none" w:sz="0" w:space="0" w:color="auto"/>
      </w:divBdr>
    </w:div>
    <w:div w:id="1570116805">
      <w:bodyDiv w:val="1"/>
      <w:marLeft w:val="0"/>
      <w:marRight w:val="0"/>
      <w:marTop w:val="0"/>
      <w:marBottom w:val="0"/>
      <w:divBdr>
        <w:top w:val="none" w:sz="0" w:space="0" w:color="auto"/>
        <w:left w:val="none" w:sz="0" w:space="0" w:color="auto"/>
        <w:bottom w:val="none" w:sz="0" w:space="0" w:color="auto"/>
        <w:right w:val="none" w:sz="0" w:space="0" w:color="auto"/>
      </w:divBdr>
    </w:div>
    <w:div w:id="1576624561">
      <w:bodyDiv w:val="1"/>
      <w:marLeft w:val="0"/>
      <w:marRight w:val="0"/>
      <w:marTop w:val="0"/>
      <w:marBottom w:val="0"/>
      <w:divBdr>
        <w:top w:val="none" w:sz="0" w:space="0" w:color="auto"/>
        <w:left w:val="none" w:sz="0" w:space="0" w:color="auto"/>
        <w:bottom w:val="none" w:sz="0" w:space="0" w:color="auto"/>
        <w:right w:val="none" w:sz="0" w:space="0" w:color="auto"/>
      </w:divBdr>
    </w:div>
    <w:div w:id="1645549408">
      <w:bodyDiv w:val="1"/>
      <w:marLeft w:val="0"/>
      <w:marRight w:val="0"/>
      <w:marTop w:val="0"/>
      <w:marBottom w:val="0"/>
      <w:divBdr>
        <w:top w:val="none" w:sz="0" w:space="0" w:color="auto"/>
        <w:left w:val="none" w:sz="0" w:space="0" w:color="auto"/>
        <w:bottom w:val="none" w:sz="0" w:space="0" w:color="auto"/>
        <w:right w:val="none" w:sz="0" w:space="0" w:color="auto"/>
      </w:divBdr>
    </w:div>
    <w:div w:id="1648852353">
      <w:bodyDiv w:val="1"/>
      <w:marLeft w:val="0"/>
      <w:marRight w:val="0"/>
      <w:marTop w:val="0"/>
      <w:marBottom w:val="0"/>
      <w:divBdr>
        <w:top w:val="none" w:sz="0" w:space="0" w:color="auto"/>
        <w:left w:val="none" w:sz="0" w:space="0" w:color="auto"/>
        <w:bottom w:val="none" w:sz="0" w:space="0" w:color="auto"/>
        <w:right w:val="none" w:sz="0" w:space="0" w:color="auto"/>
      </w:divBdr>
    </w:div>
    <w:div w:id="1658070913">
      <w:bodyDiv w:val="1"/>
      <w:marLeft w:val="0"/>
      <w:marRight w:val="0"/>
      <w:marTop w:val="0"/>
      <w:marBottom w:val="0"/>
      <w:divBdr>
        <w:top w:val="none" w:sz="0" w:space="0" w:color="auto"/>
        <w:left w:val="none" w:sz="0" w:space="0" w:color="auto"/>
        <w:bottom w:val="none" w:sz="0" w:space="0" w:color="auto"/>
        <w:right w:val="none" w:sz="0" w:space="0" w:color="auto"/>
      </w:divBdr>
    </w:div>
    <w:div w:id="1665427243">
      <w:bodyDiv w:val="1"/>
      <w:marLeft w:val="0"/>
      <w:marRight w:val="0"/>
      <w:marTop w:val="0"/>
      <w:marBottom w:val="0"/>
      <w:divBdr>
        <w:top w:val="none" w:sz="0" w:space="0" w:color="auto"/>
        <w:left w:val="none" w:sz="0" w:space="0" w:color="auto"/>
        <w:bottom w:val="none" w:sz="0" w:space="0" w:color="auto"/>
        <w:right w:val="none" w:sz="0" w:space="0" w:color="auto"/>
      </w:divBdr>
    </w:div>
    <w:div w:id="1750761317">
      <w:bodyDiv w:val="1"/>
      <w:marLeft w:val="0"/>
      <w:marRight w:val="0"/>
      <w:marTop w:val="0"/>
      <w:marBottom w:val="0"/>
      <w:divBdr>
        <w:top w:val="none" w:sz="0" w:space="0" w:color="auto"/>
        <w:left w:val="none" w:sz="0" w:space="0" w:color="auto"/>
        <w:bottom w:val="none" w:sz="0" w:space="0" w:color="auto"/>
        <w:right w:val="none" w:sz="0" w:space="0" w:color="auto"/>
      </w:divBdr>
    </w:div>
    <w:div w:id="1781294916">
      <w:bodyDiv w:val="1"/>
      <w:marLeft w:val="0"/>
      <w:marRight w:val="0"/>
      <w:marTop w:val="0"/>
      <w:marBottom w:val="0"/>
      <w:divBdr>
        <w:top w:val="none" w:sz="0" w:space="0" w:color="auto"/>
        <w:left w:val="none" w:sz="0" w:space="0" w:color="auto"/>
        <w:bottom w:val="none" w:sz="0" w:space="0" w:color="auto"/>
        <w:right w:val="none" w:sz="0" w:space="0" w:color="auto"/>
      </w:divBdr>
    </w:div>
    <w:div w:id="1784380624">
      <w:bodyDiv w:val="1"/>
      <w:marLeft w:val="0"/>
      <w:marRight w:val="0"/>
      <w:marTop w:val="0"/>
      <w:marBottom w:val="0"/>
      <w:divBdr>
        <w:top w:val="none" w:sz="0" w:space="0" w:color="auto"/>
        <w:left w:val="none" w:sz="0" w:space="0" w:color="auto"/>
        <w:bottom w:val="none" w:sz="0" w:space="0" w:color="auto"/>
        <w:right w:val="none" w:sz="0" w:space="0" w:color="auto"/>
      </w:divBdr>
    </w:div>
    <w:div w:id="1788817500">
      <w:bodyDiv w:val="1"/>
      <w:marLeft w:val="0"/>
      <w:marRight w:val="0"/>
      <w:marTop w:val="0"/>
      <w:marBottom w:val="0"/>
      <w:divBdr>
        <w:top w:val="none" w:sz="0" w:space="0" w:color="auto"/>
        <w:left w:val="none" w:sz="0" w:space="0" w:color="auto"/>
        <w:bottom w:val="none" w:sz="0" w:space="0" w:color="auto"/>
        <w:right w:val="none" w:sz="0" w:space="0" w:color="auto"/>
      </w:divBdr>
    </w:div>
    <w:div w:id="1799684622">
      <w:bodyDiv w:val="1"/>
      <w:marLeft w:val="0"/>
      <w:marRight w:val="0"/>
      <w:marTop w:val="0"/>
      <w:marBottom w:val="0"/>
      <w:divBdr>
        <w:top w:val="none" w:sz="0" w:space="0" w:color="auto"/>
        <w:left w:val="none" w:sz="0" w:space="0" w:color="auto"/>
        <w:bottom w:val="none" w:sz="0" w:space="0" w:color="auto"/>
        <w:right w:val="none" w:sz="0" w:space="0" w:color="auto"/>
      </w:divBdr>
    </w:div>
    <w:div w:id="1836995545">
      <w:bodyDiv w:val="1"/>
      <w:marLeft w:val="0"/>
      <w:marRight w:val="0"/>
      <w:marTop w:val="0"/>
      <w:marBottom w:val="0"/>
      <w:divBdr>
        <w:top w:val="none" w:sz="0" w:space="0" w:color="auto"/>
        <w:left w:val="none" w:sz="0" w:space="0" w:color="auto"/>
        <w:bottom w:val="none" w:sz="0" w:space="0" w:color="auto"/>
        <w:right w:val="none" w:sz="0" w:space="0" w:color="auto"/>
      </w:divBdr>
    </w:div>
    <w:div w:id="1851484690">
      <w:bodyDiv w:val="1"/>
      <w:marLeft w:val="0"/>
      <w:marRight w:val="0"/>
      <w:marTop w:val="0"/>
      <w:marBottom w:val="0"/>
      <w:divBdr>
        <w:top w:val="none" w:sz="0" w:space="0" w:color="auto"/>
        <w:left w:val="none" w:sz="0" w:space="0" w:color="auto"/>
        <w:bottom w:val="none" w:sz="0" w:space="0" w:color="auto"/>
        <w:right w:val="none" w:sz="0" w:space="0" w:color="auto"/>
      </w:divBdr>
    </w:div>
    <w:div w:id="1857307227">
      <w:bodyDiv w:val="1"/>
      <w:marLeft w:val="0"/>
      <w:marRight w:val="0"/>
      <w:marTop w:val="0"/>
      <w:marBottom w:val="0"/>
      <w:divBdr>
        <w:top w:val="none" w:sz="0" w:space="0" w:color="auto"/>
        <w:left w:val="none" w:sz="0" w:space="0" w:color="auto"/>
        <w:bottom w:val="none" w:sz="0" w:space="0" w:color="auto"/>
        <w:right w:val="none" w:sz="0" w:space="0" w:color="auto"/>
      </w:divBdr>
    </w:div>
    <w:div w:id="1864630821">
      <w:bodyDiv w:val="1"/>
      <w:marLeft w:val="0"/>
      <w:marRight w:val="0"/>
      <w:marTop w:val="0"/>
      <w:marBottom w:val="0"/>
      <w:divBdr>
        <w:top w:val="none" w:sz="0" w:space="0" w:color="auto"/>
        <w:left w:val="none" w:sz="0" w:space="0" w:color="auto"/>
        <w:bottom w:val="none" w:sz="0" w:space="0" w:color="auto"/>
        <w:right w:val="none" w:sz="0" w:space="0" w:color="auto"/>
      </w:divBdr>
    </w:div>
    <w:div w:id="1884905372">
      <w:bodyDiv w:val="1"/>
      <w:marLeft w:val="0"/>
      <w:marRight w:val="0"/>
      <w:marTop w:val="0"/>
      <w:marBottom w:val="0"/>
      <w:divBdr>
        <w:top w:val="none" w:sz="0" w:space="0" w:color="auto"/>
        <w:left w:val="none" w:sz="0" w:space="0" w:color="auto"/>
        <w:bottom w:val="none" w:sz="0" w:space="0" w:color="auto"/>
        <w:right w:val="none" w:sz="0" w:space="0" w:color="auto"/>
      </w:divBdr>
    </w:div>
    <w:div w:id="1890725985">
      <w:bodyDiv w:val="1"/>
      <w:marLeft w:val="0"/>
      <w:marRight w:val="0"/>
      <w:marTop w:val="0"/>
      <w:marBottom w:val="0"/>
      <w:divBdr>
        <w:top w:val="none" w:sz="0" w:space="0" w:color="auto"/>
        <w:left w:val="none" w:sz="0" w:space="0" w:color="auto"/>
        <w:bottom w:val="none" w:sz="0" w:space="0" w:color="auto"/>
        <w:right w:val="none" w:sz="0" w:space="0" w:color="auto"/>
      </w:divBdr>
    </w:div>
    <w:div w:id="1933008655">
      <w:bodyDiv w:val="1"/>
      <w:marLeft w:val="0"/>
      <w:marRight w:val="0"/>
      <w:marTop w:val="0"/>
      <w:marBottom w:val="0"/>
      <w:divBdr>
        <w:top w:val="none" w:sz="0" w:space="0" w:color="auto"/>
        <w:left w:val="none" w:sz="0" w:space="0" w:color="auto"/>
        <w:bottom w:val="none" w:sz="0" w:space="0" w:color="auto"/>
        <w:right w:val="none" w:sz="0" w:space="0" w:color="auto"/>
      </w:divBdr>
    </w:div>
    <w:div w:id="1943107458">
      <w:bodyDiv w:val="1"/>
      <w:marLeft w:val="0"/>
      <w:marRight w:val="0"/>
      <w:marTop w:val="0"/>
      <w:marBottom w:val="0"/>
      <w:divBdr>
        <w:top w:val="none" w:sz="0" w:space="0" w:color="auto"/>
        <w:left w:val="none" w:sz="0" w:space="0" w:color="auto"/>
        <w:bottom w:val="none" w:sz="0" w:space="0" w:color="auto"/>
        <w:right w:val="none" w:sz="0" w:space="0" w:color="auto"/>
      </w:divBdr>
    </w:div>
    <w:div w:id="1954363945">
      <w:bodyDiv w:val="1"/>
      <w:marLeft w:val="0"/>
      <w:marRight w:val="0"/>
      <w:marTop w:val="0"/>
      <w:marBottom w:val="0"/>
      <w:divBdr>
        <w:top w:val="none" w:sz="0" w:space="0" w:color="auto"/>
        <w:left w:val="none" w:sz="0" w:space="0" w:color="auto"/>
        <w:bottom w:val="none" w:sz="0" w:space="0" w:color="auto"/>
        <w:right w:val="none" w:sz="0" w:space="0" w:color="auto"/>
      </w:divBdr>
    </w:div>
    <w:div w:id="2017682656">
      <w:bodyDiv w:val="1"/>
      <w:marLeft w:val="0"/>
      <w:marRight w:val="0"/>
      <w:marTop w:val="0"/>
      <w:marBottom w:val="0"/>
      <w:divBdr>
        <w:top w:val="none" w:sz="0" w:space="0" w:color="auto"/>
        <w:left w:val="none" w:sz="0" w:space="0" w:color="auto"/>
        <w:bottom w:val="none" w:sz="0" w:space="0" w:color="auto"/>
        <w:right w:val="none" w:sz="0" w:space="0" w:color="auto"/>
      </w:divBdr>
    </w:div>
    <w:div w:id="2031224112">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034335402">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2025631">
      <w:bodyDiv w:val="1"/>
      <w:marLeft w:val="0"/>
      <w:marRight w:val="0"/>
      <w:marTop w:val="0"/>
      <w:marBottom w:val="0"/>
      <w:divBdr>
        <w:top w:val="none" w:sz="0" w:space="0" w:color="auto"/>
        <w:left w:val="none" w:sz="0" w:space="0" w:color="auto"/>
        <w:bottom w:val="none" w:sz="0" w:space="0" w:color="auto"/>
        <w:right w:val="none" w:sz="0" w:space="0" w:color="auto"/>
      </w:divBdr>
    </w:div>
    <w:div w:id="2062944811">
      <w:bodyDiv w:val="1"/>
      <w:marLeft w:val="0"/>
      <w:marRight w:val="0"/>
      <w:marTop w:val="0"/>
      <w:marBottom w:val="0"/>
      <w:divBdr>
        <w:top w:val="none" w:sz="0" w:space="0" w:color="auto"/>
        <w:left w:val="none" w:sz="0" w:space="0" w:color="auto"/>
        <w:bottom w:val="none" w:sz="0" w:space="0" w:color="auto"/>
        <w:right w:val="none" w:sz="0" w:space="0" w:color="auto"/>
      </w:divBdr>
    </w:div>
    <w:div w:id="2074770483">
      <w:bodyDiv w:val="1"/>
      <w:marLeft w:val="0"/>
      <w:marRight w:val="0"/>
      <w:marTop w:val="0"/>
      <w:marBottom w:val="0"/>
      <w:divBdr>
        <w:top w:val="none" w:sz="0" w:space="0" w:color="auto"/>
        <w:left w:val="none" w:sz="0" w:space="0" w:color="auto"/>
        <w:bottom w:val="none" w:sz="0" w:space="0" w:color="auto"/>
        <w:right w:val="none" w:sz="0" w:space="0" w:color="auto"/>
      </w:divBdr>
    </w:div>
    <w:div w:id="2131123222">
      <w:bodyDiv w:val="1"/>
      <w:marLeft w:val="0"/>
      <w:marRight w:val="0"/>
      <w:marTop w:val="0"/>
      <w:marBottom w:val="0"/>
      <w:divBdr>
        <w:top w:val="none" w:sz="0" w:space="0" w:color="auto"/>
        <w:left w:val="none" w:sz="0" w:space="0" w:color="auto"/>
        <w:bottom w:val="none" w:sz="0" w:space="0" w:color="auto"/>
        <w:right w:val="none" w:sz="0" w:space="0" w:color="auto"/>
      </w:divBdr>
    </w:div>
    <w:div w:id="21394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A5CD35-AF20-4ADF-BDF8-29D65AA8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73</Pages>
  <Words>23550</Words>
  <Characters>133886</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157122</CharactersWithSpaces>
  <SharedDoc>false</SharedDoc>
  <HLinks>
    <vt:vector size="6" baseType="variant">
      <vt:variant>
        <vt:i4>1572923</vt:i4>
      </vt:variant>
      <vt:variant>
        <vt:i4>2</vt:i4>
      </vt:variant>
      <vt:variant>
        <vt:i4>0</vt:i4>
      </vt:variant>
      <vt:variant>
        <vt:i4>5</vt:i4>
      </vt:variant>
      <vt:variant>
        <vt:lpwstr/>
      </vt:variant>
      <vt:variant>
        <vt:lpwstr>_Toc496690002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cp:lastModifiedBy>Fiona Durante</cp:lastModifiedBy>
  <cp:revision>25</cp:revision>
  <cp:lastPrinted>2015-02-17T00:19:00Z</cp:lastPrinted>
  <dcterms:created xsi:type="dcterms:W3CDTF">2017-10-24T23:47:00Z</dcterms:created>
  <dcterms:modified xsi:type="dcterms:W3CDTF">2017-10-30T00:11:00Z</dcterms:modified>
</cp:coreProperties>
</file>