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E4" w:rsidRDefault="006473E4" w:rsidP="006473E4">
      <w:pPr>
        <w:pStyle w:val="Title"/>
      </w:pPr>
      <w:r>
        <w:t>Court Service</w:t>
      </w:r>
      <w:r w:rsidR="00760243">
        <w:t>s</w:t>
      </w:r>
      <w:r>
        <w:t xml:space="preserve"> Victoria</w:t>
      </w:r>
    </w:p>
    <w:p w:rsidR="006473E4" w:rsidRDefault="00BE33B1" w:rsidP="006473E4">
      <w:pPr>
        <w:pStyle w:val="Title"/>
      </w:pPr>
      <w:r>
        <w:t>Annual Report 2016-17</w:t>
      </w:r>
    </w:p>
    <w:p w:rsidR="00A220B2" w:rsidRDefault="00A220B2" w:rsidP="00A220B2"/>
    <w:p w:rsidR="00A220B2" w:rsidRDefault="00A220B2" w:rsidP="00A220B2"/>
    <w:p w:rsidR="00A220B2" w:rsidRDefault="00A220B2" w:rsidP="00A220B2">
      <w:pPr>
        <w:rPr>
          <w:b/>
        </w:rPr>
      </w:pPr>
    </w:p>
    <w:p w:rsidR="00A220B2" w:rsidRDefault="00A220B2" w:rsidP="00A220B2">
      <w:pPr>
        <w:rPr>
          <w:b/>
        </w:rPr>
      </w:pPr>
    </w:p>
    <w:p w:rsidR="00A220B2" w:rsidRDefault="00A220B2" w:rsidP="00A220B2">
      <w:pPr>
        <w:rPr>
          <w:b/>
        </w:rPr>
      </w:pPr>
    </w:p>
    <w:p w:rsidR="00A220B2" w:rsidRDefault="00A220B2" w:rsidP="00A220B2">
      <w:pPr>
        <w:rPr>
          <w:b/>
        </w:rPr>
      </w:pPr>
    </w:p>
    <w:p w:rsidR="00A220B2" w:rsidRDefault="00A220B2" w:rsidP="00A220B2">
      <w:pPr>
        <w:rPr>
          <w:b/>
        </w:rPr>
      </w:pPr>
    </w:p>
    <w:p w:rsidR="00802F0B" w:rsidRDefault="00802F0B" w:rsidP="006473E4"/>
    <w:p w:rsidR="00802F0B" w:rsidRDefault="00802F0B" w:rsidP="006473E4"/>
    <w:p w:rsidR="00802F0B" w:rsidRDefault="00802F0B" w:rsidP="006473E4"/>
    <w:p w:rsidR="00802F0B" w:rsidRDefault="00802F0B" w:rsidP="006473E4"/>
    <w:p w:rsidR="00802F0B" w:rsidRDefault="00802F0B" w:rsidP="006473E4"/>
    <w:p w:rsidR="00802F0B" w:rsidRDefault="00802F0B" w:rsidP="006473E4"/>
    <w:p w:rsidR="006473E4" w:rsidRPr="00525810" w:rsidRDefault="006473E4" w:rsidP="0003770C">
      <w:pPr>
        <w:pStyle w:val="Imprint"/>
      </w:pPr>
      <w:r>
        <w:br w:type="page"/>
      </w:r>
      <w:r w:rsidRPr="00525810">
        <w:lastRenderedPageBreak/>
        <w:t xml:space="preserve">Court Services Victoria acknowledges </w:t>
      </w:r>
      <w:r w:rsidR="00F373D4">
        <w:t xml:space="preserve">the </w:t>
      </w:r>
      <w:r w:rsidRPr="00525810">
        <w:t>Aboriginal and Torres Strait Islander people as the Traditional Custodians of the land. Court Services Victoria also acknowledges and pays respect to their Elders, past and present.</w:t>
      </w:r>
    </w:p>
    <w:p w:rsidR="006473E4" w:rsidRPr="00525810" w:rsidRDefault="006473E4" w:rsidP="0003770C">
      <w:pPr>
        <w:pStyle w:val="Imprint"/>
      </w:pPr>
    </w:p>
    <w:p w:rsidR="006473E4" w:rsidRPr="00525810" w:rsidRDefault="006473E4" w:rsidP="0003770C">
      <w:pPr>
        <w:pStyle w:val="Imprint"/>
      </w:pPr>
      <w:r w:rsidRPr="00525810">
        <w:t xml:space="preserve">This report is protected by copyright. Apart from any use permitted under the </w:t>
      </w:r>
      <w:r w:rsidRPr="00C60580">
        <w:rPr>
          <w:i/>
        </w:rPr>
        <w:t>Copyright Act 1968</w:t>
      </w:r>
      <w:r w:rsidRPr="00525810">
        <w:t xml:space="preserve"> (Cth), all rights </w:t>
      </w:r>
      <w:r w:rsidR="00BE33B1" w:rsidRPr="00525810">
        <w:t>are reserved</w:t>
      </w:r>
      <w:r w:rsidRPr="00525810">
        <w:t>.</w:t>
      </w:r>
    </w:p>
    <w:p w:rsidR="006473E4" w:rsidRPr="00525810" w:rsidRDefault="006473E4" w:rsidP="0003770C">
      <w:pPr>
        <w:pStyle w:val="Imprint"/>
      </w:pPr>
    </w:p>
    <w:p w:rsidR="006473E4" w:rsidRPr="00525810" w:rsidRDefault="006473E4" w:rsidP="0003770C">
      <w:pPr>
        <w:pStyle w:val="Imprint"/>
      </w:pPr>
      <w:r w:rsidRPr="00525810">
        <w:t>Court Services Victoria</w:t>
      </w:r>
    </w:p>
    <w:p w:rsidR="006473E4" w:rsidRPr="00525810" w:rsidRDefault="006473E4" w:rsidP="0003770C">
      <w:pPr>
        <w:pStyle w:val="Imprint"/>
      </w:pPr>
    </w:p>
    <w:p w:rsidR="006473E4" w:rsidRPr="00525810" w:rsidRDefault="006473E4" w:rsidP="0003770C">
      <w:pPr>
        <w:pStyle w:val="Imprint"/>
      </w:pPr>
      <w:r w:rsidRPr="00525810">
        <w:t>ISSN 2205-1090 (Print)</w:t>
      </w:r>
    </w:p>
    <w:p w:rsidR="006473E4" w:rsidRPr="00525810" w:rsidRDefault="006473E4" w:rsidP="0003770C">
      <w:pPr>
        <w:pStyle w:val="Imprint"/>
      </w:pPr>
    </w:p>
    <w:p w:rsidR="006473E4" w:rsidRPr="00525810" w:rsidRDefault="006473E4" w:rsidP="0003770C">
      <w:pPr>
        <w:pStyle w:val="Imprint"/>
      </w:pPr>
      <w:r w:rsidRPr="00525810">
        <w:t>Published by Court Services Victoria</w:t>
      </w:r>
    </w:p>
    <w:p w:rsidR="006473E4" w:rsidRPr="00AF3522" w:rsidRDefault="006473E4" w:rsidP="0003770C">
      <w:pPr>
        <w:pStyle w:val="Imprint"/>
      </w:pPr>
      <w:r w:rsidRPr="00AF3522">
        <w:t xml:space="preserve">Design: Celsius Design </w:t>
      </w:r>
    </w:p>
    <w:p w:rsidR="006473E4" w:rsidRPr="00AF3522" w:rsidRDefault="00F86112" w:rsidP="0003770C">
      <w:pPr>
        <w:pStyle w:val="Imprint"/>
      </w:pPr>
      <w:r w:rsidRPr="00AF3522">
        <w:t xml:space="preserve">Photography: Bonnie </w:t>
      </w:r>
      <w:r w:rsidR="006473E4" w:rsidRPr="00AF3522">
        <w:t xml:space="preserve">Savage </w:t>
      </w:r>
      <w:r w:rsidRPr="00AF3522">
        <w:t>and William Hung</w:t>
      </w:r>
    </w:p>
    <w:p w:rsidR="006473E4" w:rsidRPr="00525810" w:rsidRDefault="0044681A" w:rsidP="0003770C">
      <w:pPr>
        <w:pStyle w:val="Imprint"/>
      </w:pPr>
      <w:r w:rsidRPr="00AF3522">
        <w:t>October 2017</w:t>
      </w:r>
    </w:p>
    <w:p w:rsidR="006473E4" w:rsidRPr="00525810" w:rsidRDefault="006473E4" w:rsidP="0003770C">
      <w:pPr>
        <w:pStyle w:val="Imprint"/>
      </w:pPr>
    </w:p>
    <w:p w:rsidR="006473E4" w:rsidRPr="00525810" w:rsidRDefault="006473E4" w:rsidP="0003770C">
      <w:pPr>
        <w:pStyle w:val="Imprint"/>
      </w:pPr>
    </w:p>
    <w:p w:rsidR="006473E4" w:rsidRPr="00525810" w:rsidRDefault="006473E4" w:rsidP="0003770C">
      <w:pPr>
        <w:pStyle w:val="Imprint"/>
      </w:pPr>
      <w:r w:rsidRPr="00525810">
        <w:t>This report may also be downloaded from the Court Services Victoria website www.courts.vic.gov.au</w:t>
      </w:r>
    </w:p>
    <w:p w:rsidR="006473E4" w:rsidRPr="00525810" w:rsidRDefault="006473E4" w:rsidP="0003770C">
      <w:pPr>
        <w:pStyle w:val="Imprint"/>
      </w:pPr>
    </w:p>
    <w:p w:rsidR="006473E4" w:rsidRPr="00525810" w:rsidRDefault="006473E4" w:rsidP="0003770C">
      <w:pPr>
        <w:pStyle w:val="Imprint"/>
      </w:pPr>
      <w:r w:rsidRPr="00525810">
        <w:t>Accessibility</w:t>
      </w:r>
    </w:p>
    <w:p w:rsidR="006473E4" w:rsidRPr="00525810" w:rsidRDefault="006473E4" w:rsidP="0003770C">
      <w:pPr>
        <w:pStyle w:val="Imprint"/>
      </w:pPr>
      <w:r w:rsidRPr="00525810">
        <w:t>If you would like to receive a printed copy of this publication, please email feedback@courts.vic.gov.au</w:t>
      </w:r>
    </w:p>
    <w:p w:rsidR="006473E4" w:rsidRPr="00525810" w:rsidRDefault="006473E4" w:rsidP="0003770C">
      <w:pPr>
        <w:pStyle w:val="Imprint"/>
      </w:pPr>
    </w:p>
    <w:p w:rsidR="006473E4" w:rsidRPr="00525810" w:rsidRDefault="006473E4" w:rsidP="0003770C">
      <w:pPr>
        <w:pStyle w:val="Imprint"/>
      </w:pPr>
      <w:r w:rsidRPr="00525810">
        <w:t>Enquires:</w:t>
      </w:r>
    </w:p>
    <w:p w:rsidR="006473E4" w:rsidRPr="00525810" w:rsidRDefault="006473E4" w:rsidP="0003770C">
      <w:pPr>
        <w:pStyle w:val="Imprint"/>
      </w:pPr>
      <w:r w:rsidRPr="00525810">
        <w:t>Court Services Victoria</w:t>
      </w:r>
    </w:p>
    <w:p w:rsidR="006473E4" w:rsidRPr="00525810" w:rsidRDefault="006473E4" w:rsidP="0003770C">
      <w:pPr>
        <w:pStyle w:val="Imprint"/>
      </w:pPr>
      <w:r w:rsidRPr="00525810">
        <w:t>223 William Street</w:t>
      </w:r>
    </w:p>
    <w:p w:rsidR="006473E4" w:rsidRPr="00525810" w:rsidRDefault="006473E4" w:rsidP="0003770C">
      <w:pPr>
        <w:pStyle w:val="Imprint"/>
      </w:pPr>
      <w:r w:rsidRPr="00525810">
        <w:t>Melbourne Vic 3000</w:t>
      </w:r>
    </w:p>
    <w:p w:rsidR="006473E4" w:rsidRPr="00525810" w:rsidRDefault="006473E4" w:rsidP="0003770C">
      <w:pPr>
        <w:pStyle w:val="Imprint"/>
      </w:pPr>
      <w:r w:rsidRPr="00525810">
        <w:t>Email: feedback@courts.vic.gov.au</w:t>
      </w:r>
    </w:p>
    <w:p w:rsidR="00A220B2" w:rsidRDefault="006473E4" w:rsidP="006304E2">
      <w:pPr>
        <w:pStyle w:val="TOC2"/>
        <w:rPr>
          <w:noProof/>
        </w:rPr>
      </w:pPr>
      <w:r>
        <w:br w:type="page"/>
      </w:r>
      <w:r w:rsidR="006304E2" w:rsidRPr="0037159D">
        <w:rPr>
          <w:highlight w:val="yellow"/>
        </w:rPr>
        <w:fldChar w:fldCharType="begin"/>
      </w:r>
      <w:r w:rsidR="006304E2" w:rsidRPr="0037159D">
        <w:rPr>
          <w:highlight w:val="yellow"/>
        </w:rPr>
        <w:instrText xml:space="preserve"> TOC \h \z \t "Heading 1,1,Heading 2,2" </w:instrText>
      </w:r>
      <w:r w:rsidR="006304E2" w:rsidRPr="0037159D">
        <w:rPr>
          <w:highlight w:val="yellow"/>
        </w:rPr>
        <w:fldChar w:fldCharType="separate"/>
      </w:r>
    </w:p>
    <w:p w:rsidR="00A220B2" w:rsidRPr="00792B05" w:rsidRDefault="00A220B2">
      <w:pPr>
        <w:pStyle w:val="TOC2"/>
        <w:rPr>
          <w:rFonts w:ascii="Calibri" w:eastAsia="Times New Roman" w:hAnsi="Calibri" w:cs="Times New Roman"/>
          <w:noProof/>
        </w:rPr>
      </w:pPr>
      <w:hyperlink w:anchor="_Toc494978530" w:history="1">
        <w:r w:rsidRPr="009F306A">
          <w:rPr>
            <w:rStyle w:val="Hyperlink"/>
            <w:noProof/>
          </w:rPr>
          <w:t>Message from the Chair</w:t>
        </w:r>
        <w:r>
          <w:rPr>
            <w:noProof/>
            <w:webHidden/>
          </w:rPr>
          <w:tab/>
        </w:r>
        <w:r>
          <w:rPr>
            <w:noProof/>
            <w:webHidden/>
          </w:rPr>
          <w:fldChar w:fldCharType="begin"/>
        </w:r>
        <w:r>
          <w:rPr>
            <w:noProof/>
            <w:webHidden/>
          </w:rPr>
          <w:instrText xml:space="preserve"> PAGEREF _Toc494978530 \h </w:instrText>
        </w:r>
        <w:r>
          <w:rPr>
            <w:noProof/>
            <w:webHidden/>
          </w:rPr>
        </w:r>
        <w:r>
          <w:rPr>
            <w:noProof/>
            <w:webHidden/>
          </w:rPr>
          <w:fldChar w:fldCharType="separate"/>
        </w:r>
        <w:r w:rsidR="00331EC7">
          <w:rPr>
            <w:noProof/>
            <w:webHidden/>
          </w:rPr>
          <w:t>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31" w:history="1">
        <w:r w:rsidRPr="009F306A">
          <w:rPr>
            <w:rStyle w:val="Hyperlink"/>
            <w:noProof/>
          </w:rPr>
          <w:t>Message from the Chief Executive Officer</w:t>
        </w:r>
        <w:r>
          <w:rPr>
            <w:noProof/>
            <w:webHidden/>
          </w:rPr>
          <w:tab/>
        </w:r>
        <w:r>
          <w:rPr>
            <w:noProof/>
            <w:webHidden/>
          </w:rPr>
          <w:fldChar w:fldCharType="begin"/>
        </w:r>
        <w:r>
          <w:rPr>
            <w:noProof/>
            <w:webHidden/>
          </w:rPr>
          <w:instrText xml:space="preserve"> PAGEREF _Toc494978531 \h </w:instrText>
        </w:r>
        <w:r>
          <w:rPr>
            <w:noProof/>
            <w:webHidden/>
          </w:rPr>
        </w:r>
        <w:r>
          <w:rPr>
            <w:noProof/>
            <w:webHidden/>
          </w:rPr>
          <w:fldChar w:fldCharType="separate"/>
        </w:r>
        <w:r w:rsidR="00331EC7">
          <w:rPr>
            <w:noProof/>
            <w:webHidden/>
          </w:rPr>
          <w:t>7</w:t>
        </w:r>
        <w:r>
          <w:rPr>
            <w:noProof/>
            <w:webHidden/>
          </w:rPr>
          <w:fldChar w:fldCharType="end"/>
        </w:r>
      </w:hyperlink>
    </w:p>
    <w:p w:rsidR="00A220B2" w:rsidRPr="00792B05" w:rsidRDefault="00A220B2">
      <w:pPr>
        <w:pStyle w:val="TOC1"/>
        <w:rPr>
          <w:rFonts w:ascii="Calibri" w:eastAsia="Times New Roman" w:hAnsi="Calibri" w:cs="Times New Roman"/>
          <w:noProof/>
        </w:rPr>
      </w:pPr>
      <w:hyperlink w:anchor="_Toc494978532" w:history="1">
        <w:r w:rsidRPr="009F306A">
          <w:rPr>
            <w:rStyle w:val="Hyperlink"/>
            <w:noProof/>
          </w:rPr>
          <w:t>SECTION 1: GOVERNANCE AND ORGANISATIONAL STRUCTURE</w:t>
        </w:r>
        <w:r>
          <w:rPr>
            <w:noProof/>
            <w:webHidden/>
          </w:rPr>
          <w:tab/>
        </w:r>
        <w:r>
          <w:rPr>
            <w:noProof/>
            <w:webHidden/>
          </w:rPr>
          <w:fldChar w:fldCharType="begin"/>
        </w:r>
        <w:r>
          <w:rPr>
            <w:noProof/>
            <w:webHidden/>
          </w:rPr>
          <w:instrText xml:space="preserve"> PAGEREF _Toc494978532 \h </w:instrText>
        </w:r>
        <w:r>
          <w:rPr>
            <w:noProof/>
            <w:webHidden/>
          </w:rPr>
        </w:r>
        <w:r>
          <w:rPr>
            <w:noProof/>
            <w:webHidden/>
          </w:rPr>
          <w:fldChar w:fldCharType="separate"/>
        </w:r>
        <w:r w:rsidR="00331EC7">
          <w:rPr>
            <w:noProof/>
            <w:webHidden/>
          </w:rPr>
          <w:t>9</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33" w:history="1">
        <w:r w:rsidRPr="009F306A">
          <w:rPr>
            <w:rStyle w:val="Hyperlink"/>
            <w:noProof/>
          </w:rPr>
          <w:t>About Court Services Victoria</w:t>
        </w:r>
        <w:r>
          <w:rPr>
            <w:noProof/>
            <w:webHidden/>
          </w:rPr>
          <w:tab/>
        </w:r>
        <w:r>
          <w:rPr>
            <w:noProof/>
            <w:webHidden/>
          </w:rPr>
          <w:fldChar w:fldCharType="begin"/>
        </w:r>
        <w:r>
          <w:rPr>
            <w:noProof/>
            <w:webHidden/>
          </w:rPr>
          <w:instrText xml:space="preserve"> PAGEREF _Toc494978533 \h </w:instrText>
        </w:r>
        <w:r>
          <w:rPr>
            <w:noProof/>
            <w:webHidden/>
          </w:rPr>
        </w:r>
        <w:r>
          <w:rPr>
            <w:noProof/>
            <w:webHidden/>
          </w:rPr>
          <w:fldChar w:fldCharType="separate"/>
        </w:r>
        <w:r w:rsidR="00331EC7">
          <w:rPr>
            <w:noProof/>
            <w:webHidden/>
          </w:rPr>
          <w:t>9</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34" w:history="1">
        <w:r w:rsidRPr="009F306A">
          <w:rPr>
            <w:rStyle w:val="Hyperlink"/>
            <w:noProof/>
          </w:rPr>
          <w:t>Organisational Structure and Corporate Governance</w:t>
        </w:r>
        <w:r>
          <w:rPr>
            <w:noProof/>
            <w:webHidden/>
          </w:rPr>
          <w:tab/>
        </w:r>
        <w:r>
          <w:rPr>
            <w:noProof/>
            <w:webHidden/>
          </w:rPr>
          <w:fldChar w:fldCharType="begin"/>
        </w:r>
        <w:r>
          <w:rPr>
            <w:noProof/>
            <w:webHidden/>
          </w:rPr>
          <w:instrText xml:space="preserve"> PAGEREF _Toc494978534 \h </w:instrText>
        </w:r>
        <w:r>
          <w:rPr>
            <w:noProof/>
            <w:webHidden/>
          </w:rPr>
        </w:r>
        <w:r>
          <w:rPr>
            <w:noProof/>
            <w:webHidden/>
          </w:rPr>
          <w:fldChar w:fldCharType="separate"/>
        </w:r>
        <w:r w:rsidR="00331EC7">
          <w:rPr>
            <w:noProof/>
            <w:webHidden/>
          </w:rPr>
          <w:t>10</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35" w:history="1">
        <w:r w:rsidRPr="009F306A">
          <w:rPr>
            <w:rStyle w:val="Hyperlink"/>
            <w:noProof/>
          </w:rPr>
          <w:t>Governing Body</w:t>
        </w:r>
        <w:r>
          <w:rPr>
            <w:noProof/>
            <w:webHidden/>
          </w:rPr>
          <w:tab/>
        </w:r>
        <w:r>
          <w:rPr>
            <w:noProof/>
            <w:webHidden/>
          </w:rPr>
          <w:fldChar w:fldCharType="begin"/>
        </w:r>
        <w:r>
          <w:rPr>
            <w:noProof/>
            <w:webHidden/>
          </w:rPr>
          <w:instrText xml:space="preserve"> PAGEREF _Toc494978535 \h </w:instrText>
        </w:r>
        <w:r>
          <w:rPr>
            <w:noProof/>
            <w:webHidden/>
          </w:rPr>
        </w:r>
        <w:r>
          <w:rPr>
            <w:noProof/>
            <w:webHidden/>
          </w:rPr>
          <w:fldChar w:fldCharType="separate"/>
        </w:r>
        <w:r w:rsidR="00331EC7">
          <w:rPr>
            <w:noProof/>
            <w:webHidden/>
          </w:rPr>
          <w:t>11</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36" w:history="1">
        <w:r w:rsidRPr="009F306A">
          <w:rPr>
            <w:rStyle w:val="Hyperlink"/>
            <w:noProof/>
          </w:rPr>
          <w:t>Senior Executive</w:t>
        </w:r>
        <w:r>
          <w:rPr>
            <w:noProof/>
            <w:webHidden/>
          </w:rPr>
          <w:tab/>
        </w:r>
        <w:r>
          <w:rPr>
            <w:noProof/>
            <w:webHidden/>
          </w:rPr>
          <w:fldChar w:fldCharType="begin"/>
        </w:r>
        <w:r>
          <w:rPr>
            <w:noProof/>
            <w:webHidden/>
          </w:rPr>
          <w:instrText xml:space="preserve"> PAGEREF _Toc494978536 \h </w:instrText>
        </w:r>
        <w:r>
          <w:rPr>
            <w:noProof/>
            <w:webHidden/>
          </w:rPr>
        </w:r>
        <w:r>
          <w:rPr>
            <w:noProof/>
            <w:webHidden/>
          </w:rPr>
          <w:fldChar w:fldCharType="separate"/>
        </w:r>
        <w:r w:rsidR="00331EC7">
          <w:rPr>
            <w:noProof/>
            <w:webHidden/>
          </w:rPr>
          <w:t>13</w:t>
        </w:r>
        <w:r>
          <w:rPr>
            <w:noProof/>
            <w:webHidden/>
          </w:rPr>
          <w:fldChar w:fldCharType="end"/>
        </w:r>
      </w:hyperlink>
    </w:p>
    <w:p w:rsidR="00A220B2" w:rsidRPr="00792B05" w:rsidRDefault="00A220B2">
      <w:pPr>
        <w:pStyle w:val="TOC1"/>
        <w:rPr>
          <w:rFonts w:ascii="Calibri" w:eastAsia="Times New Roman" w:hAnsi="Calibri" w:cs="Times New Roman"/>
          <w:noProof/>
        </w:rPr>
      </w:pPr>
      <w:hyperlink w:anchor="_Toc494978537" w:history="1">
        <w:r w:rsidRPr="009F306A">
          <w:rPr>
            <w:rStyle w:val="Hyperlink"/>
            <w:noProof/>
          </w:rPr>
          <w:t>SECTION 2: YEAR IN REVIEW</w:t>
        </w:r>
        <w:r>
          <w:rPr>
            <w:noProof/>
            <w:webHidden/>
          </w:rPr>
          <w:tab/>
        </w:r>
        <w:r>
          <w:rPr>
            <w:noProof/>
            <w:webHidden/>
          </w:rPr>
          <w:fldChar w:fldCharType="begin"/>
        </w:r>
        <w:r>
          <w:rPr>
            <w:noProof/>
            <w:webHidden/>
          </w:rPr>
          <w:instrText xml:space="preserve"> PAGEREF _Toc494978537 \h </w:instrText>
        </w:r>
        <w:r>
          <w:rPr>
            <w:noProof/>
            <w:webHidden/>
          </w:rPr>
        </w:r>
        <w:r>
          <w:rPr>
            <w:noProof/>
            <w:webHidden/>
          </w:rPr>
          <w:fldChar w:fldCharType="separate"/>
        </w:r>
        <w:r w:rsidR="00331EC7">
          <w:rPr>
            <w:noProof/>
            <w:webHidden/>
          </w:rPr>
          <w:t>15</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38" w:history="1">
        <w:r w:rsidRPr="009F306A">
          <w:rPr>
            <w:rStyle w:val="Hyperlink"/>
            <w:noProof/>
          </w:rPr>
          <w:t>PEOPLE, CULTURE and risk management</w:t>
        </w:r>
        <w:r>
          <w:rPr>
            <w:noProof/>
            <w:webHidden/>
          </w:rPr>
          <w:tab/>
        </w:r>
        <w:r>
          <w:rPr>
            <w:noProof/>
            <w:webHidden/>
          </w:rPr>
          <w:fldChar w:fldCharType="begin"/>
        </w:r>
        <w:r>
          <w:rPr>
            <w:noProof/>
            <w:webHidden/>
          </w:rPr>
          <w:instrText xml:space="preserve"> PAGEREF _Toc494978538 \h </w:instrText>
        </w:r>
        <w:r>
          <w:rPr>
            <w:noProof/>
            <w:webHidden/>
          </w:rPr>
        </w:r>
        <w:r>
          <w:rPr>
            <w:noProof/>
            <w:webHidden/>
          </w:rPr>
          <w:fldChar w:fldCharType="separate"/>
        </w:r>
        <w:r w:rsidR="00331EC7">
          <w:rPr>
            <w:noProof/>
            <w:webHidden/>
          </w:rPr>
          <w:t>15</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39" w:history="1">
        <w:r w:rsidRPr="009F306A">
          <w:rPr>
            <w:rStyle w:val="Hyperlink"/>
            <w:noProof/>
          </w:rPr>
          <w:t>Financial Analysis, Planning and Reporting</w:t>
        </w:r>
        <w:r>
          <w:rPr>
            <w:noProof/>
            <w:webHidden/>
          </w:rPr>
          <w:tab/>
        </w:r>
        <w:r>
          <w:rPr>
            <w:noProof/>
            <w:webHidden/>
          </w:rPr>
          <w:fldChar w:fldCharType="begin"/>
        </w:r>
        <w:r>
          <w:rPr>
            <w:noProof/>
            <w:webHidden/>
          </w:rPr>
          <w:instrText xml:space="preserve"> PAGEREF _Toc494978539 \h </w:instrText>
        </w:r>
        <w:r>
          <w:rPr>
            <w:noProof/>
            <w:webHidden/>
          </w:rPr>
        </w:r>
        <w:r>
          <w:rPr>
            <w:noProof/>
            <w:webHidden/>
          </w:rPr>
          <w:fldChar w:fldCharType="separate"/>
        </w:r>
        <w:r w:rsidR="00331EC7">
          <w:rPr>
            <w:noProof/>
            <w:webHidden/>
          </w:rPr>
          <w:t>17</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40" w:history="1">
        <w:r w:rsidRPr="009F306A">
          <w:rPr>
            <w:rStyle w:val="Hyperlink"/>
            <w:noProof/>
          </w:rPr>
          <w:t>Information Technology Services</w:t>
        </w:r>
        <w:r>
          <w:rPr>
            <w:noProof/>
            <w:webHidden/>
          </w:rPr>
          <w:tab/>
        </w:r>
        <w:r>
          <w:rPr>
            <w:noProof/>
            <w:webHidden/>
          </w:rPr>
          <w:fldChar w:fldCharType="begin"/>
        </w:r>
        <w:r>
          <w:rPr>
            <w:noProof/>
            <w:webHidden/>
          </w:rPr>
          <w:instrText xml:space="preserve"> PAGEREF _Toc494978540 \h </w:instrText>
        </w:r>
        <w:r>
          <w:rPr>
            <w:noProof/>
            <w:webHidden/>
          </w:rPr>
        </w:r>
        <w:r>
          <w:rPr>
            <w:noProof/>
            <w:webHidden/>
          </w:rPr>
          <w:fldChar w:fldCharType="separate"/>
        </w:r>
        <w:r w:rsidR="00331EC7">
          <w:rPr>
            <w:noProof/>
            <w:webHidden/>
          </w:rPr>
          <w:t>19</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41" w:history="1">
        <w:r w:rsidRPr="009F306A">
          <w:rPr>
            <w:rStyle w:val="Hyperlink"/>
            <w:noProof/>
          </w:rPr>
          <w:t>Assets and Security</w:t>
        </w:r>
        <w:r>
          <w:rPr>
            <w:noProof/>
            <w:webHidden/>
          </w:rPr>
          <w:tab/>
        </w:r>
        <w:r>
          <w:rPr>
            <w:noProof/>
            <w:webHidden/>
          </w:rPr>
          <w:fldChar w:fldCharType="begin"/>
        </w:r>
        <w:r>
          <w:rPr>
            <w:noProof/>
            <w:webHidden/>
          </w:rPr>
          <w:instrText xml:space="preserve"> PAGEREF _Toc494978541 \h </w:instrText>
        </w:r>
        <w:r>
          <w:rPr>
            <w:noProof/>
            <w:webHidden/>
          </w:rPr>
        </w:r>
        <w:r>
          <w:rPr>
            <w:noProof/>
            <w:webHidden/>
          </w:rPr>
          <w:fldChar w:fldCharType="separate"/>
        </w:r>
        <w:r w:rsidR="00331EC7">
          <w:rPr>
            <w:noProof/>
            <w:webHidden/>
          </w:rPr>
          <w:t>21</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42" w:history="1">
        <w:r w:rsidRPr="009F306A">
          <w:rPr>
            <w:rStyle w:val="Hyperlink"/>
            <w:noProof/>
          </w:rPr>
          <w:t>Output performance</w:t>
        </w:r>
        <w:r>
          <w:rPr>
            <w:noProof/>
            <w:webHidden/>
          </w:rPr>
          <w:tab/>
        </w:r>
        <w:r>
          <w:rPr>
            <w:noProof/>
            <w:webHidden/>
          </w:rPr>
          <w:fldChar w:fldCharType="begin"/>
        </w:r>
        <w:r>
          <w:rPr>
            <w:noProof/>
            <w:webHidden/>
          </w:rPr>
          <w:instrText xml:space="preserve"> PAGEREF _Toc494978542 \h </w:instrText>
        </w:r>
        <w:r>
          <w:rPr>
            <w:noProof/>
            <w:webHidden/>
          </w:rPr>
        </w:r>
        <w:r>
          <w:rPr>
            <w:noProof/>
            <w:webHidden/>
          </w:rPr>
          <w:fldChar w:fldCharType="separate"/>
        </w:r>
        <w:r w:rsidR="00331EC7">
          <w:rPr>
            <w:noProof/>
            <w:webHidden/>
          </w:rPr>
          <w:t>23</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43" w:history="1">
        <w:r w:rsidRPr="009F306A">
          <w:rPr>
            <w:rStyle w:val="Hyperlink"/>
            <w:noProof/>
          </w:rPr>
          <w:t>Financial Summary and Review</w:t>
        </w:r>
        <w:r>
          <w:rPr>
            <w:noProof/>
            <w:webHidden/>
          </w:rPr>
          <w:tab/>
        </w:r>
        <w:r>
          <w:rPr>
            <w:noProof/>
            <w:webHidden/>
          </w:rPr>
          <w:fldChar w:fldCharType="begin"/>
        </w:r>
        <w:r>
          <w:rPr>
            <w:noProof/>
            <w:webHidden/>
          </w:rPr>
          <w:instrText xml:space="preserve"> PAGEREF _Toc494978543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1"/>
        <w:rPr>
          <w:rFonts w:ascii="Calibri" w:eastAsia="Times New Roman" w:hAnsi="Calibri" w:cs="Times New Roman"/>
          <w:noProof/>
        </w:rPr>
      </w:pPr>
      <w:hyperlink w:anchor="_Toc494978544" w:history="1">
        <w:r w:rsidRPr="009F306A">
          <w:rPr>
            <w:rStyle w:val="Hyperlink"/>
            <w:noProof/>
          </w:rPr>
          <w:t>SECTION 3: WORKFORCE DATA</w:t>
        </w:r>
        <w:r>
          <w:rPr>
            <w:noProof/>
            <w:webHidden/>
          </w:rPr>
          <w:tab/>
        </w:r>
        <w:r>
          <w:rPr>
            <w:noProof/>
            <w:webHidden/>
          </w:rPr>
          <w:fldChar w:fldCharType="begin"/>
        </w:r>
        <w:r>
          <w:rPr>
            <w:noProof/>
            <w:webHidden/>
          </w:rPr>
          <w:instrText xml:space="preserve"> PAGEREF _Toc494978544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45" w:history="1">
        <w:r w:rsidRPr="009F306A">
          <w:rPr>
            <w:rStyle w:val="Hyperlink"/>
            <w:noProof/>
          </w:rPr>
          <w:t>Workforce Data</w:t>
        </w:r>
        <w:r>
          <w:rPr>
            <w:noProof/>
            <w:webHidden/>
          </w:rPr>
          <w:tab/>
        </w:r>
        <w:r>
          <w:rPr>
            <w:noProof/>
            <w:webHidden/>
          </w:rPr>
          <w:fldChar w:fldCharType="begin"/>
        </w:r>
        <w:r>
          <w:rPr>
            <w:noProof/>
            <w:webHidden/>
          </w:rPr>
          <w:instrText xml:space="preserve"> PAGEREF _Toc494978545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46" w:history="1">
        <w:r w:rsidRPr="009F306A">
          <w:rPr>
            <w:rStyle w:val="Hyperlink"/>
            <w:noProof/>
          </w:rPr>
          <w:t>Staff Health, Safety and Wellbeing</w:t>
        </w:r>
        <w:r>
          <w:rPr>
            <w:noProof/>
            <w:webHidden/>
          </w:rPr>
          <w:tab/>
        </w:r>
        <w:r>
          <w:rPr>
            <w:noProof/>
            <w:webHidden/>
          </w:rPr>
          <w:fldChar w:fldCharType="begin"/>
        </w:r>
        <w:r>
          <w:rPr>
            <w:noProof/>
            <w:webHidden/>
          </w:rPr>
          <w:instrText xml:space="preserve"> PAGEREF _Toc494978546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1"/>
        <w:rPr>
          <w:rFonts w:ascii="Calibri" w:eastAsia="Times New Roman" w:hAnsi="Calibri" w:cs="Times New Roman"/>
          <w:noProof/>
        </w:rPr>
      </w:pPr>
      <w:hyperlink w:anchor="_Toc494978547" w:history="1">
        <w:r w:rsidRPr="009F306A">
          <w:rPr>
            <w:rStyle w:val="Hyperlink"/>
            <w:noProof/>
          </w:rPr>
          <w:t>Section 4: Other disclosures</w:t>
        </w:r>
        <w:r>
          <w:rPr>
            <w:noProof/>
            <w:webHidden/>
          </w:rPr>
          <w:tab/>
        </w:r>
        <w:r>
          <w:rPr>
            <w:noProof/>
            <w:webHidden/>
          </w:rPr>
          <w:fldChar w:fldCharType="begin"/>
        </w:r>
        <w:r>
          <w:rPr>
            <w:noProof/>
            <w:webHidden/>
          </w:rPr>
          <w:instrText xml:space="preserve"> PAGEREF _Toc494978547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48" w:history="1">
        <w:r w:rsidRPr="009F306A">
          <w:rPr>
            <w:rStyle w:val="Hyperlink"/>
            <w:noProof/>
          </w:rPr>
          <w:t>Victorian Industry Participation Policy</w:t>
        </w:r>
        <w:r>
          <w:rPr>
            <w:noProof/>
            <w:webHidden/>
          </w:rPr>
          <w:tab/>
        </w:r>
        <w:r>
          <w:rPr>
            <w:noProof/>
            <w:webHidden/>
          </w:rPr>
          <w:fldChar w:fldCharType="begin"/>
        </w:r>
        <w:r>
          <w:rPr>
            <w:noProof/>
            <w:webHidden/>
          </w:rPr>
          <w:instrText xml:space="preserve"> PAGEREF _Toc494978548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49" w:history="1">
        <w:r w:rsidRPr="009F306A">
          <w:rPr>
            <w:rStyle w:val="Hyperlink"/>
            <w:noProof/>
          </w:rPr>
          <w:t>Compliance with Building Act 1993 (Vic)</w:t>
        </w:r>
        <w:r>
          <w:rPr>
            <w:noProof/>
            <w:webHidden/>
          </w:rPr>
          <w:tab/>
        </w:r>
        <w:r>
          <w:rPr>
            <w:noProof/>
            <w:webHidden/>
          </w:rPr>
          <w:fldChar w:fldCharType="begin"/>
        </w:r>
        <w:r>
          <w:rPr>
            <w:noProof/>
            <w:webHidden/>
          </w:rPr>
          <w:instrText xml:space="preserve"> PAGEREF _Toc494978549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50" w:history="1">
        <w:r w:rsidRPr="009F306A">
          <w:rPr>
            <w:rStyle w:val="Hyperlink"/>
            <w:noProof/>
          </w:rPr>
          <w:t>Government Advertising Expenditure</w:t>
        </w:r>
        <w:r>
          <w:rPr>
            <w:noProof/>
            <w:webHidden/>
          </w:rPr>
          <w:tab/>
        </w:r>
        <w:r>
          <w:rPr>
            <w:noProof/>
            <w:webHidden/>
          </w:rPr>
          <w:fldChar w:fldCharType="begin"/>
        </w:r>
        <w:r>
          <w:rPr>
            <w:noProof/>
            <w:webHidden/>
          </w:rPr>
          <w:instrText xml:space="preserve"> PAGEREF _Toc494978550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51" w:history="1">
        <w:r w:rsidRPr="009F306A">
          <w:rPr>
            <w:rStyle w:val="Hyperlink"/>
            <w:noProof/>
          </w:rPr>
          <w:t>Compliance with the DataVic Access Policy</w:t>
        </w:r>
        <w:r>
          <w:rPr>
            <w:noProof/>
            <w:webHidden/>
          </w:rPr>
          <w:tab/>
        </w:r>
        <w:r>
          <w:rPr>
            <w:noProof/>
            <w:webHidden/>
          </w:rPr>
          <w:fldChar w:fldCharType="begin"/>
        </w:r>
        <w:r>
          <w:rPr>
            <w:noProof/>
            <w:webHidden/>
          </w:rPr>
          <w:instrText xml:space="preserve"> PAGEREF _Toc494978551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52" w:history="1">
        <w:r w:rsidRPr="009F306A">
          <w:rPr>
            <w:rStyle w:val="Hyperlink"/>
            <w:noProof/>
          </w:rPr>
          <w:t>National Competition Policy</w:t>
        </w:r>
        <w:r>
          <w:rPr>
            <w:noProof/>
            <w:webHidden/>
          </w:rPr>
          <w:tab/>
        </w:r>
        <w:r>
          <w:rPr>
            <w:noProof/>
            <w:webHidden/>
          </w:rPr>
          <w:fldChar w:fldCharType="begin"/>
        </w:r>
        <w:r>
          <w:rPr>
            <w:noProof/>
            <w:webHidden/>
          </w:rPr>
          <w:instrText xml:space="preserve"> PAGEREF _Toc494978552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53" w:history="1">
        <w:r w:rsidRPr="009F306A">
          <w:rPr>
            <w:rStyle w:val="Hyperlink"/>
            <w:noProof/>
          </w:rPr>
          <w:t>Compliance with the Protected Disclosure Act 2012 (Vic)</w:t>
        </w:r>
        <w:r>
          <w:rPr>
            <w:noProof/>
            <w:webHidden/>
          </w:rPr>
          <w:tab/>
        </w:r>
        <w:r>
          <w:rPr>
            <w:noProof/>
            <w:webHidden/>
          </w:rPr>
          <w:fldChar w:fldCharType="begin"/>
        </w:r>
        <w:r>
          <w:rPr>
            <w:noProof/>
            <w:webHidden/>
          </w:rPr>
          <w:instrText xml:space="preserve"> PAGEREF _Toc494978553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54" w:history="1">
        <w:r w:rsidRPr="009F306A">
          <w:rPr>
            <w:rStyle w:val="Hyperlink"/>
            <w:noProof/>
          </w:rPr>
          <w:t>Compliance with the Carers Recognition Act 2012 (Vic)</w:t>
        </w:r>
        <w:r>
          <w:rPr>
            <w:noProof/>
            <w:webHidden/>
          </w:rPr>
          <w:tab/>
        </w:r>
        <w:r>
          <w:rPr>
            <w:noProof/>
            <w:webHidden/>
          </w:rPr>
          <w:fldChar w:fldCharType="begin"/>
        </w:r>
        <w:r>
          <w:rPr>
            <w:noProof/>
            <w:webHidden/>
          </w:rPr>
          <w:instrText xml:space="preserve"> PAGEREF _Toc494978554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55" w:history="1">
        <w:r w:rsidRPr="009F306A">
          <w:rPr>
            <w:rStyle w:val="Hyperlink"/>
            <w:noProof/>
          </w:rPr>
          <w:t>Consultancy Expenditure</w:t>
        </w:r>
        <w:r>
          <w:rPr>
            <w:noProof/>
            <w:webHidden/>
          </w:rPr>
          <w:tab/>
        </w:r>
        <w:r>
          <w:rPr>
            <w:noProof/>
            <w:webHidden/>
          </w:rPr>
          <w:fldChar w:fldCharType="begin"/>
        </w:r>
        <w:r>
          <w:rPr>
            <w:noProof/>
            <w:webHidden/>
          </w:rPr>
          <w:instrText xml:space="preserve"> PAGEREF _Toc494978555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56" w:history="1">
        <w:r w:rsidRPr="009F306A">
          <w:rPr>
            <w:rStyle w:val="Hyperlink"/>
            <w:noProof/>
          </w:rPr>
          <w:t>Information and Communication Technology Expenditure</w:t>
        </w:r>
        <w:r>
          <w:rPr>
            <w:noProof/>
            <w:webHidden/>
          </w:rPr>
          <w:tab/>
        </w:r>
        <w:r>
          <w:rPr>
            <w:noProof/>
            <w:webHidden/>
          </w:rPr>
          <w:fldChar w:fldCharType="begin"/>
        </w:r>
        <w:r>
          <w:rPr>
            <w:noProof/>
            <w:webHidden/>
          </w:rPr>
          <w:instrText xml:space="preserve"> PAGEREF _Toc494978556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57" w:history="1">
        <w:r w:rsidRPr="009F306A">
          <w:rPr>
            <w:rStyle w:val="Hyperlink"/>
            <w:noProof/>
          </w:rPr>
          <w:t>Office-based environmental impacts</w:t>
        </w:r>
        <w:r>
          <w:rPr>
            <w:noProof/>
            <w:webHidden/>
          </w:rPr>
          <w:tab/>
        </w:r>
        <w:r>
          <w:rPr>
            <w:noProof/>
            <w:webHidden/>
          </w:rPr>
          <w:fldChar w:fldCharType="begin"/>
        </w:r>
        <w:r>
          <w:rPr>
            <w:noProof/>
            <w:webHidden/>
          </w:rPr>
          <w:instrText xml:space="preserve"> PAGEREF _Toc494978557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58" w:history="1">
        <w:r w:rsidRPr="009F306A">
          <w:rPr>
            <w:rStyle w:val="Hyperlink"/>
            <w:noProof/>
          </w:rPr>
          <w:t>Freedom of Information</w:t>
        </w:r>
        <w:r>
          <w:rPr>
            <w:noProof/>
            <w:webHidden/>
          </w:rPr>
          <w:tab/>
        </w:r>
        <w:r>
          <w:rPr>
            <w:noProof/>
            <w:webHidden/>
          </w:rPr>
          <w:fldChar w:fldCharType="begin"/>
        </w:r>
        <w:r>
          <w:rPr>
            <w:noProof/>
            <w:webHidden/>
          </w:rPr>
          <w:instrText xml:space="preserve"> PAGEREF _Toc494978558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59" w:history="1">
        <w:r w:rsidRPr="009F306A">
          <w:rPr>
            <w:rStyle w:val="Hyperlink"/>
            <w:noProof/>
          </w:rPr>
          <w:t>Risk Management Attestation</w:t>
        </w:r>
        <w:r>
          <w:rPr>
            <w:noProof/>
            <w:webHidden/>
          </w:rPr>
          <w:tab/>
        </w:r>
        <w:r>
          <w:rPr>
            <w:noProof/>
            <w:webHidden/>
          </w:rPr>
          <w:fldChar w:fldCharType="begin"/>
        </w:r>
        <w:r>
          <w:rPr>
            <w:noProof/>
            <w:webHidden/>
          </w:rPr>
          <w:instrText xml:space="preserve"> PAGEREF _Toc494978559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60" w:history="1">
        <w:r w:rsidRPr="009F306A">
          <w:rPr>
            <w:rStyle w:val="Hyperlink"/>
            <w:noProof/>
          </w:rPr>
          <w:t>Statement of availability of other information</w:t>
        </w:r>
        <w:r>
          <w:rPr>
            <w:noProof/>
            <w:webHidden/>
          </w:rPr>
          <w:tab/>
        </w:r>
        <w:r>
          <w:rPr>
            <w:noProof/>
            <w:webHidden/>
          </w:rPr>
          <w:fldChar w:fldCharType="begin"/>
        </w:r>
        <w:r>
          <w:rPr>
            <w:noProof/>
            <w:webHidden/>
          </w:rPr>
          <w:instrText xml:space="preserve"> PAGEREF _Toc494978560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2"/>
        <w:rPr>
          <w:rFonts w:ascii="Calibri" w:eastAsia="Times New Roman" w:hAnsi="Calibri" w:cs="Times New Roman"/>
          <w:noProof/>
        </w:rPr>
      </w:pPr>
      <w:hyperlink w:anchor="_Toc494978561" w:history="1">
        <w:r w:rsidRPr="009F306A">
          <w:rPr>
            <w:rStyle w:val="Hyperlink"/>
            <w:noProof/>
          </w:rPr>
          <w:t>Disclosure Index</w:t>
        </w:r>
        <w:r>
          <w:rPr>
            <w:noProof/>
            <w:webHidden/>
          </w:rPr>
          <w:tab/>
        </w:r>
        <w:r>
          <w:rPr>
            <w:noProof/>
            <w:webHidden/>
          </w:rPr>
          <w:fldChar w:fldCharType="begin"/>
        </w:r>
        <w:r>
          <w:rPr>
            <w:noProof/>
            <w:webHidden/>
          </w:rPr>
          <w:instrText xml:space="preserve"> PAGEREF _Toc494978561 \h </w:instrText>
        </w:r>
        <w:r>
          <w:rPr>
            <w:noProof/>
            <w:webHidden/>
          </w:rPr>
        </w:r>
        <w:r>
          <w:rPr>
            <w:noProof/>
            <w:webHidden/>
          </w:rPr>
          <w:fldChar w:fldCharType="separate"/>
        </w:r>
        <w:r w:rsidR="00331EC7">
          <w:rPr>
            <w:noProof/>
            <w:webHidden/>
          </w:rPr>
          <w:t>26</w:t>
        </w:r>
        <w:r>
          <w:rPr>
            <w:noProof/>
            <w:webHidden/>
          </w:rPr>
          <w:fldChar w:fldCharType="end"/>
        </w:r>
      </w:hyperlink>
    </w:p>
    <w:p w:rsidR="00A220B2" w:rsidRPr="00792B05" w:rsidRDefault="00A220B2">
      <w:pPr>
        <w:pStyle w:val="TOC1"/>
        <w:rPr>
          <w:rFonts w:ascii="Calibri" w:eastAsia="Times New Roman" w:hAnsi="Calibri" w:cs="Times New Roman"/>
          <w:noProof/>
        </w:rPr>
      </w:pPr>
      <w:hyperlink w:anchor="_Toc494978562" w:history="1">
        <w:r w:rsidRPr="009F306A">
          <w:rPr>
            <w:rStyle w:val="Hyperlink"/>
            <w:noProof/>
          </w:rPr>
          <w:t>Glossary</w:t>
        </w:r>
        <w:r>
          <w:rPr>
            <w:noProof/>
            <w:webHidden/>
          </w:rPr>
          <w:tab/>
        </w:r>
        <w:r>
          <w:rPr>
            <w:noProof/>
            <w:webHidden/>
          </w:rPr>
          <w:fldChar w:fldCharType="begin"/>
        </w:r>
        <w:r>
          <w:rPr>
            <w:noProof/>
            <w:webHidden/>
          </w:rPr>
          <w:instrText xml:space="preserve"> PAGEREF _Toc494978562 \h </w:instrText>
        </w:r>
        <w:r>
          <w:rPr>
            <w:noProof/>
            <w:webHidden/>
          </w:rPr>
        </w:r>
        <w:r>
          <w:rPr>
            <w:noProof/>
            <w:webHidden/>
          </w:rPr>
          <w:fldChar w:fldCharType="separate"/>
        </w:r>
        <w:r w:rsidR="00331EC7">
          <w:rPr>
            <w:noProof/>
            <w:webHidden/>
          </w:rPr>
          <w:t>26</w:t>
        </w:r>
        <w:r>
          <w:rPr>
            <w:noProof/>
            <w:webHidden/>
          </w:rPr>
          <w:fldChar w:fldCharType="end"/>
        </w:r>
      </w:hyperlink>
    </w:p>
    <w:p w:rsidR="007477E2" w:rsidRDefault="006304E2" w:rsidP="006304E2">
      <w:pPr>
        <w:pStyle w:val="TOC2"/>
      </w:pPr>
      <w:r w:rsidRPr="0037159D">
        <w:rPr>
          <w:highlight w:val="yellow"/>
        </w:rPr>
        <w:fldChar w:fldCharType="end"/>
      </w:r>
    </w:p>
    <w:p w:rsidR="00E32849" w:rsidRDefault="00E32849" w:rsidP="00E32849"/>
    <w:p w:rsidR="00E32849" w:rsidRPr="00E32849" w:rsidRDefault="00E32849" w:rsidP="00E32849"/>
    <w:p w:rsidR="00EC488A" w:rsidRPr="00EC488A" w:rsidRDefault="00EC488A" w:rsidP="00EC488A"/>
    <w:p w:rsidR="00CF273E" w:rsidRPr="007C5F49" w:rsidRDefault="007477E2" w:rsidP="00E66B57">
      <w:pPr>
        <w:pStyle w:val="Heading3"/>
      </w:pPr>
      <w:r w:rsidRPr="007C5F49">
        <w:lastRenderedPageBreak/>
        <w:t>Responsible Body’s Declaration</w:t>
      </w:r>
    </w:p>
    <w:p w:rsidR="00CF273E" w:rsidRPr="007C5F49" w:rsidRDefault="007477E2" w:rsidP="007C5F49">
      <w:r w:rsidRPr="007C5F49">
        <w:t xml:space="preserve">In accordance </w:t>
      </w:r>
      <w:r w:rsidR="00CF273E" w:rsidRPr="007C5F49">
        <w:t>w</w:t>
      </w:r>
      <w:r w:rsidRPr="007C5F49">
        <w:t xml:space="preserve">ith the </w:t>
      </w:r>
      <w:r w:rsidRPr="00C60580">
        <w:rPr>
          <w:i/>
        </w:rPr>
        <w:t xml:space="preserve">Financial </w:t>
      </w:r>
      <w:r w:rsidR="00CF273E" w:rsidRPr="00C60580">
        <w:rPr>
          <w:i/>
        </w:rPr>
        <w:t>Management Act 1994</w:t>
      </w:r>
      <w:r w:rsidRPr="007C5F49">
        <w:t xml:space="preserve"> (Vic) and the </w:t>
      </w:r>
      <w:r w:rsidRPr="00C60580">
        <w:rPr>
          <w:i/>
        </w:rPr>
        <w:t xml:space="preserve">Court Services Victoria Act 2014 </w:t>
      </w:r>
      <w:r w:rsidRPr="007C5F49">
        <w:t>(Vic)</w:t>
      </w:r>
      <w:r w:rsidR="00C65C29" w:rsidRPr="007C5F49">
        <w:t xml:space="preserve">, I am pleased to present </w:t>
      </w:r>
      <w:r w:rsidR="00F373D4">
        <w:t xml:space="preserve">the </w:t>
      </w:r>
      <w:r w:rsidR="00C65C29" w:rsidRPr="007C5F49">
        <w:t xml:space="preserve">Court Services Victoria Annual Report </w:t>
      </w:r>
      <w:r w:rsidR="00BE33B1">
        <w:t>for the year ending 30 June 2017</w:t>
      </w:r>
      <w:r w:rsidR="00C65C29" w:rsidRPr="007C5F49">
        <w:t>.</w:t>
      </w:r>
    </w:p>
    <w:p w:rsidR="00C65C29" w:rsidRDefault="00C65C29" w:rsidP="007C5F49"/>
    <w:p w:rsidR="005562C5" w:rsidRPr="007C5F49" w:rsidRDefault="005562C5" w:rsidP="007C5F49"/>
    <w:p w:rsidR="00C65C29" w:rsidRPr="00C60580" w:rsidRDefault="00C65C29" w:rsidP="007C5F49">
      <w:pPr>
        <w:rPr>
          <w:b/>
        </w:rPr>
      </w:pPr>
      <w:r w:rsidRPr="00C60580">
        <w:rPr>
          <w:b/>
        </w:rPr>
        <w:t>The Honourable Chief Justice</w:t>
      </w:r>
    </w:p>
    <w:p w:rsidR="00C65C29" w:rsidRPr="00C60580" w:rsidRDefault="00C65C29" w:rsidP="007C5F49">
      <w:pPr>
        <w:rPr>
          <w:b/>
        </w:rPr>
      </w:pPr>
      <w:r w:rsidRPr="00C60580">
        <w:rPr>
          <w:b/>
        </w:rPr>
        <w:t>Marilyn Warren AC</w:t>
      </w:r>
    </w:p>
    <w:p w:rsidR="00C65C29" w:rsidRPr="00C60580" w:rsidRDefault="00C65C29" w:rsidP="007C5F49">
      <w:pPr>
        <w:rPr>
          <w:b/>
        </w:rPr>
      </w:pPr>
      <w:r w:rsidRPr="00C60580">
        <w:rPr>
          <w:b/>
        </w:rPr>
        <w:t>C</w:t>
      </w:r>
      <w:r w:rsidR="00847C1D" w:rsidRPr="00C60580">
        <w:rPr>
          <w:b/>
        </w:rPr>
        <w:t>h</w:t>
      </w:r>
      <w:r w:rsidRPr="00C60580">
        <w:rPr>
          <w:b/>
        </w:rPr>
        <w:t>air of the Courts Council</w:t>
      </w:r>
    </w:p>
    <w:p w:rsidR="00C65C29" w:rsidRPr="007C5F49" w:rsidRDefault="00C65C29" w:rsidP="007C5F49"/>
    <w:p w:rsidR="00CF273E" w:rsidRPr="007C5F49" w:rsidRDefault="00CF273E" w:rsidP="007C5F49"/>
    <w:p w:rsidR="007C5F49" w:rsidRDefault="007C5F49" w:rsidP="007C5F49"/>
    <w:p w:rsidR="00AF3522" w:rsidRPr="00AF3522" w:rsidRDefault="007C5F49" w:rsidP="00AF3522">
      <w:r>
        <w:br w:type="page"/>
      </w:r>
      <w:r w:rsidR="00AF3522" w:rsidRPr="00AF3522">
        <w:lastRenderedPageBreak/>
        <w:t>Court Services Victoria (CSV) was established on 1 July 2014 as an independent statutory body to support judicial independence in the administration of justice in Victoria.</w:t>
      </w:r>
    </w:p>
    <w:p w:rsidR="00AF3522" w:rsidRPr="00AF3522" w:rsidRDefault="00AF3522" w:rsidP="00AF3522"/>
    <w:p w:rsidR="00AF3522" w:rsidRPr="00AF3522" w:rsidRDefault="00AF3522" w:rsidP="00AF3522">
      <w:r w:rsidRPr="00AF3522">
        <w:t>CSV provides the administrative services and facilities necessary for Victorian courts and tribunals to operate independently of the direction of the executive branch of government.</w:t>
      </w:r>
    </w:p>
    <w:p w:rsidR="00AF3522" w:rsidRPr="00AF3522" w:rsidRDefault="00AF3522" w:rsidP="00AF3522"/>
    <w:p w:rsidR="00CF273E" w:rsidRPr="00CF273E" w:rsidRDefault="00AF3522" w:rsidP="00AF3522">
      <w:r w:rsidRPr="00AF3522">
        <w:t>The Courts Council is CSV's governing body and comprises the head of each jurisdiction, and up to two independent members. There are seven standing committees that inform the work of the Courts Council.</w:t>
      </w:r>
    </w:p>
    <w:p w:rsidR="009623F1" w:rsidRDefault="009623F1" w:rsidP="009623F1"/>
    <w:p w:rsidR="000E0293" w:rsidRPr="0076767D" w:rsidRDefault="007C5F49" w:rsidP="00BE33B1">
      <w:pPr>
        <w:pStyle w:val="Heading2"/>
      </w:pPr>
      <w:r>
        <w:br w:type="page"/>
      </w:r>
      <w:bookmarkStart w:id="0" w:name="_Toc494978530"/>
      <w:r w:rsidR="00BA40EC" w:rsidRPr="0076767D">
        <w:lastRenderedPageBreak/>
        <w:t>Message from t</w:t>
      </w:r>
      <w:r w:rsidR="00652022" w:rsidRPr="0076767D">
        <w:t>he Chair</w:t>
      </w:r>
      <w:bookmarkEnd w:id="0"/>
    </w:p>
    <w:p w:rsidR="0076767D" w:rsidRDefault="0076767D" w:rsidP="0076767D">
      <w:r>
        <w:t>As Chair of the Courts Council of Court Services Victoria it is a pleasure to once again present the annual report of Court Services Victoria (CSV).</w:t>
      </w:r>
    </w:p>
    <w:p w:rsidR="0076767D" w:rsidRDefault="0076767D" w:rsidP="0076767D"/>
    <w:p w:rsidR="0076767D" w:rsidRDefault="0076767D" w:rsidP="0076767D">
      <w:r>
        <w:t>From its commencement on 1 July 2014 to the present, CSV has expanded and grown.  It is now well embedded in the constitutional and legal framework of Victoria. CSV has established itself as the primary service and utility provider to the Victorian courts and the tribunal.</w:t>
      </w:r>
    </w:p>
    <w:p w:rsidR="0076767D" w:rsidRDefault="0076767D" w:rsidP="0076767D"/>
    <w:p w:rsidR="0076767D" w:rsidRDefault="0076767D" w:rsidP="0076767D">
      <w:r>
        <w:t>The performance of the individual jurisdictions is a matter for those jurisdictions. However, jurisdictions are unable to perform at an optimum level unless they are properly served and resourced. CSV has gone a long way to enable the courts and the tribunal to reach their aspired levels of performance and achievement.</w:t>
      </w:r>
    </w:p>
    <w:p w:rsidR="0076767D" w:rsidRDefault="0076767D" w:rsidP="0076767D"/>
    <w:p w:rsidR="0076767D" w:rsidRDefault="0076767D" w:rsidP="0076767D">
      <w:r>
        <w:t>In this regard it is noteworthy that in the reporting year the State Government provided substantial funding to the Magistrates’ and Children’s Courts in response to their case management needs and the implementation of the Royal Commission on Family Violence. The Courts Council is very appreciative of the funding of the Magistrates’ and Children’s Courts.</w:t>
      </w:r>
    </w:p>
    <w:p w:rsidR="0076767D" w:rsidRDefault="0076767D" w:rsidP="0076767D"/>
    <w:p w:rsidR="0076767D" w:rsidRDefault="0076767D" w:rsidP="0076767D">
      <w:r>
        <w:t>In addition, there has been funding allocated for the improvement of technology across the jurisdictions. This provision will be transformative and lead to the Victorian courts and tribunal maintaining their national and international leadership role.</w:t>
      </w:r>
    </w:p>
    <w:p w:rsidR="0076767D" w:rsidRDefault="0076767D" w:rsidP="0076767D"/>
    <w:p w:rsidR="0076767D" w:rsidRDefault="0076767D" w:rsidP="0076767D">
      <w:r>
        <w:t>On behalf of the Courts Council I express appreciation of the past Chief Executive Officers of CSV and the current CEO, Mr David Ware. He, together with his staff, have been unfailing in their loyalty, devotion and hard work in serving the Victorian courts and tribunal. I also thank Mr Greg Wilson, Secretary of the Department of Justice, for the assistance he and his staff have provided to CSV though the year.</w:t>
      </w:r>
    </w:p>
    <w:p w:rsidR="0076767D" w:rsidRDefault="0076767D" w:rsidP="0076767D"/>
    <w:p w:rsidR="005562C5" w:rsidRPr="0076767D" w:rsidRDefault="0076767D" w:rsidP="0076767D">
      <w:r>
        <w:t>Finally, it is a matter of great celebration and satisfaction for the courts and tribunal that CSV now enters its fourth year. I thank my Courts Council colleagues for their assistance and support throughout the year and wish Council members well for the coming year.</w:t>
      </w:r>
    </w:p>
    <w:p w:rsidR="000E0293" w:rsidRDefault="000E0293" w:rsidP="00532B1B"/>
    <w:p w:rsidR="0076767D" w:rsidRDefault="0076767D" w:rsidP="00532B1B"/>
    <w:p w:rsidR="0076767D" w:rsidRPr="0076767D" w:rsidRDefault="0076767D" w:rsidP="00532B1B"/>
    <w:p w:rsidR="00C41167" w:rsidRPr="0076767D" w:rsidRDefault="00CF273E" w:rsidP="00532B1B">
      <w:pPr>
        <w:rPr>
          <w:b/>
        </w:rPr>
      </w:pPr>
      <w:r w:rsidRPr="0076767D">
        <w:rPr>
          <w:b/>
        </w:rPr>
        <w:t xml:space="preserve">The Honourable </w:t>
      </w:r>
      <w:r w:rsidR="0076767D" w:rsidRPr="0076767D">
        <w:rPr>
          <w:b/>
        </w:rPr>
        <w:t>Marilyn Warren AC</w:t>
      </w:r>
    </w:p>
    <w:p w:rsidR="0076767D" w:rsidRDefault="0076767D" w:rsidP="00532B1B">
      <w:pPr>
        <w:rPr>
          <w:b/>
        </w:rPr>
      </w:pPr>
    </w:p>
    <w:p w:rsidR="00CF273E" w:rsidRDefault="0076767D" w:rsidP="00532B1B">
      <w:pPr>
        <w:rPr>
          <w:b/>
        </w:rPr>
      </w:pPr>
      <w:r w:rsidRPr="0076767D">
        <w:rPr>
          <w:b/>
        </w:rPr>
        <w:t xml:space="preserve">Chief Justice </w:t>
      </w:r>
      <w:r>
        <w:rPr>
          <w:b/>
        </w:rPr>
        <w:t>of Victoria</w:t>
      </w:r>
    </w:p>
    <w:p w:rsidR="00CF273E" w:rsidRDefault="00CF273E" w:rsidP="00532B1B">
      <w:pPr>
        <w:rPr>
          <w:b/>
        </w:rPr>
      </w:pPr>
      <w:r w:rsidRPr="0076767D">
        <w:rPr>
          <w:b/>
        </w:rPr>
        <w:t xml:space="preserve">Chair of the </w:t>
      </w:r>
      <w:r w:rsidR="00391E73" w:rsidRPr="0076767D">
        <w:rPr>
          <w:b/>
        </w:rPr>
        <w:t>Courts</w:t>
      </w:r>
      <w:r w:rsidRPr="0076767D">
        <w:rPr>
          <w:b/>
        </w:rPr>
        <w:t xml:space="preserve"> Council</w:t>
      </w:r>
    </w:p>
    <w:p w:rsidR="00CF273E" w:rsidRPr="00CF273E" w:rsidRDefault="00CF273E" w:rsidP="00532B1B"/>
    <w:p w:rsidR="00CF273E" w:rsidRPr="00C73B1D" w:rsidRDefault="00F60609" w:rsidP="00847C1D">
      <w:pPr>
        <w:pStyle w:val="Heading2"/>
      </w:pPr>
      <w:r>
        <w:br w:type="page"/>
      </w:r>
      <w:bookmarkStart w:id="1" w:name="_Toc494978531"/>
      <w:r w:rsidR="00652022" w:rsidRPr="008C0E10">
        <w:lastRenderedPageBreak/>
        <w:t>Message from the Chief Executive Officer</w:t>
      </w:r>
      <w:bookmarkEnd w:id="1"/>
    </w:p>
    <w:p w:rsidR="008464F2" w:rsidRDefault="008464F2" w:rsidP="008464F2">
      <w:r w:rsidRPr="008C0E10">
        <w:t>I am pleased to present the third</w:t>
      </w:r>
      <w:r>
        <w:t xml:space="preserve"> Court Services Victoria (</w:t>
      </w:r>
      <w:r w:rsidRPr="008C0E10">
        <w:t>CSV</w:t>
      </w:r>
      <w:r>
        <w:t>)</w:t>
      </w:r>
      <w:r w:rsidRPr="008C0E10">
        <w:t xml:space="preserve"> Annual Report. I would like to thank all CSV managers and staff for their continued hard work and for the support and assistance I have received since I commenced as CEO in January 2017. CSV has made much progress since its establishment in July 2014 to support judicial independence in the administration of justice i</w:t>
      </w:r>
      <w:r w:rsidR="0098625B">
        <w:t>n Victoria.</w:t>
      </w:r>
    </w:p>
    <w:p w:rsidR="0098625B" w:rsidRPr="008C0E10" w:rsidRDefault="0098625B" w:rsidP="008464F2"/>
    <w:p w:rsidR="008464F2" w:rsidRDefault="008464F2" w:rsidP="0098625B">
      <w:pPr>
        <w:pStyle w:val="Heading3"/>
      </w:pPr>
      <w:r w:rsidRPr="0060115F">
        <w:t>The Governance of Court Services Victoria</w:t>
      </w:r>
    </w:p>
    <w:p w:rsidR="008464F2" w:rsidRDefault="008464F2" w:rsidP="008464F2">
      <w:r>
        <w:t xml:space="preserve">The Courts Council is the governing body of CSV. </w:t>
      </w:r>
      <w:r w:rsidR="00D3553D" w:rsidRPr="00D3553D">
        <w:t xml:space="preserve">An important role for the CSV CEO is to ensure that the Council </w:t>
      </w:r>
      <w:r w:rsidRPr="00D3553D">
        <w:t>is well-supported to meet all of its governance responsibilities.</w:t>
      </w:r>
    </w:p>
    <w:p w:rsidR="008464F2" w:rsidRDefault="008464F2" w:rsidP="008464F2"/>
    <w:p w:rsidR="008464F2" w:rsidRDefault="008464F2" w:rsidP="008464F2">
      <w:r>
        <w:t xml:space="preserve">CSV supports the six jurisdictions </w:t>
      </w:r>
      <w:r w:rsidR="00D3553D">
        <w:t>that</w:t>
      </w:r>
      <w:r>
        <w:t xml:space="preserve"> form the third arm of government in Victoria; applying, upholding and safeguarding the rule of law.</w:t>
      </w:r>
    </w:p>
    <w:p w:rsidR="008464F2" w:rsidRDefault="008464F2" w:rsidP="008464F2"/>
    <w:p w:rsidR="008464F2" w:rsidRDefault="008464F2" w:rsidP="008464F2">
      <w:r w:rsidRPr="00D3553D">
        <w:t xml:space="preserve">There are 1700 staff employed by CSV, with the great majority </w:t>
      </w:r>
      <w:r w:rsidR="00450D7F">
        <w:t>employed in</w:t>
      </w:r>
      <w:r w:rsidRPr="00D3553D">
        <w:t xml:space="preserve"> the jurisdictions, working directly </w:t>
      </w:r>
      <w:r w:rsidR="00D3553D" w:rsidRPr="00D3553D">
        <w:t>for</w:t>
      </w:r>
      <w:r w:rsidRPr="00D3553D">
        <w:t xml:space="preserve"> each jurisdiction’s CEO and supporting the operations of that court or tribunal. </w:t>
      </w:r>
      <w:r w:rsidR="00D3553D" w:rsidRPr="00D3553D">
        <w:t>CSV</w:t>
      </w:r>
      <w:r w:rsidRPr="00D3553D">
        <w:t xml:space="preserve"> staff are also </w:t>
      </w:r>
      <w:r w:rsidR="00450D7F">
        <w:t>employed in</w:t>
      </w:r>
      <w:r w:rsidRPr="00D3553D">
        <w:t xml:space="preserve"> the Judicial College of Victoria to support the CEO and operations of the College</w:t>
      </w:r>
      <w:r>
        <w:t xml:space="preserve">. </w:t>
      </w:r>
    </w:p>
    <w:p w:rsidR="008464F2" w:rsidRDefault="008464F2" w:rsidP="008464F2"/>
    <w:p w:rsidR="00915032" w:rsidRDefault="00915032" w:rsidP="008464F2">
      <w:r>
        <w:t xml:space="preserve">Each of the jurisdictions </w:t>
      </w:r>
      <w:r w:rsidRPr="009D59E7">
        <w:t xml:space="preserve">publish </w:t>
      </w:r>
      <w:r>
        <w:t>their own annual r</w:t>
      </w:r>
      <w:r w:rsidRPr="009D59E7">
        <w:t>eports</w:t>
      </w:r>
      <w:r>
        <w:t>, and the significant work and achievements of their staff is detailed in those reports.</w:t>
      </w:r>
    </w:p>
    <w:p w:rsidR="00915032" w:rsidRDefault="00915032" w:rsidP="008464F2"/>
    <w:p w:rsidR="00915032" w:rsidRDefault="00915032" w:rsidP="008464F2">
      <w:r>
        <w:t xml:space="preserve">Consistent with CSV’s role as a support agency, this annual report focusses on the work of the four corporate operating divisions that provide financial, human resources, assets and security, and IT support to the jurisdictions. This report </w:t>
      </w:r>
      <w:r>
        <w:rPr>
          <w:color w:val="000000"/>
        </w:rPr>
        <w:t>is intended to be read alongside the annual reports of each of the jurisdictions. Together these reports complete the picture of a year of achievement for Victoria’s courts and tribunals.</w:t>
      </w:r>
    </w:p>
    <w:p w:rsidR="00915032" w:rsidRDefault="00915032" w:rsidP="008464F2"/>
    <w:p w:rsidR="008464F2" w:rsidRPr="008C0E10" w:rsidRDefault="008464F2" w:rsidP="0098625B">
      <w:pPr>
        <w:pStyle w:val="Heading3"/>
      </w:pPr>
      <w:r w:rsidRPr="008C0E10">
        <w:t>Ensuring the Safety and Security of our Courts</w:t>
      </w:r>
    </w:p>
    <w:p w:rsidR="0098625B" w:rsidRDefault="008464F2" w:rsidP="008464F2">
      <w:r w:rsidRPr="008C0E10">
        <w:t xml:space="preserve">In response to the increasing demands on our courts, and the recommendations of the Royal Commission into Family Violence, the Assets and Security division developed a landmark 15-year Strategic Asset Plan that was launched in February 2017. For the first time, the plan provides a blueprint for the future development of courts and tribunals across the state, with a focus on ensuring that victims of family violence and their families can be safe and free from intimidation while attending court. </w:t>
      </w:r>
      <w:r w:rsidRPr="008C0E10">
        <w:br/>
      </w:r>
      <w:r w:rsidRPr="008C0E10">
        <w:br/>
        <w:t xml:space="preserve">Court Security Officers and screening equipment </w:t>
      </w:r>
      <w:r>
        <w:t>will</w:t>
      </w:r>
      <w:r w:rsidRPr="008C0E10">
        <w:t xml:space="preserve"> be deployed to regional courts as part of CSV’s rollout of a new Court Security Model. When fully implemented, the new Court Security Model will ensure all Victorian court and tribunal locations have specialised security staff and screening equipment present on sitting days. </w:t>
      </w:r>
    </w:p>
    <w:p w:rsidR="008464F2" w:rsidRPr="0098625B" w:rsidRDefault="008464F2" w:rsidP="0098625B">
      <w:pPr>
        <w:pStyle w:val="Heading3"/>
      </w:pPr>
      <w:r w:rsidRPr="008C0E10">
        <w:br/>
      </w:r>
      <w:r w:rsidRPr="0098625B">
        <w:t xml:space="preserve">Contemporary IT capability </w:t>
      </w:r>
    </w:p>
    <w:p w:rsidR="008464F2" w:rsidRDefault="008464F2" w:rsidP="008464F2">
      <w:r>
        <w:t>Significant strides have been made over the past year to modernise the IT infrastructure that supports in-court and tribunal technology and the independence of CSV from the Department of Justice and Regulation.</w:t>
      </w:r>
    </w:p>
    <w:p w:rsidR="008464F2" w:rsidRDefault="008464F2" w:rsidP="008464F2"/>
    <w:p w:rsidR="008464F2" w:rsidRDefault="008464F2" w:rsidP="008464F2">
      <w:r>
        <w:t>A key objective of the modernisation of IT infrastructure is to support transformation through innovation, without compromising the reliability of services.</w:t>
      </w:r>
    </w:p>
    <w:p w:rsidR="008464F2" w:rsidRDefault="008464F2" w:rsidP="008464F2"/>
    <w:p w:rsidR="0098625B" w:rsidRDefault="008464F2" w:rsidP="008464F2">
      <w:r>
        <w:lastRenderedPageBreak/>
        <w:t xml:space="preserve">Over the past year, enhanced IT capability has delivered efficiency improvements through more integrated and digitised services; greater accessibility, support and safety for court and tribunal users; and governance mechanisms that strengthen </w:t>
      </w:r>
      <w:r w:rsidRPr="008C0E10">
        <w:t>perfo</w:t>
      </w:r>
      <w:r>
        <w:t>rmance and financial management and statutory compliance.</w:t>
      </w:r>
      <w:r w:rsidRPr="008C0E10">
        <w:t xml:space="preserve"> </w:t>
      </w:r>
    </w:p>
    <w:p w:rsidR="0098625B" w:rsidRDefault="0098625B" w:rsidP="008464F2"/>
    <w:p w:rsidR="008464F2" w:rsidRPr="0098625B" w:rsidRDefault="008464F2" w:rsidP="0098625B">
      <w:pPr>
        <w:pStyle w:val="Heading3"/>
        <w:rPr>
          <w:rStyle w:val="Heading3Char"/>
          <w:b/>
          <w:bCs/>
        </w:rPr>
      </w:pPr>
      <w:r w:rsidRPr="0098625B">
        <w:rPr>
          <w:rStyle w:val="Heading3Char"/>
          <w:b/>
          <w:bCs/>
        </w:rPr>
        <w:t>Investing in our People</w:t>
      </w:r>
    </w:p>
    <w:p w:rsidR="008464F2" w:rsidRPr="008C0E10" w:rsidRDefault="008464F2" w:rsidP="008464F2">
      <w:r w:rsidRPr="008C0E10">
        <w:t>This year, our People, Culture and Risk Management division has focused on supporting the jurisdictions to develop the right jobs and skills to support Victoria’s courts. A Business Intelligence Workforce Dashboard and Performance and Learning Management System was launched to better monitor and understand the capacity, capability and performance of our workforce. These initiatives were introduced to support ongoing performance and development discussions between managers and staff, and are part of the CSV Capability Framework to ensure CSV can meet current and future staffing needs.</w:t>
      </w:r>
    </w:p>
    <w:p w:rsidR="008464F2" w:rsidRDefault="008464F2" w:rsidP="008464F2">
      <w:pPr>
        <w:rPr>
          <w:b/>
        </w:rPr>
      </w:pPr>
    </w:p>
    <w:p w:rsidR="008464F2" w:rsidRPr="008C0E10" w:rsidRDefault="008464F2" w:rsidP="0098625B">
      <w:pPr>
        <w:pStyle w:val="Heading3"/>
      </w:pPr>
      <w:r w:rsidRPr="008C0E10">
        <w:t>Major Budget Initiatives</w:t>
      </w:r>
    </w:p>
    <w:p w:rsidR="008464F2" w:rsidRDefault="008464F2" w:rsidP="008464F2">
      <w:r>
        <w:t xml:space="preserve">During the reporting period, an extensive effort was dedicated to preparing business cases for the </w:t>
      </w:r>
      <w:r w:rsidRPr="008C0E10">
        <w:t xml:space="preserve">2017-18 </w:t>
      </w:r>
      <w:r>
        <w:t>S</w:t>
      </w:r>
      <w:r w:rsidRPr="008C0E10">
        <w:t xml:space="preserve">tate </w:t>
      </w:r>
      <w:r>
        <w:t>B</w:t>
      </w:r>
      <w:r w:rsidRPr="008C0E10">
        <w:t xml:space="preserve">udget </w:t>
      </w:r>
      <w:r>
        <w:t xml:space="preserve">process. This work was critical to ensuring that courts and tribunals are equipped to respond to growing demand and system pressures, and to implement service reforms required to respond to the outcomes of the Royal Commission into Family Violence, the Access to Justice Review and sentencing reform. </w:t>
      </w:r>
    </w:p>
    <w:p w:rsidR="008464F2" w:rsidRDefault="008464F2" w:rsidP="008464F2"/>
    <w:p w:rsidR="008464F2" w:rsidRDefault="008464F2" w:rsidP="008464F2">
      <w:r>
        <w:t>Supported by</w:t>
      </w:r>
      <w:r w:rsidRPr="005370E7">
        <w:t xml:space="preserve"> th</w:t>
      </w:r>
      <w:r>
        <w:t>e</w:t>
      </w:r>
      <w:r w:rsidRPr="005370E7">
        <w:t xml:space="preserve"> considerable ground-work</w:t>
      </w:r>
      <w:r>
        <w:t xml:space="preserve"> undertaken by CSV over the reporting period</w:t>
      </w:r>
      <w:r w:rsidRPr="005370E7">
        <w:t>, the 2017-18 State Budget</w:t>
      </w:r>
      <w:r>
        <w:t xml:space="preserve"> allocated</w:t>
      </w:r>
      <w:r w:rsidRPr="005370E7">
        <w:t xml:space="preserve"> </w:t>
      </w:r>
      <w:r>
        <w:t>just over $300 million over four years to the Victorian court system – the largest injection of funding for many years</w:t>
      </w:r>
      <w:r w:rsidRPr="005370E7">
        <w:t xml:space="preserve">. </w:t>
      </w:r>
      <w:r>
        <w:t>Of this, $250 million will support the major reforms recommended by the Royal Commission into Family Violence. Access to Justice initiatives, technology enhancements and the expansion of ground-breaking programs and services will also be funded.</w:t>
      </w:r>
    </w:p>
    <w:p w:rsidR="008464F2" w:rsidRDefault="008464F2" w:rsidP="008464F2"/>
    <w:p w:rsidR="008464F2" w:rsidRPr="008C0E10" w:rsidRDefault="008464F2" w:rsidP="0098625B">
      <w:pPr>
        <w:pStyle w:val="Heading3"/>
      </w:pPr>
      <w:r>
        <w:t>Priorities ahead</w:t>
      </w:r>
    </w:p>
    <w:p w:rsidR="008464F2" w:rsidRDefault="008464F2" w:rsidP="008464F2">
      <w:r>
        <w:t xml:space="preserve">The key priority for CSV over the coming year is to provide the necessary support to the Victorian court system to begin implementing the significant reform program funded by the 2017-18 </w:t>
      </w:r>
      <w:r w:rsidR="00D3553D">
        <w:t xml:space="preserve">State </w:t>
      </w:r>
      <w:r>
        <w:t>Budget. A dedicated c</w:t>
      </w:r>
      <w:r w:rsidRPr="008C0E10">
        <w:t xml:space="preserve">hange management </w:t>
      </w:r>
      <w:r>
        <w:t xml:space="preserve">function </w:t>
      </w:r>
      <w:r w:rsidRPr="008C0E10">
        <w:t>has been established within CSV</w:t>
      </w:r>
      <w:r>
        <w:t xml:space="preserve"> to ensure this objective is met through the provision of strong governance and collaboration with jurisdictions. </w:t>
      </w:r>
    </w:p>
    <w:p w:rsidR="008464F2" w:rsidRDefault="008464F2" w:rsidP="008464F2"/>
    <w:p w:rsidR="008464F2" w:rsidRDefault="008464F2" w:rsidP="008464F2">
      <w:r w:rsidRPr="00D3553D">
        <w:t>CSV’s commitment to maintaining service excellence to support independent judicial administration in Victoria is an ongoing endeavour.</w:t>
      </w:r>
      <w:r>
        <w:t xml:space="preserve"> A key focus over the year ahead will be to continue strengthening CSV’s </w:t>
      </w:r>
      <w:r w:rsidRPr="008C0E10">
        <w:t>organisational governance and capabilities</w:t>
      </w:r>
      <w:r>
        <w:t xml:space="preserve"> and strong financial and risk management framework. Investing in the health and wellbeing of our staff and promoting a culture of learning and development is a particular priority for me. There is much to do and much to look forward to, and CSV is ready for the challenges ahead.</w:t>
      </w:r>
    </w:p>
    <w:p w:rsidR="009333D5" w:rsidRDefault="009333D5" w:rsidP="008464F2"/>
    <w:p w:rsidR="009333D5" w:rsidRPr="009333D5" w:rsidRDefault="009333D5" w:rsidP="008464F2">
      <w:pPr>
        <w:rPr>
          <w:b/>
        </w:rPr>
      </w:pPr>
      <w:r w:rsidRPr="009333D5">
        <w:rPr>
          <w:b/>
        </w:rPr>
        <w:t>David Ware</w:t>
      </w:r>
    </w:p>
    <w:p w:rsidR="009333D5" w:rsidRDefault="009333D5" w:rsidP="008464F2">
      <w:pPr>
        <w:rPr>
          <w:b/>
        </w:rPr>
      </w:pPr>
      <w:r>
        <w:t>Chief Executive Officer</w:t>
      </w:r>
    </w:p>
    <w:p w:rsidR="002F0F12" w:rsidRDefault="002F0F12" w:rsidP="00ED149A"/>
    <w:p w:rsidR="00CF273E" w:rsidRPr="00CF273E" w:rsidRDefault="002F0F12" w:rsidP="008426C5">
      <w:pPr>
        <w:pStyle w:val="Heading1"/>
      </w:pPr>
      <w:r>
        <w:br w:type="page"/>
      </w:r>
      <w:bookmarkStart w:id="2" w:name="_Toc494978532"/>
      <w:r w:rsidR="00CF273E" w:rsidRPr="00CF273E">
        <w:lastRenderedPageBreak/>
        <w:t>SECTION</w:t>
      </w:r>
      <w:r>
        <w:t xml:space="preserve"> </w:t>
      </w:r>
      <w:r w:rsidR="00CF273E" w:rsidRPr="00CF273E">
        <w:t>1:</w:t>
      </w:r>
      <w:r w:rsidR="008426C5">
        <w:t xml:space="preserve"> </w:t>
      </w:r>
      <w:r w:rsidR="00CF273E" w:rsidRPr="00CF273E">
        <w:t>GOVERNANCE</w:t>
      </w:r>
      <w:r w:rsidR="008426C5">
        <w:t xml:space="preserve"> </w:t>
      </w:r>
      <w:r w:rsidR="00CF273E" w:rsidRPr="00CF273E">
        <w:t>AND ORGANISATIONAL STRUCTURE</w:t>
      </w:r>
      <w:bookmarkEnd w:id="2"/>
    </w:p>
    <w:p w:rsidR="00CF273E" w:rsidRPr="00BA40EC" w:rsidRDefault="00652022" w:rsidP="008426C5">
      <w:pPr>
        <w:pStyle w:val="Heading2"/>
      </w:pPr>
      <w:bookmarkStart w:id="3" w:name="_Toc494978533"/>
      <w:r w:rsidRPr="00BA40EC">
        <w:t>About Court Services Victoria</w:t>
      </w:r>
      <w:bookmarkEnd w:id="3"/>
    </w:p>
    <w:p w:rsidR="00CF1DD3" w:rsidRPr="00CF273E" w:rsidRDefault="00CF1DD3" w:rsidP="00CF1DD3">
      <w:pPr>
        <w:pStyle w:val="Heading3"/>
      </w:pPr>
      <w:r>
        <w:t>Purpose, Functions a</w:t>
      </w:r>
      <w:r w:rsidRPr="00CF273E">
        <w:t>nd</w:t>
      </w:r>
      <w:r>
        <w:t xml:space="preserve"> </w:t>
      </w:r>
      <w:r w:rsidRPr="00CF273E">
        <w:t>Powers</w:t>
      </w:r>
    </w:p>
    <w:p w:rsidR="00235185" w:rsidRPr="00CF273E" w:rsidRDefault="00235185" w:rsidP="00235185">
      <w:r w:rsidRPr="00CF273E">
        <w:t xml:space="preserve">The function of </w:t>
      </w:r>
      <w:r w:rsidR="00CA7A01">
        <w:t>Court Services Victoria (</w:t>
      </w:r>
      <w:r w:rsidRPr="00CF273E">
        <w:t>CSV</w:t>
      </w:r>
      <w:r w:rsidR="00CA7A01">
        <w:t>)</w:t>
      </w:r>
      <w:r w:rsidRPr="00CF273E">
        <w:t xml:space="preserve"> is to provide, or arrange for the provision of, administrative services and facilities necessary to support the performance of the judicial, quasi-judicial</w:t>
      </w:r>
      <w:r>
        <w:t xml:space="preserve"> </w:t>
      </w:r>
      <w:r w:rsidRPr="00CF273E">
        <w:t>and administrative functions of the Supreme Court of Victoria, the County Court of Victoria, the Magistrates' Court of Victoria, the</w:t>
      </w:r>
      <w:r>
        <w:t xml:space="preserve"> </w:t>
      </w:r>
      <w:r w:rsidRPr="00CF273E">
        <w:t>Children's Court of Victoria, the</w:t>
      </w:r>
      <w:r>
        <w:t xml:space="preserve"> </w:t>
      </w:r>
      <w:r w:rsidRPr="00CF273E">
        <w:t>Coroners Court</w:t>
      </w:r>
      <w:r>
        <w:t xml:space="preserve"> </w:t>
      </w:r>
      <w:r w:rsidR="00A65269">
        <w:t>of Victoria and</w:t>
      </w:r>
      <w:r w:rsidR="00EE6D5D">
        <w:t xml:space="preserve"> </w:t>
      </w:r>
      <w:r w:rsidR="00BE2F27">
        <w:t>the Victorian Civil and Administrative Tribunal (</w:t>
      </w:r>
      <w:r w:rsidRPr="00CF273E">
        <w:t>VCAT</w:t>
      </w:r>
      <w:r w:rsidR="00BE2F27">
        <w:t>)</w:t>
      </w:r>
      <w:r w:rsidRPr="00CF273E">
        <w:t xml:space="preserve">, and to enable </w:t>
      </w:r>
      <w:r w:rsidR="00BE2F27">
        <w:t>the Judicial College of Victoria (</w:t>
      </w:r>
      <w:r w:rsidRPr="00CF273E">
        <w:t>the College</w:t>
      </w:r>
      <w:r w:rsidR="00BE2F27">
        <w:t>)</w:t>
      </w:r>
      <w:r>
        <w:t xml:space="preserve"> </w:t>
      </w:r>
      <w:r w:rsidRPr="00CF273E">
        <w:t>to perform its functions.</w:t>
      </w:r>
    </w:p>
    <w:p w:rsidR="00235185" w:rsidRPr="00CF273E" w:rsidRDefault="00235185" w:rsidP="00235185"/>
    <w:p w:rsidR="00235185" w:rsidRPr="00CF273E" w:rsidRDefault="00235185" w:rsidP="00235185">
      <w:r w:rsidRPr="00CF273E">
        <w:t xml:space="preserve">Subject to the </w:t>
      </w:r>
      <w:r w:rsidRPr="00C60580">
        <w:rPr>
          <w:i/>
        </w:rPr>
        <w:t xml:space="preserve">Court Services Victoria Act 2014 </w:t>
      </w:r>
      <w:r w:rsidR="00CA7A01">
        <w:t>(Vic)</w:t>
      </w:r>
      <w:r w:rsidR="00290B62">
        <w:t xml:space="preserve"> (CSV Act)</w:t>
      </w:r>
      <w:r w:rsidR="00CA7A01">
        <w:t xml:space="preserve"> </w:t>
      </w:r>
      <w:r w:rsidRPr="00CF273E">
        <w:t>CSV has the power to do all things necessary or convenient to be done for, or in connection with, or incidental</w:t>
      </w:r>
      <w:r>
        <w:t xml:space="preserve"> </w:t>
      </w:r>
      <w:r w:rsidRPr="00CF273E">
        <w:t>to,</w:t>
      </w:r>
      <w:r>
        <w:t xml:space="preserve"> </w:t>
      </w:r>
      <w:r w:rsidRPr="00CF273E">
        <w:t>the performance of its function.</w:t>
      </w:r>
    </w:p>
    <w:p w:rsidR="00CF273E" w:rsidRPr="00CF273E" w:rsidRDefault="00CF273E" w:rsidP="00BA40EC"/>
    <w:p w:rsidR="00CF1DD3" w:rsidRPr="000B5B76" w:rsidRDefault="00CF1DD3" w:rsidP="00CF1DD3">
      <w:pPr>
        <w:pStyle w:val="Heading3"/>
      </w:pPr>
      <w:r w:rsidRPr="000B5B76">
        <w:t xml:space="preserve">Role with Respect to the Jurisdictions </w:t>
      </w:r>
    </w:p>
    <w:p w:rsidR="00CF1DD3" w:rsidRPr="00CF273E" w:rsidRDefault="00CF1DD3" w:rsidP="00CF1DD3">
      <w:r w:rsidRPr="00CF273E">
        <w:t xml:space="preserve">Each jurisdiction is established under its own </w:t>
      </w:r>
      <w:r>
        <w:t>l</w:t>
      </w:r>
      <w:r w:rsidRPr="00CF273E">
        <w:t xml:space="preserve">egislation and the establishment of CSV does not </w:t>
      </w:r>
      <w:r w:rsidR="0044681A">
        <w:t>impact</w:t>
      </w:r>
      <w:r w:rsidRPr="00CF273E">
        <w:t xml:space="preserve"> the internal</w:t>
      </w:r>
      <w:r>
        <w:t xml:space="preserve"> </w:t>
      </w:r>
      <w:r w:rsidRPr="00CF273E">
        <w:t>governance of jurisdictions. In performing its functions</w:t>
      </w:r>
      <w:r>
        <w:t xml:space="preserve"> </w:t>
      </w:r>
      <w:r w:rsidRPr="00CF273E">
        <w:t xml:space="preserve">and </w:t>
      </w:r>
      <w:r>
        <w:t xml:space="preserve">exercising </w:t>
      </w:r>
      <w:r w:rsidRPr="00CF273E">
        <w:t>its powers, CSV acknowledges and respects the</w:t>
      </w:r>
      <w:r>
        <w:t xml:space="preserve"> </w:t>
      </w:r>
      <w:r w:rsidRPr="00CF273E">
        <w:t>judicial</w:t>
      </w:r>
      <w:r>
        <w:t xml:space="preserve"> </w:t>
      </w:r>
      <w:r w:rsidRPr="00CF273E">
        <w:t>independence</w:t>
      </w:r>
      <w:r>
        <w:t xml:space="preserve"> </w:t>
      </w:r>
      <w:r w:rsidRPr="00CF273E">
        <w:t>of each jurisdiction, and the College</w:t>
      </w:r>
      <w:r w:rsidR="0044681A">
        <w:t>, as</w:t>
      </w:r>
      <w:r w:rsidRPr="00CF273E">
        <w:t xml:space="preserve"> separate </w:t>
      </w:r>
      <w:r>
        <w:t>l</w:t>
      </w:r>
      <w:r w:rsidRPr="00CF273E">
        <w:t>egal</w:t>
      </w:r>
      <w:r>
        <w:t xml:space="preserve"> </w:t>
      </w:r>
      <w:r w:rsidR="0044681A">
        <w:t>entities</w:t>
      </w:r>
      <w:r w:rsidRPr="00CF273E">
        <w:t>.</w:t>
      </w:r>
    </w:p>
    <w:p w:rsidR="00CF1DD3" w:rsidRPr="00CF273E" w:rsidRDefault="00CF1DD3" w:rsidP="00CF1DD3"/>
    <w:p w:rsidR="00CF1DD3" w:rsidRPr="00CF273E" w:rsidRDefault="00CF1DD3" w:rsidP="00CF1DD3">
      <w:r w:rsidRPr="00CF273E">
        <w:t xml:space="preserve">The </w:t>
      </w:r>
      <w:r w:rsidR="00BE682B">
        <w:t>CSV</w:t>
      </w:r>
      <w:r w:rsidR="0044681A">
        <w:t xml:space="preserve"> a</w:t>
      </w:r>
      <w:r w:rsidRPr="00CF273E">
        <w:t>nnual</w:t>
      </w:r>
      <w:r>
        <w:t xml:space="preserve"> </w:t>
      </w:r>
      <w:r w:rsidR="0044681A">
        <w:t>r</w:t>
      </w:r>
      <w:r w:rsidRPr="00CF273E">
        <w:t>eport is separate and</w:t>
      </w:r>
      <w:r>
        <w:t xml:space="preserve"> </w:t>
      </w:r>
      <w:r w:rsidRPr="00CF273E">
        <w:t>distinct from the annual</w:t>
      </w:r>
      <w:r>
        <w:t xml:space="preserve"> </w:t>
      </w:r>
      <w:r w:rsidRPr="00CF273E">
        <w:t xml:space="preserve">reports </w:t>
      </w:r>
      <w:r w:rsidR="001F1297">
        <w:t>produced by</w:t>
      </w:r>
      <w:r w:rsidR="001F1297" w:rsidRPr="00CF273E">
        <w:t xml:space="preserve"> </w:t>
      </w:r>
      <w:r w:rsidRPr="00CF273E">
        <w:t xml:space="preserve">the Victorian courts, VCAT and the College. Those reports </w:t>
      </w:r>
      <w:r w:rsidR="00CA7A01">
        <w:t>detail</w:t>
      </w:r>
      <w:r w:rsidRPr="00CF273E">
        <w:t xml:space="preserve"> the</w:t>
      </w:r>
      <w:r>
        <w:t xml:space="preserve"> </w:t>
      </w:r>
      <w:r w:rsidRPr="00CF273E">
        <w:t>individual</w:t>
      </w:r>
      <w:r>
        <w:t xml:space="preserve"> </w:t>
      </w:r>
      <w:r w:rsidRPr="00CF273E">
        <w:t xml:space="preserve">work and administration of the jurisdictions </w:t>
      </w:r>
      <w:r>
        <w:t>and the College</w:t>
      </w:r>
      <w:r w:rsidR="0044681A">
        <w:t>,</w:t>
      </w:r>
      <w:r>
        <w:t xml:space="preserve"> </w:t>
      </w:r>
      <w:r w:rsidRPr="00CF273E">
        <w:t>and are available on their respective websites.</w:t>
      </w:r>
    </w:p>
    <w:p w:rsidR="00CF1DD3" w:rsidRPr="00CF273E" w:rsidRDefault="00CF1DD3" w:rsidP="00CF1DD3"/>
    <w:p w:rsidR="00CF1DD3" w:rsidRPr="00CF273E" w:rsidRDefault="00CF1DD3" w:rsidP="00CF1DD3">
      <w:r w:rsidRPr="00CF273E">
        <w:t>CSV's funding, including that necessary for the administration of the jurisdictions and the College, is primarily</w:t>
      </w:r>
      <w:r w:rsidR="0044681A">
        <w:t xml:space="preserve"> sourced</w:t>
      </w:r>
      <w:r w:rsidRPr="00CF273E">
        <w:t xml:space="preserve"> from </w:t>
      </w:r>
      <w:r w:rsidR="001F1297">
        <w:t>an</w:t>
      </w:r>
      <w:r w:rsidR="001F1297" w:rsidRPr="00CF273E">
        <w:t xml:space="preserve"> </w:t>
      </w:r>
      <w:r w:rsidRPr="00CF273E">
        <w:t xml:space="preserve">annual appropriation. The </w:t>
      </w:r>
      <w:r w:rsidR="0044681A">
        <w:rPr>
          <w:i/>
        </w:rPr>
        <w:t>Appropriation (2016-17) Act 2016</w:t>
      </w:r>
      <w:r w:rsidRPr="00CF273E">
        <w:t xml:space="preserve"> (Vic) refers to the 'Department</w:t>
      </w:r>
      <w:r>
        <w:t xml:space="preserve"> </w:t>
      </w:r>
      <w:r w:rsidRPr="00CF273E">
        <w:t>of Courts'. For appropriation purposes only,</w:t>
      </w:r>
      <w:r>
        <w:t xml:space="preserve"> </w:t>
      </w:r>
      <w:r w:rsidRPr="00CF273E">
        <w:t xml:space="preserve">the 'Department of Courts' is </w:t>
      </w:r>
      <w:r w:rsidR="00CA7A01">
        <w:t>CSV</w:t>
      </w:r>
      <w:r w:rsidRPr="00CF273E">
        <w:t xml:space="preserve">. </w:t>
      </w:r>
      <w:r>
        <w:t xml:space="preserve">The </w:t>
      </w:r>
      <w:r w:rsidRPr="00CF273E">
        <w:t>CSV CEO is the Accountable Officer for the Courts' appropriation, and the Courts Council</w:t>
      </w:r>
      <w:r>
        <w:t xml:space="preserve"> </w:t>
      </w:r>
      <w:r w:rsidRPr="00CF273E">
        <w:t>is the Responsible Body.</w:t>
      </w:r>
    </w:p>
    <w:p w:rsidR="00CF1DD3" w:rsidRPr="00CF273E" w:rsidRDefault="00CF1DD3" w:rsidP="00CF1DD3"/>
    <w:p w:rsidR="00CF1DD3" w:rsidRDefault="00CA7A01" w:rsidP="00CF1DD3">
      <w:r>
        <w:t>CSV, each of the jurisdictions</w:t>
      </w:r>
      <w:r w:rsidR="00CF1DD3" w:rsidRPr="00CF273E">
        <w:t xml:space="preserve"> and the College have separate budgets prepared and approved under section 41 of the </w:t>
      </w:r>
      <w:r w:rsidR="00290B62">
        <w:t>CSV</w:t>
      </w:r>
      <w:r w:rsidR="00CF1DD3" w:rsidRPr="00CF273E">
        <w:t xml:space="preserve"> Act.</w:t>
      </w:r>
      <w:r w:rsidR="00CF1DD3">
        <w:t xml:space="preserve"> </w:t>
      </w:r>
      <w:r w:rsidR="00CF1DD3" w:rsidRPr="00CF273E">
        <w:t>CSV, as the relevant body</w:t>
      </w:r>
      <w:r w:rsidR="00CF1DD3">
        <w:t xml:space="preserve"> </w:t>
      </w:r>
      <w:r w:rsidR="00CF1DD3" w:rsidRPr="00CF273E">
        <w:t>corporate, enters into contracts, holds</w:t>
      </w:r>
      <w:r w:rsidR="00CF1DD3">
        <w:t xml:space="preserve"> </w:t>
      </w:r>
      <w:r w:rsidR="00CF1DD3" w:rsidRPr="00CF273E">
        <w:t>proper</w:t>
      </w:r>
      <w:r>
        <w:t>ty</w:t>
      </w:r>
      <w:r w:rsidR="00CF1DD3">
        <w:t xml:space="preserve"> </w:t>
      </w:r>
      <w:r w:rsidR="00CF1DD3" w:rsidRPr="00CF273E">
        <w:t xml:space="preserve">and related </w:t>
      </w:r>
      <w:r w:rsidR="00CF1DD3">
        <w:t>l</w:t>
      </w:r>
      <w:r w:rsidR="00CF1DD3" w:rsidRPr="00CF273E">
        <w:t>egal</w:t>
      </w:r>
      <w:r w:rsidR="00CF1DD3">
        <w:t xml:space="preserve"> </w:t>
      </w:r>
      <w:r w:rsidR="00CF1DD3" w:rsidRPr="00CF273E">
        <w:t>rights and obligations</w:t>
      </w:r>
      <w:r>
        <w:t>,</w:t>
      </w:r>
      <w:r w:rsidR="00CF1DD3" w:rsidRPr="00CF273E">
        <w:t xml:space="preserve"> relevant</w:t>
      </w:r>
      <w:r w:rsidR="00CF1DD3">
        <w:t xml:space="preserve"> </w:t>
      </w:r>
      <w:r w:rsidR="00CF1DD3" w:rsidRPr="00CF273E">
        <w:t>to the administrative services and facilities required to support the performance of the</w:t>
      </w:r>
      <w:r>
        <w:t xml:space="preserve"> jurisdictions and the College. </w:t>
      </w:r>
      <w:r w:rsidR="00CF1DD3" w:rsidRPr="00CF273E">
        <w:t>CSV employs the staff necessary to carry out and support</w:t>
      </w:r>
      <w:r w:rsidR="00CF1DD3">
        <w:t xml:space="preserve"> </w:t>
      </w:r>
      <w:r w:rsidR="0044681A">
        <w:t>the</w:t>
      </w:r>
      <w:r w:rsidR="00CF1DD3" w:rsidRPr="00CF273E">
        <w:t>se</w:t>
      </w:r>
      <w:r w:rsidR="00CF1DD3">
        <w:t xml:space="preserve"> </w:t>
      </w:r>
      <w:r w:rsidR="00CF1DD3" w:rsidRPr="00CF273E">
        <w:t>functions.</w:t>
      </w:r>
    </w:p>
    <w:p w:rsidR="005F50DF" w:rsidRDefault="005F50DF" w:rsidP="00CF1DD3"/>
    <w:p w:rsidR="00CF1DD3" w:rsidRPr="00CF273E" w:rsidRDefault="00CF1DD3" w:rsidP="00CF1DD3">
      <w:r w:rsidRPr="00CF273E">
        <w:t xml:space="preserve">The CSV CEO has the functions of a public service body head under the </w:t>
      </w:r>
      <w:r w:rsidRPr="00C241D2">
        <w:rPr>
          <w:i/>
        </w:rPr>
        <w:t>Public Administration Act 2004</w:t>
      </w:r>
      <w:r w:rsidRPr="00CF273E">
        <w:t xml:space="preserve"> (Vic) in</w:t>
      </w:r>
      <w:r>
        <w:t xml:space="preserve"> </w:t>
      </w:r>
      <w:r w:rsidRPr="00CF273E">
        <w:t xml:space="preserve">relation to </w:t>
      </w:r>
      <w:r>
        <w:t xml:space="preserve">all </w:t>
      </w:r>
      <w:r w:rsidR="001F1297">
        <w:t xml:space="preserve">CSV </w:t>
      </w:r>
      <w:r w:rsidRPr="00CF273E">
        <w:t>staff</w:t>
      </w:r>
      <w:r w:rsidR="0044681A">
        <w:t>,</w:t>
      </w:r>
      <w:r w:rsidRPr="00CF273E">
        <w:t xml:space="preserve"> </w:t>
      </w:r>
      <w:r w:rsidR="001F1297">
        <w:t xml:space="preserve">other </w:t>
      </w:r>
      <w:r>
        <w:t>than judicial employees</w:t>
      </w:r>
      <w:r w:rsidRPr="00CF273E">
        <w:t>.</w:t>
      </w:r>
      <w:r>
        <w:t xml:space="preserve"> </w:t>
      </w:r>
      <w:r w:rsidRPr="00CF273E">
        <w:t>A number of powers and functions of the CSV CEO</w:t>
      </w:r>
      <w:r>
        <w:t xml:space="preserve"> </w:t>
      </w:r>
      <w:r w:rsidRPr="00CF273E">
        <w:t>are delegated to Court CEOs</w:t>
      </w:r>
      <w:r w:rsidR="00CA7A01">
        <w:t xml:space="preserve"> (see next section)</w:t>
      </w:r>
      <w:r w:rsidRPr="00CF273E">
        <w:t xml:space="preserve"> </w:t>
      </w:r>
      <w:r w:rsidR="0044681A">
        <w:t>to ensure</w:t>
      </w:r>
      <w:r w:rsidRPr="00CF273E">
        <w:t xml:space="preserve"> the proper administration of support services and facilities at each jurisdiction.</w:t>
      </w:r>
    </w:p>
    <w:p w:rsidR="00CF273E" w:rsidRPr="00CF273E" w:rsidRDefault="00CF273E" w:rsidP="00BA40EC"/>
    <w:p w:rsidR="003A56F9" w:rsidRPr="00CF273E" w:rsidRDefault="003A56F9" w:rsidP="003A56F9">
      <w:pPr>
        <w:pStyle w:val="Heading3"/>
      </w:pPr>
      <w:r>
        <w:t>Establishment</w:t>
      </w:r>
      <w:r w:rsidR="0094496E">
        <w:t xml:space="preserve"> </w:t>
      </w:r>
      <w:r w:rsidR="0094496E" w:rsidRPr="0094496E">
        <w:t>and Ministerial Powers</w:t>
      </w:r>
    </w:p>
    <w:p w:rsidR="003A56F9" w:rsidRPr="00CF273E" w:rsidRDefault="003A56F9" w:rsidP="003A56F9">
      <w:r w:rsidRPr="00CF273E">
        <w:t xml:space="preserve">The </w:t>
      </w:r>
      <w:r w:rsidR="00290B62">
        <w:t>CSV</w:t>
      </w:r>
      <w:r w:rsidR="0044681A" w:rsidRPr="00CF273E">
        <w:t xml:space="preserve"> Act</w:t>
      </w:r>
      <w:r w:rsidRPr="00CF273E">
        <w:t xml:space="preserve"> commenced on 1 July 2014, establishing CSV as an independent</w:t>
      </w:r>
      <w:r w:rsidR="0044681A">
        <w:t>,</w:t>
      </w:r>
      <w:r w:rsidRPr="00CF273E">
        <w:t xml:space="preserve"> statutory body corporate.</w:t>
      </w:r>
    </w:p>
    <w:p w:rsidR="003A56F9" w:rsidRPr="00CF273E" w:rsidRDefault="003A56F9" w:rsidP="003A56F9"/>
    <w:p w:rsidR="003A56F9" w:rsidRPr="00CF273E" w:rsidRDefault="003A56F9" w:rsidP="003A56F9">
      <w:r>
        <w:lastRenderedPageBreak/>
        <w:t>T</w:t>
      </w:r>
      <w:r w:rsidRPr="00CF273E">
        <w:t>he Attorney-General</w:t>
      </w:r>
      <w:r>
        <w:t xml:space="preserve"> is the relevant </w:t>
      </w:r>
      <w:r w:rsidR="00C508AB">
        <w:t xml:space="preserve">Victorian </w:t>
      </w:r>
      <w:r>
        <w:t xml:space="preserve">Minister with </w:t>
      </w:r>
      <w:r w:rsidRPr="00CF273E">
        <w:t>p</w:t>
      </w:r>
      <w:r w:rsidR="00C508AB">
        <w:t>ortfolio responsibility for CSV.</w:t>
      </w:r>
      <w:r w:rsidRPr="00CF273E">
        <w:t xml:space="preserve"> </w:t>
      </w:r>
      <w:r w:rsidR="00C508AB">
        <w:t>H</w:t>
      </w:r>
      <w:r>
        <w:t>owever</w:t>
      </w:r>
      <w:r w:rsidR="00C508AB">
        <w:t>,</w:t>
      </w:r>
      <w:r>
        <w:t xml:space="preserve"> </w:t>
      </w:r>
      <w:r w:rsidRPr="00CF273E">
        <w:t xml:space="preserve">the </w:t>
      </w:r>
      <w:r w:rsidR="00C508AB">
        <w:t xml:space="preserve">purpose of the </w:t>
      </w:r>
      <w:r w:rsidR="00290B62">
        <w:t xml:space="preserve">CSV </w:t>
      </w:r>
      <w:r w:rsidR="00C508AB" w:rsidRPr="00C37448">
        <w:t>Act</w:t>
      </w:r>
      <w:r w:rsidR="00C508AB" w:rsidRPr="00CF273E">
        <w:t xml:space="preserve"> </w:t>
      </w:r>
      <w:r w:rsidR="00C37448">
        <w:t>was</w:t>
      </w:r>
      <w:r w:rsidRPr="00CF273E">
        <w:t xml:space="preserve"> to</w:t>
      </w:r>
      <w:r>
        <w:t xml:space="preserve"> </w:t>
      </w:r>
      <w:r w:rsidRPr="00CF273E">
        <w:t xml:space="preserve">establish CSV </w:t>
      </w:r>
      <w:r w:rsidR="00C37448">
        <w:t>as a body designed to</w:t>
      </w:r>
      <w:r w:rsidR="00C37448" w:rsidRPr="00C37448">
        <w:t xml:space="preserve"> provide the administrative services and facilities necessary for Victorian courts and tribunals to operate independently of the direction of the executive branch of government.</w:t>
      </w:r>
      <w:r w:rsidR="00C37448">
        <w:t xml:space="preserve"> </w:t>
      </w:r>
      <w:r>
        <w:t>The Attorney­</w:t>
      </w:r>
      <w:r w:rsidRPr="00CF273E">
        <w:t>General's</w:t>
      </w:r>
      <w:r>
        <w:t xml:space="preserve"> </w:t>
      </w:r>
      <w:r w:rsidRPr="00CF273E">
        <w:t>statutory powers</w:t>
      </w:r>
      <w:r>
        <w:t xml:space="preserve"> </w:t>
      </w:r>
      <w:r w:rsidRPr="00CF273E">
        <w:t>with respect to</w:t>
      </w:r>
      <w:r>
        <w:t xml:space="preserve"> </w:t>
      </w:r>
      <w:r w:rsidRPr="00CF273E">
        <w:t>CSV are budget approval</w:t>
      </w:r>
      <w:r>
        <w:t xml:space="preserve"> </w:t>
      </w:r>
      <w:r w:rsidRPr="00CF273E">
        <w:t xml:space="preserve">(section 41, </w:t>
      </w:r>
      <w:r w:rsidR="00290B62">
        <w:t>CSV</w:t>
      </w:r>
      <w:r w:rsidR="00C508AB" w:rsidRPr="00CF273E">
        <w:t xml:space="preserve"> Act</w:t>
      </w:r>
      <w:r w:rsidRPr="00CF273E">
        <w:t xml:space="preserve">), agreement to allocation statements (section 48, </w:t>
      </w:r>
      <w:r w:rsidR="00290B62">
        <w:t>CSV</w:t>
      </w:r>
      <w:r w:rsidR="00C508AB" w:rsidRPr="00CF273E">
        <w:t xml:space="preserve"> Act</w:t>
      </w:r>
      <w:r w:rsidRPr="00CF273E">
        <w:t xml:space="preserve">) and recommending the vesting of Crown Land </w:t>
      </w:r>
      <w:r w:rsidR="00C508AB">
        <w:t>to</w:t>
      </w:r>
      <w:r w:rsidRPr="00CF273E">
        <w:t xml:space="preserve"> CSV (section</w:t>
      </w:r>
      <w:r>
        <w:t xml:space="preserve"> </w:t>
      </w:r>
      <w:r w:rsidRPr="00CF273E">
        <w:t xml:space="preserve">58, </w:t>
      </w:r>
      <w:r w:rsidR="00290B62">
        <w:t>CSV</w:t>
      </w:r>
      <w:r w:rsidR="00C508AB" w:rsidRPr="00CF273E">
        <w:t xml:space="preserve"> Act</w:t>
      </w:r>
      <w:r w:rsidRPr="00CF273E">
        <w:t>).</w:t>
      </w:r>
    </w:p>
    <w:p w:rsidR="00C7187A" w:rsidRDefault="00C7187A" w:rsidP="003A56F9"/>
    <w:p w:rsidR="003A56F9" w:rsidRPr="00CF273E" w:rsidRDefault="003A56F9" w:rsidP="003A56F9">
      <w:r w:rsidRPr="00CF273E">
        <w:t xml:space="preserve">A Memorandum of Understanding (MOU) </w:t>
      </w:r>
      <w:r>
        <w:t xml:space="preserve">between the Attorney-General and </w:t>
      </w:r>
      <w:r w:rsidR="00C7187A">
        <w:t xml:space="preserve">the </w:t>
      </w:r>
      <w:r>
        <w:t>Courts Council set</w:t>
      </w:r>
      <w:r w:rsidR="00C7187A">
        <w:t>s</w:t>
      </w:r>
      <w:r>
        <w:t xml:space="preserve"> out principles and processes </w:t>
      </w:r>
      <w:r w:rsidR="00CA7A01">
        <w:t>for</w:t>
      </w:r>
      <w:r>
        <w:t xml:space="preserve"> the relationship between CSV and </w:t>
      </w:r>
      <w:r w:rsidR="003E2C02">
        <w:t>the executive branch of government</w:t>
      </w:r>
      <w:r>
        <w:t xml:space="preserve">. </w:t>
      </w:r>
      <w:r w:rsidRPr="00CF273E">
        <w:t>A copy of</w:t>
      </w:r>
      <w:r>
        <w:t xml:space="preserve"> </w:t>
      </w:r>
      <w:r w:rsidRPr="00CF273E">
        <w:t>the MOU i</w:t>
      </w:r>
      <w:r>
        <w:t>s available at www.courts.vic.g</w:t>
      </w:r>
      <w:r w:rsidRPr="00CF273E">
        <w:t>ov.au.</w:t>
      </w:r>
    </w:p>
    <w:p w:rsidR="003A56F9" w:rsidRPr="00CF273E" w:rsidRDefault="003A56F9" w:rsidP="003A56F9"/>
    <w:p w:rsidR="00CF273E" w:rsidRDefault="003A56F9" w:rsidP="00BA40EC">
      <w:r>
        <w:t xml:space="preserve">In </w:t>
      </w:r>
      <w:r w:rsidR="00CA7A01">
        <w:t xml:space="preserve">performing its </w:t>
      </w:r>
      <w:r w:rsidR="00CA7A01" w:rsidRPr="00941A82">
        <w:t>function</w:t>
      </w:r>
      <w:r w:rsidR="0073781E" w:rsidRPr="00941A82">
        <w:t>s</w:t>
      </w:r>
      <w:r w:rsidRPr="00941A82">
        <w:t>, CSV serves the Victorian community by strengthening the different constitutional roles of t</w:t>
      </w:r>
      <w:r w:rsidR="0073781E" w:rsidRPr="00941A82">
        <w:t>he executive and the judiciary,</w:t>
      </w:r>
      <w:r w:rsidR="00CA7A01" w:rsidRPr="00941A82">
        <w:t xml:space="preserve"> </w:t>
      </w:r>
      <w:r w:rsidRPr="00941A82">
        <w:t xml:space="preserve">and </w:t>
      </w:r>
      <w:r w:rsidR="0073781E" w:rsidRPr="00941A82">
        <w:t>by</w:t>
      </w:r>
      <w:r w:rsidR="0073781E">
        <w:t xml:space="preserve"> </w:t>
      </w:r>
      <w:r>
        <w:t xml:space="preserve">supporting Victoria’s system of responsible government and the rule of law. </w:t>
      </w:r>
    </w:p>
    <w:p w:rsidR="00A634F9" w:rsidRPr="00CF273E" w:rsidRDefault="00652022" w:rsidP="00CA7A01">
      <w:pPr>
        <w:pStyle w:val="Heading2"/>
      </w:pPr>
      <w:bookmarkStart w:id="4" w:name="_Toc494978534"/>
      <w:r w:rsidRPr="00CF273E">
        <w:t>Organisational</w:t>
      </w:r>
      <w:r>
        <w:t xml:space="preserve"> </w:t>
      </w:r>
      <w:r w:rsidRPr="00CF273E">
        <w:t>Structure</w:t>
      </w:r>
      <w:r>
        <w:t xml:space="preserve"> a</w:t>
      </w:r>
      <w:r w:rsidRPr="00CF273E">
        <w:t>nd Corporate</w:t>
      </w:r>
      <w:r>
        <w:t xml:space="preserve"> </w:t>
      </w:r>
      <w:r w:rsidRPr="00CF273E">
        <w:t>Governance</w:t>
      </w:r>
      <w:bookmarkEnd w:id="4"/>
    </w:p>
    <w:p w:rsidR="00A634F9" w:rsidRDefault="00A634F9" w:rsidP="00A634F9">
      <w:r w:rsidRPr="00CF273E">
        <w:t>While</w:t>
      </w:r>
      <w:r>
        <w:t xml:space="preserve"> </w:t>
      </w:r>
      <w:r w:rsidRPr="00CF273E">
        <w:t>each Court CEO has a reporting and accountabil</w:t>
      </w:r>
      <w:r w:rsidR="00983F9B">
        <w:t>ity l</w:t>
      </w:r>
      <w:r w:rsidRPr="00CF273E">
        <w:t>ine to their Head of Jurisdiction under the</w:t>
      </w:r>
      <w:r>
        <w:t xml:space="preserve"> </w:t>
      </w:r>
      <w:r w:rsidR="00290B62">
        <w:t>CSV</w:t>
      </w:r>
      <w:r w:rsidR="003E2C02" w:rsidRPr="003E2C02">
        <w:t xml:space="preserve"> Act</w:t>
      </w:r>
      <w:r w:rsidRPr="00CF273E">
        <w:t>, the Heads</w:t>
      </w:r>
      <w:r>
        <w:t xml:space="preserve"> </w:t>
      </w:r>
      <w:r w:rsidRPr="00CF273E">
        <w:t xml:space="preserve">of Jurisdiction </w:t>
      </w:r>
      <w:r w:rsidR="003E2C02">
        <w:t>are not</w:t>
      </w:r>
      <w:r w:rsidRPr="00CF273E">
        <w:t xml:space="preserve"> part of CSV other</w:t>
      </w:r>
      <w:r>
        <w:t xml:space="preserve"> </w:t>
      </w:r>
      <w:r w:rsidRPr="00CF273E">
        <w:t>than as members of the</w:t>
      </w:r>
      <w:r>
        <w:t xml:space="preserve"> </w:t>
      </w:r>
      <w:r w:rsidRPr="00CF273E">
        <w:t>Courts Council. This is also the case</w:t>
      </w:r>
      <w:r>
        <w:t xml:space="preserve"> </w:t>
      </w:r>
      <w:r w:rsidRPr="00CF273E">
        <w:t xml:space="preserve">for the Board of the </w:t>
      </w:r>
      <w:r w:rsidR="00983F9B">
        <w:t>College</w:t>
      </w:r>
      <w:r w:rsidR="008F1B43">
        <w:t>. T</w:t>
      </w:r>
      <w:r w:rsidRPr="00CF273E">
        <w:t>he College CEO has obligations to the Board</w:t>
      </w:r>
      <w:r>
        <w:t xml:space="preserve"> </w:t>
      </w:r>
      <w:r w:rsidRPr="00CF273E">
        <w:t>of the</w:t>
      </w:r>
      <w:r>
        <w:t xml:space="preserve"> </w:t>
      </w:r>
      <w:r w:rsidR="003E2C02">
        <w:t>College for all matters relating</w:t>
      </w:r>
      <w:r w:rsidRPr="00CF273E">
        <w:t xml:space="preserve"> to the</w:t>
      </w:r>
      <w:r>
        <w:t xml:space="preserve"> </w:t>
      </w:r>
      <w:r w:rsidRPr="00CF273E">
        <w:t>operation of the</w:t>
      </w:r>
      <w:r>
        <w:t xml:space="preserve"> </w:t>
      </w:r>
      <w:r w:rsidRPr="00CF273E">
        <w:t>College, but</w:t>
      </w:r>
      <w:r>
        <w:t xml:space="preserve"> </w:t>
      </w:r>
      <w:r w:rsidRPr="00CF273E">
        <w:t xml:space="preserve">the Board of the College </w:t>
      </w:r>
      <w:r w:rsidR="003E2C02">
        <w:t>is not part</w:t>
      </w:r>
      <w:r w:rsidRPr="00CF273E">
        <w:t xml:space="preserve"> of CSV.</w:t>
      </w:r>
    </w:p>
    <w:p w:rsidR="00EE2C3A" w:rsidRPr="00CF273E" w:rsidRDefault="00EE2C3A" w:rsidP="00A634F9"/>
    <w:p w:rsidR="00CF273E" w:rsidRDefault="00CF273E" w:rsidP="00B75192"/>
    <w:p w:rsidR="00A90EA1" w:rsidRDefault="009B719F" w:rsidP="00B75192">
      <w:r w:rsidRPr="00F702B5">
        <w:rPr>
          <w:noProof/>
        </w:rPr>
        <w:drawing>
          <wp:inline distT="0" distB="0" distL="0" distR="0">
            <wp:extent cx="6116320" cy="2398395"/>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2398395"/>
                    </a:xfrm>
                    <a:prstGeom prst="rect">
                      <a:avLst/>
                    </a:prstGeom>
                    <a:noFill/>
                    <a:ln>
                      <a:noFill/>
                    </a:ln>
                  </pic:spPr>
                </pic:pic>
              </a:graphicData>
            </a:graphic>
          </wp:inline>
        </w:drawing>
      </w:r>
    </w:p>
    <w:p w:rsidR="00CF273E" w:rsidRPr="00CF273E" w:rsidRDefault="00CF273E" w:rsidP="00B75192">
      <w:pPr>
        <w:pStyle w:val="Heading4"/>
      </w:pPr>
      <w:r w:rsidRPr="00CF273E">
        <w:t>Notes:</w:t>
      </w:r>
    </w:p>
    <w:p w:rsidR="00A634F9" w:rsidRPr="0003770C" w:rsidRDefault="00A634F9" w:rsidP="00A634F9">
      <w:pPr>
        <w:pStyle w:val="Notes"/>
      </w:pPr>
      <w:r>
        <w:t>1.</w:t>
      </w:r>
      <w:r>
        <w:tab/>
      </w:r>
      <w:r w:rsidRPr="0003770C">
        <w:t>Court CEOs are appointed by the Courts Council on the recommendation of the respective Head of Jurisdiction</w:t>
      </w:r>
      <w:r w:rsidR="00AD7A22">
        <w:t xml:space="preserve">. </w:t>
      </w:r>
      <w:r w:rsidR="00CA7A01">
        <w:t>Court CEOs</w:t>
      </w:r>
      <w:r w:rsidRPr="0003770C">
        <w:t xml:space="preserve"> are responsible to the Head of Jurisdiction in rel</w:t>
      </w:r>
      <w:r w:rsidR="00EA7BEE">
        <w:t>ation to the operation of that j</w:t>
      </w:r>
      <w:r w:rsidRPr="0003770C">
        <w:t>urisdiction</w:t>
      </w:r>
      <w:r w:rsidR="003E2C02">
        <w:t>,</w:t>
      </w:r>
      <w:r w:rsidRPr="0003770C">
        <w:t xml:space="preserve"> and to the CSV CEO in relation to all other matters.</w:t>
      </w:r>
    </w:p>
    <w:p w:rsidR="00A634F9" w:rsidRPr="0003770C" w:rsidRDefault="00A634F9" w:rsidP="00A634F9">
      <w:pPr>
        <w:pStyle w:val="Notes"/>
      </w:pPr>
    </w:p>
    <w:p w:rsidR="00A634F9" w:rsidRPr="0003770C" w:rsidRDefault="00A634F9" w:rsidP="00A634F9">
      <w:pPr>
        <w:pStyle w:val="Notes"/>
      </w:pPr>
      <w:r w:rsidRPr="0003770C">
        <w:t>2.</w:t>
      </w:r>
      <w:r w:rsidRPr="0003770C">
        <w:tab/>
        <w:t>To facilitate the exercise of their statutory functions and delegated powers, the Court CEOs meet regularly as an executive group</w:t>
      </w:r>
      <w:r w:rsidR="003E2C02">
        <w:t>. This is</w:t>
      </w:r>
      <w:r w:rsidRPr="0003770C">
        <w:t xml:space="preserve"> to ensure that CSV strategy, policy and process is consisten</w:t>
      </w:r>
      <w:r w:rsidR="00EA7BEE">
        <w:t>t with the independence of the j</w:t>
      </w:r>
      <w:r w:rsidRPr="0003770C">
        <w:t>urisdictions and strengthens their ability to operate independently of the executive arm of government.</w:t>
      </w:r>
    </w:p>
    <w:p w:rsidR="00A634F9" w:rsidRPr="0003770C" w:rsidRDefault="00A634F9" w:rsidP="00A634F9">
      <w:pPr>
        <w:pStyle w:val="Notes"/>
      </w:pPr>
    </w:p>
    <w:p w:rsidR="00A634F9" w:rsidRPr="0003770C" w:rsidRDefault="003E2C02" w:rsidP="00A634F9">
      <w:pPr>
        <w:pStyle w:val="Notes"/>
      </w:pPr>
      <w:r>
        <w:t>3.</w:t>
      </w:r>
      <w:r>
        <w:tab/>
        <w:t>The portfolio c</w:t>
      </w:r>
      <w:r w:rsidR="00A634F9" w:rsidRPr="0003770C">
        <w:t xml:space="preserve">ommittees </w:t>
      </w:r>
      <w:r w:rsidR="008F1B43">
        <w:t>(</w:t>
      </w:r>
      <w:r w:rsidR="00A634F9" w:rsidRPr="0003770C">
        <w:t xml:space="preserve">shown in the </w:t>
      </w:r>
      <w:r w:rsidR="008F1B43">
        <w:t xml:space="preserve">above </w:t>
      </w:r>
      <w:r w:rsidR="00A634F9" w:rsidRPr="0003770C">
        <w:t>diagram</w:t>
      </w:r>
      <w:r w:rsidR="008F1B43">
        <w:t>)</w:t>
      </w:r>
      <w:r w:rsidR="00A634F9" w:rsidRPr="0003770C">
        <w:t xml:space="preserve"> are the standing committees of the Courts Council</w:t>
      </w:r>
      <w:r>
        <w:t>. The committees were</w:t>
      </w:r>
      <w:r w:rsidR="00A634F9" w:rsidRPr="0003770C">
        <w:t xml:space="preserve"> established in accordance with the </w:t>
      </w:r>
      <w:r w:rsidR="00290B62">
        <w:t xml:space="preserve">CSV </w:t>
      </w:r>
      <w:r w:rsidRPr="00CF273E">
        <w:t>Act</w:t>
      </w:r>
      <w:r w:rsidRPr="0003770C">
        <w:t xml:space="preserve"> </w:t>
      </w:r>
      <w:r w:rsidR="00A634F9" w:rsidRPr="0003770C">
        <w:t>to assist the Courts Council in its governance of CSV, and as such</w:t>
      </w:r>
      <w:r>
        <w:t>,</w:t>
      </w:r>
      <w:r w:rsidR="00A634F9" w:rsidRPr="0003770C">
        <w:t xml:space="preserve"> they form part of CSV's governance structure.</w:t>
      </w:r>
    </w:p>
    <w:p w:rsidR="00A634F9" w:rsidRPr="0003770C" w:rsidRDefault="00A634F9" w:rsidP="00A634F9">
      <w:pPr>
        <w:pStyle w:val="Notes"/>
      </w:pPr>
    </w:p>
    <w:p w:rsidR="00A634F9" w:rsidRPr="0003770C" w:rsidRDefault="00A634F9" w:rsidP="00A634F9">
      <w:pPr>
        <w:pStyle w:val="Notes"/>
      </w:pPr>
      <w:r w:rsidRPr="0003770C">
        <w:lastRenderedPageBreak/>
        <w:t>4.</w:t>
      </w:r>
      <w:r w:rsidRPr="0003770C">
        <w:tab/>
        <w:t>CSV's statutory function includes the provision of services to enable the College to perform its functions. The College CEO is appointed by the CSV CEO, pursuant to that individual's nomination by the Board of the College. The College CEO has two lines of reporting</w:t>
      </w:r>
      <w:r w:rsidR="00100ECC">
        <w:t>:</w:t>
      </w:r>
      <w:r w:rsidRPr="0003770C">
        <w:t xml:space="preserve"> to the Board of the College regarding the operation of the College</w:t>
      </w:r>
      <w:r w:rsidR="003E2C02">
        <w:t>,</w:t>
      </w:r>
      <w:r w:rsidRPr="0003770C">
        <w:t xml:space="preserve"> and to the CSV CEO </w:t>
      </w:r>
      <w:r w:rsidR="003E2C02">
        <w:t>for</w:t>
      </w:r>
      <w:r w:rsidRPr="0003770C">
        <w:t xml:space="preserve"> all matters not related to the operation of the College.</w:t>
      </w:r>
    </w:p>
    <w:p w:rsidR="00CF273E" w:rsidRPr="00CF273E" w:rsidRDefault="008836AC" w:rsidP="0077408A">
      <w:pPr>
        <w:pStyle w:val="Heading2"/>
      </w:pPr>
      <w:bookmarkStart w:id="5" w:name="_Toc494978535"/>
      <w:r>
        <w:t>Governing Body</w:t>
      </w:r>
      <w:bookmarkEnd w:id="5"/>
    </w:p>
    <w:p w:rsidR="00CF273E" w:rsidRPr="00CF273E" w:rsidRDefault="0077408A" w:rsidP="0077408A">
      <w:pPr>
        <w:pStyle w:val="Heading3"/>
      </w:pPr>
      <w:r w:rsidRPr="00CF273E">
        <w:t>Courts</w:t>
      </w:r>
      <w:r>
        <w:t xml:space="preserve"> </w:t>
      </w:r>
      <w:r w:rsidRPr="00CF273E">
        <w:t>Council</w:t>
      </w:r>
    </w:p>
    <w:p w:rsidR="00A10379" w:rsidRPr="00CF273E" w:rsidRDefault="00A10379" w:rsidP="00A10379">
      <w:r w:rsidRPr="00CF273E">
        <w:t xml:space="preserve">The </w:t>
      </w:r>
      <w:r w:rsidR="00CA7A01">
        <w:t>CSV</w:t>
      </w:r>
      <w:r w:rsidRPr="00CF273E">
        <w:t xml:space="preserve"> governing</w:t>
      </w:r>
      <w:r>
        <w:t xml:space="preserve"> </w:t>
      </w:r>
      <w:r w:rsidRPr="00CF273E">
        <w:t>body</w:t>
      </w:r>
      <w:r w:rsidR="00CA7A01">
        <w:t xml:space="preserve"> is the Courts Council</w:t>
      </w:r>
      <w:r w:rsidRPr="00CF273E">
        <w:t>.</w:t>
      </w:r>
      <w:r>
        <w:t xml:space="preserve"> </w:t>
      </w:r>
      <w:r w:rsidRPr="00CF273E">
        <w:t>It is chaired by the Chief</w:t>
      </w:r>
      <w:r>
        <w:t xml:space="preserve"> </w:t>
      </w:r>
      <w:r w:rsidRPr="00CF273E">
        <w:t>Justice of the Supreme Court of Victoria, and consists of the six Heads</w:t>
      </w:r>
      <w:r>
        <w:t xml:space="preserve"> </w:t>
      </w:r>
      <w:r w:rsidRPr="00CF273E">
        <w:t>of Jurisdiction and up to two</w:t>
      </w:r>
      <w:r>
        <w:t xml:space="preserve"> </w:t>
      </w:r>
      <w:r w:rsidRPr="00CF273E">
        <w:t>non-judicial members appointed by the Heads</w:t>
      </w:r>
      <w:r>
        <w:t xml:space="preserve"> of Jurisdiction. As </w:t>
      </w:r>
      <w:r w:rsidR="00235CD6">
        <w:t>at</w:t>
      </w:r>
      <w:r w:rsidR="002C3A56">
        <w:t xml:space="preserve"> </w:t>
      </w:r>
      <w:r>
        <w:t>3</w:t>
      </w:r>
      <w:r w:rsidRPr="00CF273E">
        <w:t>0 June</w:t>
      </w:r>
      <w:r>
        <w:t xml:space="preserve"> </w:t>
      </w:r>
      <w:r w:rsidRPr="00CF273E">
        <w:t>201</w:t>
      </w:r>
      <w:r w:rsidR="004A5D72">
        <w:t>7</w:t>
      </w:r>
      <w:r w:rsidRPr="00CF273E">
        <w:t>, the Courts Council</w:t>
      </w:r>
      <w:r>
        <w:t xml:space="preserve"> </w:t>
      </w:r>
      <w:r w:rsidRPr="00CF273E">
        <w:t>ha</w:t>
      </w:r>
      <w:r w:rsidR="002C3A56">
        <w:t>d</w:t>
      </w:r>
      <w:r w:rsidRPr="00CF273E">
        <w:t xml:space="preserve"> one appointed member.</w:t>
      </w:r>
    </w:p>
    <w:p w:rsidR="00A10379" w:rsidRPr="00CF273E" w:rsidRDefault="00A10379" w:rsidP="00A10379"/>
    <w:p w:rsidR="00A10379" w:rsidRPr="00CF273E" w:rsidRDefault="00A10379" w:rsidP="00A10379">
      <w:r w:rsidRPr="00CF273E">
        <w:t xml:space="preserve">The Courts </w:t>
      </w:r>
      <w:r w:rsidRPr="00941A82">
        <w:t xml:space="preserve">Council </w:t>
      </w:r>
      <w:r w:rsidR="0073781E" w:rsidRPr="00941A82">
        <w:t>is responsible for</w:t>
      </w:r>
      <w:r w:rsidRPr="00941A82">
        <w:t xml:space="preserve"> the</w:t>
      </w:r>
      <w:r w:rsidRPr="00CF273E">
        <w:t xml:space="preserve"> general</w:t>
      </w:r>
      <w:r>
        <w:t xml:space="preserve"> </w:t>
      </w:r>
      <w:r w:rsidRPr="00CF273E">
        <w:t>direction and superintendence of CSV and, subject to the</w:t>
      </w:r>
      <w:r>
        <w:t xml:space="preserve"> </w:t>
      </w:r>
      <w:r w:rsidR="00290B62">
        <w:t>CSV</w:t>
      </w:r>
      <w:r w:rsidR="004A5D72" w:rsidRPr="00CF273E">
        <w:t xml:space="preserve"> Act</w:t>
      </w:r>
      <w:r w:rsidRPr="00CF273E">
        <w:t>,</w:t>
      </w:r>
      <w:r>
        <w:t xml:space="preserve"> </w:t>
      </w:r>
      <w:r w:rsidRPr="00CF273E">
        <w:t>may perform the</w:t>
      </w:r>
      <w:r>
        <w:t xml:space="preserve"> </w:t>
      </w:r>
      <w:r w:rsidRPr="00CF273E">
        <w:t>functions and exercise the powers of CSV. In addition, the Courts Council has the</w:t>
      </w:r>
      <w:r>
        <w:t xml:space="preserve"> </w:t>
      </w:r>
      <w:r w:rsidRPr="00CF273E">
        <w:t>following functions and</w:t>
      </w:r>
      <w:r>
        <w:t xml:space="preserve"> </w:t>
      </w:r>
      <w:r w:rsidR="004A5D72">
        <w:t>powers.</w:t>
      </w:r>
    </w:p>
    <w:p w:rsidR="00A10379" w:rsidRPr="00CF273E" w:rsidRDefault="00A10379" w:rsidP="00A10379"/>
    <w:p w:rsidR="00A10379" w:rsidRDefault="004A5D72" w:rsidP="00F00065">
      <w:pPr>
        <w:pStyle w:val="ListBullet"/>
      </w:pPr>
      <w:r>
        <w:t>T</w:t>
      </w:r>
      <w:r w:rsidR="00A10379">
        <w:t>o d</w:t>
      </w:r>
      <w:r w:rsidR="00A10379" w:rsidRPr="00CF273E">
        <w:t>irect the strategy, govern</w:t>
      </w:r>
      <w:r w:rsidR="008827CA">
        <w:t>ance and risk management of CSV</w:t>
      </w:r>
      <w:r>
        <w:t>.</w:t>
      </w:r>
    </w:p>
    <w:p w:rsidR="00A10379" w:rsidRPr="00CF273E" w:rsidRDefault="004A5D72" w:rsidP="00F00065">
      <w:pPr>
        <w:pStyle w:val="ListBullet"/>
      </w:pPr>
      <w:r>
        <w:t>T</w:t>
      </w:r>
      <w:r w:rsidR="00A10379">
        <w:t>o a</w:t>
      </w:r>
      <w:r w:rsidR="00A10379" w:rsidRPr="00CF273E">
        <w:t>ppoint the</w:t>
      </w:r>
      <w:r w:rsidR="00A10379">
        <w:t xml:space="preserve"> </w:t>
      </w:r>
      <w:r>
        <w:t xml:space="preserve">CSV </w:t>
      </w:r>
      <w:r w:rsidR="00A10379" w:rsidRPr="00CF273E">
        <w:t>CEO</w:t>
      </w:r>
      <w:bookmarkStart w:id="6" w:name="ReturnHere"/>
      <w:bookmarkEnd w:id="6"/>
      <w:r>
        <w:t>.</w:t>
      </w:r>
    </w:p>
    <w:p w:rsidR="00A10379" w:rsidRPr="00CF273E" w:rsidRDefault="004A5D72" w:rsidP="00F00065">
      <w:pPr>
        <w:pStyle w:val="ListBullet"/>
      </w:pPr>
      <w:r>
        <w:t>T</w:t>
      </w:r>
      <w:r w:rsidR="00A10379">
        <w:t>o a</w:t>
      </w:r>
      <w:r w:rsidR="00A10379" w:rsidRPr="00CF273E">
        <w:t>ppoint the</w:t>
      </w:r>
      <w:r w:rsidR="00A10379">
        <w:t xml:space="preserve"> </w:t>
      </w:r>
      <w:r w:rsidR="00A10379" w:rsidRPr="00CF273E">
        <w:t>Court CEO for each jurisdiction on the recommendation of the relevant Head</w:t>
      </w:r>
      <w:r w:rsidR="00A10379">
        <w:t xml:space="preserve"> </w:t>
      </w:r>
      <w:r w:rsidR="00A10379" w:rsidRPr="00CF273E">
        <w:t xml:space="preserve">of </w:t>
      </w:r>
      <w:r w:rsidR="008827CA">
        <w:t>Jurisdiction</w:t>
      </w:r>
      <w:r>
        <w:t>.</w:t>
      </w:r>
    </w:p>
    <w:p w:rsidR="00A10379" w:rsidRPr="00CF273E" w:rsidRDefault="004A5D72" w:rsidP="00F00065">
      <w:pPr>
        <w:pStyle w:val="ListBullet"/>
        <w:spacing w:after="0"/>
      </w:pPr>
      <w:r>
        <w:t>A</w:t>
      </w:r>
      <w:r w:rsidR="00A10379" w:rsidRPr="00CF273E">
        <w:t>ny other functions that are conferred on the Courts Council</w:t>
      </w:r>
      <w:r w:rsidR="00A10379">
        <w:t xml:space="preserve"> </w:t>
      </w:r>
      <w:r w:rsidR="00A10379" w:rsidRPr="00CF273E">
        <w:t>by the</w:t>
      </w:r>
      <w:r w:rsidR="00A10379">
        <w:t xml:space="preserve"> </w:t>
      </w:r>
      <w:r w:rsidR="00290B62">
        <w:t>CSV</w:t>
      </w:r>
      <w:r w:rsidRPr="00CF273E">
        <w:t xml:space="preserve"> Act</w:t>
      </w:r>
      <w:r w:rsidR="00CA7A01">
        <w:t>,</w:t>
      </w:r>
      <w:r w:rsidRPr="00CF273E">
        <w:t xml:space="preserve"> </w:t>
      </w:r>
      <w:r w:rsidR="00A10379" w:rsidRPr="00CF273E">
        <w:t>or any other Act.</w:t>
      </w:r>
    </w:p>
    <w:p w:rsidR="00CF273E" w:rsidRPr="00CF273E" w:rsidRDefault="00CF273E" w:rsidP="00AC435A"/>
    <w:p w:rsidR="00CF273E" w:rsidRPr="00CF273E" w:rsidRDefault="00AC435A" w:rsidP="00AC435A">
      <w:pPr>
        <w:pStyle w:val="Heading3"/>
      </w:pPr>
      <w:r w:rsidRPr="00CF273E">
        <w:t>Courts</w:t>
      </w:r>
      <w:r>
        <w:t xml:space="preserve"> </w:t>
      </w:r>
      <w:r w:rsidRPr="00CF273E">
        <w:t>Council</w:t>
      </w:r>
      <w:r>
        <w:t xml:space="preserve"> </w:t>
      </w:r>
      <w:r w:rsidRPr="00CF273E">
        <w:t>Members</w:t>
      </w:r>
    </w:p>
    <w:p w:rsidR="00A10379" w:rsidRPr="00AC435A" w:rsidRDefault="00A10379" w:rsidP="00A10379">
      <w:pPr>
        <w:spacing w:after="60"/>
        <w:rPr>
          <w:b/>
        </w:rPr>
      </w:pPr>
      <w:r w:rsidRPr="00AC435A">
        <w:rPr>
          <w:b/>
        </w:rPr>
        <w:t>Chief Justice of the Supreme Court of Victoria</w:t>
      </w:r>
    </w:p>
    <w:p w:rsidR="00A10379" w:rsidRPr="00CF273E" w:rsidRDefault="00A10379" w:rsidP="00A10379">
      <w:r w:rsidRPr="00CF273E">
        <w:t>The Ho</w:t>
      </w:r>
      <w:r>
        <w:t>nourable Chie</w:t>
      </w:r>
      <w:r w:rsidRPr="00CF273E">
        <w:t>f Justice Marilyn Warren AC was first appointed as a judge of the Supreme Court of Victoria in 1998</w:t>
      </w:r>
      <w:r w:rsidR="004A5D72">
        <w:t>,</w:t>
      </w:r>
      <w:r w:rsidRPr="00CF273E">
        <w:t xml:space="preserve"> and subsequently appointed Chief Justice of Victoria in 2003.</w:t>
      </w:r>
    </w:p>
    <w:p w:rsidR="00A10379" w:rsidRPr="00CF273E" w:rsidRDefault="00A10379" w:rsidP="00A10379"/>
    <w:p w:rsidR="00983F9B" w:rsidRPr="00AC435A" w:rsidRDefault="00983F9B" w:rsidP="00983F9B">
      <w:pPr>
        <w:spacing w:after="60"/>
        <w:rPr>
          <w:b/>
        </w:rPr>
      </w:pPr>
      <w:r w:rsidRPr="00AC435A">
        <w:rPr>
          <w:b/>
        </w:rPr>
        <w:t>Chief Judge of the County Court of Victoria</w:t>
      </w:r>
    </w:p>
    <w:p w:rsidR="00983F9B" w:rsidRDefault="00051966" w:rsidP="00983F9B">
      <w:r w:rsidRPr="00CF273E">
        <w:t>The Ho</w:t>
      </w:r>
      <w:r>
        <w:t xml:space="preserve">nourable Justice </w:t>
      </w:r>
      <w:r w:rsidR="00983F9B">
        <w:t xml:space="preserve">Peter Kidd </w:t>
      </w:r>
      <w:r w:rsidR="00983F9B" w:rsidRPr="00CF273E">
        <w:t>was appointed Chief Judge of the County</w:t>
      </w:r>
      <w:r w:rsidR="00983F9B">
        <w:t xml:space="preserve"> </w:t>
      </w:r>
      <w:r w:rsidR="00983F9B" w:rsidRPr="00CF273E">
        <w:t>Court</w:t>
      </w:r>
      <w:r w:rsidR="00983F9B">
        <w:t xml:space="preserve"> </w:t>
      </w:r>
      <w:r w:rsidR="00983F9B" w:rsidRPr="00CF273E">
        <w:t>of Victoria i</w:t>
      </w:r>
      <w:r w:rsidR="00983F9B">
        <w:t>n September 2015.</w:t>
      </w:r>
    </w:p>
    <w:p w:rsidR="00983F9B" w:rsidRPr="00CF273E" w:rsidRDefault="00983F9B" w:rsidP="00983F9B"/>
    <w:p w:rsidR="00983F9B" w:rsidRPr="00AC435A" w:rsidRDefault="00983F9B" w:rsidP="00983F9B">
      <w:pPr>
        <w:spacing w:after="60"/>
        <w:rPr>
          <w:b/>
        </w:rPr>
      </w:pPr>
      <w:r w:rsidRPr="00AC435A">
        <w:rPr>
          <w:b/>
        </w:rPr>
        <w:t>Chief Magistrate of the Magistrates' Court of Victoria</w:t>
      </w:r>
    </w:p>
    <w:p w:rsidR="00983F9B" w:rsidRDefault="00983F9B" w:rsidP="00983F9B">
      <w:r w:rsidRPr="00CF273E">
        <w:t xml:space="preserve">His Honour </w:t>
      </w:r>
      <w:r w:rsidR="00051966">
        <w:t>Judge</w:t>
      </w:r>
      <w:r w:rsidRPr="00CF273E">
        <w:t xml:space="preserve"> Peter</w:t>
      </w:r>
      <w:r>
        <w:t xml:space="preserve"> </w:t>
      </w:r>
      <w:r w:rsidRPr="00CF273E">
        <w:t xml:space="preserve">Lauritsen commenced in the </w:t>
      </w:r>
      <w:r w:rsidR="00051966">
        <w:t>role</w:t>
      </w:r>
      <w:r w:rsidR="00051966" w:rsidRPr="00CF273E">
        <w:t xml:space="preserve"> </w:t>
      </w:r>
      <w:r w:rsidRPr="00CF273E">
        <w:t>of Chief Magistrate on 29 November 2012, after being</w:t>
      </w:r>
      <w:r>
        <w:t xml:space="preserve"> </w:t>
      </w:r>
      <w:r w:rsidRPr="00CF273E">
        <w:t xml:space="preserve">first appointed </w:t>
      </w:r>
      <w:r w:rsidR="002160F4">
        <w:t>as a M</w:t>
      </w:r>
      <w:r w:rsidRPr="00CF273E">
        <w:t>agistrate in 1989.</w:t>
      </w:r>
    </w:p>
    <w:p w:rsidR="00983F9B" w:rsidRPr="00CF273E" w:rsidRDefault="00983F9B" w:rsidP="00983F9B"/>
    <w:p w:rsidR="00A10379" w:rsidRPr="00AC435A" w:rsidRDefault="00A10379" w:rsidP="00A10379">
      <w:pPr>
        <w:spacing w:after="60"/>
        <w:rPr>
          <w:b/>
        </w:rPr>
      </w:pPr>
      <w:r w:rsidRPr="00AC435A">
        <w:rPr>
          <w:b/>
        </w:rPr>
        <w:t>President, Victorian Civil and Administrative Tribunal</w:t>
      </w:r>
    </w:p>
    <w:p w:rsidR="00A10379" w:rsidRDefault="00A10379" w:rsidP="00A10379">
      <w:r w:rsidRPr="00CF273E">
        <w:t>The Honourable Justice Gregory Garde AO RFD was appointed as a judge of the Supreme Court of Victoria and</w:t>
      </w:r>
      <w:r>
        <w:t xml:space="preserve"> </w:t>
      </w:r>
      <w:r w:rsidRPr="00CF273E">
        <w:t>President of the Victorian Civil</w:t>
      </w:r>
      <w:r>
        <w:t xml:space="preserve"> </w:t>
      </w:r>
      <w:r w:rsidRPr="00CF273E">
        <w:t>and Administrative Tribunal</w:t>
      </w:r>
      <w:r>
        <w:t xml:space="preserve"> </w:t>
      </w:r>
      <w:r w:rsidRPr="00CF273E">
        <w:t>in</w:t>
      </w:r>
      <w:r>
        <w:t xml:space="preserve"> </w:t>
      </w:r>
      <w:r w:rsidRPr="00CF273E">
        <w:t>2012.</w:t>
      </w:r>
    </w:p>
    <w:p w:rsidR="00A10379" w:rsidRPr="00CF273E" w:rsidRDefault="00A10379" w:rsidP="00A10379"/>
    <w:p w:rsidR="00983F9B" w:rsidRPr="002D12CC" w:rsidRDefault="00983F9B" w:rsidP="00983F9B">
      <w:pPr>
        <w:spacing w:after="60"/>
        <w:rPr>
          <w:b/>
        </w:rPr>
      </w:pPr>
      <w:r w:rsidRPr="002D12CC">
        <w:rPr>
          <w:b/>
        </w:rPr>
        <w:t>State Coroner, Coroners Court of Victoria</w:t>
      </w:r>
    </w:p>
    <w:p w:rsidR="002160F4" w:rsidRDefault="00983F9B" w:rsidP="00983F9B">
      <w:r>
        <w:t xml:space="preserve">Her Honour Judge Sara Hinchey was appointed as a Judge of </w:t>
      </w:r>
      <w:r w:rsidR="002160F4">
        <w:t>the County Court in May 2015, and</w:t>
      </w:r>
      <w:r>
        <w:t xml:space="preserve"> was appointed as State Coroner on 15 December 2015.</w:t>
      </w:r>
      <w:r w:rsidR="002160F4" w:rsidRPr="002160F4">
        <w:t xml:space="preserve"> </w:t>
      </w:r>
    </w:p>
    <w:p w:rsidR="00A10379" w:rsidRPr="00CF273E" w:rsidRDefault="00A10379" w:rsidP="00A10379"/>
    <w:p w:rsidR="00A10379" w:rsidRPr="00AC435A" w:rsidRDefault="00A10379" w:rsidP="00A10379">
      <w:pPr>
        <w:spacing w:after="60"/>
        <w:rPr>
          <w:b/>
        </w:rPr>
      </w:pPr>
      <w:r w:rsidRPr="00AC435A">
        <w:rPr>
          <w:b/>
        </w:rPr>
        <w:t>President of the Children's Court of Victoria</w:t>
      </w:r>
    </w:p>
    <w:p w:rsidR="00A10379" w:rsidRPr="00CF273E" w:rsidRDefault="00A10379" w:rsidP="00A10379">
      <w:r w:rsidRPr="00CF273E">
        <w:t>Her Honour Judge Amanda Chambers was appointed</w:t>
      </w:r>
      <w:r>
        <w:t xml:space="preserve"> </w:t>
      </w:r>
      <w:r w:rsidRPr="00CF273E">
        <w:t>a</w:t>
      </w:r>
      <w:r w:rsidR="006630C3">
        <w:t>s a</w:t>
      </w:r>
      <w:r w:rsidRPr="00CF273E">
        <w:t xml:space="preserve"> judge of the County Court of Victoria</w:t>
      </w:r>
      <w:r>
        <w:t xml:space="preserve"> </w:t>
      </w:r>
      <w:r w:rsidRPr="00CF273E">
        <w:t>and President</w:t>
      </w:r>
      <w:r>
        <w:t xml:space="preserve"> </w:t>
      </w:r>
      <w:r w:rsidRPr="00CF273E">
        <w:t xml:space="preserve">of the Children's Court of Victoria on 9 June 2015. </w:t>
      </w:r>
    </w:p>
    <w:p w:rsidR="00A10379" w:rsidRPr="00CF273E" w:rsidRDefault="00A10379" w:rsidP="00A10379"/>
    <w:p w:rsidR="00983F9B" w:rsidRPr="00AC435A" w:rsidRDefault="00983F9B" w:rsidP="004F0DCF">
      <w:pPr>
        <w:keepNext/>
        <w:keepLines/>
        <w:spacing w:after="120"/>
        <w:rPr>
          <w:b/>
        </w:rPr>
      </w:pPr>
      <w:r w:rsidRPr="00AC435A">
        <w:rPr>
          <w:b/>
        </w:rPr>
        <w:lastRenderedPageBreak/>
        <w:t>Independent Member</w:t>
      </w:r>
    </w:p>
    <w:p w:rsidR="00983F9B" w:rsidRPr="00CF273E" w:rsidRDefault="00983F9B" w:rsidP="004F0DCF">
      <w:pPr>
        <w:keepNext/>
        <w:keepLines/>
      </w:pPr>
      <w:r w:rsidRPr="00CF273E">
        <w:t>Dr Philip Williams AM heads the legal</w:t>
      </w:r>
      <w:r>
        <w:t xml:space="preserve"> </w:t>
      </w:r>
      <w:r w:rsidRPr="00CF273E">
        <w:t>and</w:t>
      </w:r>
      <w:r>
        <w:t xml:space="preserve"> </w:t>
      </w:r>
      <w:r w:rsidRPr="00CF273E">
        <w:t>competition team of Frontier Economics (Australia).</w:t>
      </w:r>
      <w:r>
        <w:t xml:space="preserve"> </w:t>
      </w:r>
      <w:r w:rsidRPr="00CF273E">
        <w:t>Dr Williams' area of expertise is the relationship between economics and the</w:t>
      </w:r>
      <w:r w:rsidR="00B81F06">
        <w:t xml:space="preserve"> law, and he is a co-author of T</w:t>
      </w:r>
      <w:r w:rsidRPr="00CF273E">
        <w:t>he Australasian Institute of Judicial</w:t>
      </w:r>
      <w:r>
        <w:t xml:space="preserve"> </w:t>
      </w:r>
      <w:r w:rsidRPr="00CF273E">
        <w:t>Administration</w:t>
      </w:r>
      <w:r w:rsidR="00B81F06">
        <w:t>’s</w:t>
      </w:r>
      <w:r w:rsidRPr="00CF273E">
        <w:t xml:space="preserve"> </w:t>
      </w:r>
      <w:r w:rsidRPr="00B81F06">
        <w:rPr>
          <w:i/>
        </w:rPr>
        <w:t>Rep</w:t>
      </w:r>
      <w:r w:rsidR="002160F4" w:rsidRPr="00B81F06">
        <w:rPr>
          <w:i/>
        </w:rPr>
        <w:t>ort o</w:t>
      </w:r>
      <w:r w:rsidR="00F07798">
        <w:rPr>
          <w:i/>
        </w:rPr>
        <w:t xml:space="preserve">n </w:t>
      </w:r>
      <w:r w:rsidR="002160F4" w:rsidRPr="00B81F06">
        <w:rPr>
          <w:i/>
        </w:rPr>
        <w:t>Court Governance</w:t>
      </w:r>
      <w:r w:rsidR="002160F4">
        <w:t>.</w:t>
      </w:r>
    </w:p>
    <w:p w:rsidR="00A10379" w:rsidRPr="00CF273E" w:rsidRDefault="00A10379" w:rsidP="00A10379"/>
    <w:p w:rsidR="00CF273E" w:rsidRPr="000649CD" w:rsidRDefault="000649CD" w:rsidP="00165450">
      <w:pPr>
        <w:pStyle w:val="Heading3"/>
      </w:pPr>
      <w:r w:rsidRPr="000649CD">
        <w:t>Committees</w:t>
      </w:r>
    </w:p>
    <w:p w:rsidR="00A13400" w:rsidRPr="00CF273E" w:rsidRDefault="00A13400" w:rsidP="00A13400">
      <w:r w:rsidRPr="00CF273E">
        <w:t>The Courts Council</w:t>
      </w:r>
      <w:r>
        <w:t xml:space="preserve"> </w:t>
      </w:r>
      <w:r w:rsidRPr="00CF273E">
        <w:t>has established seven</w:t>
      </w:r>
      <w:r>
        <w:t xml:space="preserve"> </w:t>
      </w:r>
      <w:r w:rsidRPr="00CF273E">
        <w:t>standing committees and defined their functions and</w:t>
      </w:r>
      <w:r>
        <w:t xml:space="preserve"> </w:t>
      </w:r>
      <w:r w:rsidRPr="00CF273E">
        <w:t>procedures.</w:t>
      </w:r>
      <w:r>
        <w:t xml:space="preserve"> </w:t>
      </w:r>
      <w:r w:rsidRPr="00CF273E">
        <w:t>These committees are an important feature</w:t>
      </w:r>
      <w:r>
        <w:t xml:space="preserve"> </w:t>
      </w:r>
      <w:r w:rsidRPr="00CF273E">
        <w:t>of CSV's governance structure.</w:t>
      </w:r>
    </w:p>
    <w:p w:rsidR="00A13400" w:rsidRPr="00CF273E" w:rsidRDefault="00A13400" w:rsidP="00A13400"/>
    <w:p w:rsidR="00A13400" w:rsidRPr="00CF273E" w:rsidRDefault="00A13400" w:rsidP="00A13400">
      <w:r w:rsidRPr="00CF273E">
        <w:t>The committees consider a range of issues pivotal</w:t>
      </w:r>
      <w:r>
        <w:t xml:space="preserve"> </w:t>
      </w:r>
      <w:r w:rsidR="002160F4">
        <w:t xml:space="preserve">to CSV's operations. </w:t>
      </w:r>
      <w:r w:rsidRPr="00CF273E">
        <w:t xml:space="preserve">Committees </w:t>
      </w:r>
      <w:r w:rsidR="00B81F06">
        <w:t>meet regularly</w:t>
      </w:r>
      <w:r w:rsidR="002160F4">
        <w:t xml:space="preserve">, </w:t>
      </w:r>
      <w:r w:rsidR="00CE257A">
        <w:t>with the exception of</w:t>
      </w:r>
      <w:r w:rsidR="002160F4">
        <w:t xml:space="preserve"> the</w:t>
      </w:r>
      <w:r w:rsidRPr="00CF273E">
        <w:t xml:space="preserve"> Executive</w:t>
      </w:r>
      <w:r>
        <w:t xml:space="preserve"> </w:t>
      </w:r>
      <w:r w:rsidRPr="00CF273E">
        <w:t xml:space="preserve">Remuneration </w:t>
      </w:r>
      <w:r w:rsidR="002160F4" w:rsidRPr="00CF273E">
        <w:t xml:space="preserve">Committee </w:t>
      </w:r>
      <w:r w:rsidR="002160F4">
        <w:t xml:space="preserve">that </w:t>
      </w:r>
      <w:r w:rsidRPr="00CF273E">
        <w:t>meets as required.</w:t>
      </w:r>
    </w:p>
    <w:p w:rsidR="00A13400" w:rsidRPr="00CF273E" w:rsidRDefault="00A13400" w:rsidP="00A13400">
      <w:pPr>
        <w:pStyle w:val="Heading4"/>
      </w:pPr>
      <w:r>
        <w:t>Audit a</w:t>
      </w:r>
      <w:r w:rsidRPr="00CF273E">
        <w:t>nd Risk Portfolio Committee</w:t>
      </w:r>
    </w:p>
    <w:p w:rsidR="00A13400" w:rsidRPr="00CF273E" w:rsidRDefault="00A13400" w:rsidP="00A13400">
      <w:r w:rsidRPr="00CF273E">
        <w:t>The Audit</w:t>
      </w:r>
      <w:r>
        <w:t xml:space="preserve"> </w:t>
      </w:r>
      <w:r w:rsidRPr="00CF273E">
        <w:t xml:space="preserve">and Risk Portfolio Committee </w:t>
      </w:r>
      <w:r w:rsidR="0049469D">
        <w:t>advises</w:t>
      </w:r>
      <w:r w:rsidRPr="00CF273E">
        <w:t xml:space="preserve"> </w:t>
      </w:r>
      <w:r w:rsidR="0049469D">
        <w:t>on</w:t>
      </w:r>
      <w:r w:rsidRPr="00CF273E">
        <w:t xml:space="preserve"> the development of an internal</w:t>
      </w:r>
      <w:r>
        <w:t xml:space="preserve"> </w:t>
      </w:r>
      <w:r w:rsidRPr="00CF273E">
        <w:t>annual</w:t>
      </w:r>
      <w:r>
        <w:t xml:space="preserve"> </w:t>
      </w:r>
      <w:r w:rsidR="00EA7BEE" w:rsidRPr="00CF273E">
        <w:t xml:space="preserve">audit </w:t>
      </w:r>
      <w:r w:rsidR="00EA7BEE">
        <w:t>program; assess</w:t>
      </w:r>
      <w:r w:rsidR="0049469D">
        <w:t>es</w:t>
      </w:r>
      <w:r w:rsidRPr="00CF273E">
        <w:t xml:space="preserve"> the accuracy of the financial</w:t>
      </w:r>
      <w:r>
        <w:t xml:space="preserve"> </w:t>
      </w:r>
      <w:r w:rsidR="00EA7BEE">
        <w:t>statements;</w:t>
      </w:r>
      <w:r w:rsidRPr="00CF273E">
        <w:t xml:space="preserve"> and ensure</w:t>
      </w:r>
      <w:r w:rsidR="0049469D">
        <w:t>s</w:t>
      </w:r>
      <w:r w:rsidRPr="00CF273E">
        <w:t xml:space="preserve"> </w:t>
      </w:r>
      <w:r w:rsidR="0049469D">
        <w:t xml:space="preserve">the </w:t>
      </w:r>
      <w:r w:rsidRPr="00CF273E">
        <w:t>financial</w:t>
      </w:r>
      <w:r>
        <w:t xml:space="preserve"> </w:t>
      </w:r>
      <w:r w:rsidRPr="00CF273E">
        <w:t>systems and processes</w:t>
      </w:r>
      <w:r>
        <w:t xml:space="preserve"> </w:t>
      </w:r>
      <w:r w:rsidRPr="00CF273E">
        <w:t>of CSV are</w:t>
      </w:r>
      <w:r>
        <w:t xml:space="preserve"> </w:t>
      </w:r>
      <w:r w:rsidRPr="00CF273E">
        <w:t>consistent with</w:t>
      </w:r>
      <w:r>
        <w:t xml:space="preserve"> </w:t>
      </w:r>
      <w:r w:rsidRPr="00CF273E">
        <w:t xml:space="preserve">the requirements of </w:t>
      </w:r>
      <w:r w:rsidRPr="00A13400">
        <w:rPr>
          <w:i/>
        </w:rPr>
        <w:t xml:space="preserve">the Financial Management Act 1994 </w:t>
      </w:r>
      <w:r w:rsidRPr="00CF273E">
        <w:t xml:space="preserve">(Vic), the </w:t>
      </w:r>
      <w:r w:rsidRPr="00A13400">
        <w:rPr>
          <w:i/>
        </w:rPr>
        <w:t>Audit Act 1994</w:t>
      </w:r>
      <w:r w:rsidRPr="00CF273E">
        <w:t xml:space="preserve"> (Vic), and other legislation and prescribed requirements.</w:t>
      </w:r>
    </w:p>
    <w:p w:rsidR="00A13400" w:rsidRPr="00CF273E" w:rsidRDefault="00A13400" w:rsidP="00A13400"/>
    <w:p w:rsidR="00A13400" w:rsidRPr="00CF273E" w:rsidRDefault="00A13400" w:rsidP="00A13400">
      <w:r w:rsidRPr="00CF273E">
        <w:t>In accordance with the Financial</w:t>
      </w:r>
      <w:r>
        <w:t xml:space="preserve"> </w:t>
      </w:r>
      <w:r w:rsidRPr="00CF273E">
        <w:t xml:space="preserve">Reporting Directions under the </w:t>
      </w:r>
      <w:r w:rsidRPr="0049469D">
        <w:t>Financial Management Act,</w:t>
      </w:r>
      <w:r>
        <w:t xml:space="preserve"> </w:t>
      </w:r>
      <w:r w:rsidR="00CE257A">
        <w:t xml:space="preserve">the </w:t>
      </w:r>
      <w:r w:rsidRPr="00CF273E">
        <w:t>memb</w:t>
      </w:r>
      <w:r>
        <w:t xml:space="preserve">ers of the committee during </w:t>
      </w:r>
      <w:r w:rsidR="00CE257A">
        <w:t xml:space="preserve">the </w:t>
      </w:r>
      <w:r w:rsidR="00B81F06">
        <w:t>2016-17</w:t>
      </w:r>
      <w:r w:rsidRPr="00CF273E">
        <w:t xml:space="preserve"> </w:t>
      </w:r>
      <w:r w:rsidR="00CE257A">
        <w:t xml:space="preserve">financial year </w:t>
      </w:r>
      <w:r w:rsidR="0049469D">
        <w:t xml:space="preserve">are listed below. </w:t>
      </w:r>
    </w:p>
    <w:p w:rsidR="00CF273E" w:rsidRPr="00CF273E" w:rsidRDefault="00CF273E" w:rsidP="00602AD1"/>
    <w:p w:rsidR="00284D9C" w:rsidRDefault="00284D9C" w:rsidP="004F0DCF">
      <w:pPr>
        <w:pStyle w:val="ListBullet"/>
        <w:tabs>
          <w:tab w:val="left" w:pos="4536"/>
        </w:tabs>
      </w:pPr>
      <w:r>
        <w:t>Stewart Leslie</w:t>
      </w:r>
      <w:r w:rsidRPr="00760A4C">
        <w:tab/>
      </w:r>
      <w:r>
        <w:t>Chair, Independent Member</w:t>
      </w:r>
    </w:p>
    <w:p w:rsidR="00B81F06" w:rsidRDefault="00B81F06" w:rsidP="004F0DCF">
      <w:pPr>
        <w:pStyle w:val="ListBullet"/>
        <w:tabs>
          <w:tab w:val="left" w:pos="4536"/>
        </w:tabs>
      </w:pPr>
      <w:r>
        <w:t>Dr Philip Williams</w:t>
      </w:r>
      <w:r>
        <w:tab/>
        <w:t>Independent Member, Courts Council</w:t>
      </w:r>
    </w:p>
    <w:p w:rsidR="00284D9C" w:rsidRDefault="00DD1E03" w:rsidP="004F0DCF">
      <w:pPr>
        <w:pStyle w:val="ListBullet"/>
        <w:tabs>
          <w:tab w:val="left" w:pos="4536"/>
        </w:tabs>
      </w:pPr>
      <w:r>
        <w:t xml:space="preserve">The Honourable </w:t>
      </w:r>
      <w:r w:rsidR="00284D9C">
        <w:t>Justice Peter Almond</w:t>
      </w:r>
      <w:r w:rsidR="00284D9C" w:rsidRPr="00760A4C">
        <w:tab/>
      </w:r>
      <w:r w:rsidR="00284D9C">
        <w:t>Supreme Court of Victoria</w:t>
      </w:r>
    </w:p>
    <w:p w:rsidR="00284D9C" w:rsidRDefault="00DD1E03" w:rsidP="004F0DCF">
      <w:pPr>
        <w:pStyle w:val="ListBullet"/>
        <w:tabs>
          <w:tab w:val="left" w:pos="4536"/>
        </w:tabs>
      </w:pPr>
      <w:r>
        <w:t xml:space="preserve">His Honour </w:t>
      </w:r>
      <w:r w:rsidR="00284D9C">
        <w:t>Judge Paul Lacava</w:t>
      </w:r>
      <w:r w:rsidR="00284D9C" w:rsidRPr="00760A4C">
        <w:tab/>
      </w:r>
      <w:r w:rsidR="00284D9C">
        <w:t>County Court of Victoria</w:t>
      </w:r>
    </w:p>
    <w:p w:rsidR="00284D9C" w:rsidRDefault="00284D9C" w:rsidP="004F0DCF">
      <w:pPr>
        <w:pStyle w:val="ListBullet"/>
        <w:tabs>
          <w:tab w:val="left" w:pos="4536"/>
        </w:tabs>
      </w:pPr>
      <w:r>
        <w:t>Margaret Salter</w:t>
      </w:r>
      <w:r>
        <w:tab/>
        <w:t>Independent Member</w:t>
      </w:r>
    </w:p>
    <w:p w:rsidR="00284D9C" w:rsidRDefault="00284D9C" w:rsidP="004F0DCF">
      <w:pPr>
        <w:pStyle w:val="ListBullet"/>
        <w:tabs>
          <w:tab w:val="left" w:pos="4536"/>
        </w:tabs>
      </w:pPr>
      <w:r>
        <w:t>Megan Boston</w:t>
      </w:r>
      <w:r>
        <w:tab/>
        <w:t>Independent Member</w:t>
      </w:r>
    </w:p>
    <w:p w:rsidR="00CF273E" w:rsidRPr="00493F0C" w:rsidRDefault="00493F0C" w:rsidP="00F00065">
      <w:pPr>
        <w:pStyle w:val="Heading4"/>
      </w:pPr>
      <w:r w:rsidRPr="00493F0C">
        <w:t>Assets</w:t>
      </w:r>
      <w:r w:rsidR="00A13400">
        <w:t xml:space="preserve"> and Security</w:t>
      </w:r>
      <w:r w:rsidRPr="00493F0C">
        <w:t xml:space="preserve"> Portfolio Committee</w:t>
      </w:r>
    </w:p>
    <w:p w:rsidR="00A13400" w:rsidRPr="006A10B3" w:rsidRDefault="00A13400" w:rsidP="00F00065">
      <w:r>
        <w:t>The Assets and</w:t>
      </w:r>
      <w:r w:rsidRPr="006A10B3">
        <w:t xml:space="preserve"> Security Portfolio Committee provides oversight to the strategic direction and management of property</w:t>
      </w:r>
      <w:r w:rsidR="00CE257A">
        <w:t>,</w:t>
      </w:r>
      <w:r w:rsidRPr="006A10B3">
        <w:t xml:space="preserve"> assets, accommo</w:t>
      </w:r>
      <w:r w:rsidR="0094496E">
        <w:t>dation requirements, facilities</w:t>
      </w:r>
      <w:r w:rsidRPr="006A10B3">
        <w:t xml:space="preserve"> management and capital works programs across CSV.</w:t>
      </w:r>
    </w:p>
    <w:p w:rsidR="00CF273E" w:rsidRPr="00CF273E" w:rsidRDefault="00493F0C" w:rsidP="00F00065">
      <w:pPr>
        <w:pStyle w:val="Heading4"/>
      </w:pPr>
      <w:r>
        <w:t>CBD</w:t>
      </w:r>
      <w:r w:rsidRPr="00CF273E">
        <w:t xml:space="preserve"> Major Assets Strategic Planning Committee</w:t>
      </w:r>
    </w:p>
    <w:p w:rsidR="00CF273E" w:rsidRPr="00CF273E" w:rsidRDefault="00CF273E" w:rsidP="00F00065">
      <w:r w:rsidRPr="00CF273E">
        <w:t>The CBD Major Assets Strategic Planning Committee provides</w:t>
      </w:r>
      <w:r w:rsidR="001F6D68">
        <w:t xml:space="preserve"> </w:t>
      </w:r>
      <w:r w:rsidRPr="00CF273E">
        <w:t xml:space="preserve">oversight in the planning and development of a comprehensive </w:t>
      </w:r>
      <w:r w:rsidRPr="00B81F06">
        <w:t>CBD Legal</w:t>
      </w:r>
      <w:r w:rsidR="001F6D68" w:rsidRPr="00B81F06">
        <w:t xml:space="preserve"> </w:t>
      </w:r>
      <w:r w:rsidR="00B81F06">
        <w:t>Precinct asset s</w:t>
      </w:r>
      <w:r w:rsidR="00B81F06" w:rsidRPr="00B81F06">
        <w:t>trategy</w:t>
      </w:r>
      <w:r w:rsidR="00B81F06">
        <w:t>.</w:t>
      </w:r>
    </w:p>
    <w:p w:rsidR="00A13400" w:rsidRPr="00CF273E" w:rsidRDefault="00A13400" w:rsidP="00F00065">
      <w:pPr>
        <w:pStyle w:val="Heading4"/>
      </w:pPr>
      <w:r w:rsidRPr="00CF273E">
        <w:t>Finance Portfolio Committee</w:t>
      </w:r>
    </w:p>
    <w:p w:rsidR="00A13400" w:rsidRPr="00CF273E" w:rsidRDefault="00A13400" w:rsidP="00F00065">
      <w:r w:rsidRPr="00CF273E">
        <w:t>The Fi</w:t>
      </w:r>
      <w:r>
        <w:t>nance Portfolio Commit</w:t>
      </w:r>
      <w:r w:rsidRPr="00CF273E">
        <w:t>tee supports and advises the Courts</w:t>
      </w:r>
      <w:r>
        <w:t xml:space="preserve"> </w:t>
      </w:r>
      <w:r w:rsidRPr="00CF273E">
        <w:t>Council</w:t>
      </w:r>
      <w:r>
        <w:t xml:space="preserve"> </w:t>
      </w:r>
      <w:r w:rsidRPr="00CF273E">
        <w:t xml:space="preserve">in exercising its </w:t>
      </w:r>
      <w:r w:rsidR="00CE257A">
        <w:t xml:space="preserve">fiduciary </w:t>
      </w:r>
      <w:r w:rsidR="0073781E" w:rsidRPr="00911D1B">
        <w:t>responsibilities</w:t>
      </w:r>
      <w:r w:rsidRPr="00911D1B">
        <w:t>.</w:t>
      </w:r>
      <w:r w:rsidRPr="00CF273E">
        <w:t xml:space="preserve"> The committee assists</w:t>
      </w:r>
      <w:r>
        <w:t xml:space="preserve"> </w:t>
      </w:r>
      <w:r w:rsidRPr="00CF273E">
        <w:t xml:space="preserve">the </w:t>
      </w:r>
      <w:r w:rsidR="00B81F06">
        <w:t xml:space="preserve">Courts </w:t>
      </w:r>
      <w:r w:rsidRPr="00CF273E">
        <w:t>Council</w:t>
      </w:r>
      <w:r>
        <w:t xml:space="preserve"> </w:t>
      </w:r>
      <w:r w:rsidRPr="00CF273E">
        <w:t>in monitoring the annual</w:t>
      </w:r>
      <w:r>
        <w:t xml:space="preserve"> </w:t>
      </w:r>
      <w:r w:rsidRPr="00CF273E">
        <w:t>budget for CSV</w:t>
      </w:r>
      <w:r w:rsidR="0049469D">
        <w:t>,</w:t>
      </w:r>
      <w:r w:rsidRPr="00CF273E">
        <w:t xml:space="preserve"> ensuring transparency o</w:t>
      </w:r>
      <w:r w:rsidR="0049469D">
        <w:t xml:space="preserve">f the budget, </w:t>
      </w:r>
      <w:r w:rsidRPr="00CF273E">
        <w:t>identifying budget pressures and issues requiring remediation</w:t>
      </w:r>
      <w:r w:rsidR="0049469D">
        <w:t>,</w:t>
      </w:r>
      <w:r w:rsidRPr="00CF273E">
        <w:t xml:space="preserve"> overseeing</w:t>
      </w:r>
      <w:r>
        <w:t xml:space="preserve"> </w:t>
      </w:r>
      <w:r w:rsidRPr="00CF273E">
        <w:t>the development of</w:t>
      </w:r>
      <w:r w:rsidR="000C1459">
        <w:t xml:space="preserve"> the</w:t>
      </w:r>
      <w:r w:rsidRPr="00CF273E">
        <w:t xml:space="preserve"> Expenditure Review</w:t>
      </w:r>
      <w:r>
        <w:t xml:space="preserve"> </w:t>
      </w:r>
      <w:r w:rsidR="0049469D">
        <w:t>subc</w:t>
      </w:r>
      <w:r w:rsidRPr="00CF273E">
        <w:t>ommittee bids</w:t>
      </w:r>
      <w:r w:rsidR="0049469D">
        <w:t>,</w:t>
      </w:r>
      <w:r w:rsidRPr="00CF273E">
        <w:t xml:space="preserve"> and </w:t>
      </w:r>
      <w:r w:rsidR="0049469D">
        <w:t xml:space="preserve">in </w:t>
      </w:r>
      <w:r w:rsidRPr="00CF273E">
        <w:t>the use of contingencies.</w:t>
      </w:r>
    </w:p>
    <w:p w:rsidR="00A13400" w:rsidRPr="00CF273E" w:rsidRDefault="00A13400" w:rsidP="00F00065"/>
    <w:p w:rsidR="00A13400" w:rsidRDefault="00A13400" w:rsidP="004F0DCF">
      <w:pPr>
        <w:pStyle w:val="Heading4"/>
      </w:pPr>
      <w:r>
        <w:lastRenderedPageBreak/>
        <w:t>Human Resources Portfolio Committee</w:t>
      </w:r>
    </w:p>
    <w:p w:rsidR="00A13400" w:rsidRPr="00CF273E" w:rsidRDefault="00A13400" w:rsidP="004F0DCF">
      <w:pPr>
        <w:keepNext/>
        <w:keepLines/>
      </w:pPr>
      <w:r>
        <w:rPr>
          <w:color w:val="000000"/>
        </w:rPr>
        <w:t xml:space="preserve">The </w:t>
      </w:r>
      <w:r w:rsidR="005D4A53">
        <w:rPr>
          <w:color w:val="000000"/>
        </w:rPr>
        <w:t>Human Resources</w:t>
      </w:r>
      <w:r>
        <w:rPr>
          <w:color w:val="000000"/>
        </w:rPr>
        <w:t xml:space="preserve"> Portfolio Committee </w:t>
      </w:r>
      <w:r w:rsidR="00C0673E">
        <w:rPr>
          <w:color w:val="000000"/>
        </w:rPr>
        <w:t>advis</w:t>
      </w:r>
      <w:r w:rsidR="0049469D">
        <w:rPr>
          <w:color w:val="000000"/>
        </w:rPr>
        <w:t>es</w:t>
      </w:r>
      <w:r>
        <w:rPr>
          <w:color w:val="000000"/>
        </w:rPr>
        <w:t xml:space="preserve"> the Courts Council </w:t>
      </w:r>
      <w:r w:rsidR="0049469D">
        <w:rPr>
          <w:color w:val="000000"/>
        </w:rPr>
        <w:t>o</w:t>
      </w:r>
      <w:r w:rsidR="00B52CAB">
        <w:rPr>
          <w:color w:val="000000"/>
        </w:rPr>
        <w:t>n human resource</w:t>
      </w:r>
      <w:r w:rsidR="0094496E">
        <w:rPr>
          <w:color w:val="000000"/>
        </w:rPr>
        <w:t>s</w:t>
      </w:r>
      <w:r w:rsidR="00B52CAB">
        <w:rPr>
          <w:color w:val="000000"/>
        </w:rPr>
        <w:t xml:space="preserve"> (HR) policy</w:t>
      </w:r>
      <w:r w:rsidR="00464E9C">
        <w:rPr>
          <w:color w:val="000000"/>
        </w:rPr>
        <w:t xml:space="preserve"> </w:t>
      </w:r>
      <w:r w:rsidRPr="008B0B9B">
        <w:t>development and review</w:t>
      </w:r>
      <w:r w:rsidR="000C1459">
        <w:t>;</w:t>
      </w:r>
      <w:r>
        <w:rPr>
          <w:color w:val="82C0FF"/>
        </w:rPr>
        <w:t xml:space="preserve"> </w:t>
      </w:r>
      <w:r>
        <w:rPr>
          <w:color w:val="000000"/>
        </w:rPr>
        <w:t>and provides comment, strategic guidance and recommendations on matters considered by the committee at its regular meetings.</w:t>
      </w:r>
    </w:p>
    <w:p w:rsidR="00A13400" w:rsidRPr="00CF273E" w:rsidRDefault="00A13400" w:rsidP="00F00065">
      <w:pPr>
        <w:pStyle w:val="Heading4"/>
      </w:pPr>
      <w:r w:rsidRPr="00CF273E">
        <w:t>Information Technology Portfolio Committee</w:t>
      </w:r>
    </w:p>
    <w:p w:rsidR="00A13400" w:rsidRPr="00CF273E" w:rsidRDefault="00A13400" w:rsidP="00F00065">
      <w:r w:rsidRPr="00CF273E">
        <w:t xml:space="preserve">The </w:t>
      </w:r>
      <w:r w:rsidR="005D4A53">
        <w:t>Information Technology</w:t>
      </w:r>
      <w:r w:rsidRPr="00CF273E">
        <w:t xml:space="preserve"> Portfolio Committee ensures </w:t>
      </w:r>
      <w:r w:rsidR="00594BD9">
        <w:t>that</w:t>
      </w:r>
      <w:r w:rsidR="007C621B" w:rsidRPr="00CF273E">
        <w:t xml:space="preserve"> </w:t>
      </w:r>
      <w:r w:rsidRPr="00CF273E">
        <w:t>ongoing and future investment</w:t>
      </w:r>
      <w:r>
        <w:t xml:space="preserve"> </w:t>
      </w:r>
      <w:r w:rsidRPr="00CF273E">
        <w:t>in technology-based products and sol</w:t>
      </w:r>
      <w:r>
        <w:t>u</w:t>
      </w:r>
      <w:r w:rsidRPr="00CF273E">
        <w:t>tions are effective within</w:t>
      </w:r>
      <w:r>
        <w:t xml:space="preserve"> </w:t>
      </w:r>
      <w:r w:rsidRPr="00CF273E">
        <w:t>the respective jurisdiction or business</w:t>
      </w:r>
      <w:r>
        <w:t xml:space="preserve"> </w:t>
      </w:r>
      <w:r w:rsidRPr="00CF273E">
        <w:t>unit.</w:t>
      </w:r>
    </w:p>
    <w:p w:rsidR="00A13400" w:rsidRPr="00CF273E" w:rsidRDefault="00A13400" w:rsidP="00F00065">
      <w:pPr>
        <w:pStyle w:val="Heading4"/>
      </w:pPr>
      <w:r w:rsidRPr="00CF273E">
        <w:t>Executive Remuneration Committee</w:t>
      </w:r>
    </w:p>
    <w:p w:rsidR="00A13400" w:rsidRPr="00CF273E" w:rsidRDefault="00A13400" w:rsidP="00F00065">
      <w:r w:rsidRPr="00CF273E">
        <w:t>The Executive Remuneration Committee meets as required to consider</w:t>
      </w:r>
      <w:r>
        <w:t xml:space="preserve"> </w:t>
      </w:r>
      <w:r w:rsidRPr="00CF273E">
        <w:t>matters relat</w:t>
      </w:r>
      <w:r w:rsidR="007C621B">
        <w:t>ing</w:t>
      </w:r>
      <w:r w:rsidRPr="00CF273E">
        <w:t xml:space="preserve"> to executive remuneration, performance</w:t>
      </w:r>
      <w:r>
        <w:t xml:space="preserve"> </w:t>
      </w:r>
      <w:r w:rsidRPr="00CF273E">
        <w:t>and governance</w:t>
      </w:r>
      <w:r>
        <w:t xml:space="preserve"> </w:t>
      </w:r>
      <w:r w:rsidRPr="00CF273E">
        <w:t>for the assessment and approval</w:t>
      </w:r>
      <w:r>
        <w:t xml:space="preserve"> </w:t>
      </w:r>
      <w:r w:rsidRPr="00CF273E">
        <w:t>of executive</w:t>
      </w:r>
      <w:r>
        <w:t xml:space="preserve"> </w:t>
      </w:r>
      <w:r w:rsidRPr="00CF273E">
        <w:t>salaries, terms and conditions.</w:t>
      </w:r>
    </w:p>
    <w:p w:rsidR="00CF273E" w:rsidRPr="00CF273E" w:rsidRDefault="008836AC" w:rsidP="00F00065">
      <w:pPr>
        <w:pStyle w:val="Heading2"/>
      </w:pPr>
      <w:bookmarkStart w:id="7" w:name="_Toc494978536"/>
      <w:r>
        <w:t>Senior Executive</w:t>
      </w:r>
      <w:bookmarkEnd w:id="7"/>
    </w:p>
    <w:p w:rsidR="001F6D68" w:rsidRDefault="00D77866" w:rsidP="00F00065">
      <w:pPr>
        <w:pStyle w:val="Heading3"/>
      </w:pPr>
      <w:r w:rsidRPr="00CF273E">
        <w:t>Court Services</w:t>
      </w:r>
      <w:r>
        <w:t xml:space="preserve"> </w:t>
      </w:r>
      <w:r w:rsidRPr="00CF273E">
        <w:t>Victoria Chief Executive Officer</w:t>
      </w:r>
    </w:p>
    <w:p w:rsidR="00102875" w:rsidRDefault="00594BD9" w:rsidP="00F00065">
      <w:r>
        <w:t>David Ware</w:t>
      </w:r>
      <w:r w:rsidR="00A13400" w:rsidRPr="00CF273E">
        <w:t xml:space="preserve"> was appointed as </w:t>
      </w:r>
      <w:r>
        <w:t>the CSV</w:t>
      </w:r>
      <w:r w:rsidR="00A13400" w:rsidRPr="00CF273E">
        <w:t xml:space="preserve"> CEO</w:t>
      </w:r>
      <w:r w:rsidR="005D4A53">
        <w:t xml:space="preserve"> on 30 January 2017,</w:t>
      </w:r>
      <w:r w:rsidR="00A13400" w:rsidRPr="00CF273E">
        <w:t xml:space="preserve"> by the Courts Council</w:t>
      </w:r>
      <w:r w:rsidR="005D4A53">
        <w:t>,</w:t>
      </w:r>
      <w:r w:rsidR="00A13400">
        <w:t xml:space="preserve"> </w:t>
      </w:r>
      <w:r w:rsidR="00A13400" w:rsidRPr="00CF273E">
        <w:t>under section</w:t>
      </w:r>
      <w:r w:rsidR="00A13400">
        <w:t xml:space="preserve"> 22 of the </w:t>
      </w:r>
      <w:r w:rsidR="00290B62">
        <w:t>CSV</w:t>
      </w:r>
      <w:r w:rsidR="00A13400">
        <w:t xml:space="preserve"> Act</w:t>
      </w:r>
      <w:r>
        <w:t>.</w:t>
      </w:r>
    </w:p>
    <w:p w:rsidR="00102875" w:rsidRDefault="00102875" w:rsidP="00F00065"/>
    <w:p w:rsidR="00A13400" w:rsidRPr="00CF273E" w:rsidRDefault="00594BD9" w:rsidP="00F00065">
      <w:r>
        <w:t xml:space="preserve">Brian Stevenson served as Acting </w:t>
      </w:r>
      <w:r w:rsidR="005D4A53">
        <w:t xml:space="preserve">CSV </w:t>
      </w:r>
      <w:r w:rsidR="00102875">
        <w:t xml:space="preserve">CEO from </w:t>
      </w:r>
      <w:r>
        <w:t>1</w:t>
      </w:r>
      <w:r w:rsidR="00102875">
        <w:t>6</w:t>
      </w:r>
      <w:r w:rsidR="00A13400">
        <w:t xml:space="preserve"> </w:t>
      </w:r>
      <w:r>
        <w:t>November 2016 to 29</w:t>
      </w:r>
      <w:r w:rsidR="00102875">
        <w:t xml:space="preserve"> </w:t>
      </w:r>
      <w:r>
        <w:t>January 2017</w:t>
      </w:r>
      <w:r w:rsidR="00102875">
        <w:t xml:space="preserve">, and </w:t>
      </w:r>
      <w:r>
        <w:t xml:space="preserve">Kerry Osborne was </w:t>
      </w:r>
      <w:r w:rsidR="005D4A53">
        <w:t xml:space="preserve">CSV </w:t>
      </w:r>
      <w:r>
        <w:t>CEO until 15 November 2016.</w:t>
      </w:r>
    </w:p>
    <w:p w:rsidR="00A13400" w:rsidRPr="00CF273E" w:rsidRDefault="00A13400" w:rsidP="00F00065"/>
    <w:p w:rsidR="00A13400" w:rsidRDefault="00A13400" w:rsidP="00F00065">
      <w:r w:rsidRPr="00CF273E">
        <w:t>The functions and powers</w:t>
      </w:r>
      <w:r>
        <w:t xml:space="preserve"> </w:t>
      </w:r>
      <w:r w:rsidR="00594BD9">
        <w:t xml:space="preserve">of the </w:t>
      </w:r>
      <w:r w:rsidR="005D4A53">
        <w:t xml:space="preserve">CSV </w:t>
      </w:r>
      <w:r w:rsidRPr="00CF273E">
        <w:t>CEO include</w:t>
      </w:r>
      <w:r>
        <w:t xml:space="preserve"> </w:t>
      </w:r>
      <w:r w:rsidRPr="00CF273E">
        <w:t>the management of the support services</w:t>
      </w:r>
      <w:r>
        <w:t xml:space="preserve"> </w:t>
      </w:r>
      <w:r w:rsidRPr="00CF273E">
        <w:t>and functions</w:t>
      </w:r>
      <w:r>
        <w:t xml:space="preserve"> </w:t>
      </w:r>
      <w:r w:rsidRPr="00CF273E">
        <w:t>of CSV in accordance</w:t>
      </w:r>
      <w:r>
        <w:t xml:space="preserve"> </w:t>
      </w:r>
      <w:r w:rsidRPr="00CF273E">
        <w:t>with the strategy, plan, procedures and functions of the Courts Council</w:t>
      </w:r>
      <w:r>
        <w:t xml:space="preserve">. The </w:t>
      </w:r>
      <w:r w:rsidR="005D4A53">
        <w:t xml:space="preserve">CSV </w:t>
      </w:r>
      <w:r>
        <w:t xml:space="preserve">CEO is also responsible for the appointment and </w:t>
      </w:r>
      <w:r w:rsidR="008149F2">
        <w:t>management</w:t>
      </w:r>
      <w:r>
        <w:t xml:space="preserve"> of </w:t>
      </w:r>
      <w:r w:rsidR="008149F2">
        <w:t>CSV</w:t>
      </w:r>
      <w:r>
        <w:t xml:space="preserve"> staff (other than t</w:t>
      </w:r>
      <w:r w:rsidR="00594BD9">
        <w:t>he appointment of the Court CEO</w:t>
      </w:r>
      <w:r>
        <w:t>s).</w:t>
      </w:r>
    </w:p>
    <w:p w:rsidR="000649CD" w:rsidRDefault="000649CD" w:rsidP="00F00065"/>
    <w:p w:rsidR="00667844" w:rsidRPr="00AF3522" w:rsidRDefault="00667844" w:rsidP="00667844">
      <w:pPr>
        <w:pStyle w:val="Heading3"/>
      </w:pPr>
      <w:r w:rsidRPr="00AF3522">
        <w:t>Operational Divisions</w:t>
      </w:r>
    </w:p>
    <w:p w:rsidR="00667844" w:rsidRPr="00AF3522" w:rsidRDefault="00667844" w:rsidP="00667844">
      <w:r w:rsidRPr="00AF3522">
        <w:t xml:space="preserve">CSV </w:t>
      </w:r>
      <w:r w:rsidR="00392765" w:rsidRPr="00AF3522">
        <w:t xml:space="preserve">is supported operationally by </w:t>
      </w:r>
      <w:r w:rsidR="00B7142F" w:rsidRPr="00AF3522">
        <w:t>four d</w:t>
      </w:r>
      <w:r w:rsidRPr="00AF3522">
        <w:t>ivisions.</w:t>
      </w:r>
    </w:p>
    <w:p w:rsidR="00491E64" w:rsidRPr="00AF3522" w:rsidRDefault="00491E64" w:rsidP="00667844"/>
    <w:p w:rsidR="00667844" w:rsidRPr="00AF3522" w:rsidRDefault="00594BD9" w:rsidP="00667844">
      <w:pPr>
        <w:pStyle w:val="ListBullet"/>
      </w:pPr>
      <w:r w:rsidRPr="00AF3522">
        <w:t>People, Culture and Risk Management</w:t>
      </w:r>
    </w:p>
    <w:p w:rsidR="00667844" w:rsidRPr="00AF3522" w:rsidRDefault="00667844" w:rsidP="00667844">
      <w:pPr>
        <w:pStyle w:val="ListBullet"/>
      </w:pPr>
      <w:r w:rsidRPr="00AF3522">
        <w:t xml:space="preserve">Financial Analysis, Planning and Reporting </w:t>
      </w:r>
    </w:p>
    <w:p w:rsidR="00667844" w:rsidRPr="00AF3522" w:rsidRDefault="00667844" w:rsidP="00667844">
      <w:pPr>
        <w:pStyle w:val="ListBullet"/>
      </w:pPr>
      <w:r w:rsidRPr="00AF3522">
        <w:t xml:space="preserve">Information Technology Services </w:t>
      </w:r>
    </w:p>
    <w:p w:rsidR="00667844" w:rsidRPr="00AF3522" w:rsidRDefault="00594BD9" w:rsidP="00667844">
      <w:pPr>
        <w:pStyle w:val="ListBullet"/>
      </w:pPr>
      <w:r w:rsidRPr="00AF3522">
        <w:t>Assets and Security</w:t>
      </w:r>
    </w:p>
    <w:p w:rsidR="00667844" w:rsidRPr="00AF3522" w:rsidRDefault="00667844" w:rsidP="00667844"/>
    <w:p w:rsidR="00667844" w:rsidRPr="00CF273E" w:rsidRDefault="00392765" w:rsidP="00667844">
      <w:r w:rsidRPr="00AF3522">
        <w:t>Services provided</w:t>
      </w:r>
      <w:r w:rsidR="00667844" w:rsidRPr="00AF3522">
        <w:t xml:space="preserve"> to jurisdictions and the College</w:t>
      </w:r>
      <w:r w:rsidRPr="00AF3522">
        <w:t xml:space="preserve"> include</w:t>
      </w:r>
      <w:r w:rsidR="00667844" w:rsidRPr="00CF273E">
        <w:t xml:space="preserve"> information technology</w:t>
      </w:r>
      <w:r w:rsidR="005D4A53">
        <w:t xml:space="preserve"> (IT)</w:t>
      </w:r>
      <w:r w:rsidR="00667844" w:rsidRPr="00CF273E">
        <w:t xml:space="preserve"> services, </w:t>
      </w:r>
      <w:r w:rsidR="00B52CAB">
        <w:t>HR</w:t>
      </w:r>
      <w:r w:rsidR="00667844" w:rsidRPr="00CF273E">
        <w:t>, project</w:t>
      </w:r>
      <w:r w:rsidR="00667844">
        <w:t xml:space="preserve"> </w:t>
      </w:r>
      <w:r w:rsidR="00667844" w:rsidRPr="00CF273E">
        <w:t>management, corporate finance, asset and facili</w:t>
      </w:r>
      <w:r w:rsidR="00D52A47">
        <w:t xml:space="preserve">ties management, </w:t>
      </w:r>
      <w:r w:rsidR="00AA416D">
        <w:t xml:space="preserve">and </w:t>
      </w:r>
      <w:r w:rsidR="00D52A47">
        <w:t>major projects</w:t>
      </w:r>
      <w:r w:rsidR="00667844" w:rsidRPr="00CF273E">
        <w:t xml:space="preserve"> and compliance.</w:t>
      </w:r>
    </w:p>
    <w:p w:rsidR="00667844" w:rsidRPr="00CF273E" w:rsidRDefault="00667844" w:rsidP="00667844"/>
    <w:p w:rsidR="00667844" w:rsidRPr="00CF273E" w:rsidRDefault="00667844" w:rsidP="00667844">
      <w:r w:rsidRPr="00CF273E">
        <w:t>These</w:t>
      </w:r>
      <w:r>
        <w:t xml:space="preserve"> </w:t>
      </w:r>
      <w:r w:rsidRPr="00CF273E">
        <w:t>services are essential</w:t>
      </w:r>
      <w:r>
        <w:t xml:space="preserve"> </w:t>
      </w:r>
      <w:r w:rsidRPr="00CF273E">
        <w:t>to the independence</w:t>
      </w:r>
      <w:r>
        <w:t xml:space="preserve"> </w:t>
      </w:r>
      <w:r w:rsidRPr="00CF273E">
        <w:t>of CSV and create strong foundations</w:t>
      </w:r>
      <w:r>
        <w:t xml:space="preserve"> </w:t>
      </w:r>
      <w:r w:rsidRPr="00CF273E">
        <w:t xml:space="preserve">for the </w:t>
      </w:r>
      <w:r w:rsidRPr="00EA2D28">
        <w:t>judicial independence</w:t>
      </w:r>
      <w:r w:rsidR="0073781E" w:rsidRPr="00EA2D28">
        <w:t xml:space="preserve"> in the administration of justice</w:t>
      </w:r>
      <w:r w:rsidRPr="00EA2D28">
        <w:t xml:space="preserve"> in Victoria.</w:t>
      </w:r>
    </w:p>
    <w:p w:rsidR="00667844" w:rsidRDefault="00667844" w:rsidP="00667844"/>
    <w:p w:rsidR="00667844" w:rsidRPr="00CF273E" w:rsidRDefault="00235CD6" w:rsidP="00667844">
      <w:r>
        <w:t>As at</w:t>
      </w:r>
      <w:r w:rsidR="00594BD9">
        <w:t xml:space="preserve"> 30 June 2017</w:t>
      </w:r>
      <w:r w:rsidR="00667844" w:rsidRPr="00CF273E">
        <w:t xml:space="preserve">, the </w:t>
      </w:r>
      <w:r w:rsidR="00102875">
        <w:t>heads of each d</w:t>
      </w:r>
      <w:r w:rsidR="00667844">
        <w:t xml:space="preserve">ivision </w:t>
      </w:r>
      <w:r w:rsidR="005D4A53">
        <w:t xml:space="preserve">are listed below. </w:t>
      </w:r>
    </w:p>
    <w:p w:rsidR="00667844" w:rsidRPr="00CF273E" w:rsidRDefault="00667844" w:rsidP="00667844"/>
    <w:p w:rsidR="00FF4066" w:rsidRPr="000649CD" w:rsidRDefault="00594BD9" w:rsidP="004F0DCF">
      <w:pPr>
        <w:pStyle w:val="ListBullet"/>
        <w:tabs>
          <w:tab w:val="left" w:pos="2835"/>
        </w:tabs>
      </w:pPr>
      <w:r>
        <w:t>Maria Vasilopoulos</w:t>
      </w:r>
      <w:r w:rsidR="00FF4066" w:rsidRPr="000649CD">
        <w:t xml:space="preserve"> </w:t>
      </w:r>
      <w:r w:rsidR="00FF4066" w:rsidRPr="000649CD">
        <w:tab/>
      </w:r>
      <w:r>
        <w:t xml:space="preserve">Acting Director, People, Culture and Risk Management </w:t>
      </w:r>
      <w:r w:rsidR="00FF4066">
        <w:t>(see Note 1)</w:t>
      </w:r>
    </w:p>
    <w:p w:rsidR="00FF4066" w:rsidRPr="000649CD" w:rsidRDefault="004F0DCF" w:rsidP="004F0DCF">
      <w:pPr>
        <w:pStyle w:val="ListBullet"/>
        <w:tabs>
          <w:tab w:val="left" w:pos="2835"/>
        </w:tabs>
      </w:pPr>
      <w:r>
        <w:lastRenderedPageBreak/>
        <w:t xml:space="preserve">Lisa Wills </w:t>
      </w:r>
      <w:r w:rsidR="00FF4066">
        <w:tab/>
      </w:r>
      <w:r w:rsidR="00FF4066" w:rsidRPr="000649CD">
        <w:t>Ch</w:t>
      </w:r>
      <w:r w:rsidR="00FF4066">
        <w:t>ief Finance Officer</w:t>
      </w:r>
    </w:p>
    <w:p w:rsidR="00FF4066" w:rsidRPr="000649CD" w:rsidRDefault="00FF4066" w:rsidP="004F0DCF">
      <w:pPr>
        <w:pStyle w:val="ListBullet"/>
        <w:tabs>
          <w:tab w:val="left" w:pos="2835"/>
        </w:tabs>
      </w:pPr>
      <w:r>
        <w:t>Justin Bree</w:t>
      </w:r>
      <w:r w:rsidRPr="000649CD">
        <w:tab/>
        <w:t>Chief Information Officer</w:t>
      </w:r>
    </w:p>
    <w:p w:rsidR="00FF4066" w:rsidRPr="000649CD" w:rsidRDefault="00FF4066" w:rsidP="004F0DCF">
      <w:pPr>
        <w:pStyle w:val="ListBullet"/>
        <w:tabs>
          <w:tab w:val="left" w:pos="2835"/>
        </w:tabs>
      </w:pPr>
      <w:r w:rsidRPr="000649CD">
        <w:t xml:space="preserve">Brian Stevenson </w:t>
      </w:r>
      <w:r w:rsidRPr="000649CD">
        <w:tab/>
      </w:r>
      <w:r>
        <w:t>Chief Operating Officer</w:t>
      </w:r>
    </w:p>
    <w:p w:rsidR="00667844" w:rsidRPr="00CF273E" w:rsidRDefault="00102875" w:rsidP="00A327FF">
      <w:pPr>
        <w:pStyle w:val="Notesheading"/>
      </w:pPr>
      <w:r>
        <w:t>Notes:</w:t>
      </w:r>
    </w:p>
    <w:p w:rsidR="00667844" w:rsidRDefault="00A0469A" w:rsidP="00A327FF">
      <w:pPr>
        <w:pStyle w:val="Notes"/>
      </w:pPr>
      <w:r w:rsidRPr="00A0469A">
        <w:t>1.</w:t>
      </w:r>
      <w:r>
        <w:tab/>
      </w:r>
      <w:r w:rsidR="00594BD9">
        <w:t xml:space="preserve">Gabrielle Reilly was Director of People, Culture and Risk Management until </w:t>
      </w:r>
      <w:r w:rsidR="005D4A53">
        <w:t>25 November 2016;</w:t>
      </w:r>
      <w:r w:rsidR="00CD58D9">
        <w:t xml:space="preserve"> </w:t>
      </w:r>
      <w:r w:rsidR="00AC0702">
        <w:t>Bronwyn Corr was Actin</w:t>
      </w:r>
      <w:r w:rsidR="005D4A53">
        <w:t>g Director from 21 November 2016 to 13 March 2017;</w:t>
      </w:r>
      <w:r w:rsidR="00AC0702">
        <w:t xml:space="preserve"> and Maria Vasilopoulos commenced in the role of Acting Director of People, Culture and Risk Management on 14 March 2017. </w:t>
      </w:r>
    </w:p>
    <w:p w:rsidR="00667844" w:rsidRPr="00CF273E" w:rsidRDefault="00667844" w:rsidP="00F00065"/>
    <w:p w:rsidR="00686226" w:rsidRPr="00CF273E" w:rsidRDefault="005D4A53" w:rsidP="00F00065">
      <w:pPr>
        <w:pStyle w:val="Heading3"/>
      </w:pPr>
      <w:r>
        <w:t xml:space="preserve">Court </w:t>
      </w:r>
      <w:r w:rsidR="00686226" w:rsidRPr="00CF273E">
        <w:t>Chief</w:t>
      </w:r>
      <w:r w:rsidR="00686226">
        <w:t xml:space="preserve"> </w:t>
      </w:r>
      <w:r w:rsidR="00686226" w:rsidRPr="00CF273E">
        <w:t>Executive Officers</w:t>
      </w:r>
    </w:p>
    <w:p w:rsidR="00686226" w:rsidRPr="00CF273E" w:rsidRDefault="00686226" w:rsidP="00F00065">
      <w:r w:rsidRPr="00CF273E">
        <w:t xml:space="preserve">The </w:t>
      </w:r>
      <w:r w:rsidR="005D4A53">
        <w:t xml:space="preserve">Court </w:t>
      </w:r>
      <w:r w:rsidRPr="00CF273E">
        <w:t xml:space="preserve">CEOs </w:t>
      </w:r>
      <w:r w:rsidR="005D4A53">
        <w:t>oversee the</w:t>
      </w:r>
      <w:r w:rsidRPr="00CF273E">
        <w:t xml:space="preserve"> administrative support</w:t>
      </w:r>
      <w:r>
        <w:t xml:space="preserve"> </w:t>
      </w:r>
      <w:r w:rsidRPr="00CF273E">
        <w:t>services</w:t>
      </w:r>
      <w:r>
        <w:t xml:space="preserve"> </w:t>
      </w:r>
      <w:r w:rsidRPr="00CF273E">
        <w:t>for</w:t>
      </w:r>
      <w:r>
        <w:t xml:space="preserve"> </w:t>
      </w:r>
      <w:r w:rsidRPr="00CF273E">
        <w:t>their</w:t>
      </w:r>
      <w:r>
        <w:t xml:space="preserve"> </w:t>
      </w:r>
      <w:r w:rsidRPr="00CF273E">
        <w:t>respective</w:t>
      </w:r>
      <w:r>
        <w:t xml:space="preserve"> </w:t>
      </w:r>
      <w:r w:rsidRPr="00CF273E">
        <w:t>jurisdictions</w:t>
      </w:r>
      <w:r>
        <w:t>, and pr</w:t>
      </w:r>
      <w:r w:rsidR="0051396D">
        <w:t>ovide support to the relative Head of J</w:t>
      </w:r>
      <w:r>
        <w:t>urisdiction.</w:t>
      </w:r>
    </w:p>
    <w:p w:rsidR="00686226" w:rsidRPr="00CF273E" w:rsidRDefault="00686226" w:rsidP="00F00065"/>
    <w:p w:rsidR="00686226" w:rsidRDefault="0051396D" w:rsidP="00F00065">
      <w:r>
        <w:t xml:space="preserve">Each </w:t>
      </w:r>
      <w:r w:rsidR="005D4A53">
        <w:t xml:space="preserve">Court </w:t>
      </w:r>
      <w:r w:rsidR="00686226" w:rsidRPr="00CF273E">
        <w:t>CEO is responsible to</w:t>
      </w:r>
      <w:r w:rsidR="005C4439">
        <w:t>,</w:t>
      </w:r>
      <w:r w:rsidR="00686226" w:rsidRPr="00CF273E">
        <w:t xml:space="preserve"> and must</w:t>
      </w:r>
      <w:r w:rsidR="00686226">
        <w:t xml:space="preserve"> </w:t>
      </w:r>
      <w:r w:rsidR="00686226" w:rsidRPr="00CF273E">
        <w:t>comply with</w:t>
      </w:r>
      <w:r w:rsidR="005C4439">
        <w:t>,</w:t>
      </w:r>
      <w:r w:rsidR="00686226" w:rsidRPr="00CF273E">
        <w:t xml:space="preserve"> any directions given by their</w:t>
      </w:r>
      <w:r w:rsidR="00686226">
        <w:t xml:space="preserve"> </w:t>
      </w:r>
      <w:r w:rsidR="00686226" w:rsidRPr="00CF273E">
        <w:t>Head of Jurisdiction</w:t>
      </w:r>
      <w:r w:rsidR="00686226">
        <w:t xml:space="preserve"> </w:t>
      </w:r>
      <w:r w:rsidR="00686226" w:rsidRPr="00CF273E">
        <w:t>in relation to the operations of their jurisdiction,</w:t>
      </w:r>
      <w:r w:rsidR="00686226" w:rsidRPr="005B77AA">
        <w:t xml:space="preserve"> </w:t>
      </w:r>
      <w:r w:rsidR="00686226" w:rsidRPr="00CF273E">
        <w:t>and the CSV CEO in relation to all other matters</w:t>
      </w:r>
      <w:r w:rsidR="00686226">
        <w:t>.</w:t>
      </w:r>
      <w:r w:rsidR="00CC3B82">
        <w:t xml:space="preserve"> For more information about each jurisdi</w:t>
      </w:r>
      <w:r w:rsidR="00893954">
        <w:t xml:space="preserve">ction, refer to their </w:t>
      </w:r>
      <w:r w:rsidR="00ED7712">
        <w:t xml:space="preserve">respective </w:t>
      </w:r>
      <w:r w:rsidR="00893954">
        <w:t>annual r</w:t>
      </w:r>
      <w:r w:rsidR="00CC3B82">
        <w:t>eports.</w:t>
      </w:r>
    </w:p>
    <w:p w:rsidR="00686226" w:rsidRDefault="00686226" w:rsidP="00F00065"/>
    <w:p w:rsidR="00686226" w:rsidRPr="00CF273E" w:rsidRDefault="00686226" w:rsidP="00F00065">
      <w:r w:rsidRPr="00CF273E">
        <w:t>The College</w:t>
      </w:r>
      <w:r w:rsidR="0051396D">
        <w:t xml:space="preserve"> CEO</w:t>
      </w:r>
      <w:r w:rsidRPr="00CF273E">
        <w:t xml:space="preserve"> is responsible to</w:t>
      </w:r>
      <w:r w:rsidR="005C4439">
        <w:t>,</w:t>
      </w:r>
      <w:r w:rsidRPr="00CF273E">
        <w:t xml:space="preserve"> and</w:t>
      </w:r>
      <w:r>
        <w:t xml:space="preserve"> </w:t>
      </w:r>
      <w:r w:rsidRPr="00CF273E">
        <w:t>must comply with</w:t>
      </w:r>
      <w:r w:rsidR="005C4439">
        <w:t>,</w:t>
      </w:r>
      <w:r w:rsidRPr="00CF273E">
        <w:t xml:space="preserve"> any directions given by the</w:t>
      </w:r>
      <w:r w:rsidRPr="005B77AA">
        <w:t xml:space="preserve"> </w:t>
      </w:r>
      <w:r w:rsidRPr="00CF273E">
        <w:t>Board of the College</w:t>
      </w:r>
      <w:r>
        <w:t xml:space="preserve"> </w:t>
      </w:r>
      <w:r w:rsidRPr="00CF273E">
        <w:t>in relation to the operation of the College, and the CSV CEO in relation to all other matters. For</w:t>
      </w:r>
      <w:r>
        <w:t xml:space="preserve"> </w:t>
      </w:r>
      <w:r w:rsidRPr="00CF273E">
        <w:t>more information about the College, refer</w:t>
      </w:r>
      <w:r>
        <w:t xml:space="preserve"> </w:t>
      </w:r>
      <w:r w:rsidRPr="00CF273E">
        <w:t xml:space="preserve">to </w:t>
      </w:r>
      <w:r w:rsidR="005D4A53">
        <w:t>its</w:t>
      </w:r>
      <w:r w:rsidR="0051396D">
        <w:t xml:space="preserve"> a</w:t>
      </w:r>
      <w:r w:rsidRPr="00CF273E">
        <w:t>nnual</w:t>
      </w:r>
      <w:r>
        <w:t xml:space="preserve"> </w:t>
      </w:r>
      <w:r w:rsidR="0051396D">
        <w:t>r</w:t>
      </w:r>
      <w:r w:rsidRPr="00CF273E">
        <w:t>eport.</w:t>
      </w:r>
    </w:p>
    <w:p w:rsidR="00686226" w:rsidRPr="00CF273E" w:rsidRDefault="00686226" w:rsidP="00F00065"/>
    <w:p w:rsidR="005D4A53" w:rsidRPr="00CF273E" w:rsidRDefault="005D4A53" w:rsidP="005D4A53">
      <w:r>
        <w:t>As at 30 June 2017</w:t>
      </w:r>
      <w:r w:rsidRPr="00CF273E">
        <w:t xml:space="preserve">, the </w:t>
      </w:r>
      <w:r>
        <w:t xml:space="preserve">Court and College CEOs are listed below. </w:t>
      </w:r>
    </w:p>
    <w:p w:rsidR="00686226" w:rsidRPr="00CF273E" w:rsidRDefault="00686226" w:rsidP="00F00065"/>
    <w:p w:rsidR="00686226" w:rsidRPr="00CF273E" w:rsidRDefault="00686226" w:rsidP="00F00065">
      <w:pPr>
        <w:pStyle w:val="ListBullet"/>
      </w:pPr>
      <w:r>
        <w:t>Louise Anderson,</w:t>
      </w:r>
      <w:r w:rsidRPr="00CF273E">
        <w:t xml:space="preserve"> Supreme Court of Victoria</w:t>
      </w:r>
      <w:r>
        <w:t xml:space="preserve"> </w:t>
      </w:r>
    </w:p>
    <w:p w:rsidR="00686226" w:rsidRPr="00CF273E" w:rsidRDefault="00686226" w:rsidP="00F00065">
      <w:pPr>
        <w:pStyle w:val="ListBullet"/>
      </w:pPr>
      <w:r w:rsidRPr="00CF273E">
        <w:t>Fiona Chamberlain, County Court</w:t>
      </w:r>
      <w:r>
        <w:t xml:space="preserve"> </w:t>
      </w:r>
      <w:r w:rsidRPr="00CF273E">
        <w:t>of Victoria</w:t>
      </w:r>
    </w:p>
    <w:p w:rsidR="00686226" w:rsidRPr="00CF273E" w:rsidRDefault="00686226" w:rsidP="00F00065">
      <w:pPr>
        <w:pStyle w:val="ListBullet"/>
      </w:pPr>
      <w:r w:rsidRPr="00CF273E">
        <w:t>Andrew Tenni, Magistrates' Court</w:t>
      </w:r>
      <w:r>
        <w:t xml:space="preserve"> </w:t>
      </w:r>
      <w:r w:rsidRPr="00CF273E">
        <w:t>of Victoria</w:t>
      </w:r>
    </w:p>
    <w:p w:rsidR="00686226" w:rsidRPr="00CF273E" w:rsidRDefault="00686226" w:rsidP="00F00065">
      <w:pPr>
        <w:pStyle w:val="ListBullet"/>
      </w:pPr>
      <w:r w:rsidRPr="00CF273E">
        <w:t>Keryn Negri, Victorian Civil</w:t>
      </w:r>
      <w:r>
        <w:t xml:space="preserve"> </w:t>
      </w:r>
      <w:r w:rsidRPr="00CF273E">
        <w:t>and</w:t>
      </w:r>
      <w:r>
        <w:t xml:space="preserve"> </w:t>
      </w:r>
      <w:r w:rsidRPr="00CF273E">
        <w:t>Administrative Tribunal</w:t>
      </w:r>
    </w:p>
    <w:p w:rsidR="00686226" w:rsidRPr="00CF273E" w:rsidRDefault="00686226" w:rsidP="00F00065">
      <w:pPr>
        <w:pStyle w:val="ListBullet"/>
      </w:pPr>
      <w:r w:rsidRPr="00CF273E">
        <w:t>Simon McDonald, Children's Court of Victoria</w:t>
      </w:r>
    </w:p>
    <w:p w:rsidR="00686226" w:rsidRPr="00CF273E" w:rsidRDefault="00686226" w:rsidP="00F00065">
      <w:pPr>
        <w:pStyle w:val="ListBullet"/>
      </w:pPr>
      <w:r w:rsidRPr="00CF273E">
        <w:t>Samantha Hauge, Coroners Court of Victoria</w:t>
      </w:r>
    </w:p>
    <w:p w:rsidR="00686226" w:rsidRDefault="00686226" w:rsidP="00F00065">
      <w:pPr>
        <w:pStyle w:val="ListBullet"/>
      </w:pPr>
      <w:r w:rsidRPr="00CF273E">
        <w:t>Samantha Burchell, Judicial</w:t>
      </w:r>
      <w:r>
        <w:t xml:space="preserve"> </w:t>
      </w:r>
      <w:r w:rsidRPr="00CF273E">
        <w:t>College of Victoria</w:t>
      </w:r>
    </w:p>
    <w:p w:rsidR="0082089A" w:rsidRPr="00CF273E" w:rsidRDefault="0082089A" w:rsidP="0082089A"/>
    <w:p w:rsidR="00CF273E" w:rsidRPr="009A165F" w:rsidRDefault="00A51426" w:rsidP="0026354F">
      <w:pPr>
        <w:pStyle w:val="Heading1"/>
      </w:pPr>
      <w:r>
        <w:br w:type="page"/>
      </w:r>
      <w:bookmarkStart w:id="8" w:name="_Toc494978537"/>
      <w:r w:rsidR="00CF273E" w:rsidRPr="009A165F">
        <w:lastRenderedPageBreak/>
        <w:t>SECTION</w:t>
      </w:r>
      <w:r w:rsidR="002F0F12" w:rsidRPr="009A165F">
        <w:t xml:space="preserve"> </w:t>
      </w:r>
      <w:r w:rsidR="00CF273E" w:rsidRPr="009A165F">
        <w:t>2:</w:t>
      </w:r>
      <w:r w:rsidR="00D50277" w:rsidRPr="009A165F">
        <w:t xml:space="preserve"> </w:t>
      </w:r>
      <w:r w:rsidR="00CF273E" w:rsidRPr="009A165F">
        <w:t>YEAR</w:t>
      </w:r>
      <w:r w:rsidR="00D50277" w:rsidRPr="009A165F">
        <w:t xml:space="preserve"> </w:t>
      </w:r>
      <w:r w:rsidR="00CF273E" w:rsidRPr="009A165F">
        <w:t>IN REVIEW</w:t>
      </w:r>
      <w:bookmarkEnd w:id="8"/>
    </w:p>
    <w:p w:rsidR="00B468D7" w:rsidRPr="004079F1" w:rsidRDefault="00E1591C" w:rsidP="00AB5679">
      <w:bookmarkStart w:id="9" w:name="_Toc330816339"/>
      <w:r w:rsidRPr="000B2075">
        <w:t xml:space="preserve">During 2016-17, the </w:t>
      </w:r>
      <w:r w:rsidR="000E65AF" w:rsidRPr="000B2075">
        <w:t>operating divisions that support CSV were</w:t>
      </w:r>
      <w:r w:rsidR="00B468D7" w:rsidRPr="000B2075">
        <w:t xml:space="preserve"> altered</w:t>
      </w:r>
      <w:r w:rsidR="005D4A53" w:rsidRPr="000B2075">
        <w:t>. T</w:t>
      </w:r>
      <w:r w:rsidRPr="000B2075">
        <w:t>he</w:t>
      </w:r>
      <w:r w:rsidR="00B468D7" w:rsidRPr="000B2075">
        <w:t xml:space="preserve"> </w:t>
      </w:r>
      <w:r w:rsidRPr="000B2075">
        <w:t xml:space="preserve">functions of the Corporate Services </w:t>
      </w:r>
      <w:r w:rsidR="00C0673E" w:rsidRPr="000B2075">
        <w:t>division were</w:t>
      </w:r>
      <w:r w:rsidRPr="000B2075">
        <w:t xml:space="preserve"> </w:t>
      </w:r>
      <w:r w:rsidR="00C0673E" w:rsidRPr="000B2075">
        <w:t xml:space="preserve">taken over by People, Culture and Risk Management, or </w:t>
      </w:r>
      <w:r w:rsidRPr="000B2075">
        <w:t>absorbed by</w:t>
      </w:r>
      <w:r w:rsidR="00C0673E" w:rsidRPr="000B2075">
        <w:t xml:space="preserve"> the remaining three</w:t>
      </w:r>
      <w:r w:rsidRPr="000B2075">
        <w:t xml:space="preserve"> divisions</w:t>
      </w:r>
      <w:r w:rsidR="00C0673E" w:rsidRPr="000B2075">
        <w:t>.</w:t>
      </w:r>
    </w:p>
    <w:p w:rsidR="00A51426" w:rsidRPr="005D665B" w:rsidRDefault="00E32849" w:rsidP="00E32849">
      <w:pPr>
        <w:pStyle w:val="Heading2"/>
      </w:pPr>
      <w:bookmarkStart w:id="10" w:name="_Toc494978538"/>
      <w:bookmarkEnd w:id="9"/>
      <w:r>
        <w:t>PEOPLE, CULTURE and risk management</w:t>
      </w:r>
      <w:bookmarkEnd w:id="10"/>
      <w:r>
        <w:t xml:space="preserve"> </w:t>
      </w:r>
    </w:p>
    <w:p w:rsidR="002154E5" w:rsidRPr="002154E5" w:rsidRDefault="002154E5" w:rsidP="002154E5">
      <w:r w:rsidRPr="002154E5">
        <w:t xml:space="preserve">The People, Culture and Risk Management division experienced significant change during 2016-17. An organisational restructure resulted </w:t>
      </w:r>
      <w:r>
        <w:t xml:space="preserve">in the addition of </w:t>
      </w:r>
      <w:r w:rsidRPr="002154E5">
        <w:t xml:space="preserve">Koori Programs and Initiatives, and oversight of </w:t>
      </w:r>
      <w:r w:rsidR="00C47032">
        <w:t>CSV’s risk and audit functions.</w:t>
      </w:r>
    </w:p>
    <w:p w:rsidR="002154E5" w:rsidRPr="002154E5" w:rsidRDefault="002154E5" w:rsidP="002154E5"/>
    <w:p w:rsidR="002154E5" w:rsidRPr="002154E5" w:rsidRDefault="0016757B" w:rsidP="002154E5">
      <w:r>
        <w:t>The d</w:t>
      </w:r>
      <w:r w:rsidR="002154E5" w:rsidRPr="002154E5">
        <w:t>ivision p</w:t>
      </w:r>
      <w:r>
        <w:t>rovides specialist consultancy</w:t>
      </w:r>
      <w:r w:rsidR="002154E5" w:rsidRPr="002154E5">
        <w:t xml:space="preserve"> services and expert advice su</w:t>
      </w:r>
      <w:r>
        <w:t>pporting the employee life</w:t>
      </w:r>
      <w:r w:rsidR="00464E9C">
        <w:t xml:space="preserve"> </w:t>
      </w:r>
      <w:r>
        <w:t>cycle</w:t>
      </w:r>
      <w:r w:rsidR="002154E5" w:rsidRPr="002154E5">
        <w:t xml:space="preserve"> including recru</w:t>
      </w:r>
      <w:r w:rsidR="00464E9C">
        <w:t>itment and retention,</w:t>
      </w:r>
      <w:r w:rsidR="002154E5" w:rsidRPr="002154E5">
        <w:t xml:space="preserve"> </w:t>
      </w:r>
      <w:r w:rsidR="00464E9C">
        <w:t>performance and career planning,</w:t>
      </w:r>
      <w:r w:rsidR="002154E5" w:rsidRPr="002154E5">
        <w:t xml:space="preserve"> capabi</w:t>
      </w:r>
      <w:r w:rsidR="00464E9C">
        <w:t>lity development and engagement,</w:t>
      </w:r>
      <w:r w:rsidR="002154E5" w:rsidRPr="002154E5">
        <w:t xml:space="preserve"> employee relations</w:t>
      </w:r>
      <w:r w:rsidR="00464E9C">
        <w:t>,</w:t>
      </w:r>
      <w:r w:rsidR="002154E5" w:rsidRPr="002154E5">
        <w:t xml:space="preserve"> occupational health and safety</w:t>
      </w:r>
      <w:r w:rsidR="00464E9C">
        <w:t>,</w:t>
      </w:r>
      <w:r w:rsidR="002154E5" w:rsidRPr="002154E5">
        <w:t xml:space="preserve"> specia</w:t>
      </w:r>
      <w:r>
        <w:t>list payroll administration</w:t>
      </w:r>
      <w:r w:rsidR="002154E5" w:rsidRPr="002154E5">
        <w:t xml:space="preserve"> and change management support.</w:t>
      </w:r>
    </w:p>
    <w:p w:rsidR="002154E5" w:rsidRPr="002154E5" w:rsidRDefault="002154E5" w:rsidP="002154E5"/>
    <w:p w:rsidR="002154E5" w:rsidRPr="002154E5" w:rsidRDefault="0016757B" w:rsidP="002154E5">
      <w:r>
        <w:t>D</w:t>
      </w:r>
      <w:r w:rsidR="002154E5" w:rsidRPr="002154E5">
        <w:t xml:space="preserve">elivery </w:t>
      </w:r>
      <w:r>
        <w:t>of</w:t>
      </w:r>
      <w:r w:rsidR="002154E5" w:rsidRPr="002154E5">
        <w:t xml:space="preserve"> services </w:t>
      </w:r>
      <w:r>
        <w:t>is</w:t>
      </w:r>
      <w:r w:rsidR="002154E5" w:rsidRPr="002154E5">
        <w:t xml:space="preserve"> based on the individual needs of each jurisdiction.</w:t>
      </w:r>
    </w:p>
    <w:p w:rsidR="002E1BA0" w:rsidRDefault="0016757B" w:rsidP="007324DF">
      <w:pPr>
        <w:pStyle w:val="Heading3"/>
      </w:pPr>
      <w:r>
        <w:t xml:space="preserve">Health and </w:t>
      </w:r>
      <w:r w:rsidR="00A51426" w:rsidRPr="004F3368">
        <w:t>Wellbeing</w:t>
      </w:r>
    </w:p>
    <w:p w:rsidR="0016757B" w:rsidRPr="0016757B" w:rsidRDefault="0016757B" w:rsidP="0016757B">
      <w:r w:rsidRPr="0016757B">
        <w:t>CSV continued its commitment to health and wellbeing during 2016-17</w:t>
      </w:r>
      <w:r>
        <w:t xml:space="preserve">. </w:t>
      </w:r>
      <w:r w:rsidRPr="0016757B">
        <w:t>Key strategic initiatives included vicarious trauma prevention and management; managing and responding to famil</w:t>
      </w:r>
      <w:r>
        <w:t>y violence within the workplace</w:t>
      </w:r>
      <w:r w:rsidR="00464E9C">
        <w:t xml:space="preserve"> and development of</w:t>
      </w:r>
      <w:r w:rsidRPr="0016757B">
        <w:t xml:space="preserve"> a comprehensive wellbeing program for all CSV employees.</w:t>
      </w:r>
    </w:p>
    <w:p w:rsidR="00F449AB" w:rsidRPr="00F449AB" w:rsidRDefault="00F449AB" w:rsidP="007324DF">
      <w:pPr>
        <w:pStyle w:val="Heading3"/>
      </w:pPr>
      <w:r w:rsidRPr="00F449AB">
        <w:t>Senior Managers’ Development Program</w:t>
      </w:r>
    </w:p>
    <w:p w:rsidR="00F449AB" w:rsidRPr="0016757B" w:rsidRDefault="00F449AB" w:rsidP="00F449AB">
      <w:pPr>
        <w:spacing w:after="120"/>
      </w:pPr>
      <w:r w:rsidRPr="00F449AB">
        <w:rPr>
          <w:color w:val="000000"/>
        </w:rPr>
        <w:t xml:space="preserve">The Senior Managers’ Development Program pilot </w:t>
      </w:r>
      <w:r>
        <w:rPr>
          <w:color w:val="000000"/>
        </w:rPr>
        <w:t>began</w:t>
      </w:r>
      <w:r w:rsidRPr="00F449AB">
        <w:rPr>
          <w:color w:val="000000"/>
        </w:rPr>
        <w:t xml:space="preserve"> in June 2016. </w:t>
      </w:r>
      <w:r w:rsidR="000E65AF" w:rsidRPr="000B2075">
        <w:t>This</w:t>
      </w:r>
      <w:r w:rsidRPr="000B2075">
        <w:t xml:space="preserve"> innovative and challenging program </w:t>
      </w:r>
      <w:r w:rsidR="000E65AF" w:rsidRPr="000B2075">
        <w:t>was aimed at developing the leadership and management skills of high-performing senior employees.</w:t>
      </w:r>
      <w:r w:rsidRPr="00F449AB">
        <w:t xml:space="preserve"> Program </w:t>
      </w:r>
      <w:r>
        <w:t>content included self-awareness,</w:t>
      </w:r>
      <w:r w:rsidRPr="00F449AB">
        <w:t xml:space="preserve"> a</w:t>
      </w:r>
      <w:r>
        <w:t>daptive problems and challenges,</w:t>
      </w:r>
      <w:r w:rsidRPr="00F449AB">
        <w:t xml:space="preserve"> leadin</w:t>
      </w:r>
      <w:r>
        <w:t>g and managing,</w:t>
      </w:r>
      <w:r w:rsidRPr="00F449AB">
        <w:t xml:space="preserve"> </w:t>
      </w:r>
      <w:r>
        <w:t>strategic and critical thinking,</w:t>
      </w:r>
      <w:r w:rsidRPr="00F449AB">
        <w:t xml:space="preserve"> and innovation and continuous improvement. Feedback from the pilot </w:t>
      </w:r>
      <w:r w:rsidRPr="000B2075">
        <w:t xml:space="preserve">was </w:t>
      </w:r>
      <w:r w:rsidR="00F13234" w:rsidRPr="000B2075">
        <w:t xml:space="preserve">very </w:t>
      </w:r>
      <w:r w:rsidRPr="000B2075">
        <w:t>positive and</w:t>
      </w:r>
      <w:r w:rsidRPr="00F449AB">
        <w:t xml:space="preserve"> a second program </w:t>
      </w:r>
      <w:r>
        <w:t xml:space="preserve">was </w:t>
      </w:r>
      <w:r w:rsidRPr="00F449AB">
        <w:t xml:space="preserve">launched in April 2017. </w:t>
      </w:r>
    </w:p>
    <w:p w:rsidR="00F449AB" w:rsidRPr="003E47E4" w:rsidRDefault="00F449AB" w:rsidP="007324DF">
      <w:pPr>
        <w:pStyle w:val="Heading3"/>
      </w:pPr>
      <w:r w:rsidRPr="003E47E4">
        <w:t>Learning and Organisational Development</w:t>
      </w:r>
    </w:p>
    <w:p w:rsidR="00204685" w:rsidRPr="00F449AB" w:rsidRDefault="00F449AB" w:rsidP="00F449AB">
      <w:pPr>
        <w:autoSpaceDE w:val="0"/>
        <w:autoSpaceDN w:val="0"/>
        <w:adjustRightInd w:val="0"/>
        <w:rPr>
          <w:color w:val="000000"/>
        </w:rPr>
      </w:pPr>
      <w:r w:rsidRPr="003E47E4">
        <w:rPr>
          <w:color w:val="000000"/>
        </w:rPr>
        <w:t xml:space="preserve">The Learning@CSV program provided employees with opportunities to develop key capabilities and deliver service excellence. During 2016-17 a range of capability-building programs were delivered </w:t>
      </w:r>
      <w:r w:rsidR="009B4A1F" w:rsidRPr="003E47E4">
        <w:rPr>
          <w:color w:val="000000"/>
        </w:rPr>
        <w:t>to</w:t>
      </w:r>
      <w:r w:rsidRPr="003E47E4">
        <w:rPr>
          <w:color w:val="000000"/>
        </w:rPr>
        <w:t xml:space="preserve"> approximately 570 CSV participants. Key areas included performance and development, foundational management for supervisors and team leaders, self-awareness and leadership for middle managers, recruitment, mentoring, writing skills and responding safely and effectively to people affected by </w:t>
      </w:r>
      <w:r w:rsidR="00C506C9">
        <w:rPr>
          <w:color w:val="000000"/>
        </w:rPr>
        <w:t xml:space="preserve">the drug </w:t>
      </w:r>
      <w:r w:rsidRPr="003E47E4">
        <w:rPr>
          <w:color w:val="000000"/>
        </w:rPr>
        <w:t>Ice.</w:t>
      </w:r>
    </w:p>
    <w:p w:rsidR="002E1BA0" w:rsidRDefault="00204685" w:rsidP="007324DF">
      <w:pPr>
        <w:pStyle w:val="Heading3"/>
      </w:pPr>
      <w:r>
        <w:t xml:space="preserve">Koori Programs and Initiatives </w:t>
      </w:r>
    </w:p>
    <w:p w:rsidR="00204685" w:rsidRPr="00204685" w:rsidRDefault="00204685" w:rsidP="00204685">
      <w:r w:rsidRPr="00204685">
        <w:rPr>
          <w:color w:val="000000"/>
        </w:rPr>
        <w:t>The Koori Programs and Initiatives unit ensures CS</w:t>
      </w:r>
      <w:r w:rsidR="00F13234">
        <w:rPr>
          <w:color w:val="000000"/>
        </w:rPr>
        <w:t xml:space="preserve">V has a contemporary approach </w:t>
      </w:r>
      <w:r w:rsidR="00F13234" w:rsidRPr="000B2075">
        <w:rPr>
          <w:color w:val="000000"/>
        </w:rPr>
        <w:t>in</w:t>
      </w:r>
      <w:r w:rsidRPr="00204685">
        <w:rPr>
          <w:color w:val="000000"/>
        </w:rPr>
        <w:t xml:space="preserve"> responding to issues relevant to Koori staff, </w:t>
      </w:r>
      <w:r w:rsidRPr="00C52FDC">
        <w:rPr>
          <w:color w:val="000000"/>
        </w:rPr>
        <w:t>community and</w:t>
      </w:r>
      <w:r w:rsidRPr="00204685">
        <w:rPr>
          <w:color w:val="000000"/>
        </w:rPr>
        <w:t xml:space="preserve"> users of the criminal and civil court system. Working in collaboration with jurisdictions, the unit is responsible for coordinating the strategic development and delivery of Victoria’s Koori justice policies and programs across </w:t>
      </w:r>
      <w:r>
        <w:rPr>
          <w:color w:val="000000"/>
        </w:rPr>
        <w:t>all</w:t>
      </w:r>
      <w:r w:rsidRPr="00204685">
        <w:rPr>
          <w:color w:val="000000"/>
        </w:rPr>
        <w:t xml:space="preserve"> courts and tribunals. </w:t>
      </w:r>
      <w:r w:rsidRPr="00204685">
        <w:t>Key Koori projects and initiativ</w:t>
      </w:r>
      <w:r>
        <w:t xml:space="preserve">es delivered in 2016-17 include the below. </w:t>
      </w:r>
    </w:p>
    <w:p w:rsidR="00204685" w:rsidRPr="00204685" w:rsidRDefault="00204685" w:rsidP="00204685"/>
    <w:p w:rsidR="00204685" w:rsidRPr="00204685" w:rsidRDefault="00204685" w:rsidP="007324DF">
      <w:pPr>
        <w:pStyle w:val="Heading4"/>
      </w:pPr>
      <w:r w:rsidRPr="00204685">
        <w:lastRenderedPageBreak/>
        <w:t xml:space="preserve">Koori Cultural Awareness Program </w:t>
      </w:r>
    </w:p>
    <w:p w:rsidR="00204685" w:rsidRPr="00204685" w:rsidRDefault="00204685" w:rsidP="00204685">
      <w:r w:rsidRPr="00204685">
        <w:t xml:space="preserve">A Koori Cultural Awareness Program </w:t>
      </w:r>
      <w:r>
        <w:t>for</w:t>
      </w:r>
      <w:r w:rsidRPr="00204685">
        <w:t xml:space="preserve"> all CSV employees was launched in early 2017. The program was adapted and delivered </w:t>
      </w:r>
      <w:r w:rsidR="00DA6243">
        <w:t xml:space="preserve">to the </w:t>
      </w:r>
      <w:r w:rsidRPr="00204685">
        <w:t xml:space="preserve"> County Koori Court support staff</w:t>
      </w:r>
      <w:r>
        <w:t>, as well as</w:t>
      </w:r>
      <w:r w:rsidRPr="00204685">
        <w:t xml:space="preserve"> part of the Magistrates’ Court induction program for new court r</w:t>
      </w:r>
      <w:r>
        <w:t>egistrars,</w:t>
      </w:r>
      <w:r w:rsidRPr="00204685">
        <w:t xml:space="preserve"> and a</w:t>
      </w:r>
      <w:r>
        <w:t>s a specific Koori Family Violence</w:t>
      </w:r>
      <w:r w:rsidRPr="00204685">
        <w:t xml:space="preserve"> program. A Koori managers’ program was also developed targeting employees responsible for managing Aboriginal staff and/or programs.</w:t>
      </w:r>
    </w:p>
    <w:p w:rsidR="00204685" w:rsidRPr="00204685" w:rsidRDefault="00204685" w:rsidP="00204685">
      <w:pPr>
        <w:autoSpaceDE w:val="0"/>
        <w:autoSpaceDN w:val="0"/>
        <w:adjustRightInd w:val="0"/>
        <w:rPr>
          <w:rFonts w:ascii="Helv" w:hAnsi="Helv" w:cs="Helv"/>
          <w:color w:val="000000"/>
          <w:sz w:val="20"/>
          <w:szCs w:val="20"/>
          <w:lang w:eastAsia="en-US"/>
        </w:rPr>
      </w:pPr>
    </w:p>
    <w:p w:rsidR="00204685" w:rsidRPr="00204685" w:rsidRDefault="00204685" w:rsidP="007324DF">
      <w:pPr>
        <w:pStyle w:val="Heading4"/>
      </w:pPr>
      <w:r w:rsidRPr="00204685">
        <w:t xml:space="preserve">Aboriginal Justice Agreement </w:t>
      </w:r>
    </w:p>
    <w:p w:rsidR="00204685" w:rsidRPr="00204685" w:rsidRDefault="00204685" w:rsidP="00204685">
      <w:r w:rsidRPr="00204685">
        <w:t>CSV was instrumental in contributing to the review of the Aboriginal Justice Agreement 3</w:t>
      </w:r>
      <w:r w:rsidR="00C506C9">
        <w:t xml:space="preserve"> (AJA 3)</w:t>
      </w:r>
      <w:r w:rsidRPr="00204685">
        <w:t>, leading to discussions for the development of AJA 4. With a continued focus on self-determination, CSV’s planning for AJA 4 has been informed by feedback from the AJA Koori Caucus.</w:t>
      </w:r>
    </w:p>
    <w:p w:rsidR="00204685" w:rsidRPr="00204685" w:rsidRDefault="00204685" w:rsidP="00204685">
      <w:pPr>
        <w:autoSpaceDE w:val="0"/>
        <w:autoSpaceDN w:val="0"/>
        <w:adjustRightInd w:val="0"/>
        <w:rPr>
          <w:rFonts w:ascii="Helv" w:hAnsi="Helv" w:cs="Helv"/>
          <w:color w:val="000000"/>
          <w:sz w:val="20"/>
          <w:szCs w:val="20"/>
          <w:lang w:eastAsia="en-US"/>
        </w:rPr>
      </w:pPr>
    </w:p>
    <w:p w:rsidR="00204685" w:rsidRPr="00204685" w:rsidRDefault="00204685" w:rsidP="007324DF">
      <w:pPr>
        <w:pStyle w:val="Heading4"/>
      </w:pPr>
      <w:r w:rsidRPr="00204685">
        <w:t xml:space="preserve">Koori Cultural Support </w:t>
      </w:r>
    </w:p>
    <w:p w:rsidR="003E47E4" w:rsidRDefault="00DA6243" w:rsidP="00204685">
      <w:r>
        <w:t xml:space="preserve">A </w:t>
      </w:r>
      <w:r w:rsidR="00204685" w:rsidRPr="00204685">
        <w:t>focus of</w:t>
      </w:r>
      <w:r w:rsidR="00204685">
        <w:t xml:space="preserve"> the implementation of the</w:t>
      </w:r>
      <w:r w:rsidR="00204685" w:rsidRPr="00204685">
        <w:t xml:space="preserve"> Koori In</w:t>
      </w:r>
      <w:r w:rsidR="00204685">
        <w:t xml:space="preserve">clusion Action Plan </w:t>
      </w:r>
      <w:r w:rsidR="00204685" w:rsidRPr="00204685">
        <w:t xml:space="preserve">is the provision of cultural advice to jurisdictions. CSV continued to support jurisdictions to implement key actions relating to </w:t>
      </w:r>
      <w:r w:rsidR="00204685">
        <w:t>employment and recruitment, and cultural awareness, and supported the development of Koori-</w:t>
      </w:r>
      <w:r w:rsidR="00204685" w:rsidRPr="00204685">
        <w:t xml:space="preserve">specific brochures for the Coroners Court of Victoria and </w:t>
      </w:r>
      <w:r w:rsidR="00C506C9">
        <w:t>other judicial bodies</w:t>
      </w:r>
      <w:r w:rsidR="00B52CAB">
        <w:t>. CSV also provided</w:t>
      </w:r>
      <w:r w:rsidR="00204685" w:rsidRPr="00204685">
        <w:t xml:space="preserve"> an avenue for community consult</w:t>
      </w:r>
      <w:r w:rsidR="00B52CAB">
        <w:t>ation through the Courts Koori reference g</w:t>
      </w:r>
      <w:r w:rsidR="00204685" w:rsidRPr="00204685">
        <w:t>rou</w:t>
      </w:r>
      <w:r w:rsidR="00B52CAB">
        <w:t>p, Regional Aboriginal Justice advisory c</w:t>
      </w:r>
      <w:r w:rsidR="00204685" w:rsidRPr="00204685">
        <w:t>ommittees and Koori Court Aborig</w:t>
      </w:r>
      <w:r w:rsidR="00B52CAB">
        <w:t>inal r</w:t>
      </w:r>
      <w:r w:rsidR="00204685" w:rsidRPr="00204685">
        <w:t>eference groups.</w:t>
      </w:r>
    </w:p>
    <w:p w:rsidR="003E47E4" w:rsidRPr="007324DF" w:rsidRDefault="003E47E4" w:rsidP="007324DF">
      <w:pPr>
        <w:pStyle w:val="Heading3"/>
      </w:pPr>
      <w:r w:rsidRPr="007324DF">
        <w:t xml:space="preserve">Transforming through Innovation: </w:t>
      </w:r>
      <w:r w:rsidR="00B52CAB" w:rsidRPr="007324DF">
        <w:t>Workforce Planning and Development Framework</w:t>
      </w:r>
    </w:p>
    <w:p w:rsidR="003E47E4" w:rsidRPr="003E47E4" w:rsidRDefault="003E47E4" w:rsidP="003E47E4">
      <w:pPr>
        <w:spacing w:before="240" w:after="240"/>
        <w:rPr>
          <w:b/>
        </w:rPr>
      </w:pPr>
      <w:r w:rsidRPr="003E47E4">
        <w:t xml:space="preserve">Australia’s workforce and workplace is changing. In response, CSV is developing a Workforce Planning and Development Framework to ensure we can meet challenges, and identify opportunities, to develop the right jobs and skills to support Victoria’s courts. </w:t>
      </w:r>
      <w:r w:rsidR="00B52CAB">
        <w:t>In 2016-17</w:t>
      </w:r>
      <w:r w:rsidRPr="003E47E4">
        <w:t xml:space="preserve"> the division created a new platform to inform the development of the workforce framework and its methodology.  </w:t>
      </w:r>
    </w:p>
    <w:p w:rsidR="003E47E4" w:rsidRPr="003E47E4" w:rsidRDefault="003E47E4" w:rsidP="003E47E4">
      <w:pPr>
        <w:spacing w:before="240" w:after="240"/>
        <w:rPr>
          <w:color w:val="000000"/>
        </w:rPr>
      </w:pPr>
      <w:r w:rsidRPr="003E47E4">
        <w:rPr>
          <w:color w:val="000000"/>
        </w:rPr>
        <w:t>Phase one of the Business Intelligence Workforce Dashboard was developed to incorporate wo</w:t>
      </w:r>
      <w:r w:rsidR="004474DF">
        <w:rPr>
          <w:color w:val="000000"/>
        </w:rPr>
        <w:t>rkforce metrics, including full-</w:t>
      </w:r>
      <w:r w:rsidRPr="003E47E4">
        <w:rPr>
          <w:color w:val="000000"/>
        </w:rPr>
        <w:t xml:space="preserve">time equivalent and headcount, composition, employee movement, leave and workforce demographics. Launched in November 2016, the workforce dashboard allows </w:t>
      </w:r>
      <w:r w:rsidR="00B52CAB">
        <w:rPr>
          <w:color w:val="000000"/>
        </w:rPr>
        <w:t xml:space="preserve">Court </w:t>
      </w:r>
      <w:r w:rsidRPr="003E47E4">
        <w:rPr>
          <w:color w:val="000000"/>
        </w:rPr>
        <w:t xml:space="preserve">CEOs and </w:t>
      </w:r>
      <w:r w:rsidR="00B52CAB">
        <w:rPr>
          <w:color w:val="000000"/>
        </w:rPr>
        <w:t>HR</w:t>
      </w:r>
      <w:r w:rsidRPr="003E47E4">
        <w:rPr>
          <w:color w:val="000000"/>
        </w:rPr>
        <w:t xml:space="preserve"> practitioners across CSV to better monitor and understand their staff to meet current and future needs.</w:t>
      </w:r>
    </w:p>
    <w:p w:rsidR="003E47E4" w:rsidRPr="003E47E4" w:rsidRDefault="003E47E4" w:rsidP="003E47E4">
      <w:pPr>
        <w:spacing w:before="240" w:after="240"/>
        <w:rPr>
          <w:color w:val="000000"/>
        </w:rPr>
      </w:pPr>
      <w:r w:rsidRPr="003E47E4">
        <w:rPr>
          <w:color w:val="000000"/>
        </w:rPr>
        <w:t xml:space="preserve">Phase two will </w:t>
      </w:r>
      <w:r w:rsidRPr="003E47E4">
        <w:t>implement additional workforce metrics, including workforce costs, recruitment, occupational health and safety, learning and development, and talent management and succession planning.</w:t>
      </w:r>
    </w:p>
    <w:p w:rsidR="003E47E4" w:rsidRPr="003E47E4" w:rsidRDefault="003E47E4" w:rsidP="003E47E4">
      <w:pPr>
        <w:autoSpaceDE w:val="0"/>
        <w:autoSpaceDN w:val="0"/>
        <w:adjustRightInd w:val="0"/>
        <w:spacing w:before="240" w:after="240"/>
        <w:rPr>
          <w:color w:val="000000"/>
        </w:rPr>
      </w:pPr>
      <w:r w:rsidRPr="003E47E4">
        <w:rPr>
          <w:rFonts w:eastAsia="Times New Roman"/>
          <w:bCs/>
          <w:szCs w:val="28"/>
        </w:rPr>
        <w:t>Additionally,</w:t>
      </w:r>
      <w:r w:rsidRPr="003E47E4">
        <w:rPr>
          <w:rFonts w:eastAsia="Times New Roman"/>
          <w:b/>
          <w:bCs/>
          <w:i/>
          <w:szCs w:val="28"/>
        </w:rPr>
        <w:t xml:space="preserve"> </w:t>
      </w:r>
      <w:r w:rsidRPr="003E47E4">
        <w:rPr>
          <w:color w:val="000000"/>
        </w:rPr>
        <w:t xml:space="preserve">a new Performance and Learning Management System (PALMS) was implemented in early 2017. The system supports ongoing performance and development discussions between managers </w:t>
      </w:r>
      <w:r w:rsidRPr="00C52FDC">
        <w:rPr>
          <w:color w:val="000000"/>
        </w:rPr>
        <w:t>and staff.</w:t>
      </w:r>
      <w:r w:rsidRPr="003E47E4">
        <w:rPr>
          <w:color w:val="000000"/>
        </w:rPr>
        <w:t xml:space="preserve"> The learning management component of PALMS provides access to a range of internal, external and online programs and resources to support capability development aligned to the CSV Capability Framework. Information from PALMS will also be used to inform the development of the workforce framework.</w:t>
      </w:r>
    </w:p>
    <w:p w:rsidR="00A51426" w:rsidRPr="00CF273E" w:rsidRDefault="009333D5" w:rsidP="00EA594A">
      <w:pPr>
        <w:pStyle w:val="Heading2"/>
      </w:pPr>
      <w:r>
        <w:br w:type="page"/>
      </w:r>
      <w:bookmarkStart w:id="11" w:name="_Toc494978539"/>
      <w:r w:rsidR="00A51426">
        <w:lastRenderedPageBreak/>
        <w:t>Financial Analysis, Planning a</w:t>
      </w:r>
      <w:r w:rsidR="00A51426" w:rsidRPr="00CF273E">
        <w:t>nd</w:t>
      </w:r>
      <w:r w:rsidR="00A51426">
        <w:t xml:space="preserve"> </w:t>
      </w:r>
      <w:r w:rsidR="00A51426" w:rsidRPr="00CF273E">
        <w:t>Reporting</w:t>
      </w:r>
      <w:bookmarkEnd w:id="11"/>
      <w:r w:rsidR="002D7011">
        <w:t xml:space="preserve"> </w:t>
      </w:r>
    </w:p>
    <w:p w:rsidR="005B28C8" w:rsidRPr="00DE1EC7" w:rsidRDefault="005B28C8" w:rsidP="005B28C8">
      <w:r w:rsidRPr="00DE1EC7">
        <w:t>The Financial An</w:t>
      </w:r>
      <w:r w:rsidR="00B52CAB">
        <w:t>alysis, Planning and Reporting d</w:t>
      </w:r>
      <w:r w:rsidRPr="00DE1EC7">
        <w:t>ivision works collaboratively with the jurisdictions to ensure a consistent and coordinated financial services capability.</w:t>
      </w:r>
      <w:r w:rsidR="00040AB9">
        <w:t xml:space="preserve"> The d</w:t>
      </w:r>
      <w:r w:rsidR="001B3967">
        <w:t>ivision is led by the Chief Finance Officer, Lisa Wills.</w:t>
      </w:r>
    </w:p>
    <w:p w:rsidR="005B28C8" w:rsidRPr="007324DF" w:rsidRDefault="005B28C8" w:rsidP="007324DF">
      <w:pPr>
        <w:pStyle w:val="Heading3"/>
      </w:pPr>
      <w:r w:rsidRPr="007324DF">
        <w:t>Finance</w:t>
      </w:r>
    </w:p>
    <w:p w:rsidR="00040AB9" w:rsidRPr="00DE1EC7" w:rsidRDefault="00040AB9" w:rsidP="00040AB9">
      <w:r w:rsidRPr="00DE1EC7">
        <w:t xml:space="preserve">Parliament provides a separate appropriation for the delivery of services and facilities to the courts, tribunals and the College. To meet this requirement, the </w:t>
      </w:r>
      <w:r>
        <w:t>f</w:t>
      </w:r>
      <w:r w:rsidRPr="00DE1EC7">
        <w:t>inanc</w:t>
      </w:r>
      <w:r>
        <w:t xml:space="preserve">e </w:t>
      </w:r>
      <w:r w:rsidR="00B52CAB">
        <w:t>unit</w:t>
      </w:r>
      <w:r w:rsidRPr="00DE1EC7">
        <w:t xml:space="preserve"> build</w:t>
      </w:r>
      <w:r w:rsidR="00C677BC">
        <w:t>s</w:t>
      </w:r>
      <w:r w:rsidRPr="00DE1EC7">
        <w:t xml:space="preserve"> strong financial management capacity, systems</w:t>
      </w:r>
      <w:r w:rsidR="002317CA">
        <w:t>,</w:t>
      </w:r>
      <w:r w:rsidRPr="00DE1EC7">
        <w:t xml:space="preserve"> and processes to manage and report activities to the Courts Council and the Department of Treasury and Finance (DTF). The </w:t>
      </w:r>
      <w:r w:rsidR="00B52CAB">
        <w:t xml:space="preserve">unit </w:t>
      </w:r>
      <w:r w:rsidRPr="00DE1EC7">
        <w:t xml:space="preserve">also </w:t>
      </w:r>
      <w:r w:rsidR="002317CA">
        <w:t xml:space="preserve">provides </w:t>
      </w:r>
      <w:r w:rsidRPr="00DE1EC7">
        <w:t>appropr</w:t>
      </w:r>
      <w:r w:rsidR="002317CA">
        <w:t>iation management and reporting,</w:t>
      </w:r>
      <w:r w:rsidRPr="00DE1EC7">
        <w:t xml:space="preserve"> production of financial statements and statutory r</w:t>
      </w:r>
      <w:r w:rsidR="002317CA">
        <w:t>eporting taxation, banking,</w:t>
      </w:r>
      <w:r>
        <w:t xml:space="preserve"> general ledger management and </w:t>
      </w:r>
      <w:r w:rsidRPr="00DE1EC7">
        <w:t>accounts receivable.</w:t>
      </w:r>
    </w:p>
    <w:p w:rsidR="00040AB9" w:rsidRPr="00DE1EC7" w:rsidRDefault="00040AB9" w:rsidP="00040AB9"/>
    <w:p w:rsidR="002317CA" w:rsidRPr="00DE1EC7" w:rsidRDefault="002317CA" w:rsidP="002317CA">
      <w:r w:rsidRPr="00DE1EC7">
        <w:t xml:space="preserve">Key achievements for the </w:t>
      </w:r>
      <w:r>
        <w:t xml:space="preserve">unit </w:t>
      </w:r>
      <w:r w:rsidRPr="00DE1EC7">
        <w:t>include</w:t>
      </w:r>
      <w:r>
        <w:t xml:space="preserve"> the below. </w:t>
      </w:r>
    </w:p>
    <w:p w:rsidR="00040AB9" w:rsidRPr="00DE1EC7" w:rsidRDefault="00040AB9" w:rsidP="00040AB9"/>
    <w:p w:rsidR="00040AB9" w:rsidRPr="00DE1EC7" w:rsidRDefault="00CD1B29" w:rsidP="007324DF">
      <w:pPr>
        <w:pStyle w:val="ListBullet"/>
      </w:pPr>
      <w:r>
        <w:t>Maintained</w:t>
      </w:r>
      <w:r w:rsidR="00040AB9" w:rsidRPr="00DE1EC7">
        <w:t xml:space="preserve"> productive relationships with the jurisdictions and DTF to support the work of the courts and tribunals.</w:t>
      </w:r>
    </w:p>
    <w:p w:rsidR="00040AB9" w:rsidRDefault="00CD1B29" w:rsidP="007324DF">
      <w:pPr>
        <w:pStyle w:val="ListBullet"/>
      </w:pPr>
      <w:r>
        <w:t>In</w:t>
      </w:r>
      <w:r w:rsidR="00040AB9">
        <w:t xml:space="preserve"> consultation with the courts and tribunals,</w:t>
      </w:r>
      <w:r w:rsidR="00040AB9" w:rsidRPr="00DE1EC7">
        <w:t xml:space="preserve"> </w:t>
      </w:r>
      <w:r>
        <w:t xml:space="preserve">developed </w:t>
      </w:r>
      <w:r w:rsidR="00040AB9" w:rsidRPr="00DE1EC7">
        <w:t xml:space="preserve">finance policies and procedures to ensure compliance with </w:t>
      </w:r>
      <w:r w:rsidR="00040AB9">
        <w:t xml:space="preserve">new </w:t>
      </w:r>
      <w:r w:rsidR="00040AB9" w:rsidRPr="00C677BC">
        <w:t>Standing Directions</w:t>
      </w:r>
      <w:r w:rsidR="00F13234" w:rsidRPr="00C677BC">
        <w:t xml:space="preserve"> of the Minister for Finance</w:t>
      </w:r>
      <w:r w:rsidR="00040AB9" w:rsidRPr="00C677BC">
        <w:t>.</w:t>
      </w:r>
      <w:r w:rsidR="00040AB9" w:rsidRPr="00DE1EC7">
        <w:t xml:space="preserve"> </w:t>
      </w:r>
    </w:p>
    <w:p w:rsidR="00040AB9" w:rsidRPr="00DE1EC7" w:rsidRDefault="00040AB9" w:rsidP="007324DF">
      <w:pPr>
        <w:pStyle w:val="ListBullet"/>
      </w:pPr>
      <w:r>
        <w:t>Strengthened internal financial reporting for the</w:t>
      </w:r>
      <w:r w:rsidRPr="00DE1EC7">
        <w:t xml:space="preserve"> Courts Council</w:t>
      </w:r>
      <w:r>
        <w:t xml:space="preserve">, </w:t>
      </w:r>
      <w:r w:rsidR="00CD1B29">
        <w:t xml:space="preserve">the </w:t>
      </w:r>
      <w:r>
        <w:t xml:space="preserve">Finance Portfolio Committee and </w:t>
      </w:r>
      <w:r w:rsidR="00CD1B29">
        <w:t xml:space="preserve">the </w:t>
      </w:r>
      <w:r w:rsidRPr="00DE1EC7">
        <w:t>Audit and Risk Portfolio Committee.</w:t>
      </w:r>
    </w:p>
    <w:p w:rsidR="00040AB9" w:rsidRPr="00DE1EC7" w:rsidRDefault="00040AB9" w:rsidP="007324DF">
      <w:pPr>
        <w:pStyle w:val="ListBullet"/>
      </w:pPr>
      <w:r w:rsidRPr="00DE1EC7">
        <w:t>Produced the</w:t>
      </w:r>
      <w:r w:rsidR="00CD1B29">
        <w:t xml:space="preserve"> CSV Annual Financial Statement</w:t>
      </w:r>
      <w:r w:rsidRPr="00DE1EC7">
        <w:t xml:space="preserve"> as required in legislation and in accordance with best practice. </w:t>
      </w:r>
    </w:p>
    <w:p w:rsidR="00040AB9" w:rsidRPr="00DE1EC7" w:rsidRDefault="00040AB9" w:rsidP="007324DF">
      <w:pPr>
        <w:pStyle w:val="ListBullet"/>
      </w:pPr>
      <w:r>
        <w:t>E</w:t>
      </w:r>
      <w:r w:rsidRPr="00DE1EC7">
        <w:t>stablish</w:t>
      </w:r>
      <w:r>
        <w:t>ed</w:t>
      </w:r>
      <w:r w:rsidR="00CD1B29">
        <w:t xml:space="preserve"> an</w:t>
      </w:r>
      <w:r w:rsidRPr="00DE1EC7">
        <w:t xml:space="preserve"> independent IT infrastructure for the CSV budget system</w:t>
      </w:r>
      <w:r>
        <w:t>, enhancing standardised reporting and financial transparency.</w:t>
      </w:r>
    </w:p>
    <w:p w:rsidR="005B28C8" w:rsidRPr="007324DF" w:rsidRDefault="005B28C8" w:rsidP="007324DF">
      <w:pPr>
        <w:pStyle w:val="Heading3"/>
      </w:pPr>
      <w:r w:rsidRPr="007324DF">
        <w:t xml:space="preserve">Strategic Analysis and </w:t>
      </w:r>
      <w:r w:rsidR="00871C46" w:rsidRPr="007324DF">
        <w:t xml:space="preserve">Review </w:t>
      </w:r>
    </w:p>
    <w:p w:rsidR="00D55E2A" w:rsidRPr="00DE1EC7" w:rsidRDefault="00D55E2A" w:rsidP="00D55E2A">
      <w:r>
        <w:t>Over the last year, t</w:t>
      </w:r>
      <w:r w:rsidRPr="00DE1EC7">
        <w:t xml:space="preserve">he </w:t>
      </w:r>
      <w:r w:rsidR="00B52CAB">
        <w:t>unit</w:t>
      </w:r>
      <w:r w:rsidRPr="00DE1EC7">
        <w:t xml:space="preserve"> established specialist </w:t>
      </w:r>
      <w:r>
        <w:t>data analytics and reporting</w:t>
      </w:r>
      <w:r w:rsidRPr="00DE1EC7">
        <w:t xml:space="preserve"> capabilit</w:t>
      </w:r>
      <w:r>
        <w:t>ies</w:t>
      </w:r>
      <w:r w:rsidRPr="00DE1EC7">
        <w:t xml:space="preserve"> to improve the quality of </w:t>
      </w:r>
      <w:r>
        <w:t>funding submissions</w:t>
      </w:r>
      <w:r w:rsidRPr="00DE1EC7">
        <w:t xml:space="preserve"> and performance reporting </w:t>
      </w:r>
      <w:r>
        <w:t xml:space="preserve">to the government, </w:t>
      </w:r>
      <w:r w:rsidRPr="00DE1EC7">
        <w:t xml:space="preserve">and </w:t>
      </w:r>
      <w:r>
        <w:t>support</w:t>
      </w:r>
      <w:r w:rsidRPr="00DE1EC7">
        <w:t xml:space="preserve"> </w:t>
      </w:r>
      <w:r>
        <w:t xml:space="preserve">evidence-based </w:t>
      </w:r>
      <w:r w:rsidRPr="00DE1EC7">
        <w:t>decision</w:t>
      </w:r>
      <w:r>
        <w:t>-</w:t>
      </w:r>
      <w:r w:rsidRPr="00DE1EC7">
        <w:t>making.</w:t>
      </w:r>
    </w:p>
    <w:p w:rsidR="00D55E2A" w:rsidRPr="00DE1EC7" w:rsidRDefault="00D55E2A" w:rsidP="00D55E2A"/>
    <w:p w:rsidR="00D55E2A" w:rsidRPr="00DE1EC7" w:rsidRDefault="00D55E2A" w:rsidP="00D55E2A">
      <w:r w:rsidRPr="00DE1EC7">
        <w:t xml:space="preserve">Key achievements for the </w:t>
      </w:r>
      <w:r w:rsidR="00B52CAB">
        <w:t xml:space="preserve">unit </w:t>
      </w:r>
      <w:r w:rsidRPr="00DE1EC7">
        <w:t>include</w:t>
      </w:r>
      <w:r>
        <w:t xml:space="preserve"> the below. </w:t>
      </w:r>
    </w:p>
    <w:p w:rsidR="00D55E2A" w:rsidRPr="00DE1EC7" w:rsidRDefault="00D55E2A" w:rsidP="00D55E2A"/>
    <w:p w:rsidR="00D55E2A" w:rsidRPr="00DE1EC7" w:rsidRDefault="002317CA" w:rsidP="007324DF">
      <w:pPr>
        <w:pStyle w:val="ListBullet"/>
      </w:pPr>
      <w:r>
        <w:t xml:space="preserve">Supported </w:t>
      </w:r>
      <w:r w:rsidR="00D55E2A" w:rsidRPr="00DE1EC7">
        <w:t xml:space="preserve">submissions to government </w:t>
      </w:r>
      <w:r w:rsidR="00D55E2A">
        <w:t xml:space="preserve">that </w:t>
      </w:r>
      <w:r w:rsidR="00D55E2A" w:rsidRPr="00DE1EC7">
        <w:t>result</w:t>
      </w:r>
      <w:r w:rsidR="00D55E2A">
        <w:t>ed</w:t>
      </w:r>
      <w:r w:rsidR="00D55E2A" w:rsidRPr="00DE1EC7">
        <w:t xml:space="preserve"> in increased funding for the courts and tribunals.</w:t>
      </w:r>
    </w:p>
    <w:p w:rsidR="00D55E2A" w:rsidRPr="00DE1EC7" w:rsidRDefault="002317CA" w:rsidP="007324DF">
      <w:pPr>
        <w:pStyle w:val="ListBullet"/>
      </w:pPr>
      <w:r>
        <w:t>Completed</w:t>
      </w:r>
      <w:r w:rsidR="00D55E2A" w:rsidRPr="00DE1EC7">
        <w:t xml:space="preserve"> the establishment of key performance indicators across the jurisdictions</w:t>
      </w:r>
      <w:r w:rsidR="00D55E2A">
        <w:t xml:space="preserve"> to align</w:t>
      </w:r>
      <w:r w:rsidR="00D55E2A" w:rsidRPr="00DE1EC7">
        <w:t xml:space="preserve"> with the International Framewor</w:t>
      </w:r>
      <w:r>
        <w:t>k for Court Excellence for the 2016-17 Victorian B</w:t>
      </w:r>
      <w:r w:rsidR="00D55E2A" w:rsidRPr="00DE1EC7">
        <w:t>udget.</w:t>
      </w:r>
    </w:p>
    <w:p w:rsidR="00D55E2A" w:rsidRPr="00DE1EC7" w:rsidRDefault="002317CA" w:rsidP="007324DF">
      <w:pPr>
        <w:pStyle w:val="ListBullet"/>
      </w:pPr>
      <w:r>
        <w:t>Continued</w:t>
      </w:r>
      <w:r w:rsidR="00D55E2A" w:rsidRPr="00DE1EC7">
        <w:t xml:space="preserve"> to improve external reporting for the Courts' Report on Government Services, the Australian Bureau of Statistics performance data and other external agencies.</w:t>
      </w:r>
    </w:p>
    <w:p w:rsidR="00D55E2A" w:rsidRPr="00DE1EC7" w:rsidRDefault="00D55E2A" w:rsidP="007324DF">
      <w:pPr>
        <w:pStyle w:val="ListBullet"/>
      </w:pPr>
      <w:r>
        <w:t>The e</w:t>
      </w:r>
      <w:r w:rsidRPr="00DE1EC7">
        <w:t>stablish</w:t>
      </w:r>
      <w:r>
        <w:t>ment of</w:t>
      </w:r>
      <w:r w:rsidRPr="00DE1EC7">
        <w:t xml:space="preserve"> new </w:t>
      </w:r>
      <w:r>
        <w:t xml:space="preserve">data </w:t>
      </w:r>
      <w:r w:rsidRPr="00DE1EC7">
        <w:t xml:space="preserve">analytics </w:t>
      </w:r>
      <w:r>
        <w:t xml:space="preserve">and reporting </w:t>
      </w:r>
      <w:r w:rsidR="002317CA">
        <w:t>capabilities</w:t>
      </w:r>
      <w:r>
        <w:t>,</w:t>
      </w:r>
      <w:r w:rsidRPr="00DE1EC7">
        <w:t xml:space="preserve"> including an upgrade </w:t>
      </w:r>
      <w:r>
        <w:t>of</w:t>
      </w:r>
      <w:r w:rsidRPr="00DE1EC7">
        <w:t xml:space="preserve"> </w:t>
      </w:r>
      <w:r>
        <w:t xml:space="preserve">the enterprise </w:t>
      </w:r>
      <w:r w:rsidRPr="00DE1EC7">
        <w:t xml:space="preserve">data warehouse and </w:t>
      </w:r>
      <w:r>
        <w:t xml:space="preserve">business intelligence </w:t>
      </w:r>
      <w:r w:rsidRPr="00DE1EC7">
        <w:t>platforms</w:t>
      </w:r>
      <w:r>
        <w:t>, and development of modern best practice dashboards for senior executives, management and operational staff</w:t>
      </w:r>
      <w:r w:rsidRPr="00DE1EC7">
        <w:t>.</w:t>
      </w:r>
    </w:p>
    <w:p w:rsidR="00D55E2A" w:rsidRPr="00DE1EC7" w:rsidRDefault="00D55E2A" w:rsidP="007324DF">
      <w:pPr>
        <w:pStyle w:val="ListBullet"/>
      </w:pPr>
      <w:r>
        <w:t>The d</w:t>
      </w:r>
      <w:r w:rsidRPr="00DE1EC7">
        <w:t>evelop</w:t>
      </w:r>
      <w:r>
        <w:t>ment of</w:t>
      </w:r>
      <w:r w:rsidRPr="00DE1EC7">
        <w:t xml:space="preserve"> </w:t>
      </w:r>
      <w:r>
        <w:t>a predictive model to forecast the future demand of court services using data science and geospatial techniques</w:t>
      </w:r>
      <w:r w:rsidRPr="00DE1EC7">
        <w:t>.</w:t>
      </w:r>
    </w:p>
    <w:p w:rsidR="005B28C8" w:rsidRPr="007324DF" w:rsidRDefault="005B28C8" w:rsidP="007324DF">
      <w:pPr>
        <w:pStyle w:val="Heading3"/>
      </w:pPr>
      <w:r w:rsidRPr="007324DF">
        <w:lastRenderedPageBreak/>
        <w:t xml:space="preserve">Procurement </w:t>
      </w:r>
    </w:p>
    <w:p w:rsidR="005C5FD8" w:rsidRPr="005C5FD8" w:rsidRDefault="005C5FD8" w:rsidP="005C5FD8">
      <w:r w:rsidRPr="005C5FD8">
        <w:t xml:space="preserve">The </w:t>
      </w:r>
      <w:r w:rsidR="00B52CAB">
        <w:t xml:space="preserve">unit </w:t>
      </w:r>
      <w:r w:rsidRPr="005C5FD8">
        <w:t>supported procurement activity</w:t>
      </w:r>
      <w:r w:rsidR="002317CA">
        <w:t xml:space="preserve"> across jurisdictions</w:t>
      </w:r>
      <w:r w:rsidRPr="005C5FD8">
        <w:t xml:space="preserve"> to ensure compliance, best practice and value-for-money outcomes. A review of the Procurement Framework </w:t>
      </w:r>
      <w:r>
        <w:t>identified</w:t>
      </w:r>
      <w:r w:rsidRPr="005C5FD8">
        <w:t xml:space="preserve"> opportunities for improvement</w:t>
      </w:r>
      <w:r>
        <w:t>,</w:t>
      </w:r>
      <w:r w:rsidRPr="005C5FD8">
        <w:t xml:space="preserve"> and preliminary work </w:t>
      </w:r>
      <w:r>
        <w:t>on</w:t>
      </w:r>
      <w:r w:rsidRPr="005C5FD8">
        <w:t xml:space="preserve"> the recommendations has commenced. </w:t>
      </w:r>
    </w:p>
    <w:p w:rsidR="005C5FD8" w:rsidRPr="005C5FD8" w:rsidRDefault="005C5FD8" w:rsidP="005C5FD8"/>
    <w:p w:rsidR="005B28C8" w:rsidRPr="00DE1EC7" w:rsidRDefault="005C5FD8" w:rsidP="005B28C8">
      <w:r>
        <w:t>P</w:t>
      </w:r>
      <w:r w:rsidRPr="005C5FD8">
        <w:t xml:space="preserve">rocurement policies have been </w:t>
      </w:r>
      <w:r>
        <w:t>redeveloped and implemented</w:t>
      </w:r>
      <w:r w:rsidRPr="005C5FD8">
        <w:t xml:space="preserve"> to meet the requirements of the revised 2016 Standing Directions, issued under section 8 of the Financial Management Act. </w:t>
      </w:r>
    </w:p>
    <w:p w:rsidR="00203BB1" w:rsidRPr="007324DF" w:rsidRDefault="00203BB1" w:rsidP="007324DF">
      <w:pPr>
        <w:pStyle w:val="Heading3"/>
      </w:pPr>
      <w:r w:rsidRPr="007324DF">
        <w:t>Legal and Governance</w:t>
      </w:r>
    </w:p>
    <w:p w:rsidR="00203BB1" w:rsidRPr="00AF3522" w:rsidRDefault="00203BB1" w:rsidP="00203BB1">
      <w:r w:rsidRPr="00C677BC">
        <w:t xml:space="preserve">The </w:t>
      </w:r>
      <w:r w:rsidR="00B52CAB" w:rsidRPr="00C677BC">
        <w:t>unit</w:t>
      </w:r>
      <w:r w:rsidRPr="00C677BC">
        <w:t xml:space="preserve"> provides legal support and advice to assist </w:t>
      </w:r>
      <w:r w:rsidR="00F13234" w:rsidRPr="00C677BC">
        <w:t>the Courts Council and operating divisions</w:t>
      </w:r>
      <w:r w:rsidRPr="00C677BC">
        <w:t xml:space="preserve">, as well as each jurisdiction upon request. The </w:t>
      </w:r>
      <w:r w:rsidR="00B52CAB" w:rsidRPr="00C677BC">
        <w:t xml:space="preserve">unit </w:t>
      </w:r>
      <w:r w:rsidRPr="00C677BC">
        <w:t xml:space="preserve">has provided legal advice </w:t>
      </w:r>
      <w:r w:rsidR="00F13234" w:rsidRPr="00C677BC">
        <w:t>on</w:t>
      </w:r>
      <w:r w:rsidRPr="00C677BC">
        <w:t xml:space="preserve"> major procure</w:t>
      </w:r>
      <w:r w:rsidR="00F13234" w:rsidRPr="00C677BC">
        <w:t>ment</w:t>
      </w:r>
      <w:r w:rsidR="002317CA" w:rsidRPr="00C677BC">
        <w:t>, diverse property matters</w:t>
      </w:r>
      <w:r w:rsidRPr="00C677BC">
        <w:t xml:space="preserve"> and administrative law; as well as various compliance matters, including freedom of information, privacy and other governance requirements.</w:t>
      </w:r>
    </w:p>
    <w:p w:rsidR="007E3611" w:rsidRPr="007324DF" w:rsidRDefault="007C5176" w:rsidP="007324DF">
      <w:pPr>
        <w:pStyle w:val="Heading3"/>
      </w:pPr>
      <w:r w:rsidRPr="007324DF">
        <w:t>Transforming through Innovation</w:t>
      </w:r>
      <w:r w:rsidR="00E1591C" w:rsidRPr="007324DF">
        <w:t>: Business Analytics</w:t>
      </w:r>
      <w:r w:rsidRPr="007324DF">
        <w:t xml:space="preserve"> </w:t>
      </w:r>
    </w:p>
    <w:p w:rsidR="007C5176" w:rsidRDefault="007C5176" w:rsidP="007C5176">
      <w:r w:rsidRPr="00AF3522">
        <w:t xml:space="preserve">Data is a critical element in any modern organisation, and business analytics is the science of how to leverage data to make better organisational decisions. The division recognised that jurisdictions would need to develop an analytics-orientated culture to meet the growing demands of a modern </w:t>
      </w:r>
      <w:r w:rsidRPr="00C677BC">
        <w:t>and fast-</w:t>
      </w:r>
      <w:r w:rsidR="00F13234" w:rsidRPr="00C677BC">
        <w:t>changing</w:t>
      </w:r>
      <w:r w:rsidRPr="00C677BC">
        <w:t xml:space="preserve"> judicial system.</w:t>
      </w:r>
      <w:r w:rsidRPr="00AF3522">
        <w:t xml:space="preserve"> </w:t>
      </w:r>
      <w:r w:rsidRPr="00AF3522">
        <w:br/>
      </w:r>
      <w:r w:rsidRPr="00AF3522">
        <w:br/>
        <w:t>Partnering with Melbourne Business School (MBS), which is part of the University of Melbourne, the division offered a five-day Business Analytics module to leaders, managers and business analysts across the jurisdict</w:t>
      </w:r>
      <w:r w:rsidR="00502AA6" w:rsidRPr="00AF3522">
        <w:t xml:space="preserve">ions and </w:t>
      </w:r>
      <w:r w:rsidR="00392765" w:rsidRPr="00AF3522">
        <w:t>divisions</w:t>
      </w:r>
      <w:r w:rsidRPr="00AF3522">
        <w:t xml:space="preserve">. The 24 participants who completed the module gained an understanding of the latest techniques, </w:t>
      </w:r>
      <w:r w:rsidR="002317CA" w:rsidRPr="00AF3522">
        <w:t xml:space="preserve">and </w:t>
      </w:r>
      <w:r w:rsidRPr="00AF3522">
        <w:t xml:space="preserve">applied analytical models and tools </w:t>
      </w:r>
      <w:r w:rsidR="002317CA" w:rsidRPr="00AF3522">
        <w:t>to</w:t>
      </w:r>
      <w:r w:rsidRPr="00AF3522">
        <w:t xml:space="preserve"> help better decision-making and outcomes across the jurisdictions.</w:t>
      </w:r>
      <w:r w:rsidRPr="004D6A3D">
        <w:t xml:space="preserve"> </w:t>
      </w:r>
      <w:r w:rsidRPr="004D6A3D">
        <w:br/>
      </w:r>
      <w:r w:rsidRPr="004D6A3D">
        <w:br/>
        <w:t>The participants work</w:t>
      </w:r>
      <w:r w:rsidR="00C677BC">
        <w:t>ed</w:t>
      </w:r>
      <w:r w:rsidRPr="004D6A3D">
        <w:t xml:space="preserve"> in groups to complete a modelling project of case completion times, and then provided recommendations on how the findings could be used to better manage the scarce resources of the jurisdictions and CSV. Participants will have the opportunity to participate in an Advanced Business Analytics module in 2018, and upon completion will be awarded a Professional Certificate in Management from the University of Melbourne.</w:t>
      </w:r>
      <w:r>
        <w:t xml:space="preserve"> </w:t>
      </w:r>
    </w:p>
    <w:p w:rsidR="007C5176" w:rsidRDefault="007C5176" w:rsidP="007C5176">
      <w:pPr>
        <w:rPr>
          <w:b/>
        </w:rPr>
      </w:pPr>
      <w:r>
        <w:br/>
        <w:t xml:space="preserve">The division also offered three-month internships to graduates from the Master of Business Analytics course at MBS, and looks forward to continuing to work with the school in the future. </w:t>
      </w:r>
    </w:p>
    <w:p w:rsidR="00A51426" w:rsidRPr="002B5AC8" w:rsidRDefault="00A51426" w:rsidP="00EA594A">
      <w:pPr>
        <w:pStyle w:val="Heading2"/>
      </w:pPr>
      <w:bookmarkStart w:id="12" w:name="_Toc494978540"/>
      <w:r w:rsidRPr="002B5AC8">
        <w:t>Information Technology Services</w:t>
      </w:r>
      <w:bookmarkEnd w:id="12"/>
    </w:p>
    <w:p w:rsidR="002B5AC8" w:rsidRPr="002B5AC8" w:rsidRDefault="002B5AC8" w:rsidP="00893ACD">
      <w:pPr>
        <w:pStyle w:val="Heading4"/>
        <w:rPr>
          <w:b w:val="0"/>
          <w:i w:val="0"/>
        </w:rPr>
      </w:pPr>
      <w:r w:rsidRPr="002B5AC8">
        <w:rPr>
          <w:b w:val="0"/>
          <w:i w:val="0"/>
        </w:rPr>
        <w:t>The Information Technology Services (ITS) division delivers a high-value service for IT infrastructure, case management systems and in-court systems to the jurisdictions. The division also leads IT strategy development and works collaboratively to support IT jurisdictional objectives and outcomes. The division is led by the Chief Information Officer, Justin Bree.</w:t>
      </w:r>
    </w:p>
    <w:p w:rsidR="007324DF" w:rsidRDefault="002B5AC8" w:rsidP="007324DF">
      <w:pPr>
        <w:pStyle w:val="Heading3"/>
      </w:pPr>
      <w:r w:rsidRPr="002B5AC8">
        <w:t>In-court Technology</w:t>
      </w:r>
    </w:p>
    <w:p w:rsidR="002B5AC8" w:rsidRPr="002B5AC8" w:rsidRDefault="002B5AC8" w:rsidP="00893ACD">
      <w:pPr>
        <w:pStyle w:val="Heading4"/>
        <w:rPr>
          <w:szCs w:val="22"/>
        </w:rPr>
      </w:pPr>
      <w:r w:rsidRPr="002B5AC8">
        <w:rPr>
          <w:rFonts w:eastAsia="Calibri"/>
          <w:b w:val="0"/>
          <w:bCs w:val="0"/>
          <w:i w:val="0"/>
          <w:szCs w:val="22"/>
          <w:lang w:eastAsia="en-US"/>
        </w:rPr>
        <w:t>The division has supported significant improvements in high-definition video conferenc</w:t>
      </w:r>
      <w:r w:rsidR="00F13234">
        <w:rPr>
          <w:rFonts w:eastAsia="Calibri"/>
          <w:b w:val="0"/>
          <w:bCs w:val="0"/>
          <w:i w:val="0"/>
          <w:szCs w:val="22"/>
          <w:lang w:eastAsia="en-US"/>
        </w:rPr>
        <w:t xml:space="preserve">ing systems in 112 court rooms </w:t>
      </w:r>
      <w:r w:rsidRPr="003C078A">
        <w:rPr>
          <w:rFonts w:eastAsia="Calibri"/>
          <w:b w:val="0"/>
          <w:bCs w:val="0"/>
          <w:i w:val="0"/>
          <w:szCs w:val="22"/>
          <w:lang w:eastAsia="en-US"/>
        </w:rPr>
        <w:t>across 30</w:t>
      </w:r>
      <w:r w:rsidRPr="002B5AC8">
        <w:rPr>
          <w:rFonts w:eastAsia="Calibri"/>
          <w:b w:val="0"/>
          <w:bCs w:val="0"/>
          <w:i w:val="0"/>
          <w:szCs w:val="22"/>
          <w:lang w:eastAsia="en-US"/>
        </w:rPr>
        <w:t xml:space="preserve"> Magistrates’ Court buildings. Modern video conferencing allows for the separation of victims from the accused while giving evidence, which is particularly important in </w:t>
      </w:r>
      <w:r w:rsidRPr="002B5AC8">
        <w:rPr>
          <w:rFonts w:eastAsia="Calibri"/>
          <w:b w:val="0"/>
          <w:bCs w:val="0"/>
          <w:i w:val="0"/>
          <w:szCs w:val="22"/>
          <w:lang w:eastAsia="en-US"/>
        </w:rPr>
        <w:lastRenderedPageBreak/>
        <w:t>c</w:t>
      </w:r>
      <w:r w:rsidR="00F13234">
        <w:rPr>
          <w:rFonts w:eastAsia="Calibri"/>
          <w:b w:val="0"/>
          <w:bCs w:val="0"/>
          <w:i w:val="0"/>
          <w:szCs w:val="22"/>
          <w:lang w:eastAsia="en-US"/>
        </w:rPr>
        <w:t xml:space="preserve">ases of family violence. </w:t>
      </w:r>
      <w:r w:rsidR="00F13234" w:rsidRPr="003C078A">
        <w:rPr>
          <w:rFonts w:eastAsia="Calibri"/>
          <w:b w:val="0"/>
          <w:bCs w:val="0"/>
          <w:i w:val="0"/>
          <w:szCs w:val="22"/>
          <w:lang w:eastAsia="en-US"/>
        </w:rPr>
        <w:t>T</w:t>
      </w:r>
      <w:r w:rsidRPr="003C078A">
        <w:rPr>
          <w:rFonts w:eastAsia="Calibri"/>
          <w:b w:val="0"/>
          <w:bCs w:val="0"/>
          <w:i w:val="0"/>
          <w:szCs w:val="22"/>
          <w:lang w:eastAsia="en-US"/>
        </w:rPr>
        <w:t xml:space="preserve">hese improvements </w:t>
      </w:r>
      <w:r w:rsidR="00F13234" w:rsidRPr="003C078A">
        <w:rPr>
          <w:rFonts w:eastAsia="Calibri"/>
          <w:b w:val="0"/>
          <w:bCs w:val="0"/>
          <w:i w:val="0"/>
          <w:szCs w:val="22"/>
          <w:lang w:eastAsia="en-US"/>
        </w:rPr>
        <w:t>also</w:t>
      </w:r>
      <w:r w:rsidR="00F13234">
        <w:rPr>
          <w:rFonts w:eastAsia="Calibri"/>
          <w:b w:val="0"/>
          <w:bCs w:val="0"/>
          <w:i w:val="0"/>
          <w:szCs w:val="22"/>
          <w:lang w:eastAsia="en-US"/>
        </w:rPr>
        <w:t xml:space="preserve"> </w:t>
      </w:r>
      <w:r w:rsidRPr="002B5AC8">
        <w:rPr>
          <w:rFonts w:eastAsia="Calibri"/>
          <w:b w:val="0"/>
          <w:bCs w:val="0"/>
          <w:i w:val="0"/>
          <w:szCs w:val="22"/>
          <w:lang w:eastAsia="en-US"/>
        </w:rPr>
        <w:t xml:space="preserve">reduce the </w:t>
      </w:r>
      <w:r w:rsidR="00316FB0">
        <w:rPr>
          <w:rFonts w:eastAsia="Calibri"/>
          <w:b w:val="0"/>
          <w:bCs w:val="0"/>
          <w:i w:val="0"/>
          <w:szCs w:val="22"/>
          <w:lang w:eastAsia="en-US"/>
        </w:rPr>
        <w:t>requirement for transportation and alleviate security concerns</w:t>
      </w:r>
      <w:r w:rsidRPr="002B5AC8">
        <w:rPr>
          <w:rFonts w:eastAsia="Calibri"/>
          <w:b w:val="0"/>
          <w:bCs w:val="0"/>
          <w:i w:val="0"/>
          <w:szCs w:val="22"/>
          <w:lang w:eastAsia="en-US"/>
        </w:rPr>
        <w:t xml:space="preserve"> associated with</w:t>
      </w:r>
      <w:r w:rsidR="00F07798">
        <w:rPr>
          <w:rFonts w:eastAsia="Calibri"/>
          <w:b w:val="0"/>
          <w:bCs w:val="0"/>
          <w:i w:val="0"/>
          <w:szCs w:val="22"/>
          <w:lang w:eastAsia="en-US"/>
        </w:rPr>
        <w:t xml:space="preserve"> moving prisoners</w:t>
      </w:r>
      <w:r w:rsidRPr="002B5AC8">
        <w:rPr>
          <w:rFonts w:eastAsia="Calibri"/>
          <w:b w:val="0"/>
          <w:bCs w:val="0"/>
          <w:i w:val="0"/>
          <w:szCs w:val="22"/>
          <w:lang w:eastAsia="en-US"/>
        </w:rPr>
        <w:t xml:space="preserve">. </w:t>
      </w:r>
    </w:p>
    <w:p w:rsidR="00893ACD" w:rsidRPr="002B5AC8" w:rsidRDefault="002B5AC8" w:rsidP="007324DF">
      <w:pPr>
        <w:pStyle w:val="Heading3"/>
        <w:rPr>
          <w:highlight w:val="yellow"/>
        </w:rPr>
      </w:pPr>
      <w:r w:rsidRPr="002B5AC8">
        <w:t>Technology Independence for CSV</w:t>
      </w:r>
    </w:p>
    <w:p w:rsidR="002B5AC8" w:rsidRPr="002B5AC8" w:rsidRDefault="002B5AC8" w:rsidP="002B5AC8">
      <w:pPr>
        <w:spacing w:after="160" w:line="259" w:lineRule="auto"/>
        <w:rPr>
          <w:bCs/>
          <w:color w:val="000000"/>
          <w:lang w:eastAsia="en-US"/>
        </w:rPr>
      </w:pPr>
      <w:r w:rsidRPr="002B5AC8">
        <w:rPr>
          <w:bCs/>
          <w:color w:val="000000"/>
          <w:lang w:eastAsia="en-US"/>
        </w:rPr>
        <w:t>Even though the courts were separated from the Department of Justice and Regulation in 2014, CSV continued to rely on the department for some technology infrastructur</w:t>
      </w:r>
      <w:r w:rsidR="00F13234">
        <w:rPr>
          <w:bCs/>
          <w:color w:val="000000"/>
          <w:lang w:eastAsia="en-US"/>
        </w:rPr>
        <w:t xml:space="preserve">e and certain support </w:t>
      </w:r>
      <w:r w:rsidR="00F13234" w:rsidRPr="003C078A">
        <w:rPr>
          <w:bCs/>
          <w:color w:val="000000"/>
          <w:lang w:eastAsia="en-US"/>
        </w:rPr>
        <w:t>services.</w:t>
      </w:r>
      <w:r>
        <w:rPr>
          <w:bCs/>
          <w:color w:val="000000"/>
          <w:lang w:eastAsia="en-US"/>
        </w:rPr>
        <w:br/>
      </w:r>
      <w:r>
        <w:rPr>
          <w:bCs/>
          <w:color w:val="000000"/>
          <w:lang w:eastAsia="en-US"/>
        </w:rPr>
        <w:br/>
      </w:r>
      <w:r w:rsidRPr="002B5AC8">
        <w:rPr>
          <w:color w:val="000000"/>
          <w:lang w:eastAsia="en-US"/>
        </w:rPr>
        <w:t>In June 2017, after an extensive examination of how to separate the technology environments of the courts and the department, the CenITex Government Shared Platform was determined to be the optimal choice with regards to cost, technology modernisation an</w:t>
      </w:r>
      <w:r w:rsidR="00F13234">
        <w:rPr>
          <w:color w:val="000000"/>
          <w:lang w:eastAsia="en-US"/>
        </w:rPr>
        <w:t xml:space="preserve">d support. The transition to </w:t>
      </w:r>
      <w:r w:rsidR="00F13234" w:rsidRPr="003C078A">
        <w:rPr>
          <w:color w:val="000000"/>
          <w:lang w:eastAsia="en-US"/>
        </w:rPr>
        <w:t>this</w:t>
      </w:r>
      <w:r w:rsidRPr="003C078A">
        <w:rPr>
          <w:color w:val="000000"/>
          <w:lang w:eastAsia="en-US"/>
        </w:rPr>
        <w:t xml:space="preserve"> platform</w:t>
      </w:r>
      <w:r w:rsidRPr="002B5AC8">
        <w:rPr>
          <w:color w:val="000000"/>
          <w:lang w:eastAsia="en-US"/>
        </w:rPr>
        <w:t xml:space="preserve"> will deliver a significant technology upgrade and a contemporary computing environment to court users. The upgrade project has commenced and will continue throughout the next financial year. </w:t>
      </w:r>
    </w:p>
    <w:p w:rsidR="007324DF" w:rsidRDefault="002B5AC8" w:rsidP="007324DF">
      <w:pPr>
        <w:pStyle w:val="Heading3"/>
        <w:rPr>
          <w:rFonts w:eastAsia="Calibri"/>
          <w:lang w:eastAsia="en-US"/>
        </w:rPr>
      </w:pPr>
      <w:r w:rsidRPr="002B5AC8">
        <w:rPr>
          <w:rFonts w:eastAsia="Calibri"/>
          <w:lang w:eastAsia="en-US"/>
        </w:rPr>
        <w:t>Courts Case Management System Enhancements</w:t>
      </w:r>
    </w:p>
    <w:p w:rsidR="002B5AC8" w:rsidRPr="002B5AC8" w:rsidRDefault="002B5AC8" w:rsidP="00C60580">
      <w:pPr>
        <w:pStyle w:val="Heading4"/>
        <w:rPr>
          <w:szCs w:val="22"/>
          <w:highlight w:val="yellow"/>
        </w:rPr>
      </w:pPr>
      <w:r w:rsidRPr="002B5AC8">
        <w:rPr>
          <w:rFonts w:eastAsia="Calibri"/>
          <w:b w:val="0"/>
          <w:bCs w:val="0"/>
          <w:i w:val="0"/>
          <w:color w:val="000000"/>
          <w:szCs w:val="22"/>
          <w:lang w:eastAsia="en-US"/>
        </w:rPr>
        <w:t>To support legislative reform concerning the collection of outstanding court fines and infringements, enhancements to the County Court and Magistrates’ Court case management systems were required, in conjunction with a new electronic interface to share fine and cost data with Infringement Management and Enforcement Services (IMES).</w:t>
      </w:r>
      <w:r w:rsidRPr="002B5AC8">
        <w:rPr>
          <w:rFonts w:eastAsia="Calibri"/>
          <w:b w:val="0"/>
          <w:bCs w:val="0"/>
          <w:i w:val="0"/>
          <w:color w:val="000000"/>
          <w:sz w:val="20"/>
          <w:szCs w:val="20"/>
          <w:lang w:eastAsia="en-US"/>
        </w:rPr>
        <w:t xml:space="preserve"> </w:t>
      </w:r>
      <w:r w:rsidRPr="002B5AC8">
        <w:rPr>
          <w:rFonts w:eastAsia="Calibri"/>
          <w:b w:val="0"/>
          <w:bCs w:val="0"/>
          <w:i w:val="0"/>
          <w:iCs/>
          <w:color w:val="000000"/>
          <w:szCs w:val="22"/>
          <w:lang w:eastAsia="en-US"/>
        </w:rPr>
        <w:t>A</w:t>
      </w:r>
      <w:r w:rsidRPr="002B5AC8">
        <w:rPr>
          <w:rFonts w:eastAsia="Calibri"/>
          <w:b w:val="0"/>
          <w:i w:val="0"/>
          <w:iCs/>
          <w:szCs w:val="22"/>
        </w:rPr>
        <w:t xml:space="preserve"> dedicated project team within ITS, in collaboration with the jurisdictions and IMES, has been working on delivering these changes since October 2016.</w:t>
      </w:r>
    </w:p>
    <w:p w:rsidR="007C30BB" w:rsidRPr="0028018F" w:rsidRDefault="0028018F" w:rsidP="007324DF">
      <w:pPr>
        <w:pStyle w:val="Heading3"/>
        <w:rPr>
          <w:highlight w:val="yellow"/>
        </w:rPr>
      </w:pPr>
      <w:r w:rsidRPr="0028018F">
        <w:rPr>
          <w:rFonts w:eastAsia="Calibri"/>
          <w:lang w:eastAsia="en-US"/>
        </w:rPr>
        <w:t>Security and Risk</w:t>
      </w:r>
    </w:p>
    <w:p w:rsidR="0028018F" w:rsidRDefault="0028018F" w:rsidP="007C30BB">
      <w:pPr>
        <w:rPr>
          <w:bCs/>
          <w:iCs/>
        </w:rPr>
      </w:pPr>
      <w:r>
        <w:rPr>
          <w:bCs/>
          <w:iCs/>
        </w:rPr>
        <w:t>ITS works with the jurisdictions to continually assess information security requirements in an ever-changing threat and risk environment. This year, ITS completed several information security reviews with a view to strengthening existing security measures. Further work in the area of cyber security is planned, as managing information security will continue to be a challenge due to the highly dynamic nature of threats and risks.</w:t>
      </w:r>
    </w:p>
    <w:p w:rsidR="0028018F" w:rsidRPr="002030AB" w:rsidRDefault="0028018F" w:rsidP="007324DF">
      <w:pPr>
        <w:pStyle w:val="Heading3"/>
        <w:rPr>
          <w:rFonts w:eastAsia="Calibri"/>
          <w:lang w:eastAsia="en-US"/>
        </w:rPr>
      </w:pPr>
      <w:r w:rsidRPr="002030AB">
        <w:rPr>
          <w:rFonts w:eastAsia="Calibri"/>
          <w:lang w:eastAsia="en-US"/>
        </w:rPr>
        <w:t xml:space="preserve">Victorian Government Reporting Service </w:t>
      </w:r>
    </w:p>
    <w:p w:rsidR="0028018F" w:rsidRPr="0028018F" w:rsidRDefault="0028018F" w:rsidP="0028018F">
      <w:pPr>
        <w:autoSpaceDE w:val="0"/>
        <w:autoSpaceDN w:val="0"/>
        <w:adjustRightInd w:val="0"/>
        <w:rPr>
          <w:color w:val="000000"/>
          <w:lang w:eastAsia="en-US"/>
        </w:rPr>
      </w:pPr>
      <w:r w:rsidRPr="0028018F">
        <w:rPr>
          <w:color w:val="000000"/>
          <w:lang w:eastAsia="en-US"/>
        </w:rPr>
        <w:t>The Victorian Government Reporting Service (VGRS) team continued to provide high-quality criminal recording and transcription services to Victoria’s courts – providing transcripts in approximately 12,000 hearings during 2016-17.</w:t>
      </w:r>
    </w:p>
    <w:p w:rsidR="0028018F" w:rsidRPr="0028018F" w:rsidRDefault="0028018F" w:rsidP="0028018F">
      <w:pPr>
        <w:autoSpaceDE w:val="0"/>
        <w:autoSpaceDN w:val="0"/>
        <w:adjustRightInd w:val="0"/>
        <w:rPr>
          <w:color w:val="000000"/>
          <w:lang w:eastAsia="en-US"/>
        </w:rPr>
      </w:pPr>
    </w:p>
    <w:p w:rsidR="007324DF" w:rsidRDefault="0028018F" w:rsidP="0028018F">
      <w:pPr>
        <w:spacing w:line="259" w:lineRule="auto"/>
        <w:rPr>
          <w:color w:val="000000"/>
          <w:lang w:eastAsia="en-US"/>
        </w:rPr>
      </w:pPr>
      <w:r w:rsidRPr="0028018F">
        <w:rPr>
          <w:color w:val="000000"/>
          <w:lang w:eastAsia="en-US"/>
        </w:rPr>
        <w:t xml:space="preserve">This year's performance for timely delivery of transcripts and quality exceeded all service benchmarks. More than 98 per cent of transcripts were delivered on time across the Supreme Court, Court of Appeal, County Court and Coroners Court. </w:t>
      </w:r>
    </w:p>
    <w:p w:rsidR="007324DF" w:rsidRDefault="007324DF" w:rsidP="0028018F">
      <w:pPr>
        <w:spacing w:line="259" w:lineRule="auto"/>
        <w:rPr>
          <w:color w:val="000000"/>
          <w:lang w:eastAsia="en-US"/>
        </w:rPr>
      </w:pPr>
    </w:p>
    <w:p w:rsidR="0028018F" w:rsidRPr="0028018F" w:rsidRDefault="0028018F" w:rsidP="0028018F">
      <w:pPr>
        <w:spacing w:line="259" w:lineRule="auto"/>
        <w:rPr>
          <w:color w:val="000000"/>
          <w:lang w:eastAsia="en-US"/>
        </w:rPr>
      </w:pPr>
      <w:r w:rsidRPr="0028018F">
        <w:rPr>
          <w:color w:val="000000"/>
          <w:lang w:eastAsia="en-US"/>
        </w:rPr>
        <w:t xml:space="preserve">Revised turnaround times for committals proceeding to the Supreme </w:t>
      </w:r>
      <w:r w:rsidRPr="003C078A">
        <w:rPr>
          <w:color w:val="000000"/>
          <w:lang w:eastAsia="en-US"/>
        </w:rPr>
        <w:t>Court are being implemented</w:t>
      </w:r>
      <w:r w:rsidRPr="0028018F">
        <w:rPr>
          <w:color w:val="000000"/>
          <w:lang w:eastAsia="en-US"/>
        </w:rPr>
        <w:t xml:space="preserve"> to assist the court in expediting the listing of trials. </w:t>
      </w:r>
    </w:p>
    <w:p w:rsidR="007324DF" w:rsidRDefault="007324DF" w:rsidP="0028018F">
      <w:pPr>
        <w:spacing w:line="259" w:lineRule="auto"/>
        <w:rPr>
          <w:color w:val="000000"/>
          <w:lang w:eastAsia="en-US"/>
        </w:rPr>
      </w:pPr>
    </w:p>
    <w:p w:rsidR="0028018F" w:rsidRPr="0028018F" w:rsidRDefault="0028018F" w:rsidP="0028018F">
      <w:pPr>
        <w:spacing w:line="259" w:lineRule="auto"/>
        <w:rPr>
          <w:color w:val="000000"/>
          <w:lang w:eastAsia="en-US"/>
        </w:rPr>
      </w:pPr>
      <w:r w:rsidRPr="0028018F">
        <w:rPr>
          <w:color w:val="000000"/>
          <w:lang w:eastAsia="en-US"/>
        </w:rPr>
        <w:t xml:space="preserve">A formal document outlining the authorisations required in all County Court criminal matters has been endorsed by the Chief Judge. This ensures that all County Court and VGRS staff have a common understanding of the processes in place. </w:t>
      </w:r>
    </w:p>
    <w:p w:rsidR="0028018F" w:rsidRPr="0028018F" w:rsidRDefault="0028018F" w:rsidP="0028018F">
      <w:pPr>
        <w:autoSpaceDE w:val="0"/>
        <w:autoSpaceDN w:val="0"/>
        <w:adjustRightInd w:val="0"/>
        <w:rPr>
          <w:color w:val="000000"/>
          <w:lang w:eastAsia="en-US"/>
        </w:rPr>
      </w:pPr>
    </w:p>
    <w:p w:rsidR="0028018F" w:rsidRPr="0028018F" w:rsidRDefault="0028018F" w:rsidP="0028018F">
      <w:pPr>
        <w:autoSpaceDE w:val="0"/>
        <w:autoSpaceDN w:val="0"/>
        <w:adjustRightInd w:val="0"/>
        <w:rPr>
          <w:rFonts w:ascii="Helv" w:hAnsi="Helv" w:cs="Helv"/>
          <w:color w:val="000000"/>
          <w:lang w:eastAsia="en-US"/>
        </w:rPr>
      </w:pPr>
      <w:r w:rsidRPr="0028018F">
        <w:rPr>
          <w:rFonts w:ascii="Helv" w:hAnsi="Helv" w:cs="Helv"/>
          <w:color w:val="000000"/>
          <w:lang w:eastAsia="en-US"/>
        </w:rPr>
        <w:t xml:space="preserve">The replacement of the VGRS Transcript Management Suite is in its final stages with the new system, TOMAS, due for release in August 2017. TOMAS will offer more efficient use of VGRS resources and support the changing requirements of transcription and recording in Victoria's courts. </w:t>
      </w:r>
    </w:p>
    <w:p w:rsidR="0028018F" w:rsidRPr="0028018F" w:rsidRDefault="0028018F" w:rsidP="0028018F">
      <w:pPr>
        <w:autoSpaceDE w:val="0"/>
        <w:autoSpaceDN w:val="0"/>
        <w:adjustRightInd w:val="0"/>
        <w:rPr>
          <w:rFonts w:ascii="Helv" w:hAnsi="Helv" w:cs="Helv"/>
          <w:color w:val="000000"/>
          <w:lang w:eastAsia="en-US"/>
        </w:rPr>
      </w:pPr>
    </w:p>
    <w:p w:rsidR="0028018F" w:rsidRDefault="0028018F" w:rsidP="0028018F">
      <w:pPr>
        <w:rPr>
          <w:rFonts w:ascii="Helv" w:hAnsi="Helv" w:cs="Helv"/>
          <w:color w:val="000000"/>
          <w:lang w:eastAsia="en-US"/>
        </w:rPr>
      </w:pPr>
      <w:r w:rsidRPr="0028018F">
        <w:rPr>
          <w:rFonts w:ascii="Helv" w:hAnsi="Helv" w:cs="Helv"/>
          <w:color w:val="000000"/>
          <w:lang w:eastAsia="en-US"/>
        </w:rPr>
        <w:lastRenderedPageBreak/>
        <w:t xml:space="preserve">VGRS has begun working with the Public Records Office of Victoria to draft a Retention and Disposal Authority (RDA) for approval from the courts. The RDA will solidify the status of transcription and recordings as permanent or temporary public records and specify their storage, retention and access requirements. </w:t>
      </w:r>
    </w:p>
    <w:p w:rsidR="0028018F" w:rsidRPr="002030AB" w:rsidRDefault="0028018F" w:rsidP="007324DF">
      <w:pPr>
        <w:pStyle w:val="Heading3"/>
        <w:rPr>
          <w:rFonts w:eastAsia="Calibri"/>
          <w:lang w:eastAsia="en-US"/>
        </w:rPr>
      </w:pPr>
      <w:r w:rsidRPr="002030AB">
        <w:rPr>
          <w:rFonts w:eastAsia="Calibri"/>
          <w:lang w:eastAsia="en-US"/>
        </w:rPr>
        <w:t>Transformation through Innovation: Virtual Servers</w:t>
      </w:r>
    </w:p>
    <w:p w:rsidR="0028018F" w:rsidRPr="0028018F" w:rsidRDefault="0028018F" w:rsidP="0028018F">
      <w:pPr>
        <w:autoSpaceDE w:val="0"/>
        <w:autoSpaceDN w:val="0"/>
        <w:adjustRightInd w:val="0"/>
        <w:rPr>
          <w:color w:val="000000"/>
          <w:lang w:eastAsia="en-US"/>
        </w:rPr>
      </w:pPr>
      <w:r w:rsidRPr="0028018F">
        <w:rPr>
          <w:color w:val="000000"/>
          <w:lang w:eastAsia="en-US"/>
        </w:rPr>
        <w:t>Like many organisations, CSV seeks to reduce the cost of IT without compromising the reliability of services. Managing the life cycle of physical infrastructure and leveraging different technologies presents opportunities to achieve positive outcomes for the courts.</w:t>
      </w:r>
    </w:p>
    <w:p w:rsidR="0028018F" w:rsidRPr="0028018F" w:rsidRDefault="0028018F" w:rsidP="0028018F">
      <w:pPr>
        <w:autoSpaceDE w:val="0"/>
        <w:autoSpaceDN w:val="0"/>
        <w:adjustRightInd w:val="0"/>
        <w:rPr>
          <w:color w:val="000000"/>
          <w:lang w:eastAsia="en-US"/>
        </w:rPr>
      </w:pPr>
    </w:p>
    <w:p w:rsidR="0028018F" w:rsidRPr="0028018F" w:rsidRDefault="0028018F" w:rsidP="0028018F">
      <w:pPr>
        <w:autoSpaceDE w:val="0"/>
        <w:autoSpaceDN w:val="0"/>
        <w:adjustRightInd w:val="0"/>
        <w:rPr>
          <w:color w:val="000000"/>
          <w:lang w:eastAsia="en-US"/>
        </w:rPr>
      </w:pPr>
      <w:r w:rsidRPr="0028018F">
        <w:rPr>
          <w:color w:val="000000"/>
          <w:lang w:eastAsia="en-US"/>
        </w:rPr>
        <w:t xml:space="preserve">The Magistrates’ Court have numerous locations across the state. Some of the server hardware in regional locations is ageing and the replacement of this hardware represents a considerable financial commitment. </w:t>
      </w:r>
    </w:p>
    <w:p w:rsidR="0028018F" w:rsidRPr="0028018F" w:rsidRDefault="0028018F" w:rsidP="0028018F">
      <w:pPr>
        <w:autoSpaceDE w:val="0"/>
        <w:autoSpaceDN w:val="0"/>
        <w:adjustRightInd w:val="0"/>
        <w:rPr>
          <w:color w:val="000000"/>
          <w:lang w:eastAsia="en-US"/>
        </w:rPr>
      </w:pPr>
    </w:p>
    <w:p w:rsidR="0028018F" w:rsidRPr="0028018F" w:rsidRDefault="0028018F" w:rsidP="0028018F">
      <w:pPr>
        <w:autoSpaceDE w:val="0"/>
        <w:autoSpaceDN w:val="0"/>
        <w:adjustRightInd w:val="0"/>
        <w:rPr>
          <w:color w:val="000000"/>
          <w:lang w:eastAsia="en-US"/>
        </w:rPr>
      </w:pPr>
      <w:r w:rsidRPr="0028018F">
        <w:rPr>
          <w:color w:val="000000"/>
          <w:lang w:eastAsia="en-US"/>
        </w:rPr>
        <w:t xml:space="preserve">Rather than simply replace the existing hardware, ITS worked with the Magistrates’ Court to trial the use of virtual servers in the Seymour Magistrates’ Court. Virtual servers eliminate the need for local hardware. Instead, users access virtual machines hosted in a centralised data centre. </w:t>
      </w:r>
    </w:p>
    <w:p w:rsidR="0028018F" w:rsidRPr="0028018F" w:rsidRDefault="0028018F" w:rsidP="0028018F">
      <w:pPr>
        <w:autoSpaceDE w:val="0"/>
        <w:autoSpaceDN w:val="0"/>
        <w:adjustRightInd w:val="0"/>
        <w:rPr>
          <w:color w:val="000000"/>
          <w:lang w:eastAsia="en-US"/>
        </w:rPr>
      </w:pPr>
    </w:p>
    <w:p w:rsidR="0028018F" w:rsidRPr="0028018F" w:rsidRDefault="0028018F" w:rsidP="0028018F">
      <w:pPr>
        <w:autoSpaceDE w:val="0"/>
        <w:autoSpaceDN w:val="0"/>
        <w:adjustRightInd w:val="0"/>
        <w:rPr>
          <w:color w:val="000000"/>
          <w:lang w:eastAsia="en-US"/>
        </w:rPr>
      </w:pPr>
      <w:r w:rsidRPr="0028018F">
        <w:rPr>
          <w:color w:val="000000"/>
          <w:lang w:eastAsia="en-US"/>
        </w:rPr>
        <w:t>The trial was a success and further work has commenced to expand the use of virtual servers. In time, this will lead to significantly reduced hardware costs, improved flexibility and an improved ability to establish and maintain services for the courts.</w:t>
      </w:r>
    </w:p>
    <w:p w:rsidR="0028018F" w:rsidRDefault="0028018F" w:rsidP="0028018F"/>
    <w:p w:rsidR="00A51426" w:rsidRPr="002B2838" w:rsidRDefault="0028018F" w:rsidP="00EA594A">
      <w:pPr>
        <w:pStyle w:val="Heading2"/>
      </w:pPr>
      <w:r>
        <w:br w:type="page"/>
      </w:r>
      <w:bookmarkStart w:id="13" w:name="_Toc494978541"/>
      <w:r w:rsidR="00A51426">
        <w:lastRenderedPageBreak/>
        <w:t>Assets a</w:t>
      </w:r>
      <w:r w:rsidR="00A51426" w:rsidRPr="002B2838">
        <w:t xml:space="preserve">nd </w:t>
      </w:r>
      <w:r w:rsidR="00A51426">
        <w:t>Security</w:t>
      </w:r>
      <w:bookmarkEnd w:id="13"/>
    </w:p>
    <w:p w:rsidR="00D0531C" w:rsidRDefault="00D0531C" w:rsidP="00D0531C">
      <w:r w:rsidRPr="00263168">
        <w:t>T</w:t>
      </w:r>
      <w:r w:rsidR="002317CA">
        <w:t>he Assets and Security d</w:t>
      </w:r>
      <w:r>
        <w:t>ivision supports</w:t>
      </w:r>
      <w:r w:rsidRPr="00263168">
        <w:t xml:space="preserve"> accessible justice for all Victorians through a portfolio of buildings that are functional, safe, secure and sustainable to meet the service needs of the j</w:t>
      </w:r>
      <w:r>
        <w:t>urisdictions and the community.</w:t>
      </w:r>
    </w:p>
    <w:p w:rsidR="00D1670D" w:rsidRPr="00263168" w:rsidRDefault="00D1670D" w:rsidP="00D0531C"/>
    <w:p w:rsidR="00D0531C" w:rsidRDefault="00D0531C" w:rsidP="00D0531C">
      <w:r w:rsidRPr="0089298B">
        <w:t>Working in partnership with jurisdictions, th</w:t>
      </w:r>
      <w:r>
        <w:t>e d</w:t>
      </w:r>
      <w:r w:rsidRPr="0089298B">
        <w:t xml:space="preserve">ivision plans and manages court and tribunal assets and security requirements </w:t>
      </w:r>
      <w:r>
        <w:t xml:space="preserve">for 66 courts across 75 buildings. </w:t>
      </w:r>
    </w:p>
    <w:p w:rsidR="00176A5B" w:rsidRDefault="00176A5B" w:rsidP="00D1670D">
      <w:pPr>
        <w:pStyle w:val="Heading3"/>
      </w:pPr>
      <w:r>
        <w:t>Delivery of Family Violence Initiative U</w:t>
      </w:r>
      <w:r w:rsidRPr="002741BE">
        <w:t>pgrades</w:t>
      </w:r>
    </w:p>
    <w:p w:rsidR="00F3654B" w:rsidRPr="00A25621" w:rsidRDefault="00C5021E" w:rsidP="00F3654B">
      <w:r>
        <w:t>In response to the recommendations from the Royal Commission into Family Violence the division has been upgrading a number of court locations to help make them safer for women and children.</w:t>
      </w:r>
      <w:r w:rsidR="00F3654B" w:rsidRPr="00A25621">
        <w:t xml:space="preserve"> </w:t>
      </w:r>
      <w:r w:rsidR="00F3654B">
        <w:t>The division worked</w:t>
      </w:r>
      <w:r w:rsidR="00F3654B" w:rsidRPr="00A25621">
        <w:t xml:space="preserve"> closely with </w:t>
      </w:r>
      <w:r w:rsidR="00F3654B" w:rsidRPr="00FD5EAC">
        <w:t>the Magistrates' Court to plan, design and implement minor modifications to existing buildings and infrastructure to accommodate additional workers and create safe waiting areas, discreet entries and separate pathways</w:t>
      </w:r>
      <w:r w:rsidR="00F3654B" w:rsidRPr="00A25621">
        <w:t xml:space="preserve"> </w:t>
      </w:r>
      <w:r w:rsidR="00F3654B" w:rsidRPr="00FD5EAC">
        <w:t>at Horsham, Heidelberg, Bendigo, Broadmeadows, Geelong, Sunshine, Wangaratta, Werribee, Dandenong and Ringwood</w:t>
      </w:r>
      <w:r w:rsidR="00F3654B" w:rsidRPr="00A25621">
        <w:t>.</w:t>
      </w:r>
    </w:p>
    <w:p w:rsidR="00176A5B" w:rsidRPr="00A82EC8" w:rsidRDefault="00F3654B" w:rsidP="00D1670D">
      <w:pPr>
        <w:pStyle w:val="Heading3"/>
      </w:pPr>
      <w:r>
        <w:t>Safe and Secure Courts</w:t>
      </w:r>
      <w:r w:rsidR="00176A5B" w:rsidRPr="00A82EC8">
        <w:t xml:space="preserve"> </w:t>
      </w:r>
    </w:p>
    <w:p w:rsidR="00F3654B" w:rsidRDefault="00F3654B" w:rsidP="00F3654B">
      <w:pPr>
        <w:autoSpaceDE w:val="0"/>
        <w:autoSpaceDN w:val="0"/>
        <w:adjustRightInd w:val="0"/>
      </w:pPr>
      <w:r>
        <w:t>Last year’s</w:t>
      </w:r>
      <w:r w:rsidRPr="00A25621">
        <w:t xml:space="preserve"> Victorian Court Safety A</w:t>
      </w:r>
      <w:r>
        <w:t>udit Project assessed</w:t>
      </w:r>
      <w:r w:rsidRPr="00A25621">
        <w:t xml:space="preserve"> the physical structure and operations of </w:t>
      </w:r>
      <w:r>
        <w:t xml:space="preserve">the </w:t>
      </w:r>
      <w:r w:rsidRPr="00A25621">
        <w:t xml:space="preserve">Victorian Magistrates’ Court buildings to ensure that victims of family violence can be safe and free from intimidation while attending court. The audit informed the development of the Victorian Court Security Model </w:t>
      </w:r>
      <w:r>
        <w:t>that in</w:t>
      </w:r>
      <w:r w:rsidR="00585477">
        <w:t>cludes</w:t>
      </w:r>
      <w:r>
        <w:t xml:space="preserve"> </w:t>
      </w:r>
      <w:r w:rsidRPr="00A25621">
        <w:t>the addition of entry screening equipment at regional courts</w:t>
      </w:r>
      <w:r>
        <w:t xml:space="preserve"> </w:t>
      </w:r>
      <w:r w:rsidRPr="00A25621">
        <w:t>and the introduction of Court Security Officers</w:t>
      </w:r>
      <w:r>
        <w:t xml:space="preserve"> (CSOs) at courts and tribunals. </w:t>
      </w:r>
      <w:r w:rsidRPr="00A25621">
        <w:t>In 201</w:t>
      </w:r>
      <w:r>
        <w:t>6</w:t>
      </w:r>
      <w:r w:rsidRPr="00A25621">
        <w:t xml:space="preserve">-17 </w:t>
      </w:r>
      <w:r>
        <w:t>a</w:t>
      </w:r>
      <w:r w:rsidRPr="00A25621">
        <w:t xml:space="preserve"> major tender </w:t>
      </w:r>
      <w:r w:rsidR="00C5021E">
        <w:t>commenced</w:t>
      </w:r>
      <w:r>
        <w:t xml:space="preserve"> to select a </w:t>
      </w:r>
      <w:r w:rsidRPr="00A25621">
        <w:t>supplier to</w:t>
      </w:r>
      <w:r>
        <w:rPr>
          <w:color w:val="000000"/>
        </w:rPr>
        <w:t xml:space="preserve"> </w:t>
      </w:r>
      <w:r w:rsidRPr="00A25621">
        <w:t>recruit, train an</w:t>
      </w:r>
      <w:r w:rsidR="00CD1B29">
        <w:t>d deploy CSOs across the state.</w:t>
      </w:r>
    </w:p>
    <w:p w:rsidR="00F3654B" w:rsidRDefault="00F3654B" w:rsidP="00D1670D"/>
    <w:p w:rsidR="00F3654B" w:rsidRDefault="00F3654B" w:rsidP="00F3654B">
      <w:pPr>
        <w:autoSpaceDE w:val="0"/>
        <w:autoSpaceDN w:val="0"/>
        <w:adjustRightInd w:val="0"/>
      </w:pPr>
      <w:r>
        <w:t>Additionally, comprehensive p</w:t>
      </w:r>
      <w:r w:rsidRPr="00A25621">
        <w:t>lanning</w:t>
      </w:r>
      <w:r>
        <w:t xml:space="preserve"> and consultat</w:t>
      </w:r>
      <w:r w:rsidR="00C5021E">
        <w:t>ion was undertaken to inform the</w:t>
      </w:r>
      <w:r>
        <w:t xml:space="preserve"> </w:t>
      </w:r>
      <w:r w:rsidRPr="00A25621">
        <w:t xml:space="preserve">safety and </w:t>
      </w:r>
      <w:r>
        <w:t>securit</w:t>
      </w:r>
      <w:r w:rsidR="00C5021E">
        <w:t xml:space="preserve">y asset upgrades at 16 </w:t>
      </w:r>
      <w:r>
        <w:t xml:space="preserve">courts. Installation of registry counters was completed at </w:t>
      </w:r>
      <w:r w:rsidRPr="00A25621">
        <w:t>Dromana, Stawell, Portland,</w:t>
      </w:r>
      <w:r>
        <w:t xml:space="preserve"> Bacchus Marsh and Maryborough.</w:t>
      </w:r>
      <w:r w:rsidRPr="00A25621">
        <w:t xml:space="preserve"> The remaining </w:t>
      </w:r>
      <w:r>
        <w:t xml:space="preserve">11 </w:t>
      </w:r>
      <w:r w:rsidRPr="00A25621">
        <w:t>court upgrades are scheduled for completion by mid-2018.</w:t>
      </w:r>
      <w:r>
        <w:t xml:space="preserve"> </w:t>
      </w:r>
    </w:p>
    <w:p w:rsidR="00176A5B" w:rsidRDefault="00176A5B" w:rsidP="00D1670D">
      <w:pPr>
        <w:pStyle w:val="Heading3"/>
      </w:pPr>
      <w:r>
        <w:t>Infrastructure U</w:t>
      </w:r>
      <w:r w:rsidRPr="002741BE">
        <w:t>pgrades</w:t>
      </w:r>
      <w:r w:rsidR="00F3654B">
        <w:t xml:space="preserve"> and Maintenance </w:t>
      </w:r>
    </w:p>
    <w:p w:rsidR="00961B27" w:rsidRDefault="00961B27" w:rsidP="00961B27">
      <w:r>
        <w:t>The division works</w:t>
      </w:r>
      <w:r w:rsidRPr="0097110A">
        <w:t xml:space="preserve"> with jurisdictions on </w:t>
      </w:r>
      <w:r w:rsidR="0054511A">
        <w:t xml:space="preserve">a </w:t>
      </w:r>
      <w:r w:rsidRPr="0097110A">
        <w:t xml:space="preserve">program of infrastructure upgrades </w:t>
      </w:r>
      <w:r>
        <w:t xml:space="preserve">to address critical priorities. The division </w:t>
      </w:r>
      <w:r w:rsidRPr="0097110A">
        <w:t>address</w:t>
      </w:r>
      <w:r w:rsidR="0054511A">
        <w:t>ed</w:t>
      </w:r>
      <w:r w:rsidRPr="0097110A">
        <w:t xml:space="preserve"> issues with disability compliance at Dromana and Wonthaggi</w:t>
      </w:r>
      <w:r>
        <w:t>;</w:t>
      </w:r>
      <w:r w:rsidRPr="0097110A">
        <w:t xml:space="preserve"> deliver</w:t>
      </w:r>
      <w:r w:rsidR="0054511A">
        <w:t>ed</w:t>
      </w:r>
      <w:r w:rsidRPr="0097110A">
        <w:t xml:space="preserve"> upgrades to the lifts at the Melbourne Magistrates' Court</w:t>
      </w:r>
      <w:r>
        <w:t>;</w:t>
      </w:r>
      <w:r w:rsidRPr="0097110A">
        <w:t xml:space="preserve"> and improve</w:t>
      </w:r>
      <w:r w:rsidR="0054511A">
        <w:t>d</w:t>
      </w:r>
      <w:r w:rsidRPr="0097110A">
        <w:t xml:space="preserve"> roof safe</w:t>
      </w:r>
      <w:r>
        <w:t>ty access at the Supreme Court.</w:t>
      </w:r>
    </w:p>
    <w:p w:rsidR="00BA3221" w:rsidRDefault="00BA3221" w:rsidP="00961B27"/>
    <w:p w:rsidR="00BA3221" w:rsidRPr="00961B27" w:rsidRDefault="00BA3221" w:rsidP="00961B27">
      <w:r>
        <w:t>Additionally, t</w:t>
      </w:r>
      <w:r w:rsidRPr="00BA3221">
        <w:t xml:space="preserve">he recovery project </w:t>
      </w:r>
      <w:r>
        <w:t xml:space="preserve">for the </w:t>
      </w:r>
      <w:r w:rsidRPr="00BA3221">
        <w:t xml:space="preserve">104-year-old courthouse in Cobram </w:t>
      </w:r>
      <w:r>
        <w:t xml:space="preserve">that </w:t>
      </w:r>
      <w:r w:rsidRPr="00BA3221">
        <w:t>was</w:t>
      </w:r>
      <w:r>
        <w:t xml:space="preserve"> burnt down last year has offered</w:t>
      </w:r>
      <w:r w:rsidRPr="00BA3221">
        <w:t xml:space="preserve"> a unique opportunity to restore the historic building and commence a range of required infrastructure upgrades. </w:t>
      </w:r>
    </w:p>
    <w:p w:rsidR="00176A5B" w:rsidRDefault="00176A5B" w:rsidP="00D1670D">
      <w:pPr>
        <w:pStyle w:val="Heading3"/>
      </w:pPr>
      <w:r w:rsidRPr="002741BE">
        <w:t xml:space="preserve">Leased Properties </w:t>
      </w:r>
    </w:p>
    <w:p w:rsidR="00961B27" w:rsidRDefault="00961B27" w:rsidP="00961B27">
      <w:r>
        <w:t xml:space="preserve">Long-term lease renewals were approved by the Courts Council for Ringwood, Frankston and Dandenong </w:t>
      </w:r>
      <w:r w:rsidR="0054511A">
        <w:t>courts</w:t>
      </w:r>
      <w:r>
        <w:t>. The</w:t>
      </w:r>
      <w:r w:rsidR="000F2F70">
        <w:t xml:space="preserve"> renewals provide CSV with long-</w:t>
      </w:r>
      <w:r>
        <w:t>term tenure, ensuring continuity in the delivery of court and tribunal services for the community.</w:t>
      </w:r>
    </w:p>
    <w:p w:rsidR="00961B27" w:rsidRDefault="00961B27" w:rsidP="00961B27"/>
    <w:p w:rsidR="00961B27" w:rsidRPr="00D1670D" w:rsidRDefault="00961B27" w:rsidP="00961B27">
      <w:r w:rsidRPr="00D1670D">
        <w:t>A new Melbourne Drug Court commenced operation on 3 March 2017. The division secured this accommodation as an interim solution whilst a longer term and fit-for-purpose facility is secured. Testing facilities were constructed at the Melbourne Magistrates’ Court and have been operating successfully since March.</w:t>
      </w:r>
    </w:p>
    <w:p w:rsidR="00176A5B" w:rsidRPr="001F061D" w:rsidRDefault="00176A5B" w:rsidP="00D1670D">
      <w:pPr>
        <w:pStyle w:val="Heading3"/>
      </w:pPr>
      <w:r w:rsidRPr="002741BE">
        <w:lastRenderedPageBreak/>
        <w:t>Essential Services Maintenance Contract</w:t>
      </w:r>
    </w:p>
    <w:p w:rsidR="00961B27" w:rsidRPr="00437511" w:rsidRDefault="00B36184" w:rsidP="00961B27">
      <w:r>
        <w:t xml:space="preserve">A </w:t>
      </w:r>
      <w:r w:rsidR="00961B27">
        <w:t>n</w:t>
      </w:r>
      <w:r w:rsidR="00961B27" w:rsidRPr="00437511">
        <w:t>ew contract commenced on 1 May 2016 for maintenance of essential safety measures, mechanica</w:t>
      </w:r>
      <w:r w:rsidR="00961B27">
        <w:t>l equipment and passenger lifts</w:t>
      </w:r>
      <w:r w:rsidR="00961B27" w:rsidRPr="00437511">
        <w:t xml:space="preserve"> to ensure the proper functioning of CSV buildings.</w:t>
      </w:r>
    </w:p>
    <w:p w:rsidR="00961B27" w:rsidRDefault="00961B27" w:rsidP="00961B27">
      <w:r>
        <w:br/>
      </w:r>
      <w:r w:rsidRPr="00437511">
        <w:t>The contract provides for significant improvements on the information of the built assets</w:t>
      </w:r>
      <w:r>
        <w:t>,</w:t>
      </w:r>
      <w:r w:rsidRPr="00437511">
        <w:t xml:space="preserve"> and routines for ensuring the reliability of fire p</w:t>
      </w:r>
      <w:r>
        <w:t>rotection systems and equipment. R</w:t>
      </w:r>
      <w:r w:rsidRPr="00437511">
        <w:t xml:space="preserve">egular reporting </w:t>
      </w:r>
      <w:r>
        <w:t>helps to better inform</w:t>
      </w:r>
      <w:r w:rsidRPr="00437511">
        <w:t xml:space="preserve"> strategic pla</w:t>
      </w:r>
      <w:r w:rsidR="00464E9C">
        <w:t xml:space="preserve">nning and life </w:t>
      </w:r>
      <w:r>
        <w:t>cycle management.</w:t>
      </w:r>
    </w:p>
    <w:p w:rsidR="00961B27" w:rsidRPr="00050D46" w:rsidRDefault="00050D46" w:rsidP="00D1670D">
      <w:pPr>
        <w:pStyle w:val="Heading3"/>
      </w:pPr>
      <w:r>
        <w:t xml:space="preserve">Emergency Management and Business Continuity </w:t>
      </w:r>
    </w:p>
    <w:p w:rsidR="00050D46" w:rsidRDefault="00961B27" w:rsidP="00961B27">
      <w:r w:rsidRPr="00B36184">
        <w:t xml:space="preserve">The division is committed to developing organisational capability to plan and respond </w:t>
      </w:r>
      <w:r w:rsidR="00F13234" w:rsidRPr="00B36184">
        <w:t xml:space="preserve">more effectively </w:t>
      </w:r>
      <w:r w:rsidRPr="00B36184">
        <w:t>to business interruption and emergency events.</w:t>
      </w:r>
      <w:r w:rsidRPr="00A6029B">
        <w:t xml:space="preserve"> </w:t>
      </w:r>
      <w:r>
        <w:t>A r</w:t>
      </w:r>
      <w:r w:rsidRPr="00A6029B">
        <w:t>evised policy framework and associated templates in business continuity and emergency management</w:t>
      </w:r>
      <w:r>
        <w:t xml:space="preserve"> were approved by the Courts Council</w:t>
      </w:r>
      <w:r w:rsidR="00050D46">
        <w:t>. The d</w:t>
      </w:r>
      <w:r>
        <w:t>ivision is</w:t>
      </w:r>
      <w:r w:rsidRPr="00A6029B">
        <w:t xml:space="preserve"> working with jurisdictions to support </w:t>
      </w:r>
      <w:r>
        <w:t xml:space="preserve">the </w:t>
      </w:r>
      <w:r w:rsidRPr="00A6029B">
        <w:t xml:space="preserve">development of localised plans </w:t>
      </w:r>
      <w:r>
        <w:t xml:space="preserve">to ensure </w:t>
      </w:r>
      <w:r w:rsidRPr="00A6029B">
        <w:t xml:space="preserve">rapid </w:t>
      </w:r>
      <w:r>
        <w:t xml:space="preserve">response and </w:t>
      </w:r>
      <w:r w:rsidRPr="00A6029B">
        <w:t>recovery from a c</w:t>
      </w:r>
      <w:r w:rsidR="00050D46">
        <w:t xml:space="preserve">risis or business interruption, </w:t>
      </w:r>
      <w:r w:rsidRPr="00A6029B">
        <w:t>and training staff to</w:t>
      </w:r>
      <w:r w:rsidR="00050D46">
        <w:t xml:space="preserve"> better</w:t>
      </w:r>
      <w:r w:rsidRPr="00A6029B">
        <w:t xml:space="preserve"> respond during an incident.</w:t>
      </w:r>
    </w:p>
    <w:p w:rsidR="00050D46" w:rsidRDefault="00050D46" w:rsidP="00D1670D">
      <w:pPr>
        <w:pStyle w:val="Heading3"/>
      </w:pPr>
      <w:r>
        <w:t xml:space="preserve">Shepparton Law Courts Redevelopment </w:t>
      </w:r>
    </w:p>
    <w:p w:rsidR="00050D46" w:rsidRPr="00DD2E4C" w:rsidRDefault="00050D46" w:rsidP="00176A5B">
      <w:r w:rsidRPr="00B77195">
        <w:t xml:space="preserve">The $73 million multi-jurisdictional Shepparton Law Courts redevelopment is progressing </w:t>
      </w:r>
      <w:r w:rsidRPr="00697327">
        <w:t>well</w:t>
      </w:r>
      <w:r>
        <w:t>,</w:t>
      </w:r>
      <w:r w:rsidRPr="00697327">
        <w:t xml:space="preserve"> with the five level structure complete.</w:t>
      </w:r>
      <w:r w:rsidRPr="002C0C77">
        <w:t xml:space="preserve"> </w:t>
      </w:r>
      <w:r>
        <w:t xml:space="preserve">Stage one </w:t>
      </w:r>
      <w:r w:rsidRPr="002C0C77">
        <w:t>of the project</w:t>
      </w:r>
      <w:r>
        <w:t xml:space="preserve">, housing the new courts, </w:t>
      </w:r>
      <w:r w:rsidRPr="002C0C77">
        <w:t>is due for completion</w:t>
      </w:r>
      <w:r>
        <w:t xml:space="preserve"> in</w:t>
      </w:r>
      <w:r w:rsidRPr="002C0C77">
        <w:t xml:space="preserve"> late 2017.</w:t>
      </w:r>
      <w:r>
        <w:t xml:space="preserve"> Once complete, the </w:t>
      </w:r>
      <w:r w:rsidRPr="00703327">
        <w:t>Shepparton Law Courts will form a regional headquarte</w:t>
      </w:r>
      <w:r>
        <w:t xml:space="preserve">rs for the Hume/Goulburn region. The new courts will provide </w:t>
      </w:r>
      <w:r w:rsidRPr="00703327">
        <w:t xml:space="preserve">more accessible and responsive services for regional Victoria and offer a safe and secure environment for all </w:t>
      </w:r>
      <w:r>
        <w:t xml:space="preserve">court </w:t>
      </w:r>
      <w:r w:rsidRPr="00703327">
        <w:t>users.</w:t>
      </w:r>
    </w:p>
    <w:p w:rsidR="00176A5B" w:rsidRPr="00D1670D" w:rsidRDefault="003B7159" w:rsidP="00D1670D">
      <w:pPr>
        <w:pStyle w:val="Heading3"/>
      </w:pPr>
      <w:r w:rsidRPr="00D1670D">
        <w:t>Transformation through Innovation: Strategic Asset Plan</w:t>
      </w:r>
    </w:p>
    <w:p w:rsidR="00470181" w:rsidRPr="00470181" w:rsidRDefault="00470181" w:rsidP="00470181">
      <w:r w:rsidRPr="00470181">
        <w:t>CSV’s first Strategic Asset Plan, a landmark 15-year infrastructure reform plan, provides a vision for creating a modern, technology-enabled, interconnected court and tribunal network to meet the needs of jurisdictions and Victoria’s expanding population.</w:t>
      </w:r>
    </w:p>
    <w:p w:rsidR="00470181" w:rsidRPr="00470181" w:rsidRDefault="00F13234" w:rsidP="00470181">
      <w:pPr>
        <w:spacing w:before="240" w:after="240"/>
      </w:pPr>
      <w:r w:rsidRPr="00AE6728">
        <w:t>T</w:t>
      </w:r>
      <w:r w:rsidR="00470181" w:rsidRPr="00AE6728">
        <w:t>he plan is</w:t>
      </w:r>
      <w:r w:rsidR="00470181" w:rsidRPr="00470181">
        <w:t xml:space="preserve"> based on a robust and evidence-based framework that focuses on service delivery requirements and enables prioritisation of asset investment. With only 16 per cent of Victoria’s court buildings currently meeting infrastructure benchmarks, the plan provides a holistic approach to address longstanding issues, and enables the delivery of specialist court services</w:t>
      </w:r>
      <w:r w:rsidR="00BA3221">
        <w:t xml:space="preserve"> – </w:t>
      </w:r>
      <w:r w:rsidR="00BA3221">
        <w:softHyphen/>
      </w:r>
      <w:r w:rsidR="00470181" w:rsidRPr="00470181">
        <w:t>including those highlighted in the Royal Commission into Family Violence.</w:t>
      </w:r>
    </w:p>
    <w:p w:rsidR="00470181" w:rsidRPr="00470181" w:rsidRDefault="00470181" w:rsidP="00470181">
      <w:pPr>
        <w:spacing w:before="240" w:after="240"/>
      </w:pPr>
      <w:r w:rsidRPr="00470181">
        <w:t>Additionally, the plan prioritised the development of the new Bendigo and Werribee Law Courts, which received funding for stage one planning in the 2017-18 State Budget. It also highlighted the need for asset life</w:t>
      </w:r>
      <w:r w:rsidR="00464E9C">
        <w:t xml:space="preserve"> </w:t>
      </w:r>
      <w:r w:rsidRPr="00470181">
        <w:t>cycle management and critical infrastructure upgrades, which also secured initial funding in the budget.</w:t>
      </w:r>
    </w:p>
    <w:p w:rsidR="00470181" w:rsidRPr="00470181" w:rsidRDefault="00470181" w:rsidP="00470181">
      <w:pPr>
        <w:spacing w:before="240" w:after="240"/>
      </w:pPr>
      <w:r w:rsidRPr="00AE6728">
        <w:t xml:space="preserve">The plan </w:t>
      </w:r>
      <w:r w:rsidR="004A16EA" w:rsidRPr="00AE6728">
        <w:t>addresses</w:t>
      </w:r>
      <w:r w:rsidRPr="00AE6728">
        <w:t xml:space="preserve"> the</w:t>
      </w:r>
      <w:r w:rsidRPr="00470181">
        <w:t xml:space="preserve"> complexity of issues facing each jurisdiction and will </w:t>
      </w:r>
      <w:r w:rsidR="004A16EA">
        <w:t xml:space="preserve">assist </w:t>
      </w:r>
      <w:r w:rsidRPr="00470181">
        <w:t>the transformation of Victoria’s courts and tribunals into a modern, cohesive, flexible and fit-for-purpose service environment throughout Victoria.</w:t>
      </w:r>
    </w:p>
    <w:p w:rsidR="00176A5B" w:rsidRDefault="00176A5B" w:rsidP="003B7159"/>
    <w:p w:rsidR="0055688B" w:rsidRDefault="0055688B" w:rsidP="0055688B"/>
    <w:p w:rsidR="00CF273E" w:rsidRPr="00486D52" w:rsidRDefault="000931B9" w:rsidP="00D35369">
      <w:pPr>
        <w:pStyle w:val="Heading2"/>
      </w:pPr>
      <w:r w:rsidRPr="00B539FA">
        <w:rPr>
          <w:rFonts w:eastAsia="Calibri"/>
          <w:bCs w:val="0"/>
          <w:iCs w:val="0"/>
          <w:caps w:val="0"/>
          <w:sz w:val="22"/>
          <w:szCs w:val="22"/>
        </w:rPr>
        <w:br w:type="page"/>
      </w:r>
      <w:bookmarkStart w:id="14" w:name="_Toc494978542"/>
      <w:r w:rsidR="002D7DE8" w:rsidRPr="00486D52">
        <w:lastRenderedPageBreak/>
        <w:t xml:space="preserve">Output </w:t>
      </w:r>
      <w:r w:rsidR="008B4982">
        <w:t>performance</w:t>
      </w:r>
      <w:bookmarkEnd w:id="14"/>
    </w:p>
    <w:p w:rsidR="00D1670D" w:rsidRDefault="000F2F70" w:rsidP="00695E52">
      <w:r>
        <w:t>The CSV</w:t>
      </w:r>
      <w:r w:rsidR="00695E52" w:rsidRPr="00695E52">
        <w:t xml:space="preserve"> operational and budgetary objectives and performance are aligned with the jurisdictions' performance. </w:t>
      </w:r>
      <w:r w:rsidR="00244910">
        <w:t>T</w:t>
      </w:r>
      <w:r w:rsidR="00695E52" w:rsidRPr="00695E52">
        <w:t>he Victorian Budget 2016–17</w:t>
      </w:r>
      <w:r w:rsidR="00244910">
        <w:t xml:space="preserve"> outlined t</w:t>
      </w:r>
      <w:r w:rsidR="00244910" w:rsidRPr="00244910">
        <w:t>he mission statement</w:t>
      </w:r>
      <w:r w:rsidR="00244910">
        <w:t>, objectives and performance indicators</w:t>
      </w:r>
      <w:r w:rsidR="00244910" w:rsidRPr="00244910">
        <w:t xml:space="preserve"> </w:t>
      </w:r>
      <w:r w:rsidR="00244910">
        <w:t>for the courts output.</w:t>
      </w:r>
    </w:p>
    <w:p w:rsidR="00D1670D" w:rsidRDefault="00D1670D" w:rsidP="00695E52"/>
    <w:p w:rsidR="00695E52" w:rsidRPr="00695E52" w:rsidRDefault="00244910" w:rsidP="00D1670D">
      <w:pPr>
        <w:pStyle w:val="Heading3"/>
      </w:pPr>
      <w:r w:rsidRPr="00244910">
        <w:t xml:space="preserve">Courts </w:t>
      </w:r>
      <w:r>
        <w:t>Mission Statement</w:t>
      </w:r>
    </w:p>
    <w:p w:rsidR="00695E52" w:rsidRPr="00695E52" w:rsidRDefault="00695E52" w:rsidP="00695E52">
      <w:pPr>
        <w:rPr>
          <w:i/>
          <w:iCs/>
        </w:rPr>
      </w:pPr>
      <w:r w:rsidRPr="00695E52">
        <w:rPr>
          <w:i/>
          <w:iCs/>
        </w:rPr>
        <w:t>Victoria’s courts and tribunals’ safeguard and maintain the rule of law through the fair, timely and efficient dispensing of justice.</w:t>
      </w:r>
    </w:p>
    <w:p w:rsidR="00D1670D" w:rsidRDefault="00D1670D" w:rsidP="00695E52">
      <w:pPr>
        <w:rPr>
          <w:b/>
          <w:bCs/>
          <w:i/>
        </w:rPr>
      </w:pPr>
    </w:p>
    <w:p w:rsidR="00695E52" w:rsidRPr="00695E52" w:rsidRDefault="00695E52" w:rsidP="00D1670D">
      <w:pPr>
        <w:pStyle w:val="Heading3"/>
      </w:pPr>
      <w:r w:rsidRPr="00695E52">
        <w:t>Courts Objective</w:t>
      </w:r>
    </w:p>
    <w:p w:rsidR="00695E52" w:rsidRPr="00695E52" w:rsidRDefault="00695E52" w:rsidP="00695E52">
      <w:pPr>
        <w:rPr>
          <w:i/>
        </w:rPr>
      </w:pPr>
      <w:r w:rsidRPr="00695E52">
        <w:rPr>
          <w:i/>
        </w:rPr>
        <w:t>The fair, timely and efficient dispensing of justice.</w:t>
      </w:r>
    </w:p>
    <w:p w:rsidR="00D1670D" w:rsidRDefault="00D1670D" w:rsidP="00695E52">
      <w:pPr>
        <w:rPr>
          <w:b/>
          <w:bCs/>
          <w:i/>
        </w:rPr>
      </w:pPr>
    </w:p>
    <w:p w:rsidR="00695E52" w:rsidRPr="00695E52" w:rsidRDefault="00244910" w:rsidP="00D1670D">
      <w:pPr>
        <w:pStyle w:val="Heading3"/>
      </w:pPr>
      <w:r>
        <w:t xml:space="preserve">Courts </w:t>
      </w:r>
      <w:r w:rsidR="00695E52" w:rsidRPr="00695E52">
        <w:t>Indicators</w:t>
      </w:r>
    </w:p>
    <w:p w:rsidR="00695E52" w:rsidRPr="00244910" w:rsidRDefault="00695E52" w:rsidP="00D1670D">
      <w:pPr>
        <w:pStyle w:val="ListBullet"/>
      </w:pPr>
      <w:r w:rsidRPr="00244910">
        <w:t xml:space="preserve">Clearance of criminal caseload (finalisations/lodgements) </w:t>
      </w:r>
    </w:p>
    <w:p w:rsidR="00695E52" w:rsidRPr="00244910" w:rsidRDefault="00695E52" w:rsidP="00D1670D">
      <w:pPr>
        <w:pStyle w:val="ListBullet"/>
      </w:pPr>
      <w:r w:rsidRPr="00244910">
        <w:t>Clearance of civil case load (finalisations/lodgements)</w:t>
      </w:r>
    </w:p>
    <w:p w:rsidR="00695E52" w:rsidRPr="00695E52" w:rsidRDefault="00695E52" w:rsidP="00695E52"/>
    <w:p w:rsidR="00BA3221" w:rsidRPr="00695E52" w:rsidRDefault="00BA3221" w:rsidP="00BA3221">
      <w:r w:rsidRPr="00695E52">
        <w:t xml:space="preserve">There were no changes to </w:t>
      </w:r>
      <w:r>
        <w:t>the c</w:t>
      </w:r>
      <w:r w:rsidRPr="00695E52">
        <w:t>ourts output structure for 2016-17.</w:t>
      </w:r>
    </w:p>
    <w:p w:rsidR="00BA3221" w:rsidRDefault="00BA3221" w:rsidP="00695E52"/>
    <w:p w:rsidR="00695E52" w:rsidRPr="00695E52" w:rsidRDefault="00695E52" w:rsidP="00695E52">
      <w:r w:rsidRPr="00695E52">
        <w:t>Data in relation to the two clearance rate indicators is included in Table 1 with each of the jurisdictions’ output measure results.</w:t>
      </w:r>
    </w:p>
    <w:p w:rsidR="00695E52" w:rsidRPr="00695E52" w:rsidRDefault="00695E52" w:rsidP="00695E52"/>
    <w:p w:rsidR="00695E52" w:rsidRDefault="00695E52" w:rsidP="00695E52">
      <w:r w:rsidRPr="00695E52">
        <w:t>For more information about the outcomes and data presented below, refer to the individual annual reports of each jurisdiction.</w:t>
      </w:r>
    </w:p>
    <w:p w:rsidR="00244910" w:rsidRPr="00695E52" w:rsidRDefault="00244910" w:rsidP="00695E52"/>
    <w:p w:rsidR="00695E52" w:rsidRPr="00695E52" w:rsidRDefault="00695E52" w:rsidP="00D1670D">
      <w:pPr>
        <w:pStyle w:val="Heading3"/>
      </w:pPr>
      <w:r w:rsidRPr="00695E52">
        <w:t>International Framework for Court Excellence</w:t>
      </w:r>
    </w:p>
    <w:p w:rsidR="00695E52" w:rsidRPr="00695E52" w:rsidRDefault="00695E52" w:rsidP="00695E52">
      <w:r w:rsidRPr="00695E52">
        <w:t xml:space="preserve">The International Framework for Court Excellence (IFCE) is a management framework designed to help courts improve their performance. Developed for </w:t>
      </w:r>
      <w:r w:rsidR="00244910">
        <w:t>court use internationally, the f</w:t>
      </w:r>
      <w:r w:rsidRPr="00695E52">
        <w:t xml:space="preserve">ramework covers values, concepts and tools to assess and improve the quality of justice and court administration within the court and tribunal system. </w:t>
      </w:r>
    </w:p>
    <w:p w:rsidR="00695E52" w:rsidRPr="00695E52" w:rsidRDefault="00695E52" w:rsidP="00695E52"/>
    <w:p w:rsidR="00695E52" w:rsidRPr="00695E52" w:rsidRDefault="00695E52" w:rsidP="00695E52">
      <w:r w:rsidRPr="00695E52">
        <w:t>In 2016-17, an additional Global Measure from the IFCE was</w:t>
      </w:r>
      <w:r w:rsidR="00244910">
        <w:t xml:space="preserve"> integrated into the c</w:t>
      </w:r>
      <w:r w:rsidRPr="00695E52">
        <w:t>ourts output performance measures outlined in the Victorian Budget Paper No. 3 (BP3):</w:t>
      </w:r>
    </w:p>
    <w:p w:rsidR="00695E52" w:rsidRPr="00695E52" w:rsidRDefault="00695E52" w:rsidP="00695E52"/>
    <w:p w:rsidR="00695E52" w:rsidRDefault="00695E52" w:rsidP="00D1670D">
      <w:pPr>
        <w:pStyle w:val="ListBullet"/>
      </w:pPr>
      <w:r w:rsidRPr="00695E52">
        <w:t>Court file integrity – availability, accuracy and completeness</w:t>
      </w:r>
    </w:p>
    <w:p w:rsidR="00D1670D" w:rsidRPr="00695E52" w:rsidRDefault="00D1670D" w:rsidP="00D1670D"/>
    <w:p w:rsidR="007C20B8" w:rsidRDefault="00695E52" w:rsidP="00695E52">
      <w:r w:rsidRPr="00695E52">
        <w:t>This measure is based on the results of court file audits against three rigorous criteria – availability, accuracy and completeness.</w:t>
      </w:r>
    </w:p>
    <w:p w:rsidR="00E45544" w:rsidRPr="00D1670D" w:rsidRDefault="007C20B8" w:rsidP="00D1670D">
      <w:pPr>
        <w:pStyle w:val="Heading3"/>
      </w:pPr>
      <w:r>
        <w:rPr>
          <w:lang w:eastAsia="en-US"/>
        </w:rPr>
        <w:br w:type="page"/>
      </w:r>
      <w:bookmarkStart w:id="15" w:name="_Toc452706262"/>
      <w:r w:rsidR="00E45544" w:rsidRPr="00D1670D">
        <w:lastRenderedPageBreak/>
        <w:t>Performance Against Measures</w:t>
      </w:r>
      <w:bookmarkEnd w:id="15"/>
    </w:p>
    <w:p w:rsidR="000A686B" w:rsidRPr="00D1670D" w:rsidRDefault="000A686B" w:rsidP="00D1670D">
      <w:pPr>
        <w:pStyle w:val="Caption"/>
      </w:pPr>
      <w:r w:rsidRPr="00D1670D">
        <w:t>Table 1</w:t>
      </w:r>
      <w:r w:rsidR="000F2F70" w:rsidRPr="00D1670D">
        <w:t xml:space="preserve">: </w:t>
      </w:r>
      <w:r w:rsidRPr="00D1670D">
        <w:t xml:space="preserve">Courts Output – Performance against measures </w:t>
      </w:r>
      <w:r w:rsidR="00244910" w:rsidRPr="00D1670D">
        <w:t>2016-17</w:t>
      </w:r>
    </w:p>
    <w:p w:rsidR="006F240E" w:rsidRPr="00545BF3" w:rsidRDefault="006F240E" w:rsidP="006F240E">
      <w:pPr>
        <w:pStyle w:val="Notes"/>
      </w:pPr>
    </w:p>
    <w:tbl>
      <w:tblPr>
        <w:tblW w:w="8903" w:type="dxa"/>
        <w:tblInd w:w="28" w:type="dxa"/>
        <w:tblBorders>
          <w:bottom w:val="single" w:sz="12" w:space="0" w:color="auto"/>
        </w:tblBorders>
        <w:tblLayout w:type="fixed"/>
        <w:tblCellMar>
          <w:left w:w="57" w:type="dxa"/>
          <w:right w:w="57" w:type="dxa"/>
        </w:tblCellMar>
        <w:tblLook w:val="06A0" w:firstRow="1" w:lastRow="0" w:firstColumn="1" w:lastColumn="0" w:noHBand="1" w:noVBand="1"/>
      </w:tblPr>
      <w:tblGrid>
        <w:gridCol w:w="3994"/>
        <w:gridCol w:w="1109"/>
        <w:gridCol w:w="1109"/>
        <w:gridCol w:w="1220"/>
        <w:gridCol w:w="1445"/>
        <w:gridCol w:w="26"/>
      </w:tblGrid>
      <w:tr w:rsidR="005A7A70" w:rsidRPr="005A7A70" w:rsidTr="003920F2">
        <w:trPr>
          <w:gridAfter w:val="1"/>
          <w:wAfter w:w="26" w:type="dxa"/>
          <w:trHeight w:val="751"/>
          <w:tblHeader/>
        </w:trPr>
        <w:tc>
          <w:tcPr>
            <w:tcW w:w="3994" w:type="dxa"/>
            <w:tcBorders>
              <w:top w:val="single" w:sz="4" w:space="0" w:color="auto"/>
              <w:left w:val="single" w:sz="4" w:space="0" w:color="auto"/>
              <w:bottom w:val="single" w:sz="4" w:space="0" w:color="auto"/>
              <w:right w:val="single" w:sz="4" w:space="0" w:color="auto"/>
            </w:tcBorders>
            <w:shd w:val="clear" w:color="auto" w:fill="000000"/>
            <w:vAlign w:val="bottom"/>
          </w:tcPr>
          <w:p w:rsidR="005A7A70" w:rsidRPr="005A7A70" w:rsidRDefault="005A7A70" w:rsidP="00244910">
            <w:pPr>
              <w:spacing w:after="20"/>
              <w:rPr>
                <w:rFonts w:ascii="Calibri" w:hAnsi="Calibri"/>
                <w:sz w:val="18"/>
                <w:szCs w:val="18"/>
              </w:rPr>
            </w:pPr>
            <w:r w:rsidRPr="005A7A70">
              <w:rPr>
                <w:rFonts w:ascii="Calibri" w:hAnsi="Calibri"/>
                <w:i/>
                <w:sz w:val="18"/>
                <w:szCs w:val="18"/>
              </w:rPr>
              <w:t>Performance measures</w:t>
            </w:r>
          </w:p>
        </w:tc>
        <w:tc>
          <w:tcPr>
            <w:tcW w:w="1109" w:type="dxa"/>
            <w:tcBorders>
              <w:top w:val="single" w:sz="4" w:space="0" w:color="auto"/>
              <w:left w:val="single" w:sz="4" w:space="0" w:color="auto"/>
              <w:bottom w:val="single" w:sz="4" w:space="0" w:color="auto"/>
              <w:right w:val="single" w:sz="4" w:space="0" w:color="auto"/>
            </w:tcBorders>
            <w:shd w:val="clear" w:color="auto" w:fill="000000"/>
            <w:vAlign w:val="bottom"/>
          </w:tcPr>
          <w:p w:rsidR="005A7A70" w:rsidRPr="005A7A70" w:rsidRDefault="005A7A70" w:rsidP="00244910">
            <w:pPr>
              <w:spacing w:after="20"/>
              <w:jc w:val="center"/>
              <w:rPr>
                <w:rFonts w:ascii="Calibri" w:hAnsi="Calibri"/>
                <w:sz w:val="18"/>
                <w:szCs w:val="18"/>
              </w:rPr>
            </w:pPr>
            <w:r w:rsidRPr="005A7A70">
              <w:rPr>
                <w:rFonts w:ascii="Calibri" w:hAnsi="Calibri"/>
                <w:i/>
                <w:sz w:val="18"/>
                <w:szCs w:val="18"/>
              </w:rPr>
              <w:t>Unit of measure</w:t>
            </w:r>
          </w:p>
        </w:tc>
        <w:tc>
          <w:tcPr>
            <w:tcW w:w="1109" w:type="dxa"/>
            <w:tcBorders>
              <w:top w:val="single" w:sz="4" w:space="0" w:color="auto"/>
              <w:left w:val="single" w:sz="4" w:space="0" w:color="auto"/>
              <w:bottom w:val="single" w:sz="4" w:space="0" w:color="auto"/>
              <w:right w:val="single" w:sz="4" w:space="0" w:color="auto"/>
            </w:tcBorders>
            <w:shd w:val="clear" w:color="auto" w:fill="000000"/>
            <w:vAlign w:val="bottom"/>
          </w:tcPr>
          <w:p w:rsidR="005A7A70" w:rsidRPr="005A7A70" w:rsidRDefault="005A7A70" w:rsidP="00244910">
            <w:pPr>
              <w:spacing w:after="20"/>
              <w:jc w:val="right"/>
              <w:rPr>
                <w:rFonts w:ascii="Calibri" w:hAnsi="Calibri"/>
                <w:sz w:val="18"/>
                <w:szCs w:val="18"/>
              </w:rPr>
            </w:pPr>
            <w:r w:rsidRPr="005A7A70">
              <w:rPr>
                <w:rFonts w:ascii="Calibri" w:hAnsi="Calibri"/>
                <w:i/>
                <w:sz w:val="18"/>
                <w:szCs w:val="18"/>
              </w:rPr>
              <w:t>2016</w:t>
            </w:r>
            <w:r w:rsidRPr="005A7A70">
              <w:rPr>
                <w:rFonts w:ascii="Calibri" w:hAnsi="Calibri"/>
                <w:i/>
                <w:sz w:val="18"/>
                <w:szCs w:val="18"/>
              </w:rPr>
              <w:noBreakHyphen/>
              <w:t>17 estimate</w:t>
            </w:r>
          </w:p>
        </w:tc>
        <w:tc>
          <w:tcPr>
            <w:tcW w:w="1220" w:type="dxa"/>
            <w:tcBorders>
              <w:top w:val="single" w:sz="4" w:space="0" w:color="auto"/>
              <w:left w:val="single" w:sz="4" w:space="0" w:color="auto"/>
              <w:bottom w:val="single" w:sz="4" w:space="0" w:color="auto"/>
              <w:right w:val="single" w:sz="4" w:space="0" w:color="auto"/>
            </w:tcBorders>
            <w:shd w:val="clear" w:color="auto" w:fill="000000"/>
            <w:vAlign w:val="bottom"/>
          </w:tcPr>
          <w:p w:rsidR="005A7A70" w:rsidRPr="005A7A70" w:rsidRDefault="005A7A70" w:rsidP="00244910">
            <w:pPr>
              <w:spacing w:after="20"/>
              <w:jc w:val="right"/>
              <w:rPr>
                <w:rFonts w:ascii="Calibri" w:hAnsi="Calibri"/>
                <w:sz w:val="18"/>
                <w:szCs w:val="18"/>
              </w:rPr>
            </w:pPr>
            <w:r w:rsidRPr="005A7A70">
              <w:rPr>
                <w:rFonts w:ascii="Calibri" w:hAnsi="Calibri"/>
                <w:i/>
                <w:sz w:val="18"/>
                <w:szCs w:val="18"/>
              </w:rPr>
              <w:t>2016</w:t>
            </w:r>
            <w:r w:rsidRPr="005A7A70">
              <w:rPr>
                <w:rFonts w:ascii="Calibri" w:hAnsi="Calibri"/>
                <w:i/>
                <w:sz w:val="18"/>
                <w:szCs w:val="18"/>
              </w:rPr>
              <w:noBreakHyphen/>
              <w:t>17 actual</w:t>
            </w:r>
          </w:p>
        </w:tc>
        <w:tc>
          <w:tcPr>
            <w:tcW w:w="1445" w:type="dxa"/>
            <w:tcBorders>
              <w:top w:val="single" w:sz="4" w:space="0" w:color="auto"/>
              <w:left w:val="single" w:sz="4" w:space="0" w:color="auto"/>
              <w:bottom w:val="single" w:sz="4" w:space="0" w:color="auto"/>
              <w:right w:val="single" w:sz="4" w:space="0" w:color="auto"/>
            </w:tcBorders>
            <w:shd w:val="clear" w:color="auto" w:fill="000000"/>
            <w:vAlign w:val="bottom"/>
          </w:tcPr>
          <w:p w:rsidR="005A7A70" w:rsidRPr="005A7A70" w:rsidRDefault="005A7A70" w:rsidP="00244910">
            <w:pPr>
              <w:spacing w:after="20"/>
              <w:jc w:val="right"/>
              <w:rPr>
                <w:rFonts w:ascii="Calibri" w:hAnsi="Calibri"/>
                <w:sz w:val="18"/>
                <w:szCs w:val="18"/>
              </w:rPr>
            </w:pPr>
            <w:r w:rsidRPr="005A7A70">
              <w:rPr>
                <w:rFonts w:ascii="Calibri" w:hAnsi="Calibri"/>
                <w:i/>
                <w:sz w:val="18"/>
                <w:szCs w:val="18"/>
              </w:rPr>
              <w:t>Performance Variation (%)</w:t>
            </w:r>
          </w:p>
        </w:tc>
      </w:tr>
      <w:tr w:rsidR="005A7A70" w:rsidRPr="005A7A70" w:rsidTr="003920F2">
        <w:trPr>
          <w:gridAfter w:val="1"/>
          <w:wAfter w:w="26" w:type="dxa"/>
          <w:cantSplit/>
          <w:trHeight w:val="285"/>
        </w:trPr>
        <w:tc>
          <w:tcPr>
            <w:tcW w:w="3994"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A34B05">
            <w:pPr>
              <w:spacing w:before="20" w:after="20"/>
              <w:rPr>
                <w:rFonts w:ascii="Calibri" w:eastAsia="Garamond" w:hAnsi="Calibri" w:cs="Times New Roman"/>
                <w:b/>
                <w:i/>
                <w:sz w:val="18"/>
                <w:szCs w:val="18"/>
              </w:rPr>
            </w:pPr>
            <w:r w:rsidRPr="005A7A70">
              <w:rPr>
                <w:rFonts w:ascii="Calibri" w:eastAsia="Garamond" w:hAnsi="Calibri" w:cs="Times New Roman"/>
                <w:b/>
                <w:i/>
                <w:sz w:val="18"/>
                <w:szCs w:val="18"/>
              </w:rPr>
              <w:t>Quantity</w:t>
            </w:r>
          </w:p>
        </w:tc>
        <w:tc>
          <w:tcPr>
            <w:tcW w:w="1109"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center"/>
              <w:rPr>
                <w:rFonts w:ascii="Calibri" w:hAnsi="Calibri"/>
                <w:sz w:val="18"/>
                <w:szCs w:val="18"/>
              </w:rPr>
            </w:pPr>
          </w:p>
        </w:tc>
        <w:tc>
          <w:tcPr>
            <w:tcW w:w="1109"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right"/>
              <w:rPr>
                <w:rFonts w:ascii="Calibri" w:hAnsi="Calibri"/>
                <w:sz w:val="18"/>
                <w:szCs w:val="18"/>
              </w:rPr>
            </w:pPr>
          </w:p>
        </w:tc>
        <w:tc>
          <w:tcPr>
            <w:tcW w:w="1220"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right"/>
              <w:rPr>
                <w:rFonts w:ascii="Calibri" w:hAnsi="Calibri"/>
                <w:sz w:val="18"/>
                <w:szCs w:val="18"/>
              </w:rPr>
            </w:pPr>
          </w:p>
        </w:tc>
        <w:tc>
          <w:tcPr>
            <w:tcW w:w="1445"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right"/>
              <w:rPr>
                <w:rFonts w:ascii="Calibri" w:hAnsi="Calibri"/>
                <w:sz w:val="18"/>
                <w:szCs w:val="18"/>
              </w:rPr>
            </w:pPr>
          </w:p>
        </w:tc>
      </w:tr>
      <w:tr w:rsidR="005A7A70" w:rsidRPr="005A7A70" w:rsidTr="003920F2">
        <w:trPr>
          <w:gridAfter w:val="1"/>
          <w:wAfter w:w="26" w:type="dxa"/>
          <w:cantSplit/>
          <w:trHeight w:val="51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Average cost per case – Civil matters disposed in the Supreme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dollars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2,303</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2,396</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4.0</w:t>
            </w:r>
          </w:p>
        </w:tc>
      </w:tr>
      <w:tr w:rsidR="00244910" w:rsidRPr="005A7A70" w:rsidTr="00D92E90">
        <w:trPr>
          <w:cantSplit/>
          <w:trHeight w:val="240"/>
        </w:trPr>
        <w:tc>
          <w:tcPr>
            <w:tcW w:w="8903" w:type="dxa"/>
            <w:gridSpan w:val="6"/>
            <w:tcBorders>
              <w:bottom w:val="single" w:sz="4" w:space="0" w:color="auto"/>
            </w:tcBorders>
            <w:shd w:val="clear" w:color="auto" w:fill="auto"/>
          </w:tcPr>
          <w:p w:rsidR="00244910" w:rsidRPr="005A7A70" w:rsidRDefault="00244910" w:rsidP="005A7A70">
            <w:pPr>
              <w:keepLines/>
              <w:spacing w:before="20" w:after="20"/>
              <w:contextualSpacing/>
              <w:rPr>
                <w:rFonts w:ascii="Calibri" w:eastAsia="Garamond" w:hAnsi="Calibri" w:cs="Times New Roman"/>
                <w:i/>
                <w:spacing w:val="-2"/>
                <w:sz w:val="18"/>
                <w:szCs w:val="18"/>
                <w:lang w:eastAsia="en-US"/>
              </w:rPr>
            </w:pPr>
            <w:r w:rsidRPr="005A7A70">
              <w:rPr>
                <w:rFonts w:ascii="Calibri" w:eastAsia="Garamond" w:hAnsi="Calibri" w:cs="Times New Roman"/>
                <w:i/>
                <w:spacing w:val="-2"/>
                <w:sz w:val="18"/>
                <w:szCs w:val="18"/>
                <w:lang w:eastAsia="en-US"/>
              </w:rPr>
              <w:t>Probate matters finalised in the Supreme Court are included in average cost per case calculations.</w:t>
            </w:r>
          </w:p>
        </w:tc>
      </w:tr>
      <w:tr w:rsidR="005A7A70" w:rsidRPr="005A7A70" w:rsidTr="003920F2">
        <w:trPr>
          <w:gridAfter w:val="1"/>
          <w:wAfter w:w="26" w:type="dxa"/>
          <w:cantSplit/>
          <w:trHeight w:val="51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Average cost per case – Civil matters disposed in the County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dollars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5,716</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5,505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-3.7</w:t>
            </w:r>
          </w:p>
        </w:tc>
      </w:tr>
      <w:tr w:rsidR="005A7A70" w:rsidRPr="005A7A70" w:rsidTr="003920F2">
        <w:trPr>
          <w:gridAfter w:val="1"/>
          <w:wAfter w:w="26" w:type="dxa"/>
          <w:cantSplit/>
          <w:trHeight w:val="496"/>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Average cost per case – Civil matters disposed in the Magistrates’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dollars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trike/>
                <w:sz w:val="18"/>
                <w:szCs w:val="18"/>
              </w:rPr>
            </w:pPr>
            <w:r w:rsidRPr="005A7A70">
              <w:rPr>
                <w:rFonts w:ascii="Calibri" w:hAnsi="Calibri"/>
                <w:sz w:val="18"/>
                <w:szCs w:val="18"/>
              </w:rPr>
              <w:t>598</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629</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5.2</w:t>
            </w:r>
          </w:p>
        </w:tc>
      </w:tr>
      <w:tr w:rsidR="00244910" w:rsidRPr="005A7A70" w:rsidTr="00D92E90">
        <w:trPr>
          <w:cantSplit/>
          <w:trHeight w:val="904"/>
        </w:trPr>
        <w:tc>
          <w:tcPr>
            <w:tcW w:w="8903" w:type="dxa"/>
            <w:gridSpan w:val="6"/>
            <w:tcBorders>
              <w:bottom w:val="single" w:sz="4" w:space="0" w:color="auto"/>
            </w:tcBorders>
            <w:shd w:val="clear" w:color="auto" w:fill="auto"/>
          </w:tcPr>
          <w:p w:rsidR="00244910" w:rsidRPr="005A7A70" w:rsidRDefault="00244910" w:rsidP="005A7A70">
            <w:pPr>
              <w:keepLines/>
              <w:spacing w:before="20" w:after="20"/>
              <w:contextualSpacing/>
              <w:rPr>
                <w:rFonts w:ascii="Calibri" w:eastAsia="Garamond" w:hAnsi="Calibri" w:cs="Times New Roman"/>
                <w:i/>
                <w:iCs/>
                <w:spacing w:val="-2"/>
                <w:sz w:val="18"/>
                <w:szCs w:val="18"/>
                <w:lang w:eastAsia="en-US"/>
              </w:rPr>
            </w:pPr>
            <w:r w:rsidRPr="005A7A70">
              <w:rPr>
                <w:rFonts w:ascii="Calibri" w:eastAsia="Garamond" w:hAnsi="Calibri" w:cs="Times New Roman"/>
                <w:i/>
                <w:iCs/>
                <w:spacing w:val="-2"/>
                <w:sz w:val="18"/>
                <w:szCs w:val="18"/>
                <w:lang w:eastAsia="en-US"/>
              </w:rPr>
              <w:t xml:space="preserve">The actual cost per case is higher than estimated due to greater than anticipated expenditure during 2016-17, which is </w:t>
            </w:r>
            <w:r w:rsidR="00A34B05" w:rsidRPr="005A7A70">
              <w:rPr>
                <w:rFonts w:ascii="Calibri" w:eastAsia="Garamond" w:hAnsi="Calibri" w:cs="Times New Roman"/>
                <w:i/>
                <w:iCs/>
                <w:spacing w:val="-2"/>
                <w:sz w:val="18"/>
                <w:szCs w:val="18"/>
                <w:lang w:eastAsia="en-US"/>
              </w:rPr>
              <w:t>due to the impacts of carryover</w:t>
            </w:r>
            <w:r w:rsidRPr="005A7A70">
              <w:rPr>
                <w:rFonts w:ascii="Calibri" w:eastAsia="Garamond" w:hAnsi="Calibri" w:cs="Times New Roman"/>
                <w:i/>
                <w:iCs/>
                <w:spacing w:val="-2"/>
                <w:sz w:val="18"/>
                <w:szCs w:val="18"/>
                <w:lang w:eastAsia="en-US"/>
              </w:rPr>
              <w:t xml:space="preserve"> </w:t>
            </w:r>
            <w:r w:rsidR="00A34B05" w:rsidRPr="005A7A70">
              <w:rPr>
                <w:rFonts w:ascii="Calibri" w:eastAsia="Garamond" w:hAnsi="Calibri" w:cs="Times New Roman"/>
                <w:i/>
                <w:iCs/>
                <w:spacing w:val="-2"/>
                <w:sz w:val="18"/>
                <w:szCs w:val="18"/>
                <w:lang w:eastAsia="en-US"/>
              </w:rPr>
              <w:t xml:space="preserve">and externally funded programs. </w:t>
            </w:r>
            <w:r w:rsidRPr="005A7A70">
              <w:rPr>
                <w:rFonts w:ascii="Calibri" w:eastAsia="Garamond" w:hAnsi="Calibri" w:cs="Times New Roman"/>
                <w:i/>
                <w:iCs/>
                <w:spacing w:val="-2"/>
                <w:sz w:val="18"/>
                <w:szCs w:val="18"/>
                <w:lang w:eastAsia="en-US"/>
              </w:rPr>
              <w:t>The civil caseload was also lower than estimated, primarily due to a reduction in the number of civil default order finalisations and dismissals pursuant to Rule 21.11 of the Magistrates' Court General Civil Procedure Rules 2010.</w:t>
            </w:r>
          </w:p>
        </w:tc>
      </w:tr>
      <w:tr w:rsidR="005A7A70" w:rsidRPr="005A7A70" w:rsidTr="003920F2">
        <w:trPr>
          <w:gridAfter w:val="1"/>
          <w:wAfter w:w="26" w:type="dxa"/>
          <w:cantSplit/>
          <w:trHeight w:val="553"/>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Average cost per case – Family Division matters disposed in the Children’s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dollars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1,046</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1,023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-2.2</w:t>
            </w:r>
          </w:p>
        </w:tc>
      </w:tr>
      <w:tr w:rsidR="005A7A70" w:rsidRPr="005A7A70" w:rsidTr="003920F2">
        <w:trPr>
          <w:gridAfter w:val="1"/>
          <w:wAfter w:w="26" w:type="dxa"/>
          <w:cantSplit/>
          <w:trHeight w:val="496"/>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A34B05">
            <w:pPr>
              <w:keepNext/>
              <w:spacing w:after="20"/>
              <w:ind w:left="142"/>
              <w:rPr>
                <w:rFonts w:ascii="Calibri" w:hAnsi="Calibri"/>
                <w:sz w:val="18"/>
                <w:szCs w:val="18"/>
              </w:rPr>
            </w:pPr>
            <w:r w:rsidRPr="005A7A70">
              <w:rPr>
                <w:rFonts w:ascii="Calibri" w:hAnsi="Calibri"/>
                <w:sz w:val="18"/>
                <w:szCs w:val="18"/>
              </w:rPr>
              <w:t>Average cost per case – Civil matters disposed in VCAT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dollars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595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743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24.9</w:t>
            </w:r>
          </w:p>
        </w:tc>
      </w:tr>
      <w:tr w:rsidR="00244910" w:rsidRPr="005A7A70" w:rsidTr="00D92E90">
        <w:trPr>
          <w:cantSplit/>
          <w:trHeight w:val="635"/>
        </w:trPr>
        <w:tc>
          <w:tcPr>
            <w:tcW w:w="8903" w:type="dxa"/>
            <w:gridSpan w:val="6"/>
            <w:tcBorders>
              <w:bottom w:val="single" w:sz="4" w:space="0" w:color="auto"/>
            </w:tcBorders>
            <w:shd w:val="clear" w:color="auto" w:fill="auto"/>
          </w:tcPr>
          <w:p w:rsidR="00244910" w:rsidRPr="005A7A70" w:rsidRDefault="00244910" w:rsidP="005A7A70">
            <w:pPr>
              <w:keepLines/>
              <w:spacing w:before="20" w:after="20"/>
              <w:contextualSpacing/>
              <w:rPr>
                <w:rFonts w:ascii="Calibri" w:eastAsia="Garamond" w:hAnsi="Calibri" w:cs="Times New Roman"/>
                <w:i/>
                <w:spacing w:val="-2"/>
                <w:sz w:val="18"/>
                <w:szCs w:val="18"/>
                <w:lang w:eastAsia="en-US"/>
              </w:rPr>
            </w:pPr>
            <w:r w:rsidRPr="005A7A70">
              <w:rPr>
                <w:rFonts w:ascii="Calibri" w:eastAsia="Garamond" w:hAnsi="Calibri" w:cs="Times New Roman"/>
                <w:i/>
                <w:iCs/>
                <w:spacing w:val="-2"/>
                <w:sz w:val="18"/>
                <w:szCs w:val="18"/>
                <w:lang w:eastAsia="en-US"/>
              </w:rPr>
              <w:t xml:space="preserve">The actual cost per case is higher than estimated because of additional one-off program funding received during 2016-17 and an increase in activity in the Civil and Planning lists, which has driven up average costs. Increased activity is a result of the introduction of the </w:t>
            </w:r>
            <w:r w:rsidR="00A34B05" w:rsidRPr="005A7A70">
              <w:rPr>
                <w:rFonts w:ascii="Calibri" w:eastAsia="Garamond" w:hAnsi="Calibri" w:cs="Times New Roman"/>
                <w:i/>
                <w:iCs/>
                <w:spacing w:val="-2"/>
                <w:sz w:val="18"/>
                <w:szCs w:val="18"/>
                <w:lang w:eastAsia="en-US"/>
              </w:rPr>
              <w:t>VCAT</w:t>
            </w:r>
            <w:r w:rsidRPr="005A7A70">
              <w:rPr>
                <w:rFonts w:ascii="Calibri" w:eastAsia="Garamond" w:hAnsi="Calibri" w:cs="Times New Roman"/>
                <w:i/>
                <w:iCs/>
                <w:spacing w:val="-2"/>
                <w:sz w:val="18"/>
                <w:szCs w:val="18"/>
                <w:lang w:eastAsia="en-US"/>
              </w:rPr>
              <w:t xml:space="preserve"> (Fees) Regulations 2016 on 1 July 2016.</w:t>
            </w:r>
            <w:r w:rsidRPr="005A7A70">
              <w:rPr>
                <w:rFonts w:ascii="Helv" w:hAnsi="Helv" w:cs="Helv"/>
                <w:i/>
                <w:color w:val="000000"/>
                <w:spacing w:val="-2"/>
                <w:sz w:val="18"/>
                <w:szCs w:val="18"/>
              </w:rPr>
              <w:t xml:space="preserve">   </w:t>
            </w:r>
          </w:p>
        </w:tc>
      </w:tr>
      <w:tr w:rsidR="005A7A70" w:rsidRPr="005A7A70" w:rsidTr="003920F2">
        <w:trPr>
          <w:gridAfter w:val="1"/>
          <w:wAfter w:w="26" w:type="dxa"/>
          <w:cantSplit/>
          <w:trHeight w:val="393"/>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Average cost per case – Coronial matters disposed in the Coroners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dollars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2,909</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3,014</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3.6</w:t>
            </w:r>
          </w:p>
        </w:tc>
      </w:tr>
      <w:tr w:rsidR="005A7A70" w:rsidRPr="005A7A70" w:rsidTr="003920F2">
        <w:trPr>
          <w:gridAfter w:val="1"/>
          <w:wAfter w:w="26" w:type="dxa"/>
          <w:cantSplit/>
          <w:trHeight w:val="485"/>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Average cost per case – Criminal matters disposed in the Supreme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dollars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38,025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36,493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-4.0</w:t>
            </w:r>
          </w:p>
        </w:tc>
      </w:tr>
      <w:tr w:rsidR="005A7A70" w:rsidRPr="005A7A70" w:rsidTr="003920F2">
        <w:trPr>
          <w:gridAfter w:val="1"/>
          <w:wAfter w:w="26" w:type="dxa"/>
          <w:cantSplit/>
          <w:trHeight w:val="42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Average cost per case – Criminal matters disposed in the County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dollars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17,570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15,228</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-13.3</w:t>
            </w:r>
          </w:p>
        </w:tc>
      </w:tr>
      <w:tr w:rsidR="00244910" w:rsidRPr="005A7A70" w:rsidTr="00D92E90">
        <w:trPr>
          <w:cantSplit/>
          <w:trHeight w:val="524"/>
        </w:trPr>
        <w:tc>
          <w:tcPr>
            <w:tcW w:w="8903" w:type="dxa"/>
            <w:gridSpan w:val="6"/>
            <w:tcBorders>
              <w:bottom w:val="single" w:sz="4" w:space="0" w:color="auto"/>
            </w:tcBorders>
            <w:shd w:val="clear" w:color="auto" w:fill="auto"/>
          </w:tcPr>
          <w:p w:rsidR="00244910" w:rsidRPr="005A7A70" w:rsidRDefault="00244910" w:rsidP="004225AD">
            <w:pPr>
              <w:keepLines/>
              <w:spacing w:before="20" w:after="20"/>
              <w:contextualSpacing/>
              <w:rPr>
                <w:rFonts w:ascii="Calibri" w:eastAsia="Garamond" w:hAnsi="Calibri" w:cs="Times New Roman"/>
                <w:i/>
                <w:spacing w:val="-2"/>
                <w:sz w:val="18"/>
                <w:szCs w:val="18"/>
                <w:lang w:eastAsia="en-US"/>
              </w:rPr>
            </w:pPr>
            <w:r w:rsidRPr="005A7A70">
              <w:rPr>
                <w:rFonts w:ascii="Calibri" w:eastAsia="Garamond" w:hAnsi="Calibri" w:cs="Times New Roman"/>
                <w:i/>
                <w:spacing w:val="-2"/>
                <w:sz w:val="18"/>
                <w:szCs w:val="18"/>
                <w:lang w:eastAsia="en-US"/>
              </w:rPr>
              <w:t>The actual cost per case is lower than estimated due to the County Court finalising a higher number of criminal cases than was anticipated when calculating the estimated average cost per case.</w:t>
            </w:r>
          </w:p>
        </w:tc>
      </w:tr>
      <w:tr w:rsidR="005A7A70" w:rsidRPr="005A7A70" w:rsidTr="003920F2">
        <w:trPr>
          <w:gridAfter w:val="1"/>
          <w:wAfter w:w="26" w:type="dxa"/>
          <w:cantSplit/>
          <w:trHeight w:val="550"/>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Average cost per case – Criminal matters disposed in the Magistrates’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dollars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547</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643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15.8</w:t>
            </w:r>
          </w:p>
        </w:tc>
      </w:tr>
      <w:tr w:rsidR="00244910" w:rsidRPr="005A7A70" w:rsidTr="00D92E90">
        <w:trPr>
          <w:cantSplit/>
          <w:trHeight w:val="708"/>
        </w:trPr>
        <w:tc>
          <w:tcPr>
            <w:tcW w:w="8903" w:type="dxa"/>
            <w:gridSpan w:val="6"/>
            <w:tcBorders>
              <w:bottom w:val="single" w:sz="4" w:space="0" w:color="auto"/>
            </w:tcBorders>
            <w:shd w:val="clear" w:color="auto" w:fill="auto"/>
          </w:tcPr>
          <w:p w:rsidR="00244910" w:rsidRPr="005A7A70" w:rsidRDefault="00244910" w:rsidP="004225AD">
            <w:pPr>
              <w:keepLines/>
              <w:spacing w:before="20" w:after="20"/>
              <w:contextualSpacing/>
              <w:rPr>
                <w:rFonts w:ascii="Calibri" w:eastAsia="Garamond" w:hAnsi="Calibri" w:cs="Times New Roman"/>
                <w:i/>
                <w:spacing w:val="-2"/>
                <w:sz w:val="18"/>
                <w:szCs w:val="18"/>
                <w:lang w:eastAsia="en-US"/>
              </w:rPr>
            </w:pPr>
            <w:r w:rsidRPr="005A7A70">
              <w:rPr>
                <w:rFonts w:ascii="Calibri" w:eastAsia="Garamond" w:hAnsi="Calibri" w:cs="Times New Roman"/>
                <w:i/>
                <w:spacing w:val="-2"/>
                <w:sz w:val="18"/>
                <w:szCs w:val="18"/>
                <w:lang w:eastAsia="en-US"/>
              </w:rPr>
              <w:t xml:space="preserve">The actual cost per case is higher than estimated due to </w:t>
            </w:r>
            <w:r w:rsidRPr="005A7A70">
              <w:rPr>
                <w:rFonts w:ascii="Calibri" w:eastAsia="Garamond" w:hAnsi="Calibri" w:cs="Times New Roman"/>
                <w:i/>
                <w:iCs/>
                <w:spacing w:val="-2"/>
                <w:sz w:val="18"/>
                <w:szCs w:val="18"/>
                <w:lang w:eastAsia="en-US"/>
              </w:rPr>
              <w:t xml:space="preserve">greater than anticipated </w:t>
            </w:r>
            <w:r w:rsidRPr="005A7A70">
              <w:rPr>
                <w:rFonts w:ascii="Calibri" w:eastAsia="Garamond" w:hAnsi="Calibri" w:cs="Times New Roman"/>
                <w:i/>
                <w:spacing w:val="-2"/>
                <w:sz w:val="18"/>
                <w:szCs w:val="18"/>
                <w:lang w:eastAsia="en-US"/>
              </w:rPr>
              <w:t xml:space="preserve">expenditure during 2016-17, which is due to the impacts of carryover, Night Court, </w:t>
            </w:r>
            <w:r w:rsidR="00A34B05" w:rsidRPr="005A7A70">
              <w:rPr>
                <w:rFonts w:ascii="Calibri" w:eastAsia="Garamond" w:hAnsi="Calibri" w:cs="Times New Roman"/>
                <w:i/>
                <w:spacing w:val="-2"/>
                <w:sz w:val="18"/>
                <w:szCs w:val="18"/>
                <w:lang w:eastAsia="en-US"/>
              </w:rPr>
              <w:t xml:space="preserve">and externally funded programs. </w:t>
            </w:r>
            <w:r w:rsidRPr="005A7A70">
              <w:rPr>
                <w:rFonts w:ascii="Calibri" w:eastAsia="Garamond" w:hAnsi="Calibri" w:cs="Times New Roman"/>
                <w:i/>
                <w:spacing w:val="-2"/>
                <w:sz w:val="18"/>
                <w:szCs w:val="18"/>
                <w:lang w:eastAsia="en-US"/>
              </w:rPr>
              <w:t>The criminal caseload was also lower than estimated due to a backlog in infringement matters referred to the Magistrates' Court.</w:t>
            </w:r>
            <w:r w:rsidRPr="005A7A70">
              <w:rPr>
                <w:rFonts w:ascii="Helv" w:hAnsi="Helv" w:cs="Helv"/>
                <w:i/>
                <w:color w:val="000000"/>
                <w:spacing w:val="-2"/>
                <w:sz w:val="18"/>
                <w:szCs w:val="18"/>
              </w:rPr>
              <w:t xml:space="preserve">  </w:t>
            </w:r>
          </w:p>
        </w:tc>
      </w:tr>
      <w:tr w:rsidR="005A7A70" w:rsidRPr="005A7A70" w:rsidTr="003920F2">
        <w:trPr>
          <w:gridAfter w:val="1"/>
          <w:wAfter w:w="26" w:type="dxa"/>
          <w:cantSplit/>
          <w:trHeight w:val="425"/>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Average cost per case – Criminal matters disposed in the Children’s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dollars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224</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296</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32.1</w:t>
            </w:r>
          </w:p>
        </w:tc>
      </w:tr>
      <w:tr w:rsidR="00244910" w:rsidRPr="005A7A70" w:rsidTr="00D92E90">
        <w:trPr>
          <w:cantSplit/>
          <w:trHeight w:val="683"/>
        </w:trPr>
        <w:tc>
          <w:tcPr>
            <w:tcW w:w="8903" w:type="dxa"/>
            <w:gridSpan w:val="6"/>
            <w:tcBorders>
              <w:bottom w:val="single" w:sz="4" w:space="0" w:color="auto"/>
            </w:tcBorders>
            <w:shd w:val="clear" w:color="auto" w:fill="auto"/>
          </w:tcPr>
          <w:p w:rsidR="00244910" w:rsidRPr="005A7A70" w:rsidRDefault="00244910" w:rsidP="001F6535">
            <w:pPr>
              <w:keepLines/>
              <w:spacing w:before="20" w:after="20"/>
              <w:contextualSpacing/>
              <w:rPr>
                <w:rFonts w:ascii="Calibri" w:eastAsia="Garamond" w:hAnsi="Calibri" w:cs="Times New Roman"/>
                <w:i/>
                <w:spacing w:val="-2"/>
                <w:sz w:val="18"/>
                <w:szCs w:val="18"/>
                <w:lang w:eastAsia="en-US"/>
              </w:rPr>
            </w:pPr>
            <w:r w:rsidRPr="005A7A70">
              <w:rPr>
                <w:rFonts w:ascii="Calibri" w:eastAsia="Garamond" w:hAnsi="Calibri" w:cs="Times New Roman"/>
                <w:i/>
                <w:spacing w:val="-2"/>
                <w:sz w:val="18"/>
                <w:szCs w:val="18"/>
                <w:lang w:eastAsia="en-US"/>
              </w:rPr>
              <w:t>The Children’s Court experienced a short-term increase in the number of unpaid infringements registered for enforcement during 2015-16, which was not repeat</w:t>
            </w:r>
            <w:r w:rsidR="00A34B05" w:rsidRPr="005A7A70">
              <w:rPr>
                <w:rFonts w:ascii="Calibri" w:eastAsia="Garamond" w:hAnsi="Calibri" w:cs="Times New Roman"/>
                <w:i/>
                <w:spacing w:val="-2"/>
                <w:sz w:val="18"/>
                <w:szCs w:val="18"/>
                <w:lang w:eastAsia="en-US"/>
              </w:rPr>
              <w:t>ed in 2016-17. In 2016-17, the c</w:t>
            </w:r>
            <w:r w:rsidRPr="005A7A70">
              <w:rPr>
                <w:rFonts w:ascii="Calibri" w:eastAsia="Garamond" w:hAnsi="Calibri" w:cs="Times New Roman"/>
                <w:i/>
                <w:spacing w:val="-2"/>
                <w:sz w:val="18"/>
                <w:szCs w:val="18"/>
                <w:lang w:eastAsia="en-US"/>
              </w:rPr>
              <w:t xml:space="preserve">ourt finalised over </w:t>
            </w:r>
            <w:r w:rsidR="001F6535">
              <w:rPr>
                <w:rFonts w:ascii="Calibri" w:eastAsia="Garamond" w:hAnsi="Calibri" w:cs="Times New Roman"/>
                <w:i/>
                <w:spacing w:val="-2"/>
                <w:sz w:val="18"/>
                <w:szCs w:val="18"/>
                <w:lang w:eastAsia="en-US"/>
              </w:rPr>
              <w:t>4</w:t>
            </w:r>
            <w:r w:rsidRPr="005A7A70">
              <w:rPr>
                <w:rFonts w:ascii="Calibri" w:eastAsia="Garamond" w:hAnsi="Calibri" w:cs="Times New Roman"/>
                <w:i/>
                <w:spacing w:val="-2"/>
                <w:sz w:val="18"/>
                <w:szCs w:val="18"/>
                <w:lang w:eastAsia="en-US"/>
              </w:rPr>
              <w:t>,</w:t>
            </w:r>
            <w:r w:rsidR="001F6535">
              <w:rPr>
                <w:rFonts w:ascii="Calibri" w:eastAsia="Garamond" w:hAnsi="Calibri" w:cs="Times New Roman"/>
                <w:i/>
                <w:spacing w:val="-2"/>
                <w:sz w:val="18"/>
                <w:szCs w:val="18"/>
                <w:lang w:eastAsia="en-US"/>
              </w:rPr>
              <w:t>9</w:t>
            </w:r>
            <w:r w:rsidRPr="005A7A70">
              <w:rPr>
                <w:rFonts w:ascii="Calibri" w:eastAsia="Garamond" w:hAnsi="Calibri" w:cs="Times New Roman"/>
                <w:i/>
                <w:spacing w:val="-2"/>
                <w:sz w:val="18"/>
                <w:szCs w:val="18"/>
                <w:lang w:eastAsia="en-US"/>
              </w:rPr>
              <w:t>00 fewer criminal div</w:t>
            </w:r>
            <w:r w:rsidR="005A7A70">
              <w:rPr>
                <w:rFonts w:ascii="Calibri" w:eastAsia="Garamond" w:hAnsi="Calibri" w:cs="Times New Roman"/>
                <w:i/>
                <w:spacing w:val="-2"/>
                <w:sz w:val="18"/>
                <w:szCs w:val="18"/>
                <w:lang w:eastAsia="en-US"/>
              </w:rPr>
              <w:t xml:space="preserve">ision matters than in 2015-16. </w:t>
            </w:r>
            <w:r w:rsidRPr="005A7A70">
              <w:rPr>
                <w:rFonts w:ascii="Calibri" w:eastAsia="Garamond" w:hAnsi="Calibri" w:cs="Times New Roman"/>
                <w:i/>
                <w:spacing w:val="-2"/>
                <w:sz w:val="18"/>
                <w:szCs w:val="18"/>
                <w:lang w:eastAsia="en-US"/>
              </w:rPr>
              <w:t>This resulted in the actual cost per case being higher than estimated.</w:t>
            </w:r>
          </w:p>
        </w:tc>
      </w:tr>
      <w:tr w:rsidR="005A7A70" w:rsidRPr="005A7A70" w:rsidTr="003920F2">
        <w:trPr>
          <w:gridAfter w:val="1"/>
          <w:wAfter w:w="26" w:type="dxa"/>
          <w:cantSplit/>
          <w:trHeight w:val="78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3920F2" w:rsidP="00244910">
            <w:pPr>
              <w:keepNext/>
              <w:spacing w:after="20"/>
              <w:ind w:left="142"/>
              <w:rPr>
                <w:rFonts w:ascii="Calibri" w:hAnsi="Calibri"/>
                <w:sz w:val="18"/>
                <w:szCs w:val="18"/>
              </w:rPr>
            </w:pPr>
            <w:r>
              <w:rPr>
                <w:rFonts w:ascii="Calibri" w:hAnsi="Calibri"/>
                <w:sz w:val="18"/>
                <w:szCs w:val="18"/>
              </w:rPr>
              <w:t>Case clearance rate</w:t>
            </w:r>
            <w:r w:rsidRPr="003920F2">
              <w:rPr>
                <w:rFonts w:ascii="Calibri" w:hAnsi="Calibri"/>
                <w:b/>
                <w:sz w:val="18"/>
                <w:szCs w:val="18"/>
                <w:vertAlign w:val="superscript"/>
              </w:rPr>
              <w:t>1</w:t>
            </w:r>
            <w:r w:rsidR="005A7A70" w:rsidRPr="003920F2">
              <w:rPr>
                <w:rFonts w:ascii="Calibri" w:hAnsi="Calibri"/>
                <w:sz w:val="18"/>
                <w:szCs w:val="18"/>
                <w:vertAlign w:val="superscript"/>
              </w:rPr>
              <w:t xml:space="preserve"> </w:t>
            </w:r>
            <w:r w:rsidR="005A7A70" w:rsidRPr="005A7A70">
              <w:rPr>
                <w:rFonts w:ascii="Calibri" w:hAnsi="Calibri"/>
                <w:sz w:val="18"/>
                <w:szCs w:val="18"/>
              </w:rPr>
              <w:t>– Civil matters disposed in the Supreme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100.6</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(27,545/</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27,386)</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0.6</w:t>
            </w:r>
          </w:p>
        </w:tc>
      </w:tr>
      <w:tr w:rsidR="00D92E90" w:rsidRPr="005A7A70" w:rsidTr="00181D51">
        <w:trPr>
          <w:cantSplit/>
          <w:trHeight w:val="199"/>
        </w:trPr>
        <w:tc>
          <w:tcPr>
            <w:tcW w:w="8903" w:type="dxa"/>
            <w:gridSpan w:val="6"/>
            <w:tcBorders>
              <w:bottom w:val="nil"/>
            </w:tcBorders>
            <w:shd w:val="clear" w:color="auto" w:fill="auto"/>
          </w:tcPr>
          <w:p w:rsidR="00D92E90" w:rsidRPr="005A7A70" w:rsidRDefault="00D92E90" w:rsidP="00181D51">
            <w:pPr>
              <w:keepLines/>
              <w:spacing w:before="20" w:after="20"/>
              <w:contextualSpacing/>
              <w:rPr>
                <w:rFonts w:ascii="Calibri" w:eastAsia="Garamond" w:hAnsi="Calibri" w:cs="Times New Roman"/>
                <w:i/>
                <w:spacing w:val="-2"/>
                <w:sz w:val="18"/>
                <w:szCs w:val="18"/>
                <w:lang w:eastAsia="en-US"/>
              </w:rPr>
            </w:pPr>
          </w:p>
        </w:tc>
      </w:tr>
      <w:tr w:rsidR="005A7A70" w:rsidRPr="005A7A70" w:rsidTr="003920F2">
        <w:trPr>
          <w:gridAfter w:val="1"/>
          <w:wAfter w:w="26" w:type="dxa"/>
          <w:cantSplit/>
          <w:trHeight w:val="78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lastRenderedPageBreak/>
              <w:t>Case clearance rate</w:t>
            </w:r>
            <w:r w:rsidR="003920F2" w:rsidRPr="003920F2">
              <w:rPr>
                <w:rFonts w:ascii="Calibri" w:hAnsi="Calibri"/>
                <w:b/>
                <w:sz w:val="18"/>
                <w:szCs w:val="18"/>
                <w:vertAlign w:val="superscript"/>
              </w:rPr>
              <w:t>1</w:t>
            </w:r>
            <w:r w:rsidRPr="005A7A70">
              <w:rPr>
                <w:rFonts w:ascii="Calibri" w:hAnsi="Calibri"/>
                <w:sz w:val="18"/>
                <w:szCs w:val="18"/>
              </w:rPr>
              <w:t xml:space="preserve"> – Civil matters disposed in the County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97.0</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(5,867/</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6,051)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-3.0</w:t>
            </w:r>
          </w:p>
        </w:tc>
      </w:tr>
      <w:tr w:rsidR="005A7A70" w:rsidRPr="005A7A70" w:rsidTr="003920F2">
        <w:trPr>
          <w:gridAfter w:val="1"/>
          <w:wAfter w:w="26" w:type="dxa"/>
          <w:cantSplit/>
          <w:trHeight w:val="78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Case clearance rate</w:t>
            </w:r>
            <w:r w:rsidR="003920F2" w:rsidRPr="003920F2">
              <w:rPr>
                <w:rFonts w:ascii="Calibri" w:hAnsi="Calibri"/>
                <w:b/>
                <w:sz w:val="18"/>
                <w:szCs w:val="18"/>
                <w:vertAlign w:val="superscript"/>
              </w:rPr>
              <w:t>1</w:t>
            </w:r>
            <w:r w:rsidRPr="005A7A70">
              <w:rPr>
                <w:rFonts w:ascii="Calibri" w:hAnsi="Calibri"/>
                <w:sz w:val="18"/>
                <w:szCs w:val="18"/>
              </w:rPr>
              <w:t xml:space="preserve"> – Civil matters disposed in the Magistrates’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91.2</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(57,703/</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63,242)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-8.8</w:t>
            </w:r>
          </w:p>
        </w:tc>
      </w:tr>
      <w:tr w:rsidR="00244910" w:rsidRPr="005A7A70" w:rsidTr="00D92E90">
        <w:trPr>
          <w:cantSplit/>
          <w:trHeight w:val="977"/>
        </w:trPr>
        <w:tc>
          <w:tcPr>
            <w:tcW w:w="8903" w:type="dxa"/>
            <w:gridSpan w:val="6"/>
            <w:tcBorders>
              <w:bottom w:val="single" w:sz="4" w:space="0" w:color="auto"/>
            </w:tcBorders>
            <w:shd w:val="clear" w:color="auto" w:fill="auto"/>
          </w:tcPr>
          <w:p w:rsidR="00244910" w:rsidRPr="005A7A70" w:rsidRDefault="00244910" w:rsidP="004225AD">
            <w:pPr>
              <w:keepLines/>
              <w:spacing w:before="20" w:after="20"/>
              <w:contextualSpacing/>
              <w:rPr>
                <w:rFonts w:ascii="Calibri" w:eastAsia="Garamond" w:hAnsi="Calibri" w:cs="Times New Roman"/>
                <w:i/>
                <w:spacing w:val="-2"/>
                <w:sz w:val="18"/>
                <w:szCs w:val="18"/>
                <w:lang w:eastAsia="en-US"/>
              </w:rPr>
            </w:pPr>
            <w:r w:rsidRPr="005A7A70">
              <w:rPr>
                <w:rFonts w:ascii="Calibri" w:eastAsia="Garamond" w:hAnsi="Calibri" w:cs="Times New Roman"/>
                <w:i/>
                <w:spacing w:val="-2"/>
                <w:sz w:val="18"/>
                <w:szCs w:val="18"/>
                <w:lang w:eastAsia="en-US"/>
              </w:rPr>
              <w:t>Civil matters for the Magistrates’ Court comprise civil, intervention order and Victims of Crime Assistance Tribunal cases. An increase in cases initiated for all of these matters</w:t>
            </w:r>
            <w:r w:rsidR="005A7A70">
              <w:rPr>
                <w:rFonts w:ascii="Calibri" w:eastAsia="Garamond" w:hAnsi="Calibri" w:cs="Times New Roman"/>
                <w:i/>
                <w:spacing w:val="-2"/>
                <w:sz w:val="18"/>
                <w:szCs w:val="18"/>
                <w:lang w:eastAsia="en-US"/>
              </w:rPr>
              <w:t>,</w:t>
            </w:r>
            <w:r w:rsidRPr="005A7A70">
              <w:rPr>
                <w:rFonts w:ascii="Calibri" w:eastAsia="Garamond" w:hAnsi="Calibri" w:cs="Times New Roman"/>
                <w:i/>
                <w:spacing w:val="-2"/>
                <w:sz w:val="18"/>
                <w:szCs w:val="18"/>
                <w:lang w:eastAsia="en-US"/>
              </w:rPr>
              <w:t xml:space="preserve"> as well as the complexity of these matters</w:t>
            </w:r>
            <w:r w:rsidR="005A7A70">
              <w:rPr>
                <w:rFonts w:ascii="Calibri" w:eastAsia="Garamond" w:hAnsi="Calibri" w:cs="Times New Roman"/>
                <w:i/>
                <w:spacing w:val="-2"/>
                <w:sz w:val="18"/>
                <w:szCs w:val="18"/>
                <w:lang w:eastAsia="en-US"/>
              </w:rPr>
              <w:t>,</w:t>
            </w:r>
            <w:r w:rsidRPr="005A7A70">
              <w:rPr>
                <w:rFonts w:ascii="Calibri" w:eastAsia="Garamond" w:hAnsi="Calibri" w:cs="Times New Roman"/>
                <w:i/>
                <w:spacing w:val="-2"/>
                <w:sz w:val="18"/>
                <w:szCs w:val="18"/>
                <w:lang w:eastAsia="en-US"/>
              </w:rPr>
              <w:t xml:space="preserve"> resulted in</w:t>
            </w:r>
            <w:r w:rsidRPr="005A7A70">
              <w:rPr>
                <w:rFonts w:ascii="Calibri" w:eastAsia="Garamond" w:hAnsi="Calibri" w:cs="Helv"/>
                <w:i/>
                <w:color w:val="000000"/>
                <w:spacing w:val="-2"/>
                <w:sz w:val="18"/>
                <w:szCs w:val="18"/>
                <w:lang w:eastAsia="en-US"/>
              </w:rPr>
              <w:t xml:space="preserve"> the actual clearance rate being lower than estimated.</w:t>
            </w:r>
          </w:p>
        </w:tc>
      </w:tr>
      <w:tr w:rsidR="005A7A70" w:rsidRPr="005A7A70" w:rsidTr="003920F2">
        <w:trPr>
          <w:gridAfter w:val="1"/>
          <w:wAfter w:w="26" w:type="dxa"/>
          <w:cantSplit/>
          <w:trHeight w:val="796"/>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Case clearance rate</w:t>
            </w:r>
            <w:r w:rsidR="003920F2" w:rsidRPr="003920F2">
              <w:rPr>
                <w:rFonts w:ascii="Calibri" w:hAnsi="Calibri"/>
                <w:b/>
                <w:sz w:val="18"/>
                <w:szCs w:val="18"/>
                <w:vertAlign w:val="superscript"/>
              </w:rPr>
              <w:t>1</w:t>
            </w:r>
            <w:r w:rsidR="003920F2" w:rsidRPr="003920F2">
              <w:rPr>
                <w:rFonts w:ascii="Calibri" w:hAnsi="Calibri"/>
                <w:sz w:val="18"/>
                <w:szCs w:val="18"/>
                <w:vertAlign w:val="superscript"/>
              </w:rPr>
              <w:t xml:space="preserve"> </w:t>
            </w:r>
            <w:r w:rsidRPr="005A7A70">
              <w:rPr>
                <w:rFonts w:ascii="Calibri" w:hAnsi="Calibri"/>
                <w:sz w:val="18"/>
                <w:szCs w:val="18"/>
              </w:rPr>
              <w:t>– Family Division matters disposed in the Children’s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92.8</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(19,473/</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20,981)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-2.3</w:t>
            </w:r>
          </w:p>
        </w:tc>
      </w:tr>
      <w:tr w:rsidR="005A7A70" w:rsidRPr="005A7A70" w:rsidTr="003920F2">
        <w:trPr>
          <w:gridAfter w:val="1"/>
          <w:wAfter w:w="26" w:type="dxa"/>
          <w:cantSplit/>
          <w:trHeight w:val="78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4225AD">
            <w:pPr>
              <w:keepNext/>
              <w:spacing w:after="20"/>
              <w:ind w:left="142"/>
              <w:rPr>
                <w:rFonts w:ascii="Calibri" w:hAnsi="Calibri"/>
                <w:sz w:val="18"/>
                <w:szCs w:val="18"/>
              </w:rPr>
            </w:pPr>
            <w:r w:rsidRPr="005A7A70">
              <w:rPr>
                <w:rFonts w:ascii="Calibri" w:hAnsi="Calibri"/>
                <w:sz w:val="18"/>
                <w:szCs w:val="18"/>
              </w:rPr>
              <w:t>Case clearance rate</w:t>
            </w:r>
            <w:r w:rsidR="003920F2" w:rsidRPr="003920F2">
              <w:rPr>
                <w:rFonts w:ascii="Calibri" w:hAnsi="Calibri"/>
                <w:b/>
                <w:sz w:val="18"/>
                <w:szCs w:val="18"/>
                <w:vertAlign w:val="superscript"/>
              </w:rPr>
              <w:t>1</w:t>
            </w:r>
            <w:r w:rsidRPr="005A7A70">
              <w:rPr>
                <w:rFonts w:ascii="Calibri" w:hAnsi="Calibri"/>
                <w:sz w:val="18"/>
                <w:szCs w:val="18"/>
              </w:rPr>
              <w:t xml:space="preserve"> – Civil matters disposed in </w:t>
            </w:r>
            <w:r w:rsidR="004225AD">
              <w:rPr>
                <w:rFonts w:ascii="Calibri" w:hAnsi="Calibri"/>
                <w:sz w:val="18"/>
                <w:szCs w:val="18"/>
              </w:rPr>
              <w:t>VCAT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98.2</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(84,878/</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86,461)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-1.8</w:t>
            </w:r>
          </w:p>
        </w:tc>
      </w:tr>
      <w:tr w:rsidR="005A7A70" w:rsidRPr="005A7A70" w:rsidTr="003920F2">
        <w:trPr>
          <w:gridAfter w:val="1"/>
          <w:wAfter w:w="26" w:type="dxa"/>
          <w:cantSplit/>
          <w:trHeight w:val="78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Case clearance rate</w:t>
            </w:r>
            <w:r w:rsidR="003920F2" w:rsidRPr="003920F2">
              <w:rPr>
                <w:rFonts w:ascii="Calibri" w:hAnsi="Calibri"/>
                <w:b/>
                <w:sz w:val="18"/>
                <w:szCs w:val="18"/>
                <w:vertAlign w:val="superscript"/>
              </w:rPr>
              <w:t>1</w:t>
            </w:r>
            <w:r w:rsidRPr="005A7A70">
              <w:rPr>
                <w:rFonts w:ascii="Calibri" w:hAnsi="Calibri"/>
                <w:sz w:val="18"/>
                <w:szCs w:val="18"/>
              </w:rPr>
              <w:t xml:space="preserve"> – Coronial matters disposed in the Coroners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100.6</w:t>
            </w:r>
          </w:p>
          <w:p w:rsidR="005A7A70" w:rsidRPr="005A7A70" w:rsidRDefault="005A7A70" w:rsidP="00244910">
            <w:pPr>
              <w:spacing w:after="20"/>
              <w:jc w:val="right"/>
              <w:rPr>
                <w:rFonts w:ascii="Calibri" w:hAnsi="Calibri"/>
                <w:sz w:val="18"/>
                <w:szCs w:val="18"/>
              </w:rPr>
            </w:pPr>
            <w:r>
              <w:rPr>
                <w:rFonts w:ascii="Calibri" w:hAnsi="Calibri"/>
                <w:sz w:val="18"/>
                <w:szCs w:val="18"/>
              </w:rPr>
              <w:t>(6,</w:t>
            </w:r>
            <w:r w:rsidRPr="005A7A70">
              <w:rPr>
                <w:rFonts w:ascii="Calibri" w:hAnsi="Calibri"/>
                <w:sz w:val="18"/>
                <w:szCs w:val="18"/>
              </w:rPr>
              <w:t>285/</w:t>
            </w:r>
          </w:p>
          <w:p w:rsidR="005A7A70" w:rsidRPr="005A7A70" w:rsidRDefault="005A7A70" w:rsidP="00244910">
            <w:pPr>
              <w:spacing w:after="20"/>
              <w:jc w:val="right"/>
              <w:rPr>
                <w:rFonts w:ascii="Calibri" w:hAnsi="Calibri"/>
                <w:sz w:val="18"/>
                <w:szCs w:val="18"/>
              </w:rPr>
            </w:pPr>
            <w:r>
              <w:rPr>
                <w:rFonts w:ascii="Calibri" w:hAnsi="Calibri"/>
                <w:sz w:val="18"/>
                <w:szCs w:val="18"/>
              </w:rPr>
              <w:t>6,</w:t>
            </w:r>
            <w:r w:rsidRPr="005A7A70">
              <w:rPr>
                <w:rFonts w:ascii="Calibri" w:hAnsi="Calibri"/>
                <w:sz w:val="18"/>
                <w:szCs w:val="18"/>
              </w:rPr>
              <w:t>248)</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0.6</w:t>
            </w:r>
          </w:p>
        </w:tc>
      </w:tr>
      <w:tr w:rsidR="005A7A70" w:rsidRPr="005A7A70" w:rsidTr="003920F2">
        <w:trPr>
          <w:gridAfter w:val="1"/>
          <w:wAfter w:w="26" w:type="dxa"/>
          <w:cantSplit/>
          <w:trHeight w:val="796"/>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Case clearance rate</w:t>
            </w:r>
            <w:r w:rsidR="003920F2" w:rsidRPr="003920F2">
              <w:rPr>
                <w:rFonts w:ascii="Calibri" w:hAnsi="Calibri"/>
                <w:b/>
                <w:sz w:val="18"/>
                <w:szCs w:val="18"/>
                <w:vertAlign w:val="superscript"/>
              </w:rPr>
              <w:t>1</w:t>
            </w:r>
            <w:r w:rsidR="003920F2" w:rsidRPr="003920F2">
              <w:rPr>
                <w:rFonts w:ascii="Calibri" w:hAnsi="Calibri"/>
                <w:sz w:val="18"/>
                <w:szCs w:val="18"/>
                <w:vertAlign w:val="superscript"/>
              </w:rPr>
              <w:t xml:space="preserve"> </w:t>
            </w:r>
            <w:r w:rsidRPr="005A7A70">
              <w:rPr>
                <w:rFonts w:ascii="Calibri" w:hAnsi="Calibri"/>
                <w:sz w:val="18"/>
                <w:szCs w:val="18"/>
              </w:rPr>
              <w:t xml:space="preserve"> – Criminal matters disposed in the Supreme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97.3</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(606/</w:t>
            </w:r>
          </w:p>
          <w:p w:rsidR="005A7A70" w:rsidRPr="005A7A70" w:rsidRDefault="005A7A70" w:rsidP="00244910">
            <w:pPr>
              <w:spacing w:after="20"/>
              <w:jc w:val="right"/>
              <w:rPr>
                <w:rFonts w:ascii="Calibri" w:hAnsi="Calibri"/>
                <w:sz w:val="18"/>
                <w:szCs w:val="18"/>
              </w:rPr>
            </w:pPr>
            <w:r w:rsidRPr="005A7A70">
              <w:rPr>
                <w:rFonts w:ascii="Calibri" w:hAnsi="Calibri"/>
                <w:sz w:val="18"/>
                <w:szCs w:val="18"/>
              </w:rPr>
              <w:t>623)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-2.7</w:t>
            </w:r>
          </w:p>
        </w:tc>
      </w:tr>
      <w:tr w:rsidR="005A7A70" w:rsidRPr="005A7A70" w:rsidTr="003920F2">
        <w:trPr>
          <w:gridAfter w:val="1"/>
          <w:wAfter w:w="26" w:type="dxa"/>
          <w:cantSplit/>
          <w:trHeight w:val="442"/>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Case clearance rate</w:t>
            </w:r>
            <w:r w:rsidR="003920F2" w:rsidRPr="003920F2">
              <w:rPr>
                <w:rFonts w:ascii="Calibri" w:hAnsi="Calibri"/>
                <w:b/>
                <w:sz w:val="18"/>
                <w:szCs w:val="18"/>
                <w:vertAlign w:val="superscript"/>
              </w:rPr>
              <w:t>1</w:t>
            </w:r>
            <w:r w:rsidRPr="005A7A70">
              <w:rPr>
                <w:rFonts w:ascii="Calibri" w:hAnsi="Calibri"/>
                <w:sz w:val="18"/>
                <w:szCs w:val="18"/>
              </w:rPr>
              <w:t xml:space="preserve"> – Criminal matters disposed in the County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94.2</w:t>
            </w:r>
          </w:p>
          <w:p w:rsidR="005A7A70" w:rsidRPr="005A7A70" w:rsidRDefault="005A7A70" w:rsidP="00244910">
            <w:pPr>
              <w:spacing w:after="20"/>
              <w:jc w:val="right"/>
              <w:rPr>
                <w:rFonts w:ascii="Calibri" w:hAnsi="Calibri"/>
                <w:sz w:val="18"/>
                <w:szCs w:val="18"/>
              </w:rPr>
            </w:pPr>
            <w:r>
              <w:rPr>
                <w:rFonts w:ascii="Calibri" w:hAnsi="Calibri"/>
                <w:sz w:val="18"/>
                <w:szCs w:val="18"/>
              </w:rPr>
              <w:t>(5,</w:t>
            </w:r>
            <w:r w:rsidRPr="005A7A70">
              <w:rPr>
                <w:rFonts w:ascii="Calibri" w:hAnsi="Calibri"/>
                <w:sz w:val="18"/>
                <w:szCs w:val="18"/>
              </w:rPr>
              <w:t>321/</w:t>
            </w:r>
          </w:p>
          <w:p w:rsidR="005A7A70" w:rsidRPr="005A7A70" w:rsidRDefault="005A7A70" w:rsidP="00244910">
            <w:pPr>
              <w:spacing w:after="20"/>
              <w:jc w:val="right"/>
              <w:rPr>
                <w:rFonts w:ascii="Calibri" w:hAnsi="Calibri"/>
                <w:sz w:val="18"/>
                <w:szCs w:val="18"/>
              </w:rPr>
            </w:pPr>
            <w:r>
              <w:rPr>
                <w:rFonts w:ascii="Calibri" w:hAnsi="Calibri"/>
                <w:sz w:val="18"/>
                <w:szCs w:val="18"/>
              </w:rPr>
              <w:t>5,</w:t>
            </w:r>
            <w:r w:rsidRPr="005A7A70">
              <w:rPr>
                <w:rFonts w:ascii="Calibri" w:hAnsi="Calibri"/>
                <w:sz w:val="18"/>
                <w:szCs w:val="18"/>
              </w:rPr>
              <w:t>647)</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-5.8</w:t>
            </w:r>
          </w:p>
        </w:tc>
      </w:tr>
      <w:tr w:rsidR="00244910" w:rsidRPr="005A7A70" w:rsidTr="00D92E90">
        <w:trPr>
          <w:cantSplit/>
          <w:trHeight w:val="419"/>
        </w:trPr>
        <w:tc>
          <w:tcPr>
            <w:tcW w:w="8903" w:type="dxa"/>
            <w:gridSpan w:val="6"/>
            <w:tcBorders>
              <w:bottom w:val="single" w:sz="4" w:space="0" w:color="auto"/>
            </w:tcBorders>
            <w:shd w:val="clear" w:color="auto" w:fill="auto"/>
          </w:tcPr>
          <w:p w:rsidR="00244910" w:rsidRPr="005A7A70" w:rsidRDefault="00244910" w:rsidP="004225AD">
            <w:pPr>
              <w:keepLines/>
              <w:spacing w:before="20" w:after="20"/>
              <w:contextualSpacing/>
              <w:rPr>
                <w:rFonts w:ascii="Calibri" w:eastAsia="Garamond" w:hAnsi="Calibri" w:cs="Times New Roman"/>
                <w:i/>
                <w:spacing w:val="-2"/>
                <w:sz w:val="18"/>
                <w:szCs w:val="18"/>
                <w:lang w:eastAsia="en-US"/>
              </w:rPr>
            </w:pPr>
            <w:r w:rsidRPr="005A7A70">
              <w:rPr>
                <w:rFonts w:ascii="Calibri" w:eastAsia="Garamond" w:hAnsi="Calibri" w:cs="Times New Roman"/>
                <w:i/>
                <w:spacing w:val="-2"/>
                <w:sz w:val="18"/>
                <w:szCs w:val="18"/>
                <w:lang w:eastAsia="en-US"/>
              </w:rPr>
              <w:t>A number of factors influenced this outcom</w:t>
            </w:r>
            <w:r w:rsidR="005A7A70">
              <w:rPr>
                <w:rFonts w:ascii="Calibri" w:eastAsia="Garamond" w:hAnsi="Calibri" w:cs="Times New Roman"/>
                <w:i/>
                <w:spacing w:val="-2"/>
                <w:sz w:val="18"/>
                <w:szCs w:val="18"/>
                <w:lang w:eastAsia="en-US"/>
              </w:rPr>
              <w:t>e, including increased</w:t>
            </w:r>
            <w:r w:rsidRPr="005A7A70">
              <w:rPr>
                <w:rFonts w:ascii="Calibri" w:eastAsia="Garamond" w:hAnsi="Calibri" w:cs="Times New Roman"/>
                <w:i/>
                <w:spacing w:val="-2"/>
                <w:sz w:val="18"/>
                <w:szCs w:val="18"/>
                <w:lang w:eastAsia="en-US"/>
              </w:rPr>
              <w:t xml:space="preserve"> trial complexity and higher numbers of not-reached trials at the beginning of 2017.</w:t>
            </w:r>
          </w:p>
        </w:tc>
      </w:tr>
      <w:tr w:rsidR="005A7A70" w:rsidRPr="005A7A70" w:rsidTr="003920F2">
        <w:trPr>
          <w:gridAfter w:val="1"/>
          <w:wAfter w:w="26" w:type="dxa"/>
          <w:cantSplit/>
          <w:trHeight w:val="78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3920F2" w:rsidP="00244910">
            <w:pPr>
              <w:keepNext/>
              <w:spacing w:after="20"/>
              <w:ind w:left="142"/>
              <w:rPr>
                <w:rFonts w:ascii="Calibri" w:hAnsi="Calibri"/>
                <w:sz w:val="18"/>
                <w:szCs w:val="18"/>
              </w:rPr>
            </w:pPr>
            <w:r>
              <w:rPr>
                <w:rFonts w:ascii="Calibri" w:hAnsi="Calibri"/>
                <w:sz w:val="18"/>
                <w:szCs w:val="18"/>
              </w:rPr>
              <w:t>Case clearance rate</w:t>
            </w:r>
            <w:r w:rsidRPr="003920F2">
              <w:rPr>
                <w:rFonts w:ascii="Calibri" w:hAnsi="Calibri"/>
                <w:b/>
                <w:sz w:val="18"/>
                <w:szCs w:val="18"/>
                <w:vertAlign w:val="superscript"/>
              </w:rPr>
              <w:t>1</w:t>
            </w:r>
            <w:r w:rsidR="005A7A70" w:rsidRPr="005A7A70">
              <w:rPr>
                <w:rFonts w:ascii="Calibri" w:hAnsi="Calibri"/>
                <w:sz w:val="18"/>
                <w:szCs w:val="18"/>
              </w:rPr>
              <w:t xml:space="preserve"> – Criminal matters disposed in the Magistrates’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119</w:t>
            </w:r>
          </w:p>
          <w:p w:rsidR="005A7A70" w:rsidRPr="005A7A70" w:rsidRDefault="005A7A70" w:rsidP="00244910">
            <w:pPr>
              <w:spacing w:after="20"/>
              <w:jc w:val="right"/>
              <w:rPr>
                <w:rFonts w:ascii="Calibri" w:hAnsi="Calibri"/>
                <w:sz w:val="18"/>
                <w:szCs w:val="18"/>
              </w:rPr>
            </w:pPr>
            <w:r>
              <w:rPr>
                <w:rFonts w:ascii="Calibri" w:hAnsi="Calibri"/>
                <w:sz w:val="18"/>
                <w:szCs w:val="18"/>
              </w:rPr>
              <w:t>(198,</w:t>
            </w:r>
            <w:r w:rsidRPr="005A7A70">
              <w:rPr>
                <w:rFonts w:ascii="Calibri" w:hAnsi="Calibri"/>
                <w:sz w:val="18"/>
                <w:szCs w:val="18"/>
              </w:rPr>
              <w:t>185/</w:t>
            </w:r>
          </w:p>
          <w:p w:rsidR="005A7A70" w:rsidRPr="005A7A70" w:rsidRDefault="005A7A70" w:rsidP="00244910">
            <w:pPr>
              <w:spacing w:after="20"/>
              <w:jc w:val="right"/>
              <w:rPr>
                <w:rFonts w:ascii="Calibri" w:hAnsi="Calibri"/>
                <w:sz w:val="18"/>
                <w:szCs w:val="18"/>
              </w:rPr>
            </w:pPr>
            <w:r>
              <w:rPr>
                <w:rFonts w:ascii="Calibri" w:hAnsi="Calibri"/>
                <w:sz w:val="18"/>
                <w:szCs w:val="18"/>
              </w:rPr>
              <w:t>166,</w:t>
            </w:r>
            <w:r w:rsidRPr="005A7A70">
              <w:rPr>
                <w:rFonts w:ascii="Calibri" w:hAnsi="Calibri"/>
                <w:sz w:val="18"/>
                <w:szCs w:val="18"/>
              </w:rPr>
              <w:t>499)</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19</w:t>
            </w:r>
          </w:p>
        </w:tc>
      </w:tr>
      <w:tr w:rsidR="00244910" w:rsidRPr="005A7A70" w:rsidTr="00D92E90">
        <w:trPr>
          <w:cantSplit/>
          <w:trHeight w:val="465"/>
        </w:trPr>
        <w:tc>
          <w:tcPr>
            <w:tcW w:w="8903" w:type="dxa"/>
            <w:gridSpan w:val="6"/>
            <w:tcBorders>
              <w:bottom w:val="single" w:sz="4" w:space="0" w:color="auto"/>
            </w:tcBorders>
            <w:shd w:val="clear" w:color="auto" w:fill="auto"/>
          </w:tcPr>
          <w:p w:rsidR="00244910" w:rsidRPr="005A7A70" w:rsidRDefault="00244910" w:rsidP="004225AD">
            <w:pPr>
              <w:keepLines/>
              <w:spacing w:before="20" w:after="20"/>
              <w:contextualSpacing/>
              <w:rPr>
                <w:rFonts w:ascii="Calibri" w:eastAsia="Garamond" w:hAnsi="Calibri" w:cs="Times New Roman"/>
                <w:i/>
                <w:spacing w:val="-2"/>
                <w:sz w:val="18"/>
                <w:szCs w:val="18"/>
                <w:lang w:eastAsia="en-US"/>
              </w:rPr>
            </w:pPr>
            <w:r w:rsidRPr="005A7A70">
              <w:rPr>
                <w:rFonts w:ascii="Calibri" w:eastAsia="Garamond" w:hAnsi="Calibri" w:cs="Times New Roman"/>
                <w:i/>
                <w:spacing w:val="-2"/>
                <w:sz w:val="18"/>
                <w:szCs w:val="18"/>
                <w:lang w:eastAsia="en-US"/>
              </w:rPr>
              <w:t>The actual case clearance rate is higher than estimated due to changes in the practices for initiating infringement matters referred to the court. Some matters from 2015-16 are still being finalised within the criminal division.</w:t>
            </w:r>
          </w:p>
        </w:tc>
      </w:tr>
      <w:tr w:rsidR="005A7A70" w:rsidRPr="005A7A70" w:rsidTr="003920F2">
        <w:trPr>
          <w:gridAfter w:val="1"/>
          <w:wAfter w:w="26" w:type="dxa"/>
          <w:cantSplit/>
          <w:trHeight w:val="796"/>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3920F2" w:rsidP="00244910">
            <w:pPr>
              <w:keepNext/>
              <w:spacing w:after="20"/>
              <w:ind w:left="142"/>
              <w:rPr>
                <w:rFonts w:ascii="Calibri" w:hAnsi="Calibri"/>
                <w:sz w:val="18"/>
                <w:szCs w:val="18"/>
              </w:rPr>
            </w:pPr>
            <w:r>
              <w:rPr>
                <w:rFonts w:ascii="Calibri" w:hAnsi="Calibri"/>
                <w:sz w:val="18"/>
                <w:szCs w:val="18"/>
              </w:rPr>
              <w:t>Case clearance rate</w:t>
            </w:r>
            <w:r w:rsidRPr="003920F2">
              <w:rPr>
                <w:rFonts w:ascii="Calibri" w:hAnsi="Calibri"/>
                <w:b/>
                <w:sz w:val="18"/>
                <w:szCs w:val="18"/>
                <w:vertAlign w:val="superscript"/>
              </w:rPr>
              <w:t>1</w:t>
            </w:r>
            <w:r w:rsidR="005A7A70" w:rsidRPr="005A7A70">
              <w:rPr>
                <w:rFonts w:ascii="Calibri" w:hAnsi="Calibri"/>
                <w:sz w:val="18"/>
                <w:szCs w:val="18"/>
              </w:rPr>
              <w:t xml:space="preserve"> – Criminal matters disposed in the Children’s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111.4</w:t>
            </w:r>
          </w:p>
          <w:p w:rsidR="005A7A70" w:rsidRPr="005A7A70" w:rsidRDefault="005A7A70" w:rsidP="00244910">
            <w:pPr>
              <w:spacing w:after="20"/>
              <w:jc w:val="right"/>
              <w:rPr>
                <w:rFonts w:ascii="Calibri" w:hAnsi="Calibri"/>
                <w:sz w:val="18"/>
                <w:szCs w:val="18"/>
              </w:rPr>
            </w:pPr>
            <w:r>
              <w:rPr>
                <w:rFonts w:ascii="Calibri" w:hAnsi="Calibri"/>
                <w:sz w:val="18"/>
                <w:szCs w:val="18"/>
              </w:rPr>
              <w:t>(20,</w:t>
            </w:r>
            <w:r w:rsidRPr="005A7A70">
              <w:rPr>
                <w:rFonts w:ascii="Calibri" w:hAnsi="Calibri"/>
                <w:sz w:val="18"/>
                <w:szCs w:val="18"/>
              </w:rPr>
              <w:t>791/</w:t>
            </w:r>
          </w:p>
          <w:p w:rsidR="005A7A70" w:rsidRPr="005A7A70" w:rsidRDefault="005A7A70" w:rsidP="00244910">
            <w:pPr>
              <w:spacing w:after="20"/>
              <w:jc w:val="right"/>
              <w:rPr>
                <w:rFonts w:ascii="Calibri" w:hAnsi="Calibri"/>
                <w:sz w:val="18"/>
                <w:szCs w:val="18"/>
              </w:rPr>
            </w:pPr>
            <w:r>
              <w:rPr>
                <w:rFonts w:ascii="Calibri" w:hAnsi="Calibri"/>
                <w:sz w:val="18"/>
                <w:szCs w:val="18"/>
              </w:rPr>
              <w:t>18,</w:t>
            </w:r>
            <w:r w:rsidRPr="005A7A70">
              <w:rPr>
                <w:rFonts w:ascii="Calibri" w:hAnsi="Calibri"/>
                <w:sz w:val="18"/>
                <w:szCs w:val="18"/>
              </w:rPr>
              <w:t>658)</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11.4</w:t>
            </w:r>
          </w:p>
        </w:tc>
      </w:tr>
      <w:tr w:rsidR="00244910" w:rsidRPr="005A7A70" w:rsidTr="00D92E90">
        <w:trPr>
          <w:cantSplit/>
          <w:trHeight w:val="199"/>
        </w:trPr>
        <w:tc>
          <w:tcPr>
            <w:tcW w:w="8903" w:type="dxa"/>
            <w:gridSpan w:val="6"/>
            <w:tcBorders>
              <w:bottom w:val="nil"/>
            </w:tcBorders>
            <w:shd w:val="clear" w:color="auto" w:fill="auto"/>
          </w:tcPr>
          <w:p w:rsidR="00244910" w:rsidRPr="005A7A70" w:rsidRDefault="00244910" w:rsidP="004225AD">
            <w:pPr>
              <w:keepLines/>
              <w:spacing w:before="20" w:after="20"/>
              <w:contextualSpacing/>
              <w:rPr>
                <w:rFonts w:ascii="Calibri" w:eastAsia="Garamond" w:hAnsi="Calibri" w:cs="Times New Roman"/>
                <w:i/>
                <w:spacing w:val="-2"/>
                <w:sz w:val="18"/>
                <w:szCs w:val="18"/>
                <w:lang w:eastAsia="en-US"/>
              </w:rPr>
            </w:pPr>
            <w:r w:rsidRPr="005A7A70">
              <w:rPr>
                <w:rFonts w:ascii="Calibri" w:eastAsia="Garamond" w:hAnsi="Calibri" w:cs="Times New Roman"/>
                <w:i/>
                <w:spacing w:val="-2"/>
                <w:sz w:val="18"/>
                <w:szCs w:val="18"/>
                <w:lang w:eastAsia="en-US"/>
              </w:rPr>
              <w:t>The actual case clearance rate is higher than estimated due to a small decrease in the number of initiated criminal cases.</w:t>
            </w:r>
          </w:p>
        </w:tc>
      </w:tr>
      <w:tr w:rsidR="005A7A70" w:rsidRPr="005A7A70" w:rsidTr="003920F2">
        <w:trPr>
          <w:gridAfter w:val="1"/>
          <w:wAfter w:w="26" w:type="dxa"/>
          <w:cantSplit/>
          <w:trHeight w:val="285"/>
        </w:trPr>
        <w:tc>
          <w:tcPr>
            <w:tcW w:w="3994" w:type="dxa"/>
            <w:tcBorders>
              <w:top w:val="single" w:sz="4" w:space="0" w:color="auto"/>
              <w:left w:val="single" w:sz="4" w:space="0" w:color="auto"/>
              <w:bottom w:val="single" w:sz="4" w:space="0" w:color="auto"/>
              <w:right w:val="single" w:sz="4" w:space="0" w:color="auto"/>
            </w:tcBorders>
            <w:shd w:val="pct20" w:color="auto" w:fill="auto"/>
          </w:tcPr>
          <w:p w:rsidR="005A7A70" w:rsidRPr="004225AD" w:rsidRDefault="005A7A70" w:rsidP="00A34B05">
            <w:pPr>
              <w:spacing w:before="20" w:after="20"/>
              <w:rPr>
                <w:rFonts w:ascii="Calibri" w:eastAsia="Garamond" w:hAnsi="Calibri" w:cs="Times New Roman"/>
                <w:b/>
                <w:i/>
                <w:sz w:val="18"/>
                <w:szCs w:val="18"/>
              </w:rPr>
            </w:pPr>
            <w:r w:rsidRPr="004225AD">
              <w:rPr>
                <w:rFonts w:ascii="Calibri" w:eastAsia="Garamond" w:hAnsi="Calibri" w:cs="Times New Roman"/>
                <w:b/>
                <w:i/>
                <w:sz w:val="18"/>
                <w:szCs w:val="18"/>
              </w:rPr>
              <w:t>Quality</w:t>
            </w:r>
          </w:p>
        </w:tc>
        <w:tc>
          <w:tcPr>
            <w:tcW w:w="1109"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center"/>
              <w:rPr>
                <w:rFonts w:ascii="Calibri" w:hAnsi="Calibri"/>
                <w:sz w:val="18"/>
                <w:szCs w:val="18"/>
              </w:rPr>
            </w:pPr>
          </w:p>
        </w:tc>
        <w:tc>
          <w:tcPr>
            <w:tcW w:w="1109"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right"/>
              <w:rPr>
                <w:rFonts w:ascii="Calibri" w:hAnsi="Calibri"/>
                <w:sz w:val="18"/>
                <w:szCs w:val="18"/>
              </w:rPr>
            </w:pPr>
          </w:p>
        </w:tc>
        <w:tc>
          <w:tcPr>
            <w:tcW w:w="1220"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right"/>
              <w:rPr>
                <w:rFonts w:ascii="Calibri" w:hAnsi="Calibri"/>
                <w:sz w:val="18"/>
                <w:szCs w:val="18"/>
              </w:rPr>
            </w:pPr>
          </w:p>
        </w:tc>
        <w:tc>
          <w:tcPr>
            <w:tcW w:w="1445"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right"/>
              <w:rPr>
                <w:rFonts w:ascii="Calibri" w:hAnsi="Calibri"/>
                <w:sz w:val="18"/>
                <w:szCs w:val="18"/>
              </w:rPr>
            </w:pPr>
          </w:p>
        </w:tc>
      </w:tr>
      <w:tr w:rsidR="005A7A70" w:rsidRPr="005A7A70" w:rsidTr="003920F2">
        <w:trPr>
          <w:gridAfter w:val="1"/>
          <w:wAfter w:w="26" w:type="dxa"/>
          <w:cantSplit/>
          <w:trHeight w:val="75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Court file integrity in the Supreme Court – availability, accuracy and completeness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83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-7.8</w:t>
            </w:r>
          </w:p>
        </w:tc>
      </w:tr>
      <w:tr w:rsidR="00244910" w:rsidRPr="005A7A70" w:rsidTr="00D92E90">
        <w:trPr>
          <w:cantSplit/>
          <w:trHeight w:val="1776"/>
        </w:trPr>
        <w:tc>
          <w:tcPr>
            <w:tcW w:w="8903" w:type="dxa"/>
            <w:gridSpan w:val="6"/>
            <w:tcBorders>
              <w:top w:val="nil"/>
              <w:bottom w:val="single" w:sz="4" w:space="0" w:color="auto"/>
            </w:tcBorders>
            <w:shd w:val="clear" w:color="auto" w:fill="auto"/>
          </w:tcPr>
          <w:p w:rsidR="00244910" w:rsidRPr="005A7A70" w:rsidRDefault="00244910" w:rsidP="004225AD">
            <w:pPr>
              <w:autoSpaceDE w:val="0"/>
              <w:autoSpaceDN w:val="0"/>
              <w:adjustRightInd w:val="0"/>
              <w:rPr>
                <w:rFonts w:ascii="Calibri" w:hAnsi="Calibri" w:cs="Calibri"/>
                <w:i/>
                <w:color w:val="000000"/>
                <w:sz w:val="18"/>
                <w:szCs w:val="18"/>
              </w:rPr>
            </w:pPr>
            <w:r w:rsidRPr="00B053F7">
              <w:rPr>
                <w:rFonts w:ascii="Calibri" w:hAnsi="Calibri" w:cs="Calibri"/>
                <w:i/>
                <w:color w:val="000000"/>
                <w:sz w:val="18"/>
                <w:szCs w:val="18"/>
              </w:rPr>
              <w:t>The Supreme Court</w:t>
            </w:r>
            <w:r w:rsidRPr="005A7A70">
              <w:rPr>
                <w:rFonts w:ascii="Calibri" w:hAnsi="Calibri" w:cs="Calibri"/>
                <w:i/>
                <w:color w:val="000000"/>
                <w:sz w:val="18"/>
                <w:szCs w:val="18"/>
              </w:rPr>
              <w:t xml:space="preserve"> deliberately applies very stringent court file integrity criteria with the aim of embedding the highest standards of court file integrity as usual practice. Up to this point in time, the Supreme Court has limited the scope of its file audits to hard-copy files, believing this would highlight the areas most in need of improvement. This has proven to be correct with the primary audit failures relating to anomalies between hard-copy files and their corresponding CourtView electronic index. Continuous improvement actions are being impleme</w:t>
            </w:r>
            <w:r w:rsidR="004225AD">
              <w:rPr>
                <w:rFonts w:ascii="Calibri" w:hAnsi="Calibri" w:cs="Calibri"/>
                <w:i/>
                <w:color w:val="000000"/>
                <w:sz w:val="18"/>
                <w:szCs w:val="18"/>
              </w:rPr>
              <w:t xml:space="preserve">nted to address audit failures. </w:t>
            </w:r>
            <w:r w:rsidRPr="005A7A70">
              <w:rPr>
                <w:rFonts w:ascii="Calibri" w:hAnsi="Calibri" w:cs="Calibri"/>
                <w:i/>
                <w:color w:val="000000"/>
                <w:sz w:val="18"/>
                <w:szCs w:val="18"/>
              </w:rPr>
              <w:t>The Supreme Court has been running the audit internally for the last two years and has evidenced year-on-year improvements to overall court file integrity.</w:t>
            </w:r>
          </w:p>
        </w:tc>
      </w:tr>
      <w:tr w:rsidR="005A7A70" w:rsidRPr="005A7A70" w:rsidTr="003920F2">
        <w:trPr>
          <w:gridAfter w:val="1"/>
          <w:wAfter w:w="26" w:type="dxa"/>
          <w:cantSplit/>
          <w:trHeight w:val="560"/>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Court file integrity in the County Court – availability, accuracy and completeness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74</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-17.8</w:t>
            </w:r>
          </w:p>
        </w:tc>
      </w:tr>
      <w:tr w:rsidR="00244910" w:rsidRPr="005A7A70" w:rsidTr="00D92E90">
        <w:trPr>
          <w:cantSplit/>
          <w:trHeight w:val="367"/>
        </w:trPr>
        <w:tc>
          <w:tcPr>
            <w:tcW w:w="8903" w:type="dxa"/>
            <w:gridSpan w:val="6"/>
            <w:tcBorders>
              <w:bottom w:val="single" w:sz="4" w:space="0" w:color="auto"/>
            </w:tcBorders>
            <w:shd w:val="clear" w:color="auto" w:fill="auto"/>
          </w:tcPr>
          <w:p w:rsidR="00244910" w:rsidRPr="005A7A70" w:rsidRDefault="00244910" w:rsidP="004225AD">
            <w:pPr>
              <w:keepLines/>
              <w:spacing w:before="20" w:after="20"/>
              <w:contextualSpacing/>
              <w:rPr>
                <w:rFonts w:ascii="Calibri" w:eastAsia="Garamond" w:hAnsi="Calibri" w:cs="Times New Roman"/>
                <w:b/>
                <w:i/>
                <w:spacing w:val="-2"/>
                <w:sz w:val="18"/>
                <w:szCs w:val="18"/>
                <w:lang w:eastAsia="en-US"/>
              </w:rPr>
            </w:pPr>
            <w:r w:rsidRPr="005A7A70">
              <w:rPr>
                <w:rFonts w:ascii="Calibri" w:eastAsia="Garamond" w:hAnsi="Calibri" w:cs="Times New Roman"/>
                <w:i/>
                <w:spacing w:val="-2"/>
                <w:sz w:val="18"/>
                <w:szCs w:val="18"/>
                <w:lang w:eastAsia="en-US"/>
              </w:rPr>
              <w:t>The actual court file integrity outcome is less than estimated as the court is currently worki</w:t>
            </w:r>
            <w:r w:rsidR="004225AD">
              <w:rPr>
                <w:rFonts w:ascii="Calibri" w:eastAsia="Garamond" w:hAnsi="Calibri" w:cs="Times New Roman"/>
                <w:i/>
                <w:spacing w:val="-2"/>
                <w:sz w:val="18"/>
                <w:szCs w:val="18"/>
                <w:lang w:eastAsia="en-US"/>
              </w:rPr>
              <w:t xml:space="preserve">ng through an improvement plan </w:t>
            </w:r>
            <w:r w:rsidRPr="005A7A70">
              <w:rPr>
                <w:rFonts w:ascii="Calibri" w:eastAsia="Garamond" w:hAnsi="Calibri" w:cs="Times New Roman"/>
                <w:i/>
                <w:spacing w:val="-2"/>
                <w:sz w:val="18"/>
                <w:szCs w:val="18"/>
                <w:lang w:eastAsia="en-US"/>
              </w:rPr>
              <w:t>where some improvements will take longer than 12 months to implement.</w:t>
            </w:r>
          </w:p>
        </w:tc>
      </w:tr>
      <w:tr w:rsidR="005A7A70" w:rsidRPr="005A7A70" w:rsidTr="003920F2">
        <w:trPr>
          <w:gridAfter w:val="1"/>
          <w:wAfter w:w="26" w:type="dxa"/>
          <w:cantSplit/>
          <w:trHeight w:val="531"/>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lastRenderedPageBreak/>
              <w:t>Court file integrity in the Magistrates’ Court – availability, accuracy and completeness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79</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-12.2</w:t>
            </w:r>
          </w:p>
        </w:tc>
      </w:tr>
      <w:tr w:rsidR="00244910" w:rsidRPr="005A7A70" w:rsidTr="00D92E90">
        <w:trPr>
          <w:cantSplit/>
          <w:trHeight w:val="583"/>
        </w:trPr>
        <w:tc>
          <w:tcPr>
            <w:tcW w:w="8903" w:type="dxa"/>
            <w:gridSpan w:val="6"/>
            <w:tcBorders>
              <w:top w:val="nil"/>
              <w:bottom w:val="single" w:sz="4" w:space="0" w:color="auto"/>
            </w:tcBorders>
            <w:shd w:val="clear" w:color="auto" w:fill="auto"/>
          </w:tcPr>
          <w:p w:rsidR="00244910" w:rsidRPr="004225AD" w:rsidRDefault="00244910" w:rsidP="004225AD">
            <w:pPr>
              <w:keepLines/>
              <w:spacing w:before="20" w:after="20"/>
              <w:contextualSpacing/>
              <w:rPr>
                <w:rFonts w:ascii="Calibri" w:eastAsia="Garamond" w:hAnsi="Calibri" w:cs="Times New Roman"/>
                <w:i/>
                <w:spacing w:val="-2"/>
                <w:sz w:val="18"/>
                <w:szCs w:val="18"/>
                <w:lang w:eastAsia="en-US"/>
              </w:rPr>
            </w:pPr>
            <w:r w:rsidRPr="005A7A70">
              <w:rPr>
                <w:rFonts w:ascii="Calibri" w:eastAsia="Garamond" w:hAnsi="Calibri" w:cs="Times New Roman"/>
                <w:i/>
                <w:spacing w:val="-2"/>
                <w:sz w:val="18"/>
                <w:szCs w:val="18"/>
                <w:lang w:eastAsia="en-US"/>
              </w:rPr>
              <w:t>The actual court file integrity outcome is less than estimated due to the high volume of cases dealt with by the court and the resource int</w:t>
            </w:r>
            <w:r w:rsidR="004225AD">
              <w:rPr>
                <w:rFonts w:ascii="Calibri" w:eastAsia="Garamond" w:hAnsi="Calibri" w:cs="Times New Roman"/>
                <w:i/>
                <w:spacing w:val="-2"/>
                <w:sz w:val="18"/>
                <w:szCs w:val="18"/>
                <w:lang w:eastAsia="en-US"/>
              </w:rPr>
              <w:t xml:space="preserve">ensive nature of paper files. </w:t>
            </w:r>
            <w:r w:rsidRPr="005A7A70">
              <w:rPr>
                <w:rFonts w:ascii="Calibri" w:eastAsia="Garamond" w:hAnsi="Calibri" w:cs="Times New Roman"/>
                <w:i/>
                <w:spacing w:val="-2"/>
                <w:sz w:val="18"/>
                <w:szCs w:val="18"/>
                <w:lang w:eastAsia="en-US"/>
              </w:rPr>
              <w:t>The Magistrates’ Court has introduced a Court File Standards Protocol to improve the process and deliver a higher standard of court file management.</w:t>
            </w:r>
          </w:p>
        </w:tc>
      </w:tr>
      <w:tr w:rsidR="005A7A70" w:rsidRPr="005A7A70" w:rsidTr="003920F2">
        <w:trPr>
          <w:gridAfter w:val="1"/>
          <w:wAfter w:w="26" w:type="dxa"/>
          <w:cantSplit/>
          <w:trHeight w:val="463"/>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Court file integrity in the Children’s Court – availability, accuracy and completeness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85.7</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4.8</w:t>
            </w:r>
          </w:p>
        </w:tc>
      </w:tr>
      <w:tr w:rsidR="004225AD" w:rsidRPr="005A7A70" w:rsidTr="00D92E90">
        <w:trPr>
          <w:cantSplit/>
          <w:trHeight w:val="240"/>
        </w:trPr>
        <w:tc>
          <w:tcPr>
            <w:tcW w:w="8903" w:type="dxa"/>
            <w:gridSpan w:val="6"/>
            <w:tcBorders>
              <w:top w:val="nil"/>
              <w:bottom w:val="single" w:sz="4" w:space="0" w:color="auto"/>
            </w:tcBorders>
            <w:shd w:val="clear" w:color="auto" w:fill="auto"/>
          </w:tcPr>
          <w:p w:rsidR="004225AD" w:rsidRPr="005A7A70" w:rsidRDefault="004225AD" w:rsidP="00244910">
            <w:pPr>
              <w:keepLines/>
              <w:spacing w:before="20" w:after="20"/>
              <w:ind w:left="288"/>
              <w:contextualSpacing/>
              <w:rPr>
                <w:rFonts w:ascii="Calibri" w:eastAsia="Garamond" w:hAnsi="Calibri" w:cs="Times New Roman"/>
                <w:b/>
                <w:i/>
                <w:spacing w:val="-2"/>
                <w:sz w:val="18"/>
                <w:szCs w:val="18"/>
                <w:lang w:eastAsia="en-US"/>
              </w:rPr>
            </w:pPr>
          </w:p>
        </w:tc>
      </w:tr>
      <w:tr w:rsidR="005A7A70" w:rsidRPr="005A7A70" w:rsidTr="003920F2">
        <w:trPr>
          <w:gridAfter w:val="1"/>
          <w:wAfter w:w="26" w:type="dxa"/>
          <w:cantSplit/>
          <w:trHeight w:val="510"/>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Court file integrity in the Coroners Court – availability, accuracy and completeness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89.9</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0.1</w:t>
            </w:r>
          </w:p>
        </w:tc>
      </w:tr>
      <w:tr w:rsidR="005A7A70" w:rsidRPr="005A7A70" w:rsidTr="003920F2">
        <w:trPr>
          <w:gridAfter w:val="1"/>
          <w:wAfter w:w="26" w:type="dxa"/>
          <w:cantSplit/>
          <w:trHeight w:val="449"/>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4225AD">
            <w:pPr>
              <w:keepNext/>
              <w:spacing w:after="20"/>
              <w:ind w:left="142"/>
              <w:rPr>
                <w:rFonts w:ascii="Calibri" w:hAnsi="Calibri"/>
                <w:sz w:val="18"/>
                <w:szCs w:val="18"/>
              </w:rPr>
            </w:pPr>
            <w:r w:rsidRPr="005A7A70">
              <w:rPr>
                <w:rFonts w:ascii="Calibri" w:hAnsi="Calibri"/>
                <w:sz w:val="18"/>
                <w:szCs w:val="18"/>
              </w:rPr>
              <w:t xml:space="preserve">Court file integrity in </w:t>
            </w:r>
            <w:r w:rsidR="004225AD">
              <w:rPr>
                <w:rFonts w:ascii="Calibri" w:hAnsi="Calibri"/>
                <w:sz w:val="18"/>
                <w:szCs w:val="18"/>
              </w:rPr>
              <w:t xml:space="preserve">VCAT </w:t>
            </w:r>
            <w:r w:rsidRPr="005A7A70">
              <w:rPr>
                <w:rFonts w:ascii="Calibri" w:hAnsi="Calibri"/>
                <w:sz w:val="18"/>
                <w:szCs w:val="18"/>
              </w:rPr>
              <w:t>– availability, accuracy and completeness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86</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-4.4</w:t>
            </w:r>
          </w:p>
        </w:tc>
      </w:tr>
      <w:tr w:rsidR="005A7A70" w:rsidRPr="005A7A70" w:rsidTr="003920F2">
        <w:trPr>
          <w:gridAfter w:val="1"/>
          <w:wAfter w:w="26" w:type="dxa"/>
          <w:cantSplit/>
          <w:trHeight w:val="285"/>
        </w:trPr>
        <w:tc>
          <w:tcPr>
            <w:tcW w:w="3994" w:type="dxa"/>
            <w:tcBorders>
              <w:top w:val="single" w:sz="4" w:space="0" w:color="auto"/>
              <w:left w:val="single" w:sz="4" w:space="0" w:color="auto"/>
              <w:bottom w:val="single" w:sz="4" w:space="0" w:color="auto"/>
              <w:right w:val="single" w:sz="4" w:space="0" w:color="auto"/>
            </w:tcBorders>
            <w:shd w:val="pct20" w:color="auto" w:fill="auto"/>
          </w:tcPr>
          <w:p w:rsidR="005A7A70" w:rsidRPr="004225AD" w:rsidRDefault="005A7A70" w:rsidP="004225AD">
            <w:pPr>
              <w:keepNext/>
              <w:spacing w:before="20" w:after="20"/>
              <w:ind w:left="-11"/>
              <w:rPr>
                <w:rFonts w:ascii="Calibri" w:eastAsia="Garamond" w:hAnsi="Calibri" w:cs="Times New Roman"/>
                <w:b/>
                <w:i/>
                <w:sz w:val="18"/>
                <w:szCs w:val="18"/>
              </w:rPr>
            </w:pPr>
            <w:r w:rsidRPr="004225AD">
              <w:rPr>
                <w:rFonts w:ascii="Calibri" w:eastAsia="Garamond" w:hAnsi="Calibri" w:cs="Times New Roman"/>
                <w:b/>
                <w:i/>
                <w:sz w:val="18"/>
                <w:szCs w:val="18"/>
              </w:rPr>
              <w:t>Timeliness</w:t>
            </w:r>
          </w:p>
        </w:tc>
        <w:tc>
          <w:tcPr>
            <w:tcW w:w="1109"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center"/>
              <w:rPr>
                <w:rFonts w:ascii="Calibri" w:hAnsi="Calibri"/>
                <w:sz w:val="18"/>
                <w:szCs w:val="18"/>
              </w:rPr>
            </w:pPr>
          </w:p>
        </w:tc>
        <w:tc>
          <w:tcPr>
            <w:tcW w:w="1109"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right"/>
              <w:rPr>
                <w:rFonts w:ascii="Calibri" w:hAnsi="Calibri"/>
                <w:sz w:val="18"/>
                <w:szCs w:val="18"/>
              </w:rPr>
            </w:pPr>
          </w:p>
        </w:tc>
        <w:tc>
          <w:tcPr>
            <w:tcW w:w="1220"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right"/>
              <w:rPr>
                <w:rFonts w:ascii="Calibri" w:hAnsi="Calibri"/>
                <w:sz w:val="18"/>
                <w:szCs w:val="18"/>
              </w:rPr>
            </w:pPr>
          </w:p>
        </w:tc>
        <w:tc>
          <w:tcPr>
            <w:tcW w:w="1445" w:type="dxa"/>
            <w:tcBorders>
              <w:top w:val="single" w:sz="4" w:space="0" w:color="auto"/>
              <w:left w:val="single" w:sz="4" w:space="0" w:color="auto"/>
              <w:bottom w:val="single" w:sz="4" w:space="0" w:color="auto"/>
              <w:right w:val="single" w:sz="4" w:space="0" w:color="auto"/>
            </w:tcBorders>
            <w:shd w:val="pct20" w:color="auto" w:fill="auto"/>
          </w:tcPr>
          <w:p w:rsidR="005A7A70" w:rsidRPr="005A7A70" w:rsidRDefault="005A7A70" w:rsidP="00244910">
            <w:pPr>
              <w:spacing w:after="20"/>
              <w:jc w:val="right"/>
              <w:rPr>
                <w:rFonts w:ascii="Calibri" w:hAnsi="Calibri"/>
                <w:sz w:val="18"/>
                <w:szCs w:val="18"/>
              </w:rPr>
            </w:pPr>
          </w:p>
        </w:tc>
      </w:tr>
      <w:tr w:rsidR="005A7A70" w:rsidRPr="005A7A70" w:rsidTr="003920F2">
        <w:trPr>
          <w:gridAfter w:val="1"/>
          <w:wAfter w:w="26" w:type="dxa"/>
          <w:cantSplit/>
          <w:trHeight w:val="665"/>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On</w:t>
            </w:r>
            <w:r w:rsidRPr="005A7A70">
              <w:rPr>
                <w:rFonts w:ascii="Calibri" w:hAnsi="Calibri"/>
                <w:sz w:val="18"/>
                <w:szCs w:val="18"/>
              </w:rPr>
              <w:noBreakHyphen/>
              <w:t>time case processing – Civil matters resolved or otherwise finalised within established timeframes in the Supreme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2.2</w:t>
            </w:r>
          </w:p>
        </w:tc>
      </w:tr>
      <w:tr w:rsidR="005A7A70" w:rsidRPr="005A7A70" w:rsidTr="003920F2">
        <w:trPr>
          <w:gridAfter w:val="1"/>
          <w:wAfter w:w="26" w:type="dxa"/>
          <w:cantSplit/>
          <w:trHeight w:val="692"/>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On</w:t>
            </w:r>
            <w:r w:rsidRPr="005A7A70">
              <w:rPr>
                <w:rFonts w:ascii="Calibri" w:hAnsi="Calibri"/>
                <w:sz w:val="18"/>
                <w:szCs w:val="18"/>
              </w:rPr>
              <w:noBreakHyphen/>
              <w:t>time case processing – Civil matters resolved or otherwise finalised within established timeframes in the County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89</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-1.1</w:t>
            </w:r>
          </w:p>
        </w:tc>
      </w:tr>
      <w:tr w:rsidR="005A7A70" w:rsidRPr="005A7A70" w:rsidTr="003920F2">
        <w:trPr>
          <w:gridAfter w:val="1"/>
          <w:wAfter w:w="26" w:type="dxa"/>
          <w:cantSplit/>
          <w:trHeight w:val="689"/>
        </w:trPr>
        <w:tc>
          <w:tcPr>
            <w:tcW w:w="3994"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keepNext/>
              <w:spacing w:after="20"/>
              <w:ind w:left="142"/>
              <w:rPr>
                <w:rFonts w:ascii="Calibri" w:hAnsi="Calibri"/>
                <w:sz w:val="18"/>
                <w:szCs w:val="18"/>
              </w:rPr>
            </w:pPr>
            <w:r w:rsidRPr="005A7A70">
              <w:rPr>
                <w:rFonts w:ascii="Calibri" w:hAnsi="Calibri"/>
                <w:sz w:val="18"/>
                <w:szCs w:val="18"/>
              </w:rPr>
              <w:t>On</w:t>
            </w:r>
            <w:r w:rsidRPr="005A7A70">
              <w:rPr>
                <w:rFonts w:ascii="Calibri" w:hAnsi="Calibri"/>
                <w:sz w:val="18"/>
                <w:szCs w:val="18"/>
              </w:rPr>
              <w:noBreakHyphen/>
              <w:t>time case processing – Civil matters resolved or otherwise finalised within established timeframes in the Magistrates’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80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80</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A7A70" w:rsidRPr="005A7A70" w:rsidRDefault="005A7A70" w:rsidP="00244910">
            <w:pPr>
              <w:spacing w:after="20"/>
              <w:jc w:val="right"/>
              <w:rPr>
                <w:rFonts w:ascii="Calibri" w:hAnsi="Calibri"/>
                <w:sz w:val="18"/>
                <w:szCs w:val="18"/>
              </w:rPr>
            </w:pPr>
            <w:r w:rsidRPr="005A7A70">
              <w:rPr>
                <w:rFonts w:ascii="Calibri" w:hAnsi="Calibri"/>
                <w:sz w:val="18"/>
                <w:szCs w:val="18"/>
              </w:rPr>
              <w:t>0</w:t>
            </w:r>
          </w:p>
        </w:tc>
      </w:tr>
      <w:tr w:rsidR="004225AD" w:rsidRPr="005A7A70" w:rsidTr="003920F2">
        <w:trPr>
          <w:gridAfter w:val="1"/>
          <w:wAfter w:w="26" w:type="dxa"/>
          <w:cantSplit/>
          <w:trHeight w:val="699"/>
        </w:trPr>
        <w:tc>
          <w:tcPr>
            <w:tcW w:w="3994"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keepNext/>
              <w:spacing w:after="20"/>
              <w:ind w:left="142"/>
              <w:rPr>
                <w:rFonts w:ascii="Calibri" w:hAnsi="Calibri"/>
                <w:sz w:val="18"/>
                <w:szCs w:val="18"/>
              </w:rPr>
            </w:pPr>
            <w:r w:rsidRPr="005A7A70">
              <w:rPr>
                <w:rFonts w:ascii="Calibri" w:hAnsi="Calibri"/>
                <w:sz w:val="18"/>
                <w:szCs w:val="18"/>
              </w:rPr>
              <w:t>On</w:t>
            </w:r>
            <w:r w:rsidRPr="005A7A70">
              <w:rPr>
                <w:rFonts w:ascii="Calibri" w:hAnsi="Calibri"/>
                <w:sz w:val="18"/>
                <w:szCs w:val="18"/>
              </w:rPr>
              <w:noBreakHyphen/>
              <w:t>time case processing – Family Division matters resolved or otherwise finalised within established timeframes in the Children’s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right"/>
              <w:rPr>
                <w:rFonts w:ascii="Calibri" w:hAnsi="Calibri"/>
                <w:sz w:val="18"/>
                <w:szCs w:val="18"/>
              </w:rPr>
            </w:pPr>
            <w:r w:rsidRPr="005A7A70">
              <w:rPr>
                <w:rFonts w:ascii="Calibri" w:hAnsi="Calibri"/>
                <w:sz w:val="18"/>
                <w:szCs w:val="18"/>
              </w:rPr>
              <w:t>90.7</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right"/>
              <w:rPr>
                <w:rFonts w:ascii="Calibri" w:hAnsi="Calibri"/>
                <w:sz w:val="18"/>
                <w:szCs w:val="18"/>
              </w:rPr>
            </w:pPr>
            <w:r w:rsidRPr="005A7A70">
              <w:rPr>
                <w:rFonts w:ascii="Calibri" w:hAnsi="Calibri"/>
                <w:sz w:val="18"/>
                <w:szCs w:val="18"/>
              </w:rPr>
              <w:t>0.7</w:t>
            </w:r>
          </w:p>
        </w:tc>
      </w:tr>
      <w:tr w:rsidR="004225AD" w:rsidRPr="005A7A70" w:rsidTr="003920F2">
        <w:trPr>
          <w:gridAfter w:val="1"/>
          <w:wAfter w:w="26" w:type="dxa"/>
          <w:cantSplit/>
          <w:trHeight w:val="690"/>
        </w:trPr>
        <w:tc>
          <w:tcPr>
            <w:tcW w:w="3994"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4225AD">
            <w:pPr>
              <w:keepNext/>
              <w:spacing w:after="20"/>
              <w:ind w:left="142"/>
              <w:rPr>
                <w:rFonts w:ascii="Calibri" w:hAnsi="Calibri"/>
                <w:sz w:val="18"/>
                <w:szCs w:val="18"/>
              </w:rPr>
            </w:pPr>
            <w:r w:rsidRPr="005A7A70">
              <w:rPr>
                <w:rFonts w:ascii="Calibri" w:hAnsi="Calibri"/>
                <w:sz w:val="18"/>
                <w:szCs w:val="18"/>
              </w:rPr>
              <w:t>On</w:t>
            </w:r>
            <w:r w:rsidRPr="005A7A70">
              <w:rPr>
                <w:rFonts w:ascii="Calibri" w:hAnsi="Calibri"/>
                <w:sz w:val="18"/>
                <w:szCs w:val="18"/>
              </w:rPr>
              <w:noBreakHyphen/>
              <w:t xml:space="preserve">time case processing – Civil matters resolved or otherwise finalised within established timeframes in </w:t>
            </w:r>
            <w:r>
              <w:rPr>
                <w:rFonts w:ascii="Calibri" w:hAnsi="Calibri"/>
                <w:sz w:val="18"/>
                <w:szCs w:val="18"/>
              </w:rPr>
              <w:t>VCAT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right"/>
              <w:rPr>
                <w:rFonts w:ascii="Calibri" w:hAnsi="Calibri"/>
                <w:sz w:val="18"/>
                <w:szCs w:val="18"/>
              </w:rPr>
            </w:pPr>
            <w:r w:rsidRPr="005A7A70">
              <w:rPr>
                <w:rFonts w:ascii="Calibri" w:hAnsi="Calibri"/>
                <w:sz w:val="18"/>
                <w:szCs w:val="18"/>
              </w:rPr>
              <w:t>87</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right"/>
              <w:rPr>
                <w:rFonts w:ascii="Calibri" w:hAnsi="Calibri"/>
                <w:sz w:val="18"/>
                <w:szCs w:val="18"/>
              </w:rPr>
            </w:pPr>
            <w:r w:rsidRPr="005A7A70">
              <w:rPr>
                <w:rFonts w:ascii="Calibri" w:hAnsi="Calibri"/>
                <w:sz w:val="18"/>
                <w:szCs w:val="18"/>
              </w:rPr>
              <w:t>-3.3</w:t>
            </w:r>
          </w:p>
        </w:tc>
      </w:tr>
      <w:tr w:rsidR="004225AD" w:rsidRPr="005A7A70" w:rsidTr="003920F2">
        <w:trPr>
          <w:gridAfter w:val="1"/>
          <w:wAfter w:w="26" w:type="dxa"/>
          <w:cantSplit/>
          <w:trHeight w:val="705"/>
        </w:trPr>
        <w:tc>
          <w:tcPr>
            <w:tcW w:w="3994"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keepNext/>
              <w:spacing w:after="20"/>
              <w:ind w:left="142"/>
              <w:rPr>
                <w:rFonts w:ascii="Calibri" w:hAnsi="Calibri"/>
                <w:sz w:val="18"/>
                <w:szCs w:val="18"/>
              </w:rPr>
            </w:pPr>
            <w:r w:rsidRPr="005A7A70">
              <w:rPr>
                <w:rFonts w:ascii="Calibri" w:hAnsi="Calibri"/>
                <w:sz w:val="18"/>
                <w:szCs w:val="18"/>
              </w:rPr>
              <w:t>On</w:t>
            </w:r>
            <w:r w:rsidRPr="005A7A70">
              <w:rPr>
                <w:rFonts w:ascii="Calibri" w:hAnsi="Calibri"/>
                <w:sz w:val="18"/>
                <w:szCs w:val="18"/>
              </w:rPr>
              <w:noBreakHyphen/>
              <w:t>time case processing – Coronial matters resolved or otherwise finalised within established timeframes in the Coroners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right"/>
              <w:rPr>
                <w:rFonts w:ascii="Calibri" w:hAnsi="Calibri"/>
                <w:sz w:val="18"/>
                <w:szCs w:val="18"/>
              </w:rPr>
            </w:pPr>
            <w:r w:rsidRPr="005A7A70">
              <w:rPr>
                <w:rFonts w:ascii="Calibri" w:hAnsi="Calibri"/>
                <w:sz w:val="18"/>
                <w:szCs w:val="18"/>
              </w:rPr>
              <w:t>75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right"/>
              <w:rPr>
                <w:rFonts w:ascii="Calibri" w:hAnsi="Calibri"/>
                <w:sz w:val="18"/>
                <w:szCs w:val="18"/>
              </w:rPr>
            </w:pPr>
            <w:r w:rsidRPr="005A7A70">
              <w:rPr>
                <w:rFonts w:ascii="Calibri" w:hAnsi="Calibri"/>
                <w:sz w:val="18"/>
                <w:szCs w:val="18"/>
              </w:rPr>
              <w:t>80.3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225AD" w:rsidRPr="005A7A70" w:rsidRDefault="004225AD" w:rsidP="00244910">
            <w:pPr>
              <w:spacing w:after="20"/>
              <w:jc w:val="right"/>
              <w:rPr>
                <w:rFonts w:ascii="Calibri" w:hAnsi="Calibri"/>
                <w:sz w:val="18"/>
                <w:szCs w:val="18"/>
              </w:rPr>
            </w:pPr>
            <w:r w:rsidRPr="005A7A70">
              <w:rPr>
                <w:rFonts w:ascii="Calibri" w:hAnsi="Calibri"/>
                <w:sz w:val="18"/>
                <w:szCs w:val="18"/>
              </w:rPr>
              <w:t>7.1</w:t>
            </w:r>
          </w:p>
        </w:tc>
      </w:tr>
      <w:tr w:rsidR="00244910" w:rsidRPr="005A7A70" w:rsidTr="00D92E90">
        <w:trPr>
          <w:cantSplit/>
          <w:trHeight w:val="981"/>
        </w:trPr>
        <w:tc>
          <w:tcPr>
            <w:tcW w:w="8903" w:type="dxa"/>
            <w:gridSpan w:val="6"/>
            <w:tcBorders>
              <w:bottom w:val="single" w:sz="4" w:space="0" w:color="auto"/>
            </w:tcBorders>
            <w:shd w:val="clear" w:color="auto" w:fill="auto"/>
          </w:tcPr>
          <w:p w:rsidR="00D92E90" w:rsidRPr="00D92E90" w:rsidRDefault="00244910" w:rsidP="00D92E90">
            <w:pPr>
              <w:spacing w:after="60"/>
              <w:ind w:right="115"/>
              <w:rPr>
                <w:rFonts w:ascii="Calibri" w:eastAsia="Times New Roman" w:hAnsi="Calibri" w:cs="Times New Roman"/>
                <w:i/>
                <w:sz w:val="18"/>
                <w:szCs w:val="18"/>
              </w:rPr>
            </w:pPr>
            <w:r w:rsidRPr="005A7A70">
              <w:rPr>
                <w:rFonts w:ascii="Calibri" w:eastAsia="Times New Roman" w:hAnsi="Calibri" w:cs="Times New Roman"/>
                <w:i/>
                <w:sz w:val="18"/>
                <w:szCs w:val="18"/>
              </w:rPr>
              <w:t>Established timeframe for coronial matters is one year from case lodgement to finalisation, based on average case complexi</w:t>
            </w:r>
            <w:r w:rsidR="00D92E90">
              <w:rPr>
                <w:rFonts w:ascii="Calibri" w:eastAsia="Times New Roman" w:hAnsi="Calibri" w:cs="Times New Roman"/>
                <w:i/>
                <w:sz w:val="18"/>
                <w:szCs w:val="18"/>
              </w:rPr>
              <w:t xml:space="preserve">ty and historical benchmarking. </w:t>
            </w:r>
            <w:r w:rsidRPr="005A7A70">
              <w:rPr>
                <w:rFonts w:ascii="Calibri" w:eastAsia="Garamond" w:hAnsi="Calibri" w:cs="Times New Roman"/>
                <w:i/>
                <w:spacing w:val="-2"/>
                <w:sz w:val="18"/>
                <w:szCs w:val="18"/>
                <w:lang w:eastAsia="en-US"/>
              </w:rPr>
              <w:t>The actual on-time case processing outcome is higher than estimated due to the Coroners Court’s continued efforts to resolve coronial cases in an efficient and timely manner, including continuous improvement to case manageme</w:t>
            </w:r>
            <w:r w:rsidR="00D92E90">
              <w:rPr>
                <w:rFonts w:ascii="Calibri" w:eastAsia="Garamond" w:hAnsi="Calibri" w:cs="Times New Roman"/>
                <w:i/>
                <w:spacing w:val="-2"/>
                <w:sz w:val="18"/>
                <w:szCs w:val="18"/>
                <w:lang w:eastAsia="en-US"/>
              </w:rPr>
              <w:t>nt processes and staff training.</w:t>
            </w:r>
          </w:p>
        </w:tc>
      </w:tr>
      <w:tr w:rsidR="00D92E90" w:rsidRPr="005A7A70" w:rsidTr="003920F2">
        <w:trPr>
          <w:gridAfter w:val="1"/>
          <w:wAfter w:w="26" w:type="dxa"/>
          <w:cantSplit/>
          <w:trHeight w:val="992"/>
        </w:trPr>
        <w:tc>
          <w:tcPr>
            <w:tcW w:w="3994"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keepNext/>
              <w:spacing w:after="20"/>
              <w:ind w:left="142"/>
              <w:rPr>
                <w:rFonts w:ascii="Calibri" w:hAnsi="Calibri"/>
                <w:sz w:val="18"/>
                <w:szCs w:val="18"/>
              </w:rPr>
            </w:pPr>
            <w:r w:rsidRPr="005A7A70">
              <w:rPr>
                <w:rFonts w:ascii="Calibri" w:hAnsi="Calibri"/>
                <w:sz w:val="18"/>
                <w:szCs w:val="18"/>
              </w:rPr>
              <w:t>On</w:t>
            </w:r>
            <w:r w:rsidRPr="005A7A70">
              <w:rPr>
                <w:rFonts w:ascii="Calibri" w:hAnsi="Calibri"/>
                <w:sz w:val="18"/>
                <w:szCs w:val="18"/>
              </w:rPr>
              <w:noBreakHyphen/>
              <w:t>time case processing – Criminal matters resolved or otherwise finalised within established timeframes in the Supreme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75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85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13.3</w:t>
            </w:r>
          </w:p>
        </w:tc>
      </w:tr>
      <w:tr w:rsidR="00244910" w:rsidRPr="005A7A70" w:rsidTr="00D92E90">
        <w:trPr>
          <w:cantSplit/>
          <w:trHeight w:val="1561"/>
        </w:trPr>
        <w:tc>
          <w:tcPr>
            <w:tcW w:w="8903" w:type="dxa"/>
            <w:gridSpan w:val="6"/>
            <w:tcBorders>
              <w:bottom w:val="single" w:sz="4" w:space="0" w:color="auto"/>
            </w:tcBorders>
            <w:shd w:val="clear" w:color="auto" w:fill="auto"/>
          </w:tcPr>
          <w:p w:rsidR="00244910" w:rsidRPr="005A7A70" w:rsidRDefault="00244910" w:rsidP="00D92E90">
            <w:pPr>
              <w:spacing w:after="60"/>
              <w:ind w:right="115"/>
              <w:rPr>
                <w:rFonts w:ascii="Calibri" w:eastAsia="Times New Roman" w:hAnsi="Calibri" w:cs="Times New Roman"/>
                <w:i/>
                <w:sz w:val="18"/>
                <w:szCs w:val="18"/>
              </w:rPr>
            </w:pPr>
            <w:r w:rsidRPr="00B053F7">
              <w:rPr>
                <w:rFonts w:ascii="Calibri" w:eastAsia="Times New Roman" w:hAnsi="Calibri" w:cs="Times New Roman"/>
                <w:i/>
                <w:sz w:val="18"/>
                <w:szCs w:val="18"/>
              </w:rPr>
              <w:t>The established timeframe</w:t>
            </w:r>
            <w:r w:rsidRPr="005A7A70">
              <w:rPr>
                <w:rFonts w:ascii="Calibri" w:eastAsia="Times New Roman" w:hAnsi="Calibri" w:cs="Times New Roman"/>
                <w:i/>
                <w:sz w:val="18"/>
                <w:szCs w:val="18"/>
              </w:rPr>
              <w:t xml:space="preserve"> for Supreme Court Criminal matters is one year from case lodgement to finalisation, based on average case complexity and historical bench</w:t>
            </w:r>
            <w:r w:rsidR="00D92E90">
              <w:rPr>
                <w:rFonts w:ascii="Calibri" w:eastAsia="Times New Roman" w:hAnsi="Calibri" w:cs="Times New Roman"/>
                <w:i/>
                <w:sz w:val="18"/>
                <w:szCs w:val="18"/>
              </w:rPr>
              <w:t>marking.</w:t>
            </w:r>
            <w:r w:rsidR="00D92E90">
              <w:rPr>
                <w:rFonts w:ascii="Calibri" w:eastAsia="Times New Roman" w:hAnsi="Calibri" w:cs="Times New Roman"/>
                <w:i/>
                <w:sz w:val="18"/>
                <w:szCs w:val="18"/>
              </w:rPr>
              <w:br/>
            </w:r>
            <w:r w:rsidRPr="005A7A70">
              <w:rPr>
                <w:rFonts w:ascii="Calibri" w:eastAsia="Times New Roman" w:hAnsi="Calibri" w:cs="Times New Roman"/>
                <w:i/>
                <w:sz w:val="18"/>
                <w:szCs w:val="18"/>
              </w:rPr>
              <w:t>The actual on-time case processing outcome is higher than estimated due to significant reductions in case processing times for criminal matters in th</w:t>
            </w:r>
            <w:r w:rsidR="00D92E90">
              <w:rPr>
                <w:rFonts w:ascii="Calibri" w:eastAsia="Times New Roman" w:hAnsi="Calibri" w:cs="Times New Roman"/>
                <w:i/>
                <w:sz w:val="18"/>
                <w:szCs w:val="18"/>
              </w:rPr>
              <w:t xml:space="preserve">e Court of Appeal, with over 93% </w:t>
            </w:r>
            <w:r w:rsidRPr="005A7A70">
              <w:rPr>
                <w:rFonts w:ascii="Calibri" w:eastAsia="Times New Roman" w:hAnsi="Calibri" w:cs="Times New Roman"/>
                <w:i/>
                <w:sz w:val="18"/>
                <w:szCs w:val="18"/>
              </w:rPr>
              <w:t>of those matters being resolved within one year of lodgem</w:t>
            </w:r>
            <w:r w:rsidR="00D92E90">
              <w:rPr>
                <w:rFonts w:ascii="Calibri" w:eastAsia="Times New Roman" w:hAnsi="Calibri" w:cs="Times New Roman"/>
                <w:i/>
                <w:sz w:val="18"/>
                <w:szCs w:val="18"/>
              </w:rPr>
              <w:t xml:space="preserve">ent. </w:t>
            </w:r>
            <w:r w:rsidRPr="005A7A70">
              <w:rPr>
                <w:rFonts w:ascii="Calibri" w:eastAsia="Times New Roman" w:hAnsi="Calibri" w:cs="Times New Roman"/>
                <w:i/>
                <w:sz w:val="18"/>
                <w:szCs w:val="18"/>
              </w:rPr>
              <w:t>These figures include Court of Appeal and trial matters only; they do not include criminal applications in the Trial Division.</w:t>
            </w:r>
          </w:p>
        </w:tc>
      </w:tr>
      <w:tr w:rsidR="00D92E90" w:rsidRPr="005A7A70" w:rsidTr="003920F2">
        <w:trPr>
          <w:gridAfter w:val="1"/>
          <w:wAfter w:w="26" w:type="dxa"/>
          <w:cantSplit/>
          <w:trHeight w:val="667"/>
        </w:trPr>
        <w:tc>
          <w:tcPr>
            <w:tcW w:w="3994"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keepNext/>
              <w:spacing w:after="20"/>
              <w:ind w:left="142"/>
              <w:rPr>
                <w:rFonts w:ascii="Calibri" w:hAnsi="Calibri"/>
                <w:sz w:val="18"/>
                <w:szCs w:val="18"/>
              </w:rPr>
            </w:pPr>
            <w:r w:rsidRPr="005A7A70">
              <w:rPr>
                <w:rFonts w:ascii="Calibri" w:hAnsi="Calibri"/>
                <w:sz w:val="18"/>
                <w:szCs w:val="18"/>
              </w:rPr>
              <w:t>On</w:t>
            </w:r>
            <w:r w:rsidRPr="005A7A70">
              <w:rPr>
                <w:rFonts w:ascii="Calibri" w:hAnsi="Calibri"/>
                <w:sz w:val="18"/>
                <w:szCs w:val="18"/>
              </w:rPr>
              <w:noBreakHyphen/>
              <w:t>time case processing – Criminal matters resolved or otherwise finalised within established timeframes in the County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85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92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8.2</w:t>
            </w:r>
          </w:p>
        </w:tc>
      </w:tr>
      <w:tr w:rsidR="00244910" w:rsidRPr="005A7A70" w:rsidTr="00D92E90">
        <w:trPr>
          <w:cantSplit/>
          <w:trHeight w:val="663"/>
        </w:trPr>
        <w:tc>
          <w:tcPr>
            <w:tcW w:w="8903" w:type="dxa"/>
            <w:gridSpan w:val="6"/>
            <w:tcBorders>
              <w:bottom w:val="single" w:sz="4" w:space="0" w:color="auto"/>
            </w:tcBorders>
            <w:shd w:val="clear" w:color="auto" w:fill="auto"/>
          </w:tcPr>
          <w:p w:rsidR="00244910" w:rsidRPr="005A7A70" w:rsidRDefault="00244910" w:rsidP="00D92E90">
            <w:pPr>
              <w:spacing w:after="60"/>
              <w:ind w:right="115"/>
              <w:rPr>
                <w:rFonts w:ascii="Calibri" w:eastAsia="Times New Roman" w:hAnsi="Calibri" w:cs="Times New Roman"/>
                <w:i/>
                <w:sz w:val="18"/>
                <w:szCs w:val="18"/>
              </w:rPr>
            </w:pPr>
            <w:r w:rsidRPr="005A7A70">
              <w:rPr>
                <w:rFonts w:ascii="Calibri" w:eastAsia="Times New Roman" w:hAnsi="Calibri" w:cs="Times New Roman"/>
                <w:i/>
                <w:sz w:val="18"/>
                <w:szCs w:val="18"/>
              </w:rPr>
              <w:t>The actual on-time case processing outcome is higher than estimated due to a continued focus on monitoring the timely disposition of cases. The proactive management of criminal case listings has also assisted to ensure appropriate time to trial.</w:t>
            </w:r>
          </w:p>
        </w:tc>
      </w:tr>
      <w:tr w:rsidR="00D92E90" w:rsidRPr="005A7A70" w:rsidTr="003920F2">
        <w:trPr>
          <w:gridAfter w:val="1"/>
          <w:wAfter w:w="26" w:type="dxa"/>
          <w:cantSplit/>
          <w:trHeight w:val="635"/>
        </w:trPr>
        <w:tc>
          <w:tcPr>
            <w:tcW w:w="3994"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keepNext/>
              <w:spacing w:after="20"/>
              <w:ind w:left="142"/>
              <w:rPr>
                <w:rFonts w:ascii="Calibri" w:hAnsi="Calibri"/>
                <w:sz w:val="18"/>
                <w:szCs w:val="18"/>
              </w:rPr>
            </w:pPr>
            <w:r w:rsidRPr="005A7A70">
              <w:rPr>
                <w:rFonts w:ascii="Calibri" w:hAnsi="Calibri"/>
                <w:sz w:val="18"/>
                <w:szCs w:val="18"/>
              </w:rPr>
              <w:lastRenderedPageBreak/>
              <w:t>On</w:t>
            </w:r>
            <w:r w:rsidRPr="005A7A70">
              <w:rPr>
                <w:rFonts w:ascii="Calibri" w:hAnsi="Calibri"/>
                <w:sz w:val="18"/>
                <w:szCs w:val="18"/>
              </w:rPr>
              <w:noBreakHyphen/>
              <w:t>time case processing – Criminal matters resolved or otherwise finalised within established timeframes in the Magistrates’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85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81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4.7</w:t>
            </w:r>
          </w:p>
        </w:tc>
      </w:tr>
      <w:tr w:rsidR="00D92E90" w:rsidRPr="005A7A70" w:rsidTr="003920F2">
        <w:trPr>
          <w:gridAfter w:val="1"/>
          <w:wAfter w:w="26" w:type="dxa"/>
          <w:cantSplit/>
          <w:trHeight w:val="659"/>
        </w:trPr>
        <w:tc>
          <w:tcPr>
            <w:tcW w:w="3994"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keepNext/>
              <w:spacing w:after="20"/>
              <w:ind w:left="142"/>
              <w:rPr>
                <w:rFonts w:ascii="Calibri" w:hAnsi="Calibri"/>
                <w:sz w:val="18"/>
                <w:szCs w:val="18"/>
              </w:rPr>
            </w:pPr>
            <w:r w:rsidRPr="005A7A70">
              <w:rPr>
                <w:rFonts w:ascii="Calibri" w:hAnsi="Calibri"/>
                <w:sz w:val="18"/>
                <w:szCs w:val="18"/>
              </w:rPr>
              <w:t>On</w:t>
            </w:r>
            <w:r w:rsidRPr="005A7A70">
              <w:rPr>
                <w:rFonts w:ascii="Calibri" w:hAnsi="Calibri"/>
                <w:sz w:val="18"/>
                <w:szCs w:val="18"/>
              </w:rPr>
              <w:noBreakHyphen/>
              <w:t>time case processing – Criminal matters resolved or otherwise finalised within established timeframes in the Children’s Court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center"/>
              <w:rPr>
                <w:rFonts w:ascii="Calibri" w:hAnsi="Calibri"/>
                <w:sz w:val="18"/>
                <w:szCs w:val="18"/>
              </w:rPr>
            </w:pPr>
            <w:r w:rsidRPr="005A7A70">
              <w:rPr>
                <w:rFonts w:ascii="Calibri" w:hAnsi="Calibri"/>
                <w:sz w:val="18"/>
                <w:szCs w:val="18"/>
              </w:rPr>
              <w:t>per cent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90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92.2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2.4</w:t>
            </w:r>
          </w:p>
        </w:tc>
      </w:tr>
      <w:tr w:rsidR="00D92E90" w:rsidRPr="005A7A70" w:rsidTr="003920F2">
        <w:trPr>
          <w:gridAfter w:val="1"/>
          <w:wAfter w:w="26" w:type="dxa"/>
          <w:cantSplit/>
          <w:trHeight w:val="285"/>
        </w:trPr>
        <w:tc>
          <w:tcPr>
            <w:tcW w:w="3994" w:type="dxa"/>
            <w:tcBorders>
              <w:top w:val="single" w:sz="4" w:space="0" w:color="auto"/>
              <w:left w:val="single" w:sz="4" w:space="0" w:color="auto"/>
              <w:bottom w:val="single" w:sz="4" w:space="0" w:color="auto"/>
              <w:right w:val="single" w:sz="4" w:space="0" w:color="auto"/>
            </w:tcBorders>
            <w:shd w:val="pct20" w:color="auto" w:fill="auto"/>
          </w:tcPr>
          <w:p w:rsidR="00D92E90" w:rsidRPr="00D92E90" w:rsidRDefault="00D92E90" w:rsidP="00D92E90">
            <w:pPr>
              <w:spacing w:before="20" w:after="20"/>
              <w:rPr>
                <w:rFonts w:ascii="Calibri" w:eastAsia="Garamond" w:hAnsi="Calibri" w:cs="Times New Roman"/>
                <w:b/>
                <w:i/>
                <w:sz w:val="18"/>
                <w:szCs w:val="18"/>
              </w:rPr>
            </w:pPr>
            <w:r w:rsidRPr="00D92E90">
              <w:rPr>
                <w:rFonts w:ascii="Calibri" w:eastAsia="Garamond" w:hAnsi="Calibri" w:cs="Times New Roman"/>
                <w:b/>
                <w:i/>
                <w:sz w:val="18"/>
                <w:szCs w:val="18"/>
              </w:rPr>
              <w:t>Cost</w:t>
            </w:r>
          </w:p>
        </w:tc>
        <w:tc>
          <w:tcPr>
            <w:tcW w:w="1109" w:type="dxa"/>
            <w:tcBorders>
              <w:top w:val="single" w:sz="4" w:space="0" w:color="auto"/>
              <w:left w:val="single" w:sz="4" w:space="0" w:color="auto"/>
              <w:bottom w:val="single" w:sz="4" w:space="0" w:color="auto"/>
              <w:right w:val="single" w:sz="4" w:space="0" w:color="auto"/>
            </w:tcBorders>
            <w:shd w:val="pct20" w:color="auto" w:fill="auto"/>
          </w:tcPr>
          <w:p w:rsidR="00D92E90" w:rsidRPr="005A7A70" w:rsidRDefault="00D92E90" w:rsidP="00244910">
            <w:pPr>
              <w:spacing w:after="20"/>
              <w:jc w:val="center"/>
              <w:rPr>
                <w:rFonts w:ascii="Calibri" w:hAnsi="Calibri"/>
                <w:sz w:val="18"/>
                <w:szCs w:val="18"/>
              </w:rPr>
            </w:pPr>
          </w:p>
        </w:tc>
        <w:tc>
          <w:tcPr>
            <w:tcW w:w="1109" w:type="dxa"/>
            <w:tcBorders>
              <w:top w:val="single" w:sz="4" w:space="0" w:color="auto"/>
              <w:left w:val="single" w:sz="4" w:space="0" w:color="auto"/>
              <w:bottom w:val="single" w:sz="4" w:space="0" w:color="auto"/>
              <w:right w:val="single" w:sz="4" w:space="0" w:color="auto"/>
            </w:tcBorders>
            <w:shd w:val="pct20" w:color="auto" w:fill="auto"/>
          </w:tcPr>
          <w:p w:rsidR="00D92E90" w:rsidRPr="005A7A70" w:rsidRDefault="00D92E90" w:rsidP="00244910">
            <w:pPr>
              <w:spacing w:after="20"/>
              <w:jc w:val="right"/>
              <w:rPr>
                <w:rFonts w:ascii="Calibri" w:hAnsi="Calibri"/>
                <w:sz w:val="18"/>
                <w:szCs w:val="18"/>
              </w:rPr>
            </w:pPr>
          </w:p>
        </w:tc>
        <w:tc>
          <w:tcPr>
            <w:tcW w:w="1220" w:type="dxa"/>
            <w:tcBorders>
              <w:top w:val="single" w:sz="4" w:space="0" w:color="auto"/>
              <w:left w:val="single" w:sz="4" w:space="0" w:color="auto"/>
              <w:bottom w:val="single" w:sz="4" w:space="0" w:color="auto"/>
              <w:right w:val="single" w:sz="4" w:space="0" w:color="auto"/>
            </w:tcBorders>
            <w:shd w:val="pct20" w:color="auto" w:fill="auto"/>
          </w:tcPr>
          <w:p w:rsidR="00D92E90" w:rsidRPr="005A7A70" w:rsidRDefault="00D92E90" w:rsidP="00244910">
            <w:pPr>
              <w:spacing w:after="20"/>
              <w:jc w:val="right"/>
              <w:rPr>
                <w:rFonts w:ascii="Calibri" w:hAnsi="Calibri"/>
                <w:sz w:val="18"/>
                <w:szCs w:val="18"/>
              </w:rPr>
            </w:pPr>
          </w:p>
        </w:tc>
        <w:tc>
          <w:tcPr>
            <w:tcW w:w="1445" w:type="dxa"/>
            <w:tcBorders>
              <w:top w:val="single" w:sz="4" w:space="0" w:color="auto"/>
              <w:left w:val="single" w:sz="4" w:space="0" w:color="auto"/>
              <w:bottom w:val="single" w:sz="4" w:space="0" w:color="auto"/>
              <w:right w:val="single" w:sz="4" w:space="0" w:color="auto"/>
            </w:tcBorders>
            <w:shd w:val="pct20" w:color="auto" w:fill="auto"/>
          </w:tcPr>
          <w:p w:rsidR="00D92E90" w:rsidRPr="005A7A70" w:rsidRDefault="00D92E90" w:rsidP="00244910">
            <w:pPr>
              <w:spacing w:after="20"/>
              <w:jc w:val="right"/>
              <w:rPr>
                <w:rFonts w:ascii="Calibri" w:hAnsi="Calibri"/>
                <w:sz w:val="18"/>
                <w:szCs w:val="18"/>
              </w:rPr>
            </w:pPr>
          </w:p>
        </w:tc>
      </w:tr>
      <w:tr w:rsidR="00D92E90" w:rsidRPr="005A7A70" w:rsidTr="003920F2">
        <w:trPr>
          <w:gridAfter w:val="1"/>
          <w:wAfter w:w="26" w:type="dxa"/>
          <w:cantSplit/>
          <w:trHeight w:val="270"/>
        </w:trPr>
        <w:tc>
          <w:tcPr>
            <w:tcW w:w="3994"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keepNext/>
              <w:spacing w:after="20"/>
              <w:ind w:left="144"/>
              <w:rPr>
                <w:rFonts w:ascii="Calibri" w:hAnsi="Calibri"/>
                <w:sz w:val="18"/>
                <w:szCs w:val="18"/>
              </w:rPr>
            </w:pPr>
            <w:r w:rsidRPr="005A7A70">
              <w:rPr>
                <w:rFonts w:ascii="Calibri" w:hAnsi="Calibri"/>
                <w:sz w:val="18"/>
                <w:szCs w:val="18"/>
              </w:rPr>
              <w:t>Total output cost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center"/>
              <w:rPr>
                <w:rFonts w:ascii="Calibri" w:hAnsi="Calibri"/>
                <w:sz w:val="18"/>
                <w:szCs w:val="18"/>
              </w:rPr>
            </w:pPr>
            <w:r w:rsidRPr="005A7A70">
              <w:rPr>
                <w:rFonts w:ascii="Calibri" w:hAnsi="Calibri"/>
                <w:sz w:val="18"/>
                <w:szCs w:val="18"/>
              </w:rPr>
              <w:t>$ million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487.0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494.7</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D92E90" w:rsidRPr="005A7A70" w:rsidRDefault="00D92E90" w:rsidP="00244910">
            <w:pPr>
              <w:spacing w:after="20"/>
              <w:jc w:val="right"/>
              <w:rPr>
                <w:rFonts w:ascii="Calibri" w:hAnsi="Calibri"/>
                <w:sz w:val="18"/>
                <w:szCs w:val="18"/>
              </w:rPr>
            </w:pPr>
            <w:r w:rsidRPr="005A7A70">
              <w:rPr>
                <w:rFonts w:ascii="Calibri" w:hAnsi="Calibri"/>
                <w:sz w:val="18"/>
                <w:szCs w:val="18"/>
              </w:rPr>
              <w:t>1.6</w:t>
            </w:r>
          </w:p>
        </w:tc>
      </w:tr>
    </w:tbl>
    <w:p w:rsidR="006F240E" w:rsidRPr="00A34B05" w:rsidRDefault="006F240E" w:rsidP="005B0771">
      <w:pPr>
        <w:rPr>
          <w:sz w:val="20"/>
          <w:szCs w:val="20"/>
        </w:rPr>
      </w:pPr>
    </w:p>
    <w:p w:rsidR="007C20B8" w:rsidRPr="005A7A70" w:rsidRDefault="003920F2">
      <w:pPr>
        <w:rPr>
          <w:rFonts w:eastAsia="Times New Roman"/>
          <w:bCs/>
          <w:iCs/>
          <w:caps/>
          <w:sz w:val="18"/>
          <w:szCs w:val="18"/>
        </w:rPr>
      </w:pPr>
      <w:r w:rsidRPr="003920F2">
        <w:rPr>
          <w:rFonts w:ascii="Calibri" w:hAnsi="Calibri"/>
          <w:b/>
          <w:sz w:val="18"/>
          <w:szCs w:val="18"/>
          <w:vertAlign w:val="superscript"/>
        </w:rPr>
        <w:t>1</w:t>
      </w:r>
      <w:r w:rsidRPr="00D92E90">
        <w:rPr>
          <w:rFonts w:ascii="Calibri" w:eastAsia="Garamond" w:hAnsi="Calibri" w:cs="Times New Roman"/>
          <w:i/>
          <w:spacing w:val="-2"/>
          <w:sz w:val="18"/>
          <w:szCs w:val="18"/>
          <w:lang w:eastAsia="en-US"/>
        </w:rPr>
        <w:t>The case clearance rate is calculated as (number of cases disposed/number of cases initiated.</w:t>
      </w:r>
    </w:p>
    <w:p w:rsidR="00F36E9D" w:rsidRPr="00283106" w:rsidRDefault="00EA585E" w:rsidP="00F36E9D">
      <w:pPr>
        <w:pStyle w:val="Heading2"/>
      </w:pPr>
      <w:r>
        <w:br w:type="page"/>
      </w:r>
      <w:bookmarkStart w:id="16" w:name="_Toc494978543"/>
      <w:r w:rsidR="00E15F31" w:rsidRPr="004A16EA">
        <w:lastRenderedPageBreak/>
        <w:t>Financial Summary and Review</w:t>
      </w:r>
      <w:bookmarkEnd w:id="16"/>
    </w:p>
    <w:p w:rsidR="004A16EA" w:rsidRPr="004A16EA" w:rsidRDefault="004A16EA" w:rsidP="004A16EA">
      <w:r w:rsidRPr="004A16EA">
        <w:t>The budget outcomes provide a comparison between the actual financial statements of CSV and the forecast financial information (initial budget estimates) published in Budget P</w:t>
      </w:r>
      <w:r w:rsidR="005779A1">
        <w:t>aper No.5 Statement of Finances.</w:t>
      </w:r>
    </w:p>
    <w:p w:rsidR="004A16EA" w:rsidRPr="004A16EA" w:rsidRDefault="004A16EA" w:rsidP="004A16EA"/>
    <w:p w:rsidR="004A16EA" w:rsidRPr="004A16EA" w:rsidRDefault="004A16EA" w:rsidP="004A16EA">
      <w:r w:rsidRPr="004A16EA">
        <w:t>The budget outcomes statement is not subject to audit by the Victorian Auditor­General’s Office and is not pr</w:t>
      </w:r>
      <w:r>
        <w:t>epared on the same basis as the CSV</w:t>
      </w:r>
      <w:r w:rsidRPr="004A16EA">
        <w:t xml:space="preserve"> financial statements.</w:t>
      </w:r>
    </w:p>
    <w:p w:rsidR="004A16EA" w:rsidRPr="004A16EA" w:rsidRDefault="004A16EA" w:rsidP="004A16EA"/>
    <w:p w:rsidR="004A16EA" w:rsidRPr="004A16EA" w:rsidRDefault="004A16EA" w:rsidP="004A16EA">
      <w:r>
        <w:t>Refer to the financial s</w:t>
      </w:r>
      <w:r w:rsidRPr="004A16EA">
        <w:t>tatements for comparison of budget and actual.</w:t>
      </w:r>
    </w:p>
    <w:p w:rsidR="004A16EA" w:rsidRPr="004A16EA" w:rsidRDefault="004A16EA" w:rsidP="00D1670D">
      <w:pPr>
        <w:pStyle w:val="Heading3"/>
      </w:pPr>
      <w:r w:rsidRPr="004A16EA">
        <w:t xml:space="preserve">Three-Year Financial Summary </w:t>
      </w:r>
    </w:p>
    <w:p w:rsidR="004A16EA" w:rsidRPr="004A16EA" w:rsidRDefault="004A16EA" w:rsidP="004A16EA">
      <w:r w:rsidRPr="004A16EA">
        <w:t>As CSV is in its third year of operation only three years of revenue and expenditure figures are available.</w:t>
      </w:r>
    </w:p>
    <w:p w:rsidR="004A16EA" w:rsidRPr="004A16EA" w:rsidRDefault="004A16EA" w:rsidP="004A16EA"/>
    <w:p w:rsidR="004A16EA" w:rsidRPr="004A16EA" w:rsidRDefault="005E4D7E" w:rsidP="00D1670D">
      <w:pPr>
        <w:pStyle w:val="Caption"/>
      </w:pPr>
      <w:r w:rsidRPr="005E4D7E">
        <w:t>Table 2</w:t>
      </w:r>
      <w:r w:rsidR="004A16EA" w:rsidRPr="005E4D7E">
        <w:t>:</w:t>
      </w:r>
      <w:r>
        <w:t xml:space="preserve"> </w:t>
      </w:r>
      <w:r w:rsidR="004A16EA" w:rsidRPr="004A16EA">
        <w:t>Three-year financial summary</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182"/>
        <w:gridCol w:w="1163"/>
        <w:gridCol w:w="1163"/>
        <w:gridCol w:w="1120"/>
      </w:tblGrid>
      <w:tr w:rsidR="004A16EA" w:rsidRPr="005C4B16" w:rsidTr="0046730C">
        <w:tc>
          <w:tcPr>
            <w:tcW w:w="6182" w:type="dxa"/>
            <w:shd w:val="clear" w:color="auto" w:fill="auto"/>
          </w:tcPr>
          <w:p w:rsidR="004A16EA" w:rsidRPr="005C4B16" w:rsidRDefault="004A16EA" w:rsidP="004A16EA">
            <w:pPr>
              <w:keepNext/>
              <w:keepLines/>
              <w:spacing w:before="40" w:after="20"/>
              <w:jc w:val="center"/>
              <w:rPr>
                <w:rFonts w:eastAsia="Times New Roman" w:cs="Times New Roman"/>
                <w:b/>
                <w:iCs/>
                <w:sz w:val="20"/>
                <w:szCs w:val="20"/>
              </w:rPr>
            </w:pPr>
          </w:p>
        </w:tc>
        <w:tc>
          <w:tcPr>
            <w:tcW w:w="1163" w:type="dxa"/>
            <w:shd w:val="clear" w:color="auto" w:fill="auto"/>
          </w:tcPr>
          <w:p w:rsidR="004A16EA" w:rsidRPr="005C4B16" w:rsidRDefault="004A16EA" w:rsidP="004A16EA">
            <w:pPr>
              <w:keepNext/>
              <w:keepLines/>
              <w:spacing w:before="40" w:after="20"/>
              <w:jc w:val="center"/>
              <w:rPr>
                <w:rFonts w:eastAsia="Times New Roman" w:cs="Times New Roman"/>
                <w:b/>
                <w:iCs/>
                <w:sz w:val="20"/>
                <w:szCs w:val="20"/>
              </w:rPr>
            </w:pPr>
            <w:r w:rsidRPr="005C4B16">
              <w:rPr>
                <w:rFonts w:eastAsia="Times New Roman" w:cs="Times New Roman"/>
                <w:b/>
                <w:iCs/>
                <w:sz w:val="20"/>
                <w:szCs w:val="20"/>
              </w:rPr>
              <w:t>2016-17</w:t>
            </w:r>
          </w:p>
          <w:p w:rsidR="004A16EA" w:rsidRPr="005C4B16" w:rsidRDefault="004A16EA" w:rsidP="004A16EA">
            <w:pPr>
              <w:keepNext/>
              <w:keepLines/>
              <w:spacing w:before="40" w:after="20"/>
              <w:jc w:val="center"/>
              <w:rPr>
                <w:rFonts w:eastAsia="Times New Roman" w:cs="Times New Roman"/>
                <w:b/>
                <w:iCs/>
                <w:sz w:val="20"/>
                <w:szCs w:val="20"/>
              </w:rPr>
            </w:pPr>
            <w:r w:rsidRPr="005C4B16">
              <w:rPr>
                <w:rFonts w:eastAsia="Times New Roman" w:cs="Times New Roman"/>
                <w:b/>
                <w:iCs/>
                <w:sz w:val="20"/>
                <w:szCs w:val="20"/>
              </w:rPr>
              <w:t>$'000</w:t>
            </w:r>
          </w:p>
        </w:tc>
        <w:tc>
          <w:tcPr>
            <w:tcW w:w="1163" w:type="dxa"/>
          </w:tcPr>
          <w:p w:rsidR="004A16EA" w:rsidRPr="005C4B16" w:rsidRDefault="004A16EA" w:rsidP="004A16EA">
            <w:pPr>
              <w:keepNext/>
              <w:keepLines/>
              <w:spacing w:before="40" w:after="20"/>
              <w:jc w:val="center"/>
              <w:rPr>
                <w:rFonts w:eastAsia="Times New Roman" w:cs="Times New Roman"/>
                <w:b/>
                <w:iCs/>
                <w:sz w:val="20"/>
                <w:szCs w:val="20"/>
              </w:rPr>
            </w:pPr>
            <w:r w:rsidRPr="005C4B16">
              <w:rPr>
                <w:rFonts w:eastAsia="Times New Roman" w:cs="Times New Roman"/>
                <w:b/>
                <w:iCs/>
                <w:sz w:val="20"/>
                <w:szCs w:val="20"/>
              </w:rPr>
              <w:t>2015-16</w:t>
            </w:r>
          </w:p>
          <w:p w:rsidR="004A16EA" w:rsidRPr="005C4B16" w:rsidRDefault="004A16EA" w:rsidP="004A16EA">
            <w:pPr>
              <w:keepNext/>
              <w:keepLines/>
              <w:spacing w:before="40" w:after="20"/>
              <w:jc w:val="center"/>
              <w:rPr>
                <w:rFonts w:eastAsia="Times New Roman" w:cs="Times New Roman"/>
                <w:b/>
                <w:iCs/>
                <w:sz w:val="20"/>
                <w:szCs w:val="20"/>
              </w:rPr>
            </w:pPr>
            <w:r w:rsidRPr="005C4B16">
              <w:rPr>
                <w:rFonts w:eastAsia="Times New Roman" w:cs="Times New Roman"/>
                <w:b/>
                <w:iCs/>
                <w:sz w:val="20"/>
                <w:szCs w:val="20"/>
              </w:rPr>
              <w:t>$'000</w:t>
            </w:r>
          </w:p>
        </w:tc>
        <w:tc>
          <w:tcPr>
            <w:tcW w:w="1120" w:type="dxa"/>
          </w:tcPr>
          <w:p w:rsidR="004A16EA" w:rsidRPr="005C4B16" w:rsidRDefault="004A16EA" w:rsidP="004A16EA">
            <w:pPr>
              <w:keepNext/>
              <w:keepLines/>
              <w:spacing w:before="40" w:after="20"/>
              <w:jc w:val="center"/>
              <w:rPr>
                <w:rFonts w:eastAsia="Times New Roman" w:cs="Times New Roman"/>
                <w:b/>
                <w:iCs/>
                <w:sz w:val="20"/>
                <w:szCs w:val="20"/>
              </w:rPr>
            </w:pPr>
            <w:r w:rsidRPr="005C4B16">
              <w:rPr>
                <w:rFonts w:eastAsia="Times New Roman" w:cs="Times New Roman"/>
                <w:b/>
                <w:iCs/>
                <w:sz w:val="20"/>
                <w:szCs w:val="20"/>
              </w:rPr>
              <w:t>2014-15</w:t>
            </w:r>
          </w:p>
          <w:p w:rsidR="004A16EA" w:rsidRPr="005C4B16" w:rsidRDefault="004A16EA" w:rsidP="004A16EA">
            <w:pPr>
              <w:keepNext/>
              <w:keepLines/>
              <w:spacing w:before="40" w:after="20"/>
              <w:jc w:val="center"/>
              <w:rPr>
                <w:rFonts w:eastAsia="Times New Roman" w:cs="Times New Roman"/>
                <w:b/>
                <w:iCs/>
                <w:sz w:val="20"/>
                <w:szCs w:val="20"/>
              </w:rPr>
            </w:pPr>
            <w:r w:rsidRPr="005C4B16">
              <w:rPr>
                <w:rFonts w:eastAsia="Times New Roman" w:cs="Times New Roman"/>
                <w:b/>
                <w:iCs/>
                <w:sz w:val="20"/>
                <w:szCs w:val="20"/>
              </w:rPr>
              <w:t>$'000</w:t>
            </w:r>
          </w:p>
        </w:tc>
      </w:tr>
      <w:tr w:rsidR="004A16EA" w:rsidRPr="005C4B16" w:rsidTr="0046730C">
        <w:tc>
          <w:tcPr>
            <w:tcW w:w="6182" w:type="dxa"/>
            <w:shd w:val="clear" w:color="auto" w:fill="auto"/>
          </w:tcPr>
          <w:p w:rsidR="004A16EA" w:rsidRPr="005C4B16" w:rsidRDefault="004A16EA" w:rsidP="004A16EA">
            <w:pPr>
              <w:rPr>
                <w:rFonts w:eastAsia="Times New Roman" w:cs="Times New Roman"/>
                <w:sz w:val="20"/>
                <w:szCs w:val="20"/>
                <w:lang w:eastAsia="en-US"/>
              </w:rPr>
            </w:pPr>
            <w:r w:rsidRPr="005C4B16">
              <w:rPr>
                <w:rFonts w:eastAsia="Times New Roman" w:cs="Times New Roman"/>
                <w:sz w:val="20"/>
                <w:szCs w:val="20"/>
                <w:lang w:eastAsia="en-US"/>
              </w:rPr>
              <w:t xml:space="preserve">Revenue from Government </w:t>
            </w:r>
          </w:p>
        </w:tc>
        <w:tc>
          <w:tcPr>
            <w:tcW w:w="1163" w:type="dxa"/>
            <w:shd w:val="clear" w:color="auto" w:fill="auto"/>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457,763</w:t>
            </w:r>
          </w:p>
        </w:tc>
        <w:tc>
          <w:tcPr>
            <w:tcW w:w="1163"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432,701</w:t>
            </w:r>
          </w:p>
        </w:tc>
        <w:tc>
          <w:tcPr>
            <w:tcW w:w="1120"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412,389</w:t>
            </w:r>
          </w:p>
        </w:tc>
      </w:tr>
      <w:tr w:rsidR="004A16EA" w:rsidRPr="005C4B16" w:rsidTr="0046730C">
        <w:tc>
          <w:tcPr>
            <w:tcW w:w="6182" w:type="dxa"/>
            <w:shd w:val="clear" w:color="auto" w:fill="auto"/>
          </w:tcPr>
          <w:p w:rsidR="004A16EA" w:rsidRPr="005C4B16" w:rsidRDefault="004A16EA" w:rsidP="004A16EA">
            <w:pPr>
              <w:rPr>
                <w:rFonts w:eastAsia="Times New Roman" w:cs="Times New Roman"/>
                <w:sz w:val="20"/>
                <w:szCs w:val="20"/>
                <w:lang w:eastAsia="en-US"/>
              </w:rPr>
            </w:pPr>
            <w:r w:rsidRPr="005C4B16">
              <w:rPr>
                <w:rFonts w:eastAsia="Times New Roman" w:cs="Times New Roman"/>
                <w:sz w:val="20"/>
                <w:szCs w:val="20"/>
                <w:lang w:eastAsia="en-US"/>
              </w:rPr>
              <w:t>Total income from transactions</w:t>
            </w:r>
          </w:p>
        </w:tc>
        <w:tc>
          <w:tcPr>
            <w:tcW w:w="1163" w:type="dxa"/>
            <w:shd w:val="clear" w:color="auto" w:fill="auto"/>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490,874</w:t>
            </w:r>
          </w:p>
        </w:tc>
        <w:tc>
          <w:tcPr>
            <w:tcW w:w="1163"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457,819</w:t>
            </w:r>
          </w:p>
        </w:tc>
        <w:tc>
          <w:tcPr>
            <w:tcW w:w="1120"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449,332</w:t>
            </w:r>
          </w:p>
        </w:tc>
      </w:tr>
      <w:tr w:rsidR="004A16EA" w:rsidRPr="005C4B16" w:rsidTr="0046730C">
        <w:tc>
          <w:tcPr>
            <w:tcW w:w="6182" w:type="dxa"/>
            <w:shd w:val="clear" w:color="auto" w:fill="auto"/>
          </w:tcPr>
          <w:p w:rsidR="004A16EA" w:rsidRPr="005C4B16" w:rsidRDefault="004A16EA" w:rsidP="004A16EA">
            <w:pPr>
              <w:rPr>
                <w:rFonts w:eastAsia="Times New Roman" w:cs="Times New Roman"/>
                <w:sz w:val="20"/>
                <w:szCs w:val="20"/>
                <w:lang w:eastAsia="en-US"/>
              </w:rPr>
            </w:pPr>
            <w:r w:rsidRPr="005C4B16">
              <w:rPr>
                <w:rFonts w:eastAsia="Times New Roman" w:cs="Times New Roman"/>
                <w:sz w:val="20"/>
                <w:szCs w:val="20"/>
                <w:lang w:eastAsia="en-US"/>
              </w:rPr>
              <w:t>Total expenses from transactions</w:t>
            </w:r>
          </w:p>
        </w:tc>
        <w:tc>
          <w:tcPr>
            <w:tcW w:w="1163" w:type="dxa"/>
            <w:shd w:val="clear" w:color="auto" w:fill="auto"/>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493,412</w:t>
            </w:r>
          </w:p>
        </w:tc>
        <w:tc>
          <w:tcPr>
            <w:tcW w:w="1163"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458,291</w:t>
            </w:r>
          </w:p>
        </w:tc>
        <w:tc>
          <w:tcPr>
            <w:tcW w:w="1120"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443,160</w:t>
            </w:r>
          </w:p>
        </w:tc>
      </w:tr>
      <w:tr w:rsidR="004A16EA" w:rsidRPr="005C4B16" w:rsidTr="0046730C">
        <w:tc>
          <w:tcPr>
            <w:tcW w:w="6182" w:type="dxa"/>
            <w:shd w:val="clear" w:color="auto" w:fill="auto"/>
          </w:tcPr>
          <w:p w:rsidR="004A16EA" w:rsidRPr="005C4B16" w:rsidRDefault="004A16EA" w:rsidP="004A16EA">
            <w:pPr>
              <w:rPr>
                <w:rFonts w:eastAsia="Times New Roman" w:cs="Times New Roman"/>
                <w:sz w:val="20"/>
                <w:szCs w:val="20"/>
                <w:lang w:eastAsia="en-US"/>
              </w:rPr>
            </w:pPr>
            <w:r w:rsidRPr="005C4B16">
              <w:rPr>
                <w:rFonts w:eastAsia="Times New Roman" w:cs="Times New Roman"/>
                <w:sz w:val="20"/>
                <w:szCs w:val="20"/>
                <w:lang w:eastAsia="en-US"/>
              </w:rPr>
              <w:t>Net result from transactions (surplus)</w:t>
            </w:r>
          </w:p>
        </w:tc>
        <w:tc>
          <w:tcPr>
            <w:tcW w:w="1163" w:type="dxa"/>
            <w:shd w:val="clear" w:color="auto" w:fill="auto"/>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(2,539)</w:t>
            </w:r>
          </w:p>
        </w:tc>
        <w:tc>
          <w:tcPr>
            <w:tcW w:w="1163"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(472)</w:t>
            </w:r>
          </w:p>
        </w:tc>
        <w:tc>
          <w:tcPr>
            <w:tcW w:w="1120"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6,172</w:t>
            </w:r>
          </w:p>
        </w:tc>
      </w:tr>
      <w:tr w:rsidR="004A16EA" w:rsidRPr="005C4B16" w:rsidTr="0046730C">
        <w:tc>
          <w:tcPr>
            <w:tcW w:w="6182" w:type="dxa"/>
            <w:shd w:val="clear" w:color="auto" w:fill="auto"/>
          </w:tcPr>
          <w:p w:rsidR="004A16EA" w:rsidRPr="005C4B16" w:rsidRDefault="004A16EA" w:rsidP="004A16EA">
            <w:pPr>
              <w:rPr>
                <w:rFonts w:eastAsia="Times New Roman" w:cs="Times New Roman"/>
                <w:sz w:val="20"/>
                <w:szCs w:val="20"/>
                <w:lang w:eastAsia="en-US"/>
              </w:rPr>
            </w:pPr>
            <w:r w:rsidRPr="005C4B16">
              <w:rPr>
                <w:rFonts w:eastAsia="Times New Roman" w:cs="Times New Roman"/>
                <w:sz w:val="20"/>
                <w:szCs w:val="20"/>
                <w:lang w:eastAsia="en-US"/>
              </w:rPr>
              <w:t>Net result for the period (surplus)</w:t>
            </w:r>
          </w:p>
        </w:tc>
        <w:tc>
          <w:tcPr>
            <w:tcW w:w="1163" w:type="dxa"/>
            <w:shd w:val="clear" w:color="auto" w:fill="auto"/>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5,577</w:t>
            </w:r>
          </w:p>
        </w:tc>
        <w:tc>
          <w:tcPr>
            <w:tcW w:w="1163"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178,347</w:t>
            </w:r>
          </w:p>
        </w:tc>
        <w:tc>
          <w:tcPr>
            <w:tcW w:w="1120"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4,092</w:t>
            </w:r>
          </w:p>
        </w:tc>
      </w:tr>
      <w:tr w:rsidR="004A16EA" w:rsidRPr="005C4B16" w:rsidTr="0046730C">
        <w:tc>
          <w:tcPr>
            <w:tcW w:w="6182" w:type="dxa"/>
            <w:shd w:val="clear" w:color="auto" w:fill="auto"/>
          </w:tcPr>
          <w:p w:rsidR="004A16EA" w:rsidRPr="005C4B16" w:rsidRDefault="004A16EA" w:rsidP="004A16EA">
            <w:pPr>
              <w:rPr>
                <w:rFonts w:eastAsia="Times New Roman" w:cs="Times New Roman"/>
                <w:sz w:val="20"/>
                <w:szCs w:val="20"/>
                <w:lang w:eastAsia="en-US"/>
              </w:rPr>
            </w:pPr>
            <w:r w:rsidRPr="005C4B16">
              <w:rPr>
                <w:rFonts w:eastAsia="Times New Roman" w:cs="Times New Roman"/>
                <w:sz w:val="20"/>
                <w:szCs w:val="20"/>
                <w:lang w:eastAsia="en-US"/>
              </w:rPr>
              <w:t xml:space="preserve">Net cash flow from operating activities </w:t>
            </w:r>
          </w:p>
        </w:tc>
        <w:tc>
          <w:tcPr>
            <w:tcW w:w="1163" w:type="dxa"/>
            <w:shd w:val="clear" w:color="auto" w:fill="auto"/>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31,646</w:t>
            </w:r>
          </w:p>
        </w:tc>
        <w:tc>
          <w:tcPr>
            <w:tcW w:w="1163"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25,957</w:t>
            </w:r>
          </w:p>
        </w:tc>
        <w:tc>
          <w:tcPr>
            <w:tcW w:w="1120"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36,108</w:t>
            </w:r>
          </w:p>
        </w:tc>
      </w:tr>
      <w:tr w:rsidR="004A16EA" w:rsidRPr="005C4B16" w:rsidTr="0046730C">
        <w:tc>
          <w:tcPr>
            <w:tcW w:w="6182" w:type="dxa"/>
            <w:shd w:val="clear" w:color="auto" w:fill="auto"/>
          </w:tcPr>
          <w:p w:rsidR="004A16EA" w:rsidRPr="005C4B16" w:rsidRDefault="004A16EA" w:rsidP="004A16EA">
            <w:pPr>
              <w:rPr>
                <w:rFonts w:eastAsia="Times New Roman" w:cs="Times New Roman"/>
                <w:sz w:val="20"/>
                <w:szCs w:val="20"/>
                <w:lang w:eastAsia="en-US"/>
              </w:rPr>
            </w:pPr>
            <w:r w:rsidRPr="005C4B16">
              <w:rPr>
                <w:rFonts w:eastAsia="Times New Roman" w:cs="Times New Roman"/>
                <w:sz w:val="20"/>
                <w:szCs w:val="20"/>
                <w:lang w:eastAsia="en-US"/>
              </w:rPr>
              <w:t xml:space="preserve">Total assets </w:t>
            </w:r>
          </w:p>
        </w:tc>
        <w:tc>
          <w:tcPr>
            <w:tcW w:w="1163" w:type="dxa"/>
            <w:shd w:val="clear" w:color="auto" w:fill="auto"/>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1,086,817</w:t>
            </w:r>
          </w:p>
        </w:tc>
        <w:tc>
          <w:tcPr>
            <w:tcW w:w="1163"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1,064,833</w:t>
            </w:r>
          </w:p>
        </w:tc>
        <w:tc>
          <w:tcPr>
            <w:tcW w:w="1120"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828,921</w:t>
            </w:r>
          </w:p>
        </w:tc>
      </w:tr>
      <w:tr w:rsidR="004A16EA" w:rsidRPr="005C4B16" w:rsidTr="0046730C">
        <w:tc>
          <w:tcPr>
            <w:tcW w:w="6182" w:type="dxa"/>
            <w:shd w:val="clear" w:color="auto" w:fill="auto"/>
          </w:tcPr>
          <w:p w:rsidR="004A16EA" w:rsidRPr="005C4B16" w:rsidRDefault="004A16EA" w:rsidP="004A16EA">
            <w:pPr>
              <w:rPr>
                <w:rFonts w:eastAsia="Times New Roman" w:cs="Times New Roman"/>
                <w:sz w:val="20"/>
                <w:szCs w:val="20"/>
                <w:lang w:eastAsia="en-US"/>
              </w:rPr>
            </w:pPr>
            <w:r w:rsidRPr="005C4B16">
              <w:rPr>
                <w:rFonts w:eastAsia="Times New Roman" w:cs="Times New Roman"/>
                <w:sz w:val="20"/>
                <w:szCs w:val="20"/>
                <w:lang w:eastAsia="en-US"/>
              </w:rPr>
              <w:t xml:space="preserve">Total liabilities </w:t>
            </w:r>
          </w:p>
        </w:tc>
        <w:tc>
          <w:tcPr>
            <w:tcW w:w="1163" w:type="dxa"/>
            <w:shd w:val="clear" w:color="auto" w:fill="auto"/>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187,139</w:t>
            </w:r>
          </w:p>
        </w:tc>
        <w:tc>
          <w:tcPr>
            <w:tcW w:w="1163"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190,256</w:t>
            </w:r>
          </w:p>
        </w:tc>
        <w:tc>
          <w:tcPr>
            <w:tcW w:w="1120" w:type="dxa"/>
          </w:tcPr>
          <w:p w:rsidR="004A16EA" w:rsidRPr="005C4B16" w:rsidRDefault="004A16EA" w:rsidP="004A16EA">
            <w:pPr>
              <w:jc w:val="right"/>
              <w:rPr>
                <w:rFonts w:eastAsia="Times New Roman" w:cs="Times New Roman"/>
                <w:sz w:val="20"/>
                <w:szCs w:val="20"/>
                <w:lang w:eastAsia="en-US"/>
              </w:rPr>
            </w:pPr>
            <w:r w:rsidRPr="005C4B16">
              <w:rPr>
                <w:rFonts w:eastAsia="Times New Roman" w:cs="Times New Roman"/>
                <w:sz w:val="20"/>
                <w:szCs w:val="20"/>
                <w:lang w:eastAsia="en-US"/>
              </w:rPr>
              <w:t>196,250</w:t>
            </w:r>
          </w:p>
        </w:tc>
      </w:tr>
    </w:tbl>
    <w:p w:rsidR="004A16EA" w:rsidRPr="004A16EA" w:rsidRDefault="004A16EA" w:rsidP="00D1670D">
      <w:pPr>
        <w:pStyle w:val="Heading3"/>
      </w:pPr>
      <w:r w:rsidRPr="004A16EA">
        <w:t>Court Services Victoria Current Year Financial Review</w:t>
      </w:r>
    </w:p>
    <w:p w:rsidR="004A16EA" w:rsidRPr="004A16EA" w:rsidRDefault="004A16EA" w:rsidP="00D1670D">
      <w:pPr>
        <w:pStyle w:val="ListBullet"/>
      </w:pPr>
      <w:r w:rsidRPr="004A16EA">
        <w:t>CSV considers the net result from transactions to be the appropriate measure of financial management that can be directly attributed to government policy. This measure excludes the effects of revaluations (holding gains or losses) arising from changes in market prices and other changes in the volume of assets shown under ‘other economic flows’ on the comprehensive operating statement, which are outside the control of CSV.</w:t>
      </w:r>
    </w:p>
    <w:p w:rsidR="004A16EA" w:rsidRPr="004A16EA" w:rsidRDefault="004A16EA" w:rsidP="00D1670D">
      <w:pPr>
        <w:pStyle w:val="ListBullet"/>
      </w:pPr>
      <w:r w:rsidRPr="004A16EA">
        <w:t xml:space="preserve">In 2016-17, CSV’s net result from transactions was a deficit of $2.539 million </w:t>
      </w:r>
      <w:r w:rsidR="00981EEE">
        <w:t>that</w:t>
      </w:r>
      <w:r w:rsidRPr="004A16EA">
        <w:t xml:space="preserve"> comprises a total income of $490.9 million</w:t>
      </w:r>
      <w:r w:rsidRPr="004A16EA">
        <w:rPr>
          <w:vertAlign w:val="superscript"/>
        </w:rPr>
        <w:footnoteReference w:id="1"/>
      </w:r>
      <w:r w:rsidRPr="004A16EA">
        <w:t xml:space="preserve"> and expenditure of $493.4 million. </w:t>
      </w:r>
    </w:p>
    <w:p w:rsidR="004A16EA" w:rsidRPr="004A16EA" w:rsidRDefault="004A16EA" w:rsidP="00D1670D">
      <w:pPr>
        <w:pStyle w:val="ListBullet"/>
      </w:pPr>
      <w:r w:rsidRPr="004A16EA">
        <w:t>Of the $490.9 million actual revenues utilised for the operation of the courts’ system, approximately $71 million is made available via a section 29 appropriation from the collection of court fees</w:t>
      </w:r>
      <w:r w:rsidRPr="004A16EA">
        <w:rPr>
          <w:vertAlign w:val="superscript"/>
        </w:rPr>
        <w:footnoteReference w:id="2"/>
      </w:r>
      <w:r w:rsidRPr="004A16EA">
        <w:t xml:space="preserve"> (known as the Court Fee Pool), approximately $4 million more than in 2015-16. </w:t>
      </w:r>
      <w:r w:rsidR="00981EEE" w:rsidRPr="004A16EA">
        <w:t>The remaining</w:t>
      </w:r>
      <w:r w:rsidRPr="004A16EA">
        <w:t xml:space="preserve"> funds </w:t>
      </w:r>
      <w:r w:rsidR="00981EEE">
        <w:t>we</w:t>
      </w:r>
      <w:r w:rsidRPr="004A16EA">
        <w:t>re received from the</w:t>
      </w:r>
      <w:r w:rsidR="00981EEE">
        <w:t xml:space="preserve"> Victorian Government via both annual and s</w:t>
      </w:r>
      <w:r w:rsidRPr="004A16EA">
        <w:t>pecial appropriations. The Court Fee Pool is intended to be used to fund innovation initiatives to improve services within the jurisdictions, but budgetary pressures often mean that it is used to meet the day-to-day operating costs of the jurisdictions.</w:t>
      </w:r>
    </w:p>
    <w:p w:rsidR="004A16EA" w:rsidRPr="004A16EA" w:rsidRDefault="004A16EA" w:rsidP="00D1670D">
      <w:pPr>
        <w:pStyle w:val="ListBullet"/>
      </w:pPr>
      <w:r w:rsidRPr="004A16EA">
        <w:t>CSV’s net assets of $899.7 million comprises total assets of $1.087 billion and liabilities of $187.1</w:t>
      </w:r>
      <w:r w:rsidR="00981EEE">
        <w:t xml:space="preserve"> million. F</w:t>
      </w:r>
      <w:r w:rsidRPr="004A16EA">
        <w:t xml:space="preserve">urther details are provided in the balance sheet in the financial statements. </w:t>
      </w:r>
    </w:p>
    <w:p w:rsidR="004A16EA" w:rsidRPr="004A16EA" w:rsidRDefault="004A16EA" w:rsidP="00D1670D">
      <w:pPr>
        <w:pStyle w:val="ListBullet"/>
      </w:pPr>
      <w:r w:rsidRPr="004A16EA">
        <w:lastRenderedPageBreak/>
        <w:t>CSV cash flow at year-end consisted of $9.1</w:t>
      </w:r>
      <w:r w:rsidR="00981EEE">
        <w:t xml:space="preserve"> million. D</w:t>
      </w:r>
      <w:r w:rsidRPr="004A16EA">
        <w:t>uring the year cash transactions included receipts of $482.4 million, payments of $450.7 million, purchases of non-financial assets of $41 million, proceed of sales of non-f</w:t>
      </w:r>
      <w:r w:rsidR="00DB79A9">
        <w:t>inancial assets of $2.2 million</w:t>
      </w:r>
      <w:r w:rsidRPr="004A16EA">
        <w:t xml:space="preserve">. </w:t>
      </w:r>
    </w:p>
    <w:p w:rsidR="004A16EA" w:rsidRPr="004A16EA" w:rsidRDefault="004A16EA" w:rsidP="00D1670D">
      <w:pPr>
        <w:pStyle w:val="Heading3"/>
      </w:pPr>
      <w:r w:rsidRPr="004A16EA">
        <w:t xml:space="preserve">Budget Allocation </w:t>
      </w:r>
    </w:p>
    <w:p w:rsidR="004A16EA" w:rsidRPr="004A16EA" w:rsidRDefault="004A16EA" w:rsidP="004A16EA">
      <w:r w:rsidRPr="004A16EA">
        <w:t xml:space="preserve">While CSV receives Parliamentary appropriation for its functions, budget is allocated to each of the jurisdictions, and made available for the provision of services and facilities to the College, in accordance with budgets approved by the Attorney-General under section 41 of the </w:t>
      </w:r>
      <w:r w:rsidR="00290B62">
        <w:t xml:space="preserve">CSV </w:t>
      </w:r>
      <w:r w:rsidRPr="004A16EA">
        <w:t>Act.</w:t>
      </w:r>
    </w:p>
    <w:p w:rsidR="004A16EA" w:rsidRPr="004A16EA" w:rsidRDefault="004A16EA" w:rsidP="004A16EA"/>
    <w:p w:rsidR="004A16EA" w:rsidRPr="004A16EA" w:rsidRDefault="005779A1" w:rsidP="004A16EA">
      <w:r>
        <w:t>The CSV</w:t>
      </w:r>
      <w:r w:rsidR="004A16EA" w:rsidRPr="004A16EA">
        <w:t xml:space="preserve"> budget breakdown for the purposes of corporate functions, the jurisdictions, and the College is shown in the table below, and includes funding from annual and special appropriations</w:t>
      </w:r>
      <w:r>
        <w:t>,</w:t>
      </w:r>
      <w:r w:rsidR="004A16EA" w:rsidRPr="004A16EA">
        <w:t xml:space="preserve"> as well as trust funding. Charges relating to the corporate functions set out below include the whole of CSV charge</w:t>
      </w:r>
      <w:r>
        <w:t>s, such as capital asset charges and d</w:t>
      </w:r>
      <w:r w:rsidR="004A16EA" w:rsidRPr="004A16EA">
        <w:t>epreciation.</w:t>
      </w:r>
    </w:p>
    <w:p w:rsidR="004A16EA" w:rsidRPr="004A16EA" w:rsidRDefault="004A16EA" w:rsidP="004A16EA"/>
    <w:p w:rsidR="004A16EA" w:rsidRPr="004A16EA" w:rsidRDefault="004A16EA" w:rsidP="004A16EA">
      <w:r w:rsidRPr="004A16EA">
        <w:t>Built into appropriation funding is depreciation, rent, accommodation and a capital asset charge. These are classified as non-discretionary items and funding is held and managed centrally by CSV.</w:t>
      </w:r>
    </w:p>
    <w:p w:rsidR="004A16EA" w:rsidRPr="004A16EA" w:rsidRDefault="004A16EA" w:rsidP="004A16EA"/>
    <w:p w:rsidR="004A16EA" w:rsidRPr="004A16EA" w:rsidRDefault="004A16EA" w:rsidP="004A16EA">
      <w:r w:rsidRPr="004A16EA">
        <w:t>The budget allocation profiles of Jurisdiction Services, the jurisdictions and the College are based on an historical allocations profile adjusted for savi</w:t>
      </w:r>
      <w:r>
        <w:t>ngs, indexation and new funding</w:t>
      </w:r>
    </w:p>
    <w:p w:rsidR="00D1670D" w:rsidRDefault="00D1670D" w:rsidP="00981EEE">
      <w:pPr>
        <w:pStyle w:val="Caption"/>
      </w:pPr>
    </w:p>
    <w:p w:rsidR="00981EEE" w:rsidRPr="00D1670D" w:rsidRDefault="00981EEE" w:rsidP="00D1670D">
      <w:pPr>
        <w:pStyle w:val="Caption"/>
      </w:pPr>
      <w:r w:rsidRPr="00D1670D">
        <w:t>Tabl</w:t>
      </w:r>
      <w:r w:rsidR="005E4D7E" w:rsidRPr="00D1670D">
        <w:t>e 3</w:t>
      </w:r>
      <w:r w:rsidRPr="00D1670D">
        <w:t>:</w:t>
      </w:r>
      <w:r w:rsidR="005E4D7E" w:rsidRPr="00D1670D">
        <w:t xml:space="preserve"> </w:t>
      </w:r>
      <w:r w:rsidR="005779A1" w:rsidRPr="00D1670D">
        <w:t>CSV’s</w:t>
      </w:r>
      <w:r w:rsidRPr="00D1670D">
        <w:t xml:space="preserve"> budget allocation by jurisdiction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4026"/>
        <w:gridCol w:w="2166"/>
      </w:tblGrid>
      <w:tr w:rsidR="00981EEE" w:rsidRPr="005C4B16" w:rsidTr="005779A1">
        <w:trPr>
          <w:trHeight w:val="884"/>
        </w:trPr>
        <w:tc>
          <w:tcPr>
            <w:tcW w:w="4026" w:type="dxa"/>
            <w:shd w:val="pct25" w:color="auto" w:fill="auto"/>
            <w:noWrap/>
            <w:vAlign w:val="center"/>
          </w:tcPr>
          <w:p w:rsidR="00981EEE" w:rsidRPr="005C4B16" w:rsidRDefault="00981EEE" w:rsidP="0046730C">
            <w:pPr>
              <w:pStyle w:val="Tableheading"/>
              <w:jc w:val="center"/>
            </w:pPr>
            <w:r w:rsidRPr="005C4B16">
              <w:t>By Business Area</w:t>
            </w:r>
          </w:p>
        </w:tc>
        <w:tc>
          <w:tcPr>
            <w:tcW w:w="2166" w:type="dxa"/>
            <w:shd w:val="pct25" w:color="auto" w:fill="auto"/>
          </w:tcPr>
          <w:p w:rsidR="00981EEE" w:rsidRPr="005C4B16" w:rsidRDefault="00981EEE" w:rsidP="0046730C">
            <w:pPr>
              <w:pStyle w:val="Tableheading"/>
              <w:jc w:val="center"/>
            </w:pPr>
            <w:r w:rsidRPr="005C4B16">
              <w:t>2016-17</w:t>
            </w:r>
          </w:p>
          <w:p w:rsidR="00981EEE" w:rsidRPr="005C4B16" w:rsidRDefault="00981EEE" w:rsidP="0046730C">
            <w:pPr>
              <w:pStyle w:val="Tableheading"/>
              <w:jc w:val="center"/>
            </w:pPr>
            <w:r w:rsidRPr="005C4B16">
              <w:t>Published Budget</w:t>
            </w:r>
          </w:p>
          <w:p w:rsidR="00981EEE" w:rsidRPr="005C4B16" w:rsidRDefault="00981EEE" w:rsidP="0046730C">
            <w:pPr>
              <w:pStyle w:val="Tableheading"/>
              <w:jc w:val="center"/>
            </w:pPr>
            <w:r w:rsidRPr="005C4B16">
              <w:t>$m</w:t>
            </w:r>
          </w:p>
        </w:tc>
      </w:tr>
      <w:tr w:rsidR="00981EEE" w:rsidRPr="005C4B16" w:rsidTr="00981EEE">
        <w:trPr>
          <w:trHeight w:val="292"/>
        </w:trPr>
        <w:tc>
          <w:tcPr>
            <w:tcW w:w="4026" w:type="dxa"/>
            <w:noWrap/>
            <w:vAlign w:val="center"/>
          </w:tcPr>
          <w:p w:rsidR="00981EEE" w:rsidRPr="005C4B16" w:rsidRDefault="00981EEE" w:rsidP="0046730C">
            <w:pPr>
              <w:pStyle w:val="Tabletext"/>
            </w:pPr>
            <w:r w:rsidRPr="005C4B16">
              <w:t>Supreme Court</w:t>
            </w:r>
          </w:p>
        </w:tc>
        <w:tc>
          <w:tcPr>
            <w:tcW w:w="2166" w:type="dxa"/>
          </w:tcPr>
          <w:p w:rsidR="00981EEE" w:rsidRPr="005C4B16" w:rsidRDefault="00981EEE" w:rsidP="0046730C">
            <w:pPr>
              <w:pStyle w:val="Tabletext"/>
              <w:jc w:val="right"/>
            </w:pPr>
            <w:r w:rsidRPr="005C4B16">
              <w:t>69.3</w:t>
            </w:r>
          </w:p>
        </w:tc>
      </w:tr>
      <w:tr w:rsidR="00981EEE" w:rsidRPr="005C4B16" w:rsidTr="00981EEE">
        <w:trPr>
          <w:trHeight w:val="292"/>
        </w:trPr>
        <w:tc>
          <w:tcPr>
            <w:tcW w:w="4026" w:type="dxa"/>
            <w:noWrap/>
            <w:vAlign w:val="center"/>
          </w:tcPr>
          <w:p w:rsidR="00981EEE" w:rsidRPr="005C4B16" w:rsidRDefault="00981EEE" w:rsidP="0046730C">
            <w:pPr>
              <w:pStyle w:val="Tabletext"/>
            </w:pPr>
            <w:r w:rsidRPr="005C4B16">
              <w:t>County Court</w:t>
            </w:r>
          </w:p>
        </w:tc>
        <w:tc>
          <w:tcPr>
            <w:tcW w:w="2166" w:type="dxa"/>
          </w:tcPr>
          <w:p w:rsidR="00981EEE" w:rsidRPr="005C4B16" w:rsidRDefault="00981EEE" w:rsidP="0046730C">
            <w:pPr>
              <w:pStyle w:val="Tabletext"/>
              <w:jc w:val="right"/>
            </w:pPr>
            <w:r w:rsidRPr="005C4B16">
              <w:t>83.8</w:t>
            </w:r>
          </w:p>
        </w:tc>
      </w:tr>
      <w:tr w:rsidR="00981EEE" w:rsidRPr="005C4B16" w:rsidTr="00981EEE">
        <w:trPr>
          <w:trHeight w:val="292"/>
        </w:trPr>
        <w:tc>
          <w:tcPr>
            <w:tcW w:w="4026" w:type="dxa"/>
            <w:noWrap/>
            <w:vAlign w:val="center"/>
          </w:tcPr>
          <w:p w:rsidR="00981EEE" w:rsidRPr="005C4B16" w:rsidRDefault="00981EEE" w:rsidP="0046730C">
            <w:pPr>
              <w:pStyle w:val="Tabletext"/>
            </w:pPr>
            <w:r w:rsidRPr="005C4B16">
              <w:t xml:space="preserve">Magistrates’ Court </w:t>
            </w:r>
          </w:p>
        </w:tc>
        <w:tc>
          <w:tcPr>
            <w:tcW w:w="2166" w:type="dxa"/>
          </w:tcPr>
          <w:p w:rsidR="00981EEE" w:rsidRPr="005C4B16" w:rsidRDefault="00981EEE" w:rsidP="0046730C">
            <w:pPr>
              <w:pStyle w:val="Tabletext"/>
              <w:jc w:val="right"/>
            </w:pPr>
            <w:r w:rsidRPr="005C4B16">
              <w:t>135.4</w:t>
            </w:r>
          </w:p>
        </w:tc>
      </w:tr>
      <w:tr w:rsidR="00981EEE" w:rsidRPr="005C4B16" w:rsidTr="00981EEE">
        <w:trPr>
          <w:trHeight w:val="246"/>
        </w:trPr>
        <w:tc>
          <w:tcPr>
            <w:tcW w:w="4026" w:type="dxa"/>
            <w:noWrap/>
            <w:vAlign w:val="center"/>
          </w:tcPr>
          <w:p w:rsidR="00981EEE" w:rsidRPr="005C4B16" w:rsidRDefault="00981EEE" w:rsidP="0046730C">
            <w:pPr>
              <w:pStyle w:val="Tabletext"/>
            </w:pPr>
            <w:r w:rsidRPr="005C4B16">
              <w:t>VCAT</w:t>
            </w:r>
          </w:p>
        </w:tc>
        <w:tc>
          <w:tcPr>
            <w:tcW w:w="2166" w:type="dxa"/>
          </w:tcPr>
          <w:p w:rsidR="00981EEE" w:rsidRPr="005C4B16" w:rsidRDefault="00981EEE" w:rsidP="0046730C">
            <w:pPr>
              <w:pStyle w:val="Tabletext"/>
              <w:jc w:val="right"/>
            </w:pPr>
            <w:r w:rsidRPr="005C4B16">
              <w:t>43.3</w:t>
            </w:r>
          </w:p>
        </w:tc>
      </w:tr>
      <w:tr w:rsidR="00981EEE" w:rsidRPr="005C4B16" w:rsidTr="00981EEE">
        <w:trPr>
          <w:trHeight w:val="292"/>
        </w:trPr>
        <w:tc>
          <w:tcPr>
            <w:tcW w:w="4026" w:type="dxa"/>
            <w:noWrap/>
            <w:vAlign w:val="center"/>
          </w:tcPr>
          <w:p w:rsidR="00981EEE" w:rsidRPr="005C4B16" w:rsidRDefault="00981EEE" w:rsidP="0046730C">
            <w:pPr>
              <w:pStyle w:val="Tabletext"/>
            </w:pPr>
            <w:r w:rsidRPr="005C4B16">
              <w:t xml:space="preserve">Children’s Court </w:t>
            </w:r>
          </w:p>
        </w:tc>
        <w:tc>
          <w:tcPr>
            <w:tcW w:w="2166" w:type="dxa"/>
          </w:tcPr>
          <w:p w:rsidR="00981EEE" w:rsidRPr="005C4B16" w:rsidRDefault="00981EEE" w:rsidP="0046730C">
            <w:pPr>
              <w:pStyle w:val="Tabletext"/>
              <w:jc w:val="right"/>
            </w:pPr>
            <w:r w:rsidRPr="005C4B16">
              <w:t>19.3</w:t>
            </w:r>
          </w:p>
        </w:tc>
      </w:tr>
      <w:tr w:rsidR="00981EEE" w:rsidRPr="005C4B16" w:rsidTr="00981EEE">
        <w:trPr>
          <w:trHeight w:val="292"/>
        </w:trPr>
        <w:tc>
          <w:tcPr>
            <w:tcW w:w="4026" w:type="dxa"/>
            <w:noWrap/>
            <w:vAlign w:val="center"/>
          </w:tcPr>
          <w:p w:rsidR="00981EEE" w:rsidRPr="005C4B16" w:rsidRDefault="005779A1" w:rsidP="0046730C">
            <w:pPr>
              <w:pStyle w:val="Tabletext"/>
            </w:pPr>
            <w:r w:rsidRPr="005C4B16">
              <w:t>Coroner</w:t>
            </w:r>
            <w:r w:rsidR="00981EEE" w:rsidRPr="005C4B16">
              <w:t xml:space="preserve">s Court </w:t>
            </w:r>
          </w:p>
        </w:tc>
        <w:tc>
          <w:tcPr>
            <w:tcW w:w="2166" w:type="dxa"/>
          </w:tcPr>
          <w:p w:rsidR="00981EEE" w:rsidRPr="005C4B16" w:rsidRDefault="00981EEE" w:rsidP="0046730C">
            <w:pPr>
              <w:pStyle w:val="Tabletext"/>
              <w:jc w:val="right"/>
            </w:pPr>
            <w:r w:rsidRPr="005C4B16">
              <w:t>15.8</w:t>
            </w:r>
          </w:p>
        </w:tc>
      </w:tr>
      <w:tr w:rsidR="00981EEE" w:rsidRPr="005C4B16" w:rsidTr="00981EEE">
        <w:trPr>
          <w:trHeight w:val="292"/>
        </w:trPr>
        <w:tc>
          <w:tcPr>
            <w:tcW w:w="4026" w:type="dxa"/>
            <w:noWrap/>
            <w:vAlign w:val="center"/>
          </w:tcPr>
          <w:p w:rsidR="00981EEE" w:rsidRPr="005C4B16" w:rsidRDefault="00981EEE" w:rsidP="0046730C">
            <w:pPr>
              <w:pStyle w:val="Tabletext"/>
            </w:pPr>
            <w:r w:rsidRPr="005C4B16">
              <w:t>Judicial College of Victoria</w:t>
            </w:r>
          </w:p>
        </w:tc>
        <w:tc>
          <w:tcPr>
            <w:tcW w:w="2166" w:type="dxa"/>
          </w:tcPr>
          <w:p w:rsidR="00981EEE" w:rsidRPr="005C4B16" w:rsidRDefault="00981EEE" w:rsidP="0046730C">
            <w:pPr>
              <w:pStyle w:val="Tabletext"/>
              <w:jc w:val="right"/>
            </w:pPr>
            <w:r w:rsidRPr="005C4B16">
              <w:t>2.3</w:t>
            </w:r>
          </w:p>
        </w:tc>
      </w:tr>
      <w:tr w:rsidR="00981EEE" w:rsidRPr="005C4B16" w:rsidTr="005779A1">
        <w:trPr>
          <w:trHeight w:val="292"/>
        </w:trPr>
        <w:tc>
          <w:tcPr>
            <w:tcW w:w="4026" w:type="dxa"/>
            <w:tcBorders>
              <w:bottom w:val="single" w:sz="4" w:space="0" w:color="auto"/>
            </w:tcBorders>
            <w:noWrap/>
            <w:vAlign w:val="center"/>
          </w:tcPr>
          <w:p w:rsidR="00981EEE" w:rsidRPr="005C4B16" w:rsidRDefault="00981EEE" w:rsidP="0046730C">
            <w:pPr>
              <w:pStyle w:val="Tabletext"/>
            </w:pPr>
            <w:r w:rsidRPr="005C4B16">
              <w:t>Jurisdiction Services</w:t>
            </w:r>
          </w:p>
        </w:tc>
        <w:tc>
          <w:tcPr>
            <w:tcW w:w="2166" w:type="dxa"/>
            <w:tcBorders>
              <w:bottom w:val="single" w:sz="4" w:space="0" w:color="auto"/>
            </w:tcBorders>
          </w:tcPr>
          <w:p w:rsidR="00981EEE" w:rsidRPr="005C4B16" w:rsidRDefault="00981EEE" w:rsidP="0046730C">
            <w:pPr>
              <w:pStyle w:val="Tabletext"/>
              <w:jc w:val="right"/>
            </w:pPr>
            <w:r w:rsidRPr="005C4B16">
              <w:t>117.7</w:t>
            </w:r>
          </w:p>
        </w:tc>
      </w:tr>
      <w:tr w:rsidR="00981EEE" w:rsidRPr="005C4B16" w:rsidTr="005779A1">
        <w:trPr>
          <w:trHeight w:val="292"/>
        </w:trPr>
        <w:tc>
          <w:tcPr>
            <w:tcW w:w="4026" w:type="dxa"/>
            <w:shd w:val="pct25" w:color="auto" w:fill="auto"/>
            <w:noWrap/>
            <w:vAlign w:val="center"/>
          </w:tcPr>
          <w:p w:rsidR="00981EEE" w:rsidRPr="005C4B16" w:rsidRDefault="00981EEE" w:rsidP="0046730C">
            <w:pPr>
              <w:pStyle w:val="Tabletext"/>
              <w:rPr>
                <w:b/>
              </w:rPr>
            </w:pPr>
            <w:r w:rsidRPr="005C4B16">
              <w:rPr>
                <w:b/>
              </w:rPr>
              <w:t>Total CSV</w:t>
            </w:r>
          </w:p>
        </w:tc>
        <w:tc>
          <w:tcPr>
            <w:tcW w:w="2166" w:type="dxa"/>
            <w:shd w:val="pct25" w:color="auto" w:fill="auto"/>
          </w:tcPr>
          <w:p w:rsidR="00981EEE" w:rsidRPr="005C4B16" w:rsidRDefault="00981EEE" w:rsidP="0046730C">
            <w:pPr>
              <w:pStyle w:val="Tabletext"/>
              <w:jc w:val="right"/>
              <w:rPr>
                <w:b/>
              </w:rPr>
            </w:pPr>
            <w:r w:rsidRPr="005C4B16">
              <w:rPr>
                <w:b/>
              </w:rPr>
              <w:fldChar w:fldCharType="begin"/>
            </w:r>
            <w:r w:rsidRPr="005C4B16">
              <w:rPr>
                <w:b/>
              </w:rPr>
              <w:instrText xml:space="preserve"> =SUM(ABOVE) </w:instrText>
            </w:r>
            <w:r w:rsidRPr="005C4B16">
              <w:rPr>
                <w:b/>
              </w:rPr>
              <w:fldChar w:fldCharType="separate"/>
            </w:r>
            <w:r w:rsidRPr="005C4B16">
              <w:rPr>
                <w:b/>
                <w:noProof/>
              </w:rPr>
              <w:t>486.9</w:t>
            </w:r>
            <w:r w:rsidRPr="005C4B16">
              <w:rPr>
                <w:b/>
              </w:rPr>
              <w:fldChar w:fldCharType="end"/>
            </w:r>
          </w:p>
        </w:tc>
      </w:tr>
    </w:tbl>
    <w:p w:rsidR="005E4D7E" w:rsidRDefault="005E4D7E" w:rsidP="005E4D7E">
      <w:pPr>
        <w:rPr>
          <w:rFonts w:eastAsia="Times New Roman"/>
          <w:b/>
          <w:bCs/>
          <w:sz w:val="24"/>
          <w:szCs w:val="26"/>
        </w:rPr>
      </w:pPr>
    </w:p>
    <w:p w:rsidR="00D1670D" w:rsidRDefault="009333D5" w:rsidP="00D1670D">
      <w:pPr>
        <w:pStyle w:val="Heading3"/>
      </w:pPr>
      <w:r>
        <w:br w:type="page"/>
      </w:r>
      <w:r w:rsidR="005779A1" w:rsidRPr="005E4D7E">
        <w:lastRenderedPageBreak/>
        <w:t>Disclosure of Grants and Transfer Payments</w:t>
      </w:r>
      <w:r w:rsidR="005E4D7E" w:rsidRPr="005E4D7E">
        <w:t xml:space="preserve"> (other than contributions by owners)</w:t>
      </w:r>
      <w:r w:rsidR="005779A1" w:rsidRPr="004A16EA">
        <w:t xml:space="preserve"> </w:t>
      </w:r>
    </w:p>
    <w:p w:rsidR="005E4D7E" w:rsidRPr="005E4D7E" w:rsidRDefault="005E4D7E" w:rsidP="005E4D7E">
      <w:pPr>
        <w:keepNext/>
        <w:spacing w:before="240" w:after="240"/>
        <w:outlineLvl w:val="2"/>
        <w:rPr>
          <w:rFonts w:eastAsia="Times New Roman"/>
          <w:b/>
          <w:bCs/>
          <w:sz w:val="24"/>
          <w:szCs w:val="26"/>
        </w:rPr>
      </w:pPr>
      <w:r w:rsidRPr="00A176DF">
        <w:rPr>
          <w:color w:val="000000"/>
        </w:rPr>
        <w:t xml:space="preserve">CSV has provided assistance to certain companies and organisations. Financial assistance provided in 2016-17 is detailed below. </w:t>
      </w:r>
    </w:p>
    <w:p w:rsidR="005E4D7E" w:rsidRPr="00A176DF" w:rsidRDefault="005E4D7E" w:rsidP="00D1670D">
      <w:pPr>
        <w:pStyle w:val="Caption"/>
      </w:pPr>
      <w:r w:rsidRPr="00A176DF">
        <w:t>Table 4: Grant and other transfer payments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0" w:type="dxa"/>
        </w:tblCellMar>
        <w:tblLook w:val="04A0" w:firstRow="1" w:lastRow="0" w:firstColumn="1" w:lastColumn="0" w:noHBand="0" w:noVBand="1"/>
      </w:tblPr>
      <w:tblGrid>
        <w:gridCol w:w="3223"/>
        <w:gridCol w:w="4743"/>
        <w:gridCol w:w="1682"/>
      </w:tblGrid>
      <w:tr w:rsidR="005E4D7E" w:rsidRPr="00D1670D" w:rsidTr="00D1670D">
        <w:tc>
          <w:tcPr>
            <w:tcW w:w="3223" w:type="dxa"/>
            <w:shd w:val="pct25" w:color="auto" w:fill="auto"/>
          </w:tcPr>
          <w:p w:rsidR="005E4D7E" w:rsidRPr="00D1670D" w:rsidRDefault="005E4D7E" w:rsidP="005C4B16">
            <w:pPr>
              <w:autoSpaceDE w:val="0"/>
              <w:autoSpaceDN w:val="0"/>
              <w:adjustRightInd w:val="0"/>
              <w:rPr>
                <w:b/>
                <w:sz w:val="20"/>
                <w:szCs w:val="20"/>
              </w:rPr>
            </w:pPr>
            <w:r w:rsidRPr="00D1670D">
              <w:rPr>
                <w:b/>
                <w:sz w:val="20"/>
                <w:szCs w:val="20"/>
              </w:rPr>
              <w:t xml:space="preserve">Organisation </w:t>
            </w:r>
          </w:p>
        </w:tc>
        <w:tc>
          <w:tcPr>
            <w:tcW w:w="4743" w:type="dxa"/>
            <w:shd w:val="pct25" w:color="auto" w:fill="auto"/>
          </w:tcPr>
          <w:p w:rsidR="005E4D7E" w:rsidRPr="00D1670D" w:rsidRDefault="005E4D7E" w:rsidP="005C4B16">
            <w:pPr>
              <w:rPr>
                <w:b/>
                <w:sz w:val="20"/>
                <w:szCs w:val="20"/>
              </w:rPr>
            </w:pPr>
            <w:r w:rsidRPr="00D1670D">
              <w:rPr>
                <w:b/>
                <w:sz w:val="20"/>
                <w:szCs w:val="20"/>
              </w:rPr>
              <w:t>Nature of Grant and Other Transfer Payment</w:t>
            </w:r>
          </w:p>
        </w:tc>
        <w:tc>
          <w:tcPr>
            <w:tcW w:w="1682" w:type="dxa"/>
            <w:shd w:val="pct25" w:color="auto" w:fill="auto"/>
          </w:tcPr>
          <w:p w:rsidR="005E4D7E" w:rsidRPr="00D1670D" w:rsidRDefault="005E4D7E" w:rsidP="005C4B16">
            <w:pPr>
              <w:rPr>
                <w:b/>
                <w:sz w:val="20"/>
                <w:szCs w:val="20"/>
              </w:rPr>
            </w:pPr>
            <w:r w:rsidRPr="00D1670D">
              <w:rPr>
                <w:b/>
                <w:sz w:val="20"/>
                <w:szCs w:val="20"/>
              </w:rPr>
              <w:t>Expenditure (exc. GST) $</w:t>
            </w:r>
          </w:p>
        </w:tc>
      </w:tr>
      <w:tr w:rsidR="005E4D7E" w:rsidRPr="00D1670D" w:rsidTr="00D1670D">
        <w:tc>
          <w:tcPr>
            <w:tcW w:w="3223" w:type="dxa"/>
            <w:shd w:val="clear" w:color="auto" w:fill="auto"/>
          </w:tcPr>
          <w:p w:rsidR="005E4D7E" w:rsidRPr="00D1670D" w:rsidRDefault="005E4D7E" w:rsidP="005C4B16">
            <w:pPr>
              <w:rPr>
                <w:b/>
                <w:color w:val="000000"/>
                <w:sz w:val="20"/>
                <w:szCs w:val="20"/>
              </w:rPr>
            </w:pPr>
            <w:r w:rsidRPr="00D1670D">
              <w:rPr>
                <w:sz w:val="20"/>
                <w:szCs w:val="20"/>
              </w:rPr>
              <w:t>Australian Bureau of Statistics</w:t>
            </w:r>
          </w:p>
        </w:tc>
        <w:tc>
          <w:tcPr>
            <w:tcW w:w="4743" w:type="dxa"/>
            <w:shd w:val="clear" w:color="auto" w:fill="auto"/>
          </w:tcPr>
          <w:p w:rsidR="005E4D7E" w:rsidRPr="00D1670D" w:rsidRDefault="005E4D7E" w:rsidP="005C4B16">
            <w:pPr>
              <w:rPr>
                <w:b/>
                <w:color w:val="000000"/>
                <w:sz w:val="20"/>
                <w:szCs w:val="20"/>
              </w:rPr>
            </w:pPr>
            <w:r w:rsidRPr="00D1670D">
              <w:rPr>
                <w:sz w:val="20"/>
                <w:szCs w:val="20"/>
              </w:rPr>
              <w:t>National Criminal Courts Statistics Unit Inter-Governmental Agreement</w:t>
            </w:r>
          </w:p>
        </w:tc>
        <w:tc>
          <w:tcPr>
            <w:tcW w:w="1682" w:type="dxa"/>
            <w:shd w:val="clear" w:color="auto" w:fill="auto"/>
          </w:tcPr>
          <w:p w:rsidR="005E4D7E" w:rsidRPr="00D1670D" w:rsidRDefault="005E4D7E" w:rsidP="00D1670D">
            <w:pPr>
              <w:jc w:val="right"/>
              <w:rPr>
                <w:b/>
                <w:color w:val="000000"/>
                <w:sz w:val="20"/>
                <w:szCs w:val="20"/>
              </w:rPr>
            </w:pPr>
            <w:r w:rsidRPr="00D1670D">
              <w:rPr>
                <w:sz w:val="20"/>
                <w:szCs w:val="20"/>
              </w:rPr>
              <w:t>75,699</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 xml:space="preserve">Belgium Avenue Neighbourhood House </w:t>
            </w:r>
          </w:p>
        </w:tc>
        <w:tc>
          <w:tcPr>
            <w:tcW w:w="4743" w:type="dxa"/>
            <w:shd w:val="clear" w:color="auto" w:fill="auto"/>
          </w:tcPr>
          <w:p w:rsidR="005E4D7E" w:rsidRPr="00D1670D" w:rsidRDefault="005E4D7E" w:rsidP="005C4B16">
            <w:pPr>
              <w:rPr>
                <w:sz w:val="20"/>
                <w:szCs w:val="20"/>
              </w:rPr>
            </w:pPr>
            <w:r w:rsidRPr="00D1670D">
              <w:rPr>
                <w:sz w:val="20"/>
                <w:szCs w:val="20"/>
              </w:rPr>
              <w:t xml:space="preserve">Community Conversion Grant for the Community Engagement and Crime Prevention Project </w:t>
            </w:r>
          </w:p>
        </w:tc>
        <w:tc>
          <w:tcPr>
            <w:tcW w:w="1682" w:type="dxa"/>
            <w:shd w:val="clear" w:color="auto" w:fill="auto"/>
          </w:tcPr>
          <w:p w:rsidR="005E4D7E" w:rsidRPr="00D1670D" w:rsidRDefault="005E4D7E" w:rsidP="00D1670D">
            <w:pPr>
              <w:jc w:val="right"/>
              <w:rPr>
                <w:sz w:val="20"/>
                <w:szCs w:val="20"/>
              </w:rPr>
            </w:pPr>
            <w:r w:rsidRPr="00D1670D">
              <w:rPr>
                <w:sz w:val="20"/>
                <w:szCs w:val="20"/>
              </w:rPr>
              <w:t>5,000</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Child Rights International</w:t>
            </w:r>
          </w:p>
        </w:tc>
        <w:tc>
          <w:tcPr>
            <w:tcW w:w="4743" w:type="dxa"/>
            <w:shd w:val="clear" w:color="auto" w:fill="auto"/>
          </w:tcPr>
          <w:p w:rsidR="005E4D7E" w:rsidRPr="00D1670D" w:rsidRDefault="005E4D7E" w:rsidP="005C4B16">
            <w:pPr>
              <w:rPr>
                <w:sz w:val="20"/>
                <w:szCs w:val="20"/>
              </w:rPr>
            </w:pPr>
            <w:r w:rsidRPr="00D1670D">
              <w:rPr>
                <w:sz w:val="20"/>
                <w:szCs w:val="20"/>
              </w:rPr>
              <w:t>Translation and Pilot Contribution for Community Justice Practices in Cambodia</w:t>
            </w:r>
          </w:p>
        </w:tc>
        <w:tc>
          <w:tcPr>
            <w:tcW w:w="1682" w:type="dxa"/>
            <w:shd w:val="clear" w:color="auto" w:fill="auto"/>
          </w:tcPr>
          <w:p w:rsidR="005E4D7E" w:rsidRPr="00D1670D" w:rsidRDefault="005E4D7E" w:rsidP="00D1670D">
            <w:pPr>
              <w:jc w:val="right"/>
              <w:rPr>
                <w:sz w:val="20"/>
                <w:szCs w:val="20"/>
              </w:rPr>
            </w:pPr>
            <w:r w:rsidRPr="00D1670D">
              <w:rPr>
                <w:sz w:val="20"/>
                <w:szCs w:val="20"/>
              </w:rPr>
              <w:t>15,000</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Court Network</w:t>
            </w:r>
          </w:p>
        </w:tc>
        <w:tc>
          <w:tcPr>
            <w:tcW w:w="4743" w:type="dxa"/>
            <w:shd w:val="clear" w:color="auto" w:fill="auto"/>
          </w:tcPr>
          <w:p w:rsidR="005E4D7E" w:rsidRPr="00D1670D" w:rsidRDefault="005E4D7E" w:rsidP="005C4B16">
            <w:pPr>
              <w:rPr>
                <w:sz w:val="20"/>
                <w:szCs w:val="20"/>
              </w:rPr>
            </w:pPr>
            <w:r w:rsidRPr="00D1670D">
              <w:rPr>
                <w:sz w:val="20"/>
                <w:szCs w:val="20"/>
              </w:rPr>
              <w:t>Court Services Network Agreement</w:t>
            </w:r>
          </w:p>
        </w:tc>
        <w:tc>
          <w:tcPr>
            <w:tcW w:w="1682" w:type="dxa"/>
            <w:shd w:val="clear" w:color="auto" w:fill="auto"/>
          </w:tcPr>
          <w:p w:rsidR="005E4D7E" w:rsidRPr="00D1670D" w:rsidRDefault="005E4D7E" w:rsidP="00D1670D">
            <w:pPr>
              <w:jc w:val="right"/>
              <w:rPr>
                <w:sz w:val="20"/>
                <w:szCs w:val="20"/>
              </w:rPr>
            </w:pPr>
            <w:r w:rsidRPr="00D1670D">
              <w:rPr>
                <w:sz w:val="20"/>
                <w:szCs w:val="20"/>
              </w:rPr>
              <w:t>857,252</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Department of Health and Human Services</w:t>
            </w:r>
          </w:p>
        </w:tc>
        <w:tc>
          <w:tcPr>
            <w:tcW w:w="4743" w:type="dxa"/>
            <w:shd w:val="clear" w:color="auto" w:fill="auto"/>
          </w:tcPr>
          <w:p w:rsidR="005E4D7E" w:rsidRPr="00D1670D" w:rsidRDefault="005E4D7E" w:rsidP="005C4B16">
            <w:pPr>
              <w:rPr>
                <w:sz w:val="20"/>
                <w:szCs w:val="20"/>
              </w:rPr>
            </w:pPr>
            <w:r w:rsidRPr="00D1670D">
              <w:rPr>
                <w:sz w:val="20"/>
                <w:szCs w:val="20"/>
              </w:rPr>
              <w:t>Alcohol and Other Drug Treatment Services for Participants of the Court Integrated Service Program</w:t>
            </w:r>
          </w:p>
        </w:tc>
        <w:tc>
          <w:tcPr>
            <w:tcW w:w="1682" w:type="dxa"/>
            <w:shd w:val="clear" w:color="auto" w:fill="auto"/>
          </w:tcPr>
          <w:p w:rsidR="005E4D7E" w:rsidRPr="00D1670D" w:rsidRDefault="005E4D7E" w:rsidP="00D1670D">
            <w:pPr>
              <w:jc w:val="right"/>
              <w:rPr>
                <w:sz w:val="20"/>
                <w:szCs w:val="20"/>
              </w:rPr>
            </w:pPr>
            <w:r w:rsidRPr="00D1670D">
              <w:rPr>
                <w:sz w:val="20"/>
                <w:szCs w:val="20"/>
              </w:rPr>
              <w:t>373,743</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Department of Health and Human Services</w:t>
            </w:r>
          </w:p>
        </w:tc>
        <w:tc>
          <w:tcPr>
            <w:tcW w:w="4743" w:type="dxa"/>
            <w:shd w:val="clear" w:color="auto" w:fill="auto"/>
          </w:tcPr>
          <w:p w:rsidR="005E4D7E" w:rsidRPr="00D1670D" w:rsidRDefault="005E4D7E" w:rsidP="005C4B16">
            <w:pPr>
              <w:rPr>
                <w:sz w:val="20"/>
                <w:szCs w:val="20"/>
              </w:rPr>
            </w:pPr>
            <w:r w:rsidRPr="00D1670D">
              <w:rPr>
                <w:sz w:val="20"/>
                <w:szCs w:val="20"/>
              </w:rPr>
              <w:t>Leasing Arrangements for Properties to House the Homeless</w:t>
            </w:r>
          </w:p>
        </w:tc>
        <w:tc>
          <w:tcPr>
            <w:tcW w:w="1682" w:type="dxa"/>
            <w:shd w:val="clear" w:color="auto" w:fill="auto"/>
          </w:tcPr>
          <w:p w:rsidR="005E4D7E" w:rsidRPr="00D1670D" w:rsidRDefault="005E4D7E" w:rsidP="00D1670D">
            <w:pPr>
              <w:jc w:val="right"/>
              <w:rPr>
                <w:sz w:val="20"/>
                <w:szCs w:val="20"/>
              </w:rPr>
            </w:pPr>
            <w:r w:rsidRPr="00D1670D">
              <w:rPr>
                <w:sz w:val="20"/>
                <w:szCs w:val="20"/>
              </w:rPr>
              <w:t>1,346,963</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Department of Health and Human Services</w:t>
            </w:r>
          </w:p>
        </w:tc>
        <w:tc>
          <w:tcPr>
            <w:tcW w:w="4743" w:type="dxa"/>
            <w:shd w:val="clear" w:color="auto" w:fill="auto"/>
          </w:tcPr>
          <w:p w:rsidR="005E4D7E" w:rsidRPr="00D1670D" w:rsidRDefault="005E4D7E" w:rsidP="005C4B16">
            <w:pPr>
              <w:rPr>
                <w:sz w:val="20"/>
                <w:szCs w:val="20"/>
              </w:rPr>
            </w:pPr>
            <w:r w:rsidRPr="00D1670D">
              <w:rPr>
                <w:sz w:val="20"/>
                <w:szCs w:val="20"/>
              </w:rPr>
              <w:t>Neighbourhood Justice Centre Program</w:t>
            </w:r>
          </w:p>
        </w:tc>
        <w:tc>
          <w:tcPr>
            <w:tcW w:w="1682" w:type="dxa"/>
            <w:shd w:val="clear" w:color="auto" w:fill="auto"/>
          </w:tcPr>
          <w:p w:rsidR="005E4D7E" w:rsidRPr="00D1670D" w:rsidRDefault="005E4D7E" w:rsidP="00D1670D">
            <w:pPr>
              <w:jc w:val="right"/>
              <w:rPr>
                <w:sz w:val="20"/>
                <w:szCs w:val="20"/>
              </w:rPr>
            </w:pPr>
            <w:r w:rsidRPr="00D1670D">
              <w:rPr>
                <w:sz w:val="20"/>
                <w:szCs w:val="20"/>
              </w:rPr>
              <w:t>53,834</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Department of Justice and Regulation</w:t>
            </w:r>
          </w:p>
        </w:tc>
        <w:tc>
          <w:tcPr>
            <w:tcW w:w="4743" w:type="dxa"/>
            <w:shd w:val="clear" w:color="auto" w:fill="auto"/>
          </w:tcPr>
          <w:p w:rsidR="005E4D7E" w:rsidRPr="00D1670D" w:rsidRDefault="005E4D7E" w:rsidP="005C4B16">
            <w:pPr>
              <w:rPr>
                <w:sz w:val="20"/>
                <w:szCs w:val="20"/>
              </w:rPr>
            </w:pPr>
            <w:r w:rsidRPr="00D1670D">
              <w:rPr>
                <w:sz w:val="20"/>
                <w:szCs w:val="20"/>
              </w:rPr>
              <w:t>Coronial Council of Victoria Secretariat Support Funding 2016/17 for Reportable Deaths Project</w:t>
            </w:r>
          </w:p>
        </w:tc>
        <w:tc>
          <w:tcPr>
            <w:tcW w:w="1682" w:type="dxa"/>
            <w:shd w:val="clear" w:color="auto" w:fill="auto"/>
          </w:tcPr>
          <w:p w:rsidR="005E4D7E" w:rsidRPr="00D1670D" w:rsidRDefault="005E4D7E" w:rsidP="00D1670D">
            <w:pPr>
              <w:jc w:val="right"/>
              <w:rPr>
                <w:sz w:val="20"/>
                <w:szCs w:val="20"/>
              </w:rPr>
            </w:pPr>
            <w:r w:rsidRPr="00D1670D">
              <w:rPr>
                <w:sz w:val="20"/>
                <w:szCs w:val="20"/>
              </w:rPr>
              <w:t>700,000</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Department of Justice and Regulation</w:t>
            </w:r>
          </w:p>
        </w:tc>
        <w:tc>
          <w:tcPr>
            <w:tcW w:w="4743" w:type="dxa"/>
            <w:shd w:val="clear" w:color="auto" w:fill="auto"/>
          </w:tcPr>
          <w:p w:rsidR="005E4D7E" w:rsidRPr="00D1670D" w:rsidRDefault="005E4D7E" w:rsidP="005C4B16">
            <w:pPr>
              <w:rPr>
                <w:sz w:val="20"/>
                <w:szCs w:val="20"/>
              </w:rPr>
            </w:pPr>
            <w:r w:rsidRPr="00D1670D">
              <w:rPr>
                <w:sz w:val="20"/>
                <w:szCs w:val="20"/>
              </w:rPr>
              <w:t>Correctional Services Funding Contribution</w:t>
            </w:r>
          </w:p>
        </w:tc>
        <w:tc>
          <w:tcPr>
            <w:tcW w:w="1682" w:type="dxa"/>
            <w:shd w:val="clear" w:color="auto" w:fill="auto"/>
          </w:tcPr>
          <w:p w:rsidR="005E4D7E" w:rsidRPr="00D1670D" w:rsidRDefault="005E4D7E" w:rsidP="00D1670D">
            <w:pPr>
              <w:jc w:val="right"/>
              <w:rPr>
                <w:sz w:val="20"/>
                <w:szCs w:val="20"/>
              </w:rPr>
            </w:pPr>
            <w:r w:rsidRPr="00D1670D">
              <w:rPr>
                <w:sz w:val="20"/>
                <w:szCs w:val="20"/>
              </w:rPr>
              <w:t>107,025</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Forensicare</w:t>
            </w:r>
          </w:p>
        </w:tc>
        <w:tc>
          <w:tcPr>
            <w:tcW w:w="4743" w:type="dxa"/>
            <w:shd w:val="clear" w:color="auto" w:fill="auto"/>
          </w:tcPr>
          <w:p w:rsidR="005E4D7E" w:rsidRPr="00D1670D" w:rsidRDefault="005E4D7E" w:rsidP="005C4B16">
            <w:pPr>
              <w:rPr>
                <w:sz w:val="20"/>
                <w:szCs w:val="20"/>
              </w:rPr>
            </w:pPr>
            <w:r w:rsidRPr="00D1670D">
              <w:rPr>
                <w:sz w:val="20"/>
                <w:szCs w:val="20"/>
              </w:rPr>
              <w:t>Contribution to Fund Mental Health Court Liaison Officer at Sunshine Magistrates Court</w:t>
            </w:r>
          </w:p>
        </w:tc>
        <w:tc>
          <w:tcPr>
            <w:tcW w:w="1682" w:type="dxa"/>
            <w:shd w:val="clear" w:color="auto" w:fill="auto"/>
          </w:tcPr>
          <w:p w:rsidR="005E4D7E" w:rsidRPr="00D1670D" w:rsidRDefault="005E4D7E" w:rsidP="00D1670D">
            <w:pPr>
              <w:jc w:val="right"/>
              <w:rPr>
                <w:sz w:val="20"/>
                <w:szCs w:val="20"/>
              </w:rPr>
            </w:pPr>
            <w:r w:rsidRPr="00D1670D">
              <w:rPr>
                <w:sz w:val="20"/>
                <w:szCs w:val="20"/>
              </w:rPr>
              <w:t>131,300</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Jesuit Social Services</w:t>
            </w:r>
          </w:p>
        </w:tc>
        <w:tc>
          <w:tcPr>
            <w:tcW w:w="4743" w:type="dxa"/>
            <w:shd w:val="clear" w:color="auto" w:fill="auto"/>
          </w:tcPr>
          <w:p w:rsidR="005E4D7E" w:rsidRPr="00D1670D" w:rsidRDefault="005E4D7E" w:rsidP="005C4B16">
            <w:pPr>
              <w:rPr>
                <w:sz w:val="20"/>
                <w:szCs w:val="20"/>
              </w:rPr>
            </w:pPr>
            <w:r w:rsidRPr="00D1670D">
              <w:rPr>
                <w:sz w:val="20"/>
                <w:szCs w:val="20"/>
              </w:rPr>
              <w:t xml:space="preserve">Adolescent Family Violence Restorative Pilot </w:t>
            </w:r>
          </w:p>
        </w:tc>
        <w:tc>
          <w:tcPr>
            <w:tcW w:w="1682" w:type="dxa"/>
            <w:shd w:val="clear" w:color="auto" w:fill="auto"/>
          </w:tcPr>
          <w:p w:rsidR="005E4D7E" w:rsidRPr="00D1670D" w:rsidRDefault="005E4D7E" w:rsidP="00D1670D">
            <w:pPr>
              <w:jc w:val="right"/>
              <w:rPr>
                <w:sz w:val="20"/>
                <w:szCs w:val="20"/>
              </w:rPr>
            </w:pPr>
            <w:r w:rsidRPr="00D1670D">
              <w:rPr>
                <w:sz w:val="20"/>
                <w:szCs w:val="20"/>
              </w:rPr>
              <w:t>20,000</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Jesuit Social Services</w:t>
            </w:r>
          </w:p>
        </w:tc>
        <w:tc>
          <w:tcPr>
            <w:tcW w:w="4743" w:type="dxa"/>
            <w:shd w:val="clear" w:color="auto" w:fill="auto"/>
          </w:tcPr>
          <w:p w:rsidR="005E4D7E" w:rsidRPr="00D1670D" w:rsidRDefault="005E4D7E" w:rsidP="005C4B16">
            <w:pPr>
              <w:rPr>
                <w:sz w:val="20"/>
                <w:szCs w:val="20"/>
              </w:rPr>
            </w:pPr>
            <w:r w:rsidRPr="00D1670D">
              <w:rPr>
                <w:sz w:val="20"/>
                <w:szCs w:val="20"/>
              </w:rPr>
              <w:t>Youth Diversion Pilot Program Funding</w:t>
            </w:r>
          </w:p>
        </w:tc>
        <w:tc>
          <w:tcPr>
            <w:tcW w:w="1682" w:type="dxa"/>
            <w:shd w:val="clear" w:color="auto" w:fill="auto"/>
          </w:tcPr>
          <w:p w:rsidR="005E4D7E" w:rsidRPr="00D1670D" w:rsidRDefault="005E4D7E" w:rsidP="00D1670D">
            <w:pPr>
              <w:jc w:val="right"/>
              <w:rPr>
                <w:sz w:val="20"/>
                <w:szCs w:val="20"/>
              </w:rPr>
            </w:pPr>
            <w:r w:rsidRPr="00D1670D">
              <w:rPr>
                <w:sz w:val="20"/>
                <w:szCs w:val="20"/>
              </w:rPr>
              <w:t>363,636</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Judicial College of Victoria</w:t>
            </w:r>
          </w:p>
        </w:tc>
        <w:tc>
          <w:tcPr>
            <w:tcW w:w="4743" w:type="dxa"/>
            <w:shd w:val="clear" w:color="auto" w:fill="auto"/>
          </w:tcPr>
          <w:p w:rsidR="005E4D7E" w:rsidRPr="00D1670D" w:rsidRDefault="005E4D7E" w:rsidP="005C4B16">
            <w:pPr>
              <w:rPr>
                <w:sz w:val="20"/>
                <w:szCs w:val="20"/>
              </w:rPr>
            </w:pPr>
            <w:r w:rsidRPr="00D1670D">
              <w:rPr>
                <w:sz w:val="20"/>
                <w:szCs w:val="20"/>
              </w:rPr>
              <w:t>2016-17 Output Appropriation Funding</w:t>
            </w:r>
          </w:p>
        </w:tc>
        <w:tc>
          <w:tcPr>
            <w:tcW w:w="1682" w:type="dxa"/>
            <w:shd w:val="clear" w:color="auto" w:fill="auto"/>
          </w:tcPr>
          <w:p w:rsidR="005E4D7E" w:rsidRPr="00D1670D" w:rsidRDefault="005E4D7E" w:rsidP="00D1670D">
            <w:pPr>
              <w:jc w:val="right"/>
              <w:rPr>
                <w:sz w:val="20"/>
                <w:szCs w:val="20"/>
              </w:rPr>
            </w:pPr>
            <w:r w:rsidRPr="00D1670D">
              <w:rPr>
                <w:sz w:val="20"/>
                <w:szCs w:val="20"/>
              </w:rPr>
              <w:t>2,459,400</w:t>
            </w:r>
          </w:p>
        </w:tc>
      </w:tr>
      <w:tr w:rsidR="005E4D7E" w:rsidRPr="00D1670D" w:rsidTr="00D1670D">
        <w:tc>
          <w:tcPr>
            <w:tcW w:w="3223" w:type="dxa"/>
            <w:shd w:val="clear" w:color="auto" w:fill="auto"/>
          </w:tcPr>
          <w:p w:rsidR="005E4D7E" w:rsidRPr="00D1670D" w:rsidRDefault="005E4D7E" w:rsidP="005C4B16">
            <w:pPr>
              <w:autoSpaceDE w:val="0"/>
              <w:autoSpaceDN w:val="0"/>
              <w:adjustRightInd w:val="0"/>
              <w:rPr>
                <w:sz w:val="20"/>
                <w:szCs w:val="20"/>
              </w:rPr>
            </w:pPr>
            <w:r w:rsidRPr="00D1670D">
              <w:rPr>
                <w:sz w:val="20"/>
                <w:szCs w:val="20"/>
              </w:rPr>
              <w:t>Launch Housing</w:t>
            </w:r>
          </w:p>
        </w:tc>
        <w:tc>
          <w:tcPr>
            <w:tcW w:w="4743" w:type="dxa"/>
            <w:shd w:val="clear" w:color="auto" w:fill="auto"/>
          </w:tcPr>
          <w:p w:rsidR="005E4D7E" w:rsidRPr="00D1670D" w:rsidRDefault="005E4D7E" w:rsidP="005C4B16">
            <w:pPr>
              <w:rPr>
                <w:sz w:val="20"/>
                <w:szCs w:val="20"/>
              </w:rPr>
            </w:pPr>
            <w:r w:rsidRPr="00D1670D">
              <w:rPr>
                <w:sz w:val="20"/>
                <w:szCs w:val="20"/>
              </w:rPr>
              <w:t>Justice Housing Support Program</w:t>
            </w:r>
          </w:p>
        </w:tc>
        <w:tc>
          <w:tcPr>
            <w:tcW w:w="1682" w:type="dxa"/>
            <w:shd w:val="clear" w:color="auto" w:fill="auto"/>
          </w:tcPr>
          <w:p w:rsidR="005E4D7E" w:rsidRPr="00D1670D" w:rsidRDefault="005E4D7E" w:rsidP="00D1670D">
            <w:pPr>
              <w:jc w:val="right"/>
              <w:rPr>
                <w:sz w:val="20"/>
                <w:szCs w:val="20"/>
              </w:rPr>
            </w:pPr>
            <w:r w:rsidRPr="00D1670D">
              <w:rPr>
                <w:sz w:val="20"/>
                <w:szCs w:val="20"/>
              </w:rPr>
              <w:t>957,666</w:t>
            </w:r>
          </w:p>
        </w:tc>
      </w:tr>
      <w:tr w:rsidR="005E4D7E" w:rsidRPr="00D1670D" w:rsidTr="00D1670D">
        <w:tc>
          <w:tcPr>
            <w:tcW w:w="3223" w:type="dxa"/>
            <w:shd w:val="clear" w:color="auto" w:fill="auto"/>
          </w:tcPr>
          <w:p w:rsidR="005E4D7E" w:rsidRPr="00D1670D" w:rsidRDefault="005E4D7E" w:rsidP="005C4B16">
            <w:pPr>
              <w:rPr>
                <w:sz w:val="20"/>
                <w:szCs w:val="20"/>
              </w:rPr>
            </w:pPr>
            <w:r w:rsidRPr="00D1670D">
              <w:rPr>
                <w:sz w:val="20"/>
                <w:szCs w:val="20"/>
              </w:rPr>
              <w:t>National Judicial College of Australia</w:t>
            </w:r>
          </w:p>
        </w:tc>
        <w:tc>
          <w:tcPr>
            <w:tcW w:w="4743" w:type="dxa"/>
            <w:shd w:val="clear" w:color="auto" w:fill="auto"/>
          </w:tcPr>
          <w:p w:rsidR="005E4D7E" w:rsidRPr="00D1670D" w:rsidRDefault="005E4D7E" w:rsidP="005C4B16">
            <w:pPr>
              <w:rPr>
                <w:sz w:val="20"/>
                <w:szCs w:val="20"/>
              </w:rPr>
            </w:pPr>
            <w:r w:rsidRPr="00D1670D">
              <w:rPr>
                <w:sz w:val="20"/>
                <w:szCs w:val="20"/>
              </w:rPr>
              <w:t>2016-17 Victoria Contribution</w:t>
            </w:r>
          </w:p>
        </w:tc>
        <w:tc>
          <w:tcPr>
            <w:tcW w:w="1682" w:type="dxa"/>
            <w:shd w:val="clear" w:color="auto" w:fill="auto"/>
          </w:tcPr>
          <w:p w:rsidR="005E4D7E" w:rsidRPr="00D1670D" w:rsidRDefault="005E4D7E" w:rsidP="00D1670D">
            <w:pPr>
              <w:jc w:val="right"/>
              <w:rPr>
                <w:sz w:val="20"/>
                <w:szCs w:val="20"/>
              </w:rPr>
            </w:pPr>
            <w:r w:rsidRPr="00D1670D">
              <w:rPr>
                <w:sz w:val="20"/>
                <w:szCs w:val="20"/>
              </w:rPr>
              <w:t>86,298</w:t>
            </w:r>
          </w:p>
        </w:tc>
      </w:tr>
      <w:tr w:rsidR="005E4D7E" w:rsidRPr="00D1670D" w:rsidTr="00D1670D">
        <w:tc>
          <w:tcPr>
            <w:tcW w:w="3223" w:type="dxa"/>
            <w:shd w:val="clear" w:color="auto" w:fill="auto"/>
          </w:tcPr>
          <w:p w:rsidR="005E4D7E" w:rsidRPr="00D1670D" w:rsidRDefault="005E4D7E" w:rsidP="005C4B16">
            <w:pPr>
              <w:rPr>
                <w:sz w:val="20"/>
                <w:szCs w:val="20"/>
              </w:rPr>
            </w:pPr>
            <w:r w:rsidRPr="00D1670D">
              <w:rPr>
                <w:sz w:val="20"/>
                <w:szCs w:val="20"/>
              </w:rPr>
              <w:t>Supreme Court Library</w:t>
            </w:r>
          </w:p>
        </w:tc>
        <w:tc>
          <w:tcPr>
            <w:tcW w:w="4743" w:type="dxa"/>
            <w:shd w:val="clear" w:color="auto" w:fill="auto"/>
          </w:tcPr>
          <w:p w:rsidR="005E4D7E" w:rsidRPr="00D1670D" w:rsidRDefault="005E4D7E" w:rsidP="005C4B16">
            <w:pPr>
              <w:rPr>
                <w:sz w:val="20"/>
                <w:szCs w:val="20"/>
              </w:rPr>
            </w:pPr>
            <w:r w:rsidRPr="00D1670D">
              <w:rPr>
                <w:sz w:val="20"/>
                <w:szCs w:val="20"/>
              </w:rPr>
              <w:t xml:space="preserve">2016-17 Publications and Services Contribution </w:t>
            </w:r>
          </w:p>
        </w:tc>
        <w:tc>
          <w:tcPr>
            <w:tcW w:w="1682" w:type="dxa"/>
            <w:shd w:val="clear" w:color="auto" w:fill="auto"/>
          </w:tcPr>
          <w:p w:rsidR="005E4D7E" w:rsidRPr="00D1670D" w:rsidRDefault="005E4D7E" w:rsidP="00D1670D">
            <w:pPr>
              <w:jc w:val="right"/>
              <w:rPr>
                <w:sz w:val="20"/>
                <w:szCs w:val="20"/>
              </w:rPr>
            </w:pPr>
            <w:r w:rsidRPr="00D1670D">
              <w:rPr>
                <w:sz w:val="20"/>
                <w:szCs w:val="20"/>
              </w:rPr>
              <w:t>925,381</w:t>
            </w:r>
          </w:p>
        </w:tc>
      </w:tr>
      <w:tr w:rsidR="005E4D7E" w:rsidRPr="00D1670D" w:rsidTr="00D1670D">
        <w:tc>
          <w:tcPr>
            <w:tcW w:w="3223" w:type="dxa"/>
            <w:shd w:val="clear" w:color="auto" w:fill="auto"/>
          </w:tcPr>
          <w:p w:rsidR="005E4D7E" w:rsidRPr="00D1670D" w:rsidRDefault="005E4D7E" w:rsidP="005C4B16">
            <w:pPr>
              <w:rPr>
                <w:sz w:val="20"/>
                <w:szCs w:val="20"/>
              </w:rPr>
            </w:pPr>
            <w:r w:rsidRPr="00D1670D">
              <w:rPr>
                <w:sz w:val="20"/>
                <w:szCs w:val="20"/>
              </w:rPr>
              <w:t>Swinburne University of Technology</w:t>
            </w:r>
          </w:p>
        </w:tc>
        <w:tc>
          <w:tcPr>
            <w:tcW w:w="4743" w:type="dxa"/>
            <w:shd w:val="clear" w:color="auto" w:fill="auto"/>
          </w:tcPr>
          <w:p w:rsidR="005E4D7E" w:rsidRPr="00D1670D" w:rsidRDefault="005E4D7E" w:rsidP="005C4B16">
            <w:pPr>
              <w:rPr>
                <w:sz w:val="20"/>
                <w:szCs w:val="20"/>
              </w:rPr>
            </w:pPr>
            <w:r w:rsidRPr="00D1670D">
              <w:rPr>
                <w:sz w:val="20"/>
                <w:szCs w:val="20"/>
              </w:rPr>
              <w:t>Family Drug Treatment Court Research Project Contribution</w:t>
            </w:r>
          </w:p>
        </w:tc>
        <w:tc>
          <w:tcPr>
            <w:tcW w:w="1682" w:type="dxa"/>
            <w:shd w:val="clear" w:color="auto" w:fill="auto"/>
          </w:tcPr>
          <w:p w:rsidR="005E4D7E" w:rsidRPr="00D1670D" w:rsidRDefault="005E4D7E" w:rsidP="00D1670D">
            <w:pPr>
              <w:jc w:val="right"/>
              <w:rPr>
                <w:sz w:val="20"/>
                <w:szCs w:val="20"/>
              </w:rPr>
            </w:pPr>
            <w:r w:rsidRPr="00D1670D">
              <w:rPr>
                <w:sz w:val="20"/>
                <w:szCs w:val="20"/>
              </w:rPr>
              <w:t>22,727</w:t>
            </w:r>
          </w:p>
        </w:tc>
      </w:tr>
      <w:tr w:rsidR="005E4D7E" w:rsidRPr="00D1670D" w:rsidTr="00D1670D">
        <w:tc>
          <w:tcPr>
            <w:tcW w:w="3223" w:type="dxa"/>
            <w:shd w:val="clear" w:color="auto" w:fill="auto"/>
          </w:tcPr>
          <w:p w:rsidR="005E4D7E" w:rsidRPr="00D1670D" w:rsidRDefault="005E4D7E" w:rsidP="005C4B16">
            <w:pPr>
              <w:rPr>
                <w:sz w:val="20"/>
                <w:szCs w:val="20"/>
              </w:rPr>
            </w:pPr>
            <w:r w:rsidRPr="00D1670D">
              <w:rPr>
                <w:sz w:val="20"/>
                <w:szCs w:val="20"/>
              </w:rPr>
              <w:t>The Wellington Collingwood Gift Fund</w:t>
            </w:r>
          </w:p>
        </w:tc>
        <w:tc>
          <w:tcPr>
            <w:tcW w:w="4743" w:type="dxa"/>
            <w:shd w:val="clear" w:color="auto" w:fill="auto"/>
          </w:tcPr>
          <w:p w:rsidR="005E4D7E" w:rsidRPr="00D1670D" w:rsidRDefault="005E4D7E" w:rsidP="005C4B16">
            <w:pPr>
              <w:rPr>
                <w:sz w:val="20"/>
                <w:szCs w:val="20"/>
              </w:rPr>
            </w:pPr>
            <w:r w:rsidRPr="00D1670D">
              <w:rPr>
                <w:sz w:val="20"/>
                <w:szCs w:val="20"/>
              </w:rPr>
              <w:t xml:space="preserve">Funding for Implementing Strategic Plan for Governance Restructure and the Establishment of a Formal Consortium of Agencies  </w:t>
            </w:r>
          </w:p>
        </w:tc>
        <w:tc>
          <w:tcPr>
            <w:tcW w:w="1682" w:type="dxa"/>
            <w:shd w:val="clear" w:color="auto" w:fill="auto"/>
          </w:tcPr>
          <w:p w:rsidR="005E4D7E" w:rsidRPr="00D1670D" w:rsidRDefault="005E4D7E" w:rsidP="00D1670D">
            <w:pPr>
              <w:jc w:val="right"/>
              <w:rPr>
                <w:sz w:val="20"/>
                <w:szCs w:val="20"/>
              </w:rPr>
            </w:pPr>
            <w:r w:rsidRPr="00D1670D">
              <w:rPr>
                <w:sz w:val="20"/>
                <w:szCs w:val="20"/>
              </w:rPr>
              <w:t>30,000</w:t>
            </w:r>
          </w:p>
        </w:tc>
      </w:tr>
      <w:tr w:rsidR="005E4D7E" w:rsidRPr="00D1670D" w:rsidTr="00D1670D">
        <w:tc>
          <w:tcPr>
            <w:tcW w:w="3223" w:type="dxa"/>
            <w:tcBorders>
              <w:bottom w:val="single" w:sz="4" w:space="0" w:color="auto"/>
            </w:tcBorders>
            <w:shd w:val="clear" w:color="auto" w:fill="auto"/>
          </w:tcPr>
          <w:p w:rsidR="005E4D7E" w:rsidRPr="00D1670D" w:rsidRDefault="005E4D7E" w:rsidP="005C4B16">
            <w:pPr>
              <w:rPr>
                <w:sz w:val="20"/>
                <w:szCs w:val="20"/>
              </w:rPr>
            </w:pPr>
            <w:r w:rsidRPr="00D1670D">
              <w:rPr>
                <w:sz w:val="20"/>
                <w:szCs w:val="20"/>
              </w:rPr>
              <w:t>Other</w:t>
            </w:r>
          </w:p>
        </w:tc>
        <w:tc>
          <w:tcPr>
            <w:tcW w:w="4743" w:type="dxa"/>
            <w:tcBorders>
              <w:bottom w:val="single" w:sz="4" w:space="0" w:color="auto"/>
            </w:tcBorders>
            <w:shd w:val="clear" w:color="auto" w:fill="auto"/>
          </w:tcPr>
          <w:p w:rsidR="005E4D7E" w:rsidRPr="00D1670D" w:rsidRDefault="005E4D7E" w:rsidP="005C4B16">
            <w:pPr>
              <w:rPr>
                <w:sz w:val="20"/>
                <w:szCs w:val="20"/>
              </w:rPr>
            </w:pPr>
            <w:r w:rsidRPr="00D1670D">
              <w:rPr>
                <w:sz w:val="20"/>
                <w:szCs w:val="20"/>
              </w:rPr>
              <w:t>Miscellaneous</w:t>
            </w:r>
          </w:p>
        </w:tc>
        <w:tc>
          <w:tcPr>
            <w:tcW w:w="1682" w:type="dxa"/>
            <w:tcBorders>
              <w:bottom w:val="single" w:sz="4" w:space="0" w:color="auto"/>
            </w:tcBorders>
            <w:shd w:val="clear" w:color="auto" w:fill="auto"/>
          </w:tcPr>
          <w:p w:rsidR="005E4D7E" w:rsidRPr="00D1670D" w:rsidRDefault="005E4D7E" w:rsidP="00D1670D">
            <w:pPr>
              <w:jc w:val="right"/>
              <w:rPr>
                <w:sz w:val="20"/>
                <w:szCs w:val="20"/>
              </w:rPr>
            </w:pPr>
            <w:r w:rsidRPr="00D1670D">
              <w:rPr>
                <w:sz w:val="20"/>
                <w:szCs w:val="20"/>
              </w:rPr>
              <w:t>4,217</w:t>
            </w:r>
          </w:p>
        </w:tc>
      </w:tr>
      <w:tr w:rsidR="005E4D7E" w:rsidRPr="00D1670D" w:rsidTr="00D1670D">
        <w:tc>
          <w:tcPr>
            <w:tcW w:w="3223" w:type="dxa"/>
            <w:shd w:val="pct25" w:color="auto" w:fill="auto"/>
          </w:tcPr>
          <w:p w:rsidR="005E4D7E" w:rsidRPr="00D1670D" w:rsidRDefault="005E4D7E" w:rsidP="005C4B16">
            <w:pPr>
              <w:rPr>
                <w:sz w:val="20"/>
                <w:szCs w:val="20"/>
              </w:rPr>
            </w:pPr>
            <w:r w:rsidRPr="00D1670D">
              <w:rPr>
                <w:b/>
                <w:sz w:val="20"/>
                <w:szCs w:val="20"/>
              </w:rPr>
              <w:t>TOTAL</w:t>
            </w:r>
          </w:p>
        </w:tc>
        <w:tc>
          <w:tcPr>
            <w:tcW w:w="4743" w:type="dxa"/>
            <w:shd w:val="pct25" w:color="auto" w:fill="auto"/>
          </w:tcPr>
          <w:p w:rsidR="005E4D7E" w:rsidRPr="00D1670D" w:rsidRDefault="005E4D7E" w:rsidP="005C4B16">
            <w:pPr>
              <w:rPr>
                <w:sz w:val="20"/>
                <w:szCs w:val="20"/>
              </w:rPr>
            </w:pPr>
          </w:p>
        </w:tc>
        <w:tc>
          <w:tcPr>
            <w:tcW w:w="1682" w:type="dxa"/>
            <w:shd w:val="pct25" w:color="auto" w:fill="auto"/>
          </w:tcPr>
          <w:p w:rsidR="005E4D7E" w:rsidRPr="00D1670D" w:rsidRDefault="005E4D7E" w:rsidP="00D1670D">
            <w:pPr>
              <w:jc w:val="right"/>
              <w:rPr>
                <w:sz w:val="20"/>
                <w:szCs w:val="20"/>
              </w:rPr>
            </w:pPr>
            <w:r w:rsidRPr="00D1670D">
              <w:rPr>
                <w:b/>
                <w:sz w:val="20"/>
                <w:szCs w:val="20"/>
              </w:rPr>
              <w:t>8,535,141</w:t>
            </w:r>
          </w:p>
        </w:tc>
      </w:tr>
    </w:tbl>
    <w:p w:rsidR="005E4D7E" w:rsidRPr="005E4D7E" w:rsidRDefault="005E4D7E" w:rsidP="005C4B16">
      <w:pPr>
        <w:spacing w:before="240" w:after="240"/>
        <w:rPr>
          <w:b/>
          <w:color w:val="44546A"/>
        </w:rPr>
      </w:pPr>
    </w:p>
    <w:p w:rsidR="002F7F38" w:rsidRPr="005E4D7E" w:rsidRDefault="002F7F38" w:rsidP="005E4D7E">
      <w:pPr>
        <w:rPr>
          <w:rFonts w:eastAsia="Times New Roman"/>
          <w:b/>
          <w:bCs/>
          <w:sz w:val="24"/>
          <w:szCs w:val="26"/>
        </w:rPr>
        <w:sectPr w:rsidR="002F7F38" w:rsidRPr="005E4D7E" w:rsidSect="00E37E4C">
          <w:footerReference w:type="default" r:id="rId9"/>
          <w:footerReference w:type="first" r:id="rId10"/>
          <w:pgSz w:w="11906" w:h="16838" w:code="9"/>
          <w:pgMar w:top="1134" w:right="1134" w:bottom="1134" w:left="1134" w:header="567" w:footer="567" w:gutter="0"/>
          <w:cols w:space="708"/>
          <w:titlePg/>
          <w:docGrid w:linePitch="360"/>
        </w:sectPr>
      </w:pPr>
    </w:p>
    <w:p w:rsidR="00CF273E" w:rsidRPr="00CF273E" w:rsidRDefault="00CF273E" w:rsidP="00653CB0">
      <w:pPr>
        <w:pStyle w:val="Heading1"/>
      </w:pPr>
      <w:bookmarkStart w:id="17" w:name="_Toc494978544"/>
      <w:r w:rsidRPr="00CF273E">
        <w:lastRenderedPageBreak/>
        <w:t>SECTION 3:</w:t>
      </w:r>
      <w:r w:rsidR="005459C6">
        <w:t xml:space="preserve"> </w:t>
      </w:r>
      <w:r w:rsidRPr="00CF273E">
        <w:t>WORKFORCE DATA</w:t>
      </w:r>
      <w:bookmarkEnd w:id="17"/>
    </w:p>
    <w:p w:rsidR="00C62F57" w:rsidRPr="004A0989" w:rsidRDefault="008836AC" w:rsidP="00C62F57">
      <w:pPr>
        <w:pStyle w:val="Heading2"/>
      </w:pPr>
      <w:bookmarkStart w:id="18" w:name="_Toc494978545"/>
      <w:r>
        <w:t>Workforce Data</w:t>
      </w:r>
      <w:bookmarkEnd w:id="18"/>
    </w:p>
    <w:p w:rsidR="00586060" w:rsidRPr="005111CA" w:rsidRDefault="00931DBF" w:rsidP="00586060">
      <w:r>
        <w:t>People and</w:t>
      </w:r>
      <w:r w:rsidR="00586060" w:rsidRPr="005111CA">
        <w:t xml:space="preserve"> Culture </w:t>
      </w:r>
      <w:r w:rsidR="002F7F38">
        <w:t>monitor</w:t>
      </w:r>
      <w:r w:rsidR="00586060" w:rsidRPr="005111CA">
        <w:t xml:space="preserve"> CSV-wide workforce data. </w:t>
      </w:r>
    </w:p>
    <w:p w:rsidR="00586060" w:rsidRPr="005111CA" w:rsidRDefault="00586060" w:rsidP="00586060"/>
    <w:p w:rsidR="005767BC" w:rsidRPr="004A0989" w:rsidRDefault="00586060" w:rsidP="005767BC">
      <w:r w:rsidRPr="005111CA">
        <w:t>The following table includes data for actual full-time equivalent (FTE) V</w:t>
      </w:r>
      <w:r w:rsidR="00CA331C">
        <w:t xml:space="preserve">ictorian </w:t>
      </w:r>
      <w:r w:rsidRPr="005111CA">
        <w:t>P</w:t>
      </w:r>
      <w:r w:rsidR="00CA331C">
        <w:t xml:space="preserve">ublic </w:t>
      </w:r>
      <w:r w:rsidRPr="005111CA">
        <w:t>S</w:t>
      </w:r>
      <w:r w:rsidR="00CA331C">
        <w:t>ervice (VPS)</w:t>
      </w:r>
      <w:r w:rsidRPr="005111CA">
        <w:t xml:space="preserve"> </w:t>
      </w:r>
      <w:r w:rsidR="004474DF">
        <w:t>employees and does not include statutory a</w:t>
      </w:r>
      <w:r w:rsidRPr="005111CA">
        <w:t>ppointees.</w:t>
      </w:r>
    </w:p>
    <w:p w:rsidR="005767BC" w:rsidRPr="004A0989" w:rsidRDefault="005767BC" w:rsidP="005767BC"/>
    <w:p w:rsidR="005767BC" w:rsidRDefault="005C4B16" w:rsidP="005767BC">
      <w:pPr>
        <w:pStyle w:val="Caption"/>
      </w:pPr>
      <w:r w:rsidRPr="005C4B16">
        <w:t>Table 5</w:t>
      </w:r>
      <w:r w:rsidR="005767BC" w:rsidRPr="005C4B16">
        <w:t>:</w:t>
      </w:r>
      <w:r>
        <w:t xml:space="preserve"> </w:t>
      </w:r>
      <w:r w:rsidR="00586060" w:rsidRPr="00586060">
        <w:t>Details of employment levels in June 2016 and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1287"/>
        <w:gridCol w:w="1115"/>
        <w:gridCol w:w="743"/>
        <w:gridCol w:w="1115"/>
        <w:gridCol w:w="1115"/>
        <w:gridCol w:w="752"/>
        <w:gridCol w:w="1115"/>
        <w:gridCol w:w="702"/>
        <w:gridCol w:w="1115"/>
        <w:gridCol w:w="700"/>
        <w:gridCol w:w="1115"/>
        <w:gridCol w:w="1115"/>
        <w:gridCol w:w="754"/>
        <w:gridCol w:w="1115"/>
        <w:gridCol w:w="702"/>
      </w:tblGrid>
      <w:tr w:rsidR="002F7F38" w:rsidRPr="00D1670D" w:rsidTr="00462AEA">
        <w:tc>
          <w:tcPr>
            <w:tcW w:w="1702" w:type="dxa"/>
            <w:shd w:val="clear" w:color="auto" w:fill="auto"/>
          </w:tcPr>
          <w:p w:rsidR="002F7F38" w:rsidRPr="00D1670D" w:rsidRDefault="002F7F38" w:rsidP="002F7F38">
            <w:pPr>
              <w:rPr>
                <w:sz w:val="18"/>
                <w:szCs w:val="18"/>
              </w:rPr>
            </w:pPr>
          </w:p>
        </w:tc>
        <w:tc>
          <w:tcPr>
            <w:tcW w:w="7473" w:type="dxa"/>
            <w:gridSpan w:val="7"/>
            <w:shd w:val="clear" w:color="auto" w:fill="auto"/>
          </w:tcPr>
          <w:p w:rsidR="002F7F38" w:rsidRPr="00D1670D" w:rsidRDefault="002F7F38" w:rsidP="00462AEA">
            <w:pPr>
              <w:jc w:val="center"/>
              <w:rPr>
                <w:sz w:val="18"/>
                <w:szCs w:val="18"/>
              </w:rPr>
            </w:pPr>
            <w:r w:rsidRPr="00D1670D">
              <w:rPr>
                <w:b/>
                <w:sz w:val="18"/>
                <w:szCs w:val="18"/>
              </w:rPr>
              <w:t>30 June 2016</w:t>
            </w:r>
          </w:p>
        </w:tc>
        <w:tc>
          <w:tcPr>
            <w:tcW w:w="7376" w:type="dxa"/>
            <w:gridSpan w:val="7"/>
            <w:shd w:val="clear" w:color="auto" w:fill="auto"/>
          </w:tcPr>
          <w:p w:rsidR="002F7F38" w:rsidRPr="00D1670D" w:rsidRDefault="002F7F38" w:rsidP="00462AEA">
            <w:pPr>
              <w:jc w:val="center"/>
              <w:rPr>
                <w:sz w:val="18"/>
                <w:szCs w:val="18"/>
              </w:rPr>
            </w:pPr>
            <w:r w:rsidRPr="00D1670D">
              <w:rPr>
                <w:b/>
                <w:sz w:val="18"/>
                <w:szCs w:val="18"/>
              </w:rPr>
              <w:t>30 June 2017</w:t>
            </w:r>
          </w:p>
        </w:tc>
      </w:tr>
      <w:tr w:rsidR="002F7F38" w:rsidRPr="00D1670D" w:rsidTr="00462AEA">
        <w:tc>
          <w:tcPr>
            <w:tcW w:w="1702" w:type="dxa"/>
            <w:shd w:val="clear" w:color="auto" w:fill="auto"/>
          </w:tcPr>
          <w:p w:rsidR="002F7F38" w:rsidRPr="00D1670D" w:rsidRDefault="002F7F38" w:rsidP="002F7F38">
            <w:pPr>
              <w:rPr>
                <w:sz w:val="18"/>
                <w:szCs w:val="18"/>
              </w:rPr>
            </w:pPr>
          </w:p>
        </w:tc>
        <w:tc>
          <w:tcPr>
            <w:tcW w:w="2086" w:type="dxa"/>
            <w:gridSpan w:val="2"/>
            <w:shd w:val="clear" w:color="auto" w:fill="auto"/>
          </w:tcPr>
          <w:p w:rsidR="002F7F38" w:rsidRPr="00D1670D" w:rsidRDefault="002F7F38" w:rsidP="00462AEA">
            <w:pPr>
              <w:jc w:val="center"/>
              <w:rPr>
                <w:sz w:val="18"/>
                <w:szCs w:val="18"/>
              </w:rPr>
            </w:pPr>
            <w:r w:rsidRPr="00D1670D">
              <w:rPr>
                <w:b/>
                <w:sz w:val="18"/>
                <w:szCs w:val="18"/>
              </w:rPr>
              <w:t>All employees</w:t>
            </w:r>
          </w:p>
        </w:tc>
        <w:tc>
          <w:tcPr>
            <w:tcW w:w="3261" w:type="dxa"/>
            <w:gridSpan w:val="3"/>
            <w:shd w:val="clear" w:color="auto" w:fill="auto"/>
          </w:tcPr>
          <w:p w:rsidR="002F7F38" w:rsidRPr="00D1670D" w:rsidRDefault="002F7F38" w:rsidP="00462AEA">
            <w:pPr>
              <w:jc w:val="center"/>
              <w:rPr>
                <w:sz w:val="18"/>
                <w:szCs w:val="18"/>
              </w:rPr>
            </w:pPr>
            <w:r w:rsidRPr="00D1670D">
              <w:rPr>
                <w:b/>
                <w:sz w:val="18"/>
                <w:szCs w:val="18"/>
              </w:rPr>
              <w:t>Ongoing</w:t>
            </w:r>
          </w:p>
        </w:tc>
        <w:tc>
          <w:tcPr>
            <w:tcW w:w="2126" w:type="dxa"/>
            <w:gridSpan w:val="2"/>
            <w:shd w:val="clear" w:color="auto" w:fill="auto"/>
          </w:tcPr>
          <w:p w:rsidR="002F7F38" w:rsidRPr="00D1670D" w:rsidRDefault="002F7F38" w:rsidP="00462AEA">
            <w:pPr>
              <w:jc w:val="center"/>
              <w:rPr>
                <w:sz w:val="18"/>
                <w:szCs w:val="18"/>
              </w:rPr>
            </w:pPr>
            <w:r w:rsidRPr="00D1670D">
              <w:rPr>
                <w:b/>
                <w:sz w:val="18"/>
                <w:szCs w:val="18"/>
              </w:rPr>
              <w:t>Fixed term and casual</w:t>
            </w:r>
          </w:p>
        </w:tc>
        <w:tc>
          <w:tcPr>
            <w:tcW w:w="1984" w:type="dxa"/>
            <w:gridSpan w:val="2"/>
            <w:shd w:val="clear" w:color="auto" w:fill="auto"/>
          </w:tcPr>
          <w:p w:rsidR="002F7F38" w:rsidRPr="00D1670D" w:rsidRDefault="002F7F38" w:rsidP="00462AEA">
            <w:pPr>
              <w:jc w:val="center"/>
              <w:rPr>
                <w:sz w:val="18"/>
                <w:szCs w:val="18"/>
              </w:rPr>
            </w:pPr>
            <w:r w:rsidRPr="00D1670D">
              <w:rPr>
                <w:b/>
                <w:sz w:val="18"/>
                <w:szCs w:val="18"/>
              </w:rPr>
              <w:t>All employees</w:t>
            </w:r>
          </w:p>
        </w:tc>
        <w:tc>
          <w:tcPr>
            <w:tcW w:w="3266" w:type="dxa"/>
            <w:gridSpan w:val="3"/>
            <w:shd w:val="clear" w:color="auto" w:fill="auto"/>
          </w:tcPr>
          <w:p w:rsidR="002F7F38" w:rsidRPr="00D1670D" w:rsidRDefault="002F7F38" w:rsidP="00462AEA">
            <w:pPr>
              <w:jc w:val="center"/>
              <w:rPr>
                <w:sz w:val="18"/>
                <w:szCs w:val="18"/>
              </w:rPr>
            </w:pPr>
            <w:r w:rsidRPr="00D1670D">
              <w:rPr>
                <w:b/>
                <w:sz w:val="18"/>
                <w:szCs w:val="18"/>
              </w:rPr>
              <w:t>Ongoing</w:t>
            </w:r>
          </w:p>
        </w:tc>
        <w:tc>
          <w:tcPr>
            <w:tcW w:w="2126" w:type="dxa"/>
            <w:gridSpan w:val="2"/>
            <w:shd w:val="clear" w:color="auto" w:fill="auto"/>
          </w:tcPr>
          <w:p w:rsidR="002F7F38" w:rsidRPr="00D1670D" w:rsidRDefault="002F7F38" w:rsidP="00462AEA">
            <w:pPr>
              <w:jc w:val="center"/>
              <w:rPr>
                <w:sz w:val="18"/>
                <w:szCs w:val="18"/>
              </w:rPr>
            </w:pPr>
            <w:r w:rsidRPr="00D1670D">
              <w:rPr>
                <w:b/>
                <w:sz w:val="18"/>
                <w:szCs w:val="18"/>
              </w:rPr>
              <w:t>Fixed term and casual</w:t>
            </w:r>
          </w:p>
        </w:tc>
      </w:tr>
      <w:tr w:rsidR="002F7F38" w:rsidRPr="00D1670D" w:rsidTr="00462AEA">
        <w:tc>
          <w:tcPr>
            <w:tcW w:w="1702" w:type="dxa"/>
            <w:shd w:val="clear" w:color="auto" w:fill="auto"/>
          </w:tcPr>
          <w:p w:rsidR="002F7F38" w:rsidRPr="00D1670D" w:rsidRDefault="002F7F38" w:rsidP="002F7F38">
            <w:pPr>
              <w:rPr>
                <w:sz w:val="18"/>
                <w:szCs w:val="18"/>
              </w:rPr>
            </w:pPr>
          </w:p>
        </w:tc>
        <w:tc>
          <w:tcPr>
            <w:tcW w:w="1155" w:type="dxa"/>
            <w:shd w:val="clear" w:color="auto" w:fill="auto"/>
          </w:tcPr>
          <w:p w:rsidR="002F7F38" w:rsidRPr="00D1670D" w:rsidRDefault="002F7F38" w:rsidP="00462AEA">
            <w:pPr>
              <w:jc w:val="center"/>
              <w:rPr>
                <w:b/>
                <w:sz w:val="18"/>
                <w:szCs w:val="18"/>
              </w:rPr>
            </w:pPr>
            <w:r w:rsidRPr="00D1670D">
              <w:rPr>
                <w:b/>
                <w:sz w:val="18"/>
                <w:szCs w:val="18"/>
              </w:rPr>
              <w:t>Number (headcount)</w:t>
            </w:r>
          </w:p>
        </w:tc>
        <w:tc>
          <w:tcPr>
            <w:tcW w:w="931" w:type="dxa"/>
            <w:shd w:val="clear" w:color="auto" w:fill="auto"/>
          </w:tcPr>
          <w:p w:rsidR="002F7F38" w:rsidRPr="00D1670D" w:rsidRDefault="002F7F38" w:rsidP="00462AEA">
            <w:pPr>
              <w:jc w:val="center"/>
              <w:rPr>
                <w:b/>
                <w:sz w:val="18"/>
                <w:szCs w:val="18"/>
              </w:rPr>
            </w:pPr>
            <w:r w:rsidRPr="00D1670D">
              <w:rPr>
                <w:b/>
                <w:sz w:val="18"/>
                <w:szCs w:val="18"/>
              </w:rPr>
              <w:t>FTE</w:t>
            </w:r>
          </w:p>
        </w:tc>
        <w:tc>
          <w:tcPr>
            <w:tcW w:w="1155" w:type="dxa"/>
            <w:shd w:val="clear" w:color="auto" w:fill="auto"/>
          </w:tcPr>
          <w:p w:rsidR="002F7F38" w:rsidRPr="00D1670D" w:rsidRDefault="002F7F38" w:rsidP="00462AEA">
            <w:pPr>
              <w:jc w:val="center"/>
              <w:rPr>
                <w:b/>
                <w:sz w:val="18"/>
                <w:szCs w:val="18"/>
              </w:rPr>
            </w:pPr>
            <w:r w:rsidRPr="00D1670D">
              <w:rPr>
                <w:b/>
                <w:sz w:val="18"/>
                <w:szCs w:val="18"/>
              </w:rPr>
              <w:t>Full-time</w:t>
            </w:r>
          </w:p>
          <w:p w:rsidR="002F7F38" w:rsidRPr="00D1670D" w:rsidRDefault="002F7F38" w:rsidP="00462AEA">
            <w:pPr>
              <w:jc w:val="center"/>
              <w:rPr>
                <w:b/>
                <w:sz w:val="18"/>
                <w:szCs w:val="18"/>
              </w:rPr>
            </w:pPr>
            <w:r w:rsidRPr="00D1670D">
              <w:rPr>
                <w:b/>
                <w:sz w:val="18"/>
                <w:szCs w:val="18"/>
              </w:rPr>
              <w:t>(headcount)</w:t>
            </w:r>
          </w:p>
        </w:tc>
        <w:tc>
          <w:tcPr>
            <w:tcW w:w="1155" w:type="dxa"/>
            <w:shd w:val="clear" w:color="auto" w:fill="auto"/>
          </w:tcPr>
          <w:p w:rsidR="002F7F38" w:rsidRPr="00D1670D" w:rsidRDefault="002F7F38" w:rsidP="00462AEA">
            <w:pPr>
              <w:jc w:val="center"/>
              <w:rPr>
                <w:b/>
                <w:sz w:val="18"/>
                <w:szCs w:val="18"/>
              </w:rPr>
            </w:pPr>
            <w:r w:rsidRPr="00D1670D">
              <w:rPr>
                <w:b/>
                <w:sz w:val="18"/>
                <w:szCs w:val="18"/>
              </w:rPr>
              <w:t>Part-time</w:t>
            </w:r>
          </w:p>
          <w:p w:rsidR="002F7F38" w:rsidRPr="00D1670D" w:rsidRDefault="002F7F38" w:rsidP="00462AEA">
            <w:pPr>
              <w:jc w:val="center"/>
              <w:rPr>
                <w:b/>
                <w:sz w:val="18"/>
                <w:szCs w:val="18"/>
              </w:rPr>
            </w:pPr>
            <w:r w:rsidRPr="00D1670D">
              <w:rPr>
                <w:b/>
                <w:sz w:val="18"/>
                <w:szCs w:val="18"/>
              </w:rPr>
              <w:t>(headcount)</w:t>
            </w:r>
          </w:p>
        </w:tc>
        <w:tc>
          <w:tcPr>
            <w:tcW w:w="951" w:type="dxa"/>
            <w:shd w:val="clear" w:color="auto" w:fill="auto"/>
          </w:tcPr>
          <w:p w:rsidR="002F7F38" w:rsidRPr="00D1670D" w:rsidRDefault="002F7F38" w:rsidP="00462AEA">
            <w:pPr>
              <w:jc w:val="center"/>
              <w:rPr>
                <w:b/>
                <w:sz w:val="18"/>
                <w:szCs w:val="18"/>
              </w:rPr>
            </w:pPr>
            <w:r w:rsidRPr="00D1670D">
              <w:rPr>
                <w:b/>
                <w:sz w:val="18"/>
                <w:szCs w:val="18"/>
              </w:rPr>
              <w:t>FTE</w:t>
            </w:r>
          </w:p>
        </w:tc>
        <w:tc>
          <w:tcPr>
            <w:tcW w:w="1155" w:type="dxa"/>
            <w:shd w:val="clear" w:color="auto" w:fill="auto"/>
          </w:tcPr>
          <w:p w:rsidR="002F7F38" w:rsidRPr="00D1670D" w:rsidRDefault="002F7F38" w:rsidP="00462AEA">
            <w:pPr>
              <w:jc w:val="center"/>
              <w:rPr>
                <w:sz w:val="18"/>
                <w:szCs w:val="18"/>
              </w:rPr>
            </w:pPr>
            <w:r w:rsidRPr="00D1670D">
              <w:rPr>
                <w:b/>
                <w:sz w:val="18"/>
                <w:szCs w:val="18"/>
              </w:rPr>
              <w:t>Number (headcount)</w:t>
            </w:r>
          </w:p>
        </w:tc>
        <w:tc>
          <w:tcPr>
            <w:tcW w:w="971" w:type="dxa"/>
            <w:shd w:val="clear" w:color="auto" w:fill="auto"/>
          </w:tcPr>
          <w:p w:rsidR="002F7F38" w:rsidRPr="00D1670D" w:rsidRDefault="002F7F38" w:rsidP="00462AEA">
            <w:pPr>
              <w:jc w:val="center"/>
              <w:rPr>
                <w:sz w:val="18"/>
                <w:szCs w:val="18"/>
              </w:rPr>
            </w:pPr>
            <w:r w:rsidRPr="00D1670D">
              <w:rPr>
                <w:b/>
                <w:sz w:val="18"/>
                <w:szCs w:val="18"/>
              </w:rPr>
              <w:t>FTE</w:t>
            </w:r>
          </w:p>
        </w:tc>
        <w:tc>
          <w:tcPr>
            <w:tcW w:w="1155" w:type="dxa"/>
            <w:shd w:val="clear" w:color="auto" w:fill="auto"/>
          </w:tcPr>
          <w:p w:rsidR="002F7F38" w:rsidRPr="00D1670D" w:rsidRDefault="002F7F38" w:rsidP="00462AEA">
            <w:pPr>
              <w:jc w:val="center"/>
              <w:rPr>
                <w:sz w:val="18"/>
                <w:szCs w:val="18"/>
              </w:rPr>
            </w:pPr>
            <w:r w:rsidRPr="00D1670D">
              <w:rPr>
                <w:b/>
                <w:sz w:val="18"/>
                <w:szCs w:val="18"/>
              </w:rPr>
              <w:t>Number (headcount)</w:t>
            </w:r>
          </w:p>
        </w:tc>
        <w:tc>
          <w:tcPr>
            <w:tcW w:w="829" w:type="dxa"/>
            <w:shd w:val="clear" w:color="auto" w:fill="auto"/>
          </w:tcPr>
          <w:p w:rsidR="002F7F38" w:rsidRPr="00D1670D" w:rsidRDefault="002F7F38" w:rsidP="00462AEA">
            <w:pPr>
              <w:jc w:val="center"/>
              <w:rPr>
                <w:sz w:val="18"/>
                <w:szCs w:val="18"/>
              </w:rPr>
            </w:pPr>
            <w:r w:rsidRPr="00D1670D">
              <w:rPr>
                <w:b/>
                <w:sz w:val="18"/>
                <w:szCs w:val="18"/>
              </w:rPr>
              <w:t>FTE</w:t>
            </w:r>
          </w:p>
        </w:tc>
        <w:tc>
          <w:tcPr>
            <w:tcW w:w="1155" w:type="dxa"/>
            <w:shd w:val="clear" w:color="auto" w:fill="auto"/>
          </w:tcPr>
          <w:p w:rsidR="002F7F38" w:rsidRPr="00D1670D" w:rsidRDefault="002F7F38" w:rsidP="00462AEA">
            <w:pPr>
              <w:jc w:val="center"/>
              <w:rPr>
                <w:b/>
                <w:sz w:val="18"/>
                <w:szCs w:val="18"/>
              </w:rPr>
            </w:pPr>
            <w:r w:rsidRPr="00D1670D">
              <w:rPr>
                <w:b/>
                <w:sz w:val="18"/>
                <w:szCs w:val="18"/>
              </w:rPr>
              <w:t>Full-time</w:t>
            </w:r>
          </w:p>
          <w:p w:rsidR="002F7F38" w:rsidRPr="00D1670D" w:rsidRDefault="002F7F38" w:rsidP="00462AEA">
            <w:pPr>
              <w:jc w:val="center"/>
              <w:rPr>
                <w:sz w:val="18"/>
                <w:szCs w:val="18"/>
              </w:rPr>
            </w:pPr>
            <w:r w:rsidRPr="00D1670D">
              <w:rPr>
                <w:b/>
                <w:sz w:val="18"/>
                <w:szCs w:val="18"/>
              </w:rPr>
              <w:t>(headcount)</w:t>
            </w:r>
          </w:p>
        </w:tc>
        <w:tc>
          <w:tcPr>
            <w:tcW w:w="1155" w:type="dxa"/>
            <w:shd w:val="clear" w:color="auto" w:fill="auto"/>
          </w:tcPr>
          <w:p w:rsidR="002F7F38" w:rsidRPr="00D1670D" w:rsidRDefault="002F7F38" w:rsidP="00462AEA">
            <w:pPr>
              <w:jc w:val="center"/>
              <w:rPr>
                <w:b/>
                <w:sz w:val="18"/>
                <w:szCs w:val="18"/>
              </w:rPr>
            </w:pPr>
            <w:r w:rsidRPr="00D1670D">
              <w:rPr>
                <w:b/>
                <w:sz w:val="18"/>
                <w:szCs w:val="18"/>
              </w:rPr>
              <w:t>Part-time</w:t>
            </w:r>
          </w:p>
          <w:p w:rsidR="002F7F38" w:rsidRPr="00D1670D" w:rsidRDefault="002F7F38" w:rsidP="00462AEA">
            <w:pPr>
              <w:jc w:val="center"/>
              <w:rPr>
                <w:sz w:val="18"/>
                <w:szCs w:val="18"/>
              </w:rPr>
            </w:pPr>
            <w:r w:rsidRPr="00D1670D">
              <w:rPr>
                <w:b/>
                <w:sz w:val="18"/>
                <w:szCs w:val="18"/>
              </w:rPr>
              <w:t>(headcount)</w:t>
            </w:r>
          </w:p>
        </w:tc>
        <w:tc>
          <w:tcPr>
            <w:tcW w:w="956" w:type="dxa"/>
            <w:shd w:val="clear" w:color="auto" w:fill="auto"/>
          </w:tcPr>
          <w:p w:rsidR="002F7F38" w:rsidRPr="00D1670D" w:rsidRDefault="002F7F38" w:rsidP="00462AEA">
            <w:pPr>
              <w:jc w:val="center"/>
              <w:rPr>
                <w:sz w:val="18"/>
                <w:szCs w:val="18"/>
              </w:rPr>
            </w:pPr>
            <w:r w:rsidRPr="00D1670D">
              <w:rPr>
                <w:b/>
                <w:sz w:val="18"/>
                <w:szCs w:val="18"/>
              </w:rPr>
              <w:t>FTE</w:t>
            </w:r>
          </w:p>
        </w:tc>
        <w:tc>
          <w:tcPr>
            <w:tcW w:w="1155" w:type="dxa"/>
            <w:shd w:val="clear" w:color="auto" w:fill="auto"/>
          </w:tcPr>
          <w:p w:rsidR="002F7F38" w:rsidRPr="00D1670D" w:rsidRDefault="002F7F38" w:rsidP="00462AEA">
            <w:pPr>
              <w:jc w:val="center"/>
              <w:rPr>
                <w:sz w:val="18"/>
                <w:szCs w:val="18"/>
              </w:rPr>
            </w:pPr>
            <w:r w:rsidRPr="00D1670D">
              <w:rPr>
                <w:b/>
                <w:sz w:val="18"/>
                <w:szCs w:val="18"/>
              </w:rPr>
              <w:t>Number (headcount)</w:t>
            </w:r>
          </w:p>
        </w:tc>
        <w:tc>
          <w:tcPr>
            <w:tcW w:w="971" w:type="dxa"/>
            <w:shd w:val="clear" w:color="auto" w:fill="auto"/>
          </w:tcPr>
          <w:p w:rsidR="002F7F38" w:rsidRPr="00D1670D" w:rsidRDefault="002F7F38" w:rsidP="00462AEA">
            <w:pPr>
              <w:jc w:val="center"/>
              <w:rPr>
                <w:sz w:val="18"/>
                <w:szCs w:val="18"/>
              </w:rPr>
            </w:pPr>
            <w:r w:rsidRPr="00D1670D">
              <w:rPr>
                <w:b/>
                <w:sz w:val="18"/>
                <w:szCs w:val="18"/>
              </w:rPr>
              <w:t>FTE</w:t>
            </w:r>
          </w:p>
        </w:tc>
      </w:tr>
      <w:tr w:rsidR="002F7F38" w:rsidRPr="00D1670D" w:rsidTr="00462AEA">
        <w:tc>
          <w:tcPr>
            <w:tcW w:w="16551" w:type="dxa"/>
            <w:gridSpan w:val="15"/>
            <w:shd w:val="clear" w:color="auto" w:fill="D9D9D9"/>
          </w:tcPr>
          <w:p w:rsidR="002F7F38" w:rsidRPr="00D1670D" w:rsidRDefault="002F7F38" w:rsidP="002F7F38">
            <w:pPr>
              <w:rPr>
                <w:b/>
                <w:sz w:val="18"/>
                <w:szCs w:val="18"/>
              </w:rPr>
            </w:pPr>
            <w:r w:rsidRPr="00D1670D">
              <w:rPr>
                <w:b/>
                <w:sz w:val="18"/>
                <w:szCs w:val="18"/>
              </w:rPr>
              <w:t>Demographic data</w:t>
            </w:r>
          </w:p>
        </w:tc>
      </w:tr>
      <w:tr w:rsidR="002F7F38" w:rsidRPr="00D1670D" w:rsidTr="00462AEA">
        <w:tc>
          <w:tcPr>
            <w:tcW w:w="16551" w:type="dxa"/>
            <w:gridSpan w:val="15"/>
            <w:shd w:val="clear" w:color="auto" w:fill="auto"/>
          </w:tcPr>
          <w:p w:rsidR="002F7F38" w:rsidRPr="00D1670D" w:rsidRDefault="002F7F38" w:rsidP="002F7F38">
            <w:pPr>
              <w:rPr>
                <w:b/>
                <w:sz w:val="18"/>
                <w:szCs w:val="18"/>
              </w:rPr>
            </w:pPr>
            <w:r w:rsidRPr="00D1670D">
              <w:rPr>
                <w:b/>
                <w:sz w:val="18"/>
                <w:szCs w:val="18"/>
              </w:rPr>
              <w:t>Gender</w:t>
            </w:r>
          </w:p>
        </w:tc>
      </w:tr>
      <w:tr w:rsidR="002F7F38" w:rsidRPr="00D1670D" w:rsidTr="00462AEA">
        <w:tc>
          <w:tcPr>
            <w:tcW w:w="1702" w:type="dxa"/>
            <w:shd w:val="clear" w:color="auto" w:fill="auto"/>
          </w:tcPr>
          <w:p w:rsidR="002F7F38" w:rsidRPr="00D1670D" w:rsidRDefault="002F7F38" w:rsidP="002F7F38">
            <w:pPr>
              <w:rPr>
                <w:sz w:val="18"/>
                <w:szCs w:val="18"/>
              </w:rPr>
            </w:pPr>
            <w:r w:rsidRPr="00D1670D">
              <w:rPr>
                <w:sz w:val="18"/>
                <w:szCs w:val="18"/>
              </w:rPr>
              <w:t>Male</w:t>
            </w:r>
          </w:p>
        </w:tc>
        <w:tc>
          <w:tcPr>
            <w:tcW w:w="1155" w:type="dxa"/>
            <w:shd w:val="clear" w:color="auto" w:fill="auto"/>
          </w:tcPr>
          <w:p w:rsidR="002F7F38" w:rsidRPr="00D1670D" w:rsidRDefault="002F7F38" w:rsidP="00D1670D">
            <w:pPr>
              <w:jc w:val="right"/>
              <w:rPr>
                <w:sz w:val="18"/>
                <w:szCs w:val="18"/>
              </w:rPr>
            </w:pPr>
            <w:r w:rsidRPr="00D1670D">
              <w:rPr>
                <w:sz w:val="18"/>
                <w:szCs w:val="18"/>
              </w:rPr>
              <w:t>545</w:t>
            </w:r>
          </w:p>
        </w:tc>
        <w:tc>
          <w:tcPr>
            <w:tcW w:w="931" w:type="dxa"/>
            <w:shd w:val="clear" w:color="auto" w:fill="auto"/>
          </w:tcPr>
          <w:p w:rsidR="002F7F38" w:rsidRPr="00D1670D" w:rsidRDefault="002F7F38" w:rsidP="00D1670D">
            <w:pPr>
              <w:jc w:val="right"/>
              <w:rPr>
                <w:sz w:val="18"/>
                <w:szCs w:val="18"/>
              </w:rPr>
            </w:pPr>
            <w:r w:rsidRPr="00D1670D">
              <w:rPr>
                <w:sz w:val="18"/>
                <w:szCs w:val="18"/>
              </w:rPr>
              <w:t>537</w:t>
            </w:r>
          </w:p>
        </w:tc>
        <w:tc>
          <w:tcPr>
            <w:tcW w:w="1155" w:type="dxa"/>
            <w:shd w:val="clear" w:color="auto" w:fill="auto"/>
          </w:tcPr>
          <w:p w:rsidR="002F7F38" w:rsidRPr="00D1670D" w:rsidRDefault="002F7F38" w:rsidP="00D1670D">
            <w:pPr>
              <w:jc w:val="right"/>
              <w:rPr>
                <w:sz w:val="18"/>
                <w:szCs w:val="18"/>
              </w:rPr>
            </w:pPr>
            <w:r w:rsidRPr="00D1670D">
              <w:rPr>
                <w:sz w:val="18"/>
                <w:szCs w:val="18"/>
              </w:rPr>
              <w:t>437</w:t>
            </w:r>
          </w:p>
        </w:tc>
        <w:tc>
          <w:tcPr>
            <w:tcW w:w="1155" w:type="dxa"/>
            <w:shd w:val="clear" w:color="auto" w:fill="auto"/>
          </w:tcPr>
          <w:p w:rsidR="002F7F38" w:rsidRPr="00D1670D" w:rsidRDefault="002F7F38" w:rsidP="00D1670D">
            <w:pPr>
              <w:jc w:val="right"/>
              <w:rPr>
                <w:sz w:val="18"/>
                <w:szCs w:val="18"/>
              </w:rPr>
            </w:pPr>
            <w:r w:rsidRPr="00D1670D">
              <w:rPr>
                <w:sz w:val="18"/>
                <w:szCs w:val="18"/>
              </w:rPr>
              <w:t>16</w:t>
            </w:r>
          </w:p>
        </w:tc>
        <w:tc>
          <w:tcPr>
            <w:tcW w:w="951" w:type="dxa"/>
            <w:shd w:val="clear" w:color="auto" w:fill="auto"/>
          </w:tcPr>
          <w:p w:rsidR="002F7F38" w:rsidRPr="00D1670D" w:rsidRDefault="002F7F38" w:rsidP="00D1670D">
            <w:pPr>
              <w:jc w:val="right"/>
              <w:rPr>
                <w:sz w:val="18"/>
                <w:szCs w:val="18"/>
              </w:rPr>
            </w:pPr>
            <w:r w:rsidRPr="00D1670D">
              <w:rPr>
                <w:sz w:val="18"/>
                <w:szCs w:val="18"/>
              </w:rPr>
              <w:t>447.6</w:t>
            </w:r>
          </w:p>
        </w:tc>
        <w:tc>
          <w:tcPr>
            <w:tcW w:w="1155" w:type="dxa"/>
            <w:shd w:val="clear" w:color="auto" w:fill="auto"/>
          </w:tcPr>
          <w:p w:rsidR="002F7F38" w:rsidRPr="00D1670D" w:rsidRDefault="002F7F38" w:rsidP="00D1670D">
            <w:pPr>
              <w:jc w:val="right"/>
              <w:rPr>
                <w:sz w:val="18"/>
                <w:szCs w:val="18"/>
              </w:rPr>
            </w:pPr>
            <w:r w:rsidRPr="00D1670D">
              <w:rPr>
                <w:sz w:val="18"/>
                <w:szCs w:val="18"/>
              </w:rPr>
              <w:t>92</w:t>
            </w:r>
          </w:p>
        </w:tc>
        <w:tc>
          <w:tcPr>
            <w:tcW w:w="971" w:type="dxa"/>
            <w:shd w:val="clear" w:color="auto" w:fill="auto"/>
          </w:tcPr>
          <w:p w:rsidR="002F7F38" w:rsidRPr="00D1670D" w:rsidRDefault="002F7F38" w:rsidP="00D1670D">
            <w:pPr>
              <w:jc w:val="right"/>
              <w:rPr>
                <w:sz w:val="18"/>
                <w:szCs w:val="18"/>
              </w:rPr>
            </w:pPr>
            <w:r w:rsidRPr="00D1670D">
              <w:rPr>
                <w:sz w:val="18"/>
                <w:szCs w:val="18"/>
              </w:rPr>
              <w:t>89.4</w:t>
            </w:r>
          </w:p>
        </w:tc>
        <w:tc>
          <w:tcPr>
            <w:tcW w:w="1155" w:type="dxa"/>
            <w:shd w:val="clear" w:color="auto" w:fill="F2F2F2"/>
          </w:tcPr>
          <w:p w:rsidR="002F7F38" w:rsidRPr="00D1670D" w:rsidRDefault="002F7F38" w:rsidP="00D1670D">
            <w:pPr>
              <w:jc w:val="right"/>
              <w:rPr>
                <w:sz w:val="18"/>
                <w:szCs w:val="18"/>
              </w:rPr>
            </w:pPr>
            <w:r w:rsidRPr="00D1670D">
              <w:rPr>
                <w:sz w:val="18"/>
                <w:szCs w:val="18"/>
              </w:rPr>
              <w:t>572</w:t>
            </w:r>
          </w:p>
        </w:tc>
        <w:tc>
          <w:tcPr>
            <w:tcW w:w="829" w:type="dxa"/>
            <w:shd w:val="clear" w:color="auto" w:fill="F2F2F2"/>
          </w:tcPr>
          <w:p w:rsidR="002F7F38" w:rsidRPr="00D1670D" w:rsidRDefault="002F7F38" w:rsidP="00D1670D">
            <w:pPr>
              <w:jc w:val="right"/>
              <w:rPr>
                <w:sz w:val="18"/>
                <w:szCs w:val="18"/>
              </w:rPr>
            </w:pPr>
            <w:r w:rsidRPr="00D1670D">
              <w:rPr>
                <w:sz w:val="18"/>
                <w:szCs w:val="18"/>
              </w:rPr>
              <w:t>560.2</w:t>
            </w:r>
          </w:p>
        </w:tc>
        <w:tc>
          <w:tcPr>
            <w:tcW w:w="1155" w:type="dxa"/>
            <w:shd w:val="clear" w:color="auto" w:fill="F2F2F2"/>
          </w:tcPr>
          <w:p w:rsidR="002F7F38" w:rsidRPr="00D1670D" w:rsidRDefault="002F7F38" w:rsidP="00D1670D">
            <w:pPr>
              <w:jc w:val="right"/>
              <w:rPr>
                <w:sz w:val="18"/>
                <w:szCs w:val="18"/>
              </w:rPr>
            </w:pPr>
            <w:r w:rsidRPr="00D1670D">
              <w:rPr>
                <w:sz w:val="18"/>
                <w:szCs w:val="18"/>
              </w:rPr>
              <w:t>453</w:t>
            </w:r>
          </w:p>
        </w:tc>
        <w:tc>
          <w:tcPr>
            <w:tcW w:w="1155" w:type="dxa"/>
            <w:shd w:val="clear" w:color="auto" w:fill="F2F2F2"/>
          </w:tcPr>
          <w:p w:rsidR="002F7F38" w:rsidRPr="00D1670D" w:rsidRDefault="002F7F38" w:rsidP="00D1670D">
            <w:pPr>
              <w:jc w:val="right"/>
              <w:rPr>
                <w:sz w:val="18"/>
                <w:szCs w:val="18"/>
              </w:rPr>
            </w:pPr>
            <w:r w:rsidRPr="00D1670D">
              <w:rPr>
                <w:sz w:val="18"/>
                <w:szCs w:val="18"/>
              </w:rPr>
              <w:t>17</w:t>
            </w:r>
          </w:p>
        </w:tc>
        <w:tc>
          <w:tcPr>
            <w:tcW w:w="956" w:type="dxa"/>
            <w:shd w:val="clear" w:color="auto" w:fill="F2F2F2"/>
          </w:tcPr>
          <w:p w:rsidR="002F7F38" w:rsidRPr="00D1670D" w:rsidRDefault="002F7F38" w:rsidP="00D1670D">
            <w:pPr>
              <w:jc w:val="right"/>
              <w:rPr>
                <w:sz w:val="18"/>
                <w:szCs w:val="18"/>
              </w:rPr>
            </w:pPr>
            <w:r w:rsidRPr="00D1670D">
              <w:rPr>
                <w:sz w:val="18"/>
                <w:szCs w:val="18"/>
              </w:rPr>
              <w:t>463.8</w:t>
            </w:r>
          </w:p>
        </w:tc>
        <w:tc>
          <w:tcPr>
            <w:tcW w:w="1155" w:type="dxa"/>
            <w:shd w:val="clear" w:color="auto" w:fill="F2F2F2"/>
          </w:tcPr>
          <w:p w:rsidR="002F7F38" w:rsidRPr="00D1670D" w:rsidRDefault="002F7F38" w:rsidP="00D1670D">
            <w:pPr>
              <w:jc w:val="right"/>
              <w:rPr>
                <w:sz w:val="18"/>
                <w:szCs w:val="18"/>
              </w:rPr>
            </w:pPr>
            <w:r w:rsidRPr="00D1670D">
              <w:rPr>
                <w:sz w:val="18"/>
                <w:szCs w:val="18"/>
              </w:rPr>
              <w:t>102</w:t>
            </w:r>
          </w:p>
        </w:tc>
        <w:tc>
          <w:tcPr>
            <w:tcW w:w="971" w:type="dxa"/>
            <w:shd w:val="clear" w:color="auto" w:fill="F2F2F2"/>
          </w:tcPr>
          <w:p w:rsidR="002F7F38" w:rsidRPr="00D1670D" w:rsidRDefault="002F7F38" w:rsidP="00D1670D">
            <w:pPr>
              <w:jc w:val="right"/>
              <w:rPr>
                <w:sz w:val="18"/>
                <w:szCs w:val="18"/>
              </w:rPr>
            </w:pPr>
            <w:r w:rsidRPr="00D1670D">
              <w:rPr>
                <w:sz w:val="18"/>
                <w:szCs w:val="18"/>
              </w:rPr>
              <w:t>96.4</w:t>
            </w:r>
          </w:p>
        </w:tc>
      </w:tr>
      <w:tr w:rsidR="002F7F38" w:rsidRPr="00D1670D" w:rsidTr="00462AEA">
        <w:tc>
          <w:tcPr>
            <w:tcW w:w="1702" w:type="dxa"/>
            <w:shd w:val="clear" w:color="auto" w:fill="auto"/>
          </w:tcPr>
          <w:p w:rsidR="002F7F38" w:rsidRPr="00D1670D" w:rsidRDefault="002F7F38" w:rsidP="002F7F38">
            <w:pPr>
              <w:rPr>
                <w:sz w:val="18"/>
                <w:szCs w:val="18"/>
              </w:rPr>
            </w:pPr>
            <w:r w:rsidRPr="00D1670D">
              <w:rPr>
                <w:sz w:val="18"/>
                <w:szCs w:val="18"/>
              </w:rPr>
              <w:t>Female</w:t>
            </w:r>
          </w:p>
        </w:tc>
        <w:tc>
          <w:tcPr>
            <w:tcW w:w="1155" w:type="dxa"/>
            <w:shd w:val="clear" w:color="auto" w:fill="auto"/>
          </w:tcPr>
          <w:p w:rsidR="002F7F38" w:rsidRPr="00D1670D" w:rsidRDefault="002F7F38" w:rsidP="00D1670D">
            <w:pPr>
              <w:jc w:val="right"/>
              <w:rPr>
                <w:sz w:val="18"/>
                <w:szCs w:val="18"/>
              </w:rPr>
            </w:pPr>
            <w:r w:rsidRPr="00D1670D">
              <w:rPr>
                <w:sz w:val="18"/>
                <w:szCs w:val="18"/>
              </w:rPr>
              <w:t>1205</w:t>
            </w:r>
          </w:p>
        </w:tc>
        <w:tc>
          <w:tcPr>
            <w:tcW w:w="931" w:type="dxa"/>
            <w:shd w:val="clear" w:color="auto" w:fill="auto"/>
          </w:tcPr>
          <w:p w:rsidR="002F7F38" w:rsidRPr="00D1670D" w:rsidRDefault="002F7F38" w:rsidP="00D1670D">
            <w:pPr>
              <w:jc w:val="right"/>
              <w:rPr>
                <w:sz w:val="18"/>
                <w:szCs w:val="18"/>
              </w:rPr>
            </w:pPr>
            <w:r w:rsidRPr="00D1670D">
              <w:rPr>
                <w:sz w:val="18"/>
                <w:szCs w:val="18"/>
              </w:rPr>
              <w:t>1102.3</w:t>
            </w:r>
          </w:p>
        </w:tc>
        <w:tc>
          <w:tcPr>
            <w:tcW w:w="1155" w:type="dxa"/>
            <w:shd w:val="clear" w:color="auto" w:fill="auto"/>
          </w:tcPr>
          <w:p w:rsidR="002F7F38" w:rsidRPr="00D1670D" w:rsidRDefault="002F7F38" w:rsidP="00D1670D">
            <w:pPr>
              <w:jc w:val="right"/>
              <w:rPr>
                <w:sz w:val="18"/>
                <w:szCs w:val="18"/>
              </w:rPr>
            </w:pPr>
            <w:r w:rsidRPr="00D1670D">
              <w:rPr>
                <w:sz w:val="18"/>
                <w:szCs w:val="18"/>
              </w:rPr>
              <w:t>805</w:t>
            </w:r>
          </w:p>
        </w:tc>
        <w:tc>
          <w:tcPr>
            <w:tcW w:w="1155" w:type="dxa"/>
            <w:shd w:val="clear" w:color="auto" w:fill="auto"/>
          </w:tcPr>
          <w:p w:rsidR="002F7F38" w:rsidRPr="00D1670D" w:rsidRDefault="002F7F38" w:rsidP="00D1670D">
            <w:pPr>
              <w:jc w:val="right"/>
              <w:rPr>
                <w:sz w:val="18"/>
                <w:szCs w:val="18"/>
              </w:rPr>
            </w:pPr>
            <w:r w:rsidRPr="00D1670D">
              <w:rPr>
                <w:sz w:val="18"/>
                <w:szCs w:val="18"/>
              </w:rPr>
              <w:t>239</w:t>
            </w:r>
          </w:p>
        </w:tc>
        <w:tc>
          <w:tcPr>
            <w:tcW w:w="951" w:type="dxa"/>
            <w:shd w:val="clear" w:color="auto" w:fill="auto"/>
          </w:tcPr>
          <w:p w:rsidR="002F7F38" w:rsidRPr="00D1670D" w:rsidRDefault="002F7F38" w:rsidP="00D1670D">
            <w:pPr>
              <w:jc w:val="right"/>
              <w:rPr>
                <w:sz w:val="18"/>
                <w:szCs w:val="18"/>
              </w:rPr>
            </w:pPr>
            <w:r w:rsidRPr="00D1670D">
              <w:rPr>
                <w:sz w:val="18"/>
                <w:szCs w:val="18"/>
              </w:rPr>
              <w:t>952.9</w:t>
            </w:r>
          </w:p>
        </w:tc>
        <w:tc>
          <w:tcPr>
            <w:tcW w:w="1155" w:type="dxa"/>
            <w:shd w:val="clear" w:color="auto" w:fill="auto"/>
          </w:tcPr>
          <w:p w:rsidR="002F7F38" w:rsidRPr="00D1670D" w:rsidRDefault="002F7F38" w:rsidP="00D1670D">
            <w:pPr>
              <w:jc w:val="right"/>
              <w:rPr>
                <w:sz w:val="18"/>
                <w:szCs w:val="18"/>
              </w:rPr>
            </w:pPr>
            <w:r w:rsidRPr="00D1670D">
              <w:rPr>
                <w:sz w:val="18"/>
                <w:szCs w:val="18"/>
              </w:rPr>
              <w:t>161</w:t>
            </w:r>
          </w:p>
        </w:tc>
        <w:tc>
          <w:tcPr>
            <w:tcW w:w="971" w:type="dxa"/>
            <w:shd w:val="clear" w:color="auto" w:fill="auto"/>
          </w:tcPr>
          <w:p w:rsidR="002F7F38" w:rsidRPr="00D1670D" w:rsidRDefault="002F7F38" w:rsidP="00D1670D">
            <w:pPr>
              <w:jc w:val="right"/>
              <w:rPr>
                <w:sz w:val="18"/>
                <w:szCs w:val="18"/>
              </w:rPr>
            </w:pPr>
            <w:r w:rsidRPr="00D1670D">
              <w:rPr>
                <w:sz w:val="18"/>
                <w:szCs w:val="18"/>
              </w:rPr>
              <w:t>149.4</w:t>
            </w:r>
          </w:p>
        </w:tc>
        <w:tc>
          <w:tcPr>
            <w:tcW w:w="1155" w:type="dxa"/>
            <w:shd w:val="clear" w:color="auto" w:fill="F2F2F2"/>
          </w:tcPr>
          <w:p w:rsidR="002F7F38" w:rsidRPr="00D1670D" w:rsidRDefault="002F7F38" w:rsidP="00D1670D">
            <w:pPr>
              <w:jc w:val="right"/>
              <w:rPr>
                <w:sz w:val="18"/>
                <w:szCs w:val="18"/>
              </w:rPr>
            </w:pPr>
            <w:r w:rsidRPr="00D1670D">
              <w:rPr>
                <w:sz w:val="18"/>
                <w:szCs w:val="18"/>
              </w:rPr>
              <w:t>1290</w:t>
            </w:r>
          </w:p>
        </w:tc>
        <w:tc>
          <w:tcPr>
            <w:tcW w:w="829" w:type="dxa"/>
            <w:shd w:val="clear" w:color="auto" w:fill="F2F2F2"/>
          </w:tcPr>
          <w:p w:rsidR="002F7F38" w:rsidRPr="00D1670D" w:rsidRDefault="002F7F38" w:rsidP="00D1670D">
            <w:pPr>
              <w:jc w:val="right"/>
              <w:rPr>
                <w:sz w:val="18"/>
                <w:szCs w:val="18"/>
              </w:rPr>
            </w:pPr>
            <w:r w:rsidRPr="00D1670D">
              <w:rPr>
                <w:sz w:val="18"/>
                <w:szCs w:val="18"/>
              </w:rPr>
              <w:t>1186.5</w:t>
            </w:r>
          </w:p>
        </w:tc>
        <w:tc>
          <w:tcPr>
            <w:tcW w:w="1155" w:type="dxa"/>
            <w:shd w:val="clear" w:color="auto" w:fill="F2F2F2"/>
          </w:tcPr>
          <w:p w:rsidR="002F7F38" w:rsidRPr="00D1670D" w:rsidRDefault="002F7F38" w:rsidP="00D1670D">
            <w:pPr>
              <w:jc w:val="right"/>
              <w:rPr>
                <w:sz w:val="18"/>
                <w:szCs w:val="18"/>
              </w:rPr>
            </w:pPr>
            <w:r w:rsidRPr="00D1670D">
              <w:rPr>
                <w:sz w:val="18"/>
                <w:szCs w:val="18"/>
              </w:rPr>
              <w:t>853</w:t>
            </w:r>
          </w:p>
        </w:tc>
        <w:tc>
          <w:tcPr>
            <w:tcW w:w="1155" w:type="dxa"/>
            <w:shd w:val="clear" w:color="auto" w:fill="F2F2F2"/>
          </w:tcPr>
          <w:p w:rsidR="002F7F38" w:rsidRPr="00D1670D" w:rsidRDefault="002F7F38" w:rsidP="00D1670D">
            <w:pPr>
              <w:jc w:val="right"/>
              <w:rPr>
                <w:sz w:val="18"/>
                <w:szCs w:val="18"/>
              </w:rPr>
            </w:pPr>
            <w:r w:rsidRPr="00D1670D">
              <w:rPr>
                <w:sz w:val="18"/>
                <w:szCs w:val="18"/>
              </w:rPr>
              <w:t>243</w:t>
            </w:r>
          </w:p>
        </w:tc>
        <w:tc>
          <w:tcPr>
            <w:tcW w:w="956" w:type="dxa"/>
            <w:shd w:val="clear" w:color="auto" w:fill="F2F2F2"/>
          </w:tcPr>
          <w:p w:rsidR="002F7F38" w:rsidRPr="00D1670D" w:rsidRDefault="002F7F38" w:rsidP="00D1670D">
            <w:pPr>
              <w:jc w:val="right"/>
              <w:rPr>
                <w:sz w:val="18"/>
                <w:szCs w:val="18"/>
              </w:rPr>
            </w:pPr>
            <w:r w:rsidRPr="00D1670D">
              <w:rPr>
                <w:sz w:val="18"/>
                <w:szCs w:val="18"/>
              </w:rPr>
              <w:t>1004.4</w:t>
            </w:r>
          </w:p>
        </w:tc>
        <w:tc>
          <w:tcPr>
            <w:tcW w:w="1155" w:type="dxa"/>
            <w:shd w:val="clear" w:color="auto" w:fill="F2F2F2"/>
          </w:tcPr>
          <w:p w:rsidR="002F7F38" w:rsidRPr="00D1670D" w:rsidRDefault="002F7F38" w:rsidP="00D1670D">
            <w:pPr>
              <w:jc w:val="right"/>
              <w:rPr>
                <w:sz w:val="18"/>
                <w:szCs w:val="18"/>
              </w:rPr>
            </w:pPr>
            <w:r w:rsidRPr="00D1670D">
              <w:rPr>
                <w:sz w:val="18"/>
                <w:szCs w:val="18"/>
              </w:rPr>
              <w:t>194</w:t>
            </w:r>
          </w:p>
        </w:tc>
        <w:tc>
          <w:tcPr>
            <w:tcW w:w="971" w:type="dxa"/>
            <w:shd w:val="clear" w:color="auto" w:fill="F2F2F2"/>
          </w:tcPr>
          <w:p w:rsidR="002F7F38" w:rsidRPr="00D1670D" w:rsidRDefault="002F7F38" w:rsidP="00D1670D">
            <w:pPr>
              <w:jc w:val="right"/>
              <w:rPr>
                <w:sz w:val="18"/>
                <w:szCs w:val="18"/>
              </w:rPr>
            </w:pPr>
            <w:r w:rsidRPr="00D1670D">
              <w:rPr>
                <w:sz w:val="18"/>
                <w:szCs w:val="18"/>
              </w:rPr>
              <w:t>182.1</w:t>
            </w:r>
          </w:p>
        </w:tc>
      </w:tr>
      <w:tr w:rsidR="002F7F38" w:rsidRPr="00D1670D" w:rsidTr="00462AEA">
        <w:tc>
          <w:tcPr>
            <w:tcW w:w="16551" w:type="dxa"/>
            <w:gridSpan w:val="15"/>
            <w:shd w:val="clear" w:color="auto" w:fill="auto"/>
          </w:tcPr>
          <w:p w:rsidR="002F7F38" w:rsidRPr="00D1670D" w:rsidRDefault="002F7F38" w:rsidP="00D1670D">
            <w:pPr>
              <w:rPr>
                <w:b/>
                <w:sz w:val="18"/>
                <w:szCs w:val="18"/>
              </w:rPr>
            </w:pPr>
            <w:r w:rsidRPr="00D1670D">
              <w:rPr>
                <w:b/>
                <w:sz w:val="18"/>
                <w:szCs w:val="18"/>
              </w:rPr>
              <w:t>Age</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Under 25</w:t>
            </w:r>
          </w:p>
        </w:tc>
        <w:tc>
          <w:tcPr>
            <w:tcW w:w="1155" w:type="dxa"/>
            <w:shd w:val="clear" w:color="auto" w:fill="auto"/>
          </w:tcPr>
          <w:p w:rsidR="002F7F38" w:rsidRPr="00D1670D" w:rsidRDefault="002F7F38" w:rsidP="00D1670D">
            <w:pPr>
              <w:jc w:val="right"/>
              <w:rPr>
                <w:sz w:val="18"/>
                <w:szCs w:val="18"/>
              </w:rPr>
            </w:pPr>
            <w:r w:rsidRPr="00D1670D">
              <w:rPr>
                <w:sz w:val="18"/>
                <w:szCs w:val="18"/>
              </w:rPr>
              <w:t>159</w:t>
            </w:r>
          </w:p>
        </w:tc>
        <w:tc>
          <w:tcPr>
            <w:tcW w:w="931" w:type="dxa"/>
            <w:shd w:val="clear" w:color="auto" w:fill="auto"/>
          </w:tcPr>
          <w:p w:rsidR="002F7F38" w:rsidRPr="00D1670D" w:rsidRDefault="002F7F38" w:rsidP="00D1670D">
            <w:pPr>
              <w:jc w:val="right"/>
              <w:rPr>
                <w:sz w:val="18"/>
                <w:szCs w:val="18"/>
              </w:rPr>
            </w:pPr>
            <w:r w:rsidRPr="00D1670D">
              <w:rPr>
                <w:sz w:val="18"/>
                <w:szCs w:val="18"/>
              </w:rPr>
              <w:t>154.7</w:t>
            </w:r>
          </w:p>
        </w:tc>
        <w:tc>
          <w:tcPr>
            <w:tcW w:w="1155" w:type="dxa"/>
            <w:shd w:val="clear" w:color="auto" w:fill="auto"/>
          </w:tcPr>
          <w:p w:rsidR="002F7F38" w:rsidRPr="00D1670D" w:rsidRDefault="002F7F38" w:rsidP="00D1670D">
            <w:pPr>
              <w:jc w:val="right"/>
              <w:rPr>
                <w:sz w:val="18"/>
                <w:szCs w:val="18"/>
              </w:rPr>
            </w:pPr>
            <w:r w:rsidRPr="00D1670D">
              <w:rPr>
                <w:sz w:val="18"/>
                <w:szCs w:val="18"/>
              </w:rPr>
              <w:t>122</w:t>
            </w:r>
          </w:p>
        </w:tc>
        <w:tc>
          <w:tcPr>
            <w:tcW w:w="1155" w:type="dxa"/>
            <w:shd w:val="clear" w:color="auto" w:fill="auto"/>
          </w:tcPr>
          <w:p w:rsidR="002F7F38" w:rsidRPr="00D1670D" w:rsidRDefault="002F7F38" w:rsidP="00D1670D">
            <w:pPr>
              <w:jc w:val="right"/>
              <w:rPr>
                <w:sz w:val="18"/>
                <w:szCs w:val="18"/>
              </w:rPr>
            </w:pPr>
            <w:r w:rsidRPr="00D1670D">
              <w:rPr>
                <w:sz w:val="18"/>
                <w:szCs w:val="18"/>
              </w:rPr>
              <w:t>2</w:t>
            </w:r>
          </w:p>
        </w:tc>
        <w:tc>
          <w:tcPr>
            <w:tcW w:w="951" w:type="dxa"/>
            <w:shd w:val="clear" w:color="auto" w:fill="auto"/>
          </w:tcPr>
          <w:p w:rsidR="002F7F38" w:rsidRPr="00D1670D" w:rsidRDefault="002F7F38" w:rsidP="00D1670D">
            <w:pPr>
              <w:jc w:val="right"/>
              <w:rPr>
                <w:sz w:val="18"/>
                <w:szCs w:val="18"/>
              </w:rPr>
            </w:pPr>
            <w:r w:rsidRPr="00D1670D">
              <w:rPr>
                <w:sz w:val="18"/>
                <w:szCs w:val="18"/>
              </w:rPr>
              <w:t>122.6</w:t>
            </w:r>
          </w:p>
        </w:tc>
        <w:tc>
          <w:tcPr>
            <w:tcW w:w="1155" w:type="dxa"/>
            <w:shd w:val="clear" w:color="auto" w:fill="auto"/>
          </w:tcPr>
          <w:p w:rsidR="002F7F38" w:rsidRPr="00D1670D" w:rsidRDefault="002F7F38" w:rsidP="00D1670D">
            <w:pPr>
              <w:jc w:val="right"/>
              <w:rPr>
                <w:sz w:val="18"/>
                <w:szCs w:val="18"/>
              </w:rPr>
            </w:pPr>
            <w:r w:rsidRPr="00D1670D">
              <w:rPr>
                <w:sz w:val="18"/>
                <w:szCs w:val="18"/>
              </w:rPr>
              <w:t>35</w:t>
            </w:r>
          </w:p>
        </w:tc>
        <w:tc>
          <w:tcPr>
            <w:tcW w:w="971" w:type="dxa"/>
            <w:shd w:val="clear" w:color="auto" w:fill="auto"/>
          </w:tcPr>
          <w:p w:rsidR="002F7F38" w:rsidRPr="00D1670D" w:rsidRDefault="002F7F38" w:rsidP="00D1670D">
            <w:pPr>
              <w:jc w:val="right"/>
              <w:rPr>
                <w:sz w:val="18"/>
                <w:szCs w:val="18"/>
              </w:rPr>
            </w:pPr>
            <w:r w:rsidRPr="00D1670D">
              <w:rPr>
                <w:sz w:val="18"/>
                <w:szCs w:val="18"/>
              </w:rPr>
              <w:t>32.1</w:t>
            </w:r>
          </w:p>
        </w:tc>
        <w:tc>
          <w:tcPr>
            <w:tcW w:w="1155" w:type="dxa"/>
            <w:shd w:val="clear" w:color="auto" w:fill="F2F2F2"/>
          </w:tcPr>
          <w:p w:rsidR="002F7F38" w:rsidRPr="00D1670D" w:rsidRDefault="002F7F38" w:rsidP="00D1670D">
            <w:pPr>
              <w:jc w:val="right"/>
              <w:rPr>
                <w:sz w:val="18"/>
                <w:szCs w:val="18"/>
              </w:rPr>
            </w:pPr>
            <w:r w:rsidRPr="00D1670D">
              <w:rPr>
                <w:sz w:val="18"/>
                <w:szCs w:val="18"/>
              </w:rPr>
              <w:t>192</w:t>
            </w:r>
          </w:p>
        </w:tc>
        <w:tc>
          <w:tcPr>
            <w:tcW w:w="829" w:type="dxa"/>
            <w:shd w:val="clear" w:color="auto" w:fill="F2F2F2"/>
          </w:tcPr>
          <w:p w:rsidR="002F7F38" w:rsidRPr="00D1670D" w:rsidRDefault="002F7F38" w:rsidP="00D1670D">
            <w:pPr>
              <w:jc w:val="right"/>
              <w:rPr>
                <w:sz w:val="18"/>
                <w:szCs w:val="18"/>
              </w:rPr>
            </w:pPr>
            <w:r w:rsidRPr="00D1670D">
              <w:rPr>
                <w:sz w:val="18"/>
                <w:szCs w:val="18"/>
              </w:rPr>
              <w:t>187.2</w:t>
            </w:r>
          </w:p>
        </w:tc>
        <w:tc>
          <w:tcPr>
            <w:tcW w:w="1155" w:type="dxa"/>
            <w:shd w:val="clear" w:color="auto" w:fill="F2F2F2"/>
          </w:tcPr>
          <w:p w:rsidR="002F7F38" w:rsidRPr="00D1670D" w:rsidRDefault="002F7F38" w:rsidP="00D1670D">
            <w:pPr>
              <w:jc w:val="right"/>
              <w:rPr>
                <w:sz w:val="18"/>
                <w:szCs w:val="18"/>
              </w:rPr>
            </w:pPr>
            <w:r w:rsidRPr="00D1670D">
              <w:rPr>
                <w:sz w:val="18"/>
                <w:szCs w:val="18"/>
              </w:rPr>
              <w:t>147</w:t>
            </w:r>
          </w:p>
        </w:tc>
        <w:tc>
          <w:tcPr>
            <w:tcW w:w="1155" w:type="dxa"/>
            <w:shd w:val="clear" w:color="auto" w:fill="F2F2F2"/>
          </w:tcPr>
          <w:p w:rsidR="002F7F38" w:rsidRPr="00D1670D" w:rsidRDefault="002F7F38" w:rsidP="00D1670D">
            <w:pPr>
              <w:jc w:val="right"/>
              <w:rPr>
                <w:sz w:val="18"/>
                <w:szCs w:val="18"/>
              </w:rPr>
            </w:pPr>
            <w:r w:rsidRPr="00D1670D">
              <w:rPr>
                <w:sz w:val="18"/>
                <w:szCs w:val="18"/>
              </w:rPr>
              <w:t>2</w:t>
            </w:r>
          </w:p>
        </w:tc>
        <w:tc>
          <w:tcPr>
            <w:tcW w:w="956" w:type="dxa"/>
            <w:shd w:val="clear" w:color="auto" w:fill="F2F2F2"/>
          </w:tcPr>
          <w:p w:rsidR="002F7F38" w:rsidRPr="00D1670D" w:rsidRDefault="002F7F38" w:rsidP="00D1670D">
            <w:pPr>
              <w:jc w:val="right"/>
              <w:rPr>
                <w:sz w:val="18"/>
                <w:szCs w:val="18"/>
              </w:rPr>
            </w:pPr>
            <w:r w:rsidRPr="00D1670D">
              <w:rPr>
                <w:sz w:val="18"/>
                <w:szCs w:val="18"/>
              </w:rPr>
              <w:t>147.9</w:t>
            </w:r>
          </w:p>
        </w:tc>
        <w:tc>
          <w:tcPr>
            <w:tcW w:w="1155" w:type="dxa"/>
            <w:shd w:val="clear" w:color="auto" w:fill="F2F2F2"/>
          </w:tcPr>
          <w:p w:rsidR="002F7F38" w:rsidRPr="00D1670D" w:rsidRDefault="002F7F38" w:rsidP="00D1670D">
            <w:pPr>
              <w:jc w:val="right"/>
              <w:rPr>
                <w:sz w:val="18"/>
                <w:szCs w:val="18"/>
              </w:rPr>
            </w:pPr>
            <w:r w:rsidRPr="00D1670D">
              <w:rPr>
                <w:sz w:val="18"/>
                <w:szCs w:val="18"/>
              </w:rPr>
              <w:t>41</w:t>
            </w:r>
          </w:p>
        </w:tc>
        <w:tc>
          <w:tcPr>
            <w:tcW w:w="971" w:type="dxa"/>
            <w:shd w:val="clear" w:color="auto" w:fill="F2F2F2"/>
          </w:tcPr>
          <w:p w:rsidR="002F7F38" w:rsidRPr="00D1670D" w:rsidRDefault="002F7F38" w:rsidP="00D1670D">
            <w:pPr>
              <w:jc w:val="right"/>
              <w:rPr>
                <w:sz w:val="18"/>
                <w:szCs w:val="18"/>
              </w:rPr>
            </w:pPr>
            <w:r w:rsidRPr="00D1670D">
              <w:rPr>
                <w:sz w:val="18"/>
                <w:szCs w:val="18"/>
              </w:rPr>
              <w:t>37.3</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25-34</w:t>
            </w:r>
          </w:p>
        </w:tc>
        <w:tc>
          <w:tcPr>
            <w:tcW w:w="1155" w:type="dxa"/>
            <w:shd w:val="clear" w:color="auto" w:fill="auto"/>
          </w:tcPr>
          <w:p w:rsidR="002F7F38" w:rsidRPr="00D1670D" w:rsidRDefault="002F7F38" w:rsidP="00D1670D">
            <w:pPr>
              <w:jc w:val="right"/>
              <w:rPr>
                <w:sz w:val="18"/>
                <w:szCs w:val="18"/>
              </w:rPr>
            </w:pPr>
            <w:r w:rsidRPr="00D1670D">
              <w:rPr>
                <w:sz w:val="18"/>
                <w:szCs w:val="18"/>
              </w:rPr>
              <w:t>619</w:t>
            </w:r>
          </w:p>
        </w:tc>
        <w:tc>
          <w:tcPr>
            <w:tcW w:w="931" w:type="dxa"/>
            <w:shd w:val="clear" w:color="auto" w:fill="auto"/>
          </w:tcPr>
          <w:p w:rsidR="002F7F38" w:rsidRPr="00D1670D" w:rsidRDefault="002F7F38" w:rsidP="00D1670D">
            <w:pPr>
              <w:jc w:val="right"/>
              <w:rPr>
                <w:sz w:val="18"/>
                <w:szCs w:val="18"/>
              </w:rPr>
            </w:pPr>
            <w:r w:rsidRPr="00D1670D">
              <w:rPr>
                <w:sz w:val="18"/>
                <w:szCs w:val="18"/>
              </w:rPr>
              <w:t>596.6</w:t>
            </w:r>
          </w:p>
        </w:tc>
        <w:tc>
          <w:tcPr>
            <w:tcW w:w="1155" w:type="dxa"/>
            <w:shd w:val="clear" w:color="auto" w:fill="auto"/>
          </w:tcPr>
          <w:p w:rsidR="002F7F38" w:rsidRPr="00D1670D" w:rsidRDefault="002F7F38" w:rsidP="00D1670D">
            <w:pPr>
              <w:jc w:val="right"/>
              <w:rPr>
                <w:sz w:val="18"/>
                <w:szCs w:val="18"/>
              </w:rPr>
            </w:pPr>
            <w:r w:rsidRPr="00D1670D">
              <w:rPr>
                <w:sz w:val="18"/>
                <w:szCs w:val="18"/>
              </w:rPr>
              <w:t>420</w:t>
            </w:r>
          </w:p>
        </w:tc>
        <w:tc>
          <w:tcPr>
            <w:tcW w:w="1155" w:type="dxa"/>
            <w:shd w:val="clear" w:color="auto" w:fill="auto"/>
          </w:tcPr>
          <w:p w:rsidR="002F7F38" w:rsidRPr="00D1670D" w:rsidRDefault="002F7F38" w:rsidP="00D1670D">
            <w:pPr>
              <w:jc w:val="right"/>
              <w:rPr>
                <w:sz w:val="18"/>
                <w:szCs w:val="18"/>
              </w:rPr>
            </w:pPr>
            <w:r w:rsidRPr="00D1670D">
              <w:rPr>
                <w:sz w:val="18"/>
                <w:szCs w:val="18"/>
              </w:rPr>
              <w:t>51</w:t>
            </w:r>
          </w:p>
        </w:tc>
        <w:tc>
          <w:tcPr>
            <w:tcW w:w="951" w:type="dxa"/>
            <w:shd w:val="clear" w:color="auto" w:fill="auto"/>
          </w:tcPr>
          <w:p w:rsidR="002F7F38" w:rsidRPr="00D1670D" w:rsidRDefault="002F7F38" w:rsidP="00D1670D">
            <w:pPr>
              <w:jc w:val="right"/>
              <w:rPr>
                <w:sz w:val="18"/>
                <w:szCs w:val="18"/>
              </w:rPr>
            </w:pPr>
            <w:r w:rsidRPr="00D1670D">
              <w:rPr>
                <w:sz w:val="18"/>
                <w:szCs w:val="18"/>
              </w:rPr>
              <w:t>449.8</w:t>
            </w:r>
          </w:p>
        </w:tc>
        <w:tc>
          <w:tcPr>
            <w:tcW w:w="1155" w:type="dxa"/>
            <w:shd w:val="clear" w:color="auto" w:fill="auto"/>
          </w:tcPr>
          <w:p w:rsidR="002F7F38" w:rsidRPr="00D1670D" w:rsidRDefault="002F7F38" w:rsidP="00D1670D">
            <w:pPr>
              <w:jc w:val="right"/>
              <w:rPr>
                <w:sz w:val="18"/>
                <w:szCs w:val="18"/>
              </w:rPr>
            </w:pPr>
            <w:r w:rsidRPr="00D1670D">
              <w:rPr>
                <w:sz w:val="18"/>
                <w:szCs w:val="18"/>
              </w:rPr>
              <w:t>148</w:t>
            </w:r>
          </w:p>
        </w:tc>
        <w:tc>
          <w:tcPr>
            <w:tcW w:w="971" w:type="dxa"/>
            <w:shd w:val="clear" w:color="auto" w:fill="auto"/>
          </w:tcPr>
          <w:p w:rsidR="002F7F38" w:rsidRPr="00D1670D" w:rsidRDefault="002F7F38" w:rsidP="00D1670D">
            <w:pPr>
              <w:jc w:val="right"/>
              <w:rPr>
                <w:sz w:val="18"/>
                <w:szCs w:val="18"/>
              </w:rPr>
            </w:pPr>
            <w:r w:rsidRPr="00D1670D">
              <w:rPr>
                <w:sz w:val="18"/>
                <w:szCs w:val="18"/>
              </w:rPr>
              <w:t>146.8</w:t>
            </w:r>
          </w:p>
        </w:tc>
        <w:tc>
          <w:tcPr>
            <w:tcW w:w="1155" w:type="dxa"/>
            <w:shd w:val="clear" w:color="auto" w:fill="F2F2F2"/>
          </w:tcPr>
          <w:p w:rsidR="002F7F38" w:rsidRPr="00D1670D" w:rsidRDefault="002F7F38" w:rsidP="00D1670D">
            <w:pPr>
              <w:jc w:val="right"/>
              <w:rPr>
                <w:sz w:val="18"/>
                <w:szCs w:val="18"/>
              </w:rPr>
            </w:pPr>
            <w:r w:rsidRPr="00D1670D">
              <w:rPr>
                <w:sz w:val="18"/>
                <w:szCs w:val="18"/>
              </w:rPr>
              <w:t>648</w:t>
            </w:r>
          </w:p>
        </w:tc>
        <w:tc>
          <w:tcPr>
            <w:tcW w:w="829" w:type="dxa"/>
            <w:shd w:val="clear" w:color="auto" w:fill="F2F2F2"/>
          </w:tcPr>
          <w:p w:rsidR="002F7F38" w:rsidRPr="00D1670D" w:rsidRDefault="002F7F38" w:rsidP="00D1670D">
            <w:pPr>
              <w:jc w:val="right"/>
              <w:rPr>
                <w:sz w:val="18"/>
                <w:szCs w:val="18"/>
              </w:rPr>
            </w:pPr>
            <w:r w:rsidRPr="00D1670D">
              <w:rPr>
                <w:sz w:val="18"/>
                <w:szCs w:val="18"/>
              </w:rPr>
              <w:t>621.8</w:t>
            </w:r>
          </w:p>
        </w:tc>
        <w:tc>
          <w:tcPr>
            <w:tcW w:w="1155" w:type="dxa"/>
            <w:shd w:val="clear" w:color="auto" w:fill="F2F2F2"/>
          </w:tcPr>
          <w:p w:rsidR="002F7F38" w:rsidRPr="00D1670D" w:rsidRDefault="002F7F38" w:rsidP="00D1670D">
            <w:pPr>
              <w:jc w:val="right"/>
              <w:rPr>
                <w:sz w:val="18"/>
                <w:szCs w:val="18"/>
              </w:rPr>
            </w:pPr>
            <w:r w:rsidRPr="00D1670D">
              <w:rPr>
                <w:sz w:val="18"/>
                <w:szCs w:val="18"/>
              </w:rPr>
              <w:t>420</w:t>
            </w:r>
          </w:p>
        </w:tc>
        <w:tc>
          <w:tcPr>
            <w:tcW w:w="1155" w:type="dxa"/>
            <w:shd w:val="clear" w:color="auto" w:fill="F2F2F2"/>
          </w:tcPr>
          <w:p w:rsidR="002F7F38" w:rsidRPr="00D1670D" w:rsidRDefault="002F7F38" w:rsidP="00D1670D">
            <w:pPr>
              <w:jc w:val="right"/>
              <w:rPr>
                <w:sz w:val="18"/>
                <w:szCs w:val="18"/>
              </w:rPr>
            </w:pPr>
            <w:r w:rsidRPr="00D1670D">
              <w:rPr>
                <w:sz w:val="18"/>
                <w:szCs w:val="18"/>
              </w:rPr>
              <w:t>57</w:t>
            </w:r>
          </w:p>
        </w:tc>
        <w:tc>
          <w:tcPr>
            <w:tcW w:w="956" w:type="dxa"/>
            <w:shd w:val="clear" w:color="auto" w:fill="F2F2F2"/>
          </w:tcPr>
          <w:p w:rsidR="002F7F38" w:rsidRPr="00D1670D" w:rsidRDefault="002F7F38" w:rsidP="00D1670D">
            <w:pPr>
              <w:jc w:val="right"/>
              <w:rPr>
                <w:sz w:val="18"/>
                <w:szCs w:val="18"/>
              </w:rPr>
            </w:pPr>
            <w:r w:rsidRPr="00D1670D">
              <w:rPr>
                <w:sz w:val="18"/>
                <w:szCs w:val="18"/>
              </w:rPr>
              <w:t>453.2</w:t>
            </w:r>
          </w:p>
        </w:tc>
        <w:tc>
          <w:tcPr>
            <w:tcW w:w="1155" w:type="dxa"/>
            <w:shd w:val="clear" w:color="auto" w:fill="F2F2F2"/>
          </w:tcPr>
          <w:p w:rsidR="002F7F38" w:rsidRPr="00D1670D" w:rsidRDefault="002F7F38" w:rsidP="00D1670D">
            <w:pPr>
              <w:jc w:val="right"/>
              <w:rPr>
                <w:sz w:val="18"/>
                <w:szCs w:val="18"/>
              </w:rPr>
            </w:pPr>
            <w:r w:rsidRPr="00D1670D">
              <w:rPr>
                <w:sz w:val="18"/>
                <w:szCs w:val="18"/>
              </w:rPr>
              <w:t>172</w:t>
            </w:r>
          </w:p>
        </w:tc>
        <w:tc>
          <w:tcPr>
            <w:tcW w:w="971" w:type="dxa"/>
            <w:shd w:val="clear" w:color="auto" w:fill="F2F2F2"/>
          </w:tcPr>
          <w:p w:rsidR="002F7F38" w:rsidRPr="00D1670D" w:rsidRDefault="002F7F38" w:rsidP="00D1670D">
            <w:pPr>
              <w:jc w:val="right"/>
              <w:rPr>
                <w:sz w:val="18"/>
                <w:szCs w:val="18"/>
              </w:rPr>
            </w:pPr>
            <w:r w:rsidRPr="00D1670D">
              <w:rPr>
                <w:sz w:val="18"/>
                <w:szCs w:val="18"/>
              </w:rPr>
              <w:t>169.6</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35-44</w:t>
            </w:r>
          </w:p>
        </w:tc>
        <w:tc>
          <w:tcPr>
            <w:tcW w:w="1155" w:type="dxa"/>
            <w:shd w:val="clear" w:color="auto" w:fill="auto"/>
          </w:tcPr>
          <w:p w:rsidR="002F7F38" w:rsidRPr="00D1670D" w:rsidRDefault="002F7F38" w:rsidP="00D1670D">
            <w:pPr>
              <w:jc w:val="right"/>
              <w:rPr>
                <w:sz w:val="18"/>
                <w:szCs w:val="18"/>
              </w:rPr>
            </w:pPr>
            <w:r w:rsidRPr="00D1670D">
              <w:rPr>
                <w:sz w:val="18"/>
                <w:szCs w:val="18"/>
              </w:rPr>
              <w:t>329</w:t>
            </w:r>
          </w:p>
        </w:tc>
        <w:tc>
          <w:tcPr>
            <w:tcW w:w="931" w:type="dxa"/>
            <w:shd w:val="clear" w:color="auto" w:fill="auto"/>
          </w:tcPr>
          <w:p w:rsidR="002F7F38" w:rsidRPr="00D1670D" w:rsidRDefault="002F7F38" w:rsidP="00D1670D">
            <w:pPr>
              <w:jc w:val="right"/>
              <w:rPr>
                <w:sz w:val="18"/>
                <w:szCs w:val="18"/>
              </w:rPr>
            </w:pPr>
            <w:r w:rsidRPr="00D1670D">
              <w:rPr>
                <w:sz w:val="18"/>
                <w:szCs w:val="18"/>
              </w:rPr>
              <w:t>291.1</w:t>
            </w:r>
          </w:p>
        </w:tc>
        <w:tc>
          <w:tcPr>
            <w:tcW w:w="1155" w:type="dxa"/>
            <w:shd w:val="clear" w:color="auto" w:fill="auto"/>
          </w:tcPr>
          <w:p w:rsidR="002F7F38" w:rsidRPr="00D1670D" w:rsidRDefault="002F7F38" w:rsidP="00D1670D">
            <w:pPr>
              <w:jc w:val="right"/>
              <w:rPr>
                <w:sz w:val="18"/>
                <w:szCs w:val="18"/>
              </w:rPr>
            </w:pPr>
            <w:r w:rsidRPr="00D1670D">
              <w:rPr>
                <w:sz w:val="18"/>
                <w:szCs w:val="18"/>
              </w:rPr>
              <w:t>210</w:t>
            </w:r>
          </w:p>
        </w:tc>
        <w:tc>
          <w:tcPr>
            <w:tcW w:w="1155" w:type="dxa"/>
            <w:shd w:val="clear" w:color="auto" w:fill="auto"/>
          </w:tcPr>
          <w:p w:rsidR="002F7F38" w:rsidRPr="00D1670D" w:rsidRDefault="002F7F38" w:rsidP="00D1670D">
            <w:pPr>
              <w:jc w:val="right"/>
              <w:rPr>
                <w:sz w:val="18"/>
                <w:szCs w:val="18"/>
              </w:rPr>
            </w:pPr>
            <w:r w:rsidRPr="00D1670D">
              <w:rPr>
                <w:sz w:val="18"/>
                <w:szCs w:val="18"/>
              </w:rPr>
              <w:t>86</w:t>
            </w:r>
          </w:p>
        </w:tc>
        <w:tc>
          <w:tcPr>
            <w:tcW w:w="951" w:type="dxa"/>
            <w:shd w:val="clear" w:color="auto" w:fill="auto"/>
          </w:tcPr>
          <w:p w:rsidR="002F7F38" w:rsidRPr="00D1670D" w:rsidRDefault="002F7F38" w:rsidP="00D1670D">
            <w:pPr>
              <w:jc w:val="right"/>
              <w:rPr>
                <w:sz w:val="18"/>
                <w:szCs w:val="18"/>
              </w:rPr>
            </w:pPr>
            <w:r w:rsidRPr="00D1670D">
              <w:rPr>
                <w:sz w:val="18"/>
                <w:szCs w:val="18"/>
              </w:rPr>
              <w:t>261.4</w:t>
            </w:r>
          </w:p>
        </w:tc>
        <w:tc>
          <w:tcPr>
            <w:tcW w:w="1155" w:type="dxa"/>
            <w:shd w:val="clear" w:color="auto" w:fill="auto"/>
          </w:tcPr>
          <w:p w:rsidR="002F7F38" w:rsidRPr="00D1670D" w:rsidRDefault="002F7F38" w:rsidP="00D1670D">
            <w:pPr>
              <w:jc w:val="right"/>
              <w:rPr>
                <w:sz w:val="18"/>
                <w:szCs w:val="18"/>
              </w:rPr>
            </w:pPr>
            <w:r w:rsidRPr="00D1670D">
              <w:rPr>
                <w:sz w:val="18"/>
                <w:szCs w:val="18"/>
              </w:rPr>
              <w:t>33</w:t>
            </w:r>
          </w:p>
        </w:tc>
        <w:tc>
          <w:tcPr>
            <w:tcW w:w="971" w:type="dxa"/>
            <w:shd w:val="clear" w:color="auto" w:fill="auto"/>
          </w:tcPr>
          <w:p w:rsidR="002F7F38" w:rsidRPr="00D1670D" w:rsidRDefault="002F7F38" w:rsidP="00D1670D">
            <w:pPr>
              <w:jc w:val="right"/>
              <w:rPr>
                <w:sz w:val="18"/>
                <w:szCs w:val="18"/>
              </w:rPr>
            </w:pPr>
            <w:r w:rsidRPr="00D1670D">
              <w:rPr>
                <w:sz w:val="18"/>
                <w:szCs w:val="18"/>
              </w:rPr>
              <w:t>29.7</w:t>
            </w:r>
          </w:p>
        </w:tc>
        <w:tc>
          <w:tcPr>
            <w:tcW w:w="1155" w:type="dxa"/>
            <w:shd w:val="clear" w:color="auto" w:fill="F2F2F2"/>
          </w:tcPr>
          <w:p w:rsidR="002F7F38" w:rsidRPr="00D1670D" w:rsidRDefault="002F7F38" w:rsidP="00D1670D">
            <w:pPr>
              <w:jc w:val="right"/>
              <w:rPr>
                <w:sz w:val="18"/>
                <w:szCs w:val="18"/>
              </w:rPr>
            </w:pPr>
            <w:r w:rsidRPr="00D1670D">
              <w:rPr>
                <w:sz w:val="18"/>
                <w:szCs w:val="18"/>
              </w:rPr>
              <w:t>368</w:t>
            </w:r>
          </w:p>
        </w:tc>
        <w:tc>
          <w:tcPr>
            <w:tcW w:w="829" w:type="dxa"/>
            <w:shd w:val="clear" w:color="auto" w:fill="F2F2F2"/>
          </w:tcPr>
          <w:p w:rsidR="002F7F38" w:rsidRPr="00D1670D" w:rsidRDefault="002F7F38" w:rsidP="00D1670D">
            <w:pPr>
              <w:jc w:val="right"/>
              <w:rPr>
                <w:sz w:val="18"/>
                <w:szCs w:val="18"/>
              </w:rPr>
            </w:pPr>
            <w:r w:rsidRPr="00D1670D">
              <w:rPr>
                <w:sz w:val="18"/>
                <w:szCs w:val="18"/>
              </w:rPr>
              <w:t>330.9</w:t>
            </w:r>
          </w:p>
        </w:tc>
        <w:tc>
          <w:tcPr>
            <w:tcW w:w="1155" w:type="dxa"/>
            <w:shd w:val="clear" w:color="auto" w:fill="F2F2F2"/>
          </w:tcPr>
          <w:p w:rsidR="002F7F38" w:rsidRPr="00D1670D" w:rsidRDefault="002F7F38" w:rsidP="00D1670D">
            <w:pPr>
              <w:jc w:val="right"/>
              <w:rPr>
                <w:sz w:val="18"/>
                <w:szCs w:val="18"/>
              </w:rPr>
            </w:pPr>
            <w:r w:rsidRPr="00D1670D">
              <w:rPr>
                <w:sz w:val="18"/>
                <w:szCs w:val="18"/>
              </w:rPr>
              <w:t>246</w:t>
            </w:r>
          </w:p>
        </w:tc>
        <w:tc>
          <w:tcPr>
            <w:tcW w:w="1155" w:type="dxa"/>
            <w:shd w:val="clear" w:color="auto" w:fill="F2F2F2"/>
          </w:tcPr>
          <w:p w:rsidR="002F7F38" w:rsidRPr="00D1670D" w:rsidRDefault="002F7F38" w:rsidP="00D1670D">
            <w:pPr>
              <w:jc w:val="right"/>
              <w:rPr>
                <w:sz w:val="18"/>
                <w:szCs w:val="18"/>
              </w:rPr>
            </w:pPr>
            <w:r w:rsidRPr="00D1670D">
              <w:rPr>
                <w:sz w:val="18"/>
                <w:szCs w:val="18"/>
              </w:rPr>
              <w:t>82</w:t>
            </w:r>
          </w:p>
        </w:tc>
        <w:tc>
          <w:tcPr>
            <w:tcW w:w="956" w:type="dxa"/>
            <w:shd w:val="clear" w:color="auto" w:fill="F2F2F2"/>
          </w:tcPr>
          <w:p w:rsidR="002F7F38" w:rsidRPr="00D1670D" w:rsidRDefault="002F7F38" w:rsidP="00D1670D">
            <w:pPr>
              <w:jc w:val="right"/>
              <w:rPr>
                <w:sz w:val="18"/>
                <w:szCs w:val="18"/>
              </w:rPr>
            </w:pPr>
            <w:r w:rsidRPr="00D1670D">
              <w:rPr>
                <w:sz w:val="18"/>
                <w:szCs w:val="18"/>
              </w:rPr>
              <w:t>296.1</w:t>
            </w:r>
          </w:p>
        </w:tc>
        <w:tc>
          <w:tcPr>
            <w:tcW w:w="1155" w:type="dxa"/>
            <w:shd w:val="clear" w:color="auto" w:fill="F2F2F2"/>
          </w:tcPr>
          <w:p w:rsidR="002F7F38" w:rsidRPr="00D1670D" w:rsidRDefault="002F7F38" w:rsidP="00D1670D">
            <w:pPr>
              <w:jc w:val="right"/>
              <w:rPr>
                <w:sz w:val="18"/>
                <w:szCs w:val="18"/>
              </w:rPr>
            </w:pPr>
            <w:r w:rsidRPr="00D1670D">
              <w:rPr>
                <w:sz w:val="18"/>
                <w:szCs w:val="18"/>
              </w:rPr>
              <w:t>41</w:t>
            </w:r>
          </w:p>
        </w:tc>
        <w:tc>
          <w:tcPr>
            <w:tcW w:w="971" w:type="dxa"/>
            <w:shd w:val="clear" w:color="auto" w:fill="F2F2F2"/>
          </w:tcPr>
          <w:p w:rsidR="002F7F38" w:rsidRPr="00D1670D" w:rsidRDefault="002F7F38" w:rsidP="00D1670D">
            <w:pPr>
              <w:jc w:val="right"/>
              <w:rPr>
                <w:sz w:val="18"/>
                <w:szCs w:val="18"/>
              </w:rPr>
            </w:pPr>
            <w:r w:rsidRPr="00D1670D">
              <w:rPr>
                <w:sz w:val="18"/>
                <w:szCs w:val="18"/>
              </w:rPr>
              <w:t>35.8</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45-54</w:t>
            </w:r>
          </w:p>
        </w:tc>
        <w:tc>
          <w:tcPr>
            <w:tcW w:w="1155" w:type="dxa"/>
            <w:shd w:val="clear" w:color="auto" w:fill="auto"/>
          </w:tcPr>
          <w:p w:rsidR="002F7F38" w:rsidRPr="00D1670D" w:rsidRDefault="002F7F38" w:rsidP="00D1670D">
            <w:pPr>
              <w:jc w:val="right"/>
              <w:rPr>
                <w:sz w:val="18"/>
                <w:szCs w:val="18"/>
              </w:rPr>
            </w:pPr>
            <w:r w:rsidRPr="00D1670D">
              <w:rPr>
                <w:sz w:val="18"/>
                <w:szCs w:val="18"/>
              </w:rPr>
              <w:t>304</w:t>
            </w:r>
          </w:p>
        </w:tc>
        <w:tc>
          <w:tcPr>
            <w:tcW w:w="931" w:type="dxa"/>
            <w:shd w:val="clear" w:color="auto" w:fill="auto"/>
          </w:tcPr>
          <w:p w:rsidR="002F7F38" w:rsidRPr="00D1670D" w:rsidRDefault="002F7F38" w:rsidP="00D1670D">
            <w:pPr>
              <w:jc w:val="right"/>
              <w:rPr>
                <w:sz w:val="18"/>
                <w:szCs w:val="18"/>
              </w:rPr>
            </w:pPr>
            <w:r w:rsidRPr="00D1670D">
              <w:rPr>
                <w:sz w:val="18"/>
                <w:szCs w:val="18"/>
              </w:rPr>
              <w:t>277.8</w:t>
            </w:r>
          </w:p>
        </w:tc>
        <w:tc>
          <w:tcPr>
            <w:tcW w:w="1155" w:type="dxa"/>
            <w:shd w:val="clear" w:color="auto" w:fill="auto"/>
          </w:tcPr>
          <w:p w:rsidR="002F7F38" w:rsidRPr="00D1670D" w:rsidRDefault="002F7F38" w:rsidP="00D1670D">
            <w:pPr>
              <w:jc w:val="right"/>
              <w:rPr>
                <w:sz w:val="18"/>
                <w:szCs w:val="18"/>
              </w:rPr>
            </w:pPr>
            <w:r w:rsidRPr="00D1670D">
              <w:rPr>
                <w:sz w:val="18"/>
                <w:szCs w:val="18"/>
              </w:rPr>
              <w:t>214</w:t>
            </w:r>
          </w:p>
        </w:tc>
        <w:tc>
          <w:tcPr>
            <w:tcW w:w="1155" w:type="dxa"/>
            <w:shd w:val="clear" w:color="auto" w:fill="auto"/>
          </w:tcPr>
          <w:p w:rsidR="002F7F38" w:rsidRPr="00D1670D" w:rsidRDefault="002F7F38" w:rsidP="00D1670D">
            <w:pPr>
              <w:jc w:val="right"/>
              <w:rPr>
                <w:sz w:val="18"/>
                <w:szCs w:val="18"/>
              </w:rPr>
            </w:pPr>
            <w:r w:rsidRPr="00D1670D">
              <w:rPr>
                <w:sz w:val="18"/>
                <w:szCs w:val="18"/>
              </w:rPr>
              <w:t>71</w:t>
            </w:r>
          </w:p>
        </w:tc>
        <w:tc>
          <w:tcPr>
            <w:tcW w:w="951" w:type="dxa"/>
            <w:shd w:val="clear" w:color="auto" w:fill="auto"/>
          </w:tcPr>
          <w:p w:rsidR="002F7F38" w:rsidRPr="00D1670D" w:rsidRDefault="002F7F38" w:rsidP="00D1670D">
            <w:pPr>
              <w:jc w:val="right"/>
              <w:rPr>
                <w:sz w:val="18"/>
                <w:szCs w:val="18"/>
              </w:rPr>
            </w:pPr>
            <w:r w:rsidRPr="00D1670D">
              <w:rPr>
                <w:sz w:val="18"/>
                <w:szCs w:val="18"/>
              </w:rPr>
              <w:t>261.1</w:t>
            </w:r>
          </w:p>
        </w:tc>
        <w:tc>
          <w:tcPr>
            <w:tcW w:w="1155" w:type="dxa"/>
            <w:shd w:val="clear" w:color="auto" w:fill="auto"/>
          </w:tcPr>
          <w:p w:rsidR="002F7F38" w:rsidRPr="00D1670D" w:rsidRDefault="002F7F38" w:rsidP="00D1670D">
            <w:pPr>
              <w:jc w:val="right"/>
              <w:rPr>
                <w:sz w:val="18"/>
                <w:szCs w:val="18"/>
              </w:rPr>
            </w:pPr>
            <w:r w:rsidRPr="00D1670D">
              <w:rPr>
                <w:sz w:val="18"/>
                <w:szCs w:val="18"/>
              </w:rPr>
              <w:t>19</w:t>
            </w:r>
          </w:p>
        </w:tc>
        <w:tc>
          <w:tcPr>
            <w:tcW w:w="971" w:type="dxa"/>
            <w:shd w:val="clear" w:color="auto" w:fill="auto"/>
          </w:tcPr>
          <w:p w:rsidR="002F7F38" w:rsidRPr="00D1670D" w:rsidRDefault="002F7F38" w:rsidP="00D1670D">
            <w:pPr>
              <w:jc w:val="right"/>
              <w:rPr>
                <w:sz w:val="18"/>
                <w:szCs w:val="18"/>
              </w:rPr>
            </w:pPr>
            <w:r w:rsidRPr="00D1670D">
              <w:rPr>
                <w:sz w:val="18"/>
                <w:szCs w:val="18"/>
              </w:rPr>
              <w:t>16.7</w:t>
            </w:r>
          </w:p>
        </w:tc>
        <w:tc>
          <w:tcPr>
            <w:tcW w:w="1155" w:type="dxa"/>
            <w:shd w:val="clear" w:color="auto" w:fill="F2F2F2"/>
          </w:tcPr>
          <w:p w:rsidR="002F7F38" w:rsidRPr="00D1670D" w:rsidRDefault="002F7F38" w:rsidP="00D1670D">
            <w:pPr>
              <w:jc w:val="right"/>
              <w:rPr>
                <w:sz w:val="18"/>
                <w:szCs w:val="18"/>
              </w:rPr>
            </w:pPr>
            <w:r w:rsidRPr="00D1670D">
              <w:rPr>
                <w:sz w:val="18"/>
                <w:szCs w:val="18"/>
              </w:rPr>
              <w:t>324</w:t>
            </w:r>
          </w:p>
        </w:tc>
        <w:tc>
          <w:tcPr>
            <w:tcW w:w="829" w:type="dxa"/>
            <w:shd w:val="clear" w:color="auto" w:fill="F2F2F2"/>
          </w:tcPr>
          <w:p w:rsidR="002F7F38" w:rsidRPr="00D1670D" w:rsidRDefault="002F7F38" w:rsidP="00D1670D">
            <w:pPr>
              <w:jc w:val="right"/>
              <w:rPr>
                <w:sz w:val="18"/>
                <w:szCs w:val="18"/>
              </w:rPr>
            </w:pPr>
            <w:r w:rsidRPr="00D1670D">
              <w:rPr>
                <w:sz w:val="18"/>
                <w:szCs w:val="18"/>
              </w:rPr>
              <w:t>299.2</w:t>
            </w:r>
          </w:p>
        </w:tc>
        <w:tc>
          <w:tcPr>
            <w:tcW w:w="1155" w:type="dxa"/>
            <w:shd w:val="clear" w:color="auto" w:fill="F2F2F2"/>
          </w:tcPr>
          <w:p w:rsidR="002F7F38" w:rsidRPr="00D1670D" w:rsidRDefault="002F7F38" w:rsidP="00D1670D">
            <w:pPr>
              <w:jc w:val="right"/>
              <w:rPr>
                <w:sz w:val="18"/>
                <w:szCs w:val="18"/>
              </w:rPr>
            </w:pPr>
            <w:r w:rsidRPr="00D1670D">
              <w:rPr>
                <w:sz w:val="18"/>
                <w:szCs w:val="18"/>
              </w:rPr>
              <w:t>232</w:t>
            </w:r>
          </w:p>
        </w:tc>
        <w:tc>
          <w:tcPr>
            <w:tcW w:w="1155" w:type="dxa"/>
            <w:shd w:val="clear" w:color="auto" w:fill="F2F2F2"/>
          </w:tcPr>
          <w:p w:rsidR="002F7F38" w:rsidRPr="00D1670D" w:rsidRDefault="002F7F38" w:rsidP="00D1670D">
            <w:pPr>
              <w:jc w:val="right"/>
              <w:rPr>
                <w:sz w:val="18"/>
                <w:szCs w:val="18"/>
              </w:rPr>
            </w:pPr>
            <w:r w:rsidRPr="00D1670D">
              <w:rPr>
                <w:sz w:val="18"/>
                <w:szCs w:val="18"/>
              </w:rPr>
              <w:t>71</w:t>
            </w:r>
          </w:p>
        </w:tc>
        <w:tc>
          <w:tcPr>
            <w:tcW w:w="956" w:type="dxa"/>
            <w:shd w:val="clear" w:color="auto" w:fill="F2F2F2"/>
          </w:tcPr>
          <w:p w:rsidR="002F7F38" w:rsidRPr="00D1670D" w:rsidRDefault="002F7F38" w:rsidP="00D1670D">
            <w:pPr>
              <w:jc w:val="right"/>
              <w:rPr>
                <w:sz w:val="18"/>
                <w:szCs w:val="18"/>
              </w:rPr>
            </w:pPr>
            <w:r w:rsidRPr="00D1670D">
              <w:rPr>
                <w:sz w:val="18"/>
                <w:szCs w:val="18"/>
              </w:rPr>
              <w:t>279.6</w:t>
            </w:r>
          </w:p>
        </w:tc>
        <w:tc>
          <w:tcPr>
            <w:tcW w:w="1155" w:type="dxa"/>
            <w:shd w:val="clear" w:color="auto" w:fill="F2F2F2"/>
          </w:tcPr>
          <w:p w:rsidR="002F7F38" w:rsidRPr="00D1670D" w:rsidRDefault="002F7F38" w:rsidP="00D1670D">
            <w:pPr>
              <w:jc w:val="right"/>
              <w:rPr>
                <w:sz w:val="18"/>
                <w:szCs w:val="18"/>
              </w:rPr>
            </w:pPr>
            <w:r w:rsidRPr="00D1670D">
              <w:rPr>
                <w:sz w:val="18"/>
                <w:szCs w:val="18"/>
              </w:rPr>
              <w:t>21</w:t>
            </w:r>
          </w:p>
        </w:tc>
        <w:tc>
          <w:tcPr>
            <w:tcW w:w="971" w:type="dxa"/>
            <w:shd w:val="clear" w:color="auto" w:fill="F2F2F2"/>
          </w:tcPr>
          <w:p w:rsidR="002F7F38" w:rsidRPr="00D1670D" w:rsidRDefault="002F7F38" w:rsidP="00D1670D">
            <w:pPr>
              <w:jc w:val="right"/>
              <w:rPr>
                <w:sz w:val="18"/>
                <w:szCs w:val="18"/>
              </w:rPr>
            </w:pPr>
            <w:r w:rsidRPr="00D1670D">
              <w:rPr>
                <w:sz w:val="18"/>
                <w:szCs w:val="18"/>
              </w:rPr>
              <w:t>19.6</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55-64</w:t>
            </w:r>
          </w:p>
        </w:tc>
        <w:tc>
          <w:tcPr>
            <w:tcW w:w="1155" w:type="dxa"/>
            <w:shd w:val="clear" w:color="auto" w:fill="auto"/>
          </w:tcPr>
          <w:p w:rsidR="002F7F38" w:rsidRPr="00D1670D" w:rsidRDefault="002F7F38" w:rsidP="00D1670D">
            <w:pPr>
              <w:jc w:val="right"/>
              <w:rPr>
                <w:sz w:val="18"/>
                <w:szCs w:val="18"/>
              </w:rPr>
            </w:pPr>
            <w:r w:rsidRPr="00D1670D">
              <w:rPr>
                <w:sz w:val="18"/>
                <w:szCs w:val="18"/>
              </w:rPr>
              <w:t>265</w:t>
            </w:r>
          </w:p>
        </w:tc>
        <w:tc>
          <w:tcPr>
            <w:tcW w:w="931" w:type="dxa"/>
            <w:shd w:val="clear" w:color="auto" w:fill="auto"/>
          </w:tcPr>
          <w:p w:rsidR="002F7F38" w:rsidRPr="00D1670D" w:rsidRDefault="002F7F38" w:rsidP="00D1670D">
            <w:pPr>
              <w:jc w:val="right"/>
              <w:rPr>
                <w:sz w:val="18"/>
                <w:szCs w:val="18"/>
              </w:rPr>
            </w:pPr>
            <w:r w:rsidRPr="00D1670D">
              <w:rPr>
                <w:sz w:val="18"/>
                <w:szCs w:val="18"/>
              </w:rPr>
              <w:t>250.9</w:t>
            </w:r>
          </w:p>
        </w:tc>
        <w:tc>
          <w:tcPr>
            <w:tcW w:w="1155" w:type="dxa"/>
            <w:shd w:val="clear" w:color="auto" w:fill="auto"/>
          </w:tcPr>
          <w:p w:rsidR="002F7F38" w:rsidRPr="00D1670D" w:rsidRDefault="002F7F38" w:rsidP="00D1670D">
            <w:pPr>
              <w:jc w:val="right"/>
              <w:rPr>
                <w:sz w:val="18"/>
                <w:szCs w:val="18"/>
              </w:rPr>
            </w:pPr>
            <w:r w:rsidRPr="00D1670D">
              <w:rPr>
                <w:sz w:val="18"/>
                <w:szCs w:val="18"/>
              </w:rPr>
              <w:t>216</w:t>
            </w:r>
          </w:p>
        </w:tc>
        <w:tc>
          <w:tcPr>
            <w:tcW w:w="1155" w:type="dxa"/>
            <w:shd w:val="clear" w:color="auto" w:fill="auto"/>
          </w:tcPr>
          <w:p w:rsidR="002F7F38" w:rsidRPr="00D1670D" w:rsidRDefault="002F7F38" w:rsidP="00D1670D">
            <w:pPr>
              <w:jc w:val="right"/>
              <w:rPr>
                <w:sz w:val="18"/>
                <w:szCs w:val="18"/>
              </w:rPr>
            </w:pPr>
            <w:r w:rsidRPr="00D1670D">
              <w:rPr>
                <w:sz w:val="18"/>
                <w:szCs w:val="18"/>
              </w:rPr>
              <w:t>31</w:t>
            </w:r>
          </w:p>
        </w:tc>
        <w:tc>
          <w:tcPr>
            <w:tcW w:w="951" w:type="dxa"/>
            <w:shd w:val="clear" w:color="auto" w:fill="auto"/>
          </w:tcPr>
          <w:p w:rsidR="002F7F38" w:rsidRPr="00D1670D" w:rsidRDefault="002F7F38" w:rsidP="00D1670D">
            <w:pPr>
              <w:jc w:val="right"/>
              <w:rPr>
                <w:sz w:val="18"/>
                <w:szCs w:val="18"/>
              </w:rPr>
            </w:pPr>
            <w:r w:rsidRPr="00D1670D">
              <w:rPr>
                <w:sz w:val="18"/>
                <w:szCs w:val="18"/>
              </w:rPr>
              <w:t>237.4</w:t>
            </w:r>
          </w:p>
        </w:tc>
        <w:tc>
          <w:tcPr>
            <w:tcW w:w="1155" w:type="dxa"/>
            <w:shd w:val="clear" w:color="auto" w:fill="auto"/>
          </w:tcPr>
          <w:p w:rsidR="002F7F38" w:rsidRPr="00D1670D" w:rsidRDefault="002F7F38" w:rsidP="00D1670D">
            <w:pPr>
              <w:jc w:val="right"/>
              <w:rPr>
                <w:sz w:val="18"/>
                <w:szCs w:val="18"/>
              </w:rPr>
            </w:pPr>
            <w:r w:rsidRPr="00D1670D">
              <w:rPr>
                <w:sz w:val="18"/>
                <w:szCs w:val="18"/>
              </w:rPr>
              <w:t>18</w:t>
            </w:r>
          </w:p>
        </w:tc>
        <w:tc>
          <w:tcPr>
            <w:tcW w:w="971" w:type="dxa"/>
            <w:shd w:val="clear" w:color="auto" w:fill="auto"/>
          </w:tcPr>
          <w:p w:rsidR="002F7F38" w:rsidRPr="00D1670D" w:rsidRDefault="002F7F38" w:rsidP="00D1670D">
            <w:pPr>
              <w:jc w:val="right"/>
              <w:rPr>
                <w:sz w:val="18"/>
                <w:szCs w:val="18"/>
              </w:rPr>
            </w:pPr>
            <w:r w:rsidRPr="00D1670D">
              <w:rPr>
                <w:sz w:val="18"/>
                <w:szCs w:val="18"/>
              </w:rPr>
              <w:t>13.5</w:t>
            </w:r>
          </w:p>
        </w:tc>
        <w:tc>
          <w:tcPr>
            <w:tcW w:w="1155" w:type="dxa"/>
            <w:shd w:val="clear" w:color="auto" w:fill="F2F2F2"/>
          </w:tcPr>
          <w:p w:rsidR="002F7F38" w:rsidRPr="00D1670D" w:rsidRDefault="002F7F38" w:rsidP="00D1670D">
            <w:pPr>
              <w:jc w:val="right"/>
              <w:rPr>
                <w:sz w:val="18"/>
                <w:szCs w:val="18"/>
              </w:rPr>
            </w:pPr>
            <w:r w:rsidRPr="00D1670D">
              <w:rPr>
                <w:sz w:val="18"/>
                <w:szCs w:val="18"/>
              </w:rPr>
              <w:t>254</w:t>
            </w:r>
          </w:p>
        </w:tc>
        <w:tc>
          <w:tcPr>
            <w:tcW w:w="829" w:type="dxa"/>
            <w:shd w:val="clear" w:color="auto" w:fill="F2F2F2"/>
          </w:tcPr>
          <w:p w:rsidR="002F7F38" w:rsidRPr="00D1670D" w:rsidRDefault="002F7F38" w:rsidP="00D1670D">
            <w:pPr>
              <w:jc w:val="right"/>
              <w:rPr>
                <w:sz w:val="18"/>
                <w:szCs w:val="18"/>
              </w:rPr>
            </w:pPr>
            <w:r w:rsidRPr="00D1670D">
              <w:rPr>
                <w:sz w:val="18"/>
                <w:szCs w:val="18"/>
              </w:rPr>
              <w:t>238.3</w:t>
            </w:r>
          </w:p>
        </w:tc>
        <w:tc>
          <w:tcPr>
            <w:tcW w:w="1155" w:type="dxa"/>
            <w:shd w:val="clear" w:color="auto" w:fill="F2F2F2"/>
          </w:tcPr>
          <w:p w:rsidR="002F7F38" w:rsidRPr="00D1670D" w:rsidRDefault="002F7F38" w:rsidP="00D1670D">
            <w:pPr>
              <w:jc w:val="right"/>
              <w:rPr>
                <w:sz w:val="18"/>
                <w:szCs w:val="18"/>
              </w:rPr>
            </w:pPr>
            <w:r w:rsidRPr="00D1670D">
              <w:rPr>
                <w:sz w:val="18"/>
                <w:szCs w:val="18"/>
              </w:rPr>
              <w:t>200</w:t>
            </w:r>
          </w:p>
        </w:tc>
        <w:tc>
          <w:tcPr>
            <w:tcW w:w="1155" w:type="dxa"/>
            <w:shd w:val="clear" w:color="auto" w:fill="F2F2F2"/>
          </w:tcPr>
          <w:p w:rsidR="002F7F38" w:rsidRPr="00D1670D" w:rsidRDefault="002F7F38" w:rsidP="00D1670D">
            <w:pPr>
              <w:jc w:val="right"/>
              <w:rPr>
                <w:sz w:val="18"/>
                <w:szCs w:val="18"/>
              </w:rPr>
            </w:pPr>
            <w:r w:rsidRPr="00D1670D">
              <w:rPr>
                <w:sz w:val="18"/>
                <w:szCs w:val="18"/>
              </w:rPr>
              <w:t>32</w:t>
            </w:r>
          </w:p>
        </w:tc>
        <w:tc>
          <w:tcPr>
            <w:tcW w:w="956" w:type="dxa"/>
            <w:shd w:val="clear" w:color="auto" w:fill="F2F2F2"/>
          </w:tcPr>
          <w:p w:rsidR="002F7F38" w:rsidRPr="00D1670D" w:rsidRDefault="002F7F38" w:rsidP="00D1670D">
            <w:pPr>
              <w:jc w:val="right"/>
              <w:rPr>
                <w:sz w:val="18"/>
                <w:szCs w:val="18"/>
              </w:rPr>
            </w:pPr>
            <w:r w:rsidRPr="00D1670D">
              <w:rPr>
                <w:sz w:val="18"/>
                <w:szCs w:val="18"/>
              </w:rPr>
              <w:t>221.1</w:t>
            </w:r>
          </w:p>
        </w:tc>
        <w:tc>
          <w:tcPr>
            <w:tcW w:w="1155" w:type="dxa"/>
            <w:shd w:val="clear" w:color="auto" w:fill="F2F2F2"/>
          </w:tcPr>
          <w:p w:rsidR="002F7F38" w:rsidRPr="00D1670D" w:rsidRDefault="002F7F38" w:rsidP="00D1670D">
            <w:pPr>
              <w:jc w:val="right"/>
              <w:rPr>
                <w:sz w:val="18"/>
                <w:szCs w:val="18"/>
              </w:rPr>
            </w:pPr>
            <w:r w:rsidRPr="00D1670D">
              <w:rPr>
                <w:sz w:val="18"/>
                <w:szCs w:val="18"/>
              </w:rPr>
              <w:t>21</w:t>
            </w:r>
          </w:p>
        </w:tc>
        <w:tc>
          <w:tcPr>
            <w:tcW w:w="971" w:type="dxa"/>
            <w:shd w:val="clear" w:color="auto" w:fill="F2F2F2"/>
          </w:tcPr>
          <w:p w:rsidR="002F7F38" w:rsidRPr="00D1670D" w:rsidRDefault="002F7F38" w:rsidP="00D1670D">
            <w:pPr>
              <w:jc w:val="right"/>
              <w:rPr>
                <w:sz w:val="18"/>
                <w:szCs w:val="18"/>
              </w:rPr>
            </w:pPr>
            <w:r w:rsidRPr="00D1670D">
              <w:rPr>
                <w:sz w:val="18"/>
                <w:szCs w:val="18"/>
              </w:rPr>
              <w:t>16.2</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Over 64</w:t>
            </w:r>
          </w:p>
        </w:tc>
        <w:tc>
          <w:tcPr>
            <w:tcW w:w="1155" w:type="dxa"/>
            <w:shd w:val="clear" w:color="auto" w:fill="auto"/>
          </w:tcPr>
          <w:p w:rsidR="002F7F38" w:rsidRPr="00D1670D" w:rsidRDefault="002F7F38" w:rsidP="00D1670D">
            <w:pPr>
              <w:jc w:val="right"/>
              <w:rPr>
                <w:sz w:val="18"/>
                <w:szCs w:val="18"/>
              </w:rPr>
            </w:pPr>
            <w:r w:rsidRPr="00D1670D">
              <w:rPr>
                <w:sz w:val="18"/>
                <w:szCs w:val="18"/>
              </w:rPr>
              <w:t>74</w:t>
            </w:r>
          </w:p>
        </w:tc>
        <w:tc>
          <w:tcPr>
            <w:tcW w:w="931" w:type="dxa"/>
            <w:shd w:val="clear" w:color="auto" w:fill="auto"/>
          </w:tcPr>
          <w:p w:rsidR="002F7F38" w:rsidRPr="00D1670D" w:rsidRDefault="002F7F38" w:rsidP="00D1670D">
            <w:pPr>
              <w:jc w:val="right"/>
              <w:rPr>
                <w:sz w:val="18"/>
                <w:szCs w:val="18"/>
              </w:rPr>
            </w:pPr>
            <w:r w:rsidRPr="00D1670D">
              <w:rPr>
                <w:sz w:val="18"/>
                <w:szCs w:val="18"/>
              </w:rPr>
              <w:t>68.2</w:t>
            </w:r>
          </w:p>
        </w:tc>
        <w:tc>
          <w:tcPr>
            <w:tcW w:w="1155" w:type="dxa"/>
            <w:shd w:val="clear" w:color="auto" w:fill="auto"/>
          </w:tcPr>
          <w:p w:rsidR="002F7F38" w:rsidRPr="00D1670D" w:rsidRDefault="002F7F38" w:rsidP="00D1670D">
            <w:pPr>
              <w:jc w:val="right"/>
              <w:rPr>
                <w:sz w:val="18"/>
                <w:szCs w:val="18"/>
              </w:rPr>
            </w:pPr>
            <w:r w:rsidRPr="00D1670D">
              <w:rPr>
                <w:sz w:val="18"/>
                <w:szCs w:val="18"/>
              </w:rPr>
              <w:t>60</w:t>
            </w:r>
          </w:p>
        </w:tc>
        <w:tc>
          <w:tcPr>
            <w:tcW w:w="1155" w:type="dxa"/>
            <w:shd w:val="clear" w:color="auto" w:fill="auto"/>
          </w:tcPr>
          <w:p w:rsidR="002F7F38" w:rsidRPr="00D1670D" w:rsidRDefault="002F7F38" w:rsidP="00D1670D">
            <w:pPr>
              <w:jc w:val="right"/>
              <w:rPr>
                <w:sz w:val="18"/>
                <w:szCs w:val="18"/>
              </w:rPr>
            </w:pPr>
            <w:r w:rsidRPr="00D1670D">
              <w:rPr>
                <w:sz w:val="18"/>
                <w:szCs w:val="18"/>
              </w:rPr>
              <w:t>14</w:t>
            </w:r>
          </w:p>
        </w:tc>
        <w:tc>
          <w:tcPr>
            <w:tcW w:w="951" w:type="dxa"/>
            <w:shd w:val="clear" w:color="auto" w:fill="auto"/>
          </w:tcPr>
          <w:p w:rsidR="002F7F38" w:rsidRPr="00D1670D" w:rsidRDefault="002F7F38" w:rsidP="00D1670D">
            <w:pPr>
              <w:jc w:val="right"/>
              <w:rPr>
                <w:sz w:val="18"/>
                <w:szCs w:val="18"/>
              </w:rPr>
            </w:pPr>
            <w:r w:rsidRPr="00D1670D">
              <w:rPr>
                <w:sz w:val="18"/>
                <w:szCs w:val="18"/>
              </w:rPr>
              <w:t>68.2</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971"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76</w:t>
            </w:r>
          </w:p>
        </w:tc>
        <w:tc>
          <w:tcPr>
            <w:tcW w:w="829" w:type="dxa"/>
            <w:shd w:val="clear" w:color="auto" w:fill="F2F2F2"/>
          </w:tcPr>
          <w:p w:rsidR="002F7F38" w:rsidRPr="00D1670D" w:rsidRDefault="002F7F38" w:rsidP="00D1670D">
            <w:pPr>
              <w:jc w:val="right"/>
              <w:rPr>
                <w:sz w:val="18"/>
                <w:szCs w:val="18"/>
              </w:rPr>
            </w:pPr>
            <w:r w:rsidRPr="00D1670D">
              <w:rPr>
                <w:sz w:val="18"/>
                <w:szCs w:val="18"/>
              </w:rPr>
              <w:t>69.3</w:t>
            </w:r>
          </w:p>
        </w:tc>
        <w:tc>
          <w:tcPr>
            <w:tcW w:w="1155" w:type="dxa"/>
            <w:shd w:val="clear" w:color="auto" w:fill="F2F2F2"/>
          </w:tcPr>
          <w:p w:rsidR="002F7F38" w:rsidRPr="00D1670D" w:rsidRDefault="002F7F38" w:rsidP="00D1670D">
            <w:pPr>
              <w:jc w:val="right"/>
              <w:rPr>
                <w:sz w:val="18"/>
                <w:szCs w:val="18"/>
              </w:rPr>
            </w:pPr>
            <w:r w:rsidRPr="00D1670D">
              <w:rPr>
                <w:sz w:val="18"/>
                <w:szCs w:val="18"/>
              </w:rPr>
              <w:t>61</w:t>
            </w:r>
          </w:p>
        </w:tc>
        <w:tc>
          <w:tcPr>
            <w:tcW w:w="1155" w:type="dxa"/>
            <w:shd w:val="clear" w:color="auto" w:fill="F2F2F2"/>
          </w:tcPr>
          <w:p w:rsidR="002F7F38" w:rsidRPr="00D1670D" w:rsidRDefault="002F7F38" w:rsidP="00D1670D">
            <w:pPr>
              <w:jc w:val="right"/>
              <w:rPr>
                <w:sz w:val="18"/>
                <w:szCs w:val="18"/>
              </w:rPr>
            </w:pPr>
            <w:r w:rsidRPr="00D1670D">
              <w:rPr>
                <w:sz w:val="18"/>
                <w:szCs w:val="18"/>
              </w:rPr>
              <w:t>16</w:t>
            </w:r>
          </w:p>
        </w:tc>
        <w:tc>
          <w:tcPr>
            <w:tcW w:w="956" w:type="dxa"/>
            <w:shd w:val="clear" w:color="auto" w:fill="F2F2F2"/>
          </w:tcPr>
          <w:p w:rsidR="002F7F38" w:rsidRPr="00D1670D" w:rsidRDefault="002F7F38" w:rsidP="00D1670D">
            <w:pPr>
              <w:jc w:val="right"/>
              <w:rPr>
                <w:sz w:val="18"/>
                <w:szCs w:val="18"/>
              </w:rPr>
            </w:pPr>
            <w:r w:rsidRPr="00D1670D">
              <w:rPr>
                <w:sz w:val="18"/>
                <w:szCs w:val="18"/>
              </w:rPr>
              <w:t>70.3</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971" w:type="dxa"/>
            <w:shd w:val="clear" w:color="auto" w:fill="F2F2F2"/>
          </w:tcPr>
          <w:p w:rsidR="002F7F38" w:rsidRPr="00D1670D" w:rsidRDefault="002F7F38" w:rsidP="00D1670D">
            <w:pPr>
              <w:jc w:val="right"/>
              <w:rPr>
                <w:sz w:val="18"/>
                <w:szCs w:val="18"/>
              </w:rPr>
            </w:pPr>
            <w:r w:rsidRPr="00D1670D">
              <w:rPr>
                <w:sz w:val="18"/>
                <w:szCs w:val="18"/>
              </w:rPr>
              <w:t>0</w:t>
            </w:r>
          </w:p>
        </w:tc>
      </w:tr>
      <w:tr w:rsidR="002F7F38" w:rsidRPr="00D1670D" w:rsidTr="00462AEA">
        <w:tc>
          <w:tcPr>
            <w:tcW w:w="16551" w:type="dxa"/>
            <w:gridSpan w:val="15"/>
            <w:shd w:val="clear" w:color="auto" w:fill="D9D9D9"/>
          </w:tcPr>
          <w:p w:rsidR="002F7F38" w:rsidRPr="00D1670D" w:rsidRDefault="002F7F38" w:rsidP="00D1670D">
            <w:pPr>
              <w:rPr>
                <w:b/>
                <w:sz w:val="18"/>
                <w:szCs w:val="18"/>
              </w:rPr>
            </w:pPr>
            <w:r w:rsidRPr="00D1670D">
              <w:rPr>
                <w:b/>
                <w:sz w:val="18"/>
                <w:szCs w:val="18"/>
              </w:rPr>
              <w:t>Classification data</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VPS 1</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931"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951"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971"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829" w:type="dxa"/>
            <w:shd w:val="clear" w:color="auto" w:fill="F2F2F2"/>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956" w:type="dxa"/>
            <w:shd w:val="clear" w:color="auto" w:fill="F2F2F2"/>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971" w:type="dxa"/>
            <w:shd w:val="clear" w:color="auto" w:fill="F2F2F2"/>
          </w:tcPr>
          <w:p w:rsidR="002F7F38" w:rsidRPr="00D1670D" w:rsidRDefault="002F7F38" w:rsidP="00D1670D">
            <w:pPr>
              <w:jc w:val="right"/>
              <w:rPr>
                <w:sz w:val="18"/>
                <w:szCs w:val="18"/>
              </w:rPr>
            </w:pPr>
            <w:r w:rsidRPr="00D1670D">
              <w:rPr>
                <w:sz w:val="18"/>
                <w:szCs w:val="18"/>
              </w:rPr>
              <w:t>0</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VPS 2</w:t>
            </w:r>
          </w:p>
        </w:tc>
        <w:tc>
          <w:tcPr>
            <w:tcW w:w="1155" w:type="dxa"/>
            <w:shd w:val="clear" w:color="auto" w:fill="auto"/>
          </w:tcPr>
          <w:p w:rsidR="002F7F38" w:rsidRPr="00D1670D" w:rsidRDefault="002F7F38" w:rsidP="00D1670D">
            <w:pPr>
              <w:jc w:val="right"/>
              <w:rPr>
                <w:sz w:val="18"/>
                <w:szCs w:val="18"/>
              </w:rPr>
            </w:pPr>
            <w:r w:rsidRPr="00D1670D">
              <w:rPr>
                <w:sz w:val="18"/>
                <w:szCs w:val="18"/>
              </w:rPr>
              <w:t>450</w:t>
            </w:r>
          </w:p>
        </w:tc>
        <w:tc>
          <w:tcPr>
            <w:tcW w:w="931" w:type="dxa"/>
            <w:shd w:val="clear" w:color="auto" w:fill="auto"/>
          </w:tcPr>
          <w:p w:rsidR="002F7F38" w:rsidRPr="00D1670D" w:rsidRDefault="002F7F38" w:rsidP="00D1670D">
            <w:pPr>
              <w:jc w:val="right"/>
              <w:rPr>
                <w:sz w:val="18"/>
                <w:szCs w:val="18"/>
              </w:rPr>
            </w:pPr>
            <w:r w:rsidRPr="00D1670D">
              <w:rPr>
                <w:sz w:val="18"/>
                <w:szCs w:val="18"/>
              </w:rPr>
              <w:t>424.3</w:t>
            </w:r>
          </w:p>
        </w:tc>
        <w:tc>
          <w:tcPr>
            <w:tcW w:w="1155" w:type="dxa"/>
            <w:shd w:val="clear" w:color="auto" w:fill="auto"/>
          </w:tcPr>
          <w:p w:rsidR="002F7F38" w:rsidRPr="00D1670D" w:rsidRDefault="002F7F38" w:rsidP="00D1670D">
            <w:pPr>
              <w:jc w:val="right"/>
              <w:rPr>
                <w:sz w:val="18"/>
                <w:szCs w:val="18"/>
              </w:rPr>
            </w:pPr>
            <w:r w:rsidRPr="00D1670D">
              <w:rPr>
                <w:sz w:val="18"/>
                <w:szCs w:val="18"/>
              </w:rPr>
              <w:t>289</w:t>
            </w:r>
          </w:p>
        </w:tc>
        <w:tc>
          <w:tcPr>
            <w:tcW w:w="1155" w:type="dxa"/>
            <w:shd w:val="clear" w:color="auto" w:fill="auto"/>
          </w:tcPr>
          <w:p w:rsidR="002F7F38" w:rsidRPr="00D1670D" w:rsidRDefault="002F7F38" w:rsidP="00D1670D">
            <w:pPr>
              <w:jc w:val="right"/>
              <w:rPr>
                <w:sz w:val="18"/>
                <w:szCs w:val="18"/>
              </w:rPr>
            </w:pPr>
            <w:r w:rsidRPr="00D1670D">
              <w:rPr>
                <w:sz w:val="18"/>
                <w:szCs w:val="18"/>
              </w:rPr>
              <w:t>57</w:t>
            </w:r>
          </w:p>
        </w:tc>
        <w:tc>
          <w:tcPr>
            <w:tcW w:w="951" w:type="dxa"/>
            <w:shd w:val="clear" w:color="auto" w:fill="auto"/>
          </w:tcPr>
          <w:p w:rsidR="002F7F38" w:rsidRPr="00D1670D" w:rsidRDefault="002F7F38" w:rsidP="00D1670D">
            <w:pPr>
              <w:jc w:val="right"/>
              <w:rPr>
                <w:sz w:val="18"/>
                <w:szCs w:val="18"/>
              </w:rPr>
            </w:pPr>
            <w:r w:rsidRPr="00D1670D">
              <w:rPr>
                <w:sz w:val="18"/>
                <w:szCs w:val="18"/>
              </w:rPr>
              <w:t>326.3</w:t>
            </w:r>
          </w:p>
        </w:tc>
        <w:tc>
          <w:tcPr>
            <w:tcW w:w="1155" w:type="dxa"/>
            <w:shd w:val="clear" w:color="auto" w:fill="auto"/>
          </w:tcPr>
          <w:p w:rsidR="002F7F38" w:rsidRPr="00D1670D" w:rsidRDefault="002F7F38" w:rsidP="00D1670D">
            <w:pPr>
              <w:jc w:val="right"/>
              <w:rPr>
                <w:sz w:val="18"/>
                <w:szCs w:val="18"/>
              </w:rPr>
            </w:pPr>
            <w:r w:rsidRPr="00D1670D">
              <w:rPr>
                <w:sz w:val="18"/>
                <w:szCs w:val="18"/>
              </w:rPr>
              <w:t>104</w:t>
            </w:r>
          </w:p>
        </w:tc>
        <w:tc>
          <w:tcPr>
            <w:tcW w:w="971" w:type="dxa"/>
            <w:shd w:val="clear" w:color="auto" w:fill="auto"/>
          </w:tcPr>
          <w:p w:rsidR="002F7F38" w:rsidRPr="00D1670D" w:rsidRDefault="002F7F38" w:rsidP="00D1670D">
            <w:pPr>
              <w:jc w:val="right"/>
              <w:rPr>
                <w:sz w:val="18"/>
                <w:szCs w:val="18"/>
              </w:rPr>
            </w:pPr>
            <w:r w:rsidRPr="00D1670D">
              <w:rPr>
                <w:sz w:val="18"/>
                <w:szCs w:val="18"/>
              </w:rPr>
              <w:t>98</w:t>
            </w:r>
          </w:p>
        </w:tc>
        <w:tc>
          <w:tcPr>
            <w:tcW w:w="1155" w:type="dxa"/>
            <w:shd w:val="clear" w:color="auto" w:fill="F2F2F2"/>
          </w:tcPr>
          <w:p w:rsidR="002F7F38" w:rsidRPr="00D1670D" w:rsidRDefault="002F7F38" w:rsidP="00D1670D">
            <w:pPr>
              <w:jc w:val="right"/>
              <w:rPr>
                <w:sz w:val="18"/>
                <w:szCs w:val="18"/>
              </w:rPr>
            </w:pPr>
            <w:r w:rsidRPr="00D1670D">
              <w:rPr>
                <w:sz w:val="18"/>
                <w:szCs w:val="18"/>
              </w:rPr>
              <w:t>450</w:t>
            </w:r>
          </w:p>
        </w:tc>
        <w:tc>
          <w:tcPr>
            <w:tcW w:w="829" w:type="dxa"/>
            <w:shd w:val="clear" w:color="auto" w:fill="F2F2F2"/>
          </w:tcPr>
          <w:p w:rsidR="002F7F38" w:rsidRPr="00D1670D" w:rsidRDefault="002F7F38" w:rsidP="00D1670D">
            <w:pPr>
              <w:jc w:val="right"/>
              <w:rPr>
                <w:sz w:val="18"/>
                <w:szCs w:val="18"/>
              </w:rPr>
            </w:pPr>
            <w:r w:rsidRPr="00D1670D">
              <w:rPr>
                <w:sz w:val="18"/>
                <w:szCs w:val="18"/>
              </w:rPr>
              <w:t>424.3</w:t>
            </w:r>
          </w:p>
        </w:tc>
        <w:tc>
          <w:tcPr>
            <w:tcW w:w="1155" w:type="dxa"/>
            <w:shd w:val="clear" w:color="auto" w:fill="F2F2F2"/>
          </w:tcPr>
          <w:p w:rsidR="002F7F38" w:rsidRPr="00D1670D" w:rsidRDefault="002F7F38" w:rsidP="00D1670D">
            <w:pPr>
              <w:jc w:val="right"/>
              <w:rPr>
                <w:sz w:val="18"/>
                <w:szCs w:val="18"/>
              </w:rPr>
            </w:pPr>
            <w:r w:rsidRPr="00D1670D">
              <w:rPr>
                <w:sz w:val="18"/>
                <w:szCs w:val="18"/>
              </w:rPr>
              <w:t>265</w:t>
            </w:r>
          </w:p>
        </w:tc>
        <w:tc>
          <w:tcPr>
            <w:tcW w:w="1155" w:type="dxa"/>
            <w:shd w:val="clear" w:color="auto" w:fill="F2F2F2"/>
          </w:tcPr>
          <w:p w:rsidR="002F7F38" w:rsidRPr="00D1670D" w:rsidRDefault="002F7F38" w:rsidP="00D1670D">
            <w:pPr>
              <w:jc w:val="right"/>
              <w:rPr>
                <w:sz w:val="18"/>
                <w:szCs w:val="18"/>
              </w:rPr>
            </w:pPr>
            <w:r w:rsidRPr="00D1670D">
              <w:rPr>
                <w:sz w:val="18"/>
                <w:szCs w:val="18"/>
              </w:rPr>
              <w:t>55</w:t>
            </w:r>
          </w:p>
        </w:tc>
        <w:tc>
          <w:tcPr>
            <w:tcW w:w="956" w:type="dxa"/>
            <w:shd w:val="clear" w:color="auto" w:fill="F2F2F2"/>
          </w:tcPr>
          <w:p w:rsidR="002F7F38" w:rsidRPr="00D1670D" w:rsidRDefault="002F7F38" w:rsidP="00D1670D">
            <w:pPr>
              <w:jc w:val="right"/>
              <w:rPr>
                <w:sz w:val="18"/>
                <w:szCs w:val="18"/>
              </w:rPr>
            </w:pPr>
            <w:r w:rsidRPr="00D1670D">
              <w:rPr>
                <w:sz w:val="18"/>
                <w:szCs w:val="18"/>
              </w:rPr>
              <w:t>301.5</w:t>
            </w:r>
          </w:p>
        </w:tc>
        <w:tc>
          <w:tcPr>
            <w:tcW w:w="1155" w:type="dxa"/>
            <w:shd w:val="clear" w:color="auto" w:fill="F2F2F2"/>
          </w:tcPr>
          <w:p w:rsidR="002F7F38" w:rsidRPr="00D1670D" w:rsidRDefault="002F7F38" w:rsidP="00D1670D">
            <w:pPr>
              <w:jc w:val="right"/>
              <w:rPr>
                <w:sz w:val="18"/>
                <w:szCs w:val="18"/>
              </w:rPr>
            </w:pPr>
            <w:r w:rsidRPr="00D1670D">
              <w:rPr>
                <w:sz w:val="18"/>
                <w:szCs w:val="18"/>
              </w:rPr>
              <w:t>130</w:t>
            </w:r>
          </w:p>
        </w:tc>
        <w:tc>
          <w:tcPr>
            <w:tcW w:w="971" w:type="dxa"/>
            <w:shd w:val="clear" w:color="auto" w:fill="F2F2F2"/>
          </w:tcPr>
          <w:p w:rsidR="002F7F38" w:rsidRPr="00D1670D" w:rsidRDefault="002F7F38" w:rsidP="00D1670D">
            <w:pPr>
              <w:jc w:val="right"/>
              <w:rPr>
                <w:sz w:val="18"/>
                <w:szCs w:val="18"/>
              </w:rPr>
            </w:pPr>
            <w:r w:rsidRPr="00D1670D">
              <w:rPr>
                <w:sz w:val="18"/>
                <w:szCs w:val="18"/>
              </w:rPr>
              <w:t>122.8</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VPS 3</w:t>
            </w:r>
          </w:p>
        </w:tc>
        <w:tc>
          <w:tcPr>
            <w:tcW w:w="1155" w:type="dxa"/>
            <w:shd w:val="clear" w:color="auto" w:fill="auto"/>
          </w:tcPr>
          <w:p w:rsidR="002F7F38" w:rsidRPr="00D1670D" w:rsidRDefault="002F7F38" w:rsidP="00D1670D">
            <w:pPr>
              <w:jc w:val="right"/>
              <w:rPr>
                <w:sz w:val="18"/>
                <w:szCs w:val="18"/>
              </w:rPr>
            </w:pPr>
            <w:r w:rsidRPr="00D1670D">
              <w:rPr>
                <w:sz w:val="18"/>
                <w:szCs w:val="18"/>
              </w:rPr>
              <w:t>322</w:t>
            </w:r>
          </w:p>
        </w:tc>
        <w:tc>
          <w:tcPr>
            <w:tcW w:w="931" w:type="dxa"/>
            <w:shd w:val="clear" w:color="auto" w:fill="auto"/>
          </w:tcPr>
          <w:p w:rsidR="002F7F38" w:rsidRPr="00D1670D" w:rsidRDefault="002F7F38" w:rsidP="00D1670D">
            <w:pPr>
              <w:jc w:val="right"/>
              <w:rPr>
                <w:sz w:val="18"/>
                <w:szCs w:val="18"/>
              </w:rPr>
            </w:pPr>
            <w:r w:rsidRPr="00D1670D">
              <w:rPr>
                <w:sz w:val="18"/>
                <w:szCs w:val="18"/>
              </w:rPr>
              <w:t>303</w:t>
            </w:r>
          </w:p>
        </w:tc>
        <w:tc>
          <w:tcPr>
            <w:tcW w:w="1155" w:type="dxa"/>
            <w:shd w:val="clear" w:color="auto" w:fill="auto"/>
          </w:tcPr>
          <w:p w:rsidR="002F7F38" w:rsidRPr="00D1670D" w:rsidRDefault="002F7F38" w:rsidP="00D1670D">
            <w:pPr>
              <w:jc w:val="right"/>
              <w:rPr>
                <w:sz w:val="18"/>
                <w:szCs w:val="18"/>
              </w:rPr>
            </w:pPr>
            <w:r w:rsidRPr="00D1670D">
              <w:rPr>
                <w:sz w:val="18"/>
                <w:szCs w:val="18"/>
              </w:rPr>
              <w:t>183</w:t>
            </w:r>
          </w:p>
        </w:tc>
        <w:tc>
          <w:tcPr>
            <w:tcW w:w="1155" w:type="dxa"/>
            <w:shd w:val="clear" w:color="auto" w:fill="auto"/>
          </w:tcPr>
          <w:p w:rsidR="002F7F38" w:rsidRPr="00D1670D" w:rsidRDefault="002F7F38" w:rsidP="00D1670D">
            <w:pPr>
              <w:jc w:val="right"/>
              <w:rPr>
                <w:sz w:val="18"/>
                <w:szCs w:val="18"/>
              </w:rPr>
            </w:pPr>
            <w:r w:rsidRPr="00D1670D">
              <w:rPr>
                <w:sz w:val="18"/>
                <w:szCs w:val="18"/>
              </w:rPr>
              <w:t>45</w:t>
            </w:r>
          </w:p>
        </w:tc>
        <w:tc>
          <w:tcPr>
            <w:tcW w:w="951" w:type="dxa"/>
            <w:shd w:val="clear" w:color="auto" w:fill="auto"/>
          </w:tcPr>
          <w:p w:rsidR="002F7F38" w:rsidRPr="00D1670D" w:rsidRDefault="002F7F38" w:rsidP="00D1670D">
            <w:pPr>
              <w:jc w:val="right"/>
              <w:rPr>
                <w:sz w:val="18"/>
                <w:szCs w:val="18"/>
              </w:rPr>
            </w:pPr>
            <w:r w:rsidRPr="00D1670D">
              <w:rPr>
                <w:sz w:val="18"/>
                <w:szCs w:val="18"/>
              </w:rPr>
              <w:t>211.7</w:t>
            </w:r>
          </w:p>
        </w:tc>
        <w:tc>
          <w:tcPr>
            <w:tcW w:w="1155" w:type="dxa"/>
            <w:shd w:val="clear" w:color="auto" w:fill="auto"/>
          </w:tcPr>
          <w:p w:rsidR="002F7F38" w:rsidRPr="00D1670D" w:rsidRDefault="002F7F38" w:rsidP="00D1670D">
            <w:pPr>
              <w:jc w:val="right"/>
              <w:rPr>
                <w:sz w:val="18"/>
                <w:szCs w:val="18"/>
              </w:rPr>
            </w:pPr>
            <w:r w:rsidRPr="00D1670D">
              <w:rPr>
                <w:sz w:val="18"/>
                <w:szCs w:val="18"/>
              </w:rPr>
              <w:t>94</w:t>
            </w:r>
          </w:p>
        </w:tc>
        <w:tc>
          <w:tcPr>
            <w:tcW w:w="971" w:type="dxa"/>
            <w:shd w:val="clear" w:color="auto" w:fill="auto"/>
          </w:tcPr>
          <w:p w:rsidR="002F7F38" w:rsidRPr="00D1670D" w:rsidRDefault="002F7F38" w:rsidP="00D1670D">
            <w:pPr>
              <w:jc w:val="right"/>
              <w:rPr>
                <w:sz w:val="18"/>
                <w:szCs w:val="18"/>
              </w:rPr>
            </w:pPr>
            <w:r w:rsidRPr="00D1670D">
              <w:rPr>
                <w:sz w:val="18"/>
                <w:szCs w:val="18"/>
              </w:rPr>
              <w:t>91.3</w:t>
            </w:r>
          </w:p>
        </w:tc>
        <w:tc>
          <w:tcPr>
            <w:tcW w:w="1155" w:type="dxa"/>
            <w:shd w:val="clear" w:color="auto" w:fill="F2F2F2"/>
          </w:tcPr>
          <w:p w:rsidR="002F7F38" w:rsidRPr="00D1670D" w:rsidRDefault="002F7F38" w:rsidP="00D1670D">
            <w:pPr>
              <w:jc w:val="right"/>
              <w:rPr>
                <w:sz w:val="18"/>
                <w:szCs w:val="18"/>
              </w:rPr>
            </w:pPr>
            <w:r w:rsidRPr="00D1670D">
              <w:rPr>
                <w:sz w:val="18"/>
                <w:szCs w:val="18"/>
              </w:rPr>
              <w:t>350</w:t>
            </w:r>
          </w:p>
        </w:tc>
        <w:tc>
          <w:tcPr>
            <w:tcW w:w="829" w:type="dxa"/>
            <w:shd w:val="clear" w:color="auto" w:fill="F2F2F2"/>
          </w:tcPr>
          <w:p w:rsidR="002F7F38" w:rsidRPr="00D1670D" w:rsidRDefault="002F7F38" w:rsidP="00D1670D">
            <w:pPr>
              <w:jc w:val="right"/>
              <w:rPr>
                <w:sz w:val="18"/>
                <w:szCs w:val="18"/>
              </w:rPr>
            </w:pPr>
            <w:r w:rsidRPr="00D1670D">
              <w:rPr>
                <w:sz w:val="18"/>
                <w:szCs w:val="18"/>
              </w:rPr>
              <w:t>329.4</w:t>
            </w:r>
          </w:p>
        </w:tc>
        <w:tc>
          <w:tcPr>
            <w:tcW w:w="1155" w:type="dxa"/>
            <w:shd w:val="clear" w:color="auto" w:fill="F2F2F2"/>
          </w:tcPr>
          <w:p w:rsidR="002F7F38" w:rsidRPr="00D1670D" w:rsidRDefault="002F7F38" w:rsidP="00D1670D">
            <w:pPr>
              <w:jc w:val="right"/>
              <w:rPr>
                <w:sz w:val="18"/>
                <w:szCs w:val="18"/>
              </w:rPr>
            </w:pPr>
            <w:r w:rsidRPr="00D1670D">
              <w:rPr>
                <w:sz w:val="18"/>
                <w:szCs w:val="18"/>
              </w:rPr>
              <w:t>213</w:t>
            </w:r>
          </w:p>
        </w:tc>
        <w:tc>
          <w:tcPr>
            <w:tcW w:w="1155" w:type="dxa"/>
            <w:shd w:val="clear" w:color="auto" w:fill="F2F2F2"/>
          </w:tcPr>
          <w:p w:rsidR="002F7F38" w:rsidRPr="00D1670D" w:rsidRDefault="002F7F38" w:rsidP="00D1670D">
            <w:pPr>
              <w:jc w:val="right"/>
              <w:rPr>
                <w:sz w:val="18"/>
                <w:szCs w:val="18"/>
              </w:rPr>
            </w:pPr>
            <w:r w:rsidRPr="00D1670D">
              <w:rPr>
                <w:sz w:val="18"/>
                <w:szCs w:val="18"/>
              </w:rPr>
              <w:t>44</w:t>
            </w:r>
          </w:p>
        </w:tc>
        <w:tc>
          <w:tcPr>
            <w:tcW w:w="956" w:type="dxa"/>
            <w:shd w:val="clear" w:color="auto" w:fill="F2F2F2"/>
          </w:tcPr>
          <w:p w:rsidR="002F7F38" w:rsidRPr="00D1670D" w:rsidRDefault="002F7F38" w:rsidP="00D1670D">
            <w:pPr>
              <w:jc w:val="right"/>
              <w:rPr>
                <w:sz w:val="18"/>
                <w:szCs w:val="18"/>
              </w:rPr>
            </w:pPr>
            <w:r w:rsidRPr="00D1670D">
              <w:rPr>
                <w:sz w:val="18"/>
                <w:szCs w:val="18"/>
              </w:rPr>
              <w:t>240.8</w:t>
            </w:r>
          </w:p>
        </w:tc>
        <w:tc>
          <w:tcPr>
            <w:tcW w:w="1155" w:type="dxa"/>
            <w:shd w:val="clear" w:color="auto" w:fill="F2F2F2"/>
          </w:tcPr>
          <w:p w:rsidR="002F7F38" w:rsidRPr="00D1670D" w:rsidRDefault="002F7F38" w:rsidP="00D1670D">
            <w:pPr>
              <w:jc w:val="right"/>
              <w:rPr>
                <w:sz w:val="18"/>
                <w:szCs w:val="18"/>
              </w:rPr>
            </w:pPr>
            <w:r w:rsidRPr="00D1670D">
              <w:rPr>
                <w:sz w:val="18"/>
                <w:szCs w:val="18"/>
              </w:rPr>
              <w:t>93</w:t>
            </w:r>
          </w:p>
        </w:tc>
        <w:tc>
          <w:tcPr>
            <w:tcW w:w="971" w:type="dxa"/>
            <w:shd w:val="clear" w:color="auto" w:fill="F2F2F2"/>
          </w:tcPr>
          <w:p w:rsidR="002F7F38" w:rsidRPr="00D1670D" w:rsidRDefault="002F7F38" w:rsidP="00D1670D">
            <w:pPr>
              <w:jc w:val="right"/>
              <w:rPr>
                <w:sz w:val="18"/>
                <w:szCs w:val="18"/>
              </w:rPr>
            </w:pPr>
            <w:r w:rsidRPr="00D1670D">
              <w:rPr>
                <w:sz w:val="18"/>
                <w:szCs w:val="18"/>
              </w:rPr>
              <w:t>88.6</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VPS 4</w:t>
            </w:r>
          </w:p>
        </w:tc>
        <w:tc>
          <w:tcPr>
            <w:tcW w:w="1155" w:type="dxa"/>
            <w:shd w:val="clear" w:color="auto" w:fill="auto"/>
          </w:tcPr>
          <w:p w:rsidR="002F7F38" w:rsidRPr="00D1670D" w:rsidRDefault="002F7F38" w:rsidP="00D1670D">
            <w:pPr>
              <w:jc w:val="right"/>
              <w:rPr>
                <w:sz w:val="18"/>
                <w:szCs w:val="18"/>
              </w:rPr>
            </w:pPr>
            <w:r w:rsidRPr="00D1670D">
              <w:rPr>
                <w:sz w:val="18"/>
                <w:szCs w:val="18"/>
              </w:rPr>
              <w:t>184</w:t>
            </w:r>
          </w:p>
        </w:tc>
        <w:tc>
          <w:tcPr>
            <w:tcW w:w="931" w:type="dxa"/>
            <w:shd w:val="clear" w:color="auto" w:fill="auto"/>
          </w:tcPr>
          <w:p w:rsidR="002F7F38" w:rsidRPr="00D1670D" w:rsidRDefault="002F7F38" w:rsidP="00D1670D">
            <w:pPr>
              <w:jc w:val="right"/>
              <w:rPr>
                <w:sz w:val="18"/>
                <w:szCs w:val="18"/>
              </w:rPr>
            </w:pPr>
            <w:r w:rsidRPr="00D1670D">
              <w:rPr>
                <w:sz w:val="18"/>
                <w:szCs w:val="18"/>
              </w:rPr>
              <w:t>169.8</w:t>
            </w:r>
          </w:p>
        </w:tc>
        <w:tc>
          <w:tcPr>
            <w:tcW w:w="1155" w:type="dxa"/>
            <w:shd w:val="clear" w:color="auto" w:fill="auto"/>
          </w:tcPr>
          <w:p w:rsidR="002F7F38" w:rsidRPr="00D1670D" w:rsidRDefault="002F7F38" w:rsidP="00D1670D">
            <w:pPr>
              <w:jc w:val="right"/>
              <w:rPr>
                <w:sz w:val="18"/>
                <w:szCs w:val="18"/>
              </w:rPr>
            </w:pPr>
            <w:r w:rsidRPr="00D1670D">
              <w:rPr>
                <w:sz w:val="18"/>
                <w:szCs w:val="18"/>
              </w:rPr>
              <w:t>128</w:t>
            </w:r>
          </w:p>
        </w:tc>
        <w:tc>
          <w:tcPr>
            <w:tcW w:w="1155" w:type="dxa"/>
            <w:shd w:val="clear" w:color="auto" w:fill="auto"/>
          </w:tcPr>
          <w:p w:rsidR="002F7F38" w:rsidRPr="00D1670D" w:rsidRDefault="002F7F38" w:rsidP="00D1670D">
            <w:pPr>
              <w:jc w:val="right"/>
              <w:rPr>
                <w:sz w:val="18"/>
                <w:szCs w:val="18"/>
              </w:rPr>
            </w:pPr>
            <w:r w:rsidRPr="00D1670D">
              <w:rPr>
                <w:sz w:val="18"/>
                <w:szCs w:val="18"/>
              </w:rPr>
              <w:t>34</w:t>
            </w:r>
          </w:p>
        </w:tc>
        <w:tc>
          <w:tcPr>
            <w:tcW w:w="951" w:type="dxa"/>
            <w:shd w:val="clear" w:color="auto" w:fill="auto"/>
          </w:tcPr>
          <w:p w:rsidR="002F7F38" w:rsidRPr="00D1670D" w:rsidRDefault="002F7F38" w:rsidP="00D1670D">
            <w:pPr>
              <w:jc w:val="right"/>
              <w:rPr>
                <w:sz w:val="18"/>
                <w:szCs w:val="18"/>
              </w:rPr>
            </w:pPr>
            <w:r w:rsidRPr="00D1670D">
              <w:rPr>
                <w:sz w:val="18"/>
                <w:szCs w:val="18"/>
              </w:rPr>
              <w:t>149.9</w:t>
            </w:r>
          </w:p>
        </w:tc>
        <w:tc>
          <w:tcPr>
            <w:tcW w:w="1155" w:type="dxa"/>
            <w:shd w:val="clear" w:color="auto" w:fill="auto"/>
          </w:tcPr>
          <w:p w:rsidR="002F7F38" w:rsidRPr="00D1670D" w:rsidRDefault="002F7F38" w:rsidP="00D1670D">
            <w:pPr>
              <w:jc w:val="right"/>
              <w:rPr>
                <w:sz w:val="18"/>
                <w:szCs w:val="18"/>
              </w:rPr>
            </w:pPr>
            <w:r w:rsidRPr="00D1670D">
              <w:rPr>
                <w:sz w:val="18"/>
                <w:szCs w:val="18"/>
              </w:rPr>
              <w:t>22</w:t>
            </w:r>
          </w:p>
        </w:tc>
        <w:tc>
          <w:tcPr>
            <w:tcW w:w="971" w:type="dxa"/>
            <w:shd w:val="clear" w:color="auto" w:fill="auto"/>
          </w:tcPr>
          <w:p w:rsidR="002F7F38" w:rsidRPr="00D1670D" w:rsidRDefault="002F7F38" w:rsidP="00D1670D">
            <w:pPr>
              <w:jc w:val="right"/>
              <w:rPr>
                <w:sz w:val="18"/>
                <w:szCs w:val="18"/>
              </w:rPr>
            </w:pPr>
            <w:r w:rsidRPr="00D1670D">
              <w:rPr>
                <w:sz w:val="18"/>
                <w:szCs w:val="18"/>
              </w:rPr>
              <w:t>19.9</w:t>
            </w:r>
          </w:p>
        </w:tc>
        <w:tc>
          <w:tcPr>
            <w:tcW w:w="1155" w:type="dxa"/>
            <w:shd w:val="clear" w:color="auto" w:fill="F2F2F2"/>
          </w:tcPr>
          <w:p w:rsidR="002F7F38" w:rsidRPr="00D1670D" w:rsidRDefault="002F7F38" w:rsidP="00D1670D">
            <w:pPr>
              <w:jc w:val="right"/>
              <w:rPr>
                <w:sz w:val="18"/>
                <w:szCs w:val="18"/>
              </w:rPr>
            </w:pPr>
            <w:r w:rsidRPr="00D1670D">
              <w:rPr>
                <w:sz w:val="18"/>
                <w:szCs w:val="18"/>
              </w:rPr>
              <w:t>238</w:t>
            </w:r>
          </w:p>
        </w:tc>
        <w:tc>
          <w:tcPr>
            <w:tcW w:w="829" w:type="dxa"/>
            <w:shd w:val="clear" w:color="auto" w:fill="F2F2F2"/>
          </w:tcPr>
          <w:p w:rsidR="002F7F38" w:rsidRPr="00D1670D" w:rsidRDefault="002F7F38" w:rsidP="00D1670D">
            <w:pPr>
              <w:jc w:val="right"/>
              <w:rPr>
                <w:sz w:val="18"/>
                <w:szCs w:val="18"/>
              </w:rPr>
            </w:pPr>
            <w:r w:rsidRPr="00D1670D">
              <w:rPr>
                <w:sz w:val="18"/>
                <w:szCs w:val="18"/>
              </w:rPr>
              <w:t>222.3</w:t>
            </w:r>
          </w:p>
        </w:tc>
        <w:tc>
          <w:tcPr>
            <w:tcW w:w="1155" w:type="dxa"/>
            <w:shd w:val="clear" w:color="auto" w:fill="F2F2F2"/>
          </w:tcPr>
          <w:p w:rsidR="002F7F38" w:rsidRPr="00D1670D" w:rsidRDefault="002F7F38" w:rsidP="00D1670D">
            <w:pPr>
              <w:jc w:val="right"/>
              <w:rPr>
                <w:sz w:val="18"/>
                <w:szCs w:val="18"/>
              </w:rPr>
            </w:pPr>
            <w:r w:rsidRPr="00D1670D">
              <w:rPr>
                <w:sz w:val="18"/>
                <w:szCs w:val="18"/>
              </w:rPr>
              <w:t>161</w:t>
            </w:r>
          </w:p>
        </w:tc>
        <w:tc>
          <w:tcPr>
            <w:tcW w:w="1155" w:type="dxa"/>
            <w:shd w:val="clear" w:color="auto" w:fill="F2F2F2"/>
          </w:tcPr>
          <w:p w:rsidR="002F7F38" w:rsidRPr="00D1670D" w:rsidRDefault="002F7F38" w:rsidP="00D1670D">
            <w:pPr>
              <w:jc w:val="right"/>
              <w:rPr>
                <w:sz w:val="18"/>
                <w:szCs w:val="18"/>
              </w:rPr>
            </w:pPr>
            <w:r w:rsidRPr="00D1670D">
              <w:rPr>
                <w:sz w:val="18"/>
                <w:szCs w:val="18"/>
              </w:rPr>
              <w:t>35</w:t>
            </w:r>
          </w:p>
        </w:tc>
        <w:tc>
          <w:tcPr>
            <w:tcW w:w="956" w:type="dxa"/>
            <w:shd w:val="clear" w:color="auto" w:fill="F2F2F2"/>
          </w:tcPr>
          <w:p w:rsidR="002F7F38" w:rsidRPr="00D1670D" w:rsidRDefault="002F7F38" w:rsidP="00D1670D">
            <w:pPr>
              <w:jc w:val="right"/>
              <w:rPr>
                <w:sz w:val="18"/>
                <w:szCs w:val="18"/>
              </w:rPr>
            </w:pPr>
            <w:r w:rsidRPr="00D1670D">
              <w:rPr>
                <w:sz w:val="18"/>
                <w:szCs w:val="18"/>
              </w:rPr>
              <w:t>183.5</w:t>
            </w:r>
          </w:p>
        </w:tc>
        <w:tc>
          <w:tcPr>
            <w:tcW w:w="1155" w:type="dxa"/>
            <w:shd w:val="clear" w:color="auto" w:fill="F2F2F2"/>
          </w:tcPr>
          <w:p w:rsidR="002F7F38" w:rsidRPr="00D1670D" w:rsidRDefault="002F7F38" w:rsidP="00D1670D">
            <w:pPr>
              <w:jc w:val="right"/>
              <w:rPr>
                <w:sz w:val="18"/>
                <w:szCs w:val="18"/>
              </w:rPr>
            </w:pPr>
            <w:r w:rsidRPr="00D1670D">
              <w:rPr>
                <w:sz w:val="18"/>
                <w:szCs w:val="18"/>
              </w:rPr>
              <w:t>42</w:t>
            </w:r>
          </w:p>
        </w:tc>
        <w:tc>
          <w:tcPr>
            <w:tcW w:w="971" w:type="dxa"/>
            <w:shd w:val="clear" w:color="auto" w:fill="F2F2F2"/>
          </w:tcPr>
          <w:p w:rsidR="002F7F38" w:rsidRPr="00D1670D" w:rsidRDefault="002F7F38" w:rsidP="00D1670D">
            <w:pPr>
              <w:jc w:val="right"/>
              <w:rPr>
                <w:sz w:val="18"/>
                <w:szCs w:val="18"/>
              </w:rPr>
            </w:pPr>
            <w:r w:rsidRPr="00D1670D">
              <w:rPr>
                <w:sz w:val="18"/>
                <w:szCs w:val="18"/>
              </w:rPr>
              <w:t>38.8</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VPS 5</w:t>
            </w:r>
          </w:p>
        </w:tc>
        <w:tc>
          <w:tcPr>
            <w:tcW w:w="1155" w:type="dxa"/>
            <w:shd w:val="clear" w:color="auto" w:fill="auto"/>
          </w:tcPr>
          <w:p w:rsidR="002F7F38" w:rsidRPr="00D1670D" w:rsidRDefault="002F7F38" w:rsidP="00D1670D">
            <w:pPr>
              <w:jc w:val="right"/>
              <w:rPr>
                <w:sz w:val="18"/>
                <w:szCs w:val="18"/>
              </w:rPr>
            </w:pPr>
            <w:r w:rsidRPr="00D1670D">
              <w:rPr>
                <w:sz w:val="18"/>
                <w:szCs w:val="18"/>
              </w:rPr>
              <w:t>135</w:t>
            </w:r>
          </w:p>
        </w:tc>
        <w:tc>
          <w:tcPr>
            <w:tcW w:w="931" w:type="dxa"/>
            <w:shd w:val="clear" w:color="auto" w:fill="auto"/>
          </w:tcPr>
          <w:p w:rsidR="002F7F38" w:rsidRPr="00D1670D" w:rsidRDefault="002F7F38" w:rsidP="00D1670D">
            <w:pPr>
              <w:jc w:val="right"/>
              <w:rPr>
                <w:sz w:val="18"/>
                <w:szCs w:val="18"/>
              </w:rPr>
            </w:pPr>
            <w:r w:rsidRPr="00D1670D">
              <w:rPr>
                <w:sz w:val="18"/>
                <w:szCs w:val="18"/>
              </w:rPr>
              <w:t>129.2</w:t>
            </w:r>
          </w:p>
        </w:tc>
        <w:tc>
          <w:tcPr>
            <w:tcW w:w="1155" w:type="dxa"/>
            <w:shd w:val="clear" w:color="auto" w:fill="auto"/>
          </w:tcPr>
          <w:p w:rsidR="002F7F38" w:rsidRPr="00D1670D" w:rsidRDefault="002F7F38" w:rsidP="00D1670D">
            <w:pPr>
              <w:jc w:val="right"/>
              <w:rPr>
                <w:sz w:val="18"/>
                <w:szCs w:val="18"/>
              </w:rPr>
            </w:pPr>
            <w:r w:rsidRPr="00D1670D">
              <w:rPr>
                <w:sz w:val="18"/>
                <w:szCs w:val="18"/>
              </w:rPr>
              <w:t>98</w:t>
            </w:r>
          </w:p>
        </w:tc>
        <w:tc>
          <w:tcPr>
            <w:tcW w:w="1155" w:type="dxa"/>
            <w:shd w:val="clear" w:color="auto" w:fill="auto"/>
          </w:tcPr>
          <w:p w:rsidR="002F7F38" w:rsidRPr="00D1670D" w:rsidRDefault="002F7F38" w:rsidP="00D1670D">
            <w:pPr>
              <w:jc w:val="right"/>
              <w:rPr>
                <w:sz w:val="18"/>
                <w:szCs w:val="18"/>
              </w:rPr>
            </w:pPr>
            <w:r w:rsidRPr="00D1670D">
              <w:rPr>
                <w:sz w:val="18"/>
                <w:szCs w:val="18"/>
              </w:rPr>
              <w:t>18</w:t>
            </w:r>
          </w:p>
        </w:tc>
        <w:tc>
          <w:tcPr>
            <w:tcW w:w="951" w:type="dxa"/>
            <w:shd w:val="clear" w:color="auto" w:fill="auto"/>
          </w:tcPr>
          <w:p w:rsidR="002F7F38" w:rsidRPr="00D1670D" w:rsidRDefault="002F7F38" w:rsidP="00D1670D">
            <w:pPr>
              <w:jc w:val="right"/>
              <w:rPr>
                <w:sz w:val="18"/>
                <w:szCs w:val="18"/>
              </w:rPr>
            </w:pPr>
            <w:r w:rsidRPr="00D1670D">
              <w:rPr>
                <w:sz w:val="18"/>
                <w:szCs w:val="18"/>
              </w:rPr>
              <w:t>110.8</w:t>
            </w:r>
          </w:p>
        </w:tc>
        <w:tc>
          <w:tcPr>
            <w:tcW w:w="1155" w:type="dxa"/>
            <w:shd w:val="clear" w:color="auto" w:fill="auto"/>
          </w:tcPr>
          <w:p w:rsidR="002F7F38" w:rsidRPr="00D1670D" w:rsidRDefault="002F7F38" w:rsidP="00D1670D">
            <w:pPr>
              <w:jc w:val="right"/>
              <w:rPr>
                <w:sz w:val="18"/>
                <w:szCs w:val="18"/>
              </w:rPr>
            </w:pPr>
            <w:r w:rsidRPr="00D1670D">
              <w:rPr>
                <w:sz w:val="18"/>
                <w:szCs w:val="18"/>
              </w:rPr>
              <w:t>19</w:t>
            </w:r>
          </w:p>
        </w:tc>
        <w:tc>
          <w:tcPr>
            <w:tcW w:w="971" w:type="dxa"/>
            <w:shd w:val="clear" w:color="auto" w:fill="auto"/>
          </w:tcPr>
          <w:p w:rsidR="002F7F38" w:rsidRPr="00D1670D" w:rsidRDefault="002F7F38" w:rsidP="00D1670D">
            <w:pPr>
              <w:jc w:val="right"/>
              <w:rPr>
                <w:sz w:val="18"/>
                <w:szCs w:val="18"/>
              </w:rPr>
            </w:pPr>
            <w:r w:rsidRPr="00D1670D">
              <w:rPr>
                <w:sz w:val="18"/>
                <w:szCs w:val="18"/>
              </w:rPr>
              <w:t>18.4</w:t>
            </w:r>
          </w:p>
        </w:tc>
        <w:tc>
          <w:tcPr>
            <w:tcW w:w="1155" w:type="dxa"/>
            <w:shd w:val="clear" w:color="auto" w:fill="F2F2F2"/>
          </w:tcPr>
          <w:p w:rsidR="002F7F38" w:rsidRPr="00D1670D" w:rsidRDefault="002F7F38" w:rsidP="00D1670D">
            <w:pPr>
              <w:jc w:val="right"/>
              <w:rPr>
                <w:sz w:val="18"/>
                <w:szCs w:val="18"/>
              </w:rPr>
            </w:pPr>
            <w:r w:rsidRPr="00D1670D">
              <w:rPr>
                <w:sz w:val="18"/>
                <w:szCs w:val="18"/>
              </w:rPr>
              <w:t>154</w:t>
            </w:r>
          </w:p>
        </w:tc>
        <w:tc>
          <w:tcPr>
            <w:tcW w:w="829" w:type="dxa"/>
            <w:shd w:val="clear" w:color="auto" w:fill="F2F2F2"/>
          </w:tcPr>
          <w:p w:rsidR="002F7F38" w:rsidRPr="00D1670D" w:rsidRDefault="002F7F38" w:rsidP="00D1670D">
            <w:pPr>
              <w:jc w:val="right"/>
              <w:rPr>
                <w:sz w:val="18"/>
                <w:szCs w:val="18"/>
              </w:rPr>
            </w:pPr>
            <w:r w:rsidRPr="00D1670D">
              <w:rPr>
                <w:sz w:val="18"/>
                <w:szCs w:val="18"/>
              </w:rPr>
              <w:t>146.6</w:t>
            </w:r>
          </w:p>
        </w:tc>
        <w:tc>
          <w:tcPr>
            <w:tcW w:w="1155" w:type="dxa"/>
            <w:shd w:val="clear" w:color="auto" w:fill="F2F2F2"/>
          </w:tcPr>
          <w:p w:rsidR="002F7F38" w:rsidRPr="00D1670D" w:rsidRDefault="002F7F38" w:rsidP="00D1670D">
            <w:pPr>
              <w:jc w:val="right"/>
              <w:rPr>
                <w:sz w:val="18"/>
                <w:szCs w:val="18"/>
              </w:rPr>
            </w:pPr>
            <w:r w:rsidRPr="00D1670D">
              <w:rPr>
                <w:sz w:val="18"/>
                <w:szCs w:val="18"/>
              </w:rPr>
              <w:t>118</w:t>
            </w:r>
          </w:p>
        </w:tc>
        <w:tc>
          <w:tcPr>
            <w:tcW w:w="1155" w:type="dxa"/>
            <w:shd w:val="clear" w:color="auto" w:fill="F2F2F2"/>
          </w:tcPr>
          <w:p w:rsidR="002F7F38" w:rsidRPr="00D1670D" w:rsidRDefault="002F7F38" w:rsidP="00D1670D">
            <w:pPr>
              <w:jc w:val="right"/>
              <w:rPr>
                <w:sz w:val="18"/>
                <w:szCs w:val="18"/>
              </w:rPr>
            </w:pPr>
            <w:r w:rsidRPr="00D1670D">
              <w:rPr>
                <w:sz w:val="18"/>
                <w:szCs w:val="18"/>
              </w:rPr>
              <w:t>22</w:t>
            </w:r>
          </w:p>
        </w:tc>
        <w:tc>
          <w:tcPr>
            <w:tcW w:w="956" w:type="dxa"/>
            <w:shd w:val="clear" w:color="auto" w:fill="F2F2F2"/>
          </w:tcPr>
          <w:p w:rsidR="002F7F38" w:rsidRPr="00D1670D" w:rsidRDefault="002F7F38" w:rsidP="00D1670D">
            <w:pPr>
              <w:jc w:val="right"/>
              <w:rPr>
                <w:sz w:val="18"/>
                <w:szCs w:val="18"/>
              </w:rPr>
            </w:pPr>
            <w:r w:rsidRPr="00D1670D">
              <w:rPr>
                <w:sz w:val="18"/>
                <w:szCs w:val="18"/>
              </w:rPr>
              <w:t>133.5</w:t>
            </w:r>
          </w:p>
        </w:tc>
        <w:tc>
          <w:tcPr>
            <w:tcW w:w="1155" w:type="dxa"/>
            <w:shd w:val="clear" w:color="auto" w:fill="F2F2F2"/>
          </w:tcPr>
          <w:p w:rsidR="002F7F38" w:rsidRPr="00D1670D" w:rsidRDefault="002F7F38" w:rsidP="00D1670D">
            <w:pPr>
              <w:jc w:val="right"/>
              <w:rPr>
                <w:sz w:val="18"/>
                <w:szCs w:val="18"/>
              </w:rPr>
            </w:pPr>
            <w:r w:rsidRPr="00D1670D">
              <w:rPr>
                <w:sz w:val="18"/>
                <w:szCs w:val="18"/>
              </w:rPr>
              <w:t>14</w:t>
            </w:r>
          </w:p>
        </w:tc>
        <w:tc>
          <w:tcPr>
            <w:tcW w:w="971" w:type="dxa"/>
            <w:shd w:val="clear" w:color="auto" w:fill="F2F2F2"/>
          </w:tcPr>
          <w:p w:rsidR="002F7F38" w:rsidRPr="00D1670D" w:rsidRDefault="002F7F38" w:rsidP="00D1670D">
            <w:pPr>
              <w:jc w:val="right"/>
              <w:rPr>
                <w:sz w:val="18"/>
                <w:szCs w:val="18"/>
              </w:rPr>
            </w:pPr>
            <w:r w:rsidRPr="00D1670D">
              <w:rPr>
                <w:sz w:val="18"/>
                <w:szCs w:val="18"/>
              </w:rPr>
              <w:t>13.1</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VPS 6</w:t>
            </w:r>
          </w:p>
        </w:tc>
        <w:tc>
          <w:tcPr>
            <w:tcW w:w="1155" w:type="dxa"/>
            <w:shd w:val="clear" w:color="auto" w:fill="auto"/>
          </w:tcPr>
          <w:p w:rsidR="002F7F38" w:rsidRPr="00D1670D" w:rsidRDefault="002F7F38" w:rsidP="00D1670D">
            <w:pPr>
              <w:jc w:val="right"/>
              <w:rPr>
                <w:sz w:val="18"/>
                <w:szCs w:val="18"/>
              </w:rPr>
            </w:pPr>
            <w:r w:rsidRPr="00D1670D">
              <w:rPr>
                <w:sz w:val="18"/>
                <w:szCs w:val="18"/>
              </w:rPr>
              <w:t>112</w:t>
            </w:r>
          </w:p>
        </w:tc>
        <w:tc>
          <w:tcPr>
            <w:tcW w:w="931" w:type="dxa"/>
            <w:shd w:val="clear" w:color="auto" w:fill="auto"/>
          </w:tcPr>
          <w:p w:rsidR="002F7F38" w:rsidRPr="00D1670D" w:rsidRDefault="002F7F38" w:rsidP="00D1670D">
            <w:pPr>
              <w:jc w:val="right"/>
              <w:rPr>
                <w:sz w:val="18"/>
                <w:szCs w:val="18"/>
              </w:rPr>
            </w:pPr>
            <w:r w:rsidRPr="00D1670D">
              <w:rPr>
                <w:sz w:val="18"/>
                <w:szCs w:val="18"/>
              </w:rPr>
              <w:t>107.6</w:t>
            </w:r>
          </w:p>
        </w:tc>
        <w:tc>
          <w:tcPr>
            <w:tcW w:w="1155" w:type="dxa"/>
            <w:shd w:val="clear" w:color="auto" w:fill="auto"/>
          </w:tcPr>
          <w:p w:rsidR="002F7F38" w:rsidRPr="00D1670D" w:rsidRDefault="002F7F38" w:rsidP="00D1670D">
            <w:pPr>
              <w:jc w:val="right"/>
              <w:rPr>
                <w:sz w:val="18"/>
                <w:szCs w:val="18"/>
              </w:rPr>
            </w:pPr>
            <w:r w:rsidRPr="00D1670D">
              <w:rPr>
                <w:sz w:val="18"/>
                <w:szCs w:val="18"/>
              </w:rPr>
              <w:t>95</w:t>
            </w:r>
          </w:p>
        </w:tc>
        <w:tc>
          <w:tcPr>
            <w:tcW w:w="1155" w:type="dxa"/>
            <w:shd w:val="clear" w:color="auto" w:fill="auto"/>
          </w:tcPr>
          <w:p w:rsidR="002F7F38" w:rsidRPr="00D1670D" w:rsidRDefault="002F7F38" w:rsidP="00D1670D">
            <w:pPr>
              <w:jc w:val="right"/>
              <w:rPr>
                <w:sz w:val="18"/>
                <w:szCs w:val="18"/>
              </w:rPr>
            </w:pPr>
            <w:r w:rsidRPr="00D1670D">
              <w:rPr>
                <w:sz w:val="18"/>
                <w:szCs w:val="18"/>
              </w:rPr>
              <w:t>7</w:t>
            </w:r>
          </w:p>
        </w:tc>
        <w:tc>
          <w:tcPr>
            <w:tcW w:w="951" w:type="dxa"/>
            <w:shd w:val="clear" w:color="auto" w:fill="auto"/>
          </w:tcPr>
          <w:p w:rsidR="002F7F38" w:rsidRPr="00D1670D" w:rsidRDefault="002F7F38" w:rsidP="00D1670D">
            <w:pPr>
              <w:jc w:val="right"/>
              <w:rPr>
                <w:sz w:val="18"/>
                <w:szCs w:val="18"/>
              </w:rPr>
            </w:pPr>
            <w:r w:rsidRPr="00D1670D">
              <w:rPr>
                <w:sz w:val="18"/>
                <w:szCs w:val="18"/>
              </w:rPr>
              <w:t>99.8</w:t>
            </w:r>
          </w:p>
        </w:tc>
        <w:tc>
          <w:tcPr>
            <w:tcW w:w="1155" w:type="dxa"/>
            <w:shd w:val="clear" w:color="auto" w:fill="auto"/>
          </w:tcPr>
          <w:p w:rsidR="002F7F38" w:rsidRPr="00D1670D" w:rsidRDefault="002F7F38" w:rsidP="00D1670D">
            <w:pPr>
              <w:jc w:val="right"/>
              <w:rPr>
                <w:sz w:val="18"/>
                <w:szCs w:val="18"/>
              </w:rPr>
            </w:pPr>
            <w:r w:rsidRPr="00D1670D">
              <w:rPr>
                <w:sz w:val="18"/>
                <w:szCs w:val="18"/>
              </w:rPr>
              <w:t>10</w:t>
            </w:r>
          </w:p>
        </w:tc>
        <w:tc>
          <w:tcPr>
            <w:tcW w:w="971" w:type="dxa"/>
            <w:shd w:val="clear" w:color="auto" w:fill="auto"/>
          </w:tcPr>
          <w:p w:rsidR="002F7F38" w:rsidRPr="00D1670D" w:rsidRDefault="002F7F38" w:rsidP="00D1670D">
            <w:pPr>
              <w:jc w:val="right"/>
              <w:rPr>
                <w:sz w:val="18"/>
                <w:szCs w:val="18"/>
              </w:rPr>
            </w:pPr>
            <w:r w:rsidRPr="00D1670D">
              <w:rPr>
                <w:sz w:val="18"/>
                <w:szCs w:val="18"/>
              </w:rPr>
              <w:t>7.8</w:t>
            </w:r>
          </w:p>
        </w:tc>
        <w:tc>
          <w:tcPr>
            <w:tcW w:w="1155" w:type="dxa"/>
            <w:shd w:val="clear" w:color="auto" w:fill="F2F2F2"/>
          </w:tcPr>
          <w:p w:rsidR="002F7F38" w:rsidRPr="00D1670D" w:rsidRDefault="002F7F38" w:rsidP="00D1670D">
            <w:pPr>
              <w:jc w:val="right"/>
              <w:rPr>
                <w:sz w:val="18"/>
                <w:szCs w:val="18"/>
              </w:rPr>
            </w:pPr>
            <w:r w:rsidRPr="00D1670D">
              <w:rPr>
                <w:sz w:val="18"/>
                <w:szCs w:val="18"/>
              </w:rPr>
              <w:t>118</w:t>
            </w:r>
          </w:p>
        </w:tc>
        <w:tc>
          <w:tcPr>
            <w:tcW w:w="829" w:type="dxa"/>
            <w:shd w:val="clear" w:color="auto" w:fill="F2F2F2"/>
          </w:tcPr>
          <w:p w:rsidR="002F7F38" w:rsidRPr="00D1670D" w:rsidRDefault="002F7F38" w:rsidP="00D1670D">
            <w:pPr>
              <w:jc w:val="right"/>
              <w:rPr>
                <w:sz w:val="18"/>
                <w:szCs w:val="18"/>
              </w:rPr>
            </w:pPr>
            <w:r w:rsidRPr="00D1670D">
              <w:rPr>
                <w:sz w:val="18"/>
                <w:szCs w:val="18"/>
              </w:rPr>
              <w:t>113.2</w:t>
            </w:r>
          </w:p>
        </w:tc>
        <w:tc>
          <w:tcPr>
            <w:tcW w:w="1155" w:type="dxa"/>
            <w:shd w:val="clear" w:color="auto" w:fill="F2F2F2"/>
          </w:tcPr>
          <w:p w:rsidR="002F7F38" w:rsidRPr="00D1670D" w:rsidRDefault="002F7F38" w:rsidP="00D1670D">
            <w:pPr>
              <w:jc w:val="right"/>
              <w:rPr>
                <w:sz w:val="18"/>
                <w:szCs w:val="18"/>
              </w:rPr>
            </w:pPr>
            <w:r w:rsidRPr="00D1670D">
              <w:rPr>
                <w:sz w:val="18"/>
                <w:szCs w:val="18"/>
              </w:rPr>
              <w:t>96</w:t>
            </w:r>
          </w:p>
        </w:tc>
        <w:tc>
          <w:tcPr>
            <w:tcW w:w="1155" w:type="dxa"/>
            <w:shd w:val="clear" w:color="auto" w:fill="F2F2F2"/>
          </w:tcPr>
          <w:p w:rsidR="002F7F38" w:rsidRPr="00D1670D" w:rsidRDefault="002F7F38" w:rsidP="00D1670D">
            <w:pPr>
              <w:jc w:val="right"/>
              <w:rPr>
                <w:sz w:val="18"/>
                <w:szCs w:val="18"/>
              </w:rPr>
            </w:pPr>
            <w:r w:rsidRPr="00D1670D">
              <w:rPr>
                <w:sz w:val="18"/>
                <w:szCs w:val="18"/>
              </w:rPr>
              <w:t>11</w:t>
            </w:r>
          </w:p>
        </w:tc>
        <w:tc>
          <w:tcPr>
            <w:tcW w:w="956" w:type="dxa"/>
            <w:shd w:val="clear" w:color="auto" w:fill="F2F2F2"/>
          </w:tcPr>
          <w:p w:rsidR="002F7F38" w:rsidRPr="00D1670D" w:rsidRDefault="002F7F38" w:rsidP="00D1670D">
            <w:pPr>
              <w:jc w:val="right"/>
              <w:rPr>
                <w:sz w:val="18"/>
                <w:szCs w:val="18"/>
              </w:rPr>
            </w:pPr>
            <w:r w:rsidRPr="00D1670D">
              <w:rPr>
                <w:sz w:val="18"/>
                <w:szCs w:val="18"/>
              </w:rPr>
              <w:t>103.4</w:t>
            </w:r>
          </w:p>
        </w:tc>
        <w:tc>
          <w:tcPr>
            <w:tcW w:w="1155" w:type="dxa"/>
            <w:shd w:val="clear" w:color="auto" w:fill="F2F2F2"/>
          </w:tcPr>
          <w:p w:rsidR="002F7F38" w:rsidRPr="00D1670D" w:rsidRDefault="002F7F38" w:rsidP="00D1670D">
            <w:pPr>
              <w:jc w:val="right"/>
              <w:rPr>
                <w:sz w:val="18"/>
                <w:szCs w:val="18"/>
              </w:rPr>
            </w:pPr>
            <w:r w:rsidRPr="00D1670D">
              <w:rPr>
                <w:sz w:val="18"/>
                <w:szCs w:val="18"/>
              </w:rPr>
              <w:t>11</w:t>
            </w:r>
          </w:p>
        </w:tc>
        <w:tc>
          <w:tcPr>
            <w:tcW w:w="971" w:type="dxa"/>
            <w:shd w:val="clear" w:color="auto" w:fill="F2F2F2"/>
          </w:tcPr>
          <w:p w:rsidR="002F7F38" w:rsidRPr="00D1670D" w:rsidRDefault="002F7F38" w:rsidP="00D1670D">
            <w:pPr>
              <w:jc w:val="right"/>
              <w:rPr>
                <w:sz w:val="18"/>
                <w:szCs w:val="18"/>
              </w:rPr>
            </w:pPr>
            <w:r w:rsidRPr="00D1670D">
              <w:rPr>
                <w:sz w:val="18"/>
                <w:szCs w:val="18"/>
              </w:rPr>
              <w:t>9.8</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Allied Health 3</w:t>
            </w:r>
          </w:p>
        </w:tc>
        <w:tc>
          <w:tcPr>
            <w:tcW w:w="1155" w:type="dxa"/>
            <w:shd w:val="clear" w:color="auto" w:fill="auto"/>
          </w:tcPr>
          <w:p w:rsidR="002F7F38" w:rsidRPr="00D1670D" w:rsidRDefault="002F7F38" w:rsidP="00D1670D">
            <w:pPr>
              <w:jc w:val="right"/>
              <w:rPr>
                <w:sz w:val="18"/>
                <w:szCs w:val="18"/>
              </w:rPr>
            </w:pPr>
            <w:r w:rsidRPr="00D1670D">
              <w:rPr>
                <w:sz w:val="18"/>
                <w:szCs w:val="18"/>
              </w:rPr>
              <w:t>2</w:t>
            </w:r>
          </w:p>
        </w:tc>
        <w:tc>
          <w:tcPr>
            <w:tcW w:w="931" w:type="dxa"/>
            <w:shd w:val="clear" w:color="auto" w:fill="auto"/>
          </w:tcPr>
          <w:p w:rsidR="002F7F38" w:rsidRPr="00D1670D" w:rsidRDefault="002F7F38" w:rsidP="00D1670D">
            <w:pPr>
              <w:jc w:val="right"/>
              <w:rPr>
                <w:sz w:val="18"/>
                <w:szCs w:val="18"/>
              </w:rPr>
            </w:pPr>
            <w:r w:rsidRPr="00D1670D">
              <w:rPr>
                <w:sz w:val="18"/>
                <w:szCs w:val="18"/>
              </w:rPr>
              <w:t>1.3</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auto"/>
          </w:tcPr>
          <w:p w:rsidR="002F7F38" w:rsidRPr="00D1670D" w:rsidRDefault="002F7F38" w:rsidP="00D1670D">
            <w:pPr>
              <w:jc w:val="right"/>
              <w:rPr>
                <w:sz w:val="18"/>
                <w:szCs w:val="18"/>
              </w:rPr>
            </w:pPr>
            <w:r w:rsidRPr="00D1670D">
              <w:rPr>
                <w:sz w:val="18"/>
                <w:szCs w:val="18"/>
              </w:rPr>
              <w:t>2</w:t>
            </w:r>
          </w:p>
        </w:tc>
        <w:tc>
          <w:tcPr>
            <w:tcW w:w="951" w:type="dxa"/>
            <w:shd w:val="clear" w:color="auto" w:fill="auto"/>
          </w:tcPr>
          <w:p w:rsidR="002F7F38" w:rsidRPr="00D1670D" w:rsidRDefault="002F7F38" w:rsidP="00D1670D">
            <w:pPr>
              <w:jc w:val="right"/>
              <w:rPr>
                <w:sz w:val="18"/>
                <w:szCs w:val="18"/>
              </w:rPr>
            </w:pPr>
            <w:r w:rsidRPr="00D1670D">
              <w:rPr>
                <w:sz w:val="18"/>
                <w:szCs w:val="18"/>
              </w:rPr>
              <w:t>1.3</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971"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2</w:t>
            </w:r>
          </w:p>
        </w:tc>
        <w:tc>
          <w:tcPr>
            <w:tcW w:w="829" w:type="dxa"/>
            <w:shd w:val="clear" w:color="auto" w:fill="F2F2F2"/>
          </w:tcPr>
          <w:p w:rsidR="002F7F38" w:rsidRPr="00D1670D" w:rsidRDefault="002F7F38" w:rsidP="00D1670D">
            <w:pPr>
              <w:jc w:val="right"/>
              <w:rPr>
                <w:sz w:val="18"/>
                <w:szCs w:val="18"/>
              </w:rPr>
            </w:pPr>
            <w:r w:rsidRPr="00D1670D">
              <w:rPr>
                <w:sz w:val="18"/>
                <w:szCs w:val="18"/>
              </w:rPr>
              <w:t>1.3</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2</w:t>
            </w:r>
          </w:p>
        </w:tc>
        <w:tc>
          <w:tcPr>
            <w:tcW w:w="956" w:type="dxa"/>
            <w:shd w:val="clear" w:color="auto" w:fill="F2F2F2"/>
          </w:tcPr>
          <w:p w:rsidR="002F7F38" w:rsidRPr="00D1670D" w:rsidRDefault="002F7F38" w:rsidP="00D1670D">
            <w:pPr>
              <w:jc w:val="right"/>
              <w:rPr>
                <w:sz w:val="18"/>
                <w:szCs w:val="18"/>
              </w:rPr>
            </w:pPr>
            <w:r w:rsidRPr="00D1670D">
              <w:rPr>
                <w:sz w:val="18"/>
                <w:szCs w:val="18"/>
              </w:rPr>
              <w:t>1.3</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971" w:type="dxa"/>
            <w:shd w:val="clear" w:color="auto" w:fill="F2F2F2"/>
          </w:tcPr>
          <w:p w:rsidR="002F7F38" w:rsidRPr="00D1670D" w:rsidRDefault="002F7F38" w:rsidP="00D1670D">
            <w:pPr>
              <w:jc w:val="right"/>
              <w:rPr>
                <w:sz w:val="18"/>
                <w:szCs w:val="18"/>
              </w:rPr>
            </w:pPr>
            <w:r w:rsidRPr="00D1670D">
              <w:rPr>
                <w:sz w:val="18"/>
                <w:szCs w:val="18"/>
              </w:rPr>
              <w:t>0</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Trainee Registrar</w:t>
            </w:r>
          </w:p>
        </w:tc>
        <w:tc>
          <w:tcPr>
            <w:tcW w:w="1155" w:type="dxa"/>
            <w:shd w:val="clear" w:color="auto" w:fill="auto"/>
          </w:tcPr>
          <w:p w:rsidR="002F7F38" w:rsidRPr="00D1670D" w:rsidRDefault="002F7F38" w:rsidP="00D1670D">
            <w:pPr>
              <w:jc w:val="right"/>
              <w:rPr>
                <w:sz w:val="18"/>
                <w:szCs w:val="18"/>
              </w:rPr>
            </w:pPr>
            <w:r w:rsidRPr="00D1670D">
              <w:rPr>
                <w:sz w:val="18"/>
                <w:szCs w:val="18"/>
              </w:rPr>
              <w:t>148</w:t>
            </w:r>
          </w:p>
        </w:tc>
        <w:tc>
          <w:tcPr>
            <w:tcW w:w="931" w:type="dxa"/>
            <w:shd w:val="clear" w:color="auto" w:fill="auto"/>
          </w:tcPr>
          <w:p w:rsidR="002F7F38" w:rsidRPr="00D1670D" w:rsidRDefault="002F7F38" w:rsidP="00D1670D">
            <w:pPr>
              <w:jc w:val="right"/>
              <w:rPr>
                <w:sz w:val="18"/>
                <w:szCs w:val="18"/>
              </w:rPr>
            </w:pPr>
            <w:r w:rsidRPr="00D1670D">
              <w:rPr>
                <w:sz w:val="18"/>
                <w:szCs w:val="18"/>
              </w:rPr>
              <w:t>144.7</w:t>
            </w:r>
          </w:p>
        </w:tc>
        <w:tc>
          <w:tcPr>
            <w:tcW w:w="1155" w:type="dxa"/>
            <w:shd w:val="clear" w:color="auto" w:fill="auto"/>
          </w:tcPr>
          <w:p w:rsidR="002F7F38" w:rsidRPr="00D1670D" w:rsidRDefault="002F7F38" w:rsidP="00D1670D">
            <w:pPr>
              <w:jc w:val="right"/>
              <w:rPr>
                <w:sz w:val="18"/>
                <w:szCs w:val="18"/>
              </w:rPr>
            </w:pPr>
            <w:r w:rsidRPr="00D1670D">
              <w:rPr>
                <w:sz w:val="18"/>
                <w:szCs w:val="18"/>
              </w:rPr>
              <w:t>140</w:t>
            </w:r>
          </w:p>
        </w:tc>
        <w:tc>
          <w:tcPr>
            <w:tcW w:w="1155" w:type="dxa"/>
            <w:shd w:val="clear" w:color="auto" w:fill="auto"/>
          </w:tcPr>
          <w:p w:rsidR="002F7F38" w:rsidRPr="00D1670D" w:rsidRDefault="002F7F38" w:rsidP="00D1670D">
            <w:pPr>
              <w:jc w:val="right"/>
              <w:rPr>
                <w:sz w:val="18"/>
                <w:szCs w:val="18"/>
              </w:rPr>
            </w:pPr>
            <w:r w:rsidRPr="00D1670D">
              <w:rPr>
                <w:sz w:val="18"/>
                <w:szCs w:val="18"/>
              </w:rPr>
              <w:t>7</w:t>
            </w:r>
          </w:p>
        </w:tc>
        <w:tc>
          <w:tcPr>
            <w:tcW w:w="951" w:type="dxa"/>
            <w:shd w:val="clear" w:color="auto" w:fill="auto"/>
          </w:tcPr>
          <w:p w:rsidR="002F7F38" w:rsidRPr="00D1670D" w:rsidRDefault="002F7F38" w:rsidP="00D1670D">
            <w:pPr>
              <w:jc w:val="right"/>
              <w:rPr>
                <w:sz w:val="18"/>
                <w:szCs w:val="18"/>
              </w:rPr>
            </w:pPr>
            <w:r w:rsidRPr="00D1670D">
              <w:rPr>
                <w:sz w:val="18"/>
                <w:szCs w:val="18"/>
              </w:rPr>
              <w:t>143.7</w:t>
            </w:r>
          </w:p>
        </w:tc>
        <w:tc>
          <w:tcPr>
            <w:tcW w:w="1155" w:type="dxa"/>
            <w:shd w:val="clear" w:color="auto" w:fill="auto"/>
          </w:tcPr>
          <w:p w:rsidR="002F7F38" w:rsidRPr="00D1670D" w:rsidRDefault="002F7F38" w:rsidP="00D1670D">
            <w:pPr>
              <w:jc w:val="right"/>
              <w:rPr>
                <w:sz w:val="18"/>
                <w:szCs w:val="18"/>
              </w:rPr>
            </w:pPr>
            <w:r w:rsidRPr="00D1670D">
              <w:rPr>
                <w:sz w:val="18"/>
                <w:szCs w:val="18"/>
              </w:rPr>
              <w:t>1</w:t>
            </w:r>
          </w:p>
        </w:tc>
        <w:tc>
          <w:tcPr>
            <w:tcW w:w="971" w:type="dxa"/>
            <w:shd w:val="clear" w:color="auto" w:fill="auto"/>
          </w:tcPr>
          <w:p w:rsidR="002F7F38" w:rsidRPr="00D1670D" w:rsidRDefault="002F7F38" w:rsidP="00D1670D">
            <w:pPr>
              <w:jc w:val="right"/>
              <w:rPr>
                <w:sz w:val="18"/>
                <w:szCs w:val="18"/>
              </w:rPr>
            </w:pPr>
            <w:r w:rsidRPr="00D1670D">
              <w:rPr>
                <w:sz w:val="18"/>
                <w:szCs w:val="18"/>
              </w:rPr>
              <w:t>1</w:t>
            </w:r>
          </w:p>
        </w:tc>
        <w:tc>
          <w:tcPr>
            <w:tcW w:w="1155" w:type="dxa"/>
            <w:shd w:val="clear" w:color="auto" w:fill="F2F2F2"/>
          </w:tcPr>
          <w:p w:rsidR="002F7F38" w:rsidRPr="00D1670D" w:rsidRDefault="002F7F38" w:rsidP="00D1670D">
            <w:pPr>
              <w:jc w:val="right"/>
              <w:rPr>
                <w:sz w:val="18"/>
                <w:szCs w:val="18"/>
              </w:rPr>
            </w:pPr>
            <w:r w:rsidRPr="00D1670D">
              <w:rPr>
                <w:sz w:val="18"/>
                <w:szCs w:val="18"/>
              </w:rPr>
              <w:t>150</w:t>
            </w:r>
          </w:p>
        </w:tc>
        <w:tc>
          <w:tcPr>
            <w:tcW w:w="829" w:type="dxa"/>
            <w:shd w:val="clear" w:color="auto" w:fill="F2F2F2"/>
          </w:tcPr>
          <w:p w:rsidR="002F7F38" w:rsidRPr="00D1670D" w:rsidRDefault="002F7F38" w:rsidP="00D1670D">
            <w:pPr>
              <w:jc w:val="right"/>
              <w:rPr>
                <w:sz w:val="18"/>
                <w:szCs w:val="18"/>
              </w:rPr>
            </w:pPr>
            <w:r w:rsidRPr="00D1670D">
              <w:rPr>
                <w:sz w:val="18"/>
                <w:szCs w:val="18"/>
              </w:rPr>
              <w:t>147.2</w:t>
            </w:r>
          </w:p>
        </w:tc>
        <w:tc>
          <w:tcPr>
            <w:tcW w:w="1155" w:type="dxa"/>
            <w:shd w:val="clear" w:color="auto" w:fill="F2F2F2"/>
          </w:tcPr>
          <w:p w:rsidR="002F7F38" w:rsidRPr="00D1670D" w:rsidRDefault="002F7F38" w:rsidP="00D1670D">
            <w:pPr>
              <w:jc w:val="right"/>
              <w:rPr>
                <w:sz w:val="18"/>
                <w:szCs w:val="18"/>
              </w:rPr>
            </w:pPr>
            <w:r w:rsidRPr="00D1670D">
              <w:rPr>
                <w:sz w:val="18"/>
                <w:szCs w:val="18"/>
              </w:rPr>
              <w:t>144</w:t>
            </w:r>
          </w:p>
        </w:tc>
        <w:tc>
          <w:tcPr>
            <w:tcW w:w="1155" w:type="dxa"/>
            <w:shd w:val="clear" w:color="auto" w:fill="F2F2F2"/>
          </w:tcPr>
          <w:p w:rsidR="002F7F38" w:rsidRPr="00D1670D" w:rsidRDefault="002F7F38" w:rsidP="00D1670D">
            <w:pPr>
              <w:jc w:val="right"/>
              <w:rPr>
                <w:sz w:val="18"/>
                <w:szCs w:val="18"/>
              </w:rPr>
            </w:pPr>
            <w:r w:rsidRPr="00D1670D">
              <w:rPr>
                <w:sz w:val="18"/>
                <w:szCs w:val="18"/>
              </w:rPr>
              <w:t>6</w:t>
            </w:r>
          </w:p>
        </w:tc>
        <w:tc>
          <w:tcPr>
            <w:tcW w:w="956" w:type="dxa"/>
            <w:shd w:val="clear" w:color="auto" w:fill="F2F2F2"/>
          </w:tcPr>
          <w:p w:rsidR="002F7F38" w:rsidRPr="00D1670D" w:rsidRDefault="002F7F38" w:rsidP="00D1670D">
            <w:pPr>
              <w:jc w:val="right"/>
              <w:rPr>
                <w:sz w:val="18"/>
                <w:szCs w:val="18"/>
              </w:rPr>
            </w:pPr>
            <w:r w:rsidRPr="00D1670D">
              <w:rPr>
                <w:sz w:val="18"/>
                <w:szCs w:val="18"/>
              </w:rPr>
              <w:t>147.2</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971" w:type="dxa"/>
            <w:shd w:val="clear" w:color="auto" w:fill="F2F2F2"/>
          </w:tcPr>
          <w:p w:rsidR="002F7F38" w:rsidRPr="00D1670D" w:rsidRDefault="002F7F38" w:rsidP="00D1670D">
            <w:pPr>
              <w:jc w:val="right"/>
              <w:rPr>
                <w:sz w:val="18"/>
                <w:szCs w:val="18"/>
              </w:rPr>
            </w:pPr>
            <w:r w:rsidRPr="00D1670D">
              <w:rPr>
                <w:sz w:val="18"/>
                <w:szCs w:val="18"/>
              </w:rPr>
              <w:t>0</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lastRenderedPageBreak/>
              <w:t>Deputy Registrar</w:t>
            </w:r>
          </w:p>
        </w:tc>
        <w:tc>
          <w:tcPr>
            <w:tcW w:w="1155" w:type="dxa"/>
            <w:shd w:val="clear" w:color="auto" w:fill="auto"/>
          </w:tcPr>
          <w:p w:rsidR="002F7F38" w:rsidRPr="00D1670D" w:rsidRDefault="002F7F38" w:rsidP="00D1670D">
            <w:pPr>
              <w:jc w:val="right"/>
              <w:rPr>
                <w:sz w:val="18"/>
                <w:szCs w:val="18"/>
              </w:rPr>
            </w:pPr>
            <w:r w:rsidRPr="00D1670D">
              <w:rPr>
                <w:sz w:val="18"/>
                <w:szCs w:val="18"/>
              </w:rPr>
              <w:t>76</w:t>
            </w:r>
          </w:p>
        </w:tc>
        <w:tc>
          <w:tcPr>
            <w:tcW w:w="931" w:type="dxa"/>
            <w:shd w:val="clear" w:color="auto" w:fill="auto"/>
          </w:tcPr>
          <w:p w:rsidR="002F7F38" w:rsidRPr="00D1670D" w:rsidRDefault="002F7F38" w:rsidP="00D1670D">
            <w:pPr>
              <w:jc w:val="right"/>
              <w:rPr>
                <w:sz w:val="18"/>
                <w:szCs w:val="18"/>
              </w:rPr>
            </w:pPr>
            <w:r w:rsidRPr="00D1670D">
              <w:rPr>
                <w:sz w:val="18"/>
                <w:szCs w:val="18"/>
              </w:rPr>
              <w:t>71.8</w:t>
            </w:r>
          </w:p>
        </w:tc>
        <w:tc>
          <w:tcPr>
            <w:tcW w:w="1155" w:type="dxa"/>
            <w:shd w:val="clear" w:color="auto" w:fill="auto"/>
          </w:tcPr>
          <w:p w:rsidR="002F7F38" w:rsidRPr="00D1670D" w:rsidRDefault="002F7F38" w:rsidP="00D1670D">
            <w:pPr>
              <w:jc w:val="right"/>
              <w:rPr>
                <w:sz w:val="18"/>
                <w:szCs w:val="18"/>
              </w:rPr>
            </w:pPr>
            <w:r w:rsidRPr="00D1670D">
              <w:rPr>
                <w:sz w:val="18"/>
                <w:szCs w:val="18"/>
              </w:rPr>
              <w:t>68</w:t>
            </w:r>
          </w:p>
        </w:tc>
        <w:tc>
          <w:tcPr>
            <w:tcW w:w="1155" w:type="dxa"/>
            <w:shd w:val="clear" w:color="auto" w:fill="auto"/>
          </w:tcPr>
          <w:p w:rsidR="002F7F38" w:rsidRPr="00D1670D" w:rsidRDefault="002F7F38" w:rsidP="00D1670D">
            <w:pPr>
              <w:jc w:val="right"/>
              <w:rPr>
                <w:sz w:val="18"/>
                <w:szCs w:val="18"/>
              </w:rPr>
            </w:pPr>
            <w:r w:rsidRPr="00D1670D">
              <w:rPr>
                <w:sz w:val="18"/>
                <w:szCs w:val="18"/>
              </w:rPr>
              <w:t>8</w:t>
            </w:r>
          </w:p>
        </w:tc>
        <w:tc>
          <w:tcPr>
            <w:tcW w:w="951" w:type="dxa"/>
            <w:shd w:val="clear" w:color="auto" w:fill="auto"/>
          </w:tcPr>
          <w:p w:rsidR="002F7F38" w:rsidRPr="00D1670D" w:rsidRDefault="002F7F38" w:rsidP="00D1670D">
            <w:pPr>
              <w:jc w:val="right"/>
              <w:rPr>
                <w:sz w:val="18"/>
                <w:szCs w:val="18"/>
              </w:rPr>
            </w:pPr>
            <w:r w:rsidRPr="00D1670D">
              <w:rPr>
                <w:sz w:val="18"/>
                <w:szCs w:val="18"/>
              </w:rPr>
              <w:t>71.8</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971"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95</w:t>
            </w:r>
          </w:p>
        </w:tc>
        <w:tc>
          <w:tcPr>
            <w:tcW w:w="829" w:type="dxa"/>
            <w:shd w:val="clear" w:color="auto" w:fill="F2F2F2"/>
          </w:tcPr>
          <w:p w:rsidR="002F7F38" w:rsidRPr="00D1670D" w:rsidRDefault="002F7F38" w:rsidP="00D1670D">
            <w:pPr>
              <w:jc w:val="right"/>
              <w:rPr>
                <w:sz w:val="18"/>
                <w:szCs w:val="18"/>
              </w:rPr>
            </w:pPr>
            <w:r w:rsidRPr="00D1670D">
              <w:rPr>
                <w:sz w:val="18"/>
                <w:szCs w:val="18"/>
              </w:rPr>
              <w:t>89.5</w:t>
            </w:r>
          </w:p>
        </w:tc>
        <w:tc>
          <w:tcPr>
            <w:tcW w:w="1155" w:type="dxa"/>
            <w:shd w:val="clear" w:color="auto" w:fill="F2F2F2"/>
          </w:tcPr>
          <w:p w:rsidR="002F7F38" w:rsidRPr="00D1670D" w:rsidRDefault="002F7F38" w:rsidP="00D1670D">
            <w:pPr>
              <w:jc w:val="right"/>
              <w:rPr>
                <w:sz w:val="18"/>
                <w:szCs w:val="18"/>
              </w:rPr>
            </w:pPr>
            <w:r w:rsidRPr="00D1670D">
              <w:rPr>
                <w:sz w:val="18"/>
                <w:szCs w:val="18"/>
              </w:rPr>
              <w:t>83</w:t>
            </w:r>
          </w:p>
        </w:tc>
        <w:tc>
          <w:tcPr>
            <w:tcW w:w="1155" w:type="dxa"/>
            <w:shd w:val="clear" w:color="auto" w:fill="F2F2F2"/>
          </w:tcPr>
          <w:p w:rsidR="002F7F38" w:rsidRPr="00D1670D" w:rsidRDefault="002F7F38" w:rsidP="00D1670D">
            <w:pPr>
              <w:jc w:val="right"/>
              <w:rPr>
                <w:sz w:val="18"/>
                <w:szCs w:val="18"/>
              </w:rPr>
            </w:pPr>
            <w:r w:rsidRPr="00D1670D">
              <w:rPr>
                <w:sz w:val="18"/>
                <w:szCs w:val="18"/>
              </w:rPr>
              <w:t>11</w:t>
            </w:r>
          </w:p>
        </w:tc>
        <w:tc>
          <w:tcPr>
            <w:tcW w:w="956" w:type="dxa"/>
            <w:shd w:val="clear" w:color="auto" w:fill="F2F2F2"/>
          </w:tcPr>
          <w:p w:rsidR="002F7F38" w:rsidRPr="00D1670D" w:rsidRDefault="002F7F38" w:rsidP="00D1670D">
            <w:pPr>
              <w:jc w:val="right"/>
              <w:rPr>
                <w:sz w:val="18"/>
                <w:szCs w:val="18"/>
              </w:rPr>
            </w:pPr>
            <w:r w:rsidRPr="00D1670D">
              <w:rPr>
                <w:sz w:val="18"/>
                <w:szCs w:val="18"/>
              </w:rPr>
              <w:t>88.5</w:t>
            </w:r>
          </w:p>
        </w:tc>
        <w:tc>
          <w:tcPr>
            <w:tcW w:w="1155" w:type="dxa"/>
            <w:shd w:val="clear" w:color="auto" w:fill="F2F2F2"/>
          </w:tcPr>
          <w:p w:rsidR="002F7F38" w:rsidRPr="00D1670D" w:rsidRDefault="002F7F38" w:rsidP="00D1670D">
            <w:pPr>
              <w:jc w:val="right"/>
              <w:rPr>
                <w:sz w:val="18"/>
                <w:szCs w:val="18"/>
              </w:rPr>
            </w:pPr>
            <w:r w:rsidRPr="00D1670D">
              <w:rPr>
                <w:sz w:val="18"/>
                <w:szCs w:val="18"/>
              </w:rPr>
              <w:t>1</w:t>
            </w:r>
          </w:p>
        </w:tc>
        <w:tc>
          <w:tcPr>
            <w:tcW w:w="971" w:type="dxa"/>
            <w:shd w:val="clear" w:color="auto" w:fill="F2F2F2"/>
          </w:tcPr>
          <w:p w:rsidR="002F7F38" w:rsidRPr="00D1670D" w:rsidRDefault="002F7F38" w:rsidP="00D1670D">
            <w:pPr>
              <w:jc w:val="right"/>
              <w:rPr>
                <w:sz w:val="18"/>
                <w:szCs w:val="18"/>
              </w:rPr>
            </w:pPr>
            <w:r w:rsidRPr="00D1670D">
              <w:rPr>
                <w:sz w:val="18"/>
                <w:szCs w:val="18"/>
              </w:rPr>
              <w:t>1</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Registrar Grade 3</w:t>
            </w:r>
          </w:p>
        </w:tc>
        <w:tc>
          <w:tcPr>
            <w:tcW w:w="1155" w:type="dxa"/>
            <w:shd w:val="clear" w:color="auto" w:fill="auto"/>
          </w:tcPr>
          <w:p w:rsidR="002F7F38" w:rsidRPr="00D1670D" w:rsidRDefault="002F7F38" w:rsidP="00D1670D">
            <w:pPr>
              <w:jc w:val="right"/>
              <w:rPr>
                <w:sz w:val="18"/>
                <w:szCs w:val="18"/>
              </w:rPr>
            </w:pPr>
            <w:r w:rsidRPr="00D1670D">
              <w:rPr>
                <w:sz w:val="18"/>
                <w:szCs w:val="18"/>
              </w:rPr>
              <w:t>189</w:t>
            </w:r>
          </w:p>
        </w:tc>
        <w:tc>
          <w:tcPr>
            <w:tcW w:w="931" w:type="dxa"/>
            <w:shd w:val="clear" w:color="auto" w:fill="auto"/>
          </w:tcPr>
          <w:p w:rsidR="002F7F38" w:rsidRPr="00D1670D" w:rsidRDefault="002F7F38" w:rsidP="00D1670D">
            <w:pPr>
              <w:jc w:val="right"/>
              <w:rPr>
                <w:sz w:val="18"/>
                <w:szCs w:val="18"/>
              </w:rPr>
            </w:pPr>
            <w:r w:rsidRPr="00D1670D">
              <w:rPr>
                <w:sz w:val="18"/>
                <w:szCs w:val="18"/>
              </w:rPr>
              <w:t>162.3</w:t>
            </w:r>
          </w:p>
        </w:tc>
        <w:tc>
          <w:tcPr>
            <w:tcW w:w="1155" w:type="dxa"/>
            <w:shd w:val="clear" w:color="auto" w:fill="auto"/>
          </w:tcPr>
          <w:p w:rsidR="002F7F38" w:rsidRPr="00D1670D" w:rsidRDefault="002F7F38" w:rsidP="00D1670D">
            <w:pPr>
              <w:jc w:val="right"/>
              <w:rPr>
                <w:sz w:val="18"/>
                <w:szCs w:val="18"/>
              </w:rPr>
            </w:pPr>
            <w:r w:rsidRPr="00D1670D">
              <w:rPr>
                <w:sz w:val="18"/>
                <w:szCs w:val="18"/>
              </w:rPr>
              <w:t>125</w:t>
            </w:r>
          </w:p>
        </w:tc>
        <w:tc>
          <w:tcPr>
            <w:tcW w:w="1155" w:type="dxa"/>
            <w:shd w:val="clear" w:color="auto" w:fill="auto"/>
          </w:tcPr>
          <w:p w:rsidR="002F7F38" w:rsidRPr="00D1670D" w:rsidRDefault="002F7F38" w:rsidP="00D1670D">
            <w:pPr>
              <w:jc w:val="right"/>
              <w:rPr>
                <w:sz w:val="18"/>
                <w:szCs w:val="18"/>
              </w:rPr>
            </w:pPr>
            <w:r w:rsidRPr="00D1670D">
              <w:rPr>
                <w:sz w:val="18"/>
                <w:szCs w:val="18"/>
              </w:rPr>
              <w:t>61</w:t>
            </w:r>
          </w:p>
        </w:tc>
        <w:tc>
          <w:tcPr>
            <w:tcW w:w="951" w:type="dxa"/>
            <w:shd w:val="clear" w:color="auto" w:fill="auto"/>
          </w:tcPr>
          <w:p w:rsidR="002F7F38" w:rsidRPr="00D1670D" w:rsidRDefault="002F7F38" w:rsidP="00D1670D">
            <w:pPr>
              <w:jc w:val="right"/>
              <w:rPr>
                <w:sz w:val="18"/>
                <w:szCs w:val="18"/>
              </w:rPr>
            </w:pPr>
            <w:r w:rsidRPr="00D1670D">
              <w:rPr>
                <w:sz w:val="18"/>
                <w:szCs w:val="18"/>
              </w:rPr>
              <w:t>159.9</w:t>
            </w:r>
          </w:p>
        </w:tc>
        <w:tc>
          <w:tcPr>
            <w:tcW w:w="1155" w:type="dxa"/>
            <w:shd w:val="clear" w:color="auto" w:fill="auto"/>
          </w:tcPr>
          <w:p w:rsidR="002F7F38" w:rsidRPr="00D1670D" w:rsidRDefault="002F7F38" w:rsidP="00D1670D">
            <w:pPr>
              <w:jc w:val="right"/>
              <w:rPr>
                <w:sz w:val="18"/>
                <w:szCs w:val="18"/>
              </w:rPr>
            </w:pPr>
            <w:r w:rsidRPr="00D1670D">
              <w:rPr>
                <w:sz w:val="18"/>
                <w:szCs w:val="18"/>
              </w:rPr>
              <w:t>3</w:t>
            </w:r>
          </w:p>
        </w:tc>
        <w:tc>
          <w:tcPr>
            <w:tcW w:w="971" w:type="dxa"/>
            <w:shd w:val="clear" w:color="auto" w:fill="auto"/>
          </w:tcPr>
          <w:p w:rsidR="002F7F38" w:rsidRPr="00D1670D" w:rsidRDefault="002F7F38" w:rsidP="00D1670D">
            <w:pPr>
              <w:jc w:val="right"/>
              <w:rPr>
                <w:sz w:val="18"/>
                <w:szCs w:val="18"/>
              </w:rPr>
            </w:pPr>
            <w:r w:rsidRPr="00D1670D">
              <w:rPr>
                <w:sz w:val="18"/>
                <w:szCs w:val="18"/>
              </w:rPr>
              <w:t>2.4</w:t>
            </w:r>
          </w:p>
        </w:tc>
        <w:tc>
          <w:tcPr>
            <w:tcW w:w="1155" w:type="dxa"/>
            <w:shd w:val="clear" w:color="auto" w:fill="F2F2F2"/>
          </w:tcPr>
          <w:p w:rsidR="002F7F38" w:rsidRPr="00D1670D" w:rsidRDefault="002F7F38" w:rsidP="00D1670D">
            <w:pPr>
              <w:jc w:val="right"/>
              <w:rPr>
                <w:sz w:val="18"/>
                <w:szCs w:val="18"/>
              </w:rPr>
            </w:pPr>
            <w:r w:rsidRPr="00D1670D">
              <w:rPr>
                <w:sz w:val="18"/>
                <w:szCs w:val="18"/>
              </w:rPr>
              <w:t>177</w:t>
            </w:r>
          </w:p>
        </w:tc>
        <w:tc>
          <w:tcPr>
            <w:tcW w:w="829" w:type="dxa"/>
            <w:shd w:val="clear" w:color="auto" w:fill="F2F2F2"/>
          </w:tcPr>
          <w:p w:rsidR="002F7F38" w:rsidRPr="00D1670D" w:rsidRDefault="002F7F38" w:rsidP="00D1670D">
            <w:pPr>
              <w:jc w:val="right"/>
              <w:rPr>
                <w:sz w:val="18"/>
                <w:szCs w:val="18"/>
              </w:rPr>
            </w:pPr>
            <w:r w:rsidRPr="00D1670D">
              <w:rPr>
                <w:sz w:val="18"/>
                <w:szCs w:val="18"/>
              </w:rPr>
              <w:t>151.8</w:t>
            </w:r>
          </w:p>
        </w:tc>
        <w:tc>
          <w:tcPr>
            <w:tcW w:w="1155" w:type="dxa"/>
            <w:shd w:val="clear" w:color="auto" w:fill="F2F2F2"/>
          </w:tcPr>
          <w:p w:rsidR="002F7F38" w:rsidRPr="00D1670D" w:rsidRDefault="002F7F38" w:rsidP="00D1670D">
            <w:pPr>
              <w:jc w:val="right"/>
              <w:rPr>
                <w:sz w:val="18"/>
                <w:szCs w:val="18"/>
              </w:rPr>
            </w:pPr>
            <w:r w:rsidRPr="00D1670D">
              <w:rPr>
                <w:sz w:val="18"/>
                <w:szCs w:val="18"/>
              </w:rPr>
              <w:t>117</w:t>
            </w:r>
          </w:p>
        </w:tc>
        <w:tc>
          <w:tcPr>
            <w:tcW w:w="1155" w:type="dxa"/>
            <w:shd w:val="clear" w:color="auto" w:fill="F2F2F2"/>
          </w:tcPr>
          <w:p w:rsidR="002F7F38" w:rsidRPr="00D1670D" w:rsidRDefault="002F7F38" w:rsidP="00D1670D">
            <w:pPr>
              <w:jc w:val="right"/>
              <w:rPr>
                <w:sz w:val="18"/>
                <w:szCs w:val="18"/>
              </w:rPr>
            </w:pPr>
            <w:r w:rsidRPr="00D1670D">
              <w:rPr>
                <w:sz w:val="18"/>
                <w:szCs w:val="18"/>
              </w:rPr>
              <w:t>58</w:t>
            </w:r>
          </w:p>
        </w:tc>
        <w:tc>
          <w:tcPr>
            <w:tcW w:w="956" w:type="dxa"/>
            <w:shd w:val="clear" w:color="auto" w:fill="F2F2F2"/>
          </w:tcPr>
          <w:p w:rsidR="002F7F38" w:rsidRPr="00D1670D" w:rsidRDefault="002F7F38" w:rsidP="00D1670D">
            <w:pPr>
              <w:jc w:val="right"/>
              <w:rPr>
                <w:sz w:val="18"/>
                <w:szCs w:val="18"/>
              </w:rPr>
            </w:pPr>
            <w:r w:rsidRPr="00D1670D">
              <w:rPr>
                <w:sz w:val="18"/>
                <w:szCs w:val="18"/>
              </w:rPr>
              <w:t>150.4</w:t>
            </w:r>
          </w:p>
        </w:tc>
        <w:tc>
          <w:tcPr>
            <w:tcW w:w="1155" w:type="dxa"/>
            <w:shd w:val="clear" w:color="auto" w:fill="F2F2F2"/>
          </w:tcPr>
          <w:p w:rsidR="002F7F38" w:rsidRPr="00D1670D" w:rsidRDefault="002F7F38" w:rsidP="00D1670D">
            <w:pPr>
              <w:jc w:val="right"/>
              <w:rPr>
                <w:sz w:val="18"/>
                <w:szCs w:val="18"/>
              </w:rPr>
            </w:pPr>
            <w:r w:rsidRPr="00D1670D">
              <w:rPr>
                <w:sz w:val="18"/>
                <w:szCs w:val="18"/>
              </w:rPr>
              <w:t>2</w:t>
            </w:r>
          </w:p>
        </w:tc>
        <w:tc>
          <w:tcPr>
            <w:tcW w:w="971" w:type="dxa"/>
            <w:shd w:val="clear" w:color="auto" w:fill="F2F2F2"/>
          </w:tcPr>
          <w:p w:rsidR="002F7F38" w:rsidRPr="00D1670D" w:rsidRDefault="002F7F38" w:rsidP="00D1670D">
            <w:pPr>
              <w:jc w:val="right"/>
              <w:rPr>
                <w:sz w:val="18"/>
                <w:szCs w:val="18"/>
              </w:rPr>
            </w:pPr>
            <w:r w:rsidRPr="00D1670D">
              <w:rPr>
                <w:sz w:val="18"/>
                <w:szCs w:val="18"/>
              </w:rPr>
              <w:t>1.4</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Registrar Grade 4</w:t>
            </w:r>
          </w:p>
        </w:tc>
        <w:tc>
          <w:tcPr>
            <w:tcW w:w="1155" w:type="dxa"/>
            <w:shd w:val="clear" w:color="auto" w:fill="auto"/>
          </w:tcPr>
          <w:p w:rsidR="002F7F38" w:rsidRPr="00D1670D" w:rsidRDefault="002F7F38" w:rsidP="00D1670D">
            <w:pPr>
              <w:jc w:val="right"/>
              <w:rPr>
                <w:sz w:val="18"/>
                <w:szCs w:val="18"/>
              </w:rPr>
            </w:pPr>
            <w:r w:rsidRPr="00D1670D">
              <w:rPr>
                <w:sz w:val="18"/>
                <w:szCs w:val="18"/>
              </w:rPr>
              <w:t>46</w:t>
            </w:r>
          </w:p>
        </w:tc>
        <w:tc>
          <w:tcPr>
            <w:tcW w:w="931" w:type="dxa"/>
            <w:shd w:val="clear" w:color="auto" w:fill="auto"/>
          </w:tcPr>
          <w:p w:rsidR="002F7F38" w:rsidRPr="00D1670D" w:rsidRDefault="002F7F38" w:rsidP="00D1670D">
            <w:pPr>
              <w:jc w:val="right"/>
              <w:rPr>
                <w:sz w:val="18"/>
                <w:szCs w:val="18"/>
              </w:rPr>
            </w:pPr>
            <w:r w:rsidRPr="00D1670D">
              <w:rPr>
                <w:sz w:val="18"/>
                <w:szCs w:val="18"/>
              </w:rPr>
              <w:t>43.2</w:t>
            </w:r>
          </w:p>
        </w:tc>
        <w:tc>
          <w:tcPr>
            <w:tcW w:w="1155" w:type="dxa"/>
            <w:shd w:val="clear" w:color="auto" w:fill="auto"/>
          </w:tcPr>
          <w:p w:rsidR="002F7F38" w:rsidRPr="00D1670D" w:rsidRDefault="002F7F38" w:rsidP="00D1670D">
            <w:pPr>
              <w:jc w:val="right"/>
              <w:rPr>
                <w:sz w:val="18"/>
                <w:szCs w:val="18"/>
              </w:rPr>
            </w:pPr>
            <w:r w:rsidRPr="00D1670D">
              <w:rPr>
                <w:sz w:val="18"/>
                <w:szCs w:val="18"/>
              </w:rPr>
              <w:t>40</w:t>
            </w:r>
          </w:p>
        </w:tc>
        <w:tc>
          <w:tcPr>
            <w:tcW w:w="1155" w:type="dxa"/>
            <w:shd w:val="clear" w:color="auto" w:fill="auto"/>
          </w:tcPr>
          <w:p w:rsidR="002F7F38" w:rsidRPr="00D1670D" w:rsidRDefault="002F7F38" w:rsidP="00D1670D">
            <w:pPr>
              <w:jc w:val="right"/>
              <w:rPr>
                <w:sz w:val="18"/>
                <w:szCs w:val="18"/>
              </w:rPr>
            </w:pPr>
            <w:r w:rsidRPr="00D1670D">
              <w:rPr>
                <w:sz w:val="18"/>
                <w:szCs w:val="18"/>
              </w:rPr>
              <w:t>6</w:t>
            </w:r>
          </w:p>
        </w:tc>
        <w:tc>
          <w:tcPr>
            <w:tcW w:w="951" w:type="dxa"/>
            <w:shd w:val="clear" w:color="auto" w:fill="auto"/>
          </w:tcPr>
          <w:p w:rsidR="002F7F38" w:rsidRPr="00D1670D" w:rsidRDefault="002F7F38" w:rsidP="00D1670D">
            <w:pPr>
              <w:jc w:val="right"/>
              <w:rPr>
                <w:sz w:val="18"/>
                <w:szCs w:val="18"/>
              </w:rPr>
            </w:pPr>
            <w:r w:rsidRPr="00D1670D">
              <w:rPr>
                <w:sz w:val="18"/>
                <w:szCs w:val="18"/>
              </w:rPr>
              <w:t>43.2</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971"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38</w:t>
            </w:r>
          </w:p>
        </w:tc>
        <w:tc>
          <w:tcPr>
            <w:tcW w:w="829" w:type="dxa"/>
            <w:shd w:val="clear" w:color="auto" w:fill="F2F2F2"/>
          </w:tcPr>
          <w:p w:rsidR="002F7F38" w:rsidRPr="00D1670D" w:rsidRDefault="002F7F38" w:rsidP="00D1670D">
            <w:pPr>
              <w:jc w:val="right"/>
              <w:rPr>
                <w:sz w:val="18"/>
                <w:szCs w:val="18"/>
              </w:rPr>
            </w:pPr>
            <w:r w:rsidRPr="00D1670D">
              <w:rPr>
                <w:sz w:val="18"/>
                <w:szCs w:val="18"/>
              </w:rPr>
              <w:t>35.9</w:t>
            </w:r>
          </w:p>
        </w:tc>
        <w:tc>
          <w:tcPr>
            <w:tcW w:w="1155" w:type="dxa"/>
            <w:shd w:val="clear" w:color="auto" w:fill="F2F2F2"/>
          </w:tcPr>
          <w:p w:rsidR="002F7F38" w:rsidRPr="00D1670D" w:rsidRDefault="002F7F38" w:rsidP="00D1670D">
            <w:pPr>
              <w:jc w:val="right"/>
              <w:rPr>
                <w:sz w:val="18"/>
                <w:szCs w:val="18"/>
              </w:rPr>
            </w:pPr>
            <w:r w:rsidRPr="00D1670D">
              <w:rPr>
                <w:sz w:val="18"/>
                <w:szCs w:val="18"/>
              </w:rPr>
              <w:t>33</w:t>
            </w:r>
          </w:p>
        </w:tc>
        <w:tc>
          <w:tcPr>
            <w:tcW w:w="1155" w:type="dxa"/>
            <w:shd w:val="clear" w:color="auto" w:fill="F2F2F2"/>
          </w:tcPr>
          <w:p w:rsidR="002F7F38" w:rsidRPr="00D1670D" w:rsidRDefault="002F7F38" w:rsidP="00D1670D">
            <w:pPr>
              <w:jc w:val="right"/>
              <w:rPr>
                <w:sz w:val="18"/>
                <w:szCs w:val="18"/>
              </w:rPr>
            </w:pPr>
            <w:r w:rsidRPr="00D1670D">
              <w:rPr>
                <w:sz w:val="18"/>
                <w:szCs w:val="18"/>
              </w:rPr>
              <w:t>5</w:t>
            </w:r>
          </w:p>
        </w:tc>
        <w:tc>
          <w:tcPr>
            <w:tcW w:w="956" w:type="dxa"/>
            <w:shd w:val="clear" w:color="auto" w:fill="F2F2F2"/>
          </w:tcPr>
          <w:p w:rsidR="002F7F38" w:rsidRPr="00D1670D" w:rsidRDefault="002F7F38" w:rsidP="00D1670D">
            <w:pPr>
              <w:jc w:val="right"/>
              <w:rPr>
                <w:sz w:val="18"/>
                <w:szCs w:val="18"/>
              </w:rPr>
            </w:pPr>
            <w:r w:rsidRPr="00D1670D">
              <w:rPr>
                <w:sz w:val="18"/>
                <w:szCs w:val="18"/>
              </w:rPr>
              <w:t>35.9</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971" w:type="dxa"/>
            <w:shd w:val="clear" w:color="auto" w:fill="F2F2F2"/>
          </w:tcPr>
          <w:p w:rsidR="002F7F38" w:rsidRPr="00D1670D" w:rsidRDefault="002F7F38" w:rsidP="00D1670D">
            <w:pPr>
              <w:jc w:val="right"/>
              <w:rPr>
                <w:sz w:val="18"/>
                <w:szCs w:val="18"/>
              </w:rPr>
            </w:pPr>
            <w:r w:rsidRPr="00D1670D">
              <w:rPr>
                <w:sz w:val="18"/>
                <w:szCs w:val="18"/>
              </w:rPr>
              <w:t>0</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Registrar Grade 5</w:t>
            </w:r>
          </w:p>
        </w:tc>
        <w:tc>
          <w:tcPr>
            <w:tcW w:w="1155" w:type="dxa"/>
            <w:shd w:val="clear" w:color="auto" w:fill="auto"/>
          </w:tcPr>
          <w:p w:rsidR="002F7F38" w:rsidRPr="00D1670D" w:rsidRDefault="002F7F38" w:rsidP="00D1670D">
            <w:pPr>
              <w:jc w:val="right"/>
              <w:rPr>
                <w:sz w:val="18"/>
                <w:szCs w:val="18"/>
              </w:rPr>
            </w:pPr>
            <w:r w:rsidRPr="00D1670D">
              <w:rPr>
                <w:sz w:val="18"/>
                <w:szCs w:val="18"/>
              </w:rPr>
              <w:t>48</w:t>
            </w:r>
          </w:p>
        </w:tc>
        <w:tc>
          <w:tcPr>
            <w:tcW w:w="931" w:type="dxa"/>
            <w:shd w:val="clear" w:color="auto" w:fill="auto"/>
          </w:tcPr>
          <w:p w:rsidR="002F7F38" w:rsidRPr="00D1670D" w:rsidRDefault="002F7F38" w:rsidP="00D1670D">
            <w:pPr>
              <w:jc w:val="right"/>
              <w:rPr>
                <w:sz w:val="18"/>
                <w:szCs w:val="18"/>
              </w:rPr>
            </w:pPr>
            <w:r w:rsidRPr="00D1670D">
              <w:rPr>
                <w:sz w:val="18"/>
                <w:szCs w:val="18"/>
              </w:rPr>
              <w:t>44.1</w:t>
            </w:r>
          </w:p>
        </w:tc>
        <w:tc>
          <w:tcPr>
            <w:tcW w:w="1155" w:type="dxa"/>
            <w:shd w:val="clear" w:color="auto" w:fill="auto"/>
          </w:tcPr>
          <w:p w:rsidR="002F7F38" w:rsidRPr="00D1670D" w:rsidRDefault="002F7F38" w:rsidP="00D1670D">
            <w:pPr>
              <w:jc w:val="right"/>
              <w:rPr>
                <w:sz w:val="18"/>
                <w:szCs w:val="18"/>
              </w:rPr>
            </w:pPr>
            <w:r w:rsidRPr="00D1670D">
              <w:rPr>
                <w:sz w:val="18"/>
                <w:szCs w:val="18"/>
              </w:rPr>
              <w:t>38</w:t>
            </w:r>
          </w:p>
        </w:tc>
        <w:tc>
          <w:tcPr>
            <w:tcW w:w="1155" w:type="dxa"/>
            <w:shd w:val="clear" w:color="auto" w:fill="auto"/>
          </w:tcPr>
          <w:p w:rsidR="002F7F38" w:rsidRPr="00D1670D" w:rsidRDefault="002F7F38" w:rsidP="00D1670D">
            <w:pPr>
              <w:jc w:val="right"/>
              <w:rPr>
                <w:sz w:val="18"/>
                <w:szCs w:val="18"/>
              </w:rPr>
            </w:pPr>
            <w:r w:rsidRPr="00D1670D">
              <w:rPr>
                <w:sz w:val="18"/>
                <w:szCs w:val="18"/>
              </w:rPr>
              <w:t>10</w:t>
            </w:r>
          </w:p>
        </w:tc>
        <w:tc>
          <w:tcPr>
            <w:tcW w:w="951" w:type="dxa"/>
            <w:shd w:val="clear" w:color="auto" w:fill="auto"/>
          </w:tcPr>
          <w:p w:rsidR="002F7F38" w:rsidRPr="00D1670D" w:rsidRDefault="002F7F38" w:rsidP="00D1670D">
            <w:pPr>
              <w:jc w:val="right"/>
              <w:rPr>
                <w:sz w:val="18"/>
                <w:szCs w:val="18"/>
              </w:rPr>
            </w:pPr>
            <w:r w:rsidRPr="00D1670D">
              <w:rPr>
                <w:sz w:val="18"/>
                <w:szCs w:val="18"/>
              </w:rPr>
              <w:t>44.1</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971"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51</w:t>
            </w:r>
          </w:p>
        </w:tc>
        <w:tc>
          <w:tcPr>
            <w:tcW w:w="829" w:type="dxa"/>
            <w:shd w:val="clear" w:color="auto" w:fill="F2F2F2"/>
          </w:tcPr>
          <w:p w:rsidR="002F7F38" w:rsidRPr="00D1670D" w:rsidRDefault="002F7F38" w:rsidP="00D1670D">
            <w:pPr>
              <w:jc w:val="right"/>
              <w:rPr>
                <w:sz w:val="18"/>
                <w:szCs w:val="18"/>
              </w:rPr>
            </w:pPr>
            <w:r w:rsidRPr="00D1670D">
              <w:rPr>
                <w:sz w:val="18"/>
                <w:szCs w:val="18"/>
              </w:rPr>
              <w:t>46.2</w:t>
            </w:r>
          </w:p>
        </w:tc>
        <w:tc>
          <w:tcPr>
            <w:tcW w:w="1155" w:type="dxa"/>
            <w:shd w:val="clear" w:color="auto" w:fill="F2F2F2"/>
          </w:tcPr>
          <w:p w:rsidR="002F7F38" w:rsidRPr="00D1670D" w:rsidRDefault="002F7F38" w:rsidP="00D1670D">
            <w:pPr>
              <w:jc w:val="right"/>
              <w:rPr>
                <w:sz w:val="18"/>
                <w:szCs w:val="18"/>
              </w:rPr>
            </w:pPr>
            <w:r w:rsidRPr="00D1670D">
              <w:rPr>
                <w:sz w:val="18"/>
                <w:szCs w:val="18"/>
              </w:rPr>
              <w:t>39</w:t>
            </w:r>
          </w:p>
        </w:tc>
        <w:tc>
          <w:tcPr>
            <w:tcW w:w="1155" w:type="dxa"/>
            <w:shd w:val="clear" w:color="auto" w:fill="F2F2F2"/>
          </w:tcPr>
          <w:p w:rsidR="002F7F38" w:rsidRPr="00D1670D" w:rsidRDefault="002F7F38" w:rsidP="00D1670D">
            <w:pPr>
              <w:jc w:val="right"/>
              <w:rPr>
                <w:sz w:val="18"/>
                <w:szCs w:val="18"/>
              </w:rPr>
            </w:pPr>
            <w:r w:rsidRPr="00D1670D">
              <w:rPr>
                <w:sz w:val="18"/>
                <w:szCs w:val="18"/>
              </w:rPr>
              <w:t>11</w:t>
            </w:r>
          </w:p>
        </w:tc>
        <w:tc>
          <w:tcPr>
            <w:tcW w:w="956" w:type="dxa"/>
            <w:shd w:val="clear" w:color="auto" w:fill="F2F2F2"/>
          </w:tcPr>
          <w:p w:rsidR="002F7F38" w:rsidRPr="00D1670D" w:rsidRDefault="002F7F38" w:rsidP="00D1670D">
            <w:pPr>
              <w:jc w:val="right"/>
              <w:rPr>
                <w:sz w:val="18"/>
                <w:szCs w:val="18"/>
              </w:rPr>
            </w:pPr>
            <w:r w:rsidRPr="00D1670D">
              <w:rPr>
                <w:sz w:val="18"/>
                <w:szCs w:val="18"/>
              </w:rPr>
              <w:t>45.2</w:t>
            </w:r>
          </w:p>
        </w:tc>
        <w:tc>
          <w:tcPr>
            <w:tcW w:w="1155" w:type="dxa"/>
            <w:shd w:val="clear" w:color="auto" w:fill="F2F2F2"/>
          </w:tcPr>
          <w:p w:rsidR="002F7F38" w:rsidRPr="00D1670D" w:rsidRDefault="002F7F38" w:rsidP="00D1670D">
            <w:pPr>
              <w:jc w:val="right"/>
              <w:rPr>
                <w:sz w:val="18"/>
                <w:szCs w:val="18"/>
              </w:rPr>
            </w:pPr>
            <w:r w:rsidRPr="00D1670D">
              <w:rPr>
                <w:sz w:val="18"/>
                <w:szCs w:val="18"/>
              </w:rPr>
              <w:t>1</w:t>
            </w:r>
          </w:p>
        </w:tc>
        <w:tc>
          <w:tcPr>
            <w:tcW w:w="971" w:type="dxa"/>
            <w:shd w:val="clear" w:color="auto" w:fill="F2F2F2"/>
          </w:tcPr>
          <w:p w:rsidR="002F7F38" w:rsidRPr="00D1670D" w:rsidRDefault="002F7F38" w:rsidP="00D1670D">
            <w:pPr>
              <w:jc w:val="right"/>
              <w:rPr>
                <w:sz w:val="18"/>
                <w:szCs w:val="18"/>
              </w:rPr>
            </w:pPr>
            <w:r w:rsidRPr="00D1670D">
              <w:rPr>
                <w:sz w:val="18"/>
                <w:szCs w:val="18"/>
              </w:rPr>
              <w:t>1</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sz w:val="18"/>
                <w:szCs w:val="18"/>
              </w:rPr>
              <w:t>Registrar Grade 6</w:t>
            </w:r>
          </w:p>
        </w:tc>
        <w:tc>
          <w:tcPr>
            <w:tcW w:w="1155" w:type="dxa"/>
            <w:shd w:val="clear" w:color="auto" w:fill="auto"/>
          </w:tcPr>
          <w:p w:rsidR="002F7F38" w:rsidRPr="00D1670D" w:rsidRDefault="002F7F38" w:rsidP="00D1670D">
            <w:pPr>
              <w:jc w:val="right"/>
              <w:rPr>
                <w:sz w:val="18"/>
                <w:szCs w:val="18"/>
              </w:rPr>
            </w:pPr>
            <w:r w:rsidRPr="00D1670D">
              <w:rPr>
                <w:sz w:val="18"/>
                <w:szCs w:val="18"/>
              </w:rPr>
              <w:t>18</w:t>
            </w:r>
          </w:p>
        </w:tc>
        <w:tc>
          <w:tcPr>
            <w:tcW w:w="931" w:type="dxa"/>
            <w:shd w:val="clear" w:color="auto" w:fill="auto"/>
          </w:tcPr>
          <w:p w:rsidR="002F7F38" w:rsidRPr="00D1670D" w:rsidRDefault="002F7F38" w:rsidP="00D1670D">
            <w:pPr>
              <w:jc w:val="right"/>
              <w:rPr>
                <w:sz w:val="18"/>
                <w:szCs w:val="18"/>
              </w:rPr>
            </w:pPr>
            <w:r w:rsidRPr="00D1670D">
              <w:rPr>
                <w:sz w:val="18"/>
                <w:szCs w:val="18"/>
              </w:rPr>
              <w:t>18</w:t>
            </w:r>
          </w:p>
        </w:tc>
        <w:tc>
          <w:tcPr>
            <w:tcW w:w="1155" w:type="dxa"/>
            <w:shd w:val="clear" w:color="auto" w:fill="auto"/>
          </w:tcPr>
          <w:p w:rsidR="002F7F38" w:rsidRPr="00D1670D" w:rsidRDefault="002F7F38" w:rsidP="00D1670D">
            <w:pPr>
              <w:jc w:val="right"/>
              <w:rPr>
                <w:sz w:val="18"/>
                <w:szCs w:val="18"/>
              </w:rPr>
            </w:pPr>
            <w:r w:rsidRPr="00D1670D">
              <w:rPr>
                <w:sz w:val="18"/>
                <w:szCs w:val="18"/>
              </w:rPr>
              <w:t>18</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951" w:type="dxa"/>
            <w:shd w:val="clear" w:color="auto" w:fill="auto"/>
          </w:tcPr>
          <w:p w:rsidR="002F7F38" w:rsidRPr="00D1670D" w:rsidRDefault="002F7F38" w:rsidP="00D1670D">
            <w:pPr>
              <w:jc w:val="right"/>
              <w:rPr>
                <w:sz w:val="18"/>
                <w:szCs w:val="18"/>
              </w:rPr>
            </w:pPr>
            <w:r w:rsidRPr="00D1670D">
              <w:rPr>
                <w:sz w:val="18"/>
                <w:szCs w:val="18"/>
              </w:rPr>
              <w:t>18</w:t>
            </w:r>
          </w:p>
        </w:tc>
        <w:tc>
          <w:tcPr>
            <w:tcW w:w="1155" w:type="dxa"/>
            <w:shd w:val="clear" w:color="auto" w:fill="auto"/>
          </w:tcPr>
          <w:p w:rsidR="002F7F38" w:rsidRPr="00D1670D" w:rsidRDefault="002F7F38" w:rsidP="00D1670D">
            <w:pPr>
              <w:jc w:val="right"/>
              <w:rPr>
                <w:sz w:val="18"/>
                <w:szCs w:val="18"/>
              </w:rPr>
            </w:pPr>
            <w:r w:rsidRPr="00D1670D">
              <w:rPr>
                <w:sz w:val="18"/>
                <w:szCs w:val="18"/>
              </w:rPr>
              <w:t>0</w:t>
            </w:r>
          </w:p>
        </w:tc>
        <w:tc>
          <w:tcPr>
            <w:tcW w:w="971" w:type="dxa"/>
            <w:shd w:val="clear" w:color="auto" w:fill="auto"/>
          </w:tcPr>
          <w:p w:rsidR="002F7F38" w:rsidRPr="00D1670D" w:rsidRDefault="002F7F38" w:rsidP="00D1670D">
            <w:pPr>
              <w:jc w:val="right"/>
              <w:rPr>
                <w:sz w:val="18"/>
                <w:szCs w:val="18"/>
              </w:rPr>
            </w:pPr>
            <w:r w:rsidRPr="00D1670D">
              <w:rPr>
                <w:sz w:val="18"/>
                <w:szCs w:val="18"/>
              </w:rPr>
              <w:t>0</w:t>
            </w:r>
          </w:p>
        </w:tc>
        <w:tc>
          <w:tcPr>
            <w:tcW w:w="1155" w:type="dxa"/>
            <w:shd w:val="clear" w:color="auto" w:fill="F2F2F2"/>
          </w:tcPr>
          <w:p w:rsidR="002F7F38" w:rsidRPr="00D1670D" w:rsidRDefault="002F7F38" w:rsidP="00D1670D">
            <w:pPr>
              <w:jc w:val="right"/>
              <w:rPr>
                <w:sz w:val="18"/>
                <w:szCs w:val="18"/>
              </w:rPr>
            </w:pPr>
            <w:r w:rsidRPr="00D1670D">
              <w:rPr>
                <w:sz w:val="18"/>
                <w:szCs w:val="18"/>
              </w:rPr>
              <w:t>18</w:t>
            </w:r>
          </w:p>
        </w:tc>
        <w:tc>
          <w:tcPr>
            <w:tcW w:w="829" w:type="dxa"/>
            <w:shd w:val="clear" w:color="auto" w:fill="F2F2F2"/>
          </w:tcPr>
          <w:p w:rsidR="002F7F38" w:rsidRPr="00D1670D" w:rsidRDefault="002F7F38" w:rsidP="00D1670D">
            <w:pPr>
              <w:jc w:val="right"/>
              <w:rPr>
                <w:sz w:val="18"/>
                <w:szCs w:val="18"/>
              </w:rPr>
            </w:pPr>
            <w:r w:rsidRPr="00D1670D">
              <w:rPr>
                <w:sz w:val="18"/>
                <w:szCs w:val="18"/>
              </w:rPr>
              <w:t>18</w:t>
            </w:r>
          </w:p>
        </w:tc>
        <w:tc>
          <w:tcPr>
            <w:tcW w:w="1155" w:type="dxa"/>
            <w:shd w:val="clear" w:color="auto" w:fill="F2F2F2"/>
          </w:tcPr>
          <w:p w:rsidR="002F7F38" w:rsidRPr="00D1670D" w:rsidRDefault="002F7F38" w:rsidP="00D1670D">
            <w:pPr>
              <w:jc w:val="right"/>
              <w:rPr>
                <w:sz w:val="18"/>
                <w:szCs w:val="18"/>
              </w:rPr>
            </w:pPr>
            <w:r w:rsidRPr="00D1670D">
              <w:rPr>
                <w:sz w:val="18"/>
                <w:szCs w:val="18"/>
              </w:rPr>
              <w:t>18</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956" w:type="dxa"/>
            <w:shd w:val="clear" w:color="auto" w:fill="F2F2F2"/>
          </w:tcPr>
          <w:p w:rsidR="002F7F38" w:rsidRPr="00D1670D" w:rsidRDefault="002F7F38" w:rsidP="00D1670D">
            <w:pPr>
              <w:jc w:val="right"/>
              <w:rPr>
                <w:sz w:val="18"/>
                <w:szCs w:val="18"/>
              </w:rPr>
            </w:pPr>
            <w:r w:rsidRPr="00D1670D">
              <w:rPr>
                <w:sz w:val="18"/>
                <w:szCs w:val="18"/>
              </w:rPr>
              <w:t>18</w:t>
            </w:r>
          </w:p>
        </w:tc>
        <w:tc>
          <w:tcPr>
            <w:tcW w:w="1155" w:type="dxa"/>
            <w:shd w:val="clear" w:color="auto" w:fill="F2F2F2"/>
          </w:tcPr>
          <w:p w:rsidR="002F7F38" w:rsidRPr="00D1670D" w:rsidRDefault="002F7F38" w:rsidP="00D1670D">
            <w:pPr>
              <w:jc w:val="right"/>
              <w:rPr>
                <w:sz w:val="18"/>
                <w:szCs w:val="18"/>
              </w:rPr>
            </w:pPr>
            <w:r w:rsidRPr="00D1670D">
              <w:rPr>
                <w:sz w:val="18"/>
                <w:szCs w:val="18"/>
              </w:rPr>
              <w:t>0</w:t>
            </w:r>
          </w:p>
        </w:tc>
        <w:tc>
          <w:tcPr>
            <w:tcW w:w="971" w:type="dxa"/>
            <w:shd w:val="clear" w:color="auto" w:fill="F2F2F2"/>
          </w:tcPr>
          <w:p w:rsidR="002F7F38" w:rsidRPr="00D1670D" w:rsidRDefault="002F7F38" w:rsidP="00D1670D">
            <w:pPr>
              <w:jc w:val="right"/>
              <w:rPr>
                <w:sz w:val="18"/>
                <w:szCs w:val="18"/>
              </w:rPr>
            </w:pPr>
            <w:r w:rsidRPr="00D1670D">
              <w:rPr>
                <w:sz w:val="18"/>
                <w:szCs w:val="18"/>
              </w:rPr>
              <w:t>0</w:t>
            </w:r>
          </w:p>
        </w:tc>
      </w:tr>
      <w:tr w:rsidR="002F7F38" w:rsidRPr="00D1670D" w:rsidTr="00462AEA">
        <w:tc>
          <w:tcPr>
            <w:tcW w:w="1702" w:type="dxa"/>
            <w:shd w:val="clear" w:color="auto" w:fill="auto"/>
          </w:tcPr>
          <w:p w:rsidR="002F7F38" w:rsidRPr="00D1670D" w:rsidRDefault="002F7F38" w:rsidP="002F7F38">
            <w:pPr>
              <w:rPr>
                <w:sz w:val="18"/>
                <w:szCs w:val="18"/>
              </w:rPr>
            </w:pPr>
            <w:r w:rsidRPr="00D1670D">
              <w:rPr>
                <w:sz w:val="18"/>
                <w:szCs w:val="18"/>
              </w:rPr>
              <w:t>Solicitor Grade 3</w:t>
            </w:r>
          </w:p>
        </w:tc>
        <w:tc>
          <w:tcPr>
            <w:tcW w:w="1155" w:type="dxa"/>
            <w:shd w:val="clear" w:color="auto" w:fill="auto"/>
          </w:tcPr>
          <w:p w:rsidR="002F7F38" w:rsidRPr="00D1670D" w:rsidRDefault="002F7F38" w:rsidP="00462AEA">
            <w:pPr>
              <w:jc w:val="right"/>
              <w:rPr>
                <w:sz w:val="18"/>
                <w:szCs w:val="18"/>
              </w:rPr>
            </w:pPr>
            <w:r w:rsidRPr="00D1670D">
              <w:rPr>
                <w:sz w:val="18"/>
                <w:szCs w:val="18"/>
              </w:rPr>
              <w:t>2</w:t>
            </w:r>
          </w:p>
        </w:tc>
        <w:tc>
          <w:tcPr>
            <w:tcW w:w="931" w:type="dxa"/>
            <w:shd w:val="clear" w:color="auto" w:fill="auto"/>
          </w:tcPr>
          <w:p w:rsidR="002F7F38" w:rsidRPr="00D1670D" w:rsidRDefault="002F7F38" w:rsidP="00462AEA">
            <w:pPr>
              <w:jc w:val="right"/>
              <w:rPr>
                <w:sz w:val="18"/>
                <w:szCs w:val="18"/>
              </w:rPr>
            </w:pPr>
            <w:r w:rsidRPr="00D1670D">
              <w:rPr>
                <w:sz w:val="18"/>
                <w:szCs w:val="18"/>
              </w:rPr>
              <w:t>2</w:t>
            </w:r>
          </w:p>
        </w:tc>
        <w:tc>
          <w:tcPr>
            <w:tcW w:w="1155" w:type="dxa"/>
            <w:shd w:val="clear" w:color="auto" w:fill="auto"/>
          </w:tcPr>
          <w:p w:rsidR="002F7F38" w:rsidRPr="00D1670D" w:rsidRDefault="002F7F38" w:rsidP="00462AEA">
            <w:pPr>
              <w:jc w:val="right"/>
              <w:rPr>
                <w:sz w:val="18"/>
                <w:szCs w:val="18"/>
              </w:rPr>
            </w:pPr>
            <w:r w:rsidRPr="00D1670D">
              <w:rPr>
                <w:sz w:val="18"/>
                <w:szCs w:val="18"/>
              </w:rPr>
              <w:t>2</w:t>
            </w:r>
          </w:p>
        </w:tc>
        <w:tc>
          <w:tcPr>
            <w:tcW w:w="1155" w:type="dxa"/>
            <w:shd w:val="clear" w:color="auto" w:fill="auto"/>
          </w:tcPr>
          <w:p w:rsidR="002F7F38" w:rsidRPr="00D1670D" w:rsidRDefault="002F7F38" w:rsidP="00462AEA">
            <w:pPr>
              <w:jc w:val="right"/>
              <w:rPr>
                <w:sz w:val="18"/>
                <w:szCs w:val="18"/>
              </w:rPr>
            </w:pPr>
            <w:r w:rsidRPr="00D1670D">
              <w:rPr>
                <w:sz w:val="18"/>
                <w:szCs w:val="18"/>
              </w:rPr>
              <w:t>0</w:t>
            </w:r>
          </w:p>
        </w:tc>
        <w:tc>
          <w:tcPr>
            <w:tcW w:w="951" w:type="dxa"/>
            <w:shd w:val="clear" w:color="auto" w:fill="auto"/>
          </w:tcPr>
          <w:p w:rsidR="002F7F38" w:rsidRPr="00D1670D" w:rsidRDefault="002F7F38" w:rsidP="00462AEA">
            <w:pPr>
              <w:jc w:val="right"/>
              <w:rPr>
                <w:sz w:val="18"/>
                <w:szCs w:val="18"/>
              </w:rPr>
            </w:pPr>
            <w:r w:rsidRPr="00D1670D">
              <w:rPr>
                <w:sz w:val="18"/>
                <w:szCs w:val="18"/>
              </w:rPr>
              <w:t>2</w:t>
            </w:r>
          </w:p>
        </w:tc>
        <w:tc>
          <w:tcPr>
            <w:tcW w:w="1155" w:type="dxa"/>
            <w:shd w:val="clear" w:color="auto" w:fill="auto"/>
          </w:tcPr>
          <w:p w:rsidR="002F7F38" w:rsidRPr="00D1670D" w:rsidRDefault="002F7F38" w:rsidP="00462AEA">
            <w:pPr>
              <w:jc w:val="right"/>
              <w:rPr>
                <w:sz w:val="18"/>
                <w:szCs w:val="18"/>
              </w:rPr>
            </w:pPr>
            <w:r w:rsidRPr="00D1670D">
              <w:rPr>
                <w:sz w:val="18"/>
                <w:szCs w:val="18"/>
              </w:rPr>
              <w:t>0</w:t>
            </w:r>
          </w:p>
        </w:tc>
        <w:tc>
          <w:tcPr>
            <w:tcW w:w="971" w:type="dxa"/>
            <w:shd w:val="clear" w:color="auto" w:fill="auto"/>
          </w:tcPr>
          <w:p w:rsidR="002F7F38" w:rsidRPr="00D1670D" w:rsidRDefault="002F7F38" w:rsidP="00462AEA">
            <w:pPr>
              <w:jc w:val="right"/>
              <w:rPr>
                <w:sz w:val="18"/>
                <w:szCs w:val="18"/>
              </w:rPr>
            </w:pPr>
            <w:r w:rsidRPr="00D1670D">
              <w:rPr>
                <w:sz w:val="18"/>
                <w:szCs w:val="18"/>
              </w:rPr>
              <w:t>0</w:t>
            </w:r>
          </w:p>
        </w:tc>
        <w:tc>
          <w:tcPr>
            <w:tcW w:w="1155" w:type="dxa"/>
            <w:tcBorders>
              <w:bottom w:val="single" w:sz="4" w:space="0" w:color="auto"/>
            </w:tcBorders>
            <w:shd w:val="clear" w:color="auto" w:fill="F2F2F2"/>
          </w:tcPr>
          <w:p w:rsidR="002F7F38" w:rsidRPr="00D1670D" w:rsidRDefault="002F7F38" w:rsidP="00462AEA">
            <w:pPr>
              <w:jc w:val="right"/>
              <w:rPr>
                <w:sz w:val="18"/>
                <w:szCs w:val="18"/>
              </w:rPr>
            </w:pPr>
            <w:r w:rsidRPr="00D1670D">
              <w:rPr>
                <w:sz w:val="18"/>
                <w:szCs w:val="18"/>
              </w:rPr>
              <w:t>0</w:t>
            </w:r>
          </w:p>
        </w:tc>
        <w:tc>
          <w:tcPr>
            <w:tcW w:w="829" w:type="dxa"/>
            <w:tcBorders>
              <w:bottom w:val="single" w:sz="4" w:space="0" w:color="auto"/>
            </w:tcBorders>
            <w:shd w:val="clear" w:color="auto" w:fill="F2F2F2"/>
          </w:tcPr>
          <w:p w:rsidR="002F7F38" w:rsidRPr="00D1670D" w:rsidRDefault="002F7F38" w:rsidP="00462AEA">
            <w:pPr>
              <w:jc w:val="right"/>
              <w:rPr>
                <w:sz w:val="18"/>
                <w:szCs w:val="18"/>
              </w:rPr>
            </w:pPr>
            <w:r w:rsidRPr="00D1670D">
              <w:rPr>
                <w:sz w:val="18"/>
                <w:szCs w:val="18"/>
              </w:rPr>
              <w:t>0</w:t>
            </w:r>
          </w:p>
        </w:tc>
        <w:tc>
          <w:tcPr>
            <w:tcW w:w="1155" w:type="dxa"/>
            <w:tcBorders>
              <w:bottom w:val="single" w:sz="4" w:space="0" w:color="auto"/>
            </w:tcBorders>
            <w:shd w:val="clear" w:color="auto" w:fill="F2F2F2"/>
          </w:tcPr>
          <w:p w:rsidR="002F7F38" w:rsidRPr="00D1670D" w:rsidRDefault="002F7F38" w:rsidP="00462AEA">
            <w:pPr>
              <w:jc w:val="right"/>
              <w:rPr>
                <w:sz w:val="18"/>
                <w:szCs w:val="18"/>
              </w:rPr>
            </w:pPr>
            <w:r w:rsidRPr="00D1670D">
              <w:rPr>
                <w:sz w:val="18"/>
                <w:szCs w:val="18"/>
              </w:rPr>
              <w:t>0</w:t>
            </w:r>
          </w:p>
        </w:tc>
        <w:tc>
          <w:tcPr>
            <w:tcW w:w="1155" w:type="dxa"/>
            <w:tcBorders>
              <w:bottom w:val="single" w:sz="4" w:space="0" w:color="auto"/>
            </w:tcBorders>
            <w:shd w:val="clear" w:color="auto" w:fill="F2F2F2"/>
          </w:tcPr>
          <w:p w:rsidR="002F7F38" w:rsidRPr="00D1670D" w:rsidRDefault="002F7F38" w:rsidP="00462AEA">
            <w:pPr>
              <w:jc w:val="right"/>
              <w:rPr>
                <w:sz w:val="18"/>
                <w:szCs w:val="18"/>
              </w:rPr>
            </w:pPr>
            <w:r w:rsidRPr="00D1670D">
              <w:rPr>
                <w:sz w:val="18"/>
                <w:szCs w:val="18"/>
              </w:rPr>
              <w:t>0</w:t>
            </w:r>
          </w:p>
        </w:tc>
        <w:tc>
          <w:tcPr>
            <w:tcW w:w="956" w:type="dxa"/>
            <w:tcBorders>
              <w:bottom w:val="single" w:sz="4" w:space="0" w:color="auto"/>
            </w:tcBorders>
            <w:shd w:val="clear" w:color="auto" w:fill="F2F2F2"/>
          </w:tcPr>
          <w:p w:rsidR="002F7F38" w:rsidRPr="00D1670D" w:rsidRDefault="002F7F38" w:rsidP="00462AEA">
            <w:pPr>
              <w:jc w:val="right"/>
              <w:rPr>
                <w:sz w:val="18"/>
                <w:szCs w:val="18"/>
              </w:rPr>
            </w:pPr>
            <w:r w:rsidRPr="00D1670D">
              <w:rPr>
                <w:sz w:val="18"/>
                <w:szCs w:val="18"/>
              </w:rPr>
              <w:t>0</w:t>
            </w:r>
          </w:p>
        </w:tc>
        <w:tc>
          <w:tcPr>
            <w:tcW w:w="1155" w:type="dxa"/>
            <w:tcBorders>
              <w:bottom w:val="single" w:sz="4" w:space="0" w:color="auto"/>
            </w:tcBorders>
            <w:shd w:val="clear" w:color="auto" w:fill="F2F2F2"/>
          </w:tcPr>
          <w:p w:rsidR="002F7F38" w:rsidRPr="00D1670D" w:rsidRDefault="002F7F38" w:rsidP="00462AEA">
            <w:pPr>
              <w:jc w:val="right"/>
              <w:rPr>
                <w:sz w:val="18"/>
                <w:szCs w:val="18"/>
              </w:rPr>
            </w:pPr>
            <w:r w:rsidRPr="00D1670D">
              <w:rPr>
                <w:sz w:val="18"/>
                <w:szCs w:val="18"/>
              </w:rPr>
              <w:t>0</w:t>
            </w:r>
          </w:p>
        </w:tc>
        <w:tc>
          <w:tcPr>
            <w:tcW w:w="971" w:type="dxa"/>
            <w:tcBorders>
              <w:bottom w:val="single" w:sz="4" w:space="0" w:color="auto"/>
            </w:tcBorders>
            <w:shd w:val="clear" w:color="auto" w:fill="F2F2F2"/>
          </w:tcPr>
          <w:p w:rsidR="002F7F38" w:rsidRPr="00D1670D" w:rsidRDefault="002F7F38" w:rsidP="00462AEA">
            <w:pPr>
              <w:jc w:val="right"/>
              <w:rPr>
                <w:sz w:val="18"/>
                <w:szCs w:val="18"/>
              </w:rPr>
            </w:pPr>
            <w:r w:rsidRPr="00D1670D">
              <w:rPr>
                <w:sz w:val="18"/>
                <w:szCs w:val="18"/>
              </w:rPr>
              <w:t>0</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b/>
                <w:sz w:val="18"/>
                <w:szCs w:val="18"/>
              </w:rPr>
              <w:t xml:space="preserve">Total </w:t>
            </w:r>
          </w:p>
        </w:tc>
        <w:tc>
          <w:tcPr>
            <w:tcW w:w="1155" w:type="dxa"/>
            <w:shd w:val="clear" w:color="auto" w:fill="auto"/>
          </w:tcPr>
          <w:p w:rsidR="002F7F38" w:rsidRPr="00D1670D" w:rsidRDefault="002F7F38" w:rsidP="00462AEA">
            <w:pPr>
              <w:jc w:val="right"/>
              <w:rPr>
                <w:b/>
                <w:sz w:val="18"/>
                <w:szCs w:val="18"/>
              </w:rPr>
            </w:pPr>
            <w:r w:rsidRPr="00D1670D">
              <w:rPr>
                <w:b/>
                <w:sz w:val="18"/>
                <w:szCs w:val="18"/>
              </w:rPr>
              <w:t>1732</w:t>
            </w:r>
          </w:p>
        </w:tc>
        <w:tc>
          <w:tcPr>
            <w:tcW w:w="931" w:type="dxa"/>
            <w:shd w:val="clear" w:color="auto" w:fill="auto"/>
          </w:tcPr>
          <w:p w:rsidR="002F7F38" w:rsidRPr="00D1670D" w:rsidRDefault="002F7F38" w:rsidP="00462AEA">
            <w:pPr>
              <w:jc w:val="right"/>
              <w:rPr>
                <w:b/>
                <w:sz w:val="18"/>
                <w:szCs w:val="18"/>
              </w:rPr>
            </w:pPr>
            <w:r w:rsidRPr="00D1670D">
              <w:rPr>
                <w:b/>
                <w:sz w:val="18"/>
                <w:szCs w:val="18"/>
              </w:rPr>
              <w:t>1621.3</w:t>
            </w:r>
          </w:p>
        </w:tc>
        <w:tc>
          <w:tcPr>
            <w:tcW w:w="1155" w:type="dxa"/>
            <w:shd w:val="clear" w:color="auto" w:fill="auto"/>
          </w:tcPr>
          <w:p w:rsidR="002F7F38" w:rsidRPr="00D1670D" w:rsidRDefault="002F7F38" w:rsidP="00462AEA">
            <w:pPr>
              <w:jc w:val="right"/>
              <w:rPr>
                <w:b/>
                <w:sz w:val="18"/>
                <w:szCs w:val="18"/>
              </w:rPr>
            </w:pPr>
            <w:r w:rsidRPr="00D1670D">
              <w:rPr>
                <w:b/>
                <w:sz w:val="18"/>
                <w:szCs w:val="18"/>
              </w:rPr>
              <w:t>1224</w:t>
            </w:r>
          </w:p>
        </w:tc>
        <w:tc>
          <w:tcPr>
            <w:tcW w:w="1155" w:type="dxa"/>
            <w:shd w:val="clear" w:color="auto" w:fill="auto"/>
          </w:tcPr>
          <w:p w:rsidR="002F7F38" w:rsidRPr="00D1670D" w:rsidRDefault="002F7F38" w:rsidP="00462AEA">
            <w:pPr>
              <w:jc w:val="right"/>
              <w:rPr>
                <w:b/>
                <w:sz w:val="18"/>
                <w:szCs w:val="18"/>
              </w:rPr>
            </w:pPr>
            <w:r w:rsidRPr="00D1670D">
              <w:rPr>
                <w:b/>
                <w:sz w:val="18"/>
                <w:szCs w:val="18"/>
              </w:rPr>
              <w:t>255</w:t>
            </w:r>
          </w:p>
        </w:tc>
        <w:tc>
          <w:tcPr>
            <w:tcW w:w="951" w:type="dxa"/>
            <w:shd w:val="clear" w:color="auto" w:fill="auto"/>
          </w:tcPr>
          <w:p w:rsidR="002F7F38" w:rsidRPr="00D1670D" w:rsidRDefault="002F7F38" w:rsidP="00462AEA">
            <w:pPr>
              <w:jc w:val="right"/>
              <w:rPr>
                <w:b/>
                <w:sz w:val="18"/>
                <w:szCs w:val="18"/>
              </w:rPr>
            </w:pPr>
            <w:r w:rsidRPr="00D1670D">
              <w:rPr>
                <w:b/>
                <w:sz w:val="18"/>
                <w:szCs w:val="18"/>
              </w:rPr>
              <w:t>1382.5</w:t>
            </w:r>
          </w:p>
        </w:tc>
        <w:tc>
          <w:tcPr>
            <w:tcW w:w="1155" w:type="dxa"/>
            <w:shd w:val="clear" w:color="auto" w:fill="auto"/>
          </w:tcPr>
          <w:p w:rsidR="002F7F38" w:rsidRPr="00D1670D" w:rsidRDefault="002F7F38" w:rsidP="00462AEA">
            <w:pPr>
              <w:jc w:val="right"/>
              <w:rPr>
                <w:b/>
                <w:sz w:val="18"/>
                <w:szCs w:val="18"/>
              </w:rPr>
            </w:pPr>
            <w:r w:rsidRPr="00D1670D">
              <w:rPr>
                <w:b/>
                <w:sz w:val="18"/>
                <w:szCs w:val="18"/>
              </w:rPr>
              <w:t>253</w:t>
            </w:r>
          </w:p>
        </w:tc>
        <w:tc>
          <w:tcPr>
            <w:tcW w:w="971" w:type="dxa"/>
            <w:shd w:val="clear" w:color="auto" w:fill="auto"/>
          </w:tcPr>
          <w:p w:rsidR="002F7F38" w:rsidRPr="00D1670D" w:rsidRDefault="002F7F38" w:rsidP="00462AEA">
            <w:pPr>
              <w:jc w:val="right"/>
              <w:rPr>
                <w:b/>
                <w:sz w:val="18"/>
                <w:szCs w:val="18"/>
              </w:rPr>
            </w:pPr>
            <w:r w:rsidRPr="00D1670D">
              <w:rPr>
                <w:b/>
                <w:sz w:val="18"/>
                <w:szCs w:val="18"/>
              </w:rPr>
              <w:t>238.8</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1841</w:t>
            </w:r>
          </w:p>
        </w:tc>
        <w:tc>
          <w:tcPr>
            <w:tcW w:w="829" w:type="dxa"/>
            <w:shd w:val="clear" w:color="auto" w:fill="F2F2F2"/>
          </w:tcPr>
          <w:p w:rsidR="002F7F38" w:rsidRPr="00D1670D" w:rsidRDefault="002F7F38" w:rsidP="00462AEA">
            <w:pPr>
              <w:jc w:val="right"/>
              <w:rPr>
                <w:b/>
                <w:sz w:val="18"/>
                <w:szCs w:val="18"/>
              </w:rPr>
            </w:pPr>
            <w:r w:rsidRPr="00D1670D">
              <w:rPr>
                <w:b/>
                <w:sz w:val="18"/>
                <w:szCs w:val="18"/>
              </w:rPr>
              <w:t>1725.7</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1287</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260</w:t>
            </w:r>
          </w:p>
        </w:tc>
        <w:tc>
          <w:tcPr>
            <w:tcW w:w="956" w:type="dxa"/>
            <w:shd w:val="clear" w:color="auto" w:fill="F2F2F2"/>
          </w:tcPr>
          <w:p w:rsidR="002F7F38" w:rsidRPr="00D1670D" w:rsidRDefault="002F7F38" w:rsidP="00462AEA">
            <w:pPr>
              <w:jc w:val="right"/>
              <w:rPr>
                <w:b/>
                <w:sz w:val="18"/>
                <w:szCs w:val="18"/>
              </w:rPr>
            </w:pPr>
            <w:r w:rsidRPr="00D1670D">
              <w:rPr>
                <w:b/>
                <w:sz w:val="18"/>
                <w:szCs w:val="18"/>
              </w:rPr>
              <w:t>1449.2</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294</w:t>
            </w:r>
          </w:p>
        </w:tc>
        <w:tc>
          <w:tcPr>
            <w:tcW w:w="971" w:type="dxa"/>
            <w:shd w:val="clear" w:color="auto" w:fill="F2F2F2"/>
          </w:tcPr>
          <w:p w:rsidR="002F7F38" w:rsidRPr="00D1670D" w:rsidRDefault="002F7F38" w:rsidP="00462AEA">
            <w:pPr>
              <w:jc w:val="right"/>
              <w:rPr>
                <w:b/>
                <w:sz w:val="18"/>
                <w:szCs w:val="18"/>
              </w:rPr>
            </w:pPr>
            <w:r w:rsidRPr="00D1670D">
              <w:rPr>
                <w:b/>
                <w:sz w:val="18"/>
                <w:szCs w:val="18"/>
              </w:rPr>
              <w:t>276.5</w:t>
            </w:r>
          </w:p>
        </w:tc>
      </w:tr>
      <w:tr w:rsidR="002F7F38" w:rsidRPr="00D1670D" w:rsidTr="00462AEA">
        <w:tc>
          <w:tcPr>
            <w:tcW w:w="1702" w:type="dxa"/>
            <w:shd w:val="clear" w:color="auto" w:fill="auto"/>
          </w:tcPr>
          <w:p w:rsidR="002F7F38" w:rsidRPr="00D1670D" w:rsidRDefault="002F7F38" w:rsidP="002F7F38">
            <w:pPr>
              <w:rPr>
                <w:sz w:val="18"/>
                <w:szCs w:val="18"/>
              </w:rPr>
            </w:pPr>
            <w:r w:rsidRPr="00D1670D">
              <w:rPr>
                <w:sz w:val="18"/>
                <w:szCs w:val="18"/>
              </w:rPr>
              <w:t>STS</w:t>
            </w:r>
          </w:p>
        </w:tc>
        <w:tc>
          <w:tcPr>
            <w:tcW w:w="1155" w:type="dxa"/>
            <w:shd w:val="clear" w:color="auto" w:fill="auto"/>
          </w:tcPr>
          <w:p w:rsidR="002F7F38" w:rsidRPr="00D1670D" w:rsidRDefault="002F7F38" w:rsidP="00462AEA">
            <w:pPr>
              <w:jc w:val="right"/>
              <w:rPr>
                <w:sz w:val="18"/>
                <w:szCs w:val="18"/>
              </w:rPr>
            </w:pPr>
            <w:r w:rsidRPr="00D1670D">
              <w:rPr>
                <w:sz w:val="18"/>
                <w:szCs w:val="18"/>
              </w:rPr>
              <w:t>6</w:t>
            </w:r>
          </w:p>
        </w:tc>
        <w:tc>
          <w:tcPr>
            <w:tcW w:w="931" w:type="dxa"/>
            <w:shd w:val="clear" w:color="auto" w:fill="auto"/>
          </w:tcPr>
          <w:p w:rsidR="002F7F38" w:rsidRPr="00D1670D" w:rsidRDefault="002F7F38" w:rsidP="00462AEA">
            <w:pPr>
              <w:jc w:val="right"/>
              <w:rPr>
                <w:sz w:val="18"/>
                <w:szCs w:val="18"/>
              </w:rPr>
            </w:pPr>
            <w:r w:rsidRPr="00D1670D">
              <w:rPr>
                <w:sz w:val="18"/>
                <w:szCs w:val="18"/>
              </w:rPr>
              <w:t>6</w:t>
            </w:r>
          </w:p>
        </w:tc>
        <w:tc>
          <w:tcPr>
            <w:tcW w:w="1155" w:type="dxa"/>
            <w:shd w:val="clear" w:color="auto" w:fill="auto"/>
          </w:tcPr>
          <w:p w:rsidR="002F7F38" w:rsidRPr="00D1670D" w:rsidRDefault="002F7F38" w:rsidP="00462AEA">
            <w:pPr>
              <w:jc w:val="right"/>
              <w:rPr>
                <w:sz w:val="18"/>
                <w:szCs w:val="18"/>
              </w:rPr>
            </w:pPr>
            <w:r w:rsidRPr="00D1670D">
              <w:rPr>
                <w:sz w:val="18"/>
                <w:szCs w:val="18"/>
              </w:rPr>
              <w:t>6</w:t>
            </w:r>
          </w:p>
        </w:tc>
        <w:tc>
          <w:tcPr>
            <w:tcW w:w="1155" w:type="dxa"/>
            <w:shd w:val="clear" w:color="auto" w:fill="auto"/>
          </w:tcPr>
          <w:p w:rsidR="002F7F38" w:rsidRPr="00D1670D" w:rsidRDefault="002F7F38" w:rsidP="00462AEA">
            <w:pPr>
              <w:jc w:val="right"/>
              <w:rPr>
                <w:sz w:val="18"/>
                <w:szCs w:val="18"/>
              </w:rPr>
            </w:pPr>
            <w:r w:rsidRPr="00D1670D">
              <w:rPr>
                <w:sz w:val="18"/>
                <w:szCs w:val="18"/>
              </w:rPr>
              <w:t>0</w:t>
            </w:r>
          </w:p>
        </w:tc>
        <w:tc>
          <w:tcPr>
            <w:tcW w:w="951" w:type="dxa"/>
            <w:shd w:val="clear" w:color="auto" w:fill="auto"/>
          </w:tcPr>
          <w:p w:rsidR="002F7F38" w:rsidRPr="00D1670D" w:rsidRDefault="002F7F38" w:rsidP="00462AEA">
            <w:pPr>
              <w:jc w:val="right"/>
              <w:rPr>
                <w:sz w:val="18"/>
                <w:szCs w:val="18"/>
              </w:rPr>
            </w:pPr>
            <w:r w:rsidRPr="00D1670D">
              <w:rPr>
                <w:sz w:val="18"/>
                <w:szCs w:val="18"/>
              </w:rPr>
              <w:t>6</w:t>
            </w:r>
          </w:p>
        </w:tc>
        <w:tc>
          <w:tcPr>
            <w:tcW w:w="1155" w:type="dxa"/>
            <w:shd w:val="clear" w:color="auto" w:fill="auto"/>
          </w:tcPr>
          <w:p w:rsidR="002F7F38" w:rsidRPr="00D1670D" w:rsidRDefault="002F7F38" w:rsidP="00462AEA">
            <w:pPr>
              <w:jc w:val="right"/>
              <w:rPr>
                <w:sz w:val="18"/>
                <w:szCs w:val="18"/>
              </w:rPr>
            </w:pPr>
            <w:r w:rsidRPr="00D1670D">
              <w:rPr>
                <w:sz w:val="18"/>
                <w:szCs w:val="18"/>
              </w:rPr>
              <w:t>0</w:t>
            </w:r>
          </w:p>
        </w:tc>
        <w:tc>
          <w:tcPr>
            <w:tcW w:w="971" w:type="dxa"/>
            <w:shd w:val="clear" w:color="auto" w:fill="auto"/>
          </w:tcPr>
          <w:p w:rsidR="002F7F38" w:rsidRPr="00D1670D" w:rsidRDefault="002F7F38" w:rsidP="00462AEA">
            <w:pPr>
              <w:jc w:val="right"/>
              <w:rPr>
                <w:sz w:val="18"/>
                <w:szCs w:val="18"/>
              </w:rPr>
            </w:pPr>
            <w:r w:rsidRPr="00D1670D">
              <w:rPr>
                <w:sz w:val="18"/>
                <w:szCs w:val="18"/>
              </w:rPr>
              <w:t>0</w:t>
            </w:r>
          </w:p>
        </w:tc>
        <w:tc>
          <w:tcPr>
            <w:tcW w:w="1155" w:type="dxa"/>
            <w:shd w:val="clear" w:color="auto" w:fill="F2F2F2"/>
          </w:tcPr>
          <w:p w:rsidR="002F7F38" w:rsidRPr="00D1670D" w:rsidRDefault="002F7F38" w:rsidP="00462AEA">
            <w:pPr>
              <w:jc w:val="right"/>
              <w:rPr>
                <w:sz w:val="18"/>
                <w:szCs w:val="18"/>
              </w:rPr>
            </w:pPr>
            <w:r w:rsidRPr="00D1670D">
              <w:rPr>
                <w:sz w:val="18"/>
                <w:szCs w:val="18"/>
              </w:rPr>
              <w:t>9</w:t>
            </w:r>
          </w:p>
        </w:tc>
        <w:tc>
          <w:tcPr>
            <w:tcW w:w="829" w:type="dxa"/>
            <w:shd w:val="clear" w:color="auto" w:fill="F2F2F2"/>
          </w:tcPr>
          <w:p w:rsidR="002F7F38" w:rsidRPr="00D1670D" w:rsidRDefault="002F7F38" w:rsidP="00462AEA">
            <w:pPr>
              <w:jc w:val="right"/>
              <w:rPr>
                <w:sz w:val="18"/>
                <w:szCs w:val="18"/>
              </w:rPr>
            </w:pPr>
            <w:r w:rsidRPr="00D1670D">
              <w:rPr>
                <w:sz w:val="18"/>
                <w:szCs w:val="18"/>
              </w:rPr>
              <w:t>9</w:t>
            </w:r>
          </w:p>
        </w:tc>
        <w:tc>
          <w:tcPr>
            <w:tcW w:w="1155" w:type="dxa"/>
            <w:shd w:val="clear" w:color="auto" w:fill="F2F2F2"/>
          </w:tcPr>
          <w:p w:rsidR="002F7F38" w:rsidRPr="00D1670D" w:rsidRDefault="002F7F38" w:rsidP="00462AEA">
            <w:pPr>
              <w:jc w:val="right"/>
              <w:rPr>
                <w:sz w:val="18"/>
                <w:szCs w:val="18"/>
              </w:rPr>
            </w:pPr>
            <w:r w:rsidRPr="00D1670D">
              <w:rPr>
                <w:sz w:val="18"/>
                <w:szCs w:val="18"/>
              </w:rPr>
              <w:t>7</w:t>
            </w:r>
          </w:p>
        </w:tc>
        <w:tc>
          <w:tcPr>
            <w:tcW w:w="1155" w:type="dxa"/>
            <w:shd w:val="clear" w:color="auto" w:fill="F2F2F2"/>
          </w:tcPr>
          <w:p w:rsidR="002F7F38" w:rsidRPr="00D1670D" w:rsidRDefault="002F7F38" w:rsidP="00462AEA">
            <w:pPr>
              <w:jc w:val="right"/>
              <w:rPr>
                <w:sz w:val="18"/>
                <w:szCs w:val="18"/>
              </w:rPr>
            </w:pPr>
            <w:r w:rsidRPr="00D1670D">
              <w:rPr>
                <w:sz w:val="18"/>
                <w:szCs w:val="18"/>
              </w:rPr>
              <w:t>0</w:t>
            </w:r>
          </w:p>
        </w:tc>
        <w:tc>
          <w:tcPr>
            <w:tcW w:w="956" w:type="dxa"/>
            <w:shd w:val="clear" w:color="auto" w:fill="F2F2F2"/>
          </w:tcPr>
          <w:p w:rsidR="002F7F38" w:rsidRPr="00D1670D" w:rsidRDefault="002F7F38" w:rsidP="00462AEA">
            <w:pPr>
              <w:jc w:val="right"/>
              <w:rPr>
                <w:sz w:val="18"/>
                <w:szCs w:val="18"/>
              </w:rPr>
            </w:pPr>
            <w:r w:rsidRPr="00D1670D">
              <w:rPr>
                <w:sz w:val="18"/>
                <w:szCs w:val="18"/>
              </w:rPr>
              <w:t>7</w:t>
            </w:r>
          </w:p>
        </w:tc>
        <w:tc>
          <w:tcPr>
            <w:tcW w:w="1155" w:type="dxa"/>
            <w:shd w:val="clear" w:color="auto" w:fill="F2F2F2"/>
          </w:tcPr>
          <w:p w:rsidR="002F7F38" w:rsidRPr="00D1670D" w:rsidRDefault="002F7F38" w:rsidP="00462AEA">
            <w:pPr>
              <w:jc w:val="right"/>
              <w:rPr>
                <w:sz w:val="18"/>
                <w:szCs w:val="18"/>
              </w:rPr>
            </w:pPr>
            <w:r w:rsidRPr="00D1670D">
              <w:rPr>
                <w:sz w:val="18"/>
                <w:szCs w:val="18"/>
              </w:rPr>
              <w:t>2</w:t>
            </w:r>
          </w:p>
        </w:tc>
        <w:tc>
          <w:tcPr>
            <w:tcW w:w="971" w:type="dxa"/>
            <w:shd w:val="clear" w:color="auto" w:fill="F2F2F2"/>
          </w:tcPr>
          <w:p w:rsidR="002F7F38" w:rsidRPr="00D1670D" w:rsidRDefault="002F7F38" w:rsidP="00462AEA">
            <w:pPr>
              <w:jc w:val="right"/>
              <w:rPr>
                <w:sz w:val="18"/>
                <w:szCs w:val="18"/>
              </w:rPr>
            </w:pPr>
            <w:r w:rsidRPr="00D1670D">
              <w:rPr>
                <w:sz w:val="18"/>
                <w:szCs w:val="18"/>
              </w:rPr>
              <w:t>2</w:t>
            </w:r>
          </w:p>
        </w:tc>
      </w:tr>
      <w:tr w:rsidR="002F7F38" w:rsidRPr="00D1670D" w:rsidTr="00462AEA">
        <w:tc>
          <w:tcPr>
            <w:tcW w:w="1702" w:type="dxa"/>
            <w:shd w:val="clear" w:color="auto" w:fill="auto"/>
          </w:tcPr>
          <w:p w:rsidR="002F7F38" w:rsidRPr="00D1670D" w:rsidRDefault="002F7F38" w:rsidP="002F7F38">
            <w:pPr>
              <w:rPr>
                <w:sz w:val="18"/>
                <w:szCs w:val="18"/>
              </w:rPr>
            </w:pPr>
            <w:r w:rsidRPr="00D1670D">
              <w:rPr>
                <w:sz w:val="18"/>
                <w:szCs w:val="18"/>
              </w:rPr>
              <w:t>Executive Officer 1</w:t>
            </w:r>
          </w:p>
        </w:tc>
        <w:tc>
          <w:tcPr>
            <w:tcW w:w="1155" w:type="dxa"/>
            <w:shd w:val="clear" w:color="auto" w:fill="auto"/>
          </w:tcPr>
          <w:p w:rsidR="002F7F38" w:rsidRPr="00D1670D" w:rsidRDefault="002F7F38" w:rsidP="00462AEA">
            <w:pPr>
              <w:jc w:val="right"/>
              <w:rPr>
                <w:sz w:val="18"/>
                <w:szCs w:val="18"/>
              </w:rPr>
            </w:pPr>
            <w:r w:rsidRPr="00D1670D">
              <w:rPr>
                <w:sz w:val="18"/>
                <w:szCs w:val="18"/>
              </w:rPr>
              <w:t>1</w:t>
            </w:r>
          </w:p>
        </w:tc>
        <w:tc>
          <w:tcPr>
            <w:tcW w:w="931" w:type="dxa"/>
            <w:shd w:val="clear" w:color="auto" w:fill="auto"/>
          </w:tcPr>
          <w:p w:rsidR="002F7F38" w:rsidRPr="00D1670D" w:rsidRDefault="002F7F38" w:rsidP="00462AEA">
            <w:pPr>
              <w:jc w:val="right"/>
              <w:rPr>
                <w:sz w:val="18"/>
                <w:szCs w:val="18"/>
              </w:rPr>
            </w:pPr>
            <w:r w:rsidRPr="00D1670D">
              <w:rPr>
                <w:sz w:val="18"/>
                <w:szCs w:val="18"/>
              </w:rPr>
              <w:t>1</w:t>
            </w:r>
          </w:p>
        </w:tc>
        <w:tc>
          <w:tcPr>
            <w:tcW w:w="1155" w:type="dxa"/>
            <w:shd w:val="clear" w:color="auto" w:fill="auto"/>
          </w:tcPr>
          <w:p w:rsidR="002F7F38" w:rsidRPr="00D1670D" w:rsidRDefault="002F7F38" w:rsidP="00462AEA">
            <w:pPr>
              <w:jc w:val="right"/>
              <w:rPr>
                <w:sz w:val="18"/>
                <w:szCs w:val="18"/>
              </w:rPr>
            </w:pPr>
            <w:r w:rsidRPr="00D1670D">
              <w:rPr>
                <w:sz w:val="18"/>
                <w:szCs w:val="18"/>
              </w:rPr>
              <w:t>1</w:t>
            </w:r>
          </w:p>
        </w:tc>
        <w:tc>
          <w:tcPr>
            <w:tcW w:w="1155" w:type="dxa"/>
            <w:shd w:val="clear" w:color="auto" w:fill="auto"/>
          </w:tcPr>
          <w:p w:rsidR="002F7F38" w:rsidRPr="00D1670D" w:rsidRDefault="002F7F38" w:rsidP="00462AEA">
            <w:pPr>
              <w:jc w:val="right"/>
              <w:rPr>
                <w:sz w:val="18"/>
                <w:szCs w:val="18"/>
              </w:rPr>
            </w:pPr>
            <w:r w:rsidRPr="00D1670D">
              <w:rPr>
                <w:sz w:val="18"/>
                <w:szCs w:val="18"/>
              </w:rPr>
              <w:t>0</w:t>
            </w:r>
          </w:p>
        </w:tc>
        <w:tc>
          <w:tcPr>
            <w:tcW w:w="951" w:type="dxa"/>
            <w:shd w:val="clear" w:color="auto" w:fill="auto"/>
          </w:tcPr>
          <w:p w:rsidR="002F7F38" w:rsidRPr="00D1670D" w:rsidRDefault="002F7F38" w:rsidP="00462AEA">
            <w:pPr>
              <w:jc w:val="right"/>
              <w:rPr>
                <w:sz w:val="18"/>
                <w:szCs w:val="18"/>
              </w:rPr>
            </w:pPr>
            <w:r w:rsidRPr="00D1670D">
              <w:rPr>
                <w:sz w:val="18"/>
                <w:szCs w:val="18"/>
              </w:rPr>
              <w:t>1</w:t>
            </w:r>
          </w:p>
        </w:tc>
        <w:tc>
          <w:tcPr>
            <w:tcW w:w="1155" w:type="dxa"/>
            <w:shd w:val="clear" w:color="auto" w:fill="auto"/>
          </w:tcPr>
          <w:p w:rsidR="002F7F38" w:rsidRPr="00D1670D" w:rsidRDefault="002F7F38" w:rsidP="00462AEA">
            <w:pPr>
              <w:jc w:val="right"/>
              <w:rPr>
                <w:sz w:val="18"/>
                <w:szCs w:val="18"/>
              </w:rPr>
            </w:pPr>
            <w:r w:rsidRPr="00D1670D">
              <w:rPr>
                <w:sz w:val="18"/>
                <w:szCs w:val="18"/>
              </w:rPr>
              <w:t>0</w:t>
            </w:r>
          </w:p>
        </w:tc>
        <w:tc>
          <w:tcPr>
            <w:tcW w:w="971" w:type="dxa"/>
            <w:shd w:val="clear" w:color="auto" w:fill="auto"/>
          </w:tcPr>
          <w:p w:rsidR="002F7F38" w:rsidRPr="00D1670D" w:rsidRDefault="002F7F38" w:rsidP="00462AEA">
            <w:pPr>
              <w:jc w:val="right"/>
              <w:rPr>
                <w:sz w:val="18"/>
                <w:szCs w:val="18"/>
              </w:rPr>
            </w:pPr>
            <w:r w:rsidRPr="00D1670D">
              <w:rPr>
                <w:sz w:val="18"/>
                <w:szCs w:val="18"/>
              </w:rPr>
              <w:t>0</w:t>
            </w:r>
          </w:p>
        </w:tc>
        <w:tc>
          <w:tcPr>
            <w:tcW w:w="1155" w:type="dxa"/>
            <w:shd w:val="clear" w:color="auto" w:fill="F2F2F2"/>
          </w:tcPr>
          <w:p w:rsidR="002F7F38" w:rsidRPr="00D1670D" w:rsidRDefault="002F7F38" w:rsidP="00462AEA">
            <w:pPr>
              <w:jc w:val="right"/>
              <w:rPr>
                <w:sz w:val="18"/>
                <w:szCs w:val="18"/>
              </w:rPr>
            </w:pPr>
            <w:r w:rsidRPr="00D1670D">
              <w:rPr>
                <w:sz w:val="18"/>
                <w:szCs w:val="18"/>
              </w:rPr>
              <w:t>1</w:t>
            </w:r>
          </w:p>
        </w:tc>
        <w:tc>
          <w:tcPr>
            <w:tcW w:w="829" w:type="dxa"/>
            <w:shd w:val="clear" w:color="auto" w:fill="F2F2F2"/>
          </w:tcPr>
          <w:p w:rsidR="002F7F38" w:rsidRPr="00D1670D" w:rsidRDefault="002F7F38" w:rsidP="00462AEA">
            <w:pPr>
              <w:jc w:val="right"/>
              <w:rPr>
                <w:sz w:val="18"/>
                <w:szCs w:val="18"/>
              </w:rPr>
            </w:pPr>
            <w:r w:rsidRPr="00D1670D">
              <w:rPr>
                <w:sz w:val="18"/>
                <w:szCs w:val="18"/>
              </w:rPr>
              <w:t>1</w:t>
            </w:r>
          </w:p>
        </w:tc>
        <w:tc>
          <w:tcPr>
            <w:tcW w:w="1155" w:type="dxa"/>
            <w:shd w:val="clear" w:color="auto" w:fill="F2F2F2"/>
          </w:tcPr>
          <w:p w:rsidR="002F7F38" w:rsidRPr="00D1670D" w:rsidRDefault="002F7F38" w:rsidP="00462AEA">
            <w:pPr>
              <w:jc w:val="right"/>
              <w:rPr>
                <w:sz w:val="18"/>
                <w:szCs w:val="18"/>
              </w:rPr>
            </w:pPr>
            <w:r w:rsidRPr="00D1670D">
              <w:rPr>
                <w:sz w:val="18"/>
                <w:szCs w:val="18"/>
              </w:rPr>
              <w:t>1</w:t>
            </w:r>
          </w:p>
        </w:tc>
        <w:tc>
          <w:tcPr>
            <w:tcW w:w="1155" w:type="dxa"/>
            <w:shd w:val="clear" w:color="auto" w:fill="F2F2F2"/>
          </w:tcPr>
          <w:p w:rsidR="002F7F38" w:rsidRPr="00D1670D" w:rsidRDefault="002F7F38" w:rsidP="00462AEA">
            <w:pPr>
              <w:jc w:val="right"/>
              <w:rPr>
                <w:sz w:val="18"/>
                <w:szCs w:val="18"/>
              </w:rPr>
            </w:pPr>
            <w:r w:rsidRPr="00D1670D">
              <w:rPr>
                <w:sz w:val="18"/>
                <w:szCs w:val="18"/>
              </w:rPr>
              <w:t>0</w:t>
            </w:r>
          </w:p>
        </w:tc>
        <w:tc>
          <w:tcPr>
            <w:tcW w:w="956" w:type="dxa"/>
            <w:shd w:val="clear" w:color="auto" w:fill="F2F2F2"/>
          </w:tcPr>
          <w:p w:rsidR="002F7F38" w:rsidRPr="00D1670D" w:rsidRDefault="002F7F38" w:rsidP="00462AEA">
            <w:pPr>
              <w:jc w:val="right"/>
              <w:rPr>
                <w:sz w:val="18"/>
                <w:szCs w:val="18"/>
              </w:rPr>
            </w:pPr>
            <w:r w:rsidRPr="00D1670D">
              <w:rPr>
                <w:sz w:val="18"/>
                <w:szCs w:val="18"/>
              </w:rPr>
              <w:t>1</w:t>
            </w:r>
          </w:p>
        </w:tc>
        <w:tc>
          <w:tcPr>
            <w:tcW w:w="1155" w:type="dxa"/>
            <w:shd w:val="clear" w:color="auto" w:fill="F2F2F2"/>
          </w:tcPr>
          <w:p w:rsidR="002F7F38" w:rsidRPr="00D1670D" w:rsidRDefault="002F7F38" w:rsidP="00462AEA">
            <w:pPr>
              <w:jc w:val="right"/>
              <w:rPr>
                <w:sz w:val="18"/>
                <w:szCs w:val="18"/>
              </w:rPr>
            </w:pPr>
            <w:r w:rsidRPr="00D1670D">
              <w:rPr>
                <w:sz w:val="18"/>
                <w:szCs w:val="18"/>
              </w:rPr>
              <w:t>0</w:t>
            </w:r>
          </w:p>
        </w:tc>
        <w:tc>
          <w:tcPr>
            <w:tcW w:w="971" w:type="dxa"/>
            <w:shd w:val="clear" w:color="auto" w:fill="F2F2F2"/>
          </w:tcPr>
          <w:p w:rsidR="002F7F38" w:rsidRPr="00D1670D" w:rsidRDefault="002F7F38" w:rsidP="00462AEA">
            <w:pPr>
              <w:jc w:val="right"/>
              <w:rPr>
                <w:sz w:val="18"/>
                <w:szCs w:val="18"/>
              </w:rPr>
            </w:pPr>
            <w:r w:rsidRPr="00D1670D">
              <w:rPr>
                <w:sz w:val="18"/>
                <w:szCs w:val="18"/>
              </w:rPr>
              <w:t>0</w:t>
            </w:r>
          </w:p>
        </w:tc>
      </w:tr>
      <w:tr w:rsidR="002F7F38" w:rsidRPr="00D1670D" w:rsidTr="00462AEA">
        <w:tc>
          <w:tcPr>
            <w:tcW w:w="1702" w:type="dxa"/>
            <w:shd w:val="clear" w:color="auto" w:fill="auto"/>
          </w:tcPr>
          <w:p w:rsidR="002F7F38" w:rsidRPr="00D1670D" w:rsidRDefault="002F7F38" w:rsidP="002F7F38">
            <w:pPr>
              <w:rPr>
                <w:sz w:val="18"/>
                <w:szCs w:val="18"/>
              </w:rPr>
            </w:pPr>
            <w:r w:rsidRPr="00D1670D">
              <w:rPr>
                <w:sz w:val="18"/>
                <w:szCs w:val="18"/>
              </w:rPr>
              <w:t>Executive Officer 2</w:t>
            </w:r>
          </w:p>
        </w:tc>
        <w:tc>
          <w:tcPr>
            <w:tcW w:w="1155" w:type="dxa"/>
            <w:shd w:val="clear" w:color="auto" w:fill="auto"/>
          </w:tcPr>
          <w:p w:rsidR="002F7F38" w:rsidRPr="00D1670D" w:rsidRDefault="002F7F38" w:rsidP="00462AEA">
            <w:pPr>
              <w:jc w:val="right"/>
              <w:rPr>
                <w:sz w:val="18"/>
                <w:szCs w:val="18"/>
              </w:rPr>
            </w:pPr>
            <w:r w:rsidRPr="00D1670D">
              <w:rPr>
                <w:sz w:val="18"/>
                <w:szCs w:val="18"/>
              </w:rPr>
              <w:t>6</w:t>
            </w:r>
          </w:p>
        </w:tc>
        <w:tc>
          <w:tcPr>
            <w:tcW w:w="931" w:type="dxa"/>
            <w:shd w:val="clear" w:color="auto" w:fill="auto"/>
          </w:tcPr>
          <w:p w:rsidR="002F7F38" w:rsidRPr="00D1670D" w:rsidRDefault="002F7F38" w:rsidP="00462AEA">
            <w:pPr>
              <w:jc w:val="right"/>
              <w:rPr>
                <w:sz w:val="18"/>
                <w:szCs w:val="18"/>
              </w:rPr>
            </w:pPr>
            <w:r w:rsidRPr="00D1670D">
              <w:rPr>
                <w:sz w:val="18"/>
                <w:szCs w:val="18"/>
              </w:rPr>
              <w:t>6</w:t>
            </w:r>
          </w:p>
        </w:tc>
        <w:tc>
          <w:tcPr>
            <w:tcW w:w="1155" w:type="dxa"/>
            <w:shd w:val="clear" w:color="auto" w:fill="auto"/>
          </w:tcPr>
          <w:p w:rsidR="002F7F38" w:rsidRPr="00D1670D" w:rsidRDefault="002F7F38" w:rsidP="00462AEA">
            <w:pPr>
              <w:jc w:val="right"/>
              <w:rPr>
                <w:sz w:val="18"/>
                <w:szCs w:val="18"/>
              </w:rPr>
            </w:pPr>
            <w:r w:rsidRPr="00D1670D">
              <w:rPr>
                <w:sz w:val="18"/>
                <w:szCs w:val="18"/>
              </w:rPr>
              <w:t>6</w:t>
            </w:r>
          </w:p>
        </w:tc>
        <w:tc>
          <w:tcPr>
            <w:tcW w:w="1155" w:type="dxa"/>
            <w:shd w:val="clear" w:color="auto" w:fill="auto"/>
          </w:tcPr>
          <w:p w:rsidR="002F7F38" w:rsidRPr="00D1670D" w:rsidRDefault="002F7F38" w:rsidP="00462AEA">
            <w:pPr>
              <w:jc w:val="right"/>
              <w:rPr>
                <w:sz w:val="18"/>
                <w:szCs w:val="18"/>
              </w:rPr>
            </w:pPr>
            <w:r w:rsidRPr="00D1670D">
              <w:rPr>
                <w:sz w:val="18"/>
                <w:szCs w:val="18"/>
              </w:rPr>
              <w:t>0</w:t>
            </w:r>
          </w:p>
        </w:tc>
        <w:tc>
          <w:tcPr>
            <w:tcW w:w="951" w:type="dxa"/>
            <w:shd w:val="clear" w:color="auto" w:fill="auto"/>
          </w:tcPr>
          <w:p w:rsidR="002F7F38" w:rsidRPr="00D1670D" w:rsidRDefault="002F7F38" w:rsidP="00462AEA">
            <w:pPr>
              <w:jc w:val="right"/>
              <w:rPr>
                <w:sz w:val="18"/>
                <w:szCs w:val="18"/>
              </w:rPr>
            </w:pPr>
            <w:r w:rsidRPr="00D1670D">
              <w:rPr>
                <w:sz w:val="18"/>
                <w:szCs w:val="18"/>
              </w:rPr>
              <w:t>6</w:t>
            </w:r>
          </w:p>
        </w:tc>
        <w:tc>
          <w:tcPr>
            <w:tcW w:w="1155" w:type="dxa"/>
            <w:shd w:val="clear" w:color="auto" w:fill="auto"/>
          </w:tcPr>
          <w:p w:rsidR="002F7F38" w:rsidRPr="00D1670D" w:rsidRDefault="002F7F38" w:rsidP="00462AEA">
            <w:pPr>
              <w:jc w:val="right"/>
              <w:rPr>
                <w:sz w:val="18"/>
                <w:szCs w:val="18"/>
              </w:rPr>
            </w:pPr>
            <w:r w:rsidRPr="00D1670D">
              <w:rPr>
                <w:sz w:val="18"/>
                <w:szCs w:val="18"/>
              </w:rPr>
              <w:t>0</w:t>
            </w:r>
          </w:p>
        </w:tc>
        <w:tc>
          <w:tcPr>
            <w:tcW w:w="971" w:type="dxa"/>
            <w:shd w:val="clear" w:color="auto" w:fill="auto"/>
          </w:tcPr>
          <w:p w:rsidR="002F7F38" w:rsidRPr="00D1670D" w:rsidRDefault="002F7F38" w:rsidP="00462AEA">
            <w:pPr>
              <w:jc w:val="right"/>
              <w:rPr>
                <w:sz w:val="18"/>
                <w:szCs w:val="18"/>
              </w:rPr>
            </w:pPr>
            <w:r w:rsidRPr="00D1670D">
              <w:rPr>
                <w:sz w:val="18"/>
                <w:szCs w:val="18"/>
              </w:rPr>
              <w:t>0</w:t>
            </w:r>
          </w:p>
        </w:tc>
        <w:tc>
          <w:tcPr>
            <w:tcW w:w="1155" w:type="dxa"/>
            <w:shd w:val="clear" w:color="auto" w:fill="F2F2F2"/>
          </w:tcPr>
          <w:p w:rsidR="002F7F38" w:rsidRPr="00D1670D" w:rsidRDefault="002F7F38" w:rsidP="00462AEA">
            <w:pPr>
              <w:jc w:val="right"/>
              <w:rPr>
                <w:sz w:val="18"/>
                <w:szCs w:val="18"/>
              </w:rPr>
            </w:pPr>
            <w:r w:rsidRPr="00D1670D">
              <w:rPr>
                <w:sz w:val="18"/>
                <w:szCs w:val="18"/>
              </w:rPr>
              <w:t>7</w:t>
            </w:r>
          </w:p>
        </w:tc>
        <w:tc>
          <w:tcPr>
            <w:tcW w:w="829" w:type="dxa"/>
            <w:shd w:val="clear" w:color="auto" w:fill="F2F2F2"/>
          </w:tcPr>
          <w:p w:rsidR="002F7F38" w:rsidRPr="00D1670D" w:rsidRDefault="002F7F38" w:rsidP="00462AEA">
            <w:pPr>
              <w:jc w:val="right"/>
              <w:rPr>
                <w:sz w:val="18"/>
                <w:szCs w:val="18"/>
              </w:rPr>
            </w:pPr>
            <w:r w:rsidRPr="00D1670D">
              <w:rPr>
                <w:sz w:val="18"/>
                <w:szCs w:val="18"/>
              </w:rPr>
              <w:t>7</w:t>
            </w:r>
          </w:p>
        </w:tc>
        <w:tc>
          <w:tcPr>
            <w:tcW w:w="1155" w:type="dxa"/>
            <w:shd w:val="clear" w:color="auto" w:fill="F2F2F2"/>
          </w:tcPr>
          <w:p w:rsidR="002F7F38" w:rsidRPr="00D1670D" w:rsidRDefault="002F7F38" w:rsidP="00462AEA">
            <w:pPr>
              <w:jc w:val="right"/>
              <w:rPr>
                <w:sz w:val="18"/>
                <w:szCs w:val="18"/>
              </w:rPr>
            </w:pPr>
            <w:r w:rsidRPr="00D1670D">
              <w:rPr>
                <w:sz w:val="18"/>
                <w:szCs w:val="18"/>
              </w:rPr>
              <w:t>7</w:t>
            </w:r>
          </w:p>
        </w:tc>
        <w:tc>
          <w:tcPr>
            <w:tcW w:w="1155" w:type="dxa"/>
            <w:shd w:val="clear" w:color="auto" w:fill="F2F2F2"/>
          </w:tcPr>
          <w:p w:rsidR="002F7F38" w:rsidRPr="00D1670D" w:rsidRDefault="002F7F38" w:rsidP="00462AEA">
            <w:pPr>
              <w:jc w:val="right"/>
              <w:rPr>
                <w:sz w:val="18"/>
                <w:szCs w:val="18"/>
              </w:rPr>
            </w:pPr>
            <w:r w:rsidRPr="00D1670D">
              <w:rPr>
                <w:sz w:val="18"/>
                <w:szCs w:val="18"/>
              </w:rPr>
              <w:t>0</w:t>
            </w:r>
          </w:p>
        </w:tc>
        <w:tc>
          <w:tcPr>
            <w:tcW w:w="956" w:type="dxa"/>
            <w:shd w:val="clear" w:color="auto" w:fill="F2F2F2"/>
          </w:tcPr>
          <w:p w:rsidR="002F7F38" w:rsidRPr="00D1670D" w:rsidRDefault="002F7F38" w:rsidP="00462AEA">
            <w:pPr>
              <w:jc w:val="right"/>
              <w:rPr>
                <w:sz w:val="18"/>
                <w:szCs w:val="18"/>
              </w:rPr>
            </w:pPr>
            <w:r w:rsidRPr="00D1670D">
              <w:rPr>
                <w:sz w:val="18"/>
                <w:szCs w:val="18"/>
              </w:rPr>
              <w:t>7</w:t>
            </w:r>
          </w:p>
        </w:tc>
        <w:tc>
          <w:tcPr>
            <w:tcW w:w="1155" w:type="dxa"/>
            <w:shd w:val="clear" w:color="auto" w:fill="F2F2F2"/>
          </w:tcPr>
          <w:p w:rsidR="002F7F38" w:rsidRPr="00D1670D" w:rsidRDefault="002F7F38" w:rsidP="00462AEA">
            <w:pPr>
              <w:jc w:val="right"/>
              <w:rPr>
                <w:sz w:val="18"/>
                <w:szCs w:val="18"/>
              </w:rPr>
            </w:pPr>
            <w:r w:rsidRPr="00D1670D">
              <w:rPr>
                <w:sz w:val="18"/>
                <w:szCs w:val="18"/>
              </w:rPr>
              <w:t>0</w:t>
            </w:r>
          </w:p>
        </w:tc>
        <w:tc>
          <w:tcPr>
            <w:tcW w:w="971" w:type="dxa"/>
            <w:shd w:val="clear" w:color="auto" w:fill="F2F2F2"/>
          </w:tcPr>
          <w:p w:rsidR="002F7F38" w:rsidRPr="00D1670D" w:rsidRDefault="002F7F38" w:rsidP="00462AEA">
            <w:pPr>
              <w:jc w:val="right"/>
              <w:rPr>
                <w:sz w:val="18"/>
                <w:szCs w:val="18"/>
              </w:rPr>
            </w:pPr>
            <w:r w:rsidRPr="00D1670D">
              <w:rPr>
                <w:sz w:val="18"/>
                <w:szCs w:val="18"/>
              </w:rPr>
              <w:t>0</w:t>
            </w:r>
          </w:p>
        </w:tc>
      </w:tr>
      <w:tr w:rsidR="002F7F38" w:rsidRPr="00D1670D" w:rsidTr="00462AEA">
        <w:tc>
          <w:tcPr>
            <w:tcW w:w="1702" w:type="dxa"/>
            <w:shd w:val="clear" w:color="auto" w:fill="auto"/>
          </w:tcPr>
          <w:p w:rsidR="002F7F38" w:rsidRPr="00D1670D" w:rsidRDefault="002F7F38" w:rsidP="002F7F38">
            <w:pPr>
              <w:rPr>
                <w:sz w:val="18"/>
                <w:szCs w:val="18"/>
              </w:rPr>
            </w:pPr>
            <w:r w:rsidRPr="00D1670D">
              <w:rPr>
                <w:sz w:val="18"/>
                <w:szCs w:val="18"/>
              </w:rPr>
              <w:t>Executive Officer 3</w:t>
            </w:r>
          </w:p>
        </w:tc>
        <w:tc>
          <w:tcPr>
            <w:tcW w:w="1155" w:type="dxa"/>
            <w:shd w:val="clear" w:color="auto" w:fill="auto"/>
          </w:tcPr>
          <w:p w:rsidR="002F7F38" w:rsidRPr="00D1670D" w:rsidRDefault="002F7F38" w:rsidP="00462AEA">
            <w:pPr>
              <w:jc w:val="right"/>
              <w:rPr>
                <w:sz w:val="18"/>
                <w:szCs w:val="18"/>
              </w:rPr>
            </w:pPr>
            <w:r w:rsidRPr="00D1670D">
              <w:rPr>
                <w:sz w:val="18"/>
                <w:szCs w:val="18"/>
              </w:rPr>
              <w:t>5</w:t>
            </w:r>
          </w:p>
        </w:tc>
        <w:tc>
          <w:tcPr>
            <w:tcW w:w="931" w:type="dxa"/>
            <w:shd w:val="clear" w:color="auto" w:fill="auto"/>
          </w:tcPr>
          <w:p w:rsidR="002F7F38" w:rsidRPr="00D1670D" w:rsidRDefault="002F7F38" w:rsidP="00462AEA">
            <w:pPr>
              <w:jc w:val="right"/>
              <w:rPr>
                <w:sz w:val="18"/>
                <w:szCs w:val="18"/>
              </w:rPr>
            </w:pPr>
            <w:r w:rsidRPr="00D1670D">
              <w:rPr>
                <w:sz w:val="18"/>
                <w:szCs w:val="18"/>
              </w:rPr>
              <w:t>5</w:t>
            </w:r>
          </w:p>
        </w:tc>
        <w:tc>
          <w:tcPr>
            <w:tcW w:w="1155" w:type="dxa"/>
            <w:shd w:val="clear" w:color="auto" w:fill="auto"/>
          </w:tcPr>
          <w:p w:rsidR="002F7F38" w:rsidRPr="00D1670D" w:rsidRDefault="002F7F38" w:rsidP="00462AEA">
            <w:pPr>
              <w:jc w:val="right"/>
              <w:rPr>
                <w:sz w:val="18"/>
                <w:szCs w:val="18"/>
              </w:rPr>
            </w:pPr>
            <w:r w:rsidRPr="00D1670D">
              <w:rPr>
                <w:sz w:val="18"/>
                <w:szCs w:val="18"/>
              </w:rPr>
              <w:t>5</w:t>
            </w:r>
          </w:p>
        </w:tc>
        <w:tc>
          <w:tcPr>
            <w:tcW w:w="1155" w:type="dxa"/>
            <w:shd w:val="clear" w:color="auto" w:fill="auto"/>
          </w:tcPr>
          <w:p w:rsidR="002F7F38" w:rsidRPr="00D1670D" w:rsidRDefault="002F7F38" w:rsidP="00462AEA">
            <w:pPr>
              <w:jc w:val="right"/>
              <w:rPr>
                <w:sz w:val="18"/>
                <w:szCs w:val="18"/>
              </w:rPr>
            </w:pPr>
            <w:r w:rsidRPr="00D1670D">
              <w:rPr>
                <w:sz w:val="18"/>
                <w:szCs w:val="18"/>
              </w:rPr>
              <w:t>0</w:t>
            </w:r>
          </w:p>
        </w:tc>
        <w:tc>
          <w:tcPr>
            <w:tcW w:w="951" w:type="dxa"/>
            <w:shd w:val="clear" w:color="auto" w:fill="auto"/>
          </w:tcPr>
          <w:p w:rsidR="002F7F38" w:rsidRPr="00D1670D" w:rsidRDefault="002F7F38" w:rsidP="00462AEA">
            <w:pPr>
              <w:jc w:val="right"/>
              <w:rPr>
                <w:sz w:val="18"/>
                <w:szCs w:val="18"/>
              </w:rPr>
            </w:pPr>
            <w:r w:rsidRPr="00D1670D">
              <w:rPr>
                <w:sz w:val="18"/>
                <w:szCs w:val="18"/>
              </w:rPr>
              <w:t>5</w:t>
            </w:r>
          </w:p>
        </w:tc>
        <w:tc>
          <w:tcPr>
            <w:tcW w:w="1155" w:type="dxa"/>
            <w:shd w:val="clear" w:color="auto" w:fill="auto"/>
          </w:tcPr>
          <w:p w:rsidR="002F7F38" w:rsidRPr="00D1670D" w:rsidRDefault="002F7F38" w:rsidP="00462AEA">
            <w:pPr>
              <w:jc w:val="right"/>
              <w:rPr>
                <w:sz w:val="18"/>
                <w:szCs w:val="18"/>
              </w:rPr>
            </w:pPr>
            <w:r w:rsidRPr="00D1670D">
              <w:rPr>
                <w:sz w:val="18"/>
                <w:szCs w:val="18"/>
              </w:rPr>
              <w:t>0</w:t>
            </w:r>
          </w:p>
        </w:tc>
        <w:tc>
          <w:tcPr>
            <w:tcW w:w="971" w:type="dxa"/>
            <w:shd w:val="clear" w:color="auto" w:fill="auto"/>
          </w:tcPr>
          <w:p w:rsidR="002F7F38" w:rsidRPr="00D1670D" w:rsidRDefault="002F7F38" w:rsidP="00462AEA">
            <w:pPr>
              <w:jc w:val="right"/>
              <w:rPr>
                <w:sz w:val="18"/>
                <w:szCs w:val="18"/>
              </w:rPr>
            </w:pPr>
            <w:r w:rsidRPr="00D1670D">
              <w:rPr>
                <w:sz w:val="18"/>
                <w:szCs w:val="18"/>
              </w:rPr>
              <w:t>0</w:t>
            </w:r>
          </w:p>
        </w:tc>
        <w:tc>
          <w:tcPr>
            <w:tcW w:w="1155" w:type="dxa"/>
            <w:shd w:val="clear" w:color="auto" w:fill="F2F2F2"/>
          </w:tcPr>
          <w:p w:rsidR="002F7F38" w:rsidRPr="00D1670D" w:rsidRDefault="002F7F38" w:rsidP="00462AEA">
            <w:pPr>
              <w:jc w:val="right"/>
              <w:rPr>
                <w:sz w:val="18"/>
                <w:szCs w:val="18"/>
              </w:rPr>
            </w:pPr>
            <w:r w:rsidRPr="00D1670D">
              <w:rPr>
                <w:sz w:val="18"/>
                <w:szCs w:val="18"/>
              </w:rPr>
              <w:t>4</w:t>
            </w:r>
          </w:p>
        </w:tc>
        <w:tc>
          <w:tcPr>
            <w:tcW w:w="829" w:type="dxa"/>
            <w:shd w:val="clear" w:color="auto" w:fill="F2F2F2"/>
          </w:tcPr>
          <w:p w:rsidR="002F7F38" w:rsidRPr="00D1670D" w:rsidRDefault="002F7F38" w:rsidP="00462AEA">
            <w:pPr>
              <w:jc w:val="right"/>
              <w:rPr>
                <w:sz w:val="18"/>
                <w:szCs w:val="18"/>
              </w:rPr>
            </w:pPr>
            <w:r w:rsidRPr="00D1670D">
              <w:rPr>
                <w:sz w:val="18"/>
                <w:szCs w:val="18"/>
              </w:rPr>
              <w:t>4</w:t>
            </w:r>
          </w:p>
        </w:tc>
        <w:tc>
          <w:tcPr>
            <w:tcW w:w="1155" w:type="dxa"/>
            <w:shd w:val="clear" w:color="auto" w:fill="F2F2F2"/>
          </w:tcPr>
          <w:p w:rsidR="002F7F38" w:rsidRPr="00D1670D" w:rsidRDefault="002F7F38" w:rsidP="00462AEA">
            <w:pPr>
              <w:jc w:val="right"/>
              <w:rPr>
                <w:sz w:val="18"/>
                <w:szCs w:val="18"/>
              </w:rPr>
            </w:pPr>
            <w:r w:rsidRPr="00D1670D">
              <w:rPr>
                <w:sz w:val="18"/>
                <w:szCs w:val="18"/>
              </w:rPr>
              <w:t>4</w:t>
            </w:r>
          </w:p>
        </w:tc>
        <w:tc>
          <w:tcPr>
            <w:tcW w:w="1155" w:type="dxa"/>
            <w:shd w:val="clear" w:color="auto" w:fill="F2F2F2"/>
          </w:tcPr>
          <w:p w:rsidR="002F7F38" w:rsidRPr="00D1670D" w:rsidRDefault="002F7F38" w:rsidP="00462AEA">
            <w:pPr>
              <w:jc w:val="right"/>
              <w:rPr>
                <w:sz w:val="18"/>
                <w:szCs w:val="18"/>
              </w:rPr>
            </w:pPr>
            <w:r w:rsidRPr="00D1670D">
              <w:rPr>
                <w:sz w:val="18"/>
                <w:szCs w:val="18"/>
              </w:rPr>
              <w:t>0</w:t>
            </w:r>
          </w:p>
        </w:tc>
        <w:tc>
          <w:tcPr>
            <w:tcW w:w="956" w:type="dxa"/>
            <w:shd w:val="clear" w:color="auto" w:fill="F2F2F2"/>
          </w:tcPr>
          <w:p w:rsidR="002F7F38" w:rsidRPr="00D1670D" w:rsidRDefault="002F7F38" w:rsidP="00462AEA">
            <w:pPr>
              <w:jc w:val="right"/>
              <w:rPr>
                <w:sz w:val="18"/>
                <w:szCs w:val="18"/>
              </w:rPr>
            </w:pPr>
            <w:r w:rsidRPr="00D1670D">
              <w:rPr>
                <w:sz w:val="18"/>
                <w:szCs w:val="18"/>
              </w:rPr>
              <w:t>4</w:t>
            </w:r>
          </w:p>
        </w:tc>
        <w:tc>
          <w:tcPr>
            <w:tcW w:w="1155" w:type="dxa"/>
            <w:shd w:val="clear" w:color="auto" w:fill="F2F2F2"/>
          </w:tcPr>
          <w:p w:rsidR="002F7F38" w:rsidRPr="00D1670D" w:rsidRDefault="002F7F38" w:rsidP="00462AEA">
            <w:pPr>
              <w:jc w:val="right"/>
              <w:rPr>
                <w:sz w:val="18"/>
                <w:szCs w:val="18"/>
              </w:rPr>
            </w:pPr>
            <w:r w:rsidRPr="00D1670D">
              <w:rPr>
                <w:sz w:val="18"/>
                <w:szCs w:val="18"/>
              </w:rPr>
              <w:t>0</w:t>
            </w:r>
          </w:p>
        </w:tc>
        <w:tc>
          <w:tcPr>
            <w:tcW w:w="971" w:type="dxa"/>
            <w:shd w:val="clear" w:color="auto" w:fill="F2F2F2"/>
          </w:tcPr>
          <w:p w:rsidR="002F7F38" w:rsidRPr="00D1670D" w:rsidRDefault="002F7F38" w:rsidP="00462AEA">
            <w:pPr>
              <w:jc w:val="right"/>
              <w:rPr>
                <w:sz w:val="18"/>
                <w:szCs w:val="18"/>
              </w:rPr>
            </w:pPr>
            <w:r w:rsidRPr="00D1670D">
              <w:rPr>
                <w:sz w:val="18"/>
                <w:szCs w:val="18"/>
              </w:rPr>
              <w:t>0</w:t>
            </w:r>
          </w:p>
        </w:tc>
      </w:tr>
      <w:tr w:rsidR="002F7F38" w:rsidRPr="00D1670D" w:rsidTr="00462AEA">
        <w:tc>
          <w:tcPr>
            <w:tcW w:w="1702" w:type="dxa"/>
            <w:shd w:val="clear" w:color="auto" w:fill="auto"/>
          </w:tcPr>
          <w:p w:rsidR="002F7F38" w:rsidRPr="00D1670D" w:rsidRDefault="002F7F38" w:rsidP="002F7F38">
            <w:pPr>
              <w:rPr>
                <w:b/>
                <w:sz w:val="18"/>
                <w:szCs w:val="18"/>
              </w:rPr>
            </w:pPr>
            <w:r w:rsidRPr="00D1670D">
              <w:rPr>
                <w:b/>
                <w:sz w:val="18"/>
                <w:szCs w:val="18"/>
              </w:rPr>
              <w:t>Total Senior employees</w:t>
            </w:r>
          </w:p>
        </w:tc>
        <w:tc>
          <w:tcPr>
            <w:tcW w:w="1155" w:type="dxa"/>
            <w:shd w:val="clear" w:color="auto" w:fill="auto"/>
          </w:tcPr>
          <w:p w:rsidR="002F7F38" w:rsidRPr="00D1670D" w:rsidRDefault="002F7F38" w:rsidP="00462AEA">
            <w:pPr>
              <w:jc w:val="right"/>
              <w:rPr>
                <w:b/>
                <w:sz w:val="18"/>
                <w:szCs w:val="18"/>
              </w:rPr>
            </w:pPr>
            <w:r w:rsidRPr="00D1670D">
              <w:rPr>
                <w:b/>
                <w:sz w:val="18"/>
                <w:szCs w:val="18"/>
              </w:rPr>
              <w:t>18</w:t>
            </w:r>
          </w:p>
        </w:tc>
        <w:tc>
          <w:tcPr>
            <w:tcW w:w="931" w:type="dxa"/>
            <w:shd w:val="clear" w:color="auto" w:fill="auto"/>
          </w:tcPr>
          <w:p w:rsidR="002F7F38" w:rsidRPr="00D1670D" w:rsidRDefault="002F7F38" w:rsidP="00462AEA">
            <w:pPr>
              <w:jc w:val="right"/>
              <w:rPr>
                <w:b/>
                <w:sz w:val="18"/>
                <w:szCs w:val="18"/>
              </w:rPr>
            </w:pPr>
            <w:r w:rsidRPr="00D1670D">
              <w:rPr>
                <w:b/>
                <w:sz w:val="18"/>
                <w:szCs w:val="18"/>
              </w:rPr>
              <w:t>18</w:t>
            </w:r>
          </w:p>
        </w:tc>
        <w:tc>
          <w:tcPr>
            <w:tcW w:w="1155" w:type="dxa"/>
            <w:shd w:val="clear" w:color="auto" w:fill="auto"/>
          </w:tcPr>
          <w:p w:rsidR="002F7F38" w:rsidRPr="00D1670D" w:rsidRDefault="002F7F38" w:rsidP="00462AEA">
            <w:pPr>
              <w:jc w:val="right"/>
              <w:rPr>
                <w:b/>
                <w:sz w:val="18"/>
                <w:szCs w:val="18"/>
              </w:rPr>
            </w:pPr>
            <w:r w:rsidRPr="00D1670D">
              <w:rPr>
                <w:b/>
                <w:sz w:val="18"/>
                <w:szCs w:val="18"/>
              </w:rPr>
              <w:t>18</w:t>
            </w:r>
          </w:p>
        </w:tc>
        <w:tc>
          <w:tcPr>
            <w:tcW w:w="1155" w:type="dxa"/>
            <w:shd w:val="clear" w:color="auto" w:fill="auto"/>
          </w:tcPr>
          <w:p w:rsidR="002F7F38" w:rsidRPr="00D1670D" w:rsidRDefault="002F7F38" w:rsidP="00462AEA">
            <w:pPr>
              <w:jc w:val="right"/>
              <w:rPr>
                <w:b/>
                <w:sz w:val="18"/>
                <w:szCs w:val="18"/>
              </w:rPr>
            </w:pPr>
            <w:r w:rsidRPr="00D1670D">
              <w:rPr>
                <w:b/>
                <w:sz w:val="18"/>
                <w:szCs w:val="18"/>
              </w:rPr>
              <w:t>0</w:t>
            </w:r>
          </w:p>
        </w:tc>
        <w:tc>
          <w:tcPr>
            <w:tcW w:w="951" w:type="dxa"/>
            <w:shd w:val="clear" w:color="auto" w:fill="auto"/>
          </w:tcPr>
          <w:p w:rsidR="002F7F38" w:rsidRPr="00D1670D" w:rsidRDefault="002F7F38" w:rsidP="00462AEA">
            <w:pPr>
              <w:jc w:val="right"/>
              <w:rPr>
                <w:b/>
                <w:sz w:val="18"/>
                <w:szCs w:val="18"/>
              </w:rPr>
            </w:pPr>
            <w:r w:rsidRPr="00D1670D">
              <w:rPr>
                <w:b/>
                <w:sz w:val="18"/>
                <w:szCs w:val="18"/>
              </w:rPr>
              <w:t>18</w:t>
            </w:r>
          </w:p>
        </w:tc>
        <w:tc>
          <w:tcPr>
            <w:tcW w:w="1155" w:type="dxa"/>
            <w:shd w:val="clear" w:color="auto" w:fill="auto"/>
          </w:tcPr>
          <w:p w:rsidR="002F7F38" w:rsidRPr="00D1670D" w:rsidRDefault="002F7F38" w:rsidP="00462AEA">
            <w:pPr>
              <w:jc w:val="right"/>
              <w:rPr>
                <w:b/>
                <w:sz w:val="18"/>
                <w:szCs w:val="18"/>
              </w:rPr>
            </w:pPr>
            <w:r w:rsidRPr="00D1670D">
              <w:rPr>
                <w:b/>
                <w:sz w:val="18"/>
                <w:szCs w:val="18"/>
              </w:rPr>
              <w:t>0</w:t>
            </w:r>
          </w:p>
        </w:tc>
        <w:tc>
          <w:tcPr>
            <w:tcW w:w="971" w:type="dxa"/>
            <w:shd w:val="clear" w:color="auto" w:fill="auto"/>
          </w:tcPr>
          <w:p w:rsidR="002F7F38" w:rsidRPr="00D1670D" w:rsidRDefault="002F7F38" w:rsidP="00462AEA">
            <w:pPr>
              <w:jc w:val="right"/>
              <w:rPr>
                <w:b/>
                <w:sz w:val="18"/>
                <w:szCs w:val="18"/>
              </w:rPr>
            </w:pPr>
            <w:r w:rsidRPr="00D1670D">
              <w:rPr>
                <w:b/>
                <w:sz w:val="18"/>
                <w:szCs w:val="18"/>
              </w:rPr>
              <w:t>0</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21</w:t>
            </w:r>
          </w:p>
        </w:tc>
        <w:tc>
          <w:tcPr>
            <w:tcW w:w="829" w:type="dxa"/>
            <w:shd w:val="clear" w:color="auto" w:fill="F2F2F2"/>
          </w:tcPr>
          <w:p w:rsidR="002F7F38" w:rsidRPr="00D1670D" w:rsidRDefault="002F7F38" w:rsidP="00462AEA">
            <w:pPr>
              <w:jc w:val="right"/>
              <w:rPr>
                <w:b/>
                <w:sz w:val="18"/>
                <w:szCs w:val="18"/>
              </w:rPr>
            </w:pPr>
            <w:r w:rsidRPr="00D1670D">
              <w:rPr>
                <w:b/>
                <w:sz w:val="18"/>
                <w:szCs w:val="18"/>
              </w:rPr>
              <w:t>21</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19</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0</w:t>
            </w:r>
          </w:p>
        </w:tc>
        <w:tc>
          <w:tcPr>
            <w:tcW w:w="956" w:type="dxa"/>
            <w:shd w:val="clear" w:color="auto" w:fill="F2F2F2"/>
          </w:tcPr>
          <w:p w:rsidR="002F7F38" w:rsidRPr="00D1670D" w:rsidRDefault="002F7F38" w:rsidP="00462AEA">
            <w:pPr>
              <w:jc w:val="right"/>
              <w:rPr>
                <w:b/>
                <w:sz w:val="18"/>
                <w:szCs w:val="18"/>
              </w:rPr>
            </w:pPr>
            <w:r w:rsidRPr="00D1670D">
              <w:rPr>
                <w:b/>
                <w:sz w:val="18"/>
                <w:szCs w:val="18"/>
              </w:rPr>
              <w:t>19</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2</w:t>
            </w:r>
          </w:p>
        </w:tc>
        <w:tc>
          <w:tcPr>
            <w:tcW w:w="971" w:type="dxa"/>
            <w:shd w:val="clear" w:color="auto" w:fill="F2F2F2"/>
          </w:tcPr>
          <w:p w:rsidR="002F7F38" w:rsidRPr="00D1670D" w:rsidRDefault="002F7F38" w:rsidP="00462AEA">
            <w:pPr>
              <w:jc w:val="right"/>
              <w:rPr>
                <w:b/>
                <w:sz w:val="18"/>
                <w:szCs w:val="18"/>
              </w:rPr>
            </w:pPr>
            <w:r w:rsidRPr="00D1670D">
              <w:rPr>
                <w:b/>
                <w:sz w:val="18"/>
                <w:szCs w:val="18"/>
              </w:rPr>
              <w:t>2</w:t>
            </w:r>
          </w:p>
        </w:tc>
      </w:tr>
      <w:tr w:rsidR="002F7F38" w:rsidRPr="00D1670D" w:rsidTr="00462AEA">
        <w:tc>
          <w:tcPr>
            <w:tcW w:w="1702" w:type="dxa"/>
            <w:shd w:val="clear" w:color="auto" w:fill="auto"/>
          </w:tcPr>
          <w:p w:rsidR="002F7F38" w:rsidRPr="00D1670D" w:rsidRDefault="002F7F38" w:rsidP="002F7F38">
            <w:pPr>
              <w:rPr>
                <w:sz w:val="18"/>
                <w:szCs w:val="18"/>
              </w:rPr>
            </w:pPr>
            <w:r w:rsidRPr="00D1670D">
              <w:rPr>
                <w:b/>
                <w:sz w:val="18"/>
                <w:szCs w:val="18"/>
              </w:rPr>
              <w:t>Total employees</w:t>
            </w:r>
          </w:p>
        </w:tc>
        <w:tc>
          <w:tcPr>
            <w:tcW w:w="1155" w:type="dxa"/>
            <w:shd w:val="clear" w:color="auto" w:fill="auto"/>
          </w:tcPr>
          <w:p w:rsidR="002F7F38" w:rsidRPr="00D1670D" w:rsidRDefault="002F7F38" w:rsidP="00462AEA">
            <w:pPr>
              <w:jc w:val="right"/>
              <w:rPr>
                <w:b/>
                <w:sz w:val="18"/>
                <w:szCs w:val="18"/>
              </w:rPr>
            </w:pPr>
            <w:r w:rsidRPr="00D1670D">
              <w:rPr>
                <w:b/>
                <w:sz w:val="18"/>
                <w:szCs w:val="18"/>
              </w:rPr>
              <w:t>1750</w:t>
            </w:r>
          </w:p>
        </w:tc>
        <w:tc>
          <w:tcPr>
            <w:tcW w:w="931" w:type="dxa"/>
            <w:shd w:val="clear" w:color="auto" w:fill="auto"/>
          </w:tcPr>
          <w:p w:rsidR="002F7F38" w:rsidRPr="00D1670D" w:rsidRDefault="002F7F38" w:rsidP="00462AEA">
            <w:pPr>
              <w:jc w:val="right"/>
              <w:rPr>
                <w:b/>
                <w:sz w:val="18"/>
                <w:szCs w:val="18"/>
              </w:rPr>
            </w:pPr>
            <w:r w:rsidRPr="00D1670D">
              <w:rPr>
                <w:b/>
                <w:sz w:val="18"/>
                <w:szCs w:val="18"/>
              </w:rPr>
              <w:t>1639.3</w:t>
            </w:r>
          </w:p>
        </w:tc>
        <w:tc>
          <w:tcPr>
            <w:tcW w:w="1155" w:type="dxa"/>
            <w:shd w:val="clear" w:color="auto" w:fill="auto"/>
          </w:tcPr>
          <w:p w:rsidR="002F7F38" w:rsidRPr="00D1670D" w:rsidRDefault="002F7F38" w:rsidP="00462AEA">
            <w:pPr>
              <w:jc w:val="right"/>
              <w:rPr>
                <w:b/>
                <w:sz w:val="18"/>
                <w:szCs w:val="18"/>
              </w:rPr>
            </w:pPr>
            <w:r w:rsidRPr="00D1670D">
              <w:rPr>
                <w:b/>
                <w:sz w:val="18"/>
                <w:szCs w:val="18"/>
              </w:rPr>
              <w:t>1242</w:t>
            </w:r>
          </w:p>
        </w:tc>
        <w:tc>
          <w:tcPr>
            <w:tcW w:w="1155" w:type="dxa"/>
            <w:shd w:val="clear" w:color="auto" w:fill="auto"/>
          </w:tcPr>
          <w:p w:rsidR="002F7F38" w:rsidRPr="00D1670D" w:rsidRDefault="002F7F38" w:rsidP="00462AEA">
            <w:pPr>
              <w:jc w:val="right"/>
              <w:rPr>
                <w:b/>
                <w:sz w:val="18"/>
                <w:szCs w:val="18"/>
              </w:rPr>
            </w:pPr>
            <w:r w:rsidRPr="00D1670D">
              <w:rPr>
                <w:b/>
                <w:sz w:val="18"/>
                <w:szCs w:val="18"/>
              </w:rPr>
              <w:t>255</w:t>
            </w:r>
          </w:p>
        </w:tc>
        <w:tc>
          <w:tcPr>
            <w:tcW w:w="951" w:type="dxa"/>
            <w:shd w:val="clear" w:color="auto" w:fill="auto"/>
          </w:tcPr>
          <w:p w:rsidR="002F7F38" w:rsidRPr="00D1670D" w:rsidRDefault="002F7F38" w:rsidP="00462AEA">
            <w:pPr>
              <w:jc w:val="right"/>
              <w:rPr>
                <w:b/>
                <w:sz w:val="18"/>
                <w:szCs w:val="18"/>
              </w:rPr>
            </w:pPr>
            <w:r w:rsidRPr="00D1670D">
              <w:rPr>
                <w:b/>
                <w:sz w:val="18"/>
                <w:szCs w:val="18"/>
              </w:rPr>
              <w:t>1400.5</w:t>
            </w:r>
          </w:p>
        </w:tc>
        <w:tc>
          <w:tcPr>
            <w:tcW w:w="1155" w:type="dxa"/>
            <w:shd w:val="clear" w:color="auto" w:fill="auto"/>
          </w:tcPr>
          <w:p w:rsidR="002F7F38" w:rsidRPr="00D1670D" w:rsidRDefault="002F7F38" w:rsidP="00462AEA">
            <w:pPr>
              <w:jc w:val="right"/>
              <w:rPr>
                <w:b/>
                <w:sz w:val="18"/>
                <w:szCs w:val="18"/>
              </w:rPr>
            </w:pPr>
            <w:r w:rsidRPr="00D1670D">
              <w:rPr>
                <w:b/>
                <w:sz w:val="18"/>
                <w:szCs w:val="18"/>
              </w:rPr>
              <w:t>253</w:t>
            </w:r>
          </w:p>
        </w:tc>
        <w:tc>
          <w:tcPr>
            <w:tcW w:w="971" w:type="dxa"/>
            <w:shd w:val="clear" w:color="auto" w:fill="auto"/>
          </w:tcPr>
          <w:p w:rsidR="002F7F38" w:rsidRPr="00D1670D" w:rsidRDefault="002F7F38" w:rsidP="00462AEA">
            <w:pPr>
              <w:jc w:val="right"/>
              <w:rPr>
                <w:b/>
                <w:sz w:val="18"/>
                <w:szCs w:val="18"/>
              </w:rPr>
            </w:pPr>
            <w:r w:rsidRPr="00D1670D">
              <w:rPr>
                <w:b/>
                <w:sz w:val="18"/>
                <w:szCs w:val="18"/>
              </w:rPr>
              <w:t>238.8</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1862</w:t>
            </w:r>
          </w:p>
        </w:tc>
        <w:tc>
          <w:tcPr>
            <w:tcW w:w="829" w:type="dxa"/>
            <w:shd w:val="clear" w:color="auto" w:fill="F2F2F2"/>
          </w:tcPr>
          <w:p w:rsidR="002F7F38" w:rsidRPr="00D1670D" w:rsidRDefault="002F7F38" w:rsidP="00462AEA">
            <w:pPr>
              <w:jc w:val="right"/>
              <w:rPr>
                <w:b/>
                <w:sz w:val="18"/>
                <w:szCs w:val="18"/>
              </w:rPr>
            </w:pPr>
            <w:r w:rsidRPr="00D1670D">
              <w:rPr>
                <w:b/>
                <w:sz w:val="18"/>
                <w:szCs w:val="18"/>
              </w:rPr>
              <w:t>1746.7</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1306</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260</w:t>
            </w:r>
          </w:p>
        </w:tc>
        <w:tc>
          <w:tcPr>
            <w:tcW w:w="956" w:type="dxa"/>
            <w:shd w:val="clear" w:color="auto" w:fill="F2F2F2"/>
          </w:tcPr>
          <w:p w:rsidR="002F7F38" w:rsidRPr="00D1670D" w:rsidRDefault="002F7F38" w:rsidP="00462AEA">
            <w:pPr>
              <w:jc w:val="right"/>
              <w:rPr>
                <w:b/>
                <w:sz w:val="18"/>
                <w:szCs w:val="18"/>
              </w:rPr>
            </w:pPr>
            <w:r w:rsidRPr="00D1670D">
              <w:rPr>
                <w:b/>
                <w:sz w:val="18"/>
                <w:szCs w:val="18"/>
              </w:rPr>
              <w:t>1468.2</w:t>
            </w:r>
          </w:p>
        </w:tc>
        <w:tc>
          <w:tcPr>
            <w:tcW w:w="1155" w:type="dxa"/>
            <w:shd w:val="clear" w:color="auto" w:fill="F2F2F2"/>
          </w:tcPr>
          <w:p w:rsidR="002F7F38" w:rsidRPr="00D1670D" w:rsidRDefault="002F7F38" w:rsidP="00462AEA">
            <w:pPr>
              <w:jc w:val="right"/>
              <w:rPr>
                <w:b/>
                <w:sz w:val="18"/>
                <w:szCs w:val="18"/>
              </w:rPr>
            </w:pPr>
            <w:r w:rsidRPr="00D1670D">
              <w:rPr>
                <w:b/>
                <w:sz w:val="18"/>
                <w:szCs w:val="18"/>
              </w:rPr>
              <w:t>296</w:t>
            </w:r>
          </w:p>
        </w:tc>
        <w:tc>
          <w:tcPr>
            <w:tcW w:w="971" w:type="dxa"/>
            <w:shd w:val="clear" w:color="auto" w:fill="F2F2F2"/>
          </w:tcPr>
          <w:p w:rsidR="002F7F38" w:rsidRPr="00D1670D" w:rsidRDefault="002F7F38" w:rsidP="00462AEA">
            <w:pPr>
              <w:jc w:val="right"/>
              <w:rPr>
                <w:b/>
                <w:sz w:val="18"/>
                <w:szCs w:val="18"/>
              </w:rPr>
            </w:pPr>
            <w:r w:rsidRPr="00D1670D">
              <w:rPr>
                <w:b/>
                <w:sz w:val="18"/>
                <w:szCs w:val="18"/>
              </w:rPr>
              <w:t>278.5</w:t>
            </w:r>
          </w:p>
        </w:tc>
      </w:tr>
    </w:tbl>
    <w:p w:rsidR="002F7F38" w:rsidRPr="00456361" w:rsidRDefault="002F7F38" w:rsidP="002F7F38">
      <w:pPr>
        <w:pStyle w:val="Notesheading"/>
      </w:pPr>
      <w:r w:rsidRPr="00456361">
        <w:t>Notes</w:t>
      </w:r>
    </w:p>
    <w:p w:rsidR="002F7F38" w:rsidRPr="002F7F38" w:rsidRDefault="002F7F38" w:rsidP="00462AEA">
      <w:pPr>
        <w:pStyle w:val="Notes"/>
      </w:pPr>
      <w:r>
        <w:t xml:space="preserve">1. </w:t>
      </w:r>
      <w:r w:rsidR="00462AEA">
        <w:tab/>
      </w:r>
      <w:r w:rsidRPr="002F7F38">
        <w:t xml:space="preserve">All figures reflect active employees in the last pay period of June each year. The figures exclude those persons on leave without pay or absent on secondment, external contractors/consultants and temporary staff employed </w:t>
      </w:r>
      <w:r w:rsidR="004474DF">
        <w:t>through</w:t>
      </w:r>
      <w:r w:rsidRPr="002F7F38">
        <w:t xml:space="preserve"> </w:t>
      </w:r>
      <w:r w:rsidR="004474DF">
        <w:t xml:space="preserve">recruitment </w:t>
      </w:r>
      <w:r w:rsidRPr="002F7F38">
        <w:t>agencies. ‘Ongoing employee’ means people engaged on open-ended contracts of employment and executive officers on a standard executive contract who were active in the last pay period of June</w:t>
      </w:r>
      <w:r w:rsidR="004474DF">
        <w:t xml:space="preserve"> 2017</w:t>
      </w:r>
      <w:r w:rsidRPr="002F7F38">
        <w:t>. Judicial officers are not included.</w:t>
      </w:r>
    </w:p>
    <w:p w:rsidR="002F7F38" w:rsidRPr="002F7F38" w:rsidRDefault="002F7F38" w:rsidP="00462AEA">
      <w:pPr>
        <w:pStyle w:val="Notes"/>
      </w:pPr>
    </w:p>
    <w:p w:rsidR="002F7F38" w:rsidRPr="002F7F38" w:rsidRDefault="002F7F38" w:rsidP="00462AEA">
      <w:pPr>
        <w:pStyle w:val="Notes"/>
      </w:pPr>
      <w:r>
        <w:t xml:space="preserve">2. </w:t>
      </w:r>
      <w:r w:rsidR="00462AEA">
        <w:tab/>
      </w:r>
      <w:r w:rsidRPr="002F7F38">
        <w:t xml:space="preserve">The above figures include all </w:t>
      </w:r>
      <w:r>
        <w:t>employees defined as CSV staff</w:t>
      </w:r>
      <w:r w:rsidRPr="002F7F38">
        <w:t xml:space="preserve"> in section 3 of the </w:t>
      </w:r>
      <w:r w:rsidR="00290B62">
        <w:t>CSV</w:t>
      </w:r>
      <w:r>
        <w:t xml:space="preserve"> </w:t>
      </w:r>
      <w:r w:rsidRPr="002F7F38">
        <w:t xml:space="preserve">Act: the </w:t>
      </w:r>
      <w:r w:rsidR="004474DF">
        <w:t xml:space="preserve">CSV </w:t>
      </w:r>
      <w:r>
        <w:t>CEO</w:t>
      </w:r>
      <w:r w:rsidRPr="002F7F38">
        <w:t xml:space="preserve">; a Court </w:t>
      </w:r>
      <w:r>
        <w:t>CEO</w:t>
      </w:r>
      <w:r w:rsidRPr="002F7F38">
        <w:t xml:space="preserve">; a person employed under section 36; a judicial employee; the </w:t>
      </w:r>
      <w:r>
        <w:t>CEO</w:t>
      </w:r>
      <w:r w:rsidR="004474DF">
        <w:t xml:space="preserve"> of the College</w:t>
      </w:r>
      <w:r w:rsidRPr="002F7F38">
        <w:t xml:space="preserve">; or a person employed under section 16(2) of the </w:t>
      </w:r>
      <w:r w:rsidRPr="002F7F38">
        <w:rPr>
          <w:i/>
        </w:rPr>
        <w:t>Judicial College of Victoria Act 2001</w:t>
      </w:r>
      <w:r w:rsidRPr="002F7F38">
        <w:t xml:space="preserve"> (Vic).</w:t>
      </w:r>
    </w:p>
    <w:p w:rsidR="002F7F38" w:rsidRPr="002F7F38" w:rsidRDefault="002F7F38" w:rsidP="00462AEA">
      <w:pPr>
        <w:pStyle w:val="Notes"/>
      </w:pPr>
    </w:p>
    <w:p w:rsidR="002F7F38" w:rsidRPr="002F7F38" w:rsidRDefault="002F7F38" w:rsidP="00462AEA">
      <w:pPr>
        <w:pStyle w:val="Notes"/>
      </w:pPr>
      <w:r>
        <w:t xml:space="preserve">3. </w:t>
      </w:r>
      <w:r w:rsidR="00462AEA">
        <w:tab/>
      </w:r>
      <w:r w:rsidRPr="002F7F38">
        <w:t>For the purposes of practicality, as a true reflection of</w:t>
      </w:r>
      <w:r w:rsidR="004474DF">
        <w:t xml:space="preserve"> the CSV</w:t>
      </w:r>
      <w:r w:rsidRPr="002F7F38">
        <w:t xml:space="preserve"> workforce, and for ease of comparison with data reported in previous years, FTE figures have not been rounded to the nearest whole number.</w:t>
      </w:r>
    </w:p>
    <w:p w:rsidR="002F7F38" w:rsidRPr="002F7F38" w:rsidRDefault="002F7F38" w:rsidP="00462AEA">
      <w:pPr>
        <w:pStyle w:val="Notes"/>
        <w:sectPr w:rsidR="002F7F38" w:rsidRPr="002F7F38" w:rsidSect="002F7F38">
          <w:pgSz w:w="16838" w:h="11906" w:orient="landscape" w:code="9"/>
          <w:pgMar w:top="1134" w:right="1134" w:bottom="1134" w:left="1134" w:header="567" w:footer="567" w:gutter="0"/>
          <w:cols w:space="708"/>
          <w:titlePg/>
          <w:docGrid w:linePitch="360"/>
        </w:sectPr>
      </w:pPr>
    </w:p>
    <w:p w:rsidR="009A41BE" w:rsidRPr="00454FF5" w:rsidRDefault="009A41BE" w:rsidP="002D3822">
      <w:pPr>
        <w:pStyle w:val="Heading3"/>
      </w:pPr>
      <w:r w:rsidRPr="00454FF5">
        <w:lastRenderedPageBreak/>
        <w:t>Executive Officer Data</w:t>
      </w:r>
    </w:p>
    <w:p w:rsidR="005767BC" w:rsidRPr="00454FF5" w:rsidRDefault="005767BC" w:rsidP="00643BCF">
      <w:r w:rsidRPr="00454FF5">
        <w:t xml:space="preserve">An executive officer is defined as a person employed as a public service body head or other executive under Part 3, Division 5 of the </w:t>
      </w:r>
      <w:r w:rsidR="00A540DD" w:rsidRPr="00454FF5">
        <w:t>Public Administration Act</w:t>
      </w:r>
      <w:r w:rsidRPr="00454FF5">
        <w:t>. All figures reflect employment levels at the last full pay period in June of the current and corresponding previous reporting year.</w:t>
      </w:r>
    </w:p>
    <w:p w:rsidR="005767BC" w:rsidRPr="00454FF5" w:rsidRDefault="005767BC" w:rsidP="00643BCF"/>
    <w:p w:rsidR="005767BC" w:rsidRPr="00454FF5" w:rsidRDefault="005767BC" w:rsidP="00643BCF">
      <w:r w:rsidRPr="00454FF5">
        <w:t>The definition of executive officer does not include Governor in Council appointments as statutory office holders.</w:t>
      </w:r>
    </w:p>
    <w:p w:rsidR="009A41BE" w:rsidRPr="00454FF5" w:rsidRDefault="009A41BE" w:rsidP="002D3822">
      <w:pPr>
        <w:pStyle w:val="Caption"/>
      </w:pPr>
    </w:p>
    <w:p w:rsidR="00A540DD" w:rsidRPr="00454FF5" w:rsidRDefault="005C4B16" w:rsidP="00090DBB">
      <w:pPr>
        <w:pStyle w:val="Caption"/>
      </w:pPr>
      <w:r w:rsidRPr="00454FF5">
        <w:t>Table 6</w:t>
      </w:r>
      <w:r w:rsidR="00A540DD" w:rsidRPr="00454FF5">
        <w:t xml:space="preserve">: Number of executive officers </w:t>
      </w:r>
      <w:r w:rsidR="00931DBF" w:rsidRPr="00454FF5">
        <w:t>by</w:t>
      </w:r>
      <w:r w:rsidR="00A540DD" w:rsidRPr="00454FF5">
        <w:t xml:space="preserve"> gender</w:t>
      </w:r>
      <w:r w:rsidR="00931DBF" w:rsidRPr="00454FF5">
        <w:t xml:space="preserve"> at 30 June 2017</w:t>
      </w:r>
    </w:p>
    <w:tbl>
      <w:tblPr>
        <w:tblW w:w="0" w:type="auto"/>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95"/>
        <w:gridCol w:w="732"/>
        <w:gridCol w:w="696"/>
        <w:gridCol w:w="721"/>
        <w:gridCol w:w="763"/>
        <w:gridCol w:w="781"/>
        <w:gridCol w:w="724"/>
      </w:tblGrid>
      <w:tr w:rsidR="00A540DD" w:rsidRPr="00454FF5" w:rsidTr="00A540DD">
        <w:tc>
          <w:tcPr>
            <w:tcW w:w="1395" w:type="dxa"/>
            <w:shd w:val="clear" w:color="auto" w:fill="auto"/>
          </w:tcPr>
          <w:p w:rsidR="00A540DD" w:rsidRPr="00454FF5" w:rsidRDefault="00A540DD" w:rsidP="00A540DD">
            <w:pPr>
              <w:pStyle w:val="Notes"/>
            </w:pPr>
            <w:r w:rsidRPr="00454FF5">
              <w:t xml:space="preserve"> </w:t>
            </w:r>
          </w:p>
        </w:tc>
        <w:tc>
          <w:tcPr>
            <w:tcW w:w="1428" w:type="dxa"/>
            <w:gridSpan w:val="2"/>
            <w:shd w:val="clear" w:color="auto" w:fill="auto"/>
          </w:tcPr>
          <w:p w:rsidR="00A540DD" w:rsidRPr="00454FF5" w:rsidRDefault="00A540DD" w:rsidP="00A540DD">
            <w:pPr>
              <w:pStyle w:val="Notes"/>
            </w:pPr>
            <w:r w:rsidRPr="00454FF5">
              <w:t>All</w:t>
            </w:r>
          </w:p>
        </w:tc>
        <w:tc>
          <w:tcPr>
            <w:tcW w:w="1484" w:type="dxa"/>
            <w:gridSpan w:val="2"/>
          </w:tcPr>
          <w:p w:rsidR="00A540DD" w:rsidRPr="00454FF5" w:rsidRDefault="00A540DD" w:rsidP="00A540DD">
            <w:pPr>
              <w:pStyle w:val="Notes"/>
            </w:pPr>
            <w:r w:rsidRPr="00454FF5">
              <w:t>Male</w:t>
            </w:r>
          </w:p>
        </w:tc>
        <w:tc>
          <w:tcPr>
            <w:tcW w:w="1505" w:type="dxa"/>
            <w:gridSpan w:val="2"/>
          </w:tcPr>
          <w:p w:rsidR="00A540DD" w:rsidRPr="00454FF5" w:rsidRDefault="00A540DD" w:rsidP="00A540DD">
            <w:pPr>
              <w:pStyle w:val="Notes"/>
            </w:pPr>
            <w:r w:rsidRPr="00454FF5">
              <w:t>Female</w:t>
            </w:r>
          </w:p>
        </w:tc>
      </w:tr>
      <w:tr w:rsidR="00A540DD" w:rsidRPr="00454FF5" w:rsidTr="00A540DD">
        <w:tc>
          <w:tcPr>
            <w:tcW w:w="1395" w:type="dxa"/>
            <w:shd w:val="clear" w:color="auto" w:fill="auto"/>
          </w:tcPr>
          <w:p w:rsidR="00A540DD" w:rsidRPr="00454FF5" w:rsidRDefault="00A540DD" w:rsidP="00A540DD">
            <w:pPr>
              <w:pStyle w:val="Notes"/>
            </w:pPr>
            <w:r w:rsidRPr="00454FF5">
              <w:t>Class</w:t>
            </w:r>
          </w:p>
        </w:tc>
        <w:tc>
          <w:tcPr>
            <w:tcW w:w="732" w:type="dxa"/>
            <w:shd w:val="clear" w:color="auto" w:fill="auto"/>
          </w:tcPr>
          <w:p w:rsidR="00A540DD" w:rsidRPr="00454FF5" w:rsidRDefault="00A540DD" w:rsidP="00090DBB">
            <w:pPr>
              <w:pStyle w:val="Notes"/>
              <w:jc w:val="right"/>
            </w:pPr>
            <w:r w:rsidRPr="00454FF5">
              <w:t>No.</w:t>
            </w:r>
          </w:p>
        </w:tc>
        <w:tc>
          <w:tcPr>
            <w:tcW w:w="696" w:type="dxa"/>
            <w:shd w:val="clear" w:color="auto" w:fill="auto"/>
          </w:tcPr>
          <w:p w:rsidR="00A540DD" w:rsidRPr="00454FF5" w:rsidRDefault="00A540DD" w:rsidP="00090DBB">
            <w:pPr>
              <w:pStyle w:val="Notes"/>
              <w:jc w:val="right"/>
            </w:pPr>
            <w:r w:rsidRPr="00454FF5">
              <w:t>Var.</w:t>
            </w:r>
          </w:p>
        </w:tc>
        <w:tc>
          <w:tcPr>
            <w:tcW w:w="721" w:type="dxa"/>
          </w:tcPr>
          <w:p w:rsidR="00A540DD" w:rsidRPr="00454FF5" w:rsidRDefault="00A540DD" w:rsidP="00090DBB">
            <w:pPr>
              <w:pStyle w:val="Notes"/>
              <w:jc w:val="right"/>
            </w:pPr>
            <w:r w:rsidRPr="00454FF5">
              <w:t>No.</w:t>
            </w:r>
          </w:p>
        </w:tc>
        <w:tc>
          <w:tcPr>
            <w:tcW w:w="763" w:type="dxa"/>
          </w:tcPr>
          <w:p w:rsidR="00A540DD" w:rsidRPr="00454FF5" w:rsidRDefault="00A540DD" w:rsidP="00090DBB">
            <w:pPr>
              <w:pStyle w:val="Notes"/>
              <w:jc w:val="right"/>
            </w:pPr>
            <w:r w:rsidRPr="00454FF5">
              <w:t>Var.</w:t>
            </w:r>
          </w:p>
        </w:tc>
        <w:tc>
          <w:tcPr>
            <w:tcW w:w="781" w:type="dxa"/>
          </w:tcPr>
          <w:p w:rsidR="00A540DD" w:rsidRPr="00454FF5" w:rsidRDefault="00A540DD" w:rsidP="00090DBB">
            <w:pPr>
              <w:pStyle w:val="Notes"/>
              <w:jc w:val="right"/>
            </w:pPr>
            <w:r w:rsidRPr="00454FF5">
              <w:t>No.</w:t>
            </w:r>
          </w:p>
        </w:tc>
        <w:tc>
          <w:tcPr>
            <w:tcW w:w="724" w:type="dxa"/>
          </w:tcPr>
          <w:p w:rsidR="00A540DD" w:rsidRPr="00454FF5" w:rsidRDefault="00A540DD" w:rsidP="00090DBB">
            <w:pPr>
              <w:pStyle w:val="Notes"/>
              <w:jc w:val="right"/>
            </w:pPr>
            <w:r w:rsidRPr="00454FF5">
              <w:t>Var.</w:t>
            </w:r>
          </w:p>
        </w:tc>
      </w:tr>
      <w:tr w:rsidR="00A540DD" w:rsidRPr="00454FF5" w:rsidTr="00A540DD">
        <w:tc>
          <w:tcPr>
            <w:tcW w:w="1395" w:type="dxa"/>
            <w:shd w:val="clear" w:color="auto" w:fill="auto"/>
          </w:tcPr>
          <w:p w:rsidR="00A540DD" w:rsidRPr="00454FF5" w:rsidRDefault="00A540DD" w:rsidP="00A540DD">
            <w:pPr>
              <w:pStyle w:val="Notes"/>
            </w:pPr>
            <w:r w:rsidRPr="00454FF5">
              <w:t>EO-1</w:t>
            </w:r>
          </w:p>
        </w:tc>
        <w:tc>
          <w:tcPr>
            <w:tcW w:w="732" w:type="dxa"/>
            <w:shd w:val="clear" w:color="auto" w:fill="auto"/>
          </w:tcPr>
          <w:p w:rsidR="00A540DD" w:rsidRPr="00454FF5" w:rsidRDefault="00A540DD" w:rsidP="00090DBB">
            <w:pPr>
              <w:pStyle w:val="Notes"/>
              <w:jc w:val="right"/>
            </w:pPr>
            <w:r w:rsidRPr="00454FF5">
              <w:t>1</w:t>
            </w:r>
          </w:p>
        </w:tc>
        <w:tc>
          <w:tcPr>
            <w:tcW w:w="696" w:type="dxa"/>
            <w:shd w:val="clear" w:color="auto" w:fill="auto"/>
          </w:tcPr>
          <w:p w:rsidR="00A540DD" w:rsidRPr="00454FF5" w:rsidRDefault="00A540DD" w:rsidP="00090DBB">
            <w:pPr>
              <w:pStyle w:val="Notes"/>
              <w:jc w:val="right"/>
            </w:pPr>
            <w:r w:rsidRPr="00454FF5">
              <w:t>0</w:t>
            </w:r>
          </w:p>
        </w:tc>
        <w:tc>
          <w:tcPr>
            <w:tcW w:w="721" w:type="dxa"/>
          </w:tcPr>
          <w:p w:rsidR="00A540DD" w:rsidRPr="00454FF5" w:rsidRDefault="00A540DD" w:rsidP="00090DBB">
            <w:pPr>
              <w:pStyle w:val="Notes"/>
              <w:jc w:val="right"/>
            </w:pPr>
            <w:r w:rsidRPr="00454FF5">
              <w:t>1</w:t>
            </w:r>
          </w:p>
        </w:tc>
        <w:tc>
          <w:tcPr>
            <w:tcW w:w="763" w:type="dxa"/>
          </w:tcPr>
          <w:p w:rsidR="00A540DD" w:rsidRPr="00454FF5" w:rsidRDefault="00A540DD" w:rsidP="00090DBB">
            <w:pPr>
              <w:pStyle w:val="Notes"/>
              <w:jc w:val="right"/>
            </w:pPr>
            <w:r w:rsidRPr="00454FF5">
              <w:t>0</w:t>
            </w:r>
          </w:p>
        </w:tc>
        <w:tc>
          <w:tcPr>
            <w:tcW w:w="781" w:type="dxa"/>
          </w:tcPr>
          <w:p w:rsidR="00A540DD" w:rsidRPr="00454FF5" w:rsidRDefault="00A540DD" w:rsidP="00090DBB">
            <w:pPr>
              <w:pStyle w:val="Notes"/>
              <w:jc w:val="right"/>
            </w:pPr>
            <w:r w:rsidRPr="00454FF5">
              <w:t>0</w:t>
            </w:r>
          </w:p>
        </w:tc>
        <w:tc>
          <w:tcPr>
            <w:tcW w:w="724" w:type="dxa"/>
          </w:tcPr>
          <w:p w:rsidR="00A540DD" w:rsidRPr="00454FF5" w:rsidRDefault="00A540DD" w:rsidP="00090DBB">
            <w:pPr>
              <w:pStyle w:val="Notes"/>
              <w:jc w:val="right"/>
            </w:pPr>
            <w:r w:rsidRPr="00454FF5">
              <w:t>0</w:t>
            </w:r>
          </w:p>
        </w:tc>
      </w:tr>
      <w:tr w:rsidR="00A540DD" w:rsidRPr="00454FF5" w:rsidTr="00A540DD">
        <w:tc>
          <w:tcPr>
            <w:tcW w:w="1395" w:type="dxa"/>
            <w:shd w:val="clear" w:color="auto" w:fill="auto"/>
          </w:tcPr>
          <w:p w:rsidR="00A540DD" w:rsidRPr="00454FF5" w:rsidRDefault="00A540DD" w:rsidP="00A540DD">
            <w:pPr>
              <w:pStyle w:val="Notes"/>
            </w:pPr>
            <w:r w:rsidRPr="00454FF5">
              <w:t>EO-2</w:t>
            </w:r>
          </w:p>
        </w:tc>
        <w:tc>
          <w:tcPr>
            <w:tcW w:w="732" w:type="dxa"/>
            <w:shd w:val="clear" w:color="auto" w:fill="auto"/>
          </w:tcPr>
          <w:p w:rsidR="00A540DD" w:rsidRPr="00454FF5" w:rsidRDefault="00A540DD" w:rsidP="00090DBB">
            <w:pPr>
              <w:pStyle w:val="Notes"/>
              <w:jc w:val="right"/>
            </w:pPr>
            <w:r w:rsidRPr="00454FF5">
              <w:t>7</w:t>
            </w:r>
          </w:p>
        </w:tc>
        <w:tc>
          <w:tcPr>
            <w:tcW w:w="696" w:type="dxa"/>
            <w:shd w:val="clear" w:color="auto" w:fill="auto"/>
          </w:tcPr>
          <w:p w:rsidR="00A540DD" w:rsidRPr="00454FF5" w:rsidRDefault="00A540DD" w:rsidP="00090DBB">
            <w:pPr>
              <w:pStyle w:val="Notes"/>
              <w:jc w:val="right"/>
            </w:pPr>
            <w:r w:rsidRPr="00454FF5">
              <w:t>+1</w:t>
            </w:r>
          </w:p>
        </w:tc>
        <w:tc>
          <w:tcPr>
            <w:tcW w:w="721" w:type="dxa"/>
          </w:tcPr>
          <w:p w:rsidR="00A540DD" w:rsidRPr="00454FF5" w:rsidRDefault="00A540DD" w:rsidP="00090DBB">
            <w:pPr>
              <w:pStyle w:val="Notes"/>
              <w:jc w:val="right"/>
            </w:pPr>
            <w:r w:rsidRPr="00454FF5">
              <w:t>3</w:t>
            </w:r>
          </w:p>
        </w:tc>
        <w:tc>
          <w:tcPr>
            <w:tcW w:w="763" w:type="dxa"/>
          </w:tcPr>
          <w:p w:rsidR="00A540DD" w:rsidRPr="00454FF5" w:rsidRDefault="00A540DD" w:rsidP="00090DBB">
            <w:pPr>
              <w:pStyle w:val="Notes"/>
              <w:jc w:val="right"/>
            </w:pPr>
            <w:r w:rsidRPr="00454FF5">
              <w:t>-1</w:t>
            </w:r>
          </w:p>
        </w:tc>
        <w:tc>
          <w:tcPr>
            <w:tcW w:w="781" w:type="dxa"/>
          </w:tcPr>
          <w:p w:rsidR="00A540DD" w:rsidRPr="00454FF5" w:rsidRDefault="00A540DD" w:rsidP="00090DBB">
            <w:pPr>
              <w:pStyle w:val="Notes"/>
              <w:jc w:val="right"/>
            </w:pPr>
            <w:r w:rsidRPr="00454FF5">
              <w:t>4</w:t>
            </w:r>
          </w:p>
        </w:tc>
        <w:tc>
          <w:tcPr>
            <w:tcW w:w="724" w:type="dxa"/>
          </w:tcPr>
          <w:p w:rsidR="00A540DD" w:rsidRPr="00454FF5" w:rsidRDefault="00A540DD" w:rsidP="00090DBB">
            <w:pPr>
              <w:pStyle w:val="Notes"/>
              <w:jc w:val="right"/>
            </w:pPr>
            <w:r w:rsidRPr="00454FF5">
              <w:t>+2</w:t>
            </w:r>
          </w:p>
        </w:tc>
      </w:tr>
      <w:tr w:rsidR="00A540DD" w:rsidRPr="00454FF5" w:rsidTr="00A540DD">
        <w:tc>
          <w:tcPr>
            <w:tcW w:w="1395" w:type="dxa"/>
            <w:shd w:val="clear" w:color="auto" w:fill="auto"/>
          </w:tcPr>
          <w:p w:rsidR="00A540DD" w:rsidRPr="00454FF5" w:rsidRDefault="00A540DD" w:rsidP="00A540DD">
            <w:pPr>
              <w:pStyle w:val="Notes"/>
            </w:pPr>
            <w:r w:rsidRPr="00454FF5">
              <w:t>EO-3</w:t>
            </w:r>
          </w:p>
        </w:tc>
        <w:tc>
          <w:tcPr>
            <w:tcW w:w="732" w:type="dxa"/>
            <w:shd w:val="clear" w:color="auto" w:fill="auto"/>
          </w:tcPr>
          <w:p w:rsidR="00A540DD" w:rsidRPr="00454FF5" w:rsidRDefault="00A540DD" w:rsidP="00090DBB">
            <w:pPr>
              <w:pStyle w:val="Notes"/>
              <w:jc w:val="right"/>
            </w:pPr>
            <w:r w:rsidRPr="00454FF5">
              <w:t>4</w:t>
            </w:r>
          </w:p>
        </w:tc>
        <w:tc>
          <w:tcPr>
            <w:tcW w:w="696" w:type="dxa"/>
            <w:shd w:val="clear" w:color="auto" w:fill="auto"/>
          </w:tcPr>
          <w:p w:rsidR="00A540DD" w:rsidRPr="00454FF5" w:rsidRDefault="00A540DD" w:rsidP="00090DBB">
            <w:pPr>
              <w:pStyle w:val="Notes"/>
              <w:jc w:val="right"/>
            </w:pPr>
            <w:r w:rsidRPr="00454FF5">
              <w:t>-1</w:t>
            </w:r>
          </w:p>
        </w:tc>
        <w:tc>
          <w:tcPr>
            <w:tcW w:w="721" w:type="dxa"/>
          </w:tcPr>
          <w:p w:rsidR="00A540DD" w:rsidRPr="00454FF5" w:rsidRDefault="00A540DD" w:rsidP="00090DBB">
            <w:pPr>
              <w:pStyle w:val="Notes"/>
              <w:jc w:val="right"/>
            </w:pPr>
            <w:r w:rsidRPr="00454FF5">
              <w:t>1</w:t>
            </w:r>
          </w:p>
        </w:tc>
        <w:tc>
          <w:tcPr>
            <w:tcW w:w="763" w:type="dxa"/>
          </w:tcPr>
          <w:p w:rsidR="00A540DD" w:rsidRPr="00454FF5" w:rsidRDefault="00A540DD" w:rsidP="00090DBB">
            <w:pPr>
              <w:pStyle w:val="Notes"/>
              <w:jc w:val="right"/>
            </w:pPr>
            <w:r w:rsidRPr="00454FF5">
              <w:t>0</w:t>
            </w:r>
          </w:p>
        </w:tc>
        <w:tc>
          <w:tcPr>
            <w:tcW w:w="781" w:type="dxa"/>
          </w:tcPr>
          <w:p w:rsidR="00A540DD" w:rsidRPr="00454FF5" w:rsidRDefault="00A540DD" w:rsidP="00090DBB">
            <w:pPr>
              <w:pStyle w:val="Notes"/>
              <w:jc w:val="right"/>
            </w:pPr>
            <w:r w:rsidRPr="00454FF5">
              <w:t>3</w:t>
            </w:r>
          </w:p>
        </w:tc>
        <w:tc>
          <w:tcPr>
            <w:tcW w:w="724" w:type="dxa"/>
          </w:tcPr>
          <w:p w:rsidR="00A540DD" w:rsidRPr="00454FF5" w:rsidRDefault="00A540DD" w:rsidP="00090DBB">
            <w:pPr>
              <w:pStyle w:val="Notes"/>
              <w:jc w:val="right"/>
            </w:pPr>
            <w:r w:rsidRPr="00454FF5">
              <w:t>-1</w:t>
            </w:r>
          </w:p>
        </w:tc>
      </w:tr>
      <w:tr w:rsidR="00A540DD" w:rsidRPr="00454FF5" w:rsidTr="00A540DD">
        <w:tc>
          <w:tcPr>
            <w:tcW w:w="1395" w:type="dxa"/>
            <w:shd w:val="clear" w:color="auto" w:fill="auto"/>
          </w:tcPr>
          <w:p w:rsidR="00A540DD" w:rsidRPr="00454FF5" w:rsidRDefault="00A540DD" w:rsidP="00A540DD">
            <w:pPr>
              <w:pStyle w:val="Notes"/>
              <w:rPr>
                <w:b/>
              </w:rPr>
            </w:pPr>
            <w:r w:rsidRPr="00454FF5">
              <w:rPr>
                <w:b/>
              </w:rPr>
              <w:t>Total</w:t>
            </w:r>
          </w:p>
        </w:tc>
        <w:tc>
          <w:tcPr>
            <w:tcW w:w="732" w:type="dxa"/>
            <w:shd w:val="clear" w:color="auto" w:fill="auto"/>
          </w:tcPr>
          <w:p w:rsidR="00A540DD" w:rsidRPr="00454FF5" w:rsidRDefault="00A540DD" w:rsidP="00090DBB">
            <w:pPr>
              <w:pStyle w:val="Notes"/>
              <w:jc w:val="right"/>
              <w:rPr>
                <w:b/>
              </w:rPr>
            </w:pPr>
            <w:r w:rsidRPr="00454FF5">
              <w:rPr>
                <w:b/>
              </w:rPr>
              <w:t>12</w:t>
            </w:r>
          </w:p>
        </w:tc>
        <w:tc>
          <w:tcPr>
            <w:tcW w:w="696" w:type="dxa"/>
            <w:shd w:val="clear" w:color="auto" w:fill="auto"/>
          </w:tcPr>
          <w:p w:rsidR="00A540DD" w:rsidRPr="00454FF5" w:rsidRDefault="00A540DD" w:rsidP="00090DBB">
            <w:pPr>
              <w:pStyle w:val="Notes"/>
              <w:jc w:val="right"/>
              <w:rPr>
                <w:b/>
              </w:rPr>
            </w:pPr>
            <w:r w:rsidRPr="00454FF5">
              <w:rPr>
                <w:b/>
              </w:rPr>
              <w:t>0</w:t>
            </w:r>
          </w:p>
        </w:tc>
        <w:tc>
          <w:tcPr>
            <w:tcW w:w="721" w:type="dxa"/>
          </w:tcPr>
          <w:p w:rsidR="00A540DD" w:rsidRPr="00454FF5" w:rsidRDefault="00A540DD" w:rsidP="00090DBB">
            <w:pPr>
              <w:pStyle w:val="Notes"/>
              <w:jc w:val="right"/>
              <w:rPr>
                <w:b/>
              </w:rPr>
            </w:pPr>
            <w:r w:rsidRPr="00454FF5">
              <w:rPr>
                <w:b/>
              </w:rPr>
              <w:t>5</w:t>
            </w:r>
          </w:p>
        </w:tc>
        <w:tc>
          <w:tcPr>
            <w:tcW w:w="763" w:type="dxa"/>
          </w:tcPr>
          <w:p w:rsidR="00A540DD" w:rsidRPr="00454FF5" w:rsidRDefault="00A540DD" w:rsidP="00090DBB">
            <w:pPr>
              <w:pStyle w:val="Notes"/>
              <w:jc w:val="right"/>
              <w:rPr>
                <w:b/>
              </w:rPr>
            </w:pPr>
            <w:r w:rsidRPr="00454FF5">
              <w:rPr>
                <w:b/>
              </w:rPr>
              <w:t>-1</w:t>
            </w:r>
          </w:p>
        </w:tc>
        <w:tc>
          <w:tcPr>
            <w:tcW w:w="781" w:type="dxa"/>
          </w:tcPr>
          <w:p w:rsidR="00A540DD" w:rsidRPr="00454FF5" w:rsidRDefault="00A540DD" w:rsidP="00090DBB">
            <w:pPr>
              <w:pStyle w:val="Notes"/>
              <w:jc w:val="right"/>
              <w:rPr>
                <w:b/>
              </w:rPr>
            </w:pPr>
            <w:r w:rsidRPr="00454FF5">
              <w:rPr>
                <w:b/>
              </w:rPr>
              <w:t>7</w:t>
            </w:r>
          </w:p>
        </w:tc>
        <w:tc>
          <w:tcPr>
            <w:tcW w:w="724" w:type="dxa"/>
          </w:tcPr>
          <w:p w:rsidR="00A540DD" w:rsidRPr="00454FF5" w:rsidRDefault="00A540DD" w:rsidP="00090DBB">
            <w:pPr>
              <w:pStyle w:val="Notes"/>
              <w:jc w:val="right"/>
              <w:rPr>
                <w:b/>
              </w:rPr>
            </w:pPr>
            <w:r w:rsidRPr="00454FF5">
              <w:rPr>
                <w:b/>
              </w:rPr>
              <w:t>+1</w:t>
            </w:r>
          </w:p>
        </w:tc>
      </w:tr>
    </w:tbl>
    <w:p w:rsidR="00A540DD" w:rsidRPr="00454FF5" w:rsidRDefault="00A540DD" w:rsidP="00A540DD">
      <w:pPr>
        <w:pStyle w:val="Notes"/>
      </w:pPr>
    </w:p>
    <w:p w:rsidR="00A540DD" w:rsidRPr="00454FF5" w:rsidRDefault="00A540DD" w:rsidP="00A540DD">
      <w:pPr>
        <w:pStyle w:val="Notes"/>
        <w:rPr>
          <w:b/>
          <w:bCs/>
          <w:i/>
        </w:rPr>
      </w:pPr>
    </w:p>
    <w:p w:rsidR="00454FF5" w:rsidRDefault="00454FF5" w:rsidP="00454FF5">
      <w:r w:rsidRPr="00D67C5D">
        <w:t>The number of executives in the Report of Operations is based on the number of executive positions that are occupied at the end of the financial year. Note 9.4 in the financial statements lists the actual number of EOs and the total remuneration paid to EOs over the course of the reporting period. Note 9.4 does not include the CSV CEO (Accountable Officer) or the College CEO, nor does it distinguish between executive levels or disclose separations. Separations are executives who have left CSV during the relevant reporting period. To assist readers, these numbers are reconciled in Table 7 below.</w:t>
      </w:r>
    </w:p>
    <w:p w:rsidR="00454FF5" w:rsidRDefault="00454FF5" w:rsidP="00454FF5">
      <w:pPr>
        <w:pStyle w:val="Notes"/>
        <w:rPr>
          <w:b/>
          <w:bCs/>
          <w:i/>
        </w:rPr>
      </w:pPr>
    </w:p>
    <w:p w:rsidR="00454FF5" w:rsidRDefault="00454FF5" w:rsidP="00454FF5">
      <w:pPr>
        <w:pStyle w:val="Caption"/>
      </w:pPr>
      <w:r w:rsidRPr="005C4B16">
        <w:t>Table 7: Reconciliation of executive numbers</w:t>
      </w:r>
      <w:r w:rsidRPr="00A540DD">
        <w:t xml:space="preserve"> </w:t>
      </w:r>
    </w:p>
    <w:tbl>
      <w:tblPr>
        <w:tblW w:w="9752" w:type="dxa"/>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983"/>
        <w:gridCol w:w="1391"/>
        <w:gridCol w:w="1378"/>
      </w:tblGrid>
      <w:tr w:rsidR="00454FF5" w:rsidRPr="00313937" w:rsidTr="00C37BCE">
        <w:tc>
          <w:tcPr>
            <w:tcW w:w="6983" w:type="dxa"/>
            <w:tcBorders>
              <w:bottom w:val="single" w:sz="4" w:space="0" w:color="auto"/>
            </w:tcBorders>
            <w:shd w:val="clear" w:color="auto" w:fill="auto"/>
          </w:tcPr>
          <w:p w:rsidR="00454FF5" w:rsidRPr="00313937" w:rsidRDefault="00454FF5" w:rsidP="00C37BCE">
            <w:pPr>
              <w:pStyle w:val="Tabletext"/>
            </w:pPr>
          </w:p>
        </w:tc>
        <w:tc>
          <w:tcPr>
            <w:tcW w:w="1391" w:type="dxa"/>
            <w:shd w:val="clear" w:color="auto" w:fill="auto"/>
          </w:tcPr>
          <w:p w:rsidR="00454FF5" w:rsidRPr="00313937" w:rsidRDefault="00454FF5" w:rsidP="00C37BCE">
            <w:pPr>
              <w:pStyle w:val="Tabletext"/>
              <w:jc w:val="center"/>
              <w:rPr>
                <w:b/>
              </w:rPr>
            </w:pPr>
            <w:r w:rsidRPr="00313937">
              <w:rPr>
                <w:b/>
              </w:rPr>
              <w:t>2016</w:t>
            </w:r>
          </w:p>
        </w:tc>
        <w:tc>
          <w:tcPr>
            <w:tcW w:w="1378" w:type="dxa"/>
          </w:tcPr>
          <w:p w:rsidR="00454FF5" w:rsidRPr="00313937" w:rsidRDefault="00454FF5" w:rsidP="00C37BCE">
            <w:pPr>
              <w:pStyle w:val="Tabletext"/>
              <w:jc w:val="center"/>
              <w:rPr>
                <w:b/>
              </w:rPr>
            </w:pPr>
            <w:r w:rsidRPr="00313937">
              <w:rPr>
                <w:b/>
              </w:rPr>
              <w:t>2017</w:t>
            </w:r>
          </w:p>
        </w:tc>
      </w:tr>
      <w:tr w:rsidR="00454FF5" w:rsidRPr="00313937" w:rsidTr="00C37BCE">
        <w:tc>
          <w:tcPr>
            <w:tcW w:w="6983" w:type="dxa"/>
            <w:tcBorders>
              <w:left w:val="single" w:sz="4" w:space="0" w:color="auto"/>
            </w:tcBorders>
            <w:shd w:val="clear" w:color="auto" w:fill="auto"/>
          </w:tcPr>
          <w:p w:rsidR="00454FF5" w:rsidRPr="00313937" w:rsidRDefault="00454FF5" w:rsidP="00C37BCE">
            <w:pPr>
              <w:pStyle w:val="Tabletext"/>
            </w:pPr>
            <w:r w:rsidRPr="00313937">
              <w:t>Executives</w:t>
            </w:r>
            <w:r>
              <w:t xml:space="preserve"> (As listed in Financial Statement)</w:t>
            </w:r>
          </w:p>
        </w:tc>
        <w:tc>
          <w:tcPr>
            <w:tcW w:w="1391" w:type="dxa"/>
            <w:shd w:val="clear" w:color="auto" w:fill="auto"/>
          </w:tcPr>
          <w:p w:rsidR="00454FF5" w:rsidRPr="00313937" w:rsidRDefault="00454FF5" w:rsidP="00C37BCE">
            <w:pPr>
              <w:pStyle w:val="Tabletext"/>
              <w:jc w:val="center"/>
            </w:pPr>
            <w:r>
              <w:t>12</w:t>
            </w:r>
          </w:p>
        </w:tc>
        <w:tc>
          <w:tcPr>
            <w:tcW w:w="1378" w:type="dxa"/>
          </w:tcPr>
          <w:p w:rsidR="00454FF5" w:rsidRPr="00313937" w:rsidRDefault="00454FF5" w:rsidP="00C37BCE">
            <w:pPr>
              <w:pStyle w:val="Tabletext"/>
              <w:jc w:val="center"/>
            </w:pPr>
            <w:r w:rsidRPr="00313937">
              <w:t>11</w:t>
            </w:r>
          </w:p>
        </w:tc>
      </w:tr>
      <w:tr w:rsidR="00454FF5" w:rsidRPr="00313937" w:rsidTr="00C37BCE">
        <w:tc>
          <w:tcPr>
            <w:tcW w:w="6983" w:type="dxa"/>
            <w:tcBorders>
              <w:left w:val="single" w:sz="4" w:space="0" w:color="auto"/>
            </w:tcBorders>
            <w:shd w:val="clear" w:color="auto" w:fill="auto"/>
          </w:tcPr>
          <w:p w:rsidR="00454FF5" w:rsidRPr="00313937" w:rsidRDefault="00454FF5" w:rsidP="00C37BCE">
            <w:pPr>
              <w:pStyle w:val="Tabletext"/>
            </w:pPr>
            <w:r w:rsidRPr="00313937">
              <w:tab/>
              <w:t>Accountable Officer</w:t>
            </w:r>
          </w:p>
        </w:tc>
        <w:tc>
          <w:tcPr>
            <w:tcW w:w="1391" w:type="dxa"/>
            <w:shd w:val="clear" w:color="auto" w:fill="auto"/>
          </w:tcPr>
          <w:p w:rsidR="00454FF5" w:rsidRPr="00313937" w:rsidRDefault="00454FF5" w:rsidP="00C37BCE">
            <w:pPr>
              <w:pStyle w:val="Tabletext"/>
              <w:jc w:val="center"/>
            </w:pPr>
            <w:r w:rsidRPr="00313937">
              <w:t>1</w:t>
            </w:r>
          </w:p>
        </w:tc>
        <w:tc>
          <w:tcPr>
            <w:tcW w:w="1378" w:type="dxa"/>
          </w:tcPr>
          <w:p w:rsidR="00454FF5" w:rsidRPr="00313937" w:rsidRDefault="00454FF5" w:rsidP="00C37BCE">
            <w:pPr>
              <w:pStyle w:val="Tabletext"/>
              <w:jc w:val="center"/>
            </w:pPr>
            <w:r w:rsidRPr="00313937">
              <w:t>1</w:t>
            </w:r>
          </w:p>
        </w:tc>
      </w:tr>
      <w:tr w:rsidR="00454FF5" w:rsidRPr="00313937" w:rsidTr="00C37BCE">
        <w:tc>
          <w:tcPr>
            <w:tcW w:w="6983" w:type="dxa"/>
            <w:tcBorders>
              <w:left w:val="single" w:sz="4" w:space="0" w:color="auto"/>
            </w:tcBorders>
            <w:shd w:val="clear" w:color="auto" w:fill="auto"/>
          </w:tcPr>
          <w:p w:rsidR="00454FF5" w:rsidRPr="00313937" w:rsidRDefault="00454FF5" w:rsidP="00C37BCE">
            <w:pPr>
              <w:pStyle w:val="Tabletext"/>
            </w:pPr>
            <w:r>
              <w:tab/>
            </w:r>
            <w:r w:rsidRPr="00D86C58">
              <w:t>Judicial College of Victoria CEO</w:t>
            </w:r>
          </w:p>
        </w:tc>
        <w:tc>
          <w:tcPr>
            <w:tcW w:w="1391" w:type="dxa"/>
            <w:shd w:val="clear" w:color="auto" w:fill="auto"/>
          </w:tcPr>
          <w:p w:rsidR="00454FF5" w:rsidRPr="00313937" w:rsidRDefault="00454FF5" w:rsidP="00C37BCE">
            <w:pPr>
              <w:pStyle w:val="Tabletext"/>
              <w:jc w:val="center"/>
            </w:pPr>
            <w:r>
              <w:t>1</w:t>
            </w:r>
          </w:p>
        </w:tc>
        <w:tc>
          <w:tcPr>
            <w:tcW w:w="1378" w:type="dxa"/>
          </w:tcPr>
          <w:p w:rsidR="00454FF5" w:rsidRPr="00313937" w:rsidRDefault="00454FF5" w:rsidP="00C37BCE">
            <w:pPr>
              <w:pStyle w:val="Tabletext"/>
              <w:jc w:val="center"/>
            </w:pPr>
            <w:r>
              <w:t>1</w:t>
            </w:r>
          </w:p>
        </w:tc>
      </w:tr>
      <w:tr w:rsidR="00454FF5" w:rsidRPr="00313937" w:rsidTr="00C37BCE">
        <w:tc>
          <w:tcPr>
            <w:tcW w:w="6983" w:type="dxa"/>
            <w:tcBorders>
              <w:left w:val="single" w:sz="4" w:space="0" w:color="auto"/>
            </w:tcBorders>
            <w:shd w:val="clear" w:color="auto" w:fill="auto"/>
          </w:tcPr>
          <w:p w:rsidR="00454FF5" w:rsidRPr="00313937" w:rsidRDefault="00454FF5" w:rsidP="00C37BCE">
            <w:pPr>
              <w:pStyle w:val="Tabletext"/>
            </w:pPr>
            <w:r w:rsidRPr="00313937">
              <w:t xml:space="preserve">Less  </w:t>
            </w:r>
            <w:r w:rsidRPr="00313937">
              <w:tab/>
              <w:t>Separations</w:t>
            </w:r>
          </w:p>
        </w:tc>
        <w:tc>
          <w:tcPr>
            <w:tcW w:w="1391" w:type="dxa"/>
            <w:shd w:val="clear" w:color="auto" w:fill="auto"/>
          </w:tcPr>
          <w:p w:rsidR="00454FF5" w:rsidRPr="00313937" w:rsidRDefault="00454FF5" w:rsidP="00C37BCE">
            <w:pPr>
              <w:pStyle w:val="Tabletext"/>
              <w:jc w:val="center"/>
            </w:pPr>
            <w:r w:rsidRPr="00313937">
              <w:t>(2)</w:t>
            </w:r>
          </w:p>
        </w:tc>
        <w:tc>
          <w:tcPr>
            <w:tcW w:w="1378" w:type="dxa"/>
          </w:tcPr>
          <w:p w:rsidR="00454FF5" w:rsidRPr="00313937" w:rsidRDefault="00454FF5" w:rsidP="00C37BCE">
            <w:pPr>
              <w:pStyle w:val="Tabletext"/>
              <w:jc w:val="center"/>
            </w:pPr>
            <w:r w:rsidRPr="00313937">
              <w:t>(2)</w:t>
            </w:r>
          </w:p>
        </w:tc>
      </w:tr>
      <w:tr w:rsidR="00454FF5" w:rsidRPr="00313937" w:rsidTr="00C37BCE">
        <w:tc>
          <w:tcPr>
            <w:tcW w:w="6983" w:type="dxa"/>
            <w:tcBorders>
              <w:left w:val="single" w:sz="4" w:space="0" w:color="auto"/>
            </w:tcBorders>
            <w:shd w:val="clear" w:color="auto" w:fill="auto"/>
          </w:tcPr>
          <w:p w:rsidR="00454FF5" w:rsidRPr="00313937" w:rsidRDefault="00454FF5" w:rsidP="00C37BCE">
            <w:pPr>
              <w:pStyle w:val="Tabletext"/>
            </w:pPr>
            <w:r w:rsidRPr="00313937">
              <w:t>Plus</w:t>
            </w:r>
            <w:r>
              <w:tab/>
            </w:r>
            <w:r w:rsidRPr="00313937">
              <w:t>Commencements during 2016-17</w:t>
            </w:r>
          </w:p>
        </w:tc>
        <w:tc>
          <w:tcPr>
            <w:tcW w:w="1391" w:type="dxa"/>
            <w:shd w:val="clear" w:color="auto" w:fill="auto"/>
          </w:tcPr>
          <w:p w:rsidR="00454FF5" w:rsidRPr="00313937" w:rsidRDefault="00454FF5" w:rsidP="00C37BCE">
            <w:pPr>
              <w:pStyle w:val="Tabletext"/>
              <w:jc w:val="center"/>
            </w:pPr>
            <w:r w:rsidRPr="00313937">
              <w:t>-</w:t>
            </w:r>
          </w:p>
        </w:tc>
        <w:tc>
          <w:tcPr>
            <w:tcW w:w="1378" w:type="dxa"/>
          </w:tcPr>
          <w:p w:rsidR="00454FF5" w:rsidRPr="00313937" w:rsidRDefault="00454FF5" w:rsidP="00C37BCE">
            <w:pPr>
              <w:pStyle w:val="Tabletext"/>
              <w:jc w:val="center"/>
            </w:pPr>
            <w:r>
              <w:t>1</w:t>
            </w:r>
          </w:p>
        </w:tc>
      </w:tr>
      <w:tr w:rsidR="00454FF5" w:rsidRPr="00313937" w:rsidTr="00C37BCE">
        <w:tc>
          <w:tcPr>
            <w:tcW w:w="6983" w:type="dxa"/>
            <w:tcBorders>
              <w:left w:val="single" w:sz="4" w:space="0" w:color="auto"/>
            </w:tcBorders>
            <w:shd w:val="clear" w:color="auto" w:fill="auto"/>
          </w:tcPr>
          <w:p w:rsidR="00454FF5" w:rsidRPr="00313937" w:rsidRDefault="00454FF5" w:rsidP="00C37BCE">
            <w:pPr>
              <w:pStyle w:val="Tabletext"/>
              <w:rPr>
                <w:b/>
              </w:rPr>
            </w:pPr>
            <w:r w:rsidRPr="00313937">
              <w:rPr>
                <w:b/>
              </w:rPr>
              <w:tab/>
              <w:t>Total executive numbers at 30 June</w:t>
            </w:r>
          </w:p>
        </w:tc>
        <w:tc>
          <w:tcPr>
            <w:tcW w:w="1391" w:type="dxa"/>
            <w:shd w:val="clear" w:color="auto" w:fill="auto"/>
          </w:tcPr>
          <w:p w:rsidR="00454FF5" w:rsidRPr="00313937" w:rsidRDefault="00454FF5" w:rsidP="00C37BCE">
            <w:pPr>
              <w:pStyle w:val="Tabletext"/>
              <w:jc w:val="center"/>
              <w:rPr>
                <w:b/>
              </w:rPr>
            </w:pPr>
            <w:r w:rsidRPr="00313937">
              <w:rPr>
                <w:b/>
              </w:rPr>
              <w:t>12</w:t>
            </w:r>
          </w:p>
        </w:tc>
        <w:tc>
          <w:tcPr>
            <w:tcW w:w="1378" w:type="dxa"/>
          </w:tcPr>
          <w:p w:rsidR="00454FF5" w:rsidRPr="00313937" w:rsidRDefault="00454FF5" w:rsidP="00C37BCE">
            <w:pPr>
              <w:pStyle w:val="Tabletext"/>
              <w:jc w:val="center"/>
              <w:rPr>
                <w:b/>
              </w:rPr>
            </w:pPr>
            <w:r w:rsidRPr="00313937">
              <w:rPr>
                <w:b/>
              </w:rPr>
              <w:t>12</w:t>
            </w:r>
          </w:p>
        </w:tc>
      </w:tr>
    </w:tbl>
    <w:p w:rsidR="00454FF5" w:rsidRPr="007201CD" w:rsidRDefault="00454FF5" w:rsidP="00454FF5">
      <w:pPr>
        <w:pStyle w:val="Notes"/>
        <w:rPr>
          <w:bCs/>
        </w:rPr>
      </w:pPr>
    </w:p>
    <w:p w:rsidR="00454FF5" w:rsidRPr="007201CD" w:rsidRDefault="00454FF5" w:rsidP="00454FF5">
      <w:pPr>
        <w:pStyle w:val="Notes"/>
        <w:ind w:left="0" w:firstLine="0"/>
        <w:rPr>
          <w:bCs/>
        </w:rPr>
      </w:pPr>
    </w:p>
    <w:p w:rsidR="00454FF5" w:rsidRPr="00D67C5D" w:rsidRDefault="00454FF5" w:rsidP="00454FF5">
      <w:pPr>
        <w:autoSpaceDE w:val="0"/>
        <w:autoSpaceDN w:val="0"/>
        <w:adjustRightInd w:val="0"/>
      </w:pPr>
      <w:r w:rsidRPr="00D67C5D">
        <w:t xml:space="preserve">The following table discloses the annualised total salary for senior employees of </w:t>
      </w:r>
      <w:r>
        <w:t>CSV</w:t>
      </w:r>
      <w:r w:rsidRPr="00D67C5D">
        <w:t>, categorised by classification. The salary amount is reported as the full-time annualised salary.</w:t>
      </w:r>
    </w:p>
    <w:p w:rsidR="00454FF5" w:rsidRPr="007201CD" w:rsidRDefault="00454FF5" w:rsidP="00454FF5">
      <w:pPr>
        <w:pStyle w:val="Notes"/>
        <w:ind w:left="0" w:firstLine="0"/>
        <w:rPr>
          <w:bCs/>
        </w:rPr>
      </w:pPr>
    </w:p>
    <w:p w:rsidR="00454FF5" w:rsidRPr="00B053F7" w:rsidRDefault="00454FF5" w:rsidP="00454FF5">
      <w:pPr>
        <w:pStyle w:val="Caption"/>
      </w:pPr>
      <w:r w:rsidRPr="005C4B16">
        <w:t>Table 8: Annualised total salary for executives and other senior employees</w:t>
      </w:r>
    </w:p>
    <w:tbl>
      <w:tblPr>
        <w:tblW w:w="5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96"/>
        <w:gridCol w:w="1634"/>
      </w:tblGrid>
      <w:tr w:rsidR="00454FF5" w:rsidRPr="00B053F7" w:rsidTr="00C37BCE">
        <w:tc>
          <w:tcPr>
            <w:tcW w:w="2448" w:type="dxa"/>
            <w:shd w:val="clear" w:color="auto" w:fill="auto"/>
          </w:tcPr>
          <w:p w:rsidR="00454FF5" w:rsidRPr="00B053F7" w:rsidRDefault="00454FF5" w:rsidP="00C37BCE">
            <w:pPr>
              <w:pStyle w:val="Notes"/>
            </w:pPr>
            <w:r w:rsidRPr="00B053F7">
              <w:rPr>
                <w:b/>
              </w:rPr>
              <w:t>Income Band</w:t>
            </w:r>
          </w:p>
        </w:tc>
        <w:tc>
          <w:tcPr>
            <w:tcW w:w="1696" w:type="dxa"/>
            <w:shd w:val="clear" w:color="auto" w:fill="auto"/>
          </w:tcPr>
          <w:p w:rsidR="00454FF5" w:rsidRPr="00B053F7" w:rsidRDefault="00454FF5" w:rsidP="00C37BCE">
            <w:pPr>
              <w:pStyle w:val="Notes"/>
              <w:jc w:val="center"/>
              <w:rPr>
                <w:b/>
              </w:rPr>
            </w:pPr>
            <w:r w:rsidRPr="00B053F7">
              <w:rPr>
                <w:b/>
              </w:rPr>
              <w:t>Executives</w:t>
            </w:r>
          </w:p>
        </w:tc>
        <w:tc>
          <w:tcPr>
            <w:tcW w:w="1634" w:type="dxa"/>
          </w:tcPr>
          <w:p w:rsidR="00454FF5" w:rsidRPr="00B053F7" w:rsidRDefault="00454FF5" w:rsidP="00C37BCE">
            <w:pPr>
              <w:pStyle w:val="Notes"/>
              <w:jc w:val="center"/>
              <w:rPr>
                <w:b/>
              </w:rPr>
            </w:pPr>
            <w:r w:rsidRPr="00B053F7">
              <w:rPr>
                <w:b/>
              </w:rPr>
              <w:t>STS</w:t>
            </w:r>
          </w:p>
        </w:tc>
      </w:tr>
      <w:tr w:rsidR="00454FF5" w:rsidRPr="00B053F7" w:rsidTr="00C37BCE">
        <w:tc>
          <w:tcPr>
            <w:tcW w:w="2448" w:type="dxa"/>
            <w:shd w:val="clear" w:color="auto" w:fill="auto"/>
          </w:tcPr>
          <w:p w:rsidR="00454FF5" w:rsidRPr="00B053F7" w:rsidRDefault="00454FF5" w:rsidP="00C37BCE">
            <w:pPr>
              <w:pStyle w:val="Notes"/>
            </w:pPr>
            <w:r w:rsidRPr="00B053F7">
              <w:t>&lt; $160,000</w:t>
            </w:r>
          </w:p>
        </w:tc>
        <w:tc>
          <w:tcPr>
            <w:tcW w:w="1696" w:type="dxa"/>
            <w:shd w:val="clear" w:color="auto" w:fill="auto"/>
          </w:tcPr>
          <w:p w:rsidR="00454FF5" w:rsidRPr="00B053F7" w:rsidRDefault="00454FF5" w:rsidP="00C37BCE">
            <w:pPr>
              <w:pStyle w:val="Notes"/>
              <w:jc w:val="center"/>
            </w:pPr>
            <w:r w:rsidRPr="00B053F7">
              <w:t>0</w:t>
            </w:r>
          </w:p>
        </w:tc>
        <w:tc>
          <w:tcPr>
            <w:tcW w:w="1634" w:type="dxa"/>
          </w:tcPr>
          <w:p w:rsidR="00454FF5" w:rsidRPr="00B053F7" w:rsidRDefault="00454FF5" w:rsidP="00C37BCE">
            <w:pPr>
              <w:pStyle w:val="Notes"/>
              <w:jc w:val="center"/>
            </w:pPr>
            <w:r w:rsidRPr="00B053F7">
              <w:t>3</w:t>
            </w:r>
          </w:p>
        </w:tc>
      </w:tr>
      <w:tr w:rsidR="00454FF5" w:rsidRPr="00B053F7" w:rsidTr="00C37BCE">
        <w:tc>
          <w:tcPr>
            <w:tcW w:w="2448" w:type="dxa"/>
            <w:shd w:val="clear" w:color="auto" w:fill="auto"/>
          </w:tcPr>
          <w:p w:rsidR="00454FF5" w:rsidRPr="00B053F7" w:rsidRDefault="00454FF5" w:rsidP="00C37BCE">
            <w:pPr>
              <w:pStyle w:val="Notes"/>
            </w:pPr>
            <w:r w:rsidRPr="00B053F7">
              <w:t>$160,000 - $179,999</w:t>
            </w:r>
          </w:p>
        </w:tc>
        <w:tc>
          <w:tcPr>
            <w:tcW w:w="1696" w:type="dxa"/>
            <w:shd w:val="clear" w:color="auto" w:fill="auto"/>
          </w:tcPr>
          <w:p w:rsidR="00454FF5" w:rsidRPr="00B053F7" w:rsidRDefault="00454FF5" w:rsidP="00C37BCE">
            <w:pPr>
              <w:pStyle w:val="Notes"/>
              <w:jc w:val="center"/>
            </w:pPr>
            <w:r w:rsidRPr="00B053F7">
              <w:t>1</w:t>
            </w:r>
          </w:p>
        </w:tc>
        <w:tc>
          <w:tcPr>
            <w:tcW w:w="1634" w:type="dxa"/>
          </w:tcPr>
          <w:p w:rsidR="00454FF5" w:rsidRPr="00B053F7" w:rsidRDefault="00454FF5" w:rsidP="00C37BCE">
            <w:pPr>
              <w:pStyle w:val="Notes"/>
              <w:jc w:val="center"/>
            </w:pPr>
            <w:r w:rsidRPr="00B053F7">
              <w:t>4</w:t>
            </w:r>
          </w:p>
        </w:tc>
      </w:tr>
      <w:tr w:rsidR="00454FF5" w:rsidRPr="00B053F7" w:rsidTr="00C37BCE">
        <w:tc>
          <w:tcPr>
            <w:tcW w:w="2448" w:type="dxa"/>
            <w:shd w:val="clear" w:color="auto" w:fill="auto"/>
          </w:tcPr>
          <w:p w:rsidR="00454FF5" w:rsidRPr="00B053F7" w:rsidRDefault="00454FF5" w:rsidP="00C37BCE">
            <w:pPr>
              <w:pStyle w:val="Notes"/>
            </w:pPr>
            <w:r w:rsidRPr="00B053F7">
              <w:t>$180,000 - $199,999</w:t>
            </w:r>
          </w:p>
        </w:tc>
        <w:tc>
          <w:tcPr>
            <w:tcW w:w="1696" w:type="dxa"/>
            <w:shd w:val="clear" w:color="auto" w:fill="auto"/>
          </w:tcPr>
          <w:p w:rsidR="00454FF5" w:rsidRPr="00B053F7" w:rsidRDefault="00454FF5" w:rsidP="00C37BCE">
            <w:pPr>
              <w:pStyle w:val="Notes"/>
              <w:jc w:val="center"/>
            </w:pPr>
            <w:r w:rsidRPr="00B053F7">
              <w:t>3</w:t>
            </w:r>
          </w:p>
        </w:tc>
        <w:tc>
          <w:tcPr>
            <w:tcW w:w="1634" w:type="dxa"/>
          </w:tcPr>
          <w:p w:rsidR="00454FF5" w:rsidRPr="00B053F7" w:rsidRDefault="00454FF5" w:rsidP="00C37BCE">
            <w:pPr>
              <w:pStyle w:val="Notes"/>
              <w:jc w:val="center"/>
            </w:pPr>
            <w:r w:rsidRPr="00B053F7">
              <w:t>2</w:t>
            </w:r>
          </w:p>
        </w:tc>
      </w:tr>
      <w:tr w:rsidR="00454FF5" w:rsidRPr="00B053F7" w:rsidTr="00C37BCE">
        <w:tc>
          <w:tcPr>
            <w:tcW w:w="2448" w:type="dxa"/>
            <w:shd w:val="clear" w:color="auto" w:fill="auto"/>
          </w:tcPr>
          <w:p w:rsidR="00454FF5" w:rsidRPr="00B053F7" w:rsidRDefault="00454FF5" w:rsidP="00C37BCE">
            <w:pPr>
              <w:pStyle w:val="Notes"/>
            </w:pPr>
            <w:r w:rsidRPr="00B053F7">
              <w:t>$200,000 - $219,999</w:t>
            </w:r>
          </w:p>
        </w:tc>
        <w:tc>
          <w:tcPr>
            <w:tcW w:w="1696" w:type="dxa"/>
            <w:shd w:val="clear" w:color="auto" w:fill="auto"/>
          </w:tcPr>
          <w:p w:rsidR="00454FF5" w:rsidRPr="00B053F7" w:rsidRDefault="00454FF5" w:rsidP="00C37BCE">
            <w:pPr>
              <w:pStyle w:val="Notes"/>
              <w:jc w:val="center"/>
            </w:pPr>
            <w:r w:rsidRPr="00B053F7">
              <w:t>1</w:t>
            </w:r>
          </w:p>
        </w:tc>
        <w:tc>
          <w:tcPr>
            <w:tcW w:w="1634" w:type="dxa"/>
          </w:tcPr>
          <w:p w:rsidR="00454FF5" w:rsidRPr="00B053F7" w:rsidRDefault="00454FF5" w:rsidP="00C37BCE">
            <w:pPr>
              <w:pStyle w:val="Notes"/>
              <w:jc w:val="center"/>
            </w:pPr>
            <w:r w:rsidRPr="00B053F7">
              <w:t>0</w:t>
            </w:r>
          </w:p>
        </w:tc>
      </w:tr>
      <w:tr w:rsidR="00454FF5" w:rsidRPr="00B053F7" w:rsidTr="00C37BCE">
        <w:tc>
          <w:tcPr>
            <w:tcW w:w="2448" w:type="dxa"/>
            <w:shd w:val="clear" w:color="auto" w:fill="auto"/>
          </w:tcPr>
          <w:p w:rsidR="00454FF5" w:rsidRPr="00B053F7" w:rsidRDefault="00454FF5" w:rsidP="00C37BCE">
            <w:pPr>
              <w:pStyle w:val="Notes"/>
            </w:pPr>
            <w:r w:rsidRPr="00B053F7">
              <w:t>$220,000 - $239,999</w:t>
            </w:r>
          </w:p>
        </w:tc>
        <w:tc>
          <w:tcPr>
            <w:tcW w:w="1696" w:type="dxa"/>
            <w:shd w:val="clear" w:color="auto" w:fill="auto"/>
          </w:tcPr>
          <w:p w:rsidR="00454FF5" w:rsidRPr="00B053F7" w:rsidRDefault="00454FF5" w:rsidP="00C37BCE">
            <w:pPr>
              <w:pStyle w:val="Notes"/>
              <w:jc w:val="center"/>
            </w:pPr>
            <w:r w:rsidRPr="00B053F7">
              <w:t>2</w:t>
            </w:r>
          </w:p>
        </w:tc>
        <w:tc>
          <w:tcPr>
            <w:tcW w:w="1634" w:type="dxa"/>
          </w:tcPr>
          <w:p w:rsidR="00454FF5" w:rsidRPr="00B053F7" w:rsidRDefault="00454FF5" w:rsidP="00C37BCE">
            <w:pPr>
              <w:pStyle w:val="Notes"/>
              <w:jc w:val="center"/>
            </w:pPr>
            <w:r w:rsidRPr="00B053F7">
              <w:t>0</w:t>
            </w:r>
          </w:p>
        </w:tc>
      </w:tr>
      <w:tr w:rsidR="00454FF5" w:rsidRPr="00B053F7" w:rsidTr="00C37BCE">
        <w:tc>
          <w:tcPr>
            <w:tcW w:w="2448" w:type="dxa"/>
            <w:shd w:val="clear" w:color="auto" w:fill="auto"/>
          </w:tcPr>
          <w:p w:rsidR="00454FF5" w:rsidRPr="00B053F7" w:rsidRDefault="00454FF5" w:rsidP="00C37BCE">
            <w:pPr>
              <w:pStyle w:val="Notes"/>
            </w:pPr>
            <w:r w:rsidRPr="00B053F7">
              <w:t>$240,000 - $259,999</w:t>
            </w:r>
          </w:p>
        </w:tc>
        <w:tc>
          <w:tcPr>
            <w:tcW w:w="1696" w:type="dxa"/>
            <w:shd w:val="clear" w:color="auto" w:fill="auto"/>
          </w:tcPr>
          <w:p w:rsidR="00454FF5" w:rsidRPr="00B053F7" w:rsidRDefault="00454FF5" w:rsidP="00C37BCE">
            <w:pPr>
              <w:pStyle w:val="Notes"/>
              <w:jc w:val="center"/>
            </w:pPr>
            <w:r w:rsidRPr="00B053F7">
              <w:t>1</w:t>
            </w:r>
          </w:p>
        </w:tc>
        <w:tc>
          <w:tcPr>
            <w:tcW w:w="1634" w:type="dxa"/>
          </w:tcPr>
          <w:p w:rsidR="00454FF5" w:rsidRPr="00B053F7" w:rsidRDefault="00454FF5" w:rsidP="00C37BCE">
            <w:pPr>
              <w:pStyle w:val="Notes"/>
              <w:jc w:val="center"/>
            </w:pPr>
            <w:r w:rsidRPr="00B053F7">
              <w:t>0</w:t>
            </w:r>
          </w:p>
        </w:tc>
      </w:tr>
      <w:tr w:rsidR="00454FF5" w:rsidRPr="00B053F7" w:rsidTr="00C37BCE">
        <w:tc>
          <w:tcPr>
            <w:tcW w:w="2448" w:type="dxa"/>
            <w:shd w:val="clear" w:color="auto" w:fill="auto"/>
          </w:tcPr>
          <w:p w:rsidR="00454FF5" w:rsidRPr="00B053F7" w:rsidRDefault="00454FF5" w:rsidP="00C37BCE">
            <w:pPr>
              <w:pStyle w:val="Notes"/>
            </w:pPr>
            <w:r w:rsidRPr="00B053F7">
              <w:t>$260,000 - $279,999</w:t>
            </w:r>
          </w:p>
        </w:tc>
        <w:tc>
          <w:tcPr>
            <w:tcW w:w="1696" w:type="dxa"/>
            <w:shd w:val="clear" w:color="auto" w:fill="auto"/>
          </w:tcPr>
          <w:p w:rsidR="00454FF5" w:rsidRPr="00B053F7" w:rsidRDefault="00454FF5" w:rsidP="00C37BCE">
            <w:pPr>
              <w:pStyle w:val="Notes"/>
              <w:jc w:val="center"/>
            </w:pPr>
            <w:r w:rsidRPr="00B053F7">
              <w:t>2</w:t>
            </w:r>
          </w:p>
        </w:tc>
        <w:tc>
          <w:tcPr>
            <w:tcW w:w="1634" w:type="dxa"/>
          </w:tcPr>
          <w:p w:rsidR="00454FF5" w:rsidRPr="00B053F7" w:rsidRDefault="00454FF5" w:rsidP="00C37BCE">
            <w:pPr>
              <w:pStyle w:val="Notes"/>
              <w:jc w:val="center"/>
            </w:pPr>
            <w:r w:rsidRPr="00B053F7">
              <w:t>0</w:t>
            </w:r>
          </w:p>
        </w:tc>
      </w:tr>
      <w:tr w:rsidR="00454FF5" w:rsidRPr="00B053F7" w:rsidTr="00C37BCE">
        <w:tc>
          <w:tcPr>
            <w:tcW w:w="2448" w:type="dxa"/>
            <w:shd w:val="clear" w:color="auto" w:fill="auto"/>
          </w:tcPr>
          <w:p w:rsidR="00454FF5" w:rsidRPr="00B053F7" w:rsidRDefault="00454FF5" w:rsidP="00C37BCE">
            <w:pPr>
              <w:pStyle w:val="Notes"/>
            </w:pPr>
            <w:r w:rsidRPr="00B053F7">
              <w:t>$280,000 - $499,999</w:t>
            </w:r>
          </w:p>
        </w:tc>
        <w:tc>
          <w:tcPr>
            <w:tcW w:w="1696" w:type="dxa"/>
            <w:shd w:val="clear" w:color="auto" w:fill="auto"/>
          </w:tcPr>
          <w:p w:rsidR="00454FF5" w:rsidRPr="00B053F7" w:rsidRDefault="00454FF5" w:rsidP="00C37BCE">
            <w:pPr>
              <w:pStyle w:val="Notes"/>
              <w:jc w:val="center"/>
            </w:pPr>
            <w:r w:rsidRPr="00B053F7">
              <w:t>0</w:t>
            </w:r>
          </w:p>
        </w:tc>
        <w:tc>
          <w:tcPr>
            <w:tcW w:w="1634" w:type="dxa"/>
          </w:tcPr>
          <w:p w:rsidR="00454FF5" w:rsidRPr="00B053F7" w:rsidRDefault="00454FF5" w:rsidP="00C37BCE">
            <w:pPr>
              <w:pStyle w:val="Notes"/>
              <w:jc w:val="center"/>
            </w:pPr>
            <w:r w:rsidRPr="00B053F7">
              <w:t>0</w:t>
            </w:r>
          </w:p>
        </w:tc>
      </w:tr>
      <w:tr w:rsidR="00454FF5" w:rsidRPr="00A540DD" w:rsidTr="00C37BCE">
        <w:tc>
          <w:tcPr>
            <w:tcW w:w="2448" w:type="dxa"/>
            <w:shd w:val="clear" w:color="auto" w:fill="auto"/>
          </w:tcPr>
          <w:p w:rsidR="00454FF5" w:rsidRPr="00B053F7" w:rsidRDefault="00454FF5" w:rsidP="00C37BCE">
            <w:pPr>
              <w:pStyle w:val="Notes"/>
              <w:rPr>
                <w:b/>
              </w:rPr>
            </w:pPr>
            <w:r w:rsidRPr="00B053F7">
              <w:rPr>
                <w:b/>
              </w:rPr>
              <w:t xml:space="preserve">Total </w:t>
            </w:r>
          </w:p>
        </w:tc>
        <w:tc>
          <w:tcPr>
            <w:tcW w:w="1696" w:type="dxa"/>
            <w:shd w:val="clear" w:color="auto" w:fill="auto"/>
          </w:tcPr>
          <w:p w:rsidR="00454FF5" w:rsidRPr="00B053F7" w:rsidRDefault="00454FF5" w:rsidP="00C37BCE">
            <w:pPr>
              <w:pStyle w:val="Notes"/>
              <w:jc w:val="center"/>
              <w:rPr>
                <w:b/>
              </w:rPr>
            </w:pPr>
            <w:r w:rsidRPr="00B053F7">
              <w:rPr>
                <w:b/>
              </w:rPr>
              <w:t>10</w:t>
            </w:r>
          </w:p>
        </w:tc>
        <w:tc>
          <w:tcPr>
            <w:tcW w:w="1634" w:type="dxa"/>
          </w:tcPr>
          <w:p w:rsidR="00454FF5" w:rsidRPr="00A540DD" w:rsidRDefault="00454FF5" w:rsidP="00C37BCE">
            <w:pPr>
              <w:pStyle w:val="Notes"/>
              <w:jc w:val="center"/>
              <w:rPr>
                <w:b/>
              </w:rPr>
            </w:pPr>
            <w:r w:rsidRPr="00B053F7">
              <w:rPr>
                <w:b/>
              </w:rPr>
              <w:t>9</w:t>
            </w:r>
          </w:p>
        </w:tc>
      </w:tr>
    </w:tbl>
    <w:p w:rsidR="00454FF5" w:rsidRPr="00A540DD" w:rsidRDefault="00454FF5" w:rsidP="00454FF5">
      <w:pPr>
        <w:pStyle w:val="Notes"/>
        <w:rPr>
          <w:b/>
        </w:rPr>
      </w:pPr>
    </w:p>
    <w:p w:rsidR="00454FF5" w:rsidRDefault="00454FF5" w:rsidP="00454FF5">
      <w:pPr>
        <w:pStyle w:val="Notesheading"/>
      </w:pPr>
      <w:r>
        <w:lastRenderedPageBreak/>
        <w:t>Notes</w:t>
      </w:r>
    </w:p>
    <w:p w:rsidR="00454FF5" w:rsidRDefault="00454FF5" w:rsidP="00454FF5">
      <w:pPr>
        <w:pStyle w:val="Notes"/>
        <w:spacing w:after="60"/>
      </w:pPr>
      <w:r w:rsidRPr="00A540DD">
        <w:t>1.</w:t>
      </w:r>
      <w:r w:rsidRPr="00A540DD">
        <w:tab/>
        <w:t xml:space="preserve">The contracted remuneration of executives and payments to senior staff is the total salary amount, excluding superannuation (company and employee), and vehicle leasing arrangements as at the last full pay period in June of the reporting period. </w:t>
      </w:r>
    </w:p>
    <w:p w:rsidR="00454FF5" w:rsidRPr="00A540DD" w:rsidRDefault="00454FF5" w:rsidP="00454FF5">
      <w:pPr>
        <w:pStyle w:val="Notes"/>
        <w:spacing w:after="60"/>
      </w:pPr>
      <w:r>
        <w:t>2.</w:t>
      </w:r>
      <w:r>
        <w:tab/>
        <w:t>This table d</w:t>
      </w:r>
      <w:r w:rsidRPr="00A540DD">
        <w:t>oes not include the CSV</w:t>
      </w:r>
      <w:r>
        <w:t xml:space="preserve"> CEO</w:t>
      </w:r>
      <w:r w:rsidRPr="00A540DD">
        <w:t xml:space="preserve"> (Accountable Officer), or the CEO of the College </w:t>
      </w:r>
      <w:r>
        <w:t xml:space="preserve">as the College </w:t>
      </w:r>
      <w:r w:rsidRPr="00A540DD">
        <w:t>is a separate reporting entity.</w:t>
      </w:r>
    </w:p>
    <w:p w:rsidR="005767BC" w:rsidRPr="00456361" w:rsidRDefault="005767BC" w:rsidP="005767BC">
      <w:pPr>
        <w:pStyle w:val="Notes"/>
      </w:pPr>
    </w:p>
    <w:p w:rsidR="005767BC" w:rsidRPr="00456361" w:rsidRDefault="005767BC" w:rsidP="002D3822">
      <w:pPr>
        <w:pStyle w:val="Heading3"/>
      </w:pPr>
      <w:r w:rsidRPr="00456361">
        <w:t>Employment and conduct principles</w:t>
      </w:r>
    </w:p>
    <w:p w:rsidR="002373EC" w:rsidRPr="002373EC" w:rsidRDefault="002373EC" w:rsidP="002373EC">
      <w:bookmarkStart w:id="19" w:name="_Toc456278831"/>
      <w:r w:rsidRPr="002373EC">
        <w:t>CSV continues to respect and uphold public sector employment and conduct principles by treating employees fairly and reasonably</w:t>
      </w:r>
      <w:r>
        <w:t>,</w:t>
      </w:r>
      <w:r w:rsidRPr="002373EC">
        <w:t xml:space="preserve"> </w:t>
      </w:r>
      <w:r>
        <w:t>upholding human rights,</w:t>
      </w:r>
      <w:r w:rsidRPr="002373EC">
        <w:t xml:space="preserve"> ensuring a reasonable avenue of </w:t>
      </w:r>
      <w:r>
        <w:t>redress for personal grievances,</w:t>
      </w:r>
      <w:r w:rsidRPr="002373EC">
        <w:t xml:space="preserve"> provid</w:t>
      </w:r>
      <w:r>
        <w:t>ing equal employment opportunities</w:t>
      </w:r>
      <w:r w:rsidRPr="002373EC">
        <w:t xml:space="preserve"> and selecting on merit. Employees have been correctly classified in workforce data collection.</w:t>
      </w:r>
    </w:p>
    <w:p w:rsidR="002373EC" w:rsidRPr="002373EC" w:rsidRDefault="002373EC" w:rsidP="002373EC"/>
    <w:p w:rsidR="002373EC" w:rsidRDefault="002373EC" w:rsidP="002373EC">
      <w:pPr>
        <w:autoSpaceDE w:val="0"/>
        <w:autoSpaceDN w:val="0"/>
        <w:adjustRightInd w:val="0"/>
      </w:pPr>
      <w:r w:rsidRPr="002373EC">
        <w:t>During 2016-17, CSV reviewed its recruitment policies and processes. A new Recruitment and Selection Policy</w:t>
      </w:r>
      <w:r w:rsidRPr="002373EC">
        <w:rPr>
          <w:i/>
        </w:rPr>
        <w:t xml:space="preserve"> </w:t>
      </w:r>
      <w:r w:rsidRPr="002373EC">
        <w:t xml:space="preserve">and associated process was developed and implemented </w:t>
      </w:r>
      <w:r>
        <w:t>that</w:t>
      </w:r>
      <w:r w:rsidRPr="002373EC">
        <w:t xml:space="preserve"> confirms CSV’s commitment</w:t>
      </w:r>
      <w:r>
        <w:t xml:space="preserve"> to the below.</w:t>
      </w:r>
    </w:p>
    <w:p w:rsidR="001A15AA" w:rsidRPr="002373EC" w:rsidRDefault="001A15AA" w:rsidP="002373EC">
      <w:pPr>
        <w:autoSpaceDE w:val="0"/>
        <w:autoSpaceDN w:val="0"/>
        <w:adjustRightInd w:val="0"/>
      </w:pPr>
    </w:p>
    <w:p w:rsidR="002373EC" w:rsidRPr="002373EC" w:rsidRDefault="001A15AA" w:rsidP="00090DBB">
      <w:pPr>
        <w:pStyle w:val="ListBullet"/>
      </w:pPr>
      <w:r>
        <w:t>Employing a highly-</w:t>
      </w:r>
      <w:r w:rsidR="002373EC" w:rsidRPr="002373EC">
        <w:t>skilled and capable workforce to deliver quality services to the Victorian community</w:t>
      </w:r>
      <w:r w:rsidR="002373EC">
        <w:t>.</w:t>
      </w:r>
    </w:p>
    <w:p w:rsidR="002373EC" w:rsidRPr="002373EC" w:rsidRDefault="002373EC" w:rsidP="00090DBB">
      <w:pPr>
        <w:pStyle w:val="ListBullet"/>
      </w:pPr>
      <w:r>
        <w:t>E</w:t>
      </w:r>
      <w:r w:rsidRPr="002373EC">
        <w:t>nsuring diversity and equality by promoting and maintaining a safe and inclusive work environment where all employees are respected, valued and supported</w:t>
      </w:r>
      <w:r>
        <w:t>.</w:t>
      </w:r>
    </w:p>
    <w:p w:rsidR="002373EC" w:rsidRPr="002373EC" w:rsidRDefault="002373EC" w:rsidP="00090DBB">
      <w:pPr>
        <w:pStyle w:val="ListBullet"/>
      </w:pPr>
      <w:r>
        <w:t>I</w:t>
      </w:r>
      <w:r w:rsidRPr="002373EC">
        <w:t xml:space="preserve">ncreasing participation of Aboriginal and/or Torres Strait Islander people, and seeking to employ people of any gender, age, religion, </w:t>
      </w:r>
      <w:r>
        <w:t xml:space="preserve">and </w:t>
      </w:r>
      <w:r w:rsidRPr="002373EC">
        <w:t xml:space="preserve">sexual orientation, </w:t>
      </w:r>
      <w:r>
        <w:t xml:space="preserve">plus people </w:t>
      </w:r>
      <w:r w:rsidRPr="002373EC">
        <w:t xml:space="preserve">with a disability, and </w:t>
      </w:r>
      <w:r>
        <w:t xml:space="preserve">people from </w:t>
      </w:r>
      <w:r w:rsidRPr="002373EC">
        <w:t>varied cultural backgrounds</w:t>
      </w:r>
      <w:r>
        <w:t>.</w:t>
      </w:r>
    </w:p>
    <w:p w:rsidR="002373EC" w:rsidRPr="002373EC" w:rsidRDefault="002373EC" w:rsidP="00090DBB">
      <w:pPr>
        <w:pStyle w:val="ListBullet"/>
      </w:pPr>
      <w:r>
        <w:t>E</w:t>
      </w:r>
      <w:r w:rsidRPr="002373EC">
        <w:t>nsuring recruitment and selecti</w:t>
      </w:r>
      <w:r>
        <w:t>on processes are based on merit, and involve</w:t>
      </w:r>
      <w:r w:rsidRPr="002373EC">
        <w:t xml:space="preserve"> a competitive process and a genuine attempt to create a viable field of candidates.</w:t>
      </w:r>
    </w:p>
    <w:p w:rsidR="005767BC" w:rsidRPr="00456361" w:rsidRDefault="005767BC" w:rsidP="005767BC">
      <w:pPr>
        <w:pStyle w:val="Heading2"/>
      </w:pPr>
      <w:bookmarkStart w:id="20" w:name="_Toc494978546"/>
      <w:r w:rsidRPr="00456361">
        <w:t>Staff Health, Safety and Wellbeing</w:t>
      </w:r>
      <w:bookmarkEnd w:id="19"/>
      <w:bookmarkEnd w:id="20"/>
    </w:p>
    <w:p w:rsidR="00A540DD" w:rsidRPr="00A540DD" w:rsidRDefault="00A540DD" w:rsidP="00A540DD">
      <w:r w:rsidRPr="00A540DD">
        <w:t xml:space="preserve">During 2016-17, CSV continued to promote healthy workplaces, conduct awareness programs and </w:t>
      </w:r>
      <w:r w:rsidR="001A15AA">
        <w:t>provide targeted and strategic occupational health and s</w:t>
      </w:r>
      <w:r w:rsidRPr="00A540DD">
        <w:t xml:space="preserve">afety (OH&amp;S) professional development activities. </w:t>
      </w:r>
      <w:r w:rsidR="000A26B5">
        <w:t>Each jurisdiction continued to use the</w:t>
      </w:r>
      <w:r w:rsidRPr="00A540DD">
        <w:t xml:space="preserve"> OH&amp;S self-assessment process as a measure of the effectiveness </w:t>
      </w:r>
      <w:r w:rsidR="000A26B5">
        <w:t xml:space="preserve">of </w:t>
      </w:r>
      <w:r w:rsidRPr="00A540DD">
        <w:t>health and safety management systems.</w:t>
      </w:r>
    </w:p>
    <w:p w:rsidR="00A540DD" w:rsidRPr="00A540DD" w:rsidRDefault="00A540DD" w:rsidP="00A540DD"/>
    <w:p w:rsidR="00A540DD" w:rsidRPr="00A540DD" w:rsidRDefault="00A540DD" w:rsidP="00A540DD">
      <w:r w:rsidRPr="00A540DD">
        <w:t>There were 154 reported incidents in 2016-17 compared to 159 in 2015-16. This rep</w:t>
      </w:r>
      <w:r w:rsidR="000A26B5">
        <w:t>resented a slight decrease of three per cent</w:t>
      </w:r>
      <w:r w:rsidRPr="00A540DD">
        <w:t>. The number of incidents reported relating to CSV employees increased</w:t>
      </w:r>
      <w:r w:rsidR="000A26B5">
        <w:t>,</w:t>
      </w:r>
      <w:r w:rsidRPr="00A540DD">
        <w:t xml:space="preserve"> whereas the number of incidents lodged on behalf of court users or contractors decreased. </w:t>
      </w:r>
    </w:p>
    <w:p w:rsidR="00A540DD" w:rsidRPr="00A540DD" w:rsidRDefault="00A540DD" w:rsidP="00A540DD"/>
    <w:p w:rsidR="00A540DD" w:rsidRPr="00A540DD" w:rsidRDefault="00A540DD" w:rsidP="00A540DD">
      <w:r w:rsidRPr="00A540DD">
        <w:t xml:space="preserve">There were 10 accepted standard WorkCover claims for the 2016-17 year, compared with five accepted claims in 2015-16. Although the total number of standard WorkCover claims increased during the past year, the number of </w:t>
      </w:r>
      <w:r w:rsidR="000A26B5">
        <w:t>‘</w:t>
      </w:r>
      <w:r w:rsidRPr="00A540DD">
        <w:t>lost time</w:t>
      </w:r>
      <w:r w:rsidR="000A26B5">
        <w:t>’</w:t>
      </w:r>
      <w:r w:rsidRPr="00A540DD">
        <w:t xml:space="preserve"> standard claims remained at two. This is attributable to the strategies developed to support injured employees to remain at</w:t>
      </w:r>
      <w:r w:rsidR="000A26B5">
        <w:t>,</w:t>
      </w:r>
      <w:r w:rsidRPr="00A540DD">
        <w:t xml:space="preserve"> or return to</w:t>
      </w:r>
      <w:r w:rsidR="000A26B5">
        <w:t>,</w:t>
      </w:r>
      <w:r w:rsidRPr="00A540DD">
        <w:t xml:space="preserve"> work as quickly as possible, and the proactive preventative programs that address causes of workplace injuries. </w:t>
      </w:r>
    </w:p>
    <w:p w:rsidR="00A540DD" w:rsidRPr="00A540DD" w:rsidRDefault="00A540DD" w:rsidP="00A540DD"/>
    <w:p w:rsidR="00A540DD" w:rsidRPr="00A540DD" w:rsidRDefault="00A540DD" w:rsidP="00A540DD">
      <w:r w:rsidRPr="00A540DD">
        <w:t>The capability of managers and employees was enhanced through targeted programs and initiatives including Beyond</w:t>
      </w:r>
      <w:r w:rsidR="001A15AA">
        <w:t xml:space="preserve"> Blue sessions on mental health,</w:t>
      </w:r>
      <w:r w:rsidRPr="00A540DD">
        <w:t xml:space="preserve"> Vicari</w:t>
      </w:r>
      <w:r w:rsidR="001A15AA">
        <w:t>ous Trauma information sessions,</w:t>
      </w:r>
      <w:r w:rsidRPr="00A540DD">
        <w:t xml:space="preserve"> the </w:t>
      </w:r>
      <w:r w:rsidR="000A26B5">
        <w:t>inclusion</w:t>
      </w:r>
      <w:r w:rsidRPr="00A540DD">
        <w:t xml:space="preserve"> of OH&amp;S obligations into role </w:t>
      </w:r>
      <w:r w:rsidR="001A15AA">
        <w:t>descriptions,</w:t>
      </w:r>
      <w:r w:rsidR="00BC10B9">
        <w:t xml:space="preserve"> proactive and fit-for-</w:t>
      </w:r>
      <w:r w:rsidRPr="00A540DD">
        <w:t>purpose approa</w:t>
      </w:r>
      <w:r w:rsidR="00BC10B9">
        <w:t xml:space="preserve">ches to risk management </w:t>
      </w:r>
      <w:r w:rsidRPr="00A540DD">
        <w:t xml:space="preserve">and the management of injured or ill employees.  </w:t>
      </w:r>
    </w:p>
    <w:p w:rsidR="00A540DD" w:rsidRPr="00A540DD" w:rsidRDefault="00A540DD" w:rsidP="00A540DD"/>
    <w:p w:rsidR="00A540DD" w:rsidRPr="00A540DD" w:rsidRDefault="00A540DD" w:rsidP="00A540DD">
      <w:r w:rsidRPr="00A540DD">
        <w:lastRenderedPageBreak/>
        <w:t xml:space="preserve">CSV </w:t>
      </w:r>
      <w:r w:rsidR="00BC10B9">
        <w:t xml:space="preserve">was </w:t>
      </w:r>
      <w:r w:rsidRPr="00A540DD">
        <w:t>a finalist in the Australian Psychological Society’s Workp</w:t>
      </w:r>
      <w:r w:rsidR="00BC10B9">
        <w:t>lace Excellence Awards for 2016</w:t>
      </w:r>
      <w:r w:rsidR="00BC10B9" w:rsidRPr="00BC10B9">
        <w:t xml:space="preserve"> for its Vicarious Trauma project </w:t>
      </w:r>
      <w:r w:rsidR="00BC10B9">
        <w:t>in</w:t>
      </w:r>
      <w:r w:rsidRPr="00A540DD">
        <w:t xml:space="preserve"> the Ass</w:t>
      </w:r>
      <w:r w:rsidR="00BC10B9">
        <w:t>essment Individual, Team or Or</w:t>
      </w:r>
      <w:r w:rsidR="005C4B16">
        <w:t>ganisation category.</w:t>
      </w:r>
    </w:p>
    <w:p w:rsidR="00A540DD" w:rsidRPr="00A540DD" w:rsidRDefault="00A540DD" w:rsidP="00A540DD">
      <w:pPr>
        <w:rPr>
          <w:b/>
          <w:iCs/>
        </w:rPr>
      </w:pPr>
    </w:p>
    <w:p w:rsidR="00A540DD" w:rsidRPr="005C4B16" w:rsidRDefault="00A540DD" w:rsidP="00A540DD">
      <w:pPr>
        <w:rPr>
          <w:b/>
          <w:bCs/>
          <w:i/>
          <w:sz w:val="20"/>
          <w:szCs w:val="20"/>
        </w:rPr>
      </w:pPr>
      <w:r w:rsidRPr="005C4B16">
        <w:rPr>
          <w:b/>
          <w:bCs/>
          <w:i/>
          <w:sz w:val="20"/>
          <w:szCs w:val="20"/>
        </w:rPr>
        <w:t>Table</w:t>
      </w:r>
      <w:r w:rsidR="005C4B16" w:rsidRPr="005C4B16">
        <w:rPr>
          <w:b/>
          <w:bCs/>
          <w:i/>
          <w:sz w:val="20"/>
          <w:szCs w:val="20"/>
        </w:rPr>
        <w:t xml:space="preserve"> 9</w:t>
      </w:r>
      <w:r w:rsidRPr="005C4B16">
        <w:rPr>
          <w:b/>
          <w:bCs/>
          <w:i/>
          <w:sz w:val="20"/>
          <w:szCs w:val="20"/>
        </w:rPr>
        <w:t>:</w:t>
      </w:r>
      <w:r w:rsidR="005C4B16" w:rsidRPr="005C4B16">
        <w:rPr>
          <w:b/>
          <w:bCs/>
          <w:i/>
          <w:sz w:val="20"/>
          <w:szCs w:val="20"/>
        </w:rPr>
        <w:t xml:space="preserve"> </w:t>
      </w:r>
      <w:r w:rsidRPr="005C4B16">
        <w:rPr>
          <w:b/>
          <w:bCs/>
          <w:i/>
          <w:sz w:val="20"/>
          <w:szCs w:val="20"/>
        </w:rPr>
        <w:t>Performance against OH&amp;S measures</w:t>
      </w:r>
    </w:p>
    <w:tbl>
      <w:tblPr>
        <w:tblpPr w:leftFromText="181" w:rightFromText="181" w:vertAnchor="text" w:horzAnchor="margin" w:tblpY="205"/>
        <w:tblW w:w="5000" w:type="pct"/>
        <w:tblBorders>
          <w:top w:val="single" w:sz="4" w:space="0" w:color="auto"/>
          <w:bottom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480"/>
        <w:gridCol w:w="3058"/>
        <w:gridCol w:w="1261"/>
        <w:gridCol w:w="1261"/>
        <w:gridCol w:w="1243"/>
        <w:gridCol w:w="1335"/>
      </w:tblGrid>
      <w:tr w:rsidR="00A540DD" w:rsidRPr="005C4B16" w:rsidTr="00A540DD">
        <w:trPr>
          <w:trHeight w:val="383"/>
        </w:trPr>
        <w:tc>
          <w:tcPr>
            <w:tcW w:w="1497" w:type="dxa"/>
            <w:shd w:val="clear" w:color="auto" w:fill="auto"/>
          </w:tcPr>
          <w:p w:rsidR="00A540DD" w:rsidRPr="005C4B16" w:rsidRDefault="00A540DD" w:rsidP="00A540DD">
            <w:pPr>
              <w:rPr>
                <w:b/>
                <w:sz w:val="20"/>
                <w:szCs w:val="20"/>
              </w:rPr>
            </w:pPr>
            <w:r w:rsidRPr="005C4B16">
              <w:rPr>
                <w:b/>
                <w:sz w:val="20"/>
                <w:szCs w:val="20"/>
              </w:rPr>
              <w:t>Measure</w:t>
            </w:r>
          </w:p>
        </w:tc>
        <w:tc>
          <w:tcPr>
            <w:tcW w:w="3096" w:type="dxa"/>
            <w:shd w:val="clear" w:color="auto" w:fill="auto"/>
          </w:tcPr>
          <w:p w:rsidR="00A540DD" w:rsidRPr="005C4B16" w:rsidRDefault="00A540DD" w:rsidP="00A540DD">
            <w:pPr>
              <w:rPr>
                <w:b/>
                <w:sz w:val="20"/>
                <w:szCs w:val="20"/>
              </w:rPr>
            </w:pPr>
            <w:r w:rsidRPr="005C4B16">
              <w:rPr>
                <w:b/>
                <w:sz w:val="20"/>
                <w:szCs w:val="20"/>
              </w:rPr>
              <w:t xml:space="preserve">KPI </w:t>
            </w:r>
          </w:p>
        </w:tc>
        <w:tc>
          <w:tcPr>
            <w:tcW w:w="1276" w:type="dxa"/>
            <w:shd w:val="clear" w:color="auto" w:fill="auto"/>
          </w:tcPr>
          <w:p w:rsidR="00A540DD" w:rsidRPr="005C4B16" w:rsidRDefault="00A540DD" w:rsidP="00090DBB">
            <w:pPr>
              <w:jc w:val="right"/>
              <w:rPr>
                <w:b/>
                <w:sz w:val="20"/>
                <w:szCs w:val="20"/>
              </w:rPr>
            </w:pPr>
            <w:r w:rsidRPr="005C4B16">
              <w:rPr>
                <w:b/>
                <w:sz w:val="20"/>
                <w:szCs w:val="20"/>
              </w:rPr>
              <w:t>2014-15</w:t>
            </w:r>
          </w:p>
        </w:tc>
        <w:tc>
          <w:tcPr>
            <w:tcW w:w="1276" w:type="dxa"/>
          </w:tcPr>
          <w:p w:rsidR="00A540DD" w:rsidRPr="005C4B16" w:rsidRDefault="00A540DD" w:rsidP="00090DBB">
            <w:pPr>
              <w:jc w:val="right"/>
              <w:rPr>
                <w:b/>
                <w:sz w:val="20"/>
                <w:szCs w:val="20"/>
              </w:rPr>
            </w:pPr>
            <w:r w:rsidRPr="005C4B16">
              <w:rPr>
                <w:b/>
                <w:sz w:val="20"/>
                <w:szCs w:val="20"/>
              </w:rPr>
              <w:t>2015-16</w:t>
            </w:r>
          </w:p>
        </w:tc>
        <w:tc>
          <w:tcPr>
            <w:tcW w:w="1257" w:type="dxa"/>
            <w:shd w:val="clear" w:color="auto" w:fill="auto"/>
          </w:tcPr>
          <w:p w:rsidR="00A540DD" w:rsidRPr="005C4B16" w:rsidRDefault="00A540DD" w:rsidP="00090DBB">
            <w:pPr>
              <w:jc w:val="right"/>
              <w:rPr>
                <w:b/>
                <w:sz w:val="20"/>
                <w:szCs w:val="20"/>
              </w:rPr>
            </w:pPr>
            <w:r w:rsidRPr="005C4B16">
              <w:rPr>
                <w:b/>
                <w:sz w:val="20"/>
                <w:szCs w:val="20"/>
              </w:rPr>
              <w:t>2016-17</w:t>
            </w:r>
          </w:p>
        </w:tc>
        <w:tc>
          <w:tcPr>
            <w:tcW w:w="1350" w:type="dxa"/>
          </w:tcPr>
          <w:p w:rsidR="00A540DD" w:rsidRPr="005C4B16" w:rsidRDefault="00A540DD" w:rsidP="00090DBB">
            <w:pPr>
              <w:jc w:val="right"/>
              <w:rPr>
                <w:b/>
                <w:sz w:val="20"/>
                <w:szCs w:val="20"/>
              </w:rPr>
            </w:pPr>
            <w:r w:rsidRPr="005C4B16">
              <w:rPr>
                <w:b/>
                <w:sz w:val="20"/>
                <w:szCs w:val="20"/>
              </w:rPr>
              <w:t>Notes</w:t>
            </w:r>
          </w:p>
        </w:tc>
      </w:tr>
      <w:tr w:rsidR="00A540DD" w:rsidRPr="005C4B16" w:rsidTr="00A540DD">
        <w:tc>
          <w:tcPr>
            <w:tcW w:w="1497" w:type="dxa"/>
            <w:vMerge w:val="restart"/>
          </w:tcPr>
          <w:p w:rsidR="00A540DD" w:rsidRPr="005C4B16" w:rsidRDefault="00A540DD" w:rsidP="00A540DD">
            <w:pPr>
              <w:rPr>
                <w:sz w:val="20"/>
                <w:szCs w:val="20"/>
              </w:rPr>
            </w:pPr>
            <w:r w:rsidRPr="005C4B16">
              <w:rPr>
                <w:sz w:val="20"/>
                <w:szCs w:val="20"/>
              </w:rPr>
              <w:t xml:space="preserve">Incidents </w:t>
            </w:r>
          </w:p>
        </w:tc>
        <w:tc>
          <w:tcPr>
            <w:tcW w:w="3096" w:type="dxa"/>
          </w:tcPr>
          <w:p w:rsidR="00A540DD" w:rsidRPr="005C4B16" w:rsidRDefault="00A540DD" w:rsidP="00A540DD">
            <w:pPr>
              <w:rPr>
                <w:sz w:val="20"/>
                <w:szCs w:val="20"/>
              </w:rPr>
            </w:pPr>
            <w:r w:rsidRPr="005C4B16">
              <w:rPr>
                <w:sz w:val="20"/>
                <w:szCs w:val="20"/>
              </w:rPr>
              <w:t xml:space="preserve">Number of incidents </w:t>
            </w:r>
          </w:p>
        </w:tc>
        <w:tc>
          <w:tcPr>
            <w:tcW w:w="1276" w:type="dxa"/>
          </w:tcPr>
          <w:p w:rsidR="00A540DD" w:rsidRPr="005C4B16" w:rsidRDefault="00A540DD" w:rsidP="00090DBB">
            <w:pPr>
              <w:jc w:val="right"/>
              <w:rPr>
                <w:sz w:val="20"/>
                <w:szCs w:val="20"/>
              </w:rPr>
            </w:pPr>
            <w:r w:rsidRPr="005C4B16">
              <w:rPr>
                <w:sz w:val="20"/>
                <w:szCs w:val="20"/>
              </w:rPr>
              <w:t>124</w:t>
            </w:r>
          </w:p>
        </w:tc>
        <w:tc>
          <w:tcPr>
            <w:tcW w:w="1276" w:type="dxa"/>
          </w:tcPr>
          <w:p w:rsidR="00A540DD" w:rsidRPr="005C4B16" w:rsidRDefault="00A540DD" w:rsidP="00090DBB">
            <w:pPr>
              <w:jc w:val="right"/>
              <w:rPr>
                <w:sz w:val="20"/>
                <w:szCs w:val="20"/>
              </w:rPr>
            </w:pPr>
            <w:r w:rsidRPr="005C4B16">
              <w:rPr>
                <w:sz w:val="20"/>
                <w:szCs w:val="20"/>
              </w:rPr>
              <w:t>159</w:t>
            </w:r>
          </w:p>
        </w:tc>
        <w:tc>
          <w:tcPr>
            <w:tcW w:w="1257" w:type="dxa"/>
          </w:tcPr>
          <w:p w:rsidR="00A540DD" w:rsidRPr="005C4B16" w:rsidRDefault="00A540DD" w:rsidP="00090DBB">
            <w:pPr>
              <w:jc w:val="right"/>
              <w:rPr>
                <w:sz w:val="20"/>
                <w:szCs w:val="20"/>
              </w:rPr>
            </w:pPr>
            <w:r w:rsidRPr="005C4B16">
              <w:rPr>
                <w:sz w:val="20"/>
                <w:szCs w:val="20"/>
              </w:rPr>
              <w:t xml:space="preserve">154 </w:t>
            </w:r>
          </w:p>
        </w:tc>
        <w:tc>
          <w:tcPr>
            <w:tcW w:w="1350" w:type="dxa"/>
          </w:tcPr>
          <w:p w:rsidR="00A540DD" w:rsidRPr="005C4B16" w:rsidRDefault="00A540DD" w:rsidP="00090DBB">
            <w:pPr>
              <w:jc w:val="right"/>
              <w:rPr>
                <w:sz w:val="20"/>
                <w:szCs w:val="20"/>
              </w:rPr>
            </w:pPr>
            <w:r w:rsidRPr="005C4B16">
              <w:rPr>
                <w:sz w:val="20"/>
                <w:szCs w:val="20"/>
              </w:rPr>
              <w:t>1</w:t>
            </w:r>
          </w:p>
        </w:tc>
      </w:tr>
      <w:tr w:rsidR="00A540DD" w:rsidRPr="005C4B16" w:rsidTr="00A540DD">
        <w:tc>
          <w:tcPr>
            <w:tcW w:w="1497" w:type="dxa"/>
            <w:vMerge/>
          </w:tcPr>
          <w:p w:rsidR="00A540DD" w:rsidRPr="005C4B16" w:rsidRDefault="00A540DD" w:rsidP="00A540DD">
            <w:pPr>
              <w:rPr>
                <w:sz w:val="20"/>
                <w:szCs w:val="20"/>
              </w:rPr>
            </w:pPr>
          </w:p>
        </w:tc>
        <w:tc>
          <w:tcPr>
            <w:tcW w:w="3096" w:type="dxa"/>
          </w:tcPr>
          <w:p w:rsidR="00A540DD" w:rsidRPr="005C4B16" w:rsidRDefault="00A540DD" w:rsidP="00A540DD">
            <w:pPr>
              <w:rPr>
                <w:sz w:val="20"/>
                <w:szCs w:val="20"/>
              </w:rPr>
            </w:pPr>
            <w:r w:rsidRPr="005C4B16">
              <w:rPr>
                <w:sz w:val="20"/>
                <w:szCs w:val="20"/>
              </w:rPr>
              <w:t>Rate per 100 FTE</w:t>
            </w:r>
          </w:p>
        </w:tc>
        <w:tc>
          <w:tcPr>
            <w:tcW w:w="1276" w:type="dxa"/>
          </w:tcPr>
          <w:p w:rsidR="00A540DD" w:rsidRPr="005C4B16" w:rsidRDefault="00A540DD" w:rsidP="00090DBB">
            <w:pPr>
              <w:jc w:val="right"/>
              <w:rPr>
                <w:sz w:val="20"/>
                <w:szCs w:val="20"/>
              </w:rPr>
            </w:pPr>
            <w:r w:rsidRPr="005C4B16">
              <w:rPr>
                <w:sz w:val="20"/>
                <w:szCs w:val="20"/>
              </w:rPr>
              <w:t>6.3</w:t>
            </w:r>
          </w:p>
        </w:tc>
        <w:tc>
          <w:tcPr>
            <w:tcW w:w="1276" w:type="dxa"/>
          </w:tcPr>
          <w:p w:rsidR="00A540DD" w:rsidRPr="005C4B16" w:rsidRDefault="00A540DD" w:rsidP="00090DBB">
            <w:pPr>
              <w:jc w:val="right"/>
              <w:rPr>
                <w:sz w:val="20"/>
                <w:szCs w:val="20"/>
              </w:rPr>
            </w:pPr>
            <w:r w:rsidRPr="005C4B16">
              <w:rPr>
                <w:sz w:val="20"/>
                <w:szCs w:val="20"/>
              </w:rPr>
              <w:t>8.1</w:t>
            </w:r>
          </w:p>
        </w:tc>
        <w:tc>
          <w:tcPr>
            <w:tcW w:w="1257" w:type="dxa"/>
          </w:tcPr>
          <w:p w:rsidR="00A540DD" w:rsidRPr="005C4B16" w:rsidRDefault="0008217F" w:rsidP="00090DBB">
            <w:pPr>
              <w:jc w:val="right"/>
              <w:rPr>
                <w:sz w:val="20"/>
                <w:szCs w:val="20"/>
              </w:rPr>
            </w:pPr>
            <w:r>
              <w:rPr>
                <w:sz w:val="20"/>
                <w:szCs w:val="20"/>
              </w:rPr>
              <w:t>7.5</w:t>
            </w:r>
            <w:r w:rsidR="00A540DD" w:rsidRPr="005C4B16">
              <w:rPr>
                <w:sz w:val="20"/>
                <w:szCs w:val="20"/>
              </w:rPr>
              <w:t xml:space="preserve"> </w:t>
            </w:r>
          </w:p>
        </w:tc>
        <w:tc>
          <w:tcPr>
            <w:tcW w:w="1350" w:type="dxa"/>
          </w:tcPr>
          <w:p w:rsidR="00A540DD" w:rsidRPr="005C4B16" w:rsidRDefault="00A540DD" w:rsidP="00090DBB">
            <w:pPr>
              <w:jc w:val="right"/>
              <w:rPr>
                <w:sz w:val="20"/>
                <w:szCs w:val="20"/>
              </w:rPr>
            </w:pPr>
          </w:p>
        </w:tc>
      </w:tr>
      <w:tr w:rsidR="00A540DD" w:rsidRPr="005C4B16" w:rsidTr="00A540DD">
        <w:tc>
          <w:tcPr>
            <w:tcW w:w="1497" w:type="dxa"/>
            <w:vMerge w:val="restart"/>
          </w:tcPr>
          <w:p w:rsidR="00A540DD" w:rsidRPr="005C4B16" w:rsidRDefault="00A540DD" w:rsidP="00A540DD">
            <w:pPr>
              <w:rPr>
                <w:sz w:val="20"/>
                <w:szCs w:val="20"/>
              </w:rPr>
            </w:pPr>
            <w:r w:rsidRPr="005C4B16">
              <w:rPr>
                <w:sz w:val="20"/>
                <w:szCs w:val="20"/>
              </w:rPr>
              <w:t xml:space="preserve">Claims </w:t>
            </w:r>
          </w:p>
        </w:tc>
        <w:tc>
          <w:tcPr>
            <w:tcW w:w="3096" w:type="dxa"/>
          </w:tcPr>
          <w:p w:rsidR="00A540DD" w:rsidRPr="005C4B16" w:rsidRDefault="00A540DD" w:rsidP="00A540DD">
            <w:pPr>
              <w:rPr>
                <w:sz w:val="20"/>
                <w:szCs w:val="20"/>
              </w:rPr>
            </w:pPr>
            <w:r w:rsidRPr="005C4B16">
              <w:rPr>
                <w:sz w:val="20"/>
                <w:szCs w:val="20"/>
              </w:rPr>
              <w:t>Number of standard claims</w:t>
            </w:r>
          </w:p>
        </w:tc>
        <w:tc>
          <w:tcPr>
            <w:tcW w:w="1276" w:type="dxa"/>
          </w:tcPr>
          <w:p w:rsidR="00A540DD" w:rsidRPr="005C4B16" w:rsidRDefault="00A540DD" w:rsidP="00090DBB">
            <w:pPr>
              <w:jc w:val="right"/>
              <w:rPr>
                <w:sz w:val="20"/>
                <w:szCs w:val="20"/>
              </w:rPr>
            </w:pPr>
            <w:r w:rsidRPr="005C4B16">
              <w:rPr>
                <w:sz w:val="20"/>
                <w:szCs w:val="20"/>
              </w:rPr>
              <w:t>7</w:t>
            </w:r>
          </w:p>
        </w:tc>
        <w:tc>
          <w:tcPr>
            <w:tcW w:w="1276" w:type="dxa"/>
          </w:tcPr>
          <w:p w:rsidR="00A540DD" w:rsidRPr="005C4B16" w:rsidRDefault="00A540DD" w:rsidP="00090DBB">
            <w:pPr>
              <w:jc w:val="right"/>
              <w:rPr>
                <w:sz w:val="20"/>
                <w:szCs w:val="20"/>
              </w:rPr>
            </w:pPr>
            <w:r w:rsidRPr="005C4B16">
              <w:rPr>
                <w:sz w:val="20"/>
                <w:szCs w:val="20"/>
              </w:rPr>
              <w:t>5</w:t>
            </w:r>
          </w:p>
        </w:tc>
        <w:tc>
          <w:tcPr>
            <w:tcW w:w="1257" w:type="dxa"/>
          </w:tcPr>
          <w:p w:rsidR="00A540DD" w:rsidRPr="005C4B16" w:rsidRDefault="00A540DD" w:rsidP="00090DBB">
            <w:pPr>
              <w:jc w:val="right"/>
              <w:rPr>
                <w:sz w:val="20"/>
                <w:szCs w:val="20"/>
              </w:rPr>
            </w:pPr>
            <w:r w:rsidRPr="005C4B16">
              <w:rPr>
                <w:sz w:val="20"/>
                <w:szCs w:val="20"/>
              </w:rPr>
              <w:t>10</w:t>
            </w:r>
          </w:p>
        </w:tc>
        <w:tc>
          <w:tcPr>
            <w:tcW w:w="1350" w:type="dxa"/>
          </w:tcPr>
          <w:p w:rsidR="00A540DD" w:rsidRPr="005C4B16" w:rsidRDefault="00A540DD" w:rsidP="00090DBB">
            <w:pPr>
              <w:jc w:val="right"/>
              <w:rPr>
                <w:sz w:val="20"/>
                <w:szCs w:val="20"/>
              </w:rPr>
            </w:pPr>
            <w:r w:rsidRPr="005C4B16">
              <w:rPr>
                <w:sz w:val="20"/>
                <w:szCs w:val="20"/>
              </w:rPr>
              <w:t>2</w:t>
            </w:r>
          </w:p>
        </w:tc>
      </w:tr>
      <w:tr w:rsidR="00A540DD" w:rsidRPr="005C4B16" w:rsidTr="00A540DD">
        <w:tc>
          <w:tcPr>
            <w:tcW w:w="1497" w:type="dxa"/>
            <w:vMerge/>
          </w:tcPr>
          <w:p w:rsidR="00A540DD" w:rsidRPr="005C4B16" w:rsidRDefault="00A540DD" w:rsidP="00A540DD">
            <w:pPr>
              <w:rPr>
                <w:sz w:val="20"/>
                <w:szCs w:val="20"/>
              </w:rPr>
            </w:pPr>
          </w:p>
        </w:tc>
        <w:tc>
          <w:tcPr>
            <w:tcW w:w="3096" w:type="dxa"/>
          </w:tcPr>
          <w:p w:rsidR="00A540DD" w:rsidRPr="005C4B16" w:rsidRDefault="00A540DD" w:rsidP="00A540DD">
            <w:pPr>
              <w:rPr>
                <w:sz w:val="20"/>
                <w:szCs w:val="20"/>
              </w:rPr>
            </w:pPr>
            <w:r w:rsidRPr="005C4B16">
              <w:rPr>
                <w:sz w:val="20"/>
                <w:szCs w:val="20"/>
              </w:rPr>
              <w:t>Rate per 100 FTE</w:t>
            </w:r>
          </w:p>
        </w:tc>
        <w:tc>
          <w:tcPr>
            <w:tcW w:w="1276" w:type="dxa"/>
          </w:tcPr>
          <w:p w:rsidR="00A540DD" w:rsidRPr="005C4B16" w:rsidRDefault="00A540DD" w:rsidP="00090DBB">
            <w:pPr>
              <w:jc w:val="right"/>
              <w:rPr>
                <w:sz w:val="20"/>
                <w:szCs w:val="20"/>
              </w:rPr>
            </w:pPr>
            <w:r w:rsidRPr="005C4B16">
              <w:rPr>
                <w:sz w:val="20"/>
                <w:szCs w:val="20"/>
              </w:rPr>
              <w:t>0.35551</w:t>
            </w:r>
          </w:p>
        </w:tc>
        <w:tc>
          <w:tcPr>
            <w:tcW w:w="1276" w:type="dxa"/>
          </w:tcPr>
          <w:p w:rsidR="00A540DD" w:rsidRPr="005C4B16" w:rsidRDefault="00A540DD" w:rsidP="00090DBB">
            <w:pPr>
              <w:jc w:val="right"/>
              <w:rPr>
                <w:sz w:val="20"/>
                <w:szCs w:val="20"/>
              </w:rPr>
            </w:pPr>
            <w:r w:rsidRPr="005C4B16">
              <w:rPr>
                <w:sz w:val="20"/>
                <w:szCs w:val="20"/>
              </w:rPr>
              <w:t>0.25694</w:t>
            </w:r>
          </w:p>
        </w:tc>
        <w:tc>
          <w:tcPr>
            <w:tcW w:w="1257" w:type="dxa"/>
          </w:tcPr>
          <w:p w:rsidR="00A540DD" w:rsidRPr="005C4B16" w:rsidRDefault="0008217F" w:rsidP="00090DBB">
            <w:pPr>
              <w:jc w:val="right"/>
              <w:rPr>
                <w:sz w:val="20"/>
                <w:szCs w:val="20"/>
              </w:rPr>
            </w:pPr>
            <w:r w:rsidRPr="0008217F">
              <w:rPr>
                <w:sz w:val="20"/>
                <w:szCs w:val="20"/>
              </w:rPr>
              <w:t>0.48591</w:t>
            </w:r>
          </w:p>
        </w:tc>
        <w:tc>
          <w:tcPr>
            <w:tcW w:w="1350" w:type="dxa"/>
          </w:tcPr>
          <w:p w:rsidR="00A540DD" w:rsidRPr="005C4B16" w:rsidRDefault="00A540DD" w:rsidP="00090DBB">
            <w:pPr>
              <w:jc w:val="right"/>
              <w:rPr>
                <w:sz w:val="20"/>
                <w:szCs w:val="20"/>
              </w:rPr>
            </w:pPr>
            <w:r w:rsidRPr="005C4B16">
              <w:rPr>
                <w:sz w:val="20"/>
                <w:szCs w:val="20"/>
              </w:rPr>
              <w:t>2</w:t>
            </w:r>
          </w:p>
        </w:tc>
      </w:tr>
      <w:tr w:rsidR="00A540DD" w:rsidRPr="005C4B16" w:rsidTr="00A540DD">
        <w:tc>
          <w:tcPr>
            <w:tcW w:w="1497" w:type="dxa"/>
            <w:vMerge/>
          </w:tcPr>
          <w:p w:rsidR="00A540DD" w:rsidRPr="005C4B16" w:rsidRDefault="00A540DD" w:rsidP="00A540DD">
            <w:pPr>
              <w:rPr>
                <w:sz w:val="20"/>
                <w:szCs w:val="20"/>
              </w:rPr>
            </w:pPr>
          </w:p>
        </w:tc>
        <w:tc>
          <w:tcPr>
            <w:tcW w:w="3096" w:type="dxa"/>
          </w:tcPr>
          <w:p w:rsidR="00A540DD" w:rsidRPr="005C4B16" w:rsidRDefault="00A540DD" w:rsidP="00A540DD">
            <w:pPr>
              <w:rPr>
                <w:sz w:val="20"/>
                <w:szCs w:val="20"/>
              </w:rPr>
            </w:pPr>
            <w:r w:rsidRPr="005C4B16">
              <w:rPr>
                <w:sz w:val="20"/>
                <w:szCs w:val="20"/>
              </w:rPr>
              <w:t>Number of lost time claims</w:t>
            </w:r>
          </w:p>
        </w:tc>
        <w:tc>
          <w:tcPr>
            <w:tcW w:w="1276" w:type="dxa"/>
          </w:tcPr>
          <w:p w:rsidR="00A540DD" w:rsidRPr="005C4B16" w:rsidRDefault="00A540DD" w:rsidP="00090DBB">
            <w:pPr>
              <w:jc w:val="right"/>
              <w:rPr>
                <w:sz w:val="20"/>
                <w:szCs w:val="20"/>
              </w:rPr>
            </w:pPr>
            <w:r w:rsidRPr="005C4B16">
              <w:rPr>
                <w:sz w:val="20"/>
                <w:szCs w:val="20"/>
              </w:rPr>
              <w:t>5</w:t>
            </w:r>
          </w:p>
        </w:tc>
        <w:tc>
          <w:tcPr>
            <w:tcW w:w="1276" w:type="dxa"/>
          </w:tcPr>
          <w:p w:rsidR="00A540DD" w:rsidRPr="005C4B16" w:rsidRDefault="00A540DD" w:rsidP="00090DBB">
            <w:pPr>
              <w:jc w:val="right"/>
              <w:rPr>
                <w:sz w:val="20"/>
                <w:szCs w:val="20"/>
              </w:rPr>
            </w:pPr>
            <w:r w:rsidRPr="005C4B16">
              <w:rPr>
                <w:sz w:val="20"/>
                <w:szCs w:val="20"/>
              </w:rPr>
              <w:t>2</w:t>
            </w:r>
          </w:p>
        </w:tc>
        <w:tc>
          <w:tcPr>
            <w:tcW w:w="1257" w:type="dxa"/>
          </w:tcPr>
          <w:p w:rsidR="00A540DD" w:rsidRPr="005C4B16" w:rsidRDefault="00A540DD" w:rsidP="00090DBB">
            <w:pPr>
              <w:jc w:val="right"/>
              <w:rPr>
                <w:sz w:val="20"/>
                <w:szCs w:val="20"/>
              </w:rPr>
            </w:pPr>
            <w:r w:rsidRPr="005C4B16">
              <w:rPr>
                <w:sz w:val="20"/>
                <w:szCs w:val="20"/>
              </w:rPr>
              <w:t>2</w:t>
            </w:r>
          </w:p>
        </w:tc>
        <w:tc>
          <w:tcPr>
            <w:tcW w:w="1350" w:type="dxa"/>
          </w:tcPr>
          <w:p w:rsidR="00A540DD" w:rsidRPr="005C4B16" w:rsidRDefault="00A540DD" w:rsidP="00090DBB">
            <w:pPr>
              <w:jc w:val="right"/>
              <w:rPr>
                <w:sz w:val="20"/>
                <w:szCs w:val="20"/>
              </w:rPr>
            </w:pPr>
            <w:r w:rsidRPr="005C4B16">
              <w:rPr>
                <w:sz w:val="20"/>
                <w:szCs w:val="20"/>
              </w:rPr>
              <w:t>2</w:t>
            </w:r>
          </w:p>
        </w:tc>
      </w:tr>
      <w:tr w:rsidR="00A540DD" w:rsidRPr="005C4B16" w:rsidTr="00A540DD">
        <w:tc>
          <w:tcPr>
            <w:tcW w:w="1497" w:type="dxa"/>
            <w:vMerge/>
          </w:tcPr>
          <w:p w:rsidR="00A540DD" w:rsidRPr="005C4B16" w:rsidRDefault="00A540DD" w:rsidP="00A540DD">
            <w:pPr>
              <w:rPr>
                <w:sz w:val="20"/>
                <w:szCs w:val="20"/>
              </w:rPr>
            </w:pPr>
          </w:p>
        </w:tc>
        <w:tc>
          <w:tcPr>
            <w:tcW w:w="3096" w:type="dxa"/>
          </w:tcPr>
          <w:p w:rsidR="00A540DD" w:rsidRPr="005C4B16" w:rsidRDefault="00A540DD" w:rsidP="00A540DD">
            <w:pPr>
              <w:rPr>
                <w:sz w:val="20"/>
                <w:szCs w:val="20"/>
              </w:rPr>
            </w:pPr>
            <w:r w:rsidRPr="005C4B16">
              <w:rPr>
                <w:sz w:val="20"/>
                <w:szCs w:val="20"/>
              </w:rPr>
              <w:t>Rate per 100 FTE</w:t>
            </w:r>
          </w:p>
        </w:tc>
        <w:tc>
          <w:tcPr>
            <w:tcW w:w="1276" w:type="dxa"/>
          </w:tcPr>
          <w:p w:rsidR="00A540DD" w:rsidRPr="005C4B16" w:rsidRDefault="00A540DD" w:rsidP="00090DBB">
            <w:pPr>
              <w:jc w:val="right"/>
              <w:rPr>
                <w:sz w:val="20"/>
                <w:szCs w:val="20"/>
              </w:rPr>
            </w:pPr>
            <w:r w:rsidRPr="005C4B16">
              <w:rPr>
                <w:sz w:val="20"/>
                <w:szCs w:val="20"/>
              </w:rPr>
              <w:t>0.25394</w:t>
            </w:r>
          </w:p>
        </w:tc>
        <w:tc>
          <w:tcPr>
            <w:tcW w:w="1276" w:type="dxa"/>
          </w:tcPr>
          <w:p w:rsidR="00A540DD" w:rsidRPr="005C4B16" w:rsidRDefault="00A540DD" w:rsidP="00090DBB">
            <w:pPr>
              <w:jc w:val="right"/>
              <w:rPr>
                <w:sz w:val="20"/>
                <w:szCs w:val="20"/>
              </w:rPr>
            </w:pPr>
            <w:r w:rsidRPr="005C4B16">
              <w:rPr>
                <w:sz w:val="20"/>
                <w:szCs w:val="20"/>
              </w:rPr>
              <w:t>0.10277</w:t>
            </w:r>
          </w:p>
        </w:tc>
        <w:tc>
          <w:tcPr>
            <w:tcW w:w="1257" w:type="dxa"/>
          </w:tcPr>
          <w:p w:rsidR="00A540DD" w:rsidRPr="005C4B16" w:rsidRDefault="0008217F" w:rsidP="00090DBB">
            <w:pPr>
              <w:jc w:val="right"/>
              <w:rPr>
                <w:sz w:val="20"/>
                <w:szCs w:val="20"/>
              </w:rPr>
            </w:pPr>
            <w:r w:rsidRPr="0008217F">
              <w:rPr>
                <w:sz w:val="20"/>
                <w:szCs w:val="20"/>
              </w:rPr>
              <w:t>0.09718</w:t>
            </w:r>
          </w:p>
        </w:tc>
        <w:tc>
          <w:tcPr>
            <w:tcW w:w="1350" w:type="dxa"/>
          </w:tcPr>
          <w:p w:rsidR="00A540DD" w:rsidRPr="005C4B16" w:rsidRDefault="00A540DD" w:rsidP="00090DBB">
            <w:pPr>
              <w:jc w:val="right"/>
              <w:rPr>
                <w:sz w:val="20"/>
                <w:szCs w:val="20"/>
              </w:rPr>
            </w:pPr>
            <w:r w:rsidRPr="005C4B16">
              <w:rPr>
                <w:sz w:val="20"/>
                <w:szCs w:val="20"/>
              </w:rPr>
              <w:t>2</w:t>
            </w:r>
          </w:p>
        </w:tc>
      </w:tr>
      <w:tr w:rsidR="00A540DD" w:rsidRPr="005C4B16" w:rsidTr="00A540DD">
        <w:tc>
          <w:tcPr>
            <w:tcW w:w="1497" w:type="dxa"/>
            <w:vMerge/>
          </w:tcPr>
          <w:p w:rsidR="00A540DD" w:rsidRPr="005C4B16" w:rsidRDefault="00A540DD" w:rsidP="00A540DD">
            <w:pPr>
              <w:rPr>
                <w:sz w:val="20"/>
                <w:szCs w:val="20"/>
              </w:rPr>
            </w:pPr>
          </w:p>
        </w:tc>
        <w:tc>
          <w:tcPr>
            <w:tcW w:w="3096" w:type="dxa"/>
          </w:tcPr>
          <w:p w:rsidR="00A540DD" w:rsidRPr="005C4B16" w:rsidRDefault="00A540DD" w:rsidP="00A540DD">
            <w:pPr>
              <w:rPr>
                <w:sz w:val="20"/>
                <w:szCs w:val="20"/>
              </w:rPr>
            </w:pPr>
            <w:r w:rsidRPr="005C4B16">
              <w:rPr>
                <w:sz w:val="20"/>
                <w:szCs w:val="20"/>
              </w:rPr>
              <w:t>Number of claims exceeding 13 weeks</w:t>
            </w:r>
          </w:p>
        </w:tc>
        <w:tc>
          <w:tcPr>
            <w:tcW w:w="1276" w:type="dxa"/>
          </w:tcPr>
          <w:p w:rsidR="00A540DD" w:rsidRPr="005C4B16" w:rsidRDefault="00A540DD" w:rsidP="00090DBB">
            <w:pPr>
              <w:jc w:val="right"/>
              <w:rPr>
                <w:sz w:val="20"/>
                <w:szCs w:val="20"/>
              </w:rPr>
            </w:pPr>
            <w:r w:rsidRPr="005C4B16">
              <w:rPr>
                <w:sz w:val="20"/>
                <w:szCs w:val="20"/>
              </w:rPr>
              <w:t>2</w:t>
            </w:r>
          </w:p>
        </w:tc>
        <w:tc>
          <w:tcPr>
            <w:tcW w:w="1276" w:type="dxa"/>
          </w:tcPr>
          <w:p w:rsidR="00A540DD" w:rsidRPr="005C4B16" w:rsidRDefault="00A540DD" w:rsidP="00090DBB">
            <w:pPr>
              <w:jc w:val="right"/>
              <w:rPr>
                <w:sz w:val="20"/>
                <w:szCs w:val="20"/>
              </w:rPr>
            </w:pPr>
            <w:r w:rsidRPr="005C4B16">
              <w:rPr>
                <w:sz w:val="20"/>
                <w:szCs w:val="20"/>
              </w:rPr>
              <w:t>2</w:t>
            </w:r>
          </w:p>
        </w:tc>
        <w:tc>
          <w:tcPr>
            <w:tcW w:w="1257" w:type="dxa"/>
          </w:tcPr>
          <w:p w:rsidR="00A540DD" w:rsidRPr="005C4B16" w:rsidRDefault="00A540DD" w:rsidP="00090DBB">
            <w:pPr>
              <w:jc w:val="right"/>
              <w:rPr>
                <w:sz w:val="20"/>
                <w:szCs w:val="20"/>
              </w:rPr>
            </w:pPr>
            <w:r w:rsidRPr="005C4B16">
              <w:rPr>
                <w:sz w:val="20"/>
                <w:szCs w:val="20"/>
              </w:rPr>
              <w:t>2</w:t>
            </w:r>
          </w:p>
        </w:tc>
        <w:tc>
          <w:tcPr>
            <w:tcW w:w="1350" w:type="dxa"/>
          </w:tcPr>
          <w:p w:rsidR="00A540DD" w:rsidRPr="005C4B16" w:rsidRDefault="00A540DD" w:rsidP="00090DBB">
            <w:pPr>
              <w:jc w:val="right"/>
              <w:rPr>
                <w:sz w:val="20"/>
                <w:szCs w:val="20"/>
              </w:rPr>
            </w:pPr>
            <w:r w:rsidRPr="005C4B16">
              <w:rPr>
                <w:sz w:val="20"/>
                <w:szCs w:val="20"/>
              </w:rPr>
              <w:t>2</w:t>
            </w:r>
          </w:p>
        </w:tc>
      </w:tr>
      <w:tr w:rsidR="00A540DD" w:rsidRPr="005C4B16" w:rsidTr="00A540DD">
        <w:tc>
          <w:tcPr>
            <w:tcW w:w="1497" w:type="dxa"/>
            <w:vMerge/>
          </w:tcPr>
          <w:p w:rsidR="00A540DD" w:rsidRPr="005C4B16" w:rsidRDefault="00A540DD" w:rsidP="00A540DD">
            <w:pPr>
              <w:rPr>
                <w:sz w:val="20"/>
                <w:szCs w:val="20"/>
              </w:rPr>
            </w:pPr>
          </w:p>
        </w:tc>
        <w:tc>
          <w:tcPr>
            <w:tcW w:w="3096" w:type="dxa"/>
          </w:tcPr>
          <w:p w:rsidR="00A540DD" w:rsidRPr="005C4B16" w:rsidRDefault="00A540DD" w:rsidP="00A540DD">
            <w:pPr>
              <w:rPr>
                <w:sz w:val="20"/>
                <w:szCs w:val="20"/>
              </w:rPr>
            </w:pPr>
            <w:r w:rsidRPr="005C4B16">
              <w:rPr>
                <w:sz w:val="20"/>
                <w:szCs w:val="20"/>
              </w:rPr>
              <w:t xml:space="preserve">Rate per 100 FTE </w:t>
            </w:r>
          </w:p>
        </w:tc>
        <w:tc>
          <w:tcPr>
            <w:tcW w:w="1276" w:type="dxa"/>
          </w:tcPr>
          <w:p w:rsidR="00A540DD" w:rsidRPr="005C4B16" w:rsidRDefault="00A540DD" w:rsidP="00090DBB">
            <w:pPr>
              <w:jc w:val="right"/>
              <w:rPr>
                <w:sz w:val="20"/>
                <w:szCs w:val="20"/>
              </w:rPr>
            </w:pPr>
            <w:r w:rsidRPr="005C4B16">
              <w:rPr>
                <w:sz w:val="20"/>
                <w:szCs w:val="20"/>
              </w:rPr>
              <w:t>0.10157</w:t>
            </w:r>
          </w:p>
        </w:tc>
        <w:tc>
          <w:tcPr>
            <w:tcW w:w="1276" w:type="dxa"/>
          </w:tcPr>
          <w:p w:rsidR="00A540DD" w:rsidRPr="005C4B16" w:rsidRDefault="00A540DD" w:rsidP="00090DBB">
            <w:pPr>
              <w:jc w:val="right"/>
              <w:rPr>
                <w:sz w:val="20"/>
                <w:szCs w:val="20"/>
              </w:rPr>
            </w:pPr>
            <w:r w:rsidRPr="005C4B16">
              <w:rPr>
                <w:sz w:val="20"/>
                <w:szCs w:val="20"/>
              </w:rPr>
              <w:t>0.10277</w:t>
            </w:r>
          </w:p>
        </w:tc>
        <w:tc>
          <w:tcPr>
            <w:tcW w:w="1257" w:type="dxa"/>
          </w:tcPr>
          <w:p w:rsidR="00A540DD" w:rsidRPr="005C4B16" w:rsidRDefault="0008217F" w:rsidP="00090DBB">
            <w:pPr>
              <w:jc w:val="right"/>
              <w:rPr>
                <w:sz w:val="20"/>
                <w:szCs w:val="20"/>
              </w:rPr>
            </w:pPr>
            <w:r w:rsidRPr="0008217F">
              <w:rPr>
                <w:sz w:val="20"/>
                <w:szCs w:val="20"/>
              </w:rPr>
              <w:t>0.09718</w:t>
            </w:r>
          </w:p>
        </w:tc>
        <w:tc>
          <w:tcPr>
            <w:tcW w:w="1350" w:type="dxa"/>
          </w:tcPr>
          <w:p w:rsidR="00A540DD" w:rsidRPr="005C4B16" w:rsidRDefault="00A540DD" w:rsidP="00090DBB">
            <w:pPr>
              <w:jc w:val="right"/>
              <w:rPr>
                <w:sz w:val="20"/>
                <w:szCs w:val="20"/>
              </w:rPr>
            </w:pPr>
            <w:r w:rsidRPr="005C4B16">
              <w:rPr>
                <w:sz w:val="20"/>
                <w:szCs w:val="20"/>
              </w:rPr>
              <w:t>2</w:t>
            </w:r>
          </w:p>
        </w:tc>
      </w:tr>
      <w:tr w:rsidR="00A540DD" w:rsidRPr="005C4B16" w:rsidTr="00A540DD">
        <w:tc>
          <w:tcPr>
            <w:tcW w:w="1497" w:type="dxa"/>
          </w:tcPr>
          <w:p w:rsidR="00A540DD" w:rsidRPr="005C4B16" w:rsidRDefault="00A540DD" w:rsidP="00A540DD">
            <w:pPr>
              <w:rPr>
                <w:sz w:val="20"/>
                <w:szCs w:val="20"/>
              </w:rPr>
            </w:pPr>
            <w:r w:rsidRPr="005C4B16">
              <w:rPr>
                <w:sz w:val="20"/>
                <w:szCs w:val="20"/>
              </w:rPr>
              <w:t xml:space="preserve">Fatalities </w:t>
            </w:r>
          </w:p>
        </w:tc>
        <w:tc>
          <w:tcPr>
            <w:tcW w:w="3096" w:type="dxa"/>
          </w:tcPr>
          <w:p w:rsidR="00A540DD" w:rsidRPr="005C4B16" w:rsidRDefault="00A540DD" w:rsidP="00A540DD">
            <w:pPr>
              <w:rPr>
                <w:sz w:val="20"/>
                <w:szCs w:val="20"/>
              </w:rPr>
            </w:pPr>
            <w:r w:rsidRPr="005C4B16">
              <w:rPr>
                <w:sz w:val="20"/>
                <w:szCs w:val="20"/>
              </w:rPr>
              <w:t>Fatality claims</w:t>
            </w:r>
          </w:p>
        </w:tc>
        <w:tc>
          <w:tcPr>
            <w:tcW w:w="1276" w:type="dxa"/>
          </w:tcPr>
          <w:p w:rsidR="00A540DD" w:rsidRPr="005C4B16" w:rsidRDefault="00A540DD" w:rsidP="00090DBB">
            <w:pPr>
              <w:jc w:val="right"/>
              <w:rPr>
                <w:sz w:val="20"/>
                <w:szCs w:val="20"/>
              </w:rPr>
            </w:pPr>
            <w:r w:rsidRPr="005C4B16">
              <w:rPr>
                <w:sz w:val="20"/>
                <w:szCs w:val="20"/>
              </w:rPr>
              <w:t>0</w:t>
            </w:r>
          </w:p>
        </w:tc>
        <w:tc>
          <w:tcPr>
            <w:tcW w:w="1276" w:type="dxa"/>
          </w:tcPr>
          <w:p w:rsidR="00A540DD" w:rsidRPr="005C4B16" w:rsidRDefault="00A540DD" w:rsidP="00090DBB">
            <w:pPr>
              <w:jc w:val="right"/>
              <w:rPr>
                <w:sz w:val="20"/>
                <w:szCs w:val="20"/>
              </w:rPr>
            </w:pPr>
            <w:r w:rsidRPr="005C4B16">
              <w:rPr>
                <w:sz w:val="20"/>
                <w:szCs w:val="20"/>
              </w:rPr>
              <w:t>0</w:t>
            </w:r>
          </w:p>
        </w:tc>
        <w:tc>
          <w:tcPr>
            <w:tcW w:w="1257" w:type="dxa"/>
          </w:tcPr>
          <w:p w:rsidR="00A540DD" w:rsidRPr="005C4B16" w:rsidRDefault="00A540DD" w:rsidP="00090DBB">
            <w:pPr>
              <w:jc w:val="right"/>
              <w:rPr>
                <w:sz w:val="20"/>
                <w:szCs w:val="20"/>
              </w:rPr>
            </w:pPr>
            <w:r w:rsidRPr="005C4B16">
              <w:rPr>
                <w:sz w:val="20"/>
                <w:szCs w:val="20"/>
              </w:rPr>
              <w:t>0</w:t>
            </w:r>
          </w:p>
        </w:tc>
        <w:tc>
          <w:tcPr>
            <w:tcW w:w="1350" w:type="dxa"/>
          </w:tcPr>
          <w:p w:rsidR="00A540DD" w:rsidRPr="005C4B16" w:rsidRDefault="00A540DD" w:rsidP="00090DBB">
            <w:pPr>
              <w:jc w:val="right"/>
              <w:rPr>
                <w:sz w:val="20"/>
                <w:szCs w:val="20"/>
              </w:rPr>
            </w:pPr>
            <w:r w:rsidRPr="005C4B16">
              <w:rPr>
                <w:sz w:val="20"/>
                <w:szCs w:val="20"/>
              </w:rPr>
              <w:t>2</w:t>
            </w:r>
          </w:p>
        </w:tc>
      </w:tr>
      <w:tr w:rsidR="00A540DD" w:rsidRPr="005C4B16" w:rsidTr="00A540DD">
        <w:tc>
          <w:tcPr>
            <w:tcW w:w="1497" w:type="dxa"/>
          </w:tcPr>
          <w:p w:rsidR="00A540DD" w:rsidRPr="005C4B16" w:rsidRDefault="00A540DD" w:rsidP="00A540DD">
            <w:pPr>
              <w:rPr>
                <w:sz w:val="20"/>
                <w:szCs w:val="20"/>
              </w:rPr>
            </w:pPr>
            <w:r w:rsidRPr="005C4B16">
              <w:rPr>
                <w:sz w:val="20"/>
                <w:szCs w:val="20"/>
              </w:rPr>
              <w:t xml:space="preserve">Claims costs </w:t>
            </w:r>
          </w:p>
        </w:tc>
        <w:tc>
          <w:tcPr>
            <w:tcW w:w="3096" w:type="dxa"/>
          </w:tcPr>
          <w:p w:rsidR="00A540DD" w:rsidRPr="005C4B16" w:rsidRDefault="00A540DD" w:rsidP="00A540DD">
            <w:pPr>
              <w:rPr>
                <w:sz w:val="20"/>
                <w:szCs w:val="20"/>
              </w:rPr>
            </w:pPr>
            <w:r w:rsidRPr="005C4B16">
              <w:rPr>
                <w:sz w:val="20"/>
                <w:szCs w:val="20"/>
              </w:rPr>
              <w:t>Average cost per standard claim</w:t>
            </w:r>
          </w:p>
        </w:tc>
        <w:tc>
          <w:tcPr>
            <w:tcW w:w="1276" w:type="dxa"/>
          </w:tcPr>
          <w:p w:rsidR="00A540DD" w:rsidRPr="005C4B16" w:rsidRDefault="00A540DD" w:rsidP="00090DBB">
            <w:pPr>
              <w:jc w:val="right"/>
              <w:rPr>
                <w:sz w:val="20"/>
                <w:szCs w:val="20"/>
              </w:rPr>
            </w:pPr>
            <w:r w:rsidRPr="005C4B16">
              <w:rPr>
                <w:sz w:val="20"/>
                <w:szCs w:val="20"/>
              </w:rPr>
              <w:t>$53,664</w:t>
            </w:r>
          </w:p>
        </w:tc>
        <w:tc>
          <w:tcPr>
            <w:tcW w:w="1276" w:type="dxa"/>
          </w:tcPr>
          <w:p w:rsidR="00A540DD" w:rsidRPr="005C4B16" w:rsidRDefault="00A540DD" w:rsidP="00090DBB">
            <w:pPr>
              <w:jc w:val="right"/>
              <w:rPr>
                <w:sz w:val="20"/>
                <w:szCs w:val="20"/>
              </w:rPr>
            </w:pPr>
            <w:r w:rsidRPr="005C4B16">
              <w:rPr>
                <w:sz w:val="20"/>
                <w:szCs w:val="20"/>
              </w:rPr>
              <w:t>$49,432</w:t>
            </w:r>
          </w:p>
        </w:tc>
        <w:tc>
          <w:tcPr>
            <w:tcW w:w="1257" w:type="dxa"/>
          </w:tcPr>
          <w:p w:rsidR="00A540DD" w:rsidRPr="005C4B16" w:rsidRDefault="00A540DD" w:rsidP="00090DBB">
            <w:pPr>
              <w:jc w:val="right"/>
              <w:rPr>
                <w:sz w:val="20"/>
                <w:szCs w:val="20"/>
              </w:rPr>
            </w:pPr>
            <w:r w:rsidRPr="005C4B16">
              <w:rPr>
                <w:sz w:val="20"/>
                <w:szCs w:val="20"/>
              </w:rPr>
              <w:t>$107,146</w:t>
            </w:r>
          </w:p>
        </w:tc>
        <w:tc>
          <w:tcPr>
            <w:tcW w:w="1350" w:type="dxa"/>
          </w:tcPr>
          <w:p w:rsidR="00A540DD" w:rsidRPr="005C4B16" w:rsidRDefault="00A540DD" w:rsidP="00090DBB">
            <w:pPr>
              <w:jc w:val="right"/>
              <w:rPr>
                <w:sz w:val="20"/>
                <w:szCs w:val="20"/>
              </w:rPr>
            </w:pPr>
            <w:r w:rsidRPr="005C4B16">
              <w:rPr>
                <w:sz w:val="20"/>
                <w:szCs w:val="20"/>
              </w:rPr>
              <w:t>2</w:t>
            </w:r>
          </w:p>
        </w:tc>
      </w:tr>
      <w:tr w:rsidR="00A540DD" w:rsidRPr="005C4B16" w:rsidTr="00A540DD">
        <w:tc>
          <w:tcPr>
            <w:tcW w:w="1497" w:type="dxa"/>
          </w:tcPr>
          <w:p w:rsidR="00A540DD" w:rsidRPr="005C4B16" w:rsidRDefault="00A540DD" w:rsidP="00A540DD">
            <w:pPr>
              <w:rPr>
                <w:sz w:val="20"/>
                <w:szCs w:val="20"/>
              </w:rPr>
            </w:pPr>
            <w:r w:rsidRPr="005C4B16">
              <w:rPr>
                <w:sz w:val="20"/>
                <w:szCs w:val="20"/>
              </w:rPr>
              <w:t xml:space="preserve">Return to work </w:t>
            </w:r>
          </w:p>
        </w:tc>
        <w:tc>
          <w:tcPr>
            <w:tcW w:w="3096" w:type="dxa"/>
          </w:tcPr>
          <w:p w:rsidR="00A540DD" w:rsidRPr="005C4B16" w:rsidRDefault="00A540DD" w:rsidP="00A540DD">
            <w:pPr>
              <w:rPr>
                <w:sz w:val="20"/>
                <w:szCs w:val="20"/>
              </w:rPr>
            </w:pPr>
            <w:r w:rsidRPr="005C4B16">
              <w:rPr>
                <w:sz w:val="20"/>
                <w:szCs w:val="20"/>
              </w:rPr>
              <w:t xml:space="preserve">Percentage claims with RTW plan &lt;30 days </w:t>
            </w:r>
          </w:p>
        </w:tc>
        <w:tc>
          <w:tcPr>
            <w:tcW w:w="1276" w:type="dxa"/>
          </w:tcPr>
          <w:p w:rsidR="00A540DD" w:rsidRPr="005C4B16" w:rsidRDefault="00A540DD" w:rsidP="00090DBB">
            <w:pPr>
              <w:jc w:val="right"/>
              <w:rPr>
                <w:sz w:val="20"/>
                <w:szCs w:val="20"/>
              </w:rPr>
            </w:pPr>
            <w:r w:rsidRPr="005C4B16">
              <w:rPr>
                <w:sz w:val="20"/>
                <w:szCs w:val="20"/>
              </w:rPr>
              <w:t>70%</w:t>
            </w:r>
          </w:p>
        </w:tc>
        <w:tc>
          <w:tcPr>
            <w:tcW w:w="1276" w:type="dxa"/>
          </w:tcPr>
          <w:p w:rsidR="00A540DD" w:rsidRPr="005C4B16" w:rsidRDefault="00A540DD" w:rsidP="00090DBB">
            <w:pPr>
              <w:jc w:val="right"/>
              <w:rPr>
                <w:sz w:val="20"/>
                <w:szCs w:val="20"/>
              </w:rPr>
            </w:pPr>
            <w:r w:rsidRPr="005C4B16">
              <w:rPr>
                <w:sz w:val="20"/>
                <w:szCs w:val="20"/>
              </w:rPr>
              <w:t>100%</w:t>
            </w:r>
          </w:p>
        </w:tc>
        <w:tc>
          <w:tcPr>
            <w:tcW w:w="1257" w:type="dxa"/>
          </w:tcPr>
          <w:p w:rsidR="00A540DD" w:rsidRPr="005C4B16" w:rsidRDefault="00A540DD" w:rsidP="00090DBB">
            <w:pPr>
              <w:jc w:val="right"/>
              <w:rPr>
                <w:sz w:val="20"/>
                <w:szCs w:val="20"/>
              </w:rPr>
            </w:pPr>
            <w:r w:rsidRPr="005C4B16">
              <w:rPr>
                <w:sz w:val="20"/>
                <w:szCs w:val="20"/>
              </w:rPr>
              <w:t>100%</w:t>
            </w:r>
          </w:p>
        </w:tc>
        <w:tc>
          <w:tcPr>
            <w:tcW w:w="1350" w:type="dxa"/>
          </w:tcPr>
          <w:p w:rsidR="00A540DD" w:rsidRPr="005C4B16" w:rsidRDefault="00A540DD" w:rsidP="00090DBB">
            <w:pPr>
              <w:jc w:val="right"/>
              <w:rPr>
                <w:sz w:val="20"/>
                <w:szCs w:val="20"/>
              </w:rPr>
            </w:pPr>
          </w:p>
        </w:tc>
      </w:tr>
      <w:tr w:rsidR="00A540DD" w:rsidRPr="005C4B16" w:rsidTr="00A540DD">
        <w:tc>
          <w:tcPr>
            <w:tcW w:w="1497" w:type="dxa"/>
            <w:vMerge w:val="restart"/>
          </w:tcPr>
          <w:p w:rsidR="00A540DD" w:rsidRPr="005C4B16" w:rsidRDefault="00A540DD" w:rsidP="00A540DD">
            <w:pPr>
              <w:rPr>
                <w:sz w:val="20"/>
                <w:szCs w:val="20"/>
              </w:rPr>
            </w:pPr>
            <w:r w:rsidRPr="005C4B16">
              <w:rPr>
                <w:sz w:val="20"/>
                <w:szCs w:val="20"/>
              </w:rPr>
              <w:t xml:space="preserve">Management commitment </w:t>
            </w:r>
          </w:p>
        </w:tc>
        <w:tc>
          <w:tcPr>
            <w:tcW w:w="3096" w:type="dxa"/>
          </w:tcPr>
          <w:p w:rsidR="00A540DD" w:rsidRPr="005C4B16" w:rsidRDefault="00A540DD" w:rsidP="00A540DD">
            <w:pPr>
              <w:rPr>
                <w:sz w:val="20"/>
                <w:szCs w:val="20"/>
              </w:rPr>
            </w:pPr>
            <w:r w:rsidRPr="005C4B16">
              <w:rPr>
                <w:sz w:val="20"/>
                <w:szCs w:val="20"/>
              </w:rPr>
              <w:t xml:space="preserve">Evidence of OH&amp;S Policy statement, OH&amp;S objectives, regular reporting to senior management of OH&amp;S and OH&amp;S plans (signed by CEO or equivalent) </w:t>
            </w:r>
          </w:p>
        </w:tc>
        <w:tc>
          <w:tcPr>
            <w:tcW w:w="1276" w:type="dxa"/>
          </w:tcPr>
          <w:p w:rsidR="00A540DD" w:rsidRPr="005C4B16" w:rsidRDefault="00A540DD" w:rsidP="00090DBB">
            <w:pPr>
              <w:jc w:val="right"/>
              <w:rPr>
                <w:sz w:val="20"/>
                <w:szCs w:val="20"/>
              </w:rPr>
            </w:pPr>
            <w:r w:rsidRPr="005C4B16">
              <w:rPr>
                <w:sz w:val="20"/>
                <w:szCs w:val="20"/>
              </w:rPr>
              <w:t>Completed</w:t>
            </w:r>
          </w:p>
        </w:tc>
        <w:tc>
          <w:tcPr>
            <w:tcW w:w="1276" w:type="dxa"/>
          </w:tcPr>
          <w:p w:rsidR="00A540DD" w:rsidRPr="005C4B16" w:rsidRDefault="00A540DD" w:rsidP="00090DBB">
            <w:pPr>
              <w:jc w:val="right"/>
              <w:rPr>
                <w:sz w:val="20"/>
                <w:szCs w:val="20"/>
              </w:rPr>
            </w:pPr>
            <w:r w:rsidRPr="005C4B16">
              <w:rPr>
                <w:sz w:val="20"/>
                <w:szCs w:val="20"/>
              </w:rPr>
              <w:t xml:space="preserve">Completed </w:t>
            </w:r>
          </w:p>
        </w:tc>
        <w:tc>
          <w:tcPr>
            <w:tcW w:w="1257" w:type="dxa"/>
          </w:tcPr>
          <w:p w:rsidR="00A540DD" w:rsidRPr="005C4B16" w:rsidRDefault="00A540DD" w:rsidP="00090DBB">
            <w:pPr>
              <w:jc w:val="right"/>
              <w:rPr>
                <w:sz w:val="20"/>
                <w:szCs w:val="20"/>
              </w:rPr>
            </w:pPr>
            <w:r w:rsidRPr="005C4B16">
              <w:rPr>
                <w:sz w:val="20"/>
                <w:szCs w:val="20"/>
              </w:rPr>
              <w:t xml:space="preserve">Completed </w:t>
            </w:r>
          </w:p>
        </w:tc>
        <w:tc>
          <w:tcPr>
            <w:tcW w:w="1350" w:type="dxa"/>
          </w:tcPr>
          <w:p w:rsidR="00A540DD" w:rsidRPr="005C4B16" w:rsidRDefault="00A540DD" w:rsidP="00090DBB">
            <w:pPr>
              <w:jc w:val="right"/>
              <w:rPr>
                <w:sz w:val="20"/>
                <w:szCs w:val="20"/>
              </w:rPr>
            </w:pPr>
          </w:p>
        </w:tc>
      </w:tr>
      <w:tr w:rsidR="00A540DD" w:rsidRPr="005C4B16" w:rsidTr="00A540DD">
        <w:tc>
          <w:tcPr>
            <w:tcW w:w="1497" w:type="dxa"/>
            <w:vMerge/>
          </w:tcPr>
          <w:p w:rsidR="00A540DD" w:rsidRPr="005C4B16" w:rsidRDefault="00A540DD" w:rsidP="00A540DD">
            <w:pPr>
              <w:rPr>
                <w:sz w:val="20"/>
                <w:szCs w:val="20"/>
              </w:rPr>
            </w:pPr>
          </w:p>
        </w:tc>
        <w:tc>
          <w:tcPr>
            <w:tcW w:w="3096" w:type="dxa"/>
          </w:tcPr>
          <w:p w:rsidR="00A540DD" w:rsidRPr="005C4B16" w:rsidRDefault="00A540DD" w:rsidP="00A540DD">
            <w:pPr>
              <w:rPr>
                <w:sz w:val="20"/>
                <w:szCs w:val="20"/>
              </w:rPr>
            </w:pPr>
            <w:r w:rsidRPr="005C4B16">
              <w:rPr>
                <w:sz w:val="20"/>
                <w:szCs w:val="20"/>
              </w:rPr>
              <w:t xml:space="preserve">Evidence of OH&amp;S criteria(s) in purchasing guidelines (including goods, services, and personnel)  </w:t>
            </w:r>
          </w:p>
        </w:tc>
        <w:tc>
          <w:tcPr>
            <w:tcW w:w="1276" w:type="dxa"/>
          </w:tcPr>
          <w:p w:rsidR="00A540DD" w:rsidRPr="005C4B16" w:rsidRDefault="00A540DD" w:rsidP="00090DBB">
            <w:pPr>
              <w:jc w:val="right"/>
              <w:rPr>
                <w:sz w:val="20"/>
                <w:szCs w:val="20"/>
              </w:rPr>
            </w:pPr>
            <w:r w:rsidRPr="005C4B16">
              <w:rPr>
                <w:sz w:val="20"/>
                <w:szCs w:val="20"/>
              </w:rPr>
              <w:t>Completed</w:t>
            </w:r>
          </w:p>
        </w:tc>
        <w:tc>
          <w:tcPr>
            <w:tcW w:w="1276" w:type="dxa"/>
          </w:tcPr>
          <w:p w:rsidR="00A540DD" w:rsidRPr="005C4B16" w:rsidRDefault="00A540DD" w:rsidP="00090DBB">
            <w:pPr>
              <w:jc w:val="right"/>
              <w:rPr>
                <w:sz w:val="20"/>
                <w:szCs w:val="20"/>
              </w:rPr>
            </w:pPr>
            <w:r w:rsidRPr="005C4B16">
              <w:rPr>
                <w:sz w:val="20"/>
                <w:szCs w:val="20"/>
              </w:rPr>
              <w:t xml:space="preserve">Completed </w:t>
            </w:r>
          </w:p>
        </w:tc>
        <w:tc>
          <w:tcPr>
            <w:tcW w:w="1257" w:type="dxa"/>
          </w:tcPr>
          <w:p w:rsidR="00A540DD" w:rsidRPr="005C4B16" w:rsidRDefault="00A540DD" w:rsidP="00090DBB">
            <w:pPr>
              <w:jc w:val="right"/>
              <w:rPr>
                <w:sz w:val="20"/>
                <w:szCs w:val="20"/>
              </w:rPr>
            </w:pPr>
            <w:r w:rsidRPr="005C4B16">
              <w:rPr>
                <w:sz w:val="20"/>
                <w:szCs w:val="20"/>
              </w:rPr>
              <w:t>Completed</w:t>
            </w:r>
          </w:p>
        </w:tc>
        <w:tc>
          <w:tcPr>
            <w:tcW w:w="1350" w:type="dxa"/>
          </w:tcPr>
          <w:p w:rsidR="00A540DD" w:rsidRPr="005C4B16" w:rsidRDefault="00A540DD" w:rsidP="00090DBB">
            <w:pPr>
              <w:jc w:val="right"/>
              <w:rPr>
                <w:sz w:val="20"/>
                <w:szCs w:val="20"/>
              </w:rPr>
            </w:pPr>
          </w:p>
        </w:tc>
      </w:tr>
      <w:tr w:rsidR="00A540DD" w:rsidRPr="005C4B16" w:rsidTr="00A540DD">
        <w:tc>
          <w:tcPr>
            <w:tcW w:w="1497" w:type="dxa"/>
            <w:vMerge w:val="restart"/>
          </w:tcPr>
          <w:p w:rsidR="00A540DD" w:rsidRPr="005C4B16" w:rsidRDefault="00A540DD" w:rsidP="00A540DD">
            <w:pPr>
              <w:rPr>
                <w:sz w:val="20"/>
                <w:szCs w:val="20"/>
              </w:rPr>
            </w:pPr>
            <w:r w:rsidRPr="005C4B16">
              <w:rPr>
                <w:sz w:val="20"/>
                <w:szCs w:val="20"/>
              </w:rPr>
              <w:t xml:space="preserve">Consultation and participation </w:t>
            </w:r>
          </w:p>
        </w:tc>
        <w:tc>
          <w:tcPr>
            <w:tcW w:w="3096" w:type="dxa"/>
          </w:tcPr>
          <w:p w:rsidR="00A540DD" w:rsidRPr="005C4B16" w:rsidRDefault="00A540DD" w:rsidP="00A540DD">
            <w:pPr>
              <w:rPr>
                <w:sz w:val="20"/>
                <w:szCs w:val="20"/>
              </w:rPr>
            </w:pPr>
            <w:r w:rsidRPr="005C4B16">
              <w:rPr>
                <w:sz w:val="20"/>
                <w:szCs w:val="20"/>
              </w:rPr>
              <w:t xml:space="preserve">Evidence of agreed structure of designated workgroups (DWGs), health and safety representatives (HSRs), and issue resolution procedures (IRPs). </w:t>
            </w:r>
          </w:p>
        </w:tc>
        <w:tc>
          <w:tcPr>
            <w:tcW w:w="1276" w:type="dxa"/>
          </w:tcPr>
          <w:p w:rsidR="00A540DD" w:rsidRPr="005C4B16" w:rsidRDefault="00A540DD" w:rsidP="00090DBB">
            <w:pPr>
              <w:jc w:val="right"/>
              <w:rPr>
                <w:sz w:val="20"/>
                <w:szCs w:val="20"/>
              </w:rPr>
            </w:pPr>
            <w:r w:rsidRPr="005C4B16">
              <w:rPr>
                <w:sz w:val="20"/>
                <w:szCs w:val="20"/>
              </w:rPr>
              <w:t>Completed</w:t>
            </w:r>
          </w:p>
        </w:tc>
        <w:tc>
          <w:tcPr>
            <w:tcW w:w="1276" w:type="dxa"/>
          </w:tcPr>
          <w:p w:rsidR="00A540DD" w:rsidRPr="005C4B16" w:rsidRDefault="00A540DD" w:rsidP="00090DBB">
            <w:pPr>
              <w:jc w:val="right"/>
              <w:rPr>
                <w:sz w:val="20"/>
                <w:szCs w:val="20"/>
              </w:rPr>
            </w:pPr>
            <w:r w:rsidRPr="005C4B16">
              <w:rPr>
                <w:sz w:val="20"/>
                <w:szCs w:val="20"/>
              </w:rPr>
              <w:t xml:space="preserve">Completed </w:t>
            </w:r>
          </w:p>
        </w:tc>
        <w:tc>
          <w:tcPr>
            <w:tcW w:w="1257" w:type="dxa"/>
          </w:tcPr>
          <w:p w:rsidR="00A540DD" w:rsidRPr="005C4B16" w:rsidRDefault="00A540DD" w:rsidP="00090DBB">
            <w:pPr>
              <w:jc w:val="right"/>
              <w:rPr>
                <w:sz w:val="20"/>
                <w:szCs w:val="20"/>
              </w:rPr>
            </w:pPr>
            <w:r w:rsidRPr="005C4B16">
              <w:rPr>
                <w:sz w:val="20"/>
                <w:szCs w:val="20"/>
              </w:rPr>
              <w:t xml:space="preserve">Completed </w:t>
            </w:r>
          </w:p>
        </w:tc>
        <w:tc>
          <w:tcPr>
            <w:tcW w:w="1350" w:type="dxa"/>
          </w:tcPr>
          <w:p w:rsidR="00A540DD" w:rsidRPr="005C4B16" w:rsidRDefault="00A540DD" w:rsidP="00090DBB">
            <w:pPr>
              <w:jc w:val="right"/>
              <w:rPr>
                <w:sz w:val="20"/>
                <w:szCs w:val="20"/>
              </w:rPr>
            </w:pPr>
          </w:p>
        </w:tc>
      </w:tr>
      <w:tr w:rsidR="00A540DD" w:rsidRPr="005C4B16" w:rsidTr="00A540DD">
        <w:trPr>
          <w:trHeight w:val="73"/>
        </w:trPr>
        <w:tc>
          <w:tcPr>
            <w:tcW w:w="1497" w:type="dxa"/>
            <w:vMerge/>
          </w:tcPr>
          <w:p w:rsidR="00A540DD" w:rsidRPr="005C4B16" w:rsidRDefault="00A540DD" w:rsidP="00A540DD">
            <w:pPr>
              <w:rPr>
                <w:sz w:val="20"/>
                <w:szCs w:val="20"/>
              </w:rPr>
            </w:pPr>
          </w:p>
        </w:tc>
        <w:tc>
          <w:tcPr>
            <w:tcW w:w="3096" w:type="dxa"/>
          </w:tcPr>
          <w:p w:rsidR="00A540DD" w:rsidRPr="005C4B16" w:rsidRDefault="00A540DD" w:rsidP="00A540DD">
            <w:pPr>
              <w:rPr>
                <w:sz w:val="20"/>
                <w:szCs w:val="20"/>
              </w:rPr>
            </w:pPr>
            <w:r w:rsidRPr="005C4B16">
              <w:rPr>
                <w:sz w:val="20"/>
                <w:szCs w:val="20"/>
              </w:rPr>
              <w:t>Compliance with agreed structure on DWGs, HSRs and IRPs.</w:t>
            </w:r>
          </w:p>
        </w:tc>
        <w:tc>
          <w:tcPr>
            <w:tcW w:w="1276" w:type="dxa"/>
          </w:tcPr>
          <w:p w:rsidR="00A540DD" w:rsidRPr="005C4B16" w:rsidRDefault="00A540DD" w:rsidP="00090DBB">
            <w:pPr>
              <w:jc w:val="right"/>
              <w:rPr>
                <w:sz w:val="20"/>
                <w:szCs w:val="20"/>
              </w:rPr>
            </w:pPr>
            <w:r w:rsidRPr="005C4B16">
              <w:rPr>
                <w:sz w:val="20"/>
                <w:szCs w:val="20"/>
              </w:rPr>
              <w:t>Completed</w:t>
            </w:r>
          </w:p>
        </w:tc>
        <w:tc>
          <w:tcPr>
            <w:tcW w:w="1276" w:type="dxa"/>
          </w:tcPr>
          <w:p w:rsidR="00A540DD" w:rsidRPr="005C4B16" w:rsidRDefault="00A540DD" w:rsidP="00090DBB">
            <w:pPr>
              <w:jc w:val="right"/>
              <w:rPr>
                <w:sz w:val="20"/>
                <w:szCs w:val="20"/>
              </w:rPr>
            </w:pPr>
            <w:r w:rsidRPr="005C4B16">
              <w:rPr>
                <w:sz w:val="20"/>
                <w:szCs w:val="20"/>
              </w:rPr>
              <w:t xml:space="preserve">Completed </w:t>
            </w:r>
          </w:p>
        </w:tc>
        <w:tc>
          <w:tcPr>
            <w:tcW w:w="1257" w:type="dxa"/>
          </w:tcPr>
          <w:p w:rsidR="00A540DD" w:rsidRPr="005C4B16" w:rsidRDefault="00A540DD" w:rsidP="00090DBB">
            <w:pPr>
              <w:jc w:val="right"/>
              <w:rPr>
                <w:sz w:val="20"/>
                <w:szCs w:val="20"/>
              </w:rPr>
            </w:pPr>
            <w:r w:rsidRPr="005C4B16">
              <w:rPr>
                <w:sz w:val="20"/>
                <w:szCs w:val="20"/>
              </w:rPr>
              <w:t>Completed</w:t>
            </w:r>
          </w:p>
        </w:tc>
        <w:tc>
          <w:tcPr>
            <w:tcW w:w="1350" w:type="dxa"/>
          </w:tcPr>
          <w:p w:rsidR="00A540DD" w:rsidRPr="005C4B16" w:rsidRDefault="00A540DD" w:rsidP="00090DBB">
            <w:pPr>
              <w:jc w:val="right"/>
              <w:rPr>
                <w:sz w:val="20"/>
                <w:szCs w:val="20"/>
              </w:rPr>
            </w:pPr>
          </w:p>
        </w:tc>
      </w:tr>
      <w:tr w:rsidR="00A540DD" w:rsidRPr="005C4B16" w:rsidTr="00A540DD">
        <w:trPr>
          <w:trHeight w:val="849"/>
        </w:trPr>
        <w:tc>
          <w:tcPr>
            <w:tcW w:w="1497" w:type="dxa"/>
            <w:vMerge w:val="restart"/>
          </w:tcPr>
          <w:p w:rsidR="00A540DD" w:rsidRPr="005C4B16" w:rsidRDefault="00A540DD" w:rsidP="00A540DD">
            <w:pPr>
              <w:rPr>
                <w:sz w:val="20"/>
                <w:szCs w:val="20"/>
              </w:rPr>
            </w:pPr>
            <w:r w:rsidRPr="005C4B16">
              <w:rPr>
                <w:sz w:val="20"/>
                <w:szCs w:val="20"/>
              </w:rPr>
              <w:t xml:space="preserve">Risk Management </w:t>
            </w:r>
          </w:p>
        </w:tc>
        <w:tc>
          <w:tcPr>
            <w:tcW w:w="3096" w:type="dxa"/>
          </w:tcPr>
          <w:p w:rsidR="00A540DD" w:rsidRPr="005C4B16" w:rsidRDefault="00A540DD" w:rsidP="00A540DD">
            <w:pPr>
              <w:rPr>
                <w:sz w:val="20"/>
                <w:szCs w:val="20"/>
              </w:rPr>
            </w:pPr>
            <w:r w:rsidRPr="005C4B16">
              <w:rPr>
                <w:sz w:val="20"/>
                <w:szCs w:val="20"/>
              </w:rPr>
              <w:t xml:space="preserve">Percentage of internal audits/inspections conducted as planned </w:t>
            </w:r>
          </w:p>
        </w:tc>
        <w:tc>
          <w:tcPr>
            <w:tcW w:w="1276" w:type="dxa"/>
            <w:tcBorders>
              <w:bottom w:val="single" w:sz="4" w:space="0" w:color="auto"/>
            </w:tcBorders>
          </w:tcPr>
          <w:p w:rsidR="00A540DD" w:rsidRPr="005C4B16" w:rsidRDefault="00A540DD" w:rsidP="00090DBB">
            <w:pPr>
              <w:jc w:val="right"/>
              <w:rPr>
                <w:sz w:val="20"/>
                <w:szCs w:val="20"/>
              </w:rPr>
            </w:pPr>
            <w:r w:rsidRPr="005C4B16">
              <w:rPr>
                <w:sz w:val="20"/>
                <w:szCs w:val="20"/>
              </w:rPr>
              <w:t>100%</w:t>
            </w:r>
          </w:p>
          <w:p w:rsidR="00A540DD" w:rsidRPr="005C4B16" w:rsidRDefault="00A540DD" w:rsidP="00090DBB">
            <w:pPr>
              <w:jc w:val="right"/>
              <w:rPr>
                <w:sz w:val="20"/>
                <w:szCs w:val="20"/>
              </w:rPr>
            </w:pPr>
          </w:p>
        </w:tc>
        <w:tc>
          <w:tcPr>
            <w:tcW w:w="1276" w:type="dxa"/>
            <w:tcBorders>
              <w:bottom w:val="single" w:sz="4" w:space="0" w:color="auto"/>
            </w:tcBorders>
          </w:tcPr>
          <w:p w:rsidR="00A540DD" w:rsidRPr="005C4B16" w:rsidRDefault="00A540DD" w:rsidP="00090DBB">
            <w:pPr>
              <w:jc w:val="right"/>
              <w:rPr>
                <w:sz w:val="20"/>
                <w:szCs w:val="20"/>
              </w:rPr>
            </w:pPr>
            <w:r w:rsidRPr="005C4B16">
              <w:rPr>
                <w:sz w:val="20"/>
                <w:szCs w:val="20"/>
              </w:rPr>
              <w:t>100%</w:t>
            </w:r>
          </w:p>
          <w:p w:rsidR="00A540DD" w:rsidRPr="005C4B16" w:rsidRDefault="00A540DD" w:rsidP="00090DBB">
            <w:pPr>
              <w:jc w:val="right"/>
              <w:rPr>
                <w:sz w:val="20"/>
                <w:szCs w:val="20"/>
              </w:rPr>
            </w:pPr>
          </w:p>
        </w:tc>
        <w:tc>
          <w:tcPr>
            <w:tcW w:w="1257" w:type="dxa"/>
            <w:tcBorders>
              <w:bottom w:val="single" w:sz="4" w:space="0" w:color="auto"/>
            </w:tcBorders>
          </w:tcPr>
          <w:p w:rsidR="00A540DD" w:rsidRPr="005C4B16" w:rsidRDefault="00A540DD" w:rsidP="00090DBB">
            <w:pPr>
              <w:jc w:val="right"/>
              <w:rPr>
                <w:sz w:val="20"/>
                <w:szCs w:val="20"/>
              </w:rPr>
            </w:pPr>
            <w:r w:rsidRPr="005C4B16">
              <w:rPr>
                <w:sz w:val="20"/>
                <w:szCs w:val="20"/>
              </w:rPr>
              <w:t>100%</w:t>
            </w:r>
          </w:p>
        </w:tc>
        <w:tc>
          <w:tcPr>
            <w:tcW w:w="1350" w:type="dxa"/>
            <w:tcBorders>
              <w:bottom w:val="single" w:sz="4" w:space="0" w:color="auto"/>
            </w:tcBorders>
          </w:tcPr>
          <w:p w:rsidR="00A540DD" w:rsidRPr="005C4B16" w:rsidRDefault="00A540DD" w:rsidP="00090DBB">
            <w:pPr>
              <w:jc w:val="right"/>
              <w:rPr>
                <w:sz w:val="20"/>
                <w:szCs w:val="20"/>
              </w:rPr>
            </w:pPr>
          </w:p>
        </w:tc>
      </w:tr>
      <w:tr w:rsidR="00A540DD" w:rsidRPr="005C4B16" w:rsidTr="00BC10B9">
        <w:trPr>
          <w:trHeight w:val="246"/>
        </w:trPr>
        <w:tc>
          <w:tcPr>
            <w:tcW w:w="1497" w:type="dxa"/>
            <w:vMerge/>
          </w:tcPr>
          <w:p w:rsidR="00A540DD" w:rsidRPr="005C4B16" w:rsidRDefault="00A540DD" w:rsidP="00A540DD">
            <w:pPr>
              <w:rPr>
                <w:sz w:val="20"/>
                <w:szCs w:val="20"/>
              </w:rPr>
            </w:pPr>
          </w:p>
        </w:tc>
        <w:tc>
          <w:tcPr>
            <w:tcW w:w="3096" w:type="dxa"/>
          </w:tcPr>
          <w:p w:rsidR="00A540DD" w:rsidRPr="005C4B16" w:rsidRDefault="00A540DD" w:rsidP="00A540DD">
            <w:pPr>
              <w:rPr>
                <w:sz w:val="20"/>
                <w:szCs w:val="20"/>
              </w:rPr>
            </w:pPr>
            <w:r w:rsidRPr="005C4B16">
              <w:rPr>
                <w:sz w:val="20"/>
                <w:szCs w:val="20"/>
              </w:rPr>
              <w:t>Percentage of issues identified actioned arising from:</w:t>
            </w:r>
          </w:p>
          <w:p w:rsidR="00A540DD" w:rsidRPr="005C4B16" w:rsidRDefault="00A540DD" w:rsidP="00BC10B9">
            <w:pPr>
              <w:numPr>
                <w:ilvl w:val="0"/>
                <w:numId w:val="24"/>
              </w:numPr>
              <w:rPr>
                <w:sz w:val="20"/>
                <w:szCs w:val="20"/>
              </w:rPr>
            </w:pPr>
            <w:r w:rsidRPr="005C4B16">
              <w:rPr>
                <w:sz w:val="20"/>
                <w:szCs w:val="20"/>
              </w:rPr>
              <w:t>Internal audits</w:t>
            </w:r>
          </w:p>
          <w:p w:rsidR="00A540DD" w:rsidRPr="005C4B16" w:rsidRDefault="00A540DD" w:rsidP="00A540DD">
            <w:pPr>
              <w:rPr>
                <w:sz w:val="20"/>
                <w:szCs w:val="20"/>
              </w:rPr>
            </w:pPr>
          </w:p>
          <w:p w:rsidR="00A540DD" w:rsidRPr="005C4B16" w:rsidRDefault="00A540DD" w:rsidP="00BC10B9">
            <w:pPr>
              <w:numPr>
                <w:ilvl w:val="0"/>
                <w:numId w:val="24"/>
              </w:numPr>
              <w:rPr>
                <w:sz w:val="20"/>
                <w:szCs w:val="20"/>
              </w:rPr>
            </w:pPr>
            <w:r w:rsidRPr="005C4B16">
              <w:rPr>
                <w:sz w:val="20"/>
                <w:szCs w:val="20"/>
              </w:rPr>
              <w:t>HSR Provisional Improvement Notices (PINS)</w:t>
            </w:r>
          </w:p>
          <w:p w:rsidR="00A540DD" w:rsidRPr="005C4B16" w:rsidRDefault="00A540DD" w:rsidP="00BC10B9">
            <w:pPr>
              <w:numPr>
                <w:ilvl w:val="0"/>
                <w:numId w:val="24"/>
              </w:numPr>
              <w:rPr>
                <w:sz w:val="20"/>
                <w:szCs w:val="20"/>
              </w:rPr>
            </w:pPr>
            <w:r w:rsidRPr="005C4B16">
              <w:rPr>
                <w:sz w:val="20"/>
                <w:szCs w:val="20"/>
              </w:rPr>
              <w:t xml:space="preserve">WorkSafe notices </w:t>
            </w:r>
          </w:p>
        </w:tc>
        <w:tc>
          <w:tcPr>
            <w:tcW w:w="1276" w:type="dxa"/>
            <w:tcBorders>
              <w:bottom w:val="single" w:sz="4" w:space="0" w:color="auto"/>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Action plans developed</w:t>
            </w:r>
          </w:p>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100%</w:t>
            </w:r>
          </w:p>
          <w:p w:rsidR="00A540DD" w:rsidRPr="005C4B16" w:rsidRDefault="00A540DD" w:rsidP="00090DBB">
            <w:pPr>
              <w:jc w:val="right"/>
              <w:rPr>
                <w:sz w:val="20"/>
                <w:szCs w:val="20"/>
              </w:rPr>
            </w:pPr>
            <w:r w:rsidRPr="005C4B16">
              <w:rPr>
                <w:sz w:val="20"/>
                <w:szCs w:val="20"/>
              </w:rPr>
              <w:t>100%</w:t>
            </w:r>
          </w:p>
        </w:tc>
        <w:tc>
          <w:tcPr>
            <w:tcW w:w="1276" w:type="dxa"/>
            <w:tcBorders>
              <w:bottom w:val="single" w:sz="4" w:space="0" w:color="auto"/>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Action plans developed</w:t>
            </w:r>
          </w:p>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0</w:t>
            </w:r>
          </w:p>
          <w:p w:rsidR="00A540DD" w:rsidRPr="005C4B16" w:rsidRDefault="00A540DD" w:rsidP="00090DBB">
            <w:pPr>
              <w:jc w:val="right"/>
              <w:rPr>
                <w:sz w:val="20"/>
                <w:szCs w:val="20"/>
              </w:rPr>
            </w:pPr>
            <w:r w:rsidRPr="005C4B16">
              <w:rPr>
                <w:sz w:val="20"/>
                <w:szCs w:val="20"/>
              </w:rPr>
              <w:t>0</w:t>
            </w:r>
          </w:p>
        </w:tc>
        <w:tc>
          <w:tcPr>
            <w:tcW w:w="1257" w:type="dxa"/>
            <w:tcBorders>
              <w:bottom w:val="single" w:sz="4" w:space="0" w:color="auto"/>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Action plans developed</w:t>
            </w:r>
          </w:p>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NA</w:t>
            </w:r>
          </w:p>
          <w:p w:rsidR="00A540DD" w:rsidRPr="005C4B16" w:rsidRDefault="00A540DD" w:rsidP="00090DBB">
            <w:pPr>
              <w:jc w:val="right"/>
              <w:rPr>
                <w:sz w:val="20"/>
                <w:szCs w:val="20"/>
              </w:rPr>
            </w:pPr>
            <w:r w:rsidRPr="005C4B16">
              <w:rPr>
                <w:sz w:val="20"/>
                <w:szCs w:val="20"/>
              </w:rPr>
              <w:t>100%</w:t>
            </w:r>
          </w:p>
          <w:p w:rsidR="00A540DD" w:rsidRPr="005C4B16" w:rsidRDefault="00A540DD" w:rsidP="00090DBB">
            <w:pPr>
              <w:jc w:val="right"/>
              <w:rPr>
                <w:sz w:val="20"/>
                <w:szCs w:val="20"/>
              </w:rPr>
            </w:pPr>
          </w:p>
          <w:p w:rsidR="00A540DD" w:rsidRPr="005C4B16" w:rsidRDefault="00A540DD" w:rsidP="00090DBB">
            <w:pPr>
              <w:jc w:val="right"/>
              <w:rPr>
                <w:sz w:val="20"/>
                <w:szCs w:val="20"/>
              </w:rPr>
            </w:pPr>
          </w:p>
        </w:tc>
        <w:tc>
          <w:tcPr>
            <w:tcW w:w="1350" w:type="dxa"/>
            <w:tcBorders>
              <w:bottom w:val="single" w:sz="4" w:space="0" w:color="auto"/>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3</w:t>
            </w:r>
          </w:p>
          <w:p w:rsidR="00A540DD" w:rsidRPr="005C4B16" w:rsidRDefault="00A540DD" w:rsidP="00090DBB">
            <w:pPr>
              <w:jc w:val="right"/>
              <w:rPr>
                <w:sz w:val="20"/>
                <w:szCs w:val="20"/>
              </w:rPr>
            </w:pPr>
          </w:p>
        </w:tc>
      </w:tr>
      <w:tr w:rsidR="00A540DD" w:rsidRPr="005C4B16" w:rsidTr="00A540DD">
        <w:tc>
          <w:tcPr>
            <w:tcW w:w="1497" w:type="dxa"/>
            <w:vMerge w:val="restart"/>
          </w:tcPr>
          <w:p w:rsidR="00A540DD" w:rsidRPr="005C4B16" w:rsidRDefault="00A540DD" w:rsidP="00A540DD">
            <w:pPr>
              <w:rPr>
                <w:sz w:val="20"/>
                <w:szCs w:val="20"/>
              </w:rPr>
            </w:pPr>
            <w:r w:rsidRPr="005C4B16">
              <w:rPr>
                <w:sz w:val="20"/>
                <w:szCs w:val="20"/>
              </w:rPr>
              <w:t xml:space="preserve">Training </w:t>
            </w:r>
          </w:p>
        </w:tc>
        <w:tc>
          <w:tcPr>
            <w:tcW w:w="3096" w:type="dxa"/>
            <w:tcBorders>
              <w:right w:val="single" w:sz="4" w:space="0" w:color="auto"/>
            </w:tcBorders>
          </w:tcPr>
          <w:p w:rsidR="00A540DD" w:rsidRPr="005C4B16" w:rsidRDefault="00A540DD" w:rsidP="00A540DD">
            <w:pPr>
              <w:rPr>
                <w:sz w:val="20"/>
                <w:szCs w:val="20"/>
              </w:rPr>
            </w:pPr>
            <w:r w:rsidRPr="005C4B16">
              <w:rPr>
                <w:sz w:val="20"/>
                <w:szCs w:val="20"/>
              </w:rPr>
              <w:t>Percentage of managers and staff that have received OH&amp;S training:</w:t>
            </w:r>
          </w:p>
          <w:p w:rsidR="00A540DD" w:rsidRPr="005C4B16" w:rsidRDefault="00A540DD" w:rsidP="00BC10B9">
            <w:pPr>
              <w:numPr>
                <w:ilvl w:val="0"/>
                <w:numId w:val="24"/>
              </w:numPr>
              <w:rPr>
                <w:sz w:val="20"/>
                <w:szCs w:val="20"/>
              </w:rPr>
            </w:pPr>
            <w:r w:rsidRPr="005C4B16">
              <w:rPr>
                <w:sz w:val="20"/>
                <w:szCs w:val="20"/>
              </w:rPr>
              <w:t xml:space="preserve">Induction </w:t>
            </w:r>
          </w:p>
          <w:p w:rsidR="00A540DD" w:rsidRPr="005C4B16" w:rsidRDefault="00A540DD" w:rsidP="00BC10B9">
            <w:pPr>
              <w:numPr>
                <w:ilvl w:val="0"/>
                <w:numId w:val="24"/>
              </w:numPr>
              <w:rPr>
                <w:sz w:val="20"/>
                <w:szCs w:val="20"/>
              </w:rPr>
            </w:pPr>
            <w:r w:rsidRPr="005C4B16">
              <w:rPr>
                <w:sz w:val="20"/>
                <w:szCs w:val="20"/>
              </w:rPr>
              <w:t xml:space="preserve">Management training </w:t>
            </w:r>
          </w:p>
          <w:p w:rsidR="00A540DD" w:rsidRPr="005C4B16" w:rsidRDefault="00A540DD" w:rsidP="00BC10B9">
            <w:pPr>
              <w:numPr>
                <w:ilvl w:val="0"/>
                <w:numId w:val="24"/>
              </w:numPr>
              <w:rPr>
                <w:sz w:val="20"/>
                <w:szCs w:val="20"/>
              </w:rPr>
            </w:pPr>
            <w:r w:rsidRPr="005C4B16">
              <w:rPr>
                <w:sz w:val="20"/>
                <w:szCs w:val="20"/>
              </w:rPr>
              <w:lastRenderedPageBreak/>
              <w:t xml:space="preserve">Contractors, temporary staff and visitors </w:t>
            </w:r>
          </w:p>
        </w:tc>
        <w:tc>
          <w:tcPr>
            <w:tcW w:w="1276" w:type="dxa"/>
            <w:tcBorders>
              <w:top w:val="single" w:sz="4" w:space="0" w:color="auto"/>
              <w:left w:val="single" w:sz="4" w:space="0" w:color="auto"/>
              <w:right w:val="single" w:sz="4" w:space="0" w:color="auto"/>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100%</w:t>
            </w:r>
          </w:p>
          <w:p w:rsidR="00A540DD" w:rsidRPr="005C4B16" w:rsidRDefault="00A540DD" w:rsidP="00090DBB">
            <w:pPr>
              <w:jc w:val="right"/>
              <w:rPr>
                <w:sz w:val="20"/>
                <w:szCs w:val="20"/>
              </w:rPr>
            </w:pPr>
            <w:r w:rsidRPr="005C4B16">
              <w:rPr>
                <w:sz w:val="20"/>
                <w:szCs w:val="20"/>
              </w:rPr>
              <w:t>25%</w:t>
            </w:r>
          </w:p>
          <w:p w:rsidR="00A540DD" w:rsidRPr="005C4B16" w:rsidRDefault="00A540DD" w:rsidP="00090DBB">
            <w:pPr>
              <w:jc w:val="right"/>
              <w:rPr>
                <w:sz w:val="20"/>
                <w:szCs w:val="20"/>
              </w:rPr>
            </w:pPr>
            <w:r w:rsidRPr="005C4B16">
              <w:rPr>
                <w:sz w:val="20"/>
                <w:szCs w:val="20"/>
              </w:rPr>
              <w:lastRenderedPageBreak/>
              <w:t>In development</w:t>
            </w:r>
          </w:p>
        </w:tc>
        <w:tc>
          <w:tcPr>
            <w:tcW w:w="1276" w:type="dxa"/>
            <w:tcBorders>
              <w:top w:val="single" w:sz="4" w:space="0" w:color="auto"/>
              <w:left w:val="single" w:sz="4" w:space="0" w:color="auto"/>
              <w:right w:val="single" w:sz="4" w:space="0" w:color="auto"/>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100%</w:t>
            </w:r>
          </w:p>
          <w:p w:rsidR="00A540DD" w:rsidRPr="005C4B16" w:rsidRDefault="00A540DD" w:rsidP="00090DBB">
            <w:pPr>
              <w:jc w:val="right"/>
              <w:rPr>
                <w:sz w:val="20"/>
                <w:szCs w:val="20"/>
              </w:rPr>
            </w:pPr>
            <w:r w:rsidRPr="005C4B16">
              <w:rPr>
                <w:sz w:val="20"/>
                <w:szCs w:val="20"/>
              </w:rPr>
              <w:t xml:space="preserve">  60%</w:t>
            </w:r>
          </w:p>
          <w:p w:rsidR="00A540DD" w:rsidRPr="005C4B16" w:rsidRDefault="00A540DD" w:rsidP="00090DBB">
            <w:pPr>
              <w:jc w:val="right"/>
              <w:rPr>
                <w:sz w:val="20"/>
                <w:szCs w:val="20"/>
              </w:rPr>
            </w:pPr>
            <w:r w:rsidRPr="005C4B16">
              <w:rPr>
                <w:sz w:val="20"/>
                <w:szCs w:val="20"/>
              </w:rPr>
              <w:t xml:space="preserve">  25%</w:t>
            </w:r>
          </w:p>
        </w:tc>
        <w:tc>
          <w:tcPr>
            <w:tcW w:w="1257" w:type="dxa"/>
            <w:tcBorders>
              <w:top w:val="single" w:sz="4" w:space="0" w:color="auto"/>
              <w:left w:val="single" w:sz="4" w:space="0" w:color="auto"/>
              <w:bottom w:val="nil"/>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100%</w:t>
            </w:r>
          </w:p>
          <w:p w:rsidR="00A540DD" w:rsidRPr="005C4B16" w:rsidRDefault="00A540DD" w:rsidP="00090DBB">
            <w:pPr>
              <w:jc w:val="right"/>
              <w:rPr>
                <w:sz w:val="20"/>
                <w:szCs w:val="20"/>
              </w:rPr>
            </w:pPr>
            <w:r w:rsidRPr="005C4B16">
              <w:rPr>
                <w:sz w:val="20"/>
                <w:szCs w:val="20"/>
              </w:rPr>
              <w:t>80%</w:t>
            </w:r>
          </w:p>
          <w:p w:rsidR="00A540DD" w:rsidRPr="005C4B16" w:rsidRDefault="009D6C9C" w:rsidP="00090DBB">
            <w:pPr>
              <w:jc w:val="right"/>
              <w:rPr>
                <w:sz w:val="20"/>
                <w:szCs w:val="20"/>
              </w:rPr>
            </w:pPr>
            <w:r>
              <w:rPr>
                <w:sz w:val="20"/>
                <w:szCs w:val="20"/>
              </w:rPr>
              <w:t>60</w:t>
            </w:r>
            <w:r w:rsidR="00A540DD" w:rsidRPr="005C4B16">
              <w:rPr>
                <w:sz w:val="20"/>
                <w:szCs w:val="20"/>
              </w:rPr>
              <w:t>%</w:t>
            </w:r>
          </w:p>
          <w:p w:rsidR="00A540DD" w:rsidRPr="005C4B16" w:rsidRDefault="00A540DD" w:rsidP="00090DBB">
            <w:pPr>
              <w:jc w:val="right"/>
              <w:rPr>
                <w:sz w:val="20"/>
                <w:szCs w:val="20"/>
              </w:rPr>
            </w:pPr>
          </w:p>
        </w:tc>
        <w:tc>
          <w:tcPr>
            <w:tcW w:w="1350" w:type="dxa"/>
            <w:tcBorders>
              <w:top w:val="single" w:sz="4" w:space="0" w:color="auto"/>
              <w:left w:val="single" w:sz="4" w:space="0" w:color="auto"/>
              <w:bottom w:val="nil"/>
            </w:tcBorders>
          </w:tcPr>
          <w:p w:rsidR="00A540DD" w:rsidRPr="005C4B16" w:rsidRDefault="00A540DD" w:rsidP="00090DBB">
            <w:pPr>
              <w:jc w:val="right"/>
              <w:rPr>
                <w:sz w:val="20"/>
                <w:szCs w:val="20"/>
              </w:rPr>
            </w:pPr>
          </w:p>
        </w:tc>
      </w:tr>
      <w:tr w:rsidR="00A540DD" w:rsidRPr="005C4B16" w:rsidTr="00A540DD">
        <w:trPr>
          <w:trHeight w:val="1118"/>
        </w:trPr>
        <w:tc>
          <w:tcPr>
            <w:tcW w:w="1497" w:type="dxa"/>
            <w:vMerge/>
          </w:tcPr>
          <w:p w:rsidR="00A540DD" w:rsidRPr="005C4B16" w:rsidRDefault="00A540DD" w:rsidP="00A540DD">
            <w:pPr>
              <w:rPr>
                <w:sz w:val="20"/>
                <w:szCs w:val="20"/>
              </w:rPr>
            </w:pPr>
          </w:p>
        </w:tc>
        <w:tc>
          <w:tcPr>
            <w:tcW w:w="3096" w:type="dxa"/>
          </w:tcPr>
          <w:p w:rsidR="00A540DD" w:rsidRPr="005C4B16" w:rsidRDefault="00A540DD" w:rsidP="00A540DD">
            <w:pPr>
              <w:rPr>
                <w:sz w:val="20"/>
                <w:szCs w:val="20"/>
              </w:rPr>
            </w:pPr>
            <w:r w:rsidRPr="005C4B16">
              <w:rPr>
                <w:sz w:val="20"/>
                <w:szCs w:val="20"/>
              </w:rPr>
              <w:t>Percentage of HSRs trained:</w:t>
            </w:r>
          </w:p>
          <w:p w:rsidR="00A540DD" w:rsidRPr="005C4B16" w:rsidRDefault="00A540DD" w:rsidP="00BC10B9">
            <w:pPr>
              <w:numPr>
                <w:ilvl w:val="0"/>
                <w:numId w:val="24"/>
              </w:numPr>
              <w:rPr>
                <w:sz w:val="20"/>
                <w:szCs w:val="20"/>
              </w:rPr>
            </w:pPr>
            <w:r w:rsidRPr="005C4B16">
              <w:rPr>
                <w:sz w:val="20"/>
                <w:szCs w:val="20"/>
              </w:rPr>
              <w:t>Acceptance of role</w:t>
            </w:r>
          </w:p>
          <w:p w:rsidR="00A540DD" w:rsidRPr="005C4B16" w:rsidRDefault="00A540DD" w:rsidP="00BC10B9">
            <w:pPr>
              <w:numPr>
                <w:ilvl w:val="0"/>
                <w:numId w:val="24"/>
              </w:numPr>
              <w:rPr>
                <w:sz w:val="20"/>
                <w:szCs w:val="20"/>
              </w:rPr>
            </w:pPr>
            <w:r w:rsidRPr="005C4B16">
              <w:rPr>
                <w:sz w:val="20"/>
                <w:szCs w:val="20"/>
              </w:rPr>
              <w:t xml:space="preserve">Refresher training </w:t>
            </w:r>
          </w:p>
          <w:p w:rsidR="00A540DD" w:rsidRPr="005C4B16" w:rsidRDefault="00A540DD" w:rsidP="00BC10B9">
            <w:pPr>
              <w:numPr>
                <w:ilvl w:val="0"/>
                <w:numId w:val="24"/>
              </w:numPr>
              <w:rPr>
                <w:sz w:val="20"/>
                <w:szCs w:val="20"/>
              </w:rPr>
            </w:pPr>
            <w:r w:rsidRPr="005C4B16">
              <w:rPr>
                <w:sz w:val="20"/>
                <w:szCs w:val="20"/>
              </w:rPr>
              <w:t xml:space="preserve">Reporting of incidents and injuries </w:t>
            </w:r>
          </w:p>
        </w:tc>
        <w:tc>
          <w:tcPr>
            <w:tcW w:w="1276" w:type="dxa"/>
            <w:tcBorders>
              <w:top w:val="single" w:sz="4" w:space="0" w:color="auto"/>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97%</w:t>
            </w:r>
          </w:p>
          <w:p w:rsidR="00A540DD" w:rsidRPr="005C4B16" w:rsidRDefault="00A540DD" w:rsidP="00090DBB">
            <w:pPr>
              <w:jc w:val="right"/>
              <w:rPr>
                <w:sz w:val="20"/>
                <w:szCs w:val="20"/>
              </w:rPr>
            </w:pPr>
            <w:r w:rsidRPr="005C4B16">
              <w:rPr>
                <w:sz w:val="20"/>
                <w:szCs w:val="20"/>
              </w:rPr>
              <w:t>90%</w:t>
            </w:r>
          </w:p>
          <w:p w:rsidR="00A540DD" w:rsidRPr="005C4B16" w:rsidRDefault="00A540DD" w:rsidP="00090DBB">
            <w:pPr>
              <w:jc w:val="right"/>
              <w:rPr>
                <w:sz w:val="20"/>
                <w:szCs w:val="20"/>
              </w:rPr>
            </w:pPr>
            <w:r w:rsidRPr="005C4B16">
              <w:rPr>
                <w:sz w:val="20"/>
                <w:szCs w:val="20"/>
              </w:rPr>
              <w:t>100%</w:t>
            </w:r>
          </w:p>
        </w:tc>
        <w:tc>
          <w:tcPr>
            <w:tcW w:w="1276" w:type="dxa"/>
            <w:tcBorders>
              <w:top w:val="single" w:sz="4" w:space="0" w:color="auto"/>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59%</w:t>
            </w:r>
          </w:p>
          <w:p w:rsidR="00A540DD" w:rsidRPr="005C4B16" w:rsidRDefault="00A540DD" w:rsidP="00090DBB">
            <w:pPr>
              <w:jc w:val="right"/>
              <w:rPr>
                <w:sz w:val="20"/>
                <w:szCs w:val="20"/>
              </w:rPr>
            </w:pPr>
            <w:r w:rsidRPr="005C4B16">
              <w:rPr>
                <w:sz w:val="20"/>
                <w:szCs w:val="20"/>
              </w:rPr>
              <w:t>41%</w:t>
            </w:r>
          </w:p>
          <w:p w:rsidR="00A540DD" w:rsidRPr="005C4B16" w:rsidRDefault="00A540DD" w:rsidP="00090DBB">
            <w:pPr>
              <w:jc w:val="right"/>
              <w:rPr>
                <w:sz w:val="20"/>
                <w:szCs w:val="20"/>
              </w:rPr>
            </w:pPr>
            <w:r w:rsidRPr="005C4B16">
              <w:rPr>
                <w:sz w:val="20"/>
                <w:szCs w:val="20"/>
              </w:rPr>
              <w:t xml:space="preserve">           100%</w:t>
            </w:r>
          </w:p>
        </w:tc>
        <w:tc>
          <w:tcPr>
            <w:tcW w:w="1257" w:type="dxa"/>
            <w:tcBorders>
              <w:top w:val="single" w:sz="4" w:space="0" w:color="auto"/>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r w:rsidRPr="005C4B16">
              <w:rPr>
                <w:sz w:val="20"/>
                <w:szCs w:val="20"/>
              </w:rPr>
              <w:t>75%</w:t>
            </w:r>
          </w:p>
          <w:p w:rsidR="00A540DD" w:rsidRPr="005C4B16" w:rsidRDefault="00A540DD" w:rsidP="00090DBB">
            <w:pPr>
              <w:jc w:val="right"/>
              <w:rPr>
                <w:sz w:val="20"/>
                <w:szCs w:val="20"/>
              </w:rPr>
            </w:pPr>
            <w:r w:rsidRPr="005C4B16">
              <w:rPr>
                <w:sz w:val="20"/>
                <w:szCs w:val="20"/>
              </w:rPr>
              <w:t>80%</w:t>
            </w:r>
          </w:p>
          <w:p w:rsidR="00A540DD" w:rsidRPr="005C4B16" w:rsidRDefault="00A540DD" w:rsidP="00090DBB">
            <w:pPr>
              <w:jc w:val="right"/>
              <w:rPr>
                <w:sz w:val="20"/>
                <w:szCs w:val="20"/>
              </w:rPr>
            </w:pPr>
            <w:r w:rsidRPr="005C4B16">
              <w:rPr>
                <w:sz w:val="20"/>
                <w:szCs w:val="20"/>
              </w:rPr>
              <w:t>100%</w:t>
            </w:r>
          </w:p>
        </w:tc>
        <w:tc>
          <w:tcPr>
            <w:tcW w:w="1350" w:type="dxa"/>
            <w:tcBorders>
              <w:top w:val="single" w:sz="4" w:space="0" w:color="auto"/>
            </w:tcBorders>
          </w:tcPr>
          <w:p w:rsidR="00A540DD" w:rsidRPr="005C4B16" w:rsidRDefault="00A540DD" w:rsidP="00090DBB">
            <w:pPr>
              <w:jc w:val="right"/>
              <w:rPr>
                <w:sz w:val="20"/>
                <w:szCs w:val="20"/>
              </w:rPr>
            </w:pPr>
          </w:p>
          <w:p w:rsidR="00A540DD" w:rsidRPr="005C4B16" w:rsidRDefault="00A540DD" w:rsidP="00090DBB">
            <w:pPr>
              <w:jc w:val="right"/>
              <w:rPr>
                <w:sz w:val="20"/>
                <w:szCs w:val="20"/>
              </w:rPr>
            </w:pPr>
          </w:p>
          <w:p w:rsidR="00A540DD" w:rsidRPr="005C4B16" w:rsidRDefault="00A540DD" w:rsidP="00090DBB">
            <w:pPr>
              <w:jc w:val="right"/>
              <w:rPr>
                <w:sz w:val="20"/>
                <w:szCs w:val="20"/>
              </w:rPr>
            </w:pPr>
          </w:p>
        </w:tc>
      </w:tr>
    </w:tbl>
    <w:p w:rsidR="00A540DD" w:rsidRPr="005C4B16" w:rsidRDefault="00A540DD" w:rsidP="00A540DD">
      <w:pPr>
        <w:rPr>
          <w:sz w:val="20"/>
          <w:szCs w:val="20"/>
        </w:rPr>
      </w:pPr>
    </w:p>
    <w:p w:rsidR="00A540DD" w:rsidRPr="005C4B16" w:rsidRDefault="00A540DD" w:rsidP="00090DBB">
      <w:pPr>
        <w:pStyle w:val="Notesheading"/>
      </w:pPr>
      <w:r w:rsidRPr="005C4B16">
        <w:t>Notes:</w:t>
      </w:r>
    </w:p>
    <w:p w:rsidR="005C4B16" w:rsidRDefault="00090DBB" w:rsidP="00090DBB">
      <w:pPr>
        <w:pStyle w:val="Notes"/>
      </w:pPr>
      <w:r>
        <w:t>1.</w:t>
      </w:r>
      <w:r>
        <w:tab/>
      </w:r>
      <w:r w:rsidR="00A540DD" w:rsidRPr="005C4B16">
        <w:t>Includes employees and court users.</w:t>
      </w:r>
    </w:p>
    <w:p w:rsidR="005C4B16" w:rsidRDefault="00090DBB" w:rsidP="00090DBB">
      <w:pPr>
        <w:pStyle w:val="Notes"/>
      </w:pPr>
      <w:r>
        <w:t>2.</w:t>
      </w:r>
      <w:r>
        <w:tab/>
      </w:r>
      <w:r w:rsidR="00A540DD" w:rsidRPr="005C4B16">
        <w:t>WorkSafe Victoria data for 2016-17 provided on 3 August 2017.</w:t>
      </w:r>
    </w:p>
    <w:p w:rsidR="00A540DD" w:rsidRPr="005C4B16" w:rsidRDefault="00090DBB" w:rsidP="00090DBB">
      <w:pPr>
        <w:pStyle w:val="Notes"/>
      </w:pPr>
      <w:r>
        <w:t>3.</w:t>
      </w:r>
      <w:r>
        <w:tab/>
      </w:r>
      <w:r w:rsidR="00A540DD" w:rsidRPr="005C4B16">
        <w:t>No Provisional Improvement Notices were received and three entry notices were issued by WorkSafe.</w:t>
      </w:r>
    </w:p>
    <w:p w:rsidR="003278E8" w:rsidRDefault="003278E8"/>
    <w:p w:rsidR="006A67F1" w:rsidRDefault="009333D5" w:rsidP="006A67F1">
      <w:pPr>
        <w:pStyle w:val="Heading1"/>
      </w:pPr>
      <w:r>
        <w:br w:type="page"/>
      </w:r>
      <w:bookmarkStart w:id="21" w:name="_Toc494978547"/>
      <w:r w:rsidR="006A67F1" w:rsidRPr="003839DC">
        <w:lastRenderedPageBreak/>
        <w:t>Section 4:</w:t>
      </w:r>
      <w:r w:rsidR="006A67F1">
        <w:t xml:space="preserve"> </w:t>
      </w:r>
      <w:r w:rsidR="006A67F1" w:rsidRPr="003839DC">
        <w:t>Other disclosures</w:t>
      </w:r>
      <w:bookmarkEnd w:id="21"/>
    </w:p>
    <w:p w:rsidR="006A67F1" w:rsidRPr="006E1897" w:rsidRDefault="006A67F1" w:rsidP="006A67F1">
      <w:pPr>
        <w:pStyle w:val="Heading2"/>
      </w:pPr>
      <w:bookmarkStart w:id="22" w:name="_Toc494978548"/>
      <w:r w:rsidRPr="006E1897">
        <w:t>Victorian Industry Participation Policy</w:t>
      </w:r>
      <w:bookmarkEnd w:id="22"/>
      <w:r w:rsidRPr="006E1897">
        <w:t xml:space="preserve"> </w:t>
      </w:r>
    </w:p>
    <w:p w:rsidR="00183D28" w:rsidRDefault="00183D28" w:rsidP="00183D28">
      <w:r w:rsidRPr="0033466F">
        <w:t xml:space="preserve">The </w:t>
      </w:r>
      <w:r w:rsidRPr="00C60580">
        <w:rPr>
          <w:i/>
        </w:rPr>
        <w:t xml:space="preserve">Victorian Industry Participation Policy Act 2003 </w:t>
      </w:r>
      <w:r w:rsidRPr="0033466F">
        <w:t xml:space="preserve">(Vic) requires departments and public sector bodies to report on the implementation of the Victorian Industry Participation Policy (VIPP). Departments and public sector bodies are required to apply VIPP in all procurement activities valued at $3 million or more </w:t>
      </w:r>
      <w:r w:rsidR="00013DB0">
        <w:t>for</w:t>
      </w:r>
      <w:r w:rsidRPr="0033466F">
        <w:t xml:space="preserve"> metropolitan Melbourne and state wide projects, or $1 million or more for procurement ac</w:t>
      </w:r>
      <w:r w:rsidR="00EC6B27">
        <w:t xml:space="preserve">tivities in regional Victoria. </w:t>
      </w:r>
      <w:r w:rsidRPr="0033466F">
        <w:t>Industry Capability Network Victoria facilitates the VIPP on behalf of the Victorian Government, providing assistance to suppliers and assessment services to government agencies</w:t>
      </w:r>
      <w:r w:rsidR="00EC6B27">
        <w:t>.</w:t>
      </w:r>
    </w:p>
    <w:p w:rsidR="00183D28" w:rsidRPr="0033466F" w:rsidRDefault="00183D28" w:rsidP="00183D28"/>
    <w:p w:rsidR="00744DA8" w:rsidRDefault="00183D28" w:rsidP="00183D28">
      <w:r w:rsidRPr="00601BF2">
        <w:t xml:space="preserve">CSV </w:t>
      </w:r>
      <w:r w:rsidR="00EC6B27" w:rsidRPr="00601BF2">
        <w:t>did not commence or complete any procurements</w:t>
      </w:r>
      <w:r w:rsidR="00601BF2" w:rsidRPr="00601BF2">
        <w:t xml:space="preserve"> </w:t>
      </w:r>
      <w:r w:rsidR="00601BF2" w:rsidRPr="008A67AA">
        <w:t xml:space="preserve">to which the VIPP applied </w:t>
      </w:r>
      <w:r w:rsidR="00601BF2">
        <w:t>during the 2016-17</w:t>
      </w:r>
      <w:r w:rsidR="00601BF2" w:rsidRPr="008A67AA">
        <w:t xml:space="preserve"> reporting period</w:t>
      </w:r>
      <w:r w:rsidR="00601BF2">
        <w:t>.</w:t>
      </w:r>
    </w:p>
    <w:p w:rsidR="00744DA8" w:rsidRDefault="00744DA8" w:rsidP="00744DA8">
      <w:pPr>
        <w:pStyle w:val="Heading2"/>
      </w:pPr>
      <w:bookmarkStart w:id="23" w:name="_Toc494978549"/>
      <w:r w:rsidRPr="00156C26">
        <w:t>Compliance with Building Act 1993 (Vic)</w:t>
      </w:r>
      <w:bookmarkEnd w:id="23"/>
    </w:p>
    <w:p w:rsidR="00744DA8" w:rsidRDefault="00744DA8" w:rsidP="00744DA8">
      <w:r>
        <w:t>CSV satisfies the prescribed standards relating to the maintenance of fire safety and safety measures required under the Building Regulations of 2006.</w:t>
      </w:r>
      <w:r>
        <w:br/>
      </w:r>
    </w:p>
    <w:p w:rsidR="00744DA8" w:rsidRDefault="00744DA8" w:rsidP="00744DA8">
      <w:r>
        <w:t>An annual essential safety measures report is maintained for each building that outlines the required level of performance for each essential safety measure, and ensures that assets are being maintained in accordance with the regulations.</w:t>
      </w:r>
      <w:r>
        <w:br/>
      </w:r>
    </w:p>
    <w:p w:rsidR="00744DA8" w:rsidRDefault="00744DA8" w:rsidP="00744DA8">
      <w:r>
        <w:t>CSV maintains an annual essential safety measures report, and records of all maintenance checks and service/repair work carried out on an essential safety measure. This report is available for inspection by the Municipal Building Surveyor or Chief Officer of the fire brigade.</w:t>
      </w:r>
    </w:p>
    <w:p w:rsidR="00744DA8" w:rsidRPr="006E1897" w:rsidRDefault="00744DA8" w:rsidP="00744DA8">
      <w:pPr>
        <w:pStyle w:val="Heading2"/>
      </w:pPr>
      <w:bookmarkStart w:id="24" w:name="_Toc494978550"/>
      <w:r>
        <w:t>Go</w:t>
      </w:r>
      <w:r w:rsidRPr="006E1897">
        <w:t xml:space="preserve">vernment </w:t>
      </w:r>
      <w:r>
        <w:t>Advertising E</w:t>
      </w:r>
      <w:r w:rsidRPr="006E1897">
        <w:t>xpenditure</w:t>
      </w:r>
      <w:bookmarkEnd w:id="24"/>
      <w:r w:rsidRPr="006E1897">
        <w:t xml:space="preserve"> </w:t>
      </w:r>
    </w:p>
    <w:p w:rsidR="00744DA8" w:rsidRPr="00744DA8" w:rsidRDefault="00744DA8" w:rsidP="00744DA8">
      <w:pPr>
        <w:rPr>
          <w:lang w:val="en-GB"/>
        </w:rPr>
      </w:pPr>
      <w:r w:rsidRPr="00D54E09">
        <w:rPr>
          <w:lang w:val="en-GB"/>
        </w:rPr>
        <w:t xml:space="preserve">CSV did not conduct any </w:t>
      </w:r>
      <w:r>
        <w:rPr>
          <w:lang w:val="en-GB"/>
        </w:rPr>
        <w:t xml:space="preserve">advertising campaign in the financial year 2016-17. </w:t>
      </w:r>
    </w:p>
    <w:p w:rsidR="00744DA8" w:rsidRPr="00931DBF" w:rsidRDefault="00744DA8" w:rsidP="00744DA8">
      <w:pPr>
        <w:pStyle w:val="Heading2"/>
      </w:pPr>
      <w:bookmarkStart w:id="25" w:name="_Toc494978551"/>
      <w:r w:rsidRPr="00931DBF">
        <w:t>Compliance with the DataVic Access Policy</w:t>
      </w:r>
      <w:bookmarkEnd w:id="25"/>
      <w:r w:rsidRPr="00931DBF">
        <w:t xml:space="preserve"> </w:t>
      </w:r>
    </w:p>
    <w:p w:rsidR="00744DA8" w:rsidRPr="00B6510D" w:rsidRDefault="00744DA8" w:rsidP="00744DA8">
      <w:r w:rsidRPr="00931DBF">
        <w:t>Consistent with the DataVic Access Policy issued by the Victorian Government in 2012, the information included in this Annual Report will be available at www.courts.vic.gov.au in machine-readable format.</w:t>
      </w:r>
      <w:r w:rsidRPr="00B6510D" w:rsidDel="00734B47">
        <w:t xml:space="preserve"> </w:t>
      </w:r>
    </w:p>
    <w:p w:rsidR="00744DA8" w:rsidRPr="00931DBF" w:rsidRDefault="00744DA8" w:rsidP="00744DA8">
      <w:pPr>
        <w:pStyle w:val="Heading2"/>
      </w:pPr>
      <w:bookmarkStart w:id="26" w:name="_Toc494978552"/>
      <w:r w:rsidRPr="00931DBF">
        <w:t>National Competition Policy</w:t>
      </w:r>
      <w:bookmarkEnd w:id="26"/>
      <w:r w:rsidRPr="00931DBF">
        <w:t xml:space="preserve"> </w:t>
      </w:r>
    </w:p>
    <w:p w:rsidR="00744DA8" w:rsidRPr="00931DBF" w:rsidRDefault="00744DA8" w:rsidP="00744DA8">
      <w:r w:rsidRPr="00931DBF">
        <w:t xml:space="preserve">Under the National Competition Policy, the guiding principle is that legislation, including future legislative proposals, should not restrict competition unless </w:t>
      </w:r>
      <w:r w:rsidR="00931DBF">
        <w:t>the below can be</w:t>
      </w:r>
      <w:r w:rsidRPr="00931DBF">
        <w:t xml:space="preserve"> de</w:t>
      </w:r>
      <w:r w:rsidR="00931DBF">
        <w:t>monstrated.</w:t>
      </w:r>
    </w:p>
    <w:p w:rsidR="00744DA8" w:rsidRPr="00931DBF" w:rsidRDefault="00744DA8" w:rsidP="00744DA8"/>
    <w:p w:rsidR="00744DA8" w:rsidRPr="00931DBF" w:rsidRDefault="00744DA8" w:rsidP="00744DA8">
      <w:pPr>
        <w:pStyle w:val="ListBullet"/>
      </w:pPr>
      <w:r w:rsidRPr="00931DBF">
        <w:t>The benefits of the restriction to the community as a whole outweigh the costs.</w:t>
      </w:r>
    </w:p>
    <w:p w:rsidR="00744DA8" w:rsidRPr="00931DBF" w:rsidRDefault="00744DA8" w:rsidP="00744DA8">
      <w:pPr>
        <w:pStyle w:val="ListBullet"/>
      </w:pPr>
      <w:r w:rsidRPr="00931DBF">
        <w:t>The objectives of the legislation can only be achieved by restricting competition.</w:t>
      </w:r>
    </w:p>
    <w:p w:rsidR="00931DBF" w:rsidRDefault="00931DBF" w:rsidP="00744DA8"/>
    <w:p w:rsidR="00744DA8" w:rsidRPr="002B6462" w:rsidRDefault="00744DA8" w:rsidP="00744DA8">
      <w:r w:rsidRPr="00931DBF">
        <w:t>CSV complies with the requirements of the National Competition Policy.</w:t>
      </w:r>
    </w:p>
    <w:p w:rsidR="00744DA8" w:rsidRPr="00D83BC0" w:rsidRDefault="00744DA8" w:rsidP="00744DA8">
      <w:pPr>
        <w:pStyle w:val="Heading2"/>
      </w:pPr>
      <w:bookmarkStart w:id="27" w:name="_Toc494978553"/>
      <w:r w:rsidRPr="00156C26">
        <w:lastRenderedPageBreak/>
        <w:t>Compliance with the Protected Disclosure Act 2012 (Vic)</w:t>
      </w:r>
      <w:bookmarkEnd w:id="27"/>
    </w:p>
    <w:p w:rsidR="00744DA8" w:rsidRPr="00A644E0" w:rsidRDefault="00744DA8" w:rsidP="00744DA8">
      <w:r w:rsidRPr="00A644E0">
        <w:t xml:space="preserve">The </w:t>
      </w:r>
      <w:r w:rsidRPr="00346C12">
        <w:rPr>
          <w:i/>
        </w:rPr>
        <w:t>Protected Disclosure Act 2012</w:t>
      </w:r>
      <w:r>
        <w:t xml:space="preserve"> (Vic) </w:t>
      </w:r>
      <w:r w:rsidRPr="00A644E0">
        <w:t>encourages and assists people in making disclosures of improper conduct by public officers and public bodies. The P</w:t>
      </w:r>
      <w:r>
        <w:t>rotected Disclosure</w:t>
      </w:r>
      <w:r w:rsidRPr="00A644E0">
        <w:t xml:space="preserve"> Act provides certain protection to people who make disclosures in accordance with the P</w:t>
      </w:r>
      <w:r>
        <w:t>rotected Disclosure</w:t>
      </w:r>
      <w:r w:rsidRPr="00A644E0">
        <w:t xml:space="preserve"> Act and establishes a system for the matters disclosed to be investigated</w:t>
      </w:r>
      <w:r>
        <w:t>,</w:t>
      </w:r>
      <w:r w:rsidRPr="00A644E0">
        <w:t xml:space="preserve"> and rectifying action to be taken.</w:t>
      </w:r>
    </w:p>
    <w:p w:rsidR="00744DA8" w:rsidRPr="00A644E0" w:rsidRDefault="00744DA8" w:rsidP="00744DA8"/>
    <w:p w:rsidR="00744DA8" w:rsidRPr="00A644E0" w:rsidRDefault="00744DA8" w:rsidP="00744DA8">
      <w:r w:rsidRPr="00A644E0">
        <w:t>CSV does not tolerate improper conduct by employees, nor reprisals against those who come forward to disclose such conduct. CSV is committed to ensuring transparency and accountability in administrative and management practices, and supports the making of disclosures that reveal corrupt conduct, conduct involving a substantial mismanagement of public resources, or conduct involving a substantial risk to public health and safety</w:t>
      </w:r>
      <w:r>
        <w:t>,</w:t>
      </w:r>
      <w:r w:rsidRPr="00A644E0">
        <w:t xml:space="preserve"> or the environment. </w:t>
      </w:r>
    </w:p>
    <w:p w:rsidR="00744DA8" w:rsidRPr="00A644E0" w:rsidRDefault="00744DA8" w:rsidP="00744DA8"/>
    <w:p w:rsidR="00744DA8" w:rsidRPr="00A644E0" w:rsidRDefault="00744DA8" w:rsidP="00744DA8">
      <w:r w:rsidRPr="00A644E0">
        <w:t>CSV will take all reasonable steps to protect people who make such disclosures from any detrimental action in reprisal for making the disclosure. CSV will also afford natural justice to the person who is the subject of the disclosure to the extent it is legally possible.</w:t>
      </w:r>
    </w:p>
    <w:p w:rsidR="00744DA8" w:rsidRPr="00A644E0" w:rsidRDefault="00744DA8" w:rsidP="00744DA8">
      <w:pPr>
        <w:pStyle w:val="Heading3"/>
      </w:pPr>
      <w:r w:rsidRPr="00A644E0">
        <w:t>Reporting Procedures</w:t>
      </w:r>
    </w:p>
    <w:p w:rsidR="00744DA8" w:rsidRDefault="00744DA8" w:rsidP="00744DA8">
      <w:r w:rsidRPr="00A644E0">
        <w:t>Disclosure of improper conduct or detrimental action by CSV</w:t>
      </w:r>
      <w:r>
        <w:t>,</w:t>
      </w:r>
      <w:r w:rsidRPr="00A644E0">
        <w:t xml:space="preserve"> or any of its employees or officers</w:t>
      </w:r>
      <w:r>
        <w:t>,</w:t>
      </w:r>
      <w:r w:rsidRPr="00A644E0">
        <w:t xml:space="preserve"> may be made to:</w:t>
      </w:r>
    </w:p>
    <w:p w:rsidR="00BD5FC2" w:rsidRPr="00A644E0" w:rsidRDefault="00BD5FC2" w:rsidP="00744DA8"/>
    <w:p w:rsidR="00744DA8" w:rsidRPr="00A644E0" w:rsidRDefault="00744DA8" w:rsidP="00744DA8">
      <w:r w:rsidRPr="00A644E0">
        <w:t>The Independent Broad-based Anti-corruption Commission (IBAC)</w:t>
      </w:r>
    </w:p>
    <w:p w:rsidR="00744DA8" w:rsidRPr="00A644E0" w:rsidRDefault="00744DA8" w:rsidP="00744DA8">
      <w:r w:rsidRPr="00A644E0">
        <w:t>Level 1, North Tower, 459 Collins Street</w:t>
      </w:r>
      <w:r w:rsidR="00BD5FC2">
        <w:t xml:space="preserve">, </w:t>
      </w:r>
      <w:r>
        <w:t xml:space="preserve">Melbourne Vic </w:t>
      </w:r>
      <w:r w:rsidRPr="00A644E0">
        <w:t>3000</w:t>
      </w:r>
    </w:p>
    <w:p w:rsidR="00744DA8" w:rsidRPr="00A644E0" w:rsidRDefault="00744DA8" w:rsidP="00744DA8">
      <w:r w:rsidRPr="00A644E0">
        <w:t>Telephone: 1300 735 135</w:t>
      </w:r>
    </w:p>
    <w:p w:rsidR="00744DA8" w:rsidRPr="00A644E0" w:rsidRDefault="00744DA8" w:rsidP="00744DA8">
      <w:r w:rsidRPr="00A644E0">
        <w:t xml:space="preserve">Website: </w:t>
      </w:r>
      <w:hyperlink r:id="rId11" w:history="1">
        <w:r w:rsidRPr="00A644E0">
          <w:t>www.ibac.vic.gov.au</w:t>
        </w:r>
      </w:hyperlink>
    </w:p>
    <w:p w:rsidR="00744DA8" w:rsidRPr="00A644E0" w:rsidRDefault="00744DA8" w:rsidP="00744DA8">
      <w:pPr>
        <w:pStyle w:val="Heading3"/>
      </w:pPr>
      <w:r w:rsidRPr="00A644E0">
        <w:t>Further information</w:t>
      </w:r>
    </w:p>
    <w:p w:rsidR="00744DA8" w:rsidRPr="00B6510D" w:rsidRDefault="00744DA8" w:rsidP="00744DA8">
      <w:r w:rsidRPr="00A644E0">
        <w:t>Information about what constitutes corrupt and specified conduct, how to make a disclosure, what happens when a disclosure is made, the protections and support available to disclosers, and the support available to a CSV employee who is being investigated can be found in the Making and Handling Protected Disclosures Procedures.</w:t>
      </w:r>
      <w:r w:rsidR="00BD5FC2">
        <w:t xml:space="preserve"> </w:t>
      </w:r>
      <w:r w:rsidRPr="00A644E0">
        <w:t xml:space="preserve">To request a copy of the Making and Handling Protected Disclosures Procedures, please contact </w:t>
      </w:r>
      <w:hyperlink r:id="rId12" w:history="1">
        <w:r w:rsidRPr="00A644E0">
          <w:t>feedback@courts.vic.gov.au</w:t>
        </w:r>
      </w:hyperlink>
      <w:r w:rsidRPr="00A644E0">
        <w:t>.</w:t>
      </w:r>
    </w:p>
    <w:p w:rsidR="00744DA8" w:rsidRPr="00156C26" w:rsidRDefault="00744DA8" w:rsidP="00744DA8">
      <w:pPr>
        <w:pStyle w:val="Heading2"/>
      </w:pPr>
      <w:bookmarkStart w:id="28" w:name="_Toc494978554"/>
      <w:r w:rsidRPr="00156C26">
        <w:t>Compliance with the Carers Recognition Act 2012 (Vic)</w:t>
      </w:r>
      <w:bookmarkEnd w:id="28"/>
      <w:r w:rsidRPr="00156C26">
        <w:t xml:space="preserve"> </w:t>
      </w:r>
    </w:p>
    <w:p w:rsidR="00744DA8" w:rsidRDefault="00744DA8" w:rsidP="00744DA8">
      <w:r w:rsidRPr="00B6510D">
        <w:t xml:space="preserve">CSV complies with its obligations under the </w:t>
      </w:r>
      <w:r w:rsidRPr="00715045">
        <w:rPr>
          <w:i/>
        </w:rPr>
        <w:t>Carers Recognition Act 2012</w:t>
      </w:r>
      <w:r w:rsidRPr="00B6510D">
        <w:t xml:space="preserve"> (Vic) </w:t>
      </w:r>
      <w:r w:rsidRPr="006034D4">
        <w:t xml:space="preserve">by </w:t>
      </w:r>
      <w:r>
        <w:t>ensuring</w:t>
      </w:r>
      <w:r w:rsidRPr="006034D4">
        <w:t xml:space="preserve"> all new employees </w:t>
      </w:r>
      <w:r>
        <w:t xml:space="preserve">are </w:t>
      </w:r>
      <w:r w:rsidRPr="006034D4">
        <w:t>aware of</w:t>
      </w:r>
      <w:r>
        <w:t xml:space="preserve"> their rights under the</w:t>
      </w:r>
      <w:r w:rsidRPr="006034D4">
        <w:t xml:space="preserve"> legislation and ensuring that existing</w:t>
      </w:r>
      <w:r w:rsidRPr="00B6510D">
        <w:t xml:space="preserve"> employees, who have carer responsibilities, are</w:t>
      </w:r>
      <w:r>
        <w:t xml:space="preserve"> supported to balance work responsibilities and caring commitments</w:t>
      </w:r>
      <w:r w:rsidRPr="00B6510D">
        <w:t xml:space="preserve"> in accordance with </w:t>
      </w:r>
      <w:r w:rsidRPr="0014634C">
        <w:t xml:space="preserve">the </w:t>
      </w:r>
      <w:r w:rsidRPr="00EC7BDF">
        <w:t>Victorian Public Service Enterprise Agreement 2016.</w:t>
      </w:r>
    </w:p>
    <w:p w:rsidR="00744DA8" w:rsidRDefault="00744DA8" w:rsidP="00744DA8"/>
    <w:p w:rsidR="00744DA8" w:rsidRDefault="00744DA8" w:rsidP="00744DA8">
      <w:r>
        <w:t>CSV also has people management policies</w:t>
      </w:r>
      <w:r w:rsidRPr="00B6510D">
        <w:t xml:space="preserve"> </w:t>
      </w:r>
      <w:r>
        <w:t xml:space="preserve">that support the guiding principles of the </w:t>
      </w:r>
      <w:r w:rsidRPr="00EC7BDF">
        <w:t>Carers Recognition Act</w:t>
      </w:r>
      <w:r>
        <w:t xml:space="preserve">, including those listed below. </w:t>
      </w:r>
    </w:p>
    <w:p w:rsidR="00744DA8" w:rsidRDefault="00744DA8" w:rsidP="00744DA8"/>
    <w:p w:rsidR="00744DA8" w:rsidRPr="00EC4AFF" w:rsidRDefault="00744DA8" w:rsidP="00744DA8">
      <w:pPr>
        <w:pStyle w:val="ListBullet"/>
      </w:pPr>
      <w:r w:rsidRPr="00EC4AFF">
        <w:t>Employee Assistance Program</w:t>
      </w:r>
    </w:p>
    <w:p w:rsidR="00744DA8" w:rsidRPr="00EC4AFF" w:rsidRDefault="00744DA8" w:rsidP="00744DA8">
      <w:pPr>
        <w:pStyle w:val="ListBullet"/>
      </w:pPr>
      <w:r w:rsidRPr="00EC4AFF">
        <w:t>Personal/Carer’s Leave Policy (review completed during 2016-17)</w:t>
      </w:r>
    </w:p>
    <w:p w:rsidR="00744DA8" w:rsidRPr="00EC4AFF" w:rsidRDefault="00744DA8" w:rsidP="00744DA8">
      <w:pPr>
        <w:pStyle w:val="ListBullet"/>
      </w:pPr>
      <w:r w:rsidRPr="00EC4AFF">
        <w:t>Flexible Working Arrangements Policy</w:t>
      </w:r>
    </w:p>
    <w:p w:rsidR="00744DA8" w:rsidRDefault="00744DA8" w:rsidP="00744DA8">
      <w:pPr>
        <w:pStyle w:val="ListBullet"/>
      </w:pPr>
      <w:r w:rsidRPr="00EC4AFF">
        <w:t>Respect in the Workplace Policy</w:t>
      </w:r>
    </w:p>
    <w:p w:rsidR="00744DA8" w:rsidRPr="00471BF9" w:rsidRDefault="00744DA8" w:rsidP="00744DA8">
      <w:pPr>
        <w:pStyle w:val="ListBullet"/>
      </w:pPr>
      <w:r w:rsidRPr="00471BF9">
        <w:t xml:space="preserve">Hours of Work Policy </w:t>
      </w:r>
      <w:r>
        <w:t>(review completed</w:t>
      </w:r>
      <w:r w:rsidRPr="00471BF9">
        <w:t xml:space="preserve"> during 2016-17)</w:t>
      </w:r>
    </w:p>
    <w:p w:rsidR="00744DA8" w:rsidRPr="00EC4AFF" w:rsidRDefault="00744DA8" w:rsidP="00744DA8">
      <w:pPr>
        <w:pStyle w:val="ListBullet"/>
      </w:pPr>
      <w:r>
        <w:t>Purchased Leave Policy.</w:t>
      </w:r>
    </w:p>
    <w:p w:rsidR="00BD5FC2" w:rsidRDefault="00BD5FC2" w:rsidP="006A67F1">
      <w:pPr>
        <w:pStyle w:val="Heading2"/>
        <w:sectPr w:rsidR="00BD5FC2" w:rsidSect="00E37E4C">
          <w:pgSz w:w="11906" w:h="16838" w:code="9"/>
          <w:pgMar w:top="1134" w:right="1134" w:bottom="1134" w:left="1134" w:header="567" w:footer="567" w:gutter="0"/>
          <w:cols w:space="708"/>
          <w:titlePg/>
          <w:docGrid w:linePitch="360"/>
        </w:sectPr>
      </w:pPr>
    </w:p>
    <w:p w:rsidR="006A67F1" w:rsidRPr="002326C3" w:rsidRDefault="006A67F1" w:rsidP="006A67F1">
      <w:pPr>
        <w:pStyle w:val="Heading2"/>
      </w:pPr>
      <w:bookmarkStart w:id="29" w:name="_Toc494978555"/>
      <w:r>
        <w:lastRenderedPageBreak/>
        <w:t>Consultancy Expenditure</w:t>
      </w:r>
      <w:bookmarkEnd w:id="29"/>
    </w:p>
    <w:p w:rsidR="006A67F1" w:rsidRPr="00BD5FC2" w:rsidRDefault="006A67F1" w:rsidP="006A67F1">
      <w:pPr>
        <w:pStyle w:val="Heading3"/>
      </w:pPr>
      <w:r w:rsidRPr="00BD5FC2">
        <w:t>Details of Cons</w:t>
      </w:r>
      <w:r w:rsidR="00181D51" w:rsidRPr="00BD5FC2">
        <w:t>ultancies Valued at $10,000 or g</w:t>
      </w:r>
      <w:r w:rsidRPr="00BD5FC2">
        <w:t>reater</w:t>
      </w:r>
    </w:p>
    <w:p w:rsidR="00F86564" w:rsidRDefault="00181D51" w:rsidP="006A67F1">
      <w:r w:rsidRPr="00BD5FC2">
        <w:t xml:space="preserve">In 2016-17, there were </w:t>
      </w:r>
      <w:r w:rsidR="009C3B9A">
        <w:t>17</w:t>
      </w:r>
      <w:r w:rsidRPr="00BD5FC2">
        <w:t xml:space="preserve"> consultancies where the total fees payable to the consultants were $10,000 or greater. The total expenditure incurred during 2016-17 in relation to these consultancies </w:t>
      </w:r>
      <w:r w:rsidRPr="000E65AF">
        <w:t xml:space="preserve">is </w:t>
      </w:r>
      <w:r w:rsidR="00A44058" w:rsidRPr="004C2E2F">
        <w:t>$2.</w:t>
      </w:r>
      <w:r w:rsidR="009C3B9A">
        <w:t>41</w:t>
      </w:r>
      <w:r w:rsidRPr="000E65AF">
        <w:t xml:space="preserve"> million (excluding GST).</w:t>
      </w:r>
    </w:p>
    <w:p w:rsidR="00A44058" w:rsidRPr="001A15AA" w:rsidRDefault="00A44058" w:rsidP="006A67F1">
      <w:pPr>
        <w:rPr>
          <w:highlight w:val="yellow"/>
        </w:rPr>
      </w:pPr>
    </w:p>
    <w:p w:rsidR="006A67F1" w:rsidRPr="000B7945" w:rsidRDefault="005C4B16" w:rsidP="000B7945">
      <w:pPr>
        <w:pStyle w:val="Caption"/>
      </w:pPr>
      <w:r w:rsidRPr="000B7945">
        <w:t>Table 10</w:t>
      </w:r>
      <w:r w:rsidR="00181D51" w:rsidRPr="000B7945">
        <w:t xml:space="preserve">: </w:t>
      </w:r>
      <w:r w:rsidR="00A7716B" w:rsidRPr="000B7945">
        <w:t>Consultancies valued at $10,000 or greater</w:t>
      </w:r>
    </w:p>
    <w:tbl>
      <w:tblPr>
        <w:tblW w:w="14152" w:type="dxa"/>
        <w:tblInd w:w="80" w:type="dxa"/>
        <w:tblLook w:val="04A0" w:firstRow="1" w:lastRow="0" w:firstColumn="1" w:lastColumn="0" w:noHBand="0" w:noVBand="1"/>
      </w:tblPr>
      <w:tblGrid>
        <w:gridCol w:w="3681"/>
        <w:gridCol w:w="4819"/>
        <w:gridCol w:w="1843"/>
        <w:gridCol w:w="1928"/>
        <w:gridCol w:w="57"/>
        <w:gridCol w:w="1603"/>
        <w:gridCol w:w="221"/>
      </w:tblGrid>
      <w:tr w:rsidR="008D716B" w:rsidRPr="008D716B" w:rsidTr="00A44058">
        <w:trPr>
          <w:gridBefore w:val="4"/>
          <w:gridAfter w:val="1"/>
          <w:wBefore w:w="12271" w:type="dxa"/>
          <w:wAfter w:w="221" w:type="dxa"/>
          <w:trHeight w:val="255"/>
        </w:trPr>
        <w:tc>
          <w:tcPr>
            <w:tcW w:w="1660" w:type="dxa"/>
            <w:gridSpan w:val="2"/>
            <w:tcBorders>
              <w:top w:val="nil"/>
              <w:left w:val="nil"/>
              <w:bottom w:val="nil"/>
              <w:right w:val="nil"/>
            </w:tcBorders>
            <w:shd w:val="clear" w:color="auto" w:fill="auto"/>
            <w:noWrap/>
            <w:vAlign w:val="bottom"/>
            <w:hideMark/>
          </w:tcPr>
          <w:p w:rsidR="008D716B" w:rsidRPr="008D716B" w:rsidRDefault="008D716B" w:rsidP="008D716B">
            <w:pPr>
              <w:rPr>
                <w:rFonts w:eastAsia="Times New Roman"/>
                <w:b/>
                <w:bCs/>
                <w:color w:val="000000"/>
                <w:sz w:val="20"/>
                <w:szCs w:val="20"/>
              </w:rPr>
            </w:pPr>
            <w:r w:rsidRPr="008D716B">
              <w:rPr>
                <w:rFonts w:eastAsia="Times New Roman"/>
                <w:b/>
                <w:bCs/>
                <w:color w:val="000000"/>
                <w:sz w:val="20"/>
                <w:szCs w:val="20"/>
              </w:rPr>
              <w:t>($ thousand)</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05"/>
        </w:trPr>
        <w:tc>
          <w:tcPr>
            <w:tcW w:w="3681" w:type="dxa"/>
            <w:shd w:val="clear" w:color="auto" w:fill="BFBFBF"/>
            <w:hideMark/>
          </w:tcPr>
          <w:p w:rsidR="00BD5FC2" w:rsidRPr="005C4B16" w:rsidRDefault="00BD5FC2" w:rsidP="00BD5FC2">
            <w:pPr>
              <w:rPr>
                <w:b/>
                <w:i/>
                <w:iCs/>
                <w:sz w:val="20"/>
                <w:szCs w:val="20"/>
              </w:rPr>
            </w:pPr>
            <w:r w:rsidRPr="005C4B16">
              <w:rPr>
                <w:b/>
                <w:i/>
                <w:iCs/>
                <w:sz w:val="20"/>
                <w:szCs w:val="20"/>
              </w:rPr>
              <w:t>Consultant</w:t>
            </w:r>
          </w:p>
        </w:tc>
        <w:tc>
          <w:tcPr>
            <w:tcW w:w="4819" w:type="dxa"/>
            <w:shd w:val="clear" w:color="auto" w:fill="BFBFBF"/>
            <w:hideMark/>
          </w:tcPr>
          <w:p w:rsidR="00BD5FC2" w:rsidRPr="005C4B16" w:rsidRDefault="00BD5FC2" w:rsidP="00BD5FC2">
            <w:pPr>
              <w:rPr>
                <w:b/>
                <w:i/>
                <w:iCs/>
                <w:sz w:val="20"/>
                <w:szCs w:val="20"/>
              </w:rPr>
            </w:pPr>
            <w:r w:rsidRPr="005C4B16">
              <w:rPr>
                <w:b/>
                <w:i/>
                <w:iCs/>
                <w:sz w:val="20"/>
                <w:szCs w:val="20"/>
              </w:rPr>
              <w:t>Purpose of consultancy</w:t>
            </w:r>
          </w:p>
        </w:tc>
        <w:tc>
          <w:tcPr>
            <w:tcW w:w="1843" w:type="dxa"/>
            <w:tcBorders>
              <w:bottom w:val="single" w:sz="4" w:space="0" w:color="auto"/>
            </w:tcBorders>
            <w:shd w:val="clear" w:color="auto" w:fill="BFBFBF"/>
          </w:tcPr>
          <w:p w:rsidR="00BD5FC2" w:rsidRPr="005C4B16" w:rsidRDefault="00BD5FC2" w:rsidP="00BD5FC2">
            <w:pPr>
              <w:rPr>
                <w:b/>
                <w:i/>
                <w:iCs/>
                <w:sz w:val="20"/>
                <w:szCs w:val="20"/>
              </w:rPr>
            </w:pPr>
            <w:r w:rsidRPr="005C4B16">
              <w:rPr>
                <w:b/>
                <w:i/>
                <w:iCs/>
                <w:sz w:val="20"/>
                <w:szCs w:val="20"/>
              </w:rPr>
              <w:t>Total</w:t>
            </w:r>
            <w:r w:rsidR="006D0FAA" w:rsidRPr="005C4B16">
              <w:rPr>
                <w:b/>
                <w:i/>
                <w:iCs/>
                <w:sz w:val="20"/>
                <w:szCs w:val="20"/>
              </w:rPr>
              <w:t xml:space="preserve"> approved project fee (excl</w:t>
            </w:r>
            <w:r w:rsidR="0041228E" w:rsidRPr="005C4B16">
              <w:rPr>
                <w:b/>
                <w:i/>
                <w:iCs/>
                <w:sz w:val="20"/>
                <w:szCs w:val="20"/>
              </w:rPr>
              <w:t>.</w:t>
            </w:r>
            <w:r w:rsidRPr="005C4B16">
              <w:rPr>
                <w:b/>
                <w:i/>
                <w:iCs/>
                <w:sz w:val="20"/>
                <w:szCs w:val="20"/>
              </w:rPr>
              <w:t xml:space="preserve"> GST)</w:t>
            </w:r>
          </w:p>
        </w:tc>
        <w:tc>
          <w:tcPr>
            <w:tcW w:w="1985" w:type="dxa"/>
            <w:gridSpan w:val="2"/>
            <w:tcBorders>
              <w:bottom w:val="single" w:sz="4" w:space="0" w:color="auto"/>
            </w:tcBorders>
            <w:shd w:val="clear" w:color="auto" w:fill="BFBFBF"/>
            <w:hideMark/>
          </w:tcPr>
          <w:p w:rsidR="00BD5FC2" w:rsidRPr="005C4B16" w:rsidRDefault="00BD5FC2" w:rsidP="00BD5FC2">
            <w:pPr>
              <w:rPr>
                <w:b/>
                <w:i/>
                <w:iCs/>
                <w:sz w:val="20"/>
                <w:szCs w:val="20"/>
              </w:rPr>
            </w:pPr>
            <w:r w:rsidRPr="005C4B16">
              <w:rPr>
                <w:b/>
                <w:i/>
                <w:iCs/>
                <w:sz w:val="20"/>
                <w:szCs w:val="20"/>
              </w:rPr>
              <w:t>Expenditure 2016-17 (excl</w:t>
            </w:r>
            <w:r w:rsidR="0041228E" w:rsidRPr="005C4B16">
              <w:rPr>
                <w:b/>
                <w:i/>
                <w:iCs/>
                <w:sz w:val="20"/>
                <w:szCs w:val="20"/>
              </w:rPr>
              <w:t>.</w:t>
            </w:r>
            <w:r w:rsidRPr="005C4B16">
              <w:rPr>
                <w:b/>
                <w:i/>
                <w:iCs/>
                <w:sz w:val="20"/>
                <w:szCs w:val="20"/>
              </w:rPr>
              <w:t xml:space="preserve"> GST) </w:t>
            </w:r>
          </w:p>
        </w:tc>
        <w:tc>
          <w:tcPr>
            <w:tcW w:w="1824" w:type="dxa"/>
            <w:gridSpan w:val="2"/>
            <w:tcBorders>
              <w:bottom w:val="single" w:sz="4" w:space="0" w:color="auto"/>
            </w:tcBorders>
            <w:shd w:val="clear" w:color="auto" w:fill="BFBFBF"/>
          </w:tcPr>
          <w:p w:rsidR="00BD5FC2" w:rsidRPr="005C4B16" w:rsidRDefault="006D0FAA" w:rsidP="00BD5FC2">
            <w:pPr>
              <w:rPr>
                <w:b/>
                <w:i/>
                <w:iCs/>
                <w:sz w:val="20"/>
                <w:szCs w:val="20"/>
              </w:rPr>
            </w:pPr>
            <w:r w:rsidRPr="005C4B16">
              <w:rPr>
                <w:b/>
                <w:i/>
                <w:iCs/>
                <w:sz w:val="20"/>
                <w:szCs w:val="20"/>
              </w:rPr>
              <w:t>Future expenditure (excl</w:t>
            </w:r>
            <w:r w:rsidR="0041228E" w:rsidRPr="005C4B16">
              <w:rPr>
                <w:b/>
                <w:i/>
                <w:iCs/>
                <w:sz w:val="20"/>
                <w:szCs w:val="20"/>
              </w:rPr>
              <w:t>.</w:t>
            </w:r>
            <w:r w:rsidRPr="005C4B16">
              <w:rPr>
                <w:b/>
                <w:i/>
                <w:iCs/>
                <w:sz w:val="20"/>
                <w:szCs w:val="20"/>
              </w:rPr>
              <w:t xml:space="preserve"> GST)</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noWrap/>
            <w:hideMark/>
          </w:tcPr>
          <w:p w:rsidR="008D716B" w:rsidRPr="005C4B16" w:rsidRDefault="008D716B" w:rsidP="008D716B">
            <w:pPr>
              <w:rPr>
                <w:sz w:val="20"/>
                <w:szCs w:val="20"/>
              </w:rPr>
            </w:pPr>
            <w:r w:rsidRPr="005C4B16">
              <w:rPr>
                <w:sz w:val="20"/>
                <w:szCs w:val="20"/>
              </w:rPr>
              <w:t>Aboriginal and Torres Strait Islander Corporation</w:t>
            </w:r>
          </w:p>
          <w:p w:rsidR="008D716B" w:rsidRPr="005C4B16" w:rsidRDefault="008D716B" w:rsidP="008D716B">
            <w:pPr>
              <w:rPr>
                <w:sz w:val="20"/>
                <w:szCs w:val="20"/>
              </w:rPr>
            </w:pPr>
          </w:p>
        </w:tc>
        <w:tc>
          <w:tcPr>
            <w:tcW w:w="4819" w:type="dxa"/>
            <w:shd w:val="clear" w:color="auto" w:fill="auto"/>
            <w:hideMark/>
          </w:tcPr>
          <w:p w:rsidR="008D716B" w:rsidRPr="005C4B16" w:rsidRDefault="008D716B" w:rsidP="008D716B">
            <w:pPr>
              <w:rPr>
                <w:sz w:val="20"/>
                <w:szCs w:val="20"/>
              </w:rPr>
            </w:pPr>
            <w:r w:rsidRPr="005C4B16">
              <w:rPr>
                <w:sz w:val="20"/>
                <w:szCs w:val="20"/>
              </w:rPr>
              <w:t xml:space="preserve">Consultancy service to Aboriginal Family Violence Prevention and Legal Service Victoria </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25,765</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25,765</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Billard Leece Partnership PTY LTD</w:t>
            </w:r>
          </w:p>
          <w:p w:rsidR="008D716B" w:rsidRPr="005C4B16" w:rsidRDefault="008D716B" w:rsidP="008D716B">
            <w:pPr>
              <w:rPr>
                <w:sz w:val="20"/>
                <w:szCs w:val="20"/>
              </w:rPr>
            </w:pPr>
          </w:p>
        </w:tc>
        <w:tc>
          <w:tcPr>
            <w:tcW w:w="4819" w:type="dxa"/>
            <w:shd w:val="clear" w:color="auto" w:fill="auto"/>
            <w:hideMark/>
          </w:tcPr>
          <w:p w:rsidR="008D716B" w:rsidRPr="005C4B16" w:rsidRDefault="008D716B" w:rsidP="008D716B">
            <w:pPr>
              <w:rPr>
                <w:sz w:val="20"/>
                <w:szCs w:val="20"/>
              </w:rPr>
            </w:pPr>
            <w:r w:rsidRPr="005C4B16">
              <w:rPr>
                <w:sz w:val="20"/>
                <w:szCs w:val="20"/>
              </w:rPr>
              <w:t xml:space="preserve">Master planning and architectural design for strategic plan implementation </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130,000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120,000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Centring Pty Ltd</w:t>
            </w:r>
          </w:p>
          <w:p w:rsidR="008D716B" w:rsidRPr="005C4B16" w:rsidRDefault="008D716B" w:rsidP="008D716B">
            <w:pPr>
              <w:rPr>
                <w:sz w:val="20"/>
                <w:szCs w:val="20"/>
              </w:rPr>
            </w:pPr>
          </w:p>
        </w:tc>
        <w:tc>
          <w:tcPr>
            <w:tcW w:w="4819" w:type="dxa"/>
            <w:shd w:val="clear" w:color="auto" w:fill="auto"/>
            <w:hideMark/>
          </w:tcPr>
          <w:p w:rsidR="008D716B" w:rsidRPr="005C4B16" w:rsidRDefault="008D716B" w:rsidP="008D716B">
            <w:pPr>
              <w:rPr>
                <w:sz w:val="20"/>
                <w:szCs w:val="20"/>
              </w:rPr>
            </w:pPr>
            <w:r w:rsidRPr="005C4B16">
              <w:rPr>
                <w:sz w:val="20"/>
                <w:szCs w:val="20"/>
              </w:rPr>
              <w:t>VCAT Fees review</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265,400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9C3B9A" w:rsidP="000B7945">
            <w:pPr>
              <w:jc w:val="right"/>
              <w:rPr>
                <w:sz w:val="20"/>
                <w:szCs w:val="20"/>
              </w:rPr>
            </w:pPr>
            <w:r>
              <w:rPr>
                <w:color w:val="000000"/>
                <w:sz w:val="20"/>
                <w:szCs w:val="20"/>
              </w:rPr>
              <w:t>14,213</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Centring Pty Ltd</w:t>
            </w:r>
          </w:p>
        </w:tc>
        <w:tc>
          <w:tcPr>
            <w:tcW w:w="4819" w:type="dxa"/>
            <w:shd w:val="clear" w:color="auto" w:fill="auto"/>
            <w:hideMark/>
          </w:tcPr>
          <w:p w:rsidR="008D716B" w:rsidRPr="005C4B16" w:rsidRDefault="008D716B" w:rsidP="008D716B">
            <w:pPr>
              <w:rPr>
                <w:sz w:val="20"/>
                <w:szCs w:val="20"/>
              </w:rPr>
            </w:pPr>
            <w:r w:rsidRPr="005C4B16">
              <w:rPr>
                <w:sz w:val="20"/>
                <w:szCs w:val="20"/>
              </w:rPr>
              <w:t>Supreme Court Fees review</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82,560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75,100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Comprara Pty Ltd</w:t>
            </w:r>
          </w:p>
        </w:tc>
        <w:tc>
          <w:tcPr>
            <w:tcW w:w="4819" w:type="dxa"/>
            <w:shd w:val="clear" w:color="auto" w:fill="auto"/>
            <w:hideMark/>
          </w:tcPr>
          <w:p w:rsidR="008D716B" w:rsidRPr="005C4B16" w:rsidRDefault="008D716B" w:rsidP="008D716B">
            <w:pPr>
              <w:rPr>
                <w:sz w:val="20"/>
                <w:szCs w:val="20"/>
              </w:rPr>
            </w:pPr>
            <w:r w:rsidRPr="005C4B16">
              <w:rPr>
                <w:sz w:val="20"/>
                <w:szCs w:val="20"/>
              </w:rPr>
              <w:t>CSV Asset Management Plan</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34,050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34,050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05"/>
        </w:trPr>
        <w:tc>
          <w:tcPr>
            <w:tcW w:w="3681" w:type="dxa"/>
            <w:shd w:val="clear" w:color="auto" w:fill="auto"/>
            <w:hideMark/>
          </w:tcPr>
          <w:p w:rsidR="008D716B" w:rsidRPr="005C4B16" w:rsidRDefault="008D716B" w:rsidP="008D716B">
            <w:pPr>
              <w:rPr>
                <w:sz w:val="20"/>
                <w:szCs w:val="20"/>
              </w:rPr>
            </w:pPr>
            <w:r w:rsidRPr="005C4B16">
              <w:rPr>
                <w:sz w:val="20"/>
                <w:szCs w:val="20"/>
              </w:rPr>
              <w:t>Elizabeth Grainger</w:t>
            </w:r>
          </w:p>
          <w:p w:rsidR="008D716B" w:rsidRPr="005C4B16" w:rsidRDefault="008D716B" w:rsidP="008D716B">
            <w:pPr>
              <w:rPr>
                <w:sz w:val="20"/>
                <w:szCs w:val="20"/>
              </w:rPr>
            </w:pPr>
          </w:p>
        </w:tc>
        <w:tc>
          <w:tcPr>
            <w:tcW w:w="4819" w:type="dxa"/>
            <w:shd w:val="clear" w:color="auto" w:fill="auto"/>
            <w:hideMark/>
          </w:tcPr>
          <w:p w:rsidR="008D716B" w:rsidRPr="005C4B16" w:rsidRDefault="008D716B" w:rsidP="008D716B">
            <w:pPr>
              <w:rPr>
                <w:sz w:val="20"/>
                <w:szCs w:val="20"/>
              </w:rPr>
            </w:pPr>
            <w:r w:rsidRPr="005C4B16">
              <w:rPr>
                <w:sz w:val="20"/>
                <w:szCs w:val="20"/>
              </w:rPr>
              <w:t>Strategic review of CSV facilities management, property division model and associated service delivery</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44,300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44,300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Ernst &amp; Young</w:t>
            </w:r>
          </w:p>
        </w:tc>
        <w:tc>
          <w:tcPr>
            <w:tcW w:w="4819" w:type="dxa"/>
            <w:shd w:val="clear" w:color="auto" w:fill="auto"/>
            <w:hideMark/>
          </w:tcPr>
          <w:p w:rsidR="008D716B" w:rsidRPr="005C4B16" w:rsidRDefault="008D716B" w:rsidP="008D716B">
            <w:pPr>
              <w:rPr>
                <w:sz w:val="20"/>
                <w:szCs w:val="20"/>
              </w:rPr>
            </w:pPr>
            <w:r w:rsidRPr="005C4B16">
              <w:rPr>
                <w:sz w:val="20"/>
                <w:szCs w:val="20"/>
              </w:rPr>
              <w:t xml:space="preserve">Review of Procurement Framework </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79,057</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71,870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GHD Pty Ltd</w:t>
            </w:r>
          </w:p>
        </w:tc>
        <w:tc>
          <w:tcPr>
            <w:tcW w:w="4819" w:type="dxa"/>
            <w:shd w:val="clear" w:color="auto" w:fill="auto"/>
            <w:hideMark/>
          </w:tcPr>
          <w:p w:rsidR="008D716B" w:rsidRPr="005C4B16" w:rsidRDefault="008D716B" w:rsidP="008D716B">
            <w:pPr>
              <w:rPr>
                <w:sz w:val="20"/>
                <w:szCs w:val="20"/>
              </w:rPr>
            </w:pPr>
            <w:r w:rsidRPr="005C4B16">
              <w:rPr>
                <w:sz w:val="20"/>
                <w:szCs w:val="20"/>
              </w:rPr>
              <w:t>Family Violence Strategy</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20,900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20,900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Jacobs Groups</w:t>
            </w:r>
          </w:p>
          <w:p w:rsidR="008D716B" w:rsidRPr="005C4B16" w:rsidRDefault="008D716B" w:rsidP="008D716B">
            <w:pPr>
              <w:rPr>
                <w:sz w:val="20"/>
                <w:szCs w:val="20"/>
              </w:rPr>
            </w:pPr>
          </w:p>
        </w:tc>
        <w:tc>
          <w:tcPr>
            <w:tcW w:w="4819" w:type="dxa"/>
            <w:shd w:val="clear" w:color="auto" w:fill="auto"/>
            <w:hideMark/>
          </w:tcPr>
          <w:p w:rsidR="008D716B" w:rsidRPr="005C4B16" w:rsidRDefault="008D716B" w:rsidP="008D716B">
            <w:pPr>
              <w:rPr>
                <w:sz w:val="20"/>
                <w:szCs w:val="20"/>
              </w:rPr>
            </w:pPr>
            <w:r w:rsidRPr="005C4B16">
              <w:rPr>
                <w:sz w:val="20"/>
                <w:szCs w:val="20"/>
              </w:rPr>
              <w:t>Strategic review for security enhancement</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38,500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38,500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Jesuit Social Services</w:t>
            </w:r>
          </w:p>
          <w:p w:rsidR="008D716B" w:rsidRPr="005C4B16" w:rsidRDefault="008D716B" w:rsidP="008D716B">
            <w:pPr>
              <w:rPr>
                <w:sz w:val="20"/>
                <w:szCs w:val="20"/>
              </w:rPr>
            </w:pPr>
          </w:p>
        </w:tc>
        <w:tc>
          <w:tcPr>
            <w:tcW w:w="4819" w:type="dxa"/>
            <w:shd w:val="clear" w:color="auto" w:fill="auto"/>
            <w:hideMark/>
          </w:tcPr>
          <w:p w:rsidR="008D716B" w:rsidRPr="005C4B16" w:rsidRDefault="008D716B" w:rsidP="008D716B">
            <w:pPr>
              <w:rPr>
                <w:sz w:val="20"/>
                <w:szCs w:val="20"/>
              </w:rPr>
            </w:pPr>
            <w:r w:rsidRPr="005C4B16">
              <w:rPr>
                <w:sz w:val="20"/>
                <w:szCs w:val="20"/>
              </w:rPr>
              <w:t>Consultancy service to Children's Court on Youth Diversion pilot program</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48,968</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48,968</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KPMG</w:t>
            </w:r>
          </w:p>
        </w:tc>
        <w:tc>
          <w:tcPr>
            <w:tcW w:w="4819" w:type="dxa"/>
            <w:shd w:val="clear" w:color="auto" w:fill="auto"/>
            <w:hideMark/>
          </w:tcPr>
          <w:p w:rsidR="008D716B" w:rsidRPr="005C4B16" w:rsidRDefault="008D716B" w:rsidP="008D716B">
            <w:pPr>
              <w:rPr>
                <w:sz w:val="20"/>
                <w:szCs w:val="20"/>
              </w:rPr>
            </w:pPr>
            <w:r w:rsidRPr="005C4B16">
              <w:rPr>
                <w:sz w:val="20"/>
                <w:szCs w:val="20"/>
              </w:rPr>
              <w:t xml:space="preserve">Consultancy services for Family Violence Reform Framework </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181,818</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C24870" w:rsidP="000B7945">
            <w:pPr>
              <w:jc w:val="right"/>
              <w:rPr>
                <w:sz w:val="20"/>
                <w:szCs w:val="20"/>
              </w:rPr>
            </w:pPr>
            <w:r w:rsidRPr="005C4B16">
              <w:rPr>
                <w:color w:val="000000"/>
                <w:sz w:val="20"/>
                <w:szCs w:val="20"/>
              </w:rPr>
              <w:t>128,</w:t>
            </w:r>
            <w:r w:rsidR="008D716B" w:rsidRPr="005C4B16">
              <w:rPr>
                <w:color w:val="000000"/>
                <w:sz w:val="20"/>
                <w:szCs w:val="20"/>
              </w:rPr>
              <w:t>790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PwC Australia</w:t>
            </w:r>
          </w:p>
        </w:tc>
        <w:tc>
          <w:tcPr>
            <w:tcW w:w="4819" w:type="dxa"/>
            <w:shd w:val="clear" w:color="auto" w:fill="auto"/>
            <w:hideMark/>
          </w:tcPr>
          <w:p w:rsidR="008D716B" w:rsidRPr="005C4B16" w:rsidRDefault="008D716B" w:rsidP="008D716B">
            <w:pPr>
              <w:rPr>
                <w:sz w:val="20"/>
                <w:szCs w:val="20"/>
              </w:rPr>
            </w:pPr>
            <w:r w:rsidRPr="005C4B16">
              <w:rPr>
                <w:sz w:val="20"/>
                <w:szCs w:val="20"/>
              </w:rPr>
              <w:t xml:space="preserve">Case Management Strategy </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752,179</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752,179</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PwC Australia</w:t>
            </w:r>
          </w:p>
        </w:tc>
        <w:tc>
          <w:tcPr>
            <w:tcW w:w="4819" w:type="dxa"/>
            <w:shd w:val="clear" w:color="auto" w:fill="auto"/>
            <w:hideMark/>
          </w:tcPr>
          <w:p w:rsidR="008D716B" w:rsidRPr="005C4B16" w:rsidRDefault="008D716B" w:rsidP="008D716B">
            <w:pPr>
              <w:rPr>
                <w:sz w:val="20"/>
                <w:szCs w:val="20"/>
              </w:rPr>
            </w:pPr>
            <w:r w:rsidRPr="005C4B16">
              <w:rPr>
                <w:sz w:val="20"/>
                <w:szCs w:val="20"/>
              </w:rPr>
              <w:t xml:space="preserve">Full business case (including Gateway Review) for expanding Family Court Division </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564,601</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559,758</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lastRenderedPageBreak/>
              <w:t>PwC Australia</w:t>
            </w:r>
          </w:p>
        </w:tc>
        <w:tc>
          <w:tcPr>
            <w:tcW w:w="4819" w:type="dxa"/>
            <w:shd w:val="clear" w:color="auto" w:fill="auto"/>
            <w:hideMark/>
          </w:tcPr>
          <w:p w:rsidR="008D716B" w:rsidRPr="005C4B16" w:rsidRDefault="008D716B" w:rsidP="008D716B">
            <w:pPr>
              <w:rPr>
                <w:sz w:val="20"/>
                <w:szCs w:val="20"/>
              </w:rPr>
            </w:pPr>
            <w:r w:rsidRPr="005C4B16">
              <w:rPr>
                <w:sz w:val="20"/>
                <w:szCs w:val="20"/>
              </w:rPr>
              <w:t xml:space="preserve">Family Violence Implementation Readiness and Change Plan </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172,770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172,770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Terry Healy Consulting</w:t>
            </w:r>
          </w:p>
          <w:p w:rsidR="008D716B" w:rsidRPr="005C4B16" w:rsidRDefault="008D716B" w:rsidP="008D716B">
            <w:pPr>
              <w:rPr>
                <w:sz w:val="20"/>
                <w:szCs w:val="20"/>
              </w:rPr>
            </w:pPr>
          </w:p>
        </w:tc>
        <w:tc>
          <w:tcPr>
            <w:tcW w:w="4819" w:type="dxa"/>
            <w:shd w:val="clear" w:color="auto" w:fill="auto"/>
            <w:hideMark/>
          </w:tcPr>
          <w:p w:rsidR="008D716B" w:rsidRPr="005C4B16" w:rsidRDefault="008D716B" w:rsidP="008D716B">
            <w:pPr>
              <w:rPr>
                <w:sz w:val="20"/>
                <w:szCs w:val="20"/>
              </w:rPr>
            </w:pPr>
            <w:r w:rsidRPr="005C4B16">
              <w:rPr>
                <w:sz w:val="20"/>
                <w:szCs w:val="20"/>
              </w:rPr>
              <w:t>Review of governance arrangements for CSV</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D240D6" w:rsidP="000B7945">
            <w:pPr>
              <w:jc w:val="right"/>
              <w:rPr>
                <w:sz w:val="20"/>
                <w:szCs w:val="20"/>
              </w:rPr>
            </w:pPr>
            <w:r w:rsidRPr="005C4B16">
              <w:rPr>
                <w:sz w:val="20"/>
                <w:szCs w:val="20"/>
              </w:rPr>
              <w:t>30,600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D240D6" w:rsidP="000B7945">
            <w:pPr>
              <w:jc w:val="right"/>
              <w:rPr>
                <w:sz w:val="20"/>
                <w:szCs w:val="20"/>
              </w:rPr>
            </w:pPr>
            <w:r w:rsidRPr="005C4B16">
              <w:rPr>
                <w:sz w:val="20"/>
                <w:szCs w:val="20"/>
              </w:rPr>
              <w:t>30,600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8D716B" w:rsidRPr="005C4B16" w:rsidRDefault="007A59F2"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 xml:space="preserve">The Boston Consulting Group Pty Ltd </w:t>
            </w:r>
          </w:p>
        </w:tc>
        <w:tc>
          <w:tcPr>
            <w:tcW w:w="4819" w:type="dxa"/>
            <w:shd w:val="clear" w:color="auto" w:fill="auto"/>
            <w:hideMark/>
          </w:tcPr>
          <w:p w:rsidR="008D716B" w:rsidRPr="005C4B16" w:rsidRDefault="008D716B" w:rsidP="008D716B">
            <w:pPr>
              <w:rPr>
                <w:sz w:val="20"/>
                <w:szCs w:val="20"/>
              </w:rPr>
            </w:pPr>
            <w:r w:rsidRPr="005C4B16">
              <w:rPr>
                <w:sz w:val="20"/>
                <w:szCs w:val="20"/>
              </w:rPr>
              <w:t>Consultancy service to provide strategic planning for the Magistrates' Court Reform</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230,000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230,000</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sz w:val="20"/>
                <w:szCs w:val="20"/>
              </w:rPr>
            </w:pPr>
            <w:r w:rsidRPr="005C4B16">
              <w:rPr>
                <w:sz w:val="20"/>
                <w:szCs w:val="20"/>
              </w:rPr>
              <w:t xml:space="preserve">The University of Melbourne </w:t>
            </w:r>
          </w:p>
        </w:tc>
        <w:tc>
          <w:tcPr>
            <w:tcW w:w="4819" w:type="dxa"/>
            <w:shd w:val="clear" w:color="auto" w:fill="auto"/>
            <w:hideMark/>
          </w:tcPr>
          <w:p w:rsidR="008D716B" w:rsidRPr="005C4B16" w:rsidRDefault="008D716B" w:rsidP="008D716B">
            <w:pPr>
              <w:rPr>
                <w:sz w:val="20"/>
                <w:szCs w:val="20"/>
              </w:rPr>
            </w:pPr>
            <w:r w:rsidRPr="005C4B16">
              <w:rPr>
                <w:sz w:val="20"/>
                <w:szCs w:val="20"/>
              </w:rPr>
              <w:t>Consultancy service for the evaluation of the Youth Diversion pilot program at the Children's Court</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27,273</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27,273</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shd w:val="clear" w:color="auto" w:fill="auto"/>
            <w:hideMark/>
          </w:tcPr>
          <w:p w:rsidR="008D716B" w:rsidRPr="005C4B16" w:rsidRDefault="008D716B" w:rsidP="008D716B">
            <w:pPr>
              <w:rPr>
                <w:b/>
                <w:bCs/>
                <w:sz w:val="20"/>
                <w:szCs w:val="20"/>
              </w:rPr>
            </w:pPr>
            <w:r w:rsidRPr="005C4B16">
              <w:rPr>
                <w:b/>
                <w:bCs/>
                <w:sz w:val="20"/>
                <w:szCs w:val="20"/>
              </w:rPr>
              <w:t> </w:t>
            </w:r>
          </w:p>
        </w:tc>
        <w:tc>
          <w:tcPr>
            <w:tcW w:w="4819" w:type="dxa"/>
            <w:shd w:val="clear" w:color="auto" w:fill="auto"/>
            <w:hideMark/>
          </w:tcPr>
          <w:p w:rsidR="008D716B" w:rsidRPr="005C4B16" w:rsidRDefault="008D716B" w:rsidP="008D716B">
            <w:pPr>
              <w:rPr>
                <w:b/>
                <w:bCs/>
                <w:sz w:val="20"/>
                <w:szCs w:val="20"/>
              </w:rPr>
            </w:pPr>
            <w:r w:rsidRPr="005C4B16">
              <w:rPr>
                <w:b/>
                <w:bCs/>
                <w:sz w:val="20"/>
                <w:szCs w:val="20"/>
              </w:rPr>
              <w:t>Consultancy above $10,000</w:t>
            </w:r>
          </w:p>
        </w:tc>
        <w:tc>
          <w:tcPr>
            <w:tcW w:w="1843" w:type="dxa"/>
            <w:tcBorders>
              <w:top w:val="single" w:sz="4" w:space="0" w:color="auto"/>
              <w:left w:val="single" w:sz="4" w:space="0" w:color="808080"/>
              <w:bottom w:val="single" w:sz="4" w:space="0" w:color="auto"/>
              <w:right w:val="single" w:sz="4" w:space="0" w:color="auto"/>
            </w:tcBorders>
            <w:shd w:val="clear" w:color="000000" w:fill="FFFFFF"/>
            <w:vAlign w:val="bottom"/>
          </w:tcPr>
          <w:p w:rsidR="008D716B" w:rsidRPr="005C4B16" w:rsidRDefault="00D240D6" w:rsidP="000B7945">
            <w:pPr>
              <w:jc w:val="right"/>
              <w:rPr>
                <w:b/>
                <w:color w:val="000000"/>
                <w:sz w:val="20"/>
                <w:szCs w:val="20"/>
              </w:rPr>
            </w:pPr>
            <w:r w:rsidRPr="005C4B16">
              <w:rPr>
                <w:b/>
                <w:color w:val="000000"/>
                <w:sz w:val="20"/>
                <w:szCs w:val="20"/>
              </w:rPr>
              <w:t>2,728,741</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D240D6" w:rsidP="009C3B9A">
            <w:pPr>
              <w:jc w:val="right"/>
              <w:rPr>
                <w:b/>
                <w:color w:val="000000"/>
                <w:sz w:val="20"/>
                <w:szCs w:val="20"/>
              </w:rPr>
            </w:pPr>
            <w:r w:rsidRPr="005C4B16">
              <w:rPr>
                <w:b/>
                <w:color w:val="000000"/>
                <w:sz w:val="20"/>
                <w:szCs w:val="20"/>
              </w:rPr>
              <w:t>2,</w:t>
            </w:r>
            <w:r w:rsidR="009C3B9A">
              <w:rPr>
                <w:b/>
                <w:color w:val="000000"/>
                <w:sz w:val="20"/>
                <w:szCs w:val="20"/>
              </w:rPr>
              <w:t>395,036</w:t>
            </w:r>
          </w:p>
        </w:tc>
        <w:tc>
          <w:tcPr>
            <w:tcW w:w="18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8D716B" w:rsidRPr="005C4B16" w:rsidRDefault="007A59F2" w:rsidP="000B7945">
            <w:pPr>
              <w:jc w:val="right"/>
              <w:rPr>
                <w:b/>
                <w:bCs/>
                <w:sz w:val="20"/>
                <w:szCs w:val="20"/>
              </w:rPr>
            </w:pPr>
            <w:r w:rsidRPr="005C4B16">
              <w:rPr>
                <w:b/>
                <w:bCs/>
                <w:color w:val="000000"/>
                <w:sz w:val="20"/>
                <w:szCs w:val="20"/>
              </w:rPr>
              <w:t>0</w:t>
            </w:r>
          </w:p>
        </w:tc>
      </w:tr>
    </w:tbl>
    <w:p w:rsidR="006A67F1" w:rsidRPr="001A15AA" w:rsidRDefault="006A67F1" w:rsidP="006A67F1">
      <w:pPr>
        <w:rPr>
          <w:highlight w:val="yellow"/>
        </w:rPr>
      </w:pPr>
    </w:p>
    <w:p w:rsidR="002341C4" w:rsidRPr="00BD5FC2" w:rsidRDefault="001A27C9" w:rsidP="001A27C9">
      <w:pPr>
        <w:pStyle w:val="Heading3"/>
      </w:pPr>
      <w:r w:rsidRPr="00BD5FC2">
        <w:t xml:space="preserve">Details of Consultancies </w:t>
      </w:r>
      <w:r w:rsidR="00BD5FC2">
        <w:t xml:space="preserve">Valued </w:t>
      </w:r>
      <w:r w:rsidRPr="00BD5FC2">
        <w:t>U</w:t>
      </w:r>
      <w:r w:rsidR="002341C4" w:rsidRPr="00BD5FC2">
        <w:t>nder $10,000</w:t>
      </w:r>
    </w:p>
    <w:p w:rsidR="005F300A" w:rsidRPr="001A15AA" w:rsidRDefault="00BD5FC2" w:rsidP="00FD2484">
      <w:pPr>
        <w:rPr>
          <w:highlight w:val="yellow"/>
        </w:rPr>
      </w:pPr>
      <w:r>
        <w:t>In 2016-17, there were three</w:t>
      </w:r>
      <w:r w:rsidRPr="00BD5FC2">
        <w:t xml:space="preserve"> consultancies where the total fees payable to the </w:t>
      </w:r>
      <w:r>
        <w:t xml:space="preserve">consultants </w:t>
      </w:r>
      <w:r w:rsidRPr="00BD5FC2">
        <w:t>was less than $10,000. The total expenditure incurred during 2016-17 in relation to these consultancies was $0.01million (excl. GST).</w:t>
      </w:r>
      <w:r>
        <w:br/>
      </w:r>
    </w:p>
    <w:p w:rsidR="005F300A" w:rsidRPr="00FD2484" w:rsidRDefault="005C4B16" w:rsidP="002D3822">
      <w:pPr>
        <w:pStyle w:val="Caption"/>
      </w:pPr>
      <w:r w:rsidRPr="005C4B16">
        <w:t>Table 11</w:t>
      </w:r>
      <w:r w:rsidR="005F300A" w:rsidRPr="005C4B16">
        <w:t>:</w:t>
      </w:r>
      <w:r>
        <w:t xml:space="preserve"> </w:t>
      </w:r>
      <w:r w:rsidR="005F300A" w:rsidRPr="005C4B16">
        <w:t>Consultancies valued under $10,000</w:t>
      </w:r>
    </w:p>
    <w:tbl>
      <w:tblPr>
        <w:tblW w:w="14152" w:type="dxa"/>
        <w:tblInd w:w="80" w:type="dxa"/>
        <w:tblLook w:val="04A0" w:firstRow="1" w:lastRow="0" w:firstColumn="1" w:lastColumn="0" w:noHBand="0" w:noVBand="1"/>
      </w:tblPr>
      <w:tblGrid>
        <w:gridCol w:w="3681"/>
        <w:gridCol w:w="4819"/>
        <w:gridCol w:w="1843"/>
        <w:gridCol w:w="1928"/>
        <w:gridCol w:w="57"/>
        <w:gridCol w:w="1603"/>
        <w:gridCol w:w="221"/>
      </w:tblGrid>
      <w:tr w:rsidR="008D716B" w:rsidRPr="008D716B" w:rsidTr="00A44058">
        <w:trPr>
          <w:gridBefore w:val="4"/>
          <w:gridAfter w:val="1"/>
          <w:wBefore w:w="12271" w:type="dxa"/>
          <w:wAfter w:w="221" w:type="dxa"/>
          <w:trHeight w:val="255"/>
        </w:trPr>
        <w:tc>
          <w:tcPr>
            <w:tcW w:w="1660" w:type="dxa"/>
            <w:gridSpan w:val="2"/>
            <w:tcBorders>
              <w:top w:val="nil"/>
              <w:left w:val="nil"/>
              <w:bottom w:val="nil"/>
              <w:right w:val="nil"/>
            </w:tcBorders>
            <w:shd w:val="clear" w:color="auto" w:fill="auto"/>
            <w:noWrap/>
            <w:vAlign w:val="bottom"/>
            <w:hideMark/>
          </w:tcPr>
          <w:p w:rsidR="008D716B" w:rsidRPr="008D716B" w:rsidRDefault="008D716B" w:rsidP="00E47648">
            <w:pPr>
              <w:rPr>
                <w:rFonts w:eastAsia="Times New Roman"/>
                <w:b/>
                <w:bCs/>
                <w:color w:val="000000"/>
                <w:sz w:val="20"/>
                <w:szCs w:val="20"/>
              </w:rPr>
            </w:pPr>
            <w:r w:rsidRPr="008D716B">
              <w:rPr>
                <w:rFonts w:eastAsia="Times New Roman"/>
                <w:b/>
                <w:bCs/>
                <w:color w:val="000000"/>
                <w:sz w:val="20"/>
                <w:szCs w:val="20"/>
              </w:rPr>
              <w:t>($ thousand)</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05"/>
        </w:trPr>
        <w:tc>
          <w:tcPr>
            <w:tcW w:w="3681" w:type="dxa"/>
            <w:tcBorders>
              <w:bottom w:val="single" w:sz="4" w:space="0" w:color="auto"/>
            </w:tcBorders>
            <w:shd w:val="clear" w:color="auto" w:fill="BFBFBF"/>
            <w:hideMark/>
          </w:tcPr>
          <w:p w:rsidR="008D716B" w:rsidRPr="005C4B16" w:rsidRDefault="008D716B" w:rsidP="00E47648">
            <w:pPr>
              <w:rPr>
                <w:b/>
                <w:i/>
                <w:iCs/>
                <w:sz w:val="20"/>
                <w:szCs w:val="20"/>
              </w:rPr>
            </w:pPr>
            <w:r w:rsidRPr="005C4B16">
              <w:rPr>
                <w:b/>
                <w:i/>
                <w:iCs/>
                <w:sz w:val="20"/>
                <w:szCs w:val="20"/>
              </w:rPr>
              <w:t>Consultant</w:t>
            </w:r>
          </w:p>
        </w:tc>
        <w:tc>
          <w:tcPr>
            <w:tcW w:w="4819" w:type="dxa"/>
            <w:tcBorders>
              <w:bottom w:val="single" w:sz="4" w:space="0" w:color="auto"/>
            </w:tcBorders>
            <w:shd w:val="clear" w:color="auto" w:fill="BFBFBF"/>
            <w:hideMark/>
          </w:tcPr>
          <w:p w:rsidR="008D716B" w:rsidRPr="005C4B16" w:rsidRDefault="008D716B" w:rsidP="00E47648">
            <w:pPr>
              <w:rPr>
                <w:b/>
                <w:i/>
                <w:iCs/>
                <w:sz w:val="20"/>
                <w:szCs w:val="20"/>
              </w:rPr>
            </w:pPr>
            <w:r w:rsidRPr="005C4B16">
              <w:rPr>
                <w:b/>
                <w:i/>
                <w:iCs/>
                <w:sz w:val="20"/>
                <w:szCs w:val="20"/>
              </w:rPr>
              <w:t>Purpose of consultancy</w:t>
            </w:r>
          </w:p>
        </w:tc>
        <w:tc>
          <w:tcPr>
            <w:tcW w:w="1843" w:type="dxa"/>
            <w:tcBorders>
              <w:bottom w:val="single" w:sz="4" w:space="0" w:color="auto"/>
            </w:tcBorders>
            <w:shd w:val="clear" w:color="auto" w:fill="BFBFBF"/>
          </w:tcPr>
          <w:p w:rsidR="008D716B" w:rsidRPr="005C4B16" w:rsidRDefault="008D716B" w:rsidP="00E47648">
            <w:pPr>
              <w:rPr>
                <w:b/>
                <w:i/>
                <w:iCs/>
                <w:sz w:val="20"/>
                <w:szCs w:val="20"/>
              </w:rPr>
            </w:pPr>
            <w:r w:rsidRPr="005C4B16">
              <w:rPr>
                <w:b/>
                <w:i/>
                <w:iCs/>
                <w:sz w:val="20"/>
                <w:szCs w:val="20"/>
              </w:rPr>
              <w:t>Total approved project fee (excl. GST)</w:t>
            </w:r>
          </w:p>
        </w:tc>
        <w:tc>
          <w:tcPr>
            <w:tcW w:w="1985" w:type="dxa"/>
            <w:gridSpan w:val="2"/>
            <w:tcBorders>
              <w:bottom w:val="single" w:sz="4" w:space="0" w:color="auto"/>
            </w:tcBorders>
            <w:shd w:val="clear" w:color="auto" w:fill="BFBFBF"/>
            <w:hideMark/>
          </w:tcPr>
          <w:p w:rsidR="008D716B" w:rsidRPr="005C4B16" w:rsidRDefault="008D716B" w:rsidP="00E47648">
            <w:pPr>
              <w:rPr>
                <w:b/>
                <w:i/>
                <w:iCs/>
                <w:sz w:val="20"/>
                <w:szCs w:val="20"/>
              </w:rPr>
            </w:pPr>
            <w:r w:rsidRPr="005C4B16">
              <w:rPr>
                <w:b/>
                <w:i/>
                <w:iCs/>
                <w:sz w:val="20"/>
                <w:szCs w:val="20"/>
              </w:rPr>
              <w:t xml:space="preserve">Expenditure 2016-17 (excl. GST) </w:t>
            </w:r>
          </w:p>
        </w:tc>
        <w:tc>
          <w:tcPr>
            <w:tcW w:w="1824" w:type="dxa"/>
            <w:gridSpan w:val="2"/>
            <w:tcBorders>
              <w:bottom w:val="single" w:sz="4" w:space="0" w:color="auto"/>
            </w:tcBorders>
            <w:shd w:val="clear" w:color="auto" w:fill="BFBFBF"/>
          </w:tcPr>
          <w:p w:rsidR="008D716B" w:rsidRPr="005C4B16" w:rsidRDefault="008D716B" w:rsidP="00E47648">
            <w:pPr>
              <w:rPr>
                <w:b/>
                <w:i/>
                <w:iCs/>
                <w:sz w:val="20"/>
                <w:szCs w:val="20"/>
              </w:rPr>
            </w:pPr>
            <w:r w:rsidRPr="005C4B16">
              <w:rPr>
                <w:b/>
                <w:i/>
                <w:iCs/>
                <w:sz w:val="20"/>
                <w:szCs w:val="20"/>
              </w:rPr>
              <w:t>Future expenditure (excl. GST)</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8D716B">
            <w:pPr>
              <w:rPr>
                <w:sz w:val="20"/>
                <w:szCs w:val="20"/>
              </w:rPr>
            </w:pPr>
            <w:r w:rsidRPr="005C4B16">
              <w:rPr>
                <w:color w:val="000000"/>
                <w:sz w:val="20"/>
                <w:szCs w:val="20"/>
              </w:rPr>
              <w:t>GHD PTY LTD</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716B" w:rsidRPr="005C4B16" w:rsidRDefault="008D716B" w:rsidP="008D716B">
            <w:pPr>
              <w:rPr>
                <w:sz w:val="20"/>
                <w:szCs w:val="20"/>
              </w:rPr>
            </w:pPr>
            <w:r w:rsidRPr="005C4B16">
              <w:rPr>
                <w:color w:val="000000"/>
                <w:sz w:val="20"/>
                <w:szCs w:val="20"/>
              </w:rPr>
              <w:t xml:space="preserve">Strategic asset plan, professional asset plan, and business case advisory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4,000</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3,925</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716B" w:rsidRPr="005C4B16" w:rsidRDefault="008D716B" w:rsidP="000B7945">
            <w:pPr>
              <w:jc w:val="right"/>
              <w:rPr>
                <w:sz w:val="20"/>
                <w:szCs w:val="20"/>
              </w:rPr>
            </w:pPr>
            <w:r w:rsidRPr="005C4B16">
              <w:rPr>
                <w:color w:val="000000"/>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716B" w:rsidRPr="005C4B16" w:rsidRDefault="008D716B" w:rsidP="008D716B">
            <w:pPr>
              <w:rPr>
                <w:sz w:val="20"/>
                <w:szCs w:val="20"/>
              </w:rPr>
            </w:pPr>
            <w:r w:rsidRPr="005C4B16">
              <w:rPr>
                <w:color w:val="000000"/>
                <w:sz w:val="20"/>
                <w:szCs w:val="20"/>
              </w:rPr>
              <w:t xml:space="preserve">Ashurst Australia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716B" w:rsidRPr="005C4B16" w:rsidRDefault="008D716B" w:rsidP="008D716B">
            <w:pPr>
              <w:rPr>
                <w:sz w:val="20"/>
                <w:szCs w:val="20"/>
              </w:rPr>
            </w:pPr>
            <w:r w:rsidRPr="005C4B16">
              <w:rPr>
                <w:color w:val="000000"/>
                <w:sz w:val="20"/>
                <w:szCs w:val="20"/>
              </w:rPr>
              <w:t>Consultancy on commercialisation of activities at CSV, review CSV Act and CSV Annual Report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8,659</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5,700</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716B" w:rsidRPr="005C4B16" w:rsidRDefault="008D716B" w:rsidP="000B7945">
            <w:pPr>
              <w:jc w:val="right"/>
              <w:rPr>
                <w:sz w:val="20"/>
                <w:szCs w:val="20"/>
              </w:rPr>
            </w:pPr>
            <w:r w:rsidRPr="005C4B16">
              <w:rPr>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716B" w:rsidRPr="005C4B16" w:rsidRDefault="008D716B" w:rsidP="008D716B">
            <w:pPr>
              <w:rPr>
                <w:sz w:val="20"/>
                <w:szCs w:val="20"/>
              </w:rPr>
            </w:pPr>
            <w:r w:rsidRPr="005C4B16">
              <w:rPr>
                <w:color w:val="000000"/>
                <w:sz w:val="20"/>
                <w:szCs w:val="20"/>
              </w:rPr>
              <w:t>ZZZ-Vouch</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716B" w:rsidRPr="005C4B16" w:rsidRDefault="008D716B" w:rsidP="008D716B">
            <w:pPr>
              <w:rPr>
                <w:sz w:val="20"/>
                <w:szCs w:val="20"/>
              </w:rPr>
            </w:pPr>
            <w:r w:rsidRPr="005C4B16">
              <w:rPr>
                <w:color w:val="000000"/>
                <w:sz w:val="20"/>
                <w:szCs w:val="20"/>
              </w:rPr>
              <w:t>Consultant - Fees Project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8D716B" w:rsidRPr="005C4B16" w:rsidRDefault="008D716B" w:rsidP="000B7945">
            <w:pPr>
              <w:jc w:val="right"/>
              <w:rPr>
                <w:sz w:val="20"/>
                <w:szCs w:val="20"/>
              </w:rPr>
            </w:pPr>
            <w:r w:rsidRPr="005C4B16">
              <w:rPr>
                <w:color w:val="000000"/>
                <w:sz w:val="20"/>
                <w:szCs w:val="20"/>
              </w:rPr>
              <w:t>3,465</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16B" w:rsidRPr="005C4B16" w:rsidRDefault="008D716B" w:rsidP="000B7945">
            <w:pPr>
              <w:jc w:val="right"/>
              <w:rPr>
                <w:sz w:val="20"/>
                <w:szCs w:val="20"/>
              </w:rPr>
            </w:pPr>
            <w:r w:rsidRPr="005C4B16">
              <w:rPr>
                <w:color w:val="000000"/>
                <w:sz w:val="20"/>
                <w:szCs w:val="20"/>
              </w:rPr>
              <w:t>3,465</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716B" w:rsidRPr="005C4B16" w:rsidRDefault="008D716B" w:rsidP="000B7945">
            <w:pPr>
              <w:jc w:val="right"/>
              <w:rPr>
                <w:sz w:val="20"/>
                <w:szCs w:val="20"/>
              </w:rPr>
            </w:pPr>
            <w:r w:rsidRPr="005C4B16">
              <w:rPr>
                <w:sz w:val="20"/>
                <w:szCs w:val="20"/>
              </w:rPr>
              <w:t>0</w:t>
            </w: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716B" w:rsidRPr="005C4B16" w:rsidRDefault="008D716B" w:rsidP="008D716B">
            <w:pPr>
              <w:rPr>
                <w:sz w:val="20"/>
                <w:szCs w:val="20"/>
              </w:rPr>
            </w:pPr>
            <w:r w:rsidRPr="005C4B16">
              <w:rPr>
                <w:b/>
                <w:bCs/>
                <w:color w:val="000000"/>
                <w:sz w:val="20"/>
                <w:szCs w:val="20"/>
              </w:rPr>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D716B" w:rsidRPr="005C4B16" w:rsidRDefault="008D716B" w:rsidP="008D716B">
            <w:pPr>
              <w:rPr>
                <w:sz w:val="20"/>
                <w:szCs w:val="20"/>
              </w:rPr>
            </w:pPr>
            <w:r w:rsidRPr="005C4B16">
              <w:rPr>
                <w:b/>
                <w:bCs/>
                <w:color w:val="000000"/>
                <w:sz w:val="20"/>
                <w:szCs w:val="20"/>
              </w:rPr>
              <w:t>Consultancy under $10,000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D716B" w:rsidRPr="005C4B16" w:rsidRDefault="008D716B" w:rsidP="000B7945">
            <w:pPr>
              <w:jc w:val="right"/>
              <w:rPr>
                <w:sz w:val="20"/>
                <w:szCs w:val="20"/>
              </w:rPr>
            </w:pPr>
            <w:r w:rsidRPr="005C4B16">
              <w:rPr>
                <w:b/>
                <w:bCs/>
                <w:color w:val="000000"/>
                <w:sz w:val="20"/>
                <w:szCs w:val="20"/>
              </w:rPr>
              <w:t>16,124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716B" w:rsidRPr="005C4B16" w:rsidRDefault="008D716B" w:rsidP="000B7945">
            <w:pPr>
              <w:jc w:val="right"/>
              <w:rPr>
                <w:sz w:val="20"/>
                <w:szCs w:val="20"/>
              </w:rPr>
            </w:pPr>
            <w:r w:rsidRPr="005C4B16">
              <w:rPr>
                <w:b/>
                <w:bCs/>
                <w:color w:val="000000"/>
                <w:sz w:val="20"/>
                <w:szCs w:val="20"/>
              </w:rPr>
              <w:t>13,090</w:t>
            </w:r>
          </w:p>
        </w:tc>
        <w:tc>
          <w:tcPr>
            <w:tcW w:w="1824" w:type="dxa"/>
            <w:gridSpan w:val="2"/>
            <w:tcBorders>
              <w:top w:val="single" w:sz="4" w:space="0" w:color="auto"/>
              <w:left w:val="nil"/>
              <w:bottom w:val="single" w:sz="4" w:space="0" w:color="auto"/>
              <w:right w:val="single" w:sz="4" w:space="0" w:color="auto"/>
            </w:tcBorders>
            <w:shd w:val="clear" w:color="auto" w:fill="auto"/>
            <w:vAlign w:val="bottom"/>
          </w:tcPr>
          <w:p w:rsidR="008D716B" w:rsidRPr="005C4B16" w:rsidRDefault="008D716B" w:rsidP="000B7945">
            <w:pPr>
              <w:jc w:val="right"/>
              <w:rPr>
                <w:sz w:val="20"/>
                <w:szCs w:val="20"/>
              </w:rPr>
            </w:pPr>
            <w:r w:rsidRPr="005C4B16">
              <w:rPr>
                <w:b/>
                <w:bCs/>
                <w:color w:val="000000"/>
                <w:sz w:val="20"/>
                <w:szCs w:val="20"/>
              </w:rPr>
              <w:t>0</w:t>
            </w:r>
          </w:p>
        </w:tc>
      </w:tr>
      <w:tr w:rsidR="008D716B"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141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D716B" w:rsidRPr="005C4B16" w:rsidRDefault="008D716B" w:rsidP="008D716B">
            <w:pPr>
              <w:rPr>
                <w:b/>
                <w:bCs/>
                <w:color w:val="000000"/>
                <w:sz w:val="20"/>
                <w:szCs w:val="20"/>
              </w:rPr>
            </w:pPr>
          </w:p>
        </w:tc>
      </w:tr>
      <w:tr w:rsidR="00802540" w:rsidRPr="005C4B16" w:rsidTr="00A4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29"/>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tcPr>
          <w:p w:rsidR="008D716B" w:rsidRPr="005C4B16" w:rsidRDefault="008D716B" w:rsidP="008D716B">
            <w:pPr>
              <w:rPr>
                <w:b/>
                <w:bCs/>
                <w:color w:val="000000"/>
                <w:sz w:val="20"/>
                <w:szCs w:val="20"/>
              </w:rPr>
            </w:pPr>
          </w:p>
        </w:tc>
        <w:tc>
          <w:tcPr>
            <w:tcW w:w="4819" w:type="dxa"/>
            <w:tcBorders>
              <w:top w:val="single" w:sz="4" w:space="0" w:color="auto"/>
              <w:left w:val="nil"/>
              <w:bottom w:val="single" w:sz="4" w:space="0" w:color="auto"/>
              <w:right w:val="single" w:sz="4" w:space="0" w:color="auto"/>
            </w:tcBorders>
            <w:shd w:val="clear" w:color="auto" w:fill="auto"/>
          </w:tcPr>
          <w:p w:rsidR="008D716B" w:rsidRPr="005C4B16" w:rsidRDefault="008D716B" w:rsidP="008D716B">
            <w:pPr>
              <w:rPr>
                <w:b/>
                <w:bCs/>
                <w:color w:val="000000"/>
                <w:sz w:val="20"/>
                <w:szCs w:val="20"/>
              </w:rPr>
            </w:pPr>
            <w:r w:rsidRPr="005C4B16">
              <w:rPr>
                <w:b/>
                <w:sz w:val="20"/>
                <w:szCs w:val="20"/>
              </w:rPr>
              <w:t>Total Consultancy</w:t>
            </w:r>
          </w:p>
        </w:tc>
        <w:tc>
          <w:tcPr>
            <w:tcW w:w="1843" w:type="dxa"/>
            <w:tcBorders>
              <w:top w:val="single" w:sz="4" w:space="0" w:color="auto"/>
              <w:left w:val="nil"/>
              <w:bottom w:val="single" w:sz="4" w:space="0" w:color="auto"/>
              <w:right w:val="single" w:sz="4" w:space="0" w:color="auto"/>
            </w:tcBorders>
            <w:shd w:val="clear" w:color="auto" w:fill="auto"/>
          </w:tcPr>
          <w:p w:rsidR="008D716B" w:rsidRPr="005C4B16" w:rsidRDefault="00A44058" w:rsidP="000B7945">
            <w:pPr>
              <w:jc w:val="right"/>
              <w:rPr>
                <w:b/>
                <w:bCs/>
                <w:color w:val="000000"/>
                <w:sz w:val="20"/>
                <w:szCs w:val="20"/>
              </w:rPr>
            </w:pPr>
            <w:r w:rsidRPr="005C4B16">
              <w:rPr>
                <w:b/>
                <w:bCs/>
                <w:color w:val="000000"/>
                <w:sz w:val="20"/>
                <w:szCs w:val="20"/>
              </w:rPr>
              <w:t>2,744,865</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8D716B" w:rsidRPr="005C4B16" w:rsidRDefault="00A44058" w:rsidP="009C3B9A">
            <w:pPr>
              <w:jc w:val="right"/>
              <w:rPr>
                <w:b/>
                <w:bCs/>
                <w:color w:val="000000"/>
                <w:sz w:val="20"/>
                <w:szCs w:val="20"/>
              </w:rPr>
            </w:pPr>
            <w:r w:rsidRPr="005C4B16">
              <w:rPr>
                <w:b/>
                <w:bCs/>
                <w:color w:val="000000"/>
                <w:sz w:val="20"/>
                <w:szCs w:val="20"/>
              </w:rPr>
              <w:t>2,</w:t>
            </w:r>
            <w:r w:rsidR="009C3B9A">
              <w:rPr>
                <w:b/>
                <w:bCs/>
                <w:color w:val="000000"/>
                <w:sz w:val="20"/>
                <w:szCs w:val="20"/>
              </w:rPr>
              <w:t>408,126</w:t>
            </w:r>
          </w:p>
        </w:tc>
        <w:tc>
          <w:tcPr>
            <w:tcW w:w="1824" w:type="dxa"/>
            <w:gridSpan w:val="2"/>
            <w:tcBorders>
              <w:top w:val="single" w:sz="4" w:space="0" w:color="auto"/>
              <w:left w:val="nil"/>
              <w:bottom w:val="single" w:sz="4" w:space="0" w:color="auto"/>
              <w:right w:val="single" w:sz="4" w:space="0" w:color="auto"/>
            </w:tcBorders>
            <w:shd w:val="clear" w:color="auto" w:fill="auto"/>
          </w:tcPr>
          <w:p w:rsidR="008D716B" w:rsidRPr="005C4B16" w:rsidRDefault="007A59F2" w:rsidP="000B7945">
            <w:pPr>
              <w:jc w:val="right"/>
              <w:rPr>
                <w:b/>
                <w:bCs/>
                <w:color w:val="000000"/>
                <w:sz w:val="20"/>
                <w:szCs w:val="20"/>
              </w:rPr>
            </w:pPr>
            <w:r w:rsidRPr="005C4B16">
              <w:rPr>
                <w:b/>
                <w:sz w:val="20"/>
                <w:szCs w:val="20"/>
              </w:rPr>
              <w:t>0</w:t>
            </w:r>
          </w:p>
        </w:tc>
      </w:tr>
    </w:tbl>
    <w:p w:rsidR="00BD5FC2" w:rsidRDefault="00BD5FC2" w:rsidP="002341C4">
      <w:pPr>
        <w:pStyle w:val="Heading3"/>
        <w:sectPr w:rsidR="00BD5FC2" w:rsidSect="00BD5FC2">
          <w:pgSz w:w="16838" w:h="11906" w:orient="landscape" w:code="9"/>
          <w:pgMar w:top="1134" w:right="1134" w:bottom="1134" w:left="1134" w:header="567" w:footer="567" w:gutter="0"/>
          <w:cols w:space="708"/>
          <w:titlePg/>
          <w:docGrid w:linePitch="360"/>
        </w:sectPr>
      </w:pPr>
    </w:p>
    <w:p w:rsidR="002341C4" w:rsidRPr="0091018D" w:rsidRDefault="002341C4" w:rsidP="002341C4">
      <w:pPr>
        <w:pStyle w:val="Heading3"/>
        <w:rPr>
          <w:rFonts w:ascii="Arial Bold" w:hAnsi="Arial Bold"/>
        </w:rPr>
      </w:pPr>
      <w:r w:rsidRPr="0091018D">
        <w:lastRenderedPageBreak/>
        <w:t xml:space="preserve">Disclosure of </w:t>
      </w:r>
      <w:r w:rsidR="001A27C9" w:rsidRPr="0091018D">
        <w:t>M</w:t>
      </w:r>
      <w:r w:rsidRPr="0091018D">
        <w:t xml:space="preserve">ajor </w:t>
      </w:r>
      <w:r w:rsidR="001A27C9" w:rsidRPr="0091018D">
        <w:t>C</w:t>
      </w:r>
      <w:r w:rsidRPr="0091018D">
        <w:t xml:space="preserve">ontracts </w:t>
      </w:r>
    </w:p>
    <w:p w:rsidR="00183D28" w:rsidRDefault="00DB79FA" w:rsidP="00A7716B">
      <w:pPr>
        <w:rPr>
          <w:lang w:val="en-GB"/>
        </w:rPr>
      </w:pPr>
      <w:r>
        <w:rPr>
          <w:lang w:val="en-GB"/>
        </w:rPr>
        <w:t>CSV</w:t>
      </w:r>
      <w:r w:rsidR="005D299D">
        <w:rPr>
          <w:lang w:val="en-GB"/>
        </w:rPr>
        <w:t xml:space="preserve"> entered into two</w:t>
      </w:r>
      <w:r w:rsidR="00183D28" w:rsidRPr="0091018D">
        <w:rPr>
          <w:lang w:val="en-GB"/>
        </w:rPr>
        <w:t xml:space="preserve"> contract</w:t>
      </w:r>
      <w:r w:rsidR="005D299D">
        <w:rPr>
          <w:lang w:val="en-GB"/>
        </w:rPr>
        <w:t>s</w:t>
      </w:r>
      <w:r w:rsidR="00183D28" w:rsidRPr="0091018D">
        <w:rPr>
          <w:lang w:val="en-GB"/>
        </w:rPr>
        <w:t xml:space="preserve"> greater than $10 million in </w:t>
      </w:r>
      <w:r w:rsidR="00086B4B">
        <w:rPr>
          <w:lang w:val="en-GB"/>
        </w:rPr>
        <w:t xml:space="preserve">the </w:t>
      </w:r>
      <w:r w:rsidR="005D299D">
        <w:rPr>
          <w:lang w:val="en-GB"/>
        </w:rPr>
        <w:t>year ended 30 June 2017</w:t>
      </w:r>
      <w:r w:rsidR="00183D28" w:rsidRPr="0091018D">
        <w:rPr>
          <w:lang w:val="en-GB"/>
        </w:rPr>
        <w:t>.</w:t>
      </w:r>
    </w:p>
    <w:p w:rsidR="00A7716B" w:rsidRDefault="00A7716B" w:rsidP="00A7716B">
      <w:pPr>
        <w:rPr>
          <w:lang w:val="en-GB"/>
        </w:rPr>
      </w:pPr>
    </w:p>
    <w:p w:rsidR="00A7716B" w:rsidRPr="00A7716B" w:rsidRDefault="005C4B16" w:rsidP="00704CC7">
      <w:pPr>
        <w:pStyle w:val="Caption"/>
        <w:rPr>
          <w:lang w:val="en-GB"/>
        </w:rPr>
      </w:pPr>
      <w:r w:rsidRPr="005C4B16">
        <w:rPr>
          <w:lang w:val="en-GB"/>
        </w:rPr>
        <w:t>Table 12</w:t>
      </w:r>
      <w:r w:rsidR="00A7716B" w:rsidRPr="005C4B16">
        <w:rPr>
          <w:lang w:val="en-GB"/>
        </w:rPr>
        <w:t>:</w:t>
      </w:r>
      <w:r w:rsidRPr="005C4B16">
        <w:rPr>
          <w:lang w:val="en-GB"/>
        </w:rPr>
        <w:t xml:space="preserve"> </w:t>
      </w:r>
      <w:r w:rsidR="00704CC7" w:rsidRPr="005C4B16">
        <w:rPr>
          <w:lang w:val="en-GB"/>
        </w:rPr>
        <w:t>Contracts greater than $10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122"/>
        <w:gridCol w:w="2976"/>
        <w:gridCol w:w="1276"/>
        <w:gridCol w:w="1134"/>
        <w:gridCol w:w="2120"/>
      </w:tblGrid>
      <w:tr w:rsidR="005D299D" w:rsidRPr="005D299D" w:rsidTr="005D299D">
        <w:tc>
          <w:tcPr>
            <w:tcW w:w="2122"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lang w:val="en-GB"/>
              </w:rPr>
            </w:pPr>
            <w:r w:rsidRPr="005D299D">
              <w:rPr>
                <w:lang w:val="en-GB"/>
              </w:rPr>
              <w:t>Company</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lang w:val="en-GB"/>
              </w:rPr>
            </w:pPr>
            <w:r w:rsidRPr="005D299D">
              <w:rPr>
                <w:lang w:val="en-GB"/>
              </w:rPr>
              <w:t>Descriptions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lang w:val="en-GB"/>
              </w:rPr>
            </w:pPr>
            <w:r w:rsidRPr="005D299D">
              <w:rPr>
                <w:lang w:val="en-GB"/>
              </w:rPr>
              <w:t xml:space="preserve"> Start Date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lang w:val="en-GB"/>
              </w:rPr>
            </w:pPr>
            <w:r w:rsidRPr="005D299D">
              <w:rPr>
                <w:lang w:val="en-GB"/>
              </w:rPr>
              <w:t xml:space="preserve"> End Date </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lang w:val="en-GB"/>
              </w:rPr>
            </w:pPr>
            <w:r w:rsidRPr="005D299D">
              <w:rPr>
                <w:lang w:val="en-GB"/>
              </w:rPr>
              <w:t xml:space="preserve"> Contract Value </w:t>
            </w:r>
          </w:p>
        </w:tc>
      </w:tr>
      <w:tr w:rsidR="005D299D" w:rsidRPr="005D299D" w:rsidTr="005D299D">
        <w:tc>
          <w:tcPr>
            <w:tcW w:w="2122"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b w:val="0"/>
                <w:lang w:val="en-GB"/>
              </w:rPr>
            </w:pPr>
            <w:r>
              <w:rPr>
                <w:b w:val="0"/>
                <w:lang w:val="en-GB"/>
              </w:rPr>
              <w:t>ADCO Constructions (VIC) Pty Ltd</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b w:val="0"/>
                <w:lang w:val="en-GB"/>
              </w:rPr>
            </w:pPr>
            <w:r w:rsidRPr="005D299D">
              <w:rPr>
                <w:b w:val="0"/>
                <w:lang w:val="en-GB"/>
              </w:rPr>
              <w:t xml:space="preserve">Delivery </w:t>
            </w:r>
            <w:r>
              <w:rPr>
                <w:b w:val="0"/>
                <w:lang w:val="en-GB"/>
              </w:rPr>
              <w:t>of construction w</w:t>
            </w:r>
            <w:r w:rsidRPr="005D299D">
              <w:rPr>
                <w:b w:val="0"/>
                <w:lang w:val="en-GB"/>
              </w:rPr>
              <w:t xml:space="preserve">orks for Shepparton Law Courts Redevelopment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b w:val="0"/>
                <w:lang w:val="en-GB"/>
              </w:rPr>
            </w:pPr>
            <w:r w:rsidRPr="005D299D">
              <w:rPr>
                <w:b w:val="0"/>
                <w:lang w:val="en-GB"/>
              </w:rPr>
              <w:t>15/04/2016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b w:val="0"/>
                <w:lang w:val="en-GB"/>
              </w:rPr>
            </w:pPr>
            <w:r w:rsidRPr="005D299D">
              <w:rPr>
                <w:b w:val="0"/>
                <w:lang w:val="en-GB"/>
              </w:rPr>
              <w:t>30/06/2018</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b w:val="0"/>
                <w:lang w:val="en-GB"/>
              </w:rPr>
            </w:pPr>
            <w:r w:rsidRPr="005D299D">
              <w:rPr>
                <w:b w:val="0"/>
                <w:lang w:val="en-GB"/>
              </w:rPr>
              <w:t>$51,886,799 plus GST</w:t>
            </w:r>
          </w:p>
        </w:tc>
      </w:tr>
      <w:tr w:rsidR="005D299D" w:rsidRPr="005D299D" w:rsidTr="005D299D">
        <w:tc>
          <w:tcPr>
            <w:tcW w:w="2122"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b w:val="0"/>
                <w:lang w:val="en-GB"/>
              </w:rPr>
            </w:pPr>
            <w:r>
              <w:rPr>
                <w:b w:val="0"/>
                <w:lang w:val="en-GB"/>
              </w:rPr>
              <w:t>St John Ambulance Australia (VIC) Inc.</w:t>
            </w:r>
            <w:r>
              <w:rPr>
                <w:b w:val="0"/>
                <w:lang w:val="en-GB"/>
              </w:rPr>
              <w:br/>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b w:val="0"/>
                <w:lang w:val="en-GB"/>
              </w:rPr>
            </w:pPr>
            <w:r>
              <w:rPr>
                <w:b w:val="0"/>
                <w:lang w:val="en-GB"/>
              </w:rPr>
              <w:t>Provision of t</w:t>
            </w:r>
            <w:r w:rsidRPr="005D299D">
              <w:rPr>
                <w:b w:val="0"/>
                <w:lang w:val="en-GB"/>
              </w:rPr>
              <w:t>ransport of Deceased Persons Services in Metropolitan Melbourne (including Regional Victoria Repatriation Services)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b w:val="0"/>
                <w:lang w:val="en-GB"/>
              </w:rPr>
            </w:pPr>
            <w:r w:rsidRPr="005D299D">
              <w:rPr>
                <w:b w:val="0"/>
                <w:lang w:val="en-GB"/>
              </w:rPr>
              <w:t>1/09/2016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b w:val="0"/>
                <w:lang w:val="en-GB"/>
              </w:rPr>
            </w:pPr>
            <w:r w:rsidRPr="005D299D">
              <w:rPr>
                <w:b w:val="0"/>
                <w:lang w:val="en-GB"/>
              </w:rPr>
              <w:t>31/08/2019</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5D299D" w:rsidRPr="005D299D" w:rsidRDefault="005D299D" w:rsidP="005D299D">
            <w:pPr>
              <w:pStyle w:val="Tableheading"/>
              <w:rPr>
                <w:b w:val="0"/>
                <w:lang w:val="en-GB"/>
              </w:rPr>
            </w:pPr>
            <w:r w:rsidRPr="005D299D">
              <w:rPr>
                <w:b w:val="0"/>
                <w:lang w:val="en-GB"/>
              </w:rPr>
              <w:t>$25,650,000 plus GST</w:t>
            </w:r>
          </w:p>
        </w:tc>
      </w:tr>
    </w:tbl>
    <w:p w:rsidR="00183D28" w:rsidRDefault="00183D28" w:rsidP="00183D28">
      <w:pPr>
        <w:rPr>
          <w:lang w:val="en-GB"/>
        </w:rPr>
      </w:pPr>
    </w:p>
    <w:p w:rsidR="00F56723" w:rsidRPr="001A15AA" w:rsidRDefault="00F56723" w:rsidP="001A15AA">
      <w:pPr>
        <w:pStyle w:val="Heading2"/>
      </w:pPr>
      <w:bookmarkStart w:id="30" w:name="_Toc494978556"/>
      <w:r w:rsidRPr="00CE2389">
        <w:t xml:space="preserve">Information </w:t>
      </w:r>
      <w:r w:rsidR="00CE2389" w:rsidRPr="00CE2389">
        <w:t>and Communication Technology E</w:t>
      </w:r>
      <w:r w:rsidRPr="00CE2389">
        <w:t>xpenditure</w:t>
      </w:r>
      <w:bookmarkEnd w:id="30"/>
      <w:r w:rsidRPr="0009156E">
        <w:rPr>
          <w:lang w:val="en-GB"/>
        </w:rPr>
        <w:tab/>
      </w:r>
    </w:p>
    <w:p w:rsidR="00F56723" w:rsidRPr="00FD2484" w:rsidRDefault="005D299D">
      <w:pPr>
        <w:rPr>
          <w:lang w:val="en-GB"/>
        </w:rPr>
      </w:pPr>
      <w:r>
        <w:rPr>
          <w:lang w:val="en-GB"/>
        </w:rPr>
        <w:t>For the 2016-17</w:t>
      </w:r>
      <w:r w:rsidR="00F56723" w:rsidRPr="0009156E">
        <w:rPr>
          <w:lang w:val="en-GB"/>
        </w:rPr>
        <w:t xml:space="preserve"> reporting period, CSV had a total ICT expenditure of </w:t>
      </w:r>
      <w:r>
        <w:rPr>
          <w:lang w:val="en-GB"/>
        </w:rPr>
        <w:t>$52.3</w:t>
      </w:r>
      <w:r w:rsidR="00F56723" w:rsidRPr="00D44CFD">
        <w:rPr>
          <w:lang w:val="en-GB"/>
        </w:rPr>
        <w:t xml:space="preserve"> million</w:t>
      </w:r>
      <w:r w:rsidR="00F56723" w:rsidRPr="00792936">
        <w:rPr>
          <w:lang w:val="en-GB"/>
        </w:rPr>
        <w:t>.</w:t>
      </w:r>
    </w:p>
    <w:p w:rsidR="00F56723" w:rsidRPr="00FD2484" w:rsidRDefault="00F56723">
      <w:pPr>
        <w:rPr>
          <w:lang w:val="en-GB"/>
        </w:rPr>
      </w:pPr>
    </w:p>
    <w:p w:rsidR="00F56723" w:rsidRDefault="005C4B16" w:rsidP="00FD2484">
      <w:pPr>
        <w:pStyle w:val="Caption"/>
        <w:rPr>
          <w:lang w:val="en-GB"/>
        </w:rPr>
      </w:pPr>
      <w:r w:rsidRPr="005C4B16">
        <w:rPr>
          <w:lang w:val="en-GB"/>
        </w:rPr>
        <w:t>Table 13</w:t>
      </w:r>
      <w:r w:rsidR="005F300A" w:rsidRPr="005C4B16">
        <w:rPr>
          <w:lang w:val="en-GB"/>
        </w:rPr>
        <w:t>:</w:t>
      </w:r>
      <w:r>
        <w:rPr>
          <w:lang w:val="en-GB"/>
        </w:rPr>
        <w:t xml:space="preserve"> </w:t>
      </w:r>
      <w:r w:rsidR="005F300A" w:rsidRPr="005C4B16">
        <w:rPr>
          <w:lang w:val="en-GB"/>
        </w:rPr>
        <w:t>Information and Communication Technology</w:t>
      </w:r>
      <w:r w:rsidR="00F56723" w:rsidRPr="005C4B16">
        <w:rPr>
          <w:lang w:val="en-GB"/>
        </w:rPr>
        <w:t xml:space="preserve"> </w:t>
      </w:r>
      <w:r w:rsidR="005F300A" w:rsidRPr="005C4B16">
        <w:rPr>
          <w:lang w:val="en-GB"/>
        </w:rPr>
        <w:t>e</w:t>
      </w:r>
      <w:r w:rsidR="00F56723" w:rsidRPr="005C4B16">
        <w:rPr>
          <w:lang w:val="en-GB"/>
        </w:rPr>
        <w:t>xpenditure</w:t>
      </w:r>
      <w:r w:rsidR="00F56723" w:rsidRPr="0009156E">
        <w:rPr>
          <w:lang w:val="en-GB"/>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52"/>
        <w:gridCol w:w="4063"/>
        <w:gridCol w:w="1679"/>
        <w:gridCol w:w="1339"/>
      </w:tblGrid>
      <w:tr w:rsidR="005D299D" w:rsidRPr="009333D5" w:rsidTr="009333D5">
        <w:tc>
          <w:tcPr>
            <w:tcW w:w="9633" w:type="dxa"/>
            <w:gridSpan w:val="4"/>
            <w:tcBorders>
              <w:top w:val="nil"/>
              <w:left w:val="nil"/>
              <w:bottom w:val="single" w:sz="4" w:space="0" w:color="auto"/>
              <w:right w:val="nil"/>
            </w:tcBorders>
            <w:shd w:val="clear" w:color="auto" w:fill="auto"/>
            <w:noWrap/>
            <w:hideMark/>
          </w:tcPr>
          <w:p w:rsidR="005D299D" w:rsidRPr="009333D5" w:rsidRDefault="005D299D" w:rsidP="00F34F4A">
            <w:pPr>
              <w:jc w:val="right"/>
              <w:rPr>
                <w:b/>
                <w:bCs/>
                <w:sz w:val="20"/>
                <w:szCs w:val="20"/>
              </w:rPr>
            </w:pPr>
            <w:r w:rsidRPr="009333D5">
              <w:rPr>
                <w:b/>
                <w:bCs/>
                <w:sz w:val="20"/>
                <w:szCs w:val="20"/>
              </w:rPr>
              <w:t>($ thousand)</w:t>
            </w:r>
          </w:p>
        </w:tc>
      </w:tr>
      <w:tr w:rsidR="005D299D" w:rsidRPr="005D299D" w:rsidTr="009333D5">
        <w:trPr>
          <w:trHeight w:val="330"/>
        </w:trPr>
        <w:tc>
          <w:tcPr>
            <w:tcW w:w="2552" w:type="dxa"/>
            <w:tcBorders>
              <w:top w:val="single" w:sz="4" w:space="0" w:color="auto"/>
            </w:tcBorders>
            <w:shd w:val="pct20" w:color="auto" w:fill="auto"/>
            <w:noWrap/>
            <w:hideMark/>
          </w:tcPr>
          <w:p w:rsidR="005D299D" w:rsidRPr="00F34F4A" w:rsidRDefault="005D299D" w:rsidP="005D299D">
            <w:pPr>
              <w:rPr>
                <w:b/>
                <w:iCs/>
                <w:sz w:val="20"/>
                <w:szCs w:val="20"/>
              </w:rPr>
            </w:pPr>
            <w:r w:rsidRPr="00F34F4A">
              <w:rPr>
                <w:b/>
                <w:iCs/>
                <w:sz w:val="20"/>
                <w:szCs w:val="20"/>
              </w:rPr>
              <w:t>All operational ICT expenditure</w:t>
            </w:r>
          </w:p>
        </w:tc>
        <w:tc>
          <w:tcPr>
            <w:tcW w:w="7081" w:type="dxa"/>
            <w:gridSpan w:val="3"/>
            <w:tcBorders>
              <w:top w:val="single" w:sz="4" w:space="0" w:color="auto"/>
            </w:tcBorders>
            <w:shd w:val="pct20" w:color="auto" w:fill="auto"/>
            <w:hideMark/>
          </w:tcPr>
          <w:p w:rsidR="005D299D" w:rsidRPr="00F34F4A" w:rsidRDefault="005D299D" w:rsidP="005D299D">
            <w:pPr>
              <w:rPr>
                <w:b/>
                <w:iCs/>
                <w:sz w:val="20"/>
                <w:szCs w:val="20"/>
              </w:rPr>
            </w:pPr>
            <w:r w:rsidRPr="00F34F4A">
              <w:rPr>
                <w:b/>
                <w:iCs/>
                <w:sz w:val="20"/>
                <w:szCs w:val="20"/>
              </w:rPr>
              <w:t>ICT expenditure related to projects to create or enhance ICT capabilities</w:t>
            </w:r>
          </w:p>
        </w:tc>
      </w:tr>
      <w:tr w:rsidR="00802540" w:rsidRPr="005D299D" w:rsidTr="009333D5">
        <w:trPr>
          <w:trHeight w:val="780"/>
        </w:trPr>
        <w:tc>
          <w:tcPr>
            <w:tcW w:w="2552" w:type="dxa"/>
            <w:shd w:val="clear" w:color="auto" w:fill="F2F2F2"/>
            <w:noWrap/>
            <w:hideMark/>
          </w:tcPr>
          <w:p w:rsidR="005D299D" w:rsidRPr="00F34F4A" w:rsidRDefault="001B4444" w:rsidP="005D299D">
            <w:pPr>
              <w:rPr>
                <w:b/>
                <w:iCs/>
                <w:sz w:val="20"/>
                <w:szCs w:val="20"/>
              </w:rPr>
            </w:pPr>
            <w:r w:rsidRPr="00F34F4A">
              <w:rPr>
                <w:b/>
                <w:iCs/>
                <w:sz w:val="20"/>
                <w:szCs w:val="20"/>
              </w:rPr>
              <w:t>Business-as-u</w:t>
            </w:r>
            <w:r w:rsidR="005D299D" w:rsidRPr="00F34F4A">
              <w:rPr>
                <w:b/>
                <w:iCs/>
                <w:sz w:val="20"/>
                <w:szCs w:val="20"/>
              </w:rPr>
              <w:t>sual (BAU) ICT expenditure</w:t>
            </w:r>
          </w:p>
        </w:tc>
        <w:tc>
          <w:tcPr>
            <w:tcW w:w="4063" w:type="dxa"/>
            <w:shd w:val="clear" w:color="auto" w:fill="F2F2F2"/>
            <w:hideMark/>
          </w:tcPr>
          <w:p w:rsidR="005D299D" w:rsidRPr="00F34F4A" w:rsidRDefault="001B4444" w:rsidP="005D299D">
            <w:pPr>
              <w:rPr>
                <w:b/>
                <w:iCs/>
                <w:sz w:val="20"/>
                <w:szCs w:val="20"/>
              </w:rPr>
            </w:pPr>
            <w:r w:rsidRPr="00F34F4A">
              <w:rPr>
                <w:b/>
                <w:iCs/>
                <w:sz w:val="20"/>
                <w:szCs w:val="20"/>
              </w:rPr>
              <w:t>Non business-as-usual (non-</w:t>
            </w:r>
            <w:r w:rsidR="005D299D" w:rsidRPr="00F34F4A">
              <w:rPr>
                <w:b/>
                <w:iCs/>
                <w:sz w:val="20"/>
                <w:szCs w:val="20"/>
              </w:rPr>
              <w:t>BAU) ICT expenditure</w:t>
            </w:r>
          </w:p>
        </w:tc>
        <w:tc>
          <w:tcPr>
            <w:tcW w:w="1679" w:type="dxa"/>
            <w:shd w:val="clear" w:color="auto" w:fill="F2F2F2"/>
            <w:hideMark/>
          </w:tcPr>
          <w:p w:rsidR="005D299D" w:rsidRPr="00F34F4A" w:rsidRDefault="005D299D" w:rsidP="005D299D">
            <w:pPr>
              <w:rPr>
                <w:b/>
                <w:iCs/>
                <w:sz w:val="20"/>
                <w:szCs w:val="20"/>
              </w:rPr>
            </w:pPr>
            <w:r w:rsidRPr="00F34F4A">
              <w:rPr>
                <w:b/>
                <w:iCs/>
                <w:sz w:val="20"/>
                <w:szCs w:val="20"/>
              </w:rPr>
              <w:t>Operational expenditure</w:t>
            </w:r>
          </w:p>
        </w:tc>
        <w:tc>
          <w:tcPr>
            <w:tcW w:w="1339" w:type="dxa"/>
            <w:shd w:val="clear" w:color="auto" w:fill="F2F2F2"/>
            <w:hideMark/>
          </w:tcPr>
          <w:p w:rsidR="005D299D" w:rsidRPr="00F34F4A" w:rsidRDefault="005D299D" w:rsidP="005D299D">
            <w:pPr>
              <w:rPr>
                <w:b/>
                <w:iCs/>
                <w:sz w:val="20"/>
                <w:szCs w:val="20"/>
              </w:rPr>
            </w:pPr>
            <w:r w:rsidRPr="00F34F4A">
              <w:rPr>
                <w:b/>
                <w:iCs/>
                <w:sz w:val="20"/>
                <w:szCs w:val="20"/>
              </w:rPr>
              <w:t xml:space="preserve">Capital </w:t>
            </w:r>
            <w:r w:rsidRPr="00F34F4A">
              <w:rPr>
                <w:b/>
                <w:iCs/>
                <w:sz w:val="20"/>
                <w:szCs w:val="20"/>
              </w:rPr>
              <w:br/>
              <w:t>expenditure</w:t>
            </w:r>
          </w:p>
        </w:tc>
      </w:tr>
      <w:tr w:rsidR="005D299D" w:rsidRPr="005D299D" w:rsidTr="009333D5">
        <w:trPr>
          <w:trHeight w:val="465"/>
        </w:trPr>
        <w:tc>
          <w:tcPr>
            <w:tcW w:w="2552" w:type="dxa"/>
            <w:shd w:val="clear" w:color="auto" w:fill="auto"/>
            <w:noWrap/>
            <w:hideMark/>
          </w:tcPr>
          <w:p w:rsidR="005D299D" w:rsidRPr="00F34F4A" w:rsidRDefault="005D299D" w:rsidP="005D299D">
            <w:pPr>
              <w:rPr>
                <w:iCs/>
                <w:sz w:val="20"/>
                <w:szCs w:val="20"/>
              </w:rPr>
            </w:pPr>
            <w:r w:rsidRPr="00F34F4A">
              <w:rPr>
                <w:iCs/>
                <w:sz w:val="20"/>
                <w:szCs w:val="20"/>
              </w:rPr>
              <w:t>(Total)</w:t>
            </w:r>
          </w:p>
        </w:tc>
        <w:tc>
          <w:tcPr>
            <w:tcW w:w="4063" w:type="dxa"/>
            <w:shd w:val="clear" w:color="auto" w:fill="auto"/>
            <w:hideMark/>
          </w:tcPr>
          <w:p w:rsidR="005D299D" w:rsidRPr="00F34F4A" w:rsidRDefault="005D299D" w:rsidP="005D299D">
            <w:pPr>
              <w:rPr>
                <w:sz w:val="20"/>
                <w:szCs w:val="20"/>
              </w:rPr>
            </w:pPr>
            <w:r w:rsidRPr="00F34F4A">
              <w:rPr>
                <w:sz w:val="20"/>
                <w:szCs w:val="20"/>
              </w:rPr>
              <w:t>(Total = Operational expenditure and capital expenditure)</w:t>
            </w:r>
          </w:p>
        </w:tc>
        <w:tc>
          <w:tcPr>
            <w:tcW w:w="1679" w:type="dxa"/>
            <w:shd w:val="clear" w:color="auto" w:fill="auto"/>
            <w:noWrap/>
            <w:hideMark/>
          </w:tcPr>
          <w:p w:rsidR="005D299D" w:rsidRPr="00F34F4A" w:rsidRDefault="005D299D" w:rsidP="000B7945">
            <w:pPr>
              <w:jc w:val="right"/>
              <w:rPr>
                <w:i/>
                <w:iCs/>
                <w:sz w:val="20"/>
                <w:szCs w:val="20"/>
              </w:rPr>
            </w:pPr>
            <w:r w:rsidRPr="00F34F4A">
              <w:rPr>
                <w:i/>
                <w:iCs/>
                <w:sz w:val="20"/>
                <w:szCs w:val="20"/>
              </w:rPr>
              <w:t> </w:t>
            </w:r>
          </w:p>
        </w:tc>
        <w:tc>
          <w:tcPr>
            <w:tcW w:w="1339" w:type="dxa"/>
            <w:shd w:val="clear" w:color="auto" w:fill="auto"/>
            <w:hideMark/>
          </w:tcPr>
          <w:p w:rsidR="005D299D" w:rsidRPr="00F34F4A" w:rsidRDefault="005D299D" w:rsidP="000B7945">
            <w:pPr>
              <w:jc w:val="right"/>
              <w:rPr>
                <w:i/>
                <w:iCs/>
                <w:sz w:val="20"/>
                <w:szCs w:val="20"/>
              </w:rPr>
            </w:pPr>
            <w:r w:rsidRPr="00F34F4A">
              <w:rPr>
                <w:i/>
                <w:iCs/>
                <w:sz w:val="20"/>
                <w:szCs w:val="20"/>
              </w:rPr>
              <w:t> </w:t>
            </w:r>
          </w:p>
        </w:tc>
      </w:tr>
      <w:tr w:rsidR="005D299D" w:rsidRPr="005D299D" w:rsidTr="009333D5">
        <w:trPr>
          <w:trHeight w:val="270"/>
        </w:trPr>
        <w:tc>
          <w:tcPr>
            <w:tcW w:w="2552" w:type="dxa"/>
            <w:shd w:val="clear" w:color="auto" w:fill="auto"/>
            <w:hideMark/>
          </w:tcPr>
          <w:p w:rsidR="005D299D" w:rsidRPr="00F34F4A" w:rsidRDefault="005D299D" w:rsidP="009333D5">
            <w:pPr>
              <w:jc w:val="right"/>
              <w:rPr>
                <w:bCs/>
                <w:sz w:val="20"/>
                <w:szCs w:val="20"/>
              </w:rPr>
            </w:pPr>
            <w:r w:rsidRPr="00F34F4A">
              <w:rPr>
                <w:bCs/>
                <w:sz w:val="20"/>
                <w:szCs w:val="20"/>
              </w:rPr>
              <w:t>37,406</w:t>
            </w:r>
          </w:p>
        </w:tc>
        <w:tc>
          <w:tcPr>
            <w:tcW w:w="4063" w:type="dxa"/>
            <w:shd w:val="clear" w:color="auto" w:fill="auto"/>
            <w:hideMark/>
          </w:tcPr>
          <w:p w:rsidR="005D299D" w:rsidRPr="00F34F4A" w:rsidRDefault="005D299D" w:rsidP="009333D5">
            <w:pPr>
              <w:jc w:val="right"/>
              <w:rPr>
                <w:bCs/>
                <w:sz w:val="20"/>
                <w:szCs w:val="20"/>
              </w:rPr>
            </w:pPr>
            <w:r w:rsidRPr="00F34F4A">
              <w:rPr>
                <w:bCs/>
                <w:sz w:val="20"/>
                <w:szCs w:val="20"/>
              </w:rPr>
              <w:t>14,890</w:t>
            </w:r>
          </w:p>
        </w:tc>
        <w:tc>
          <w:tcPr>
            <w:tcW w:w="1679" w:type="dxa"/>
            <w:shd w:val="clear" w:color="auto" w:fill="auto"/>
            <w:hideMark/>
          </w:tcPr>
          <w:p w:rsidR="005D299D" w:rsidRPr="00F34F4A" w:rsidRDefault="005D299D" w:rsidP="000B7945">
            <w:pPr>
              <w:jc w:val="right"/>
              <w:rPr>
                <w:bCs/>
                <w:sz w:val="20"/>
                <w:szCs w:val="20"/>
              </w:rPr>
            </w:pPr>
            <w:r w:rsidRPr="00F34F4A">
              <w:rPr>
                <w:bCs/>
                <w:sz w:val="20"/>
                <w:szCs w:val="20"/>
              </w:rPr>
              <w:t>3,704</w:t>
            </w:r>
          </w:p>
        </w:tc>
        <w:tc>
          <w:tcPr>
            <w:tcW w:w="1339" w:type="dxa"/>
            <w:shd w:val="clear" w:color="auto" w:fill="auto"/>
            <w:hideMark/>
          </w:tcPr>
          <w:p w:rsidR="005D299D" w:rsidRPr="00F34F4A" w:rsidRDefault="005D299D" w:rsidP="000B7945">
            <w:pPr>
              <w:jc w:val="right"/>
              <w:rPr>
                <w:bCs/>
                <w:sz w:val="20"/>
                <w:szCs w:val="20"/>
              </w:rPr>
            </w:pPr>
            <w:r w:rsidRPr="00F34F4A">
              <w:rPr>
                <w:bCs/>
                <w:sz w:val="20"/>
                <w:szCs w:val="20"/>
              </w:rPr>
              <w:t>11,186</w:t>
            </w:r>
          </w:p>
        </w:tc>
      </w:tr>
    </w:tbl>
    <w:p w:rsidR="00F56723" w:rsidRPr="0009156E" w:rsidRDefault="00F56723" w:rsidP="00FD2484">
      <w:pPr>
        <w:pStyle w:val="Notesheading"/>
      </w:pPr>
      <w:r w:rsidRPr="0009156E">
        <w:t>Note</w:t>
      </w:r>
      <w:r w:rsidR="00A13C20">
        <w:t>s</w:t>
      </w:r>
      <w:r w:rsidRPr="0009156E">
        <w:t>:</w:t>
      </w:r>
    </w:p>
    <w:p w:rsidR="005C4B16" w:rsidRDefault="000B7945" w:rsidP="000B7945">
      <w:pPr>
        <w:pStyle w:val="Notes"/>
      </w:pPr>
      <w:r>
        <w:t>1.</w:t>
      </w:r>
      <w:r>
        <w:tab/>
      </w:r>
      <w:r w:rsidR="001B4444" w:rsidRPr="001B4444">
        <w:t xml:space="preserve">ICT expenditure refers to </w:t>
      </w:r>
      <w:r w:rsidR="001B4444">
        <w:t>CSV’s costs in providing business-</w:t>
      </w:r>
      <w:r w:rsidR="001B4444" w:rsidRPr="001B4444">
        <w:t xml:space="preserve">enabling ICT services within the current </w:t>
      </w:r>
      <w:r w:rsidR="001B4444">
        <w:t xml:space="preserve">reporting period. It comprises BAU </w:t>
      </w:r>
      <w:r w:rsidR="001B4444" w:rsidRPr="001B4444">
        <w:t xml:space="preserve">ICT expenditure and </w:t>
      </w:r>
      <w:r w:rsidR="001B4444">
        <w:t>non-BAU</w:t>
      </w:r>
      <w:r w:rsidR="001B4444" w:rsidRPr="001B4444">
        <w:t xml:space="preserve"> ICT expenditure.</w:t>
      </w:r>
    </w:p>
    <w:p w:rsidR="00F56723" w:rsidRPr="005C4B16" w:rsidRDefault="000B7945" w:rsidP="000B7945">
      <w:pPr>
        <w:pStyle w:val="Notes"/>
      </w:pPr>
      <w:r>
        <w:t>2.</w:t>
      </w:r>
      <w:r>
        <w:tab/>
      </w:r>
      <w:r w:rsidR="00F56723" w:rsidRPr="005C4B16">
        <w:t>Non-BA</w:t>
      </w:r>
      <w:r w:rsidR="005F300A" w:rsidRPr="005C4B16">
        <w:t>U</w:t>
      </w:r>
      <w:r w:rsidR="00F56723" w:rsidRPr="005C4B16">
        <w:t xml:space="preserve"> ICT expenditure relates to extending or enhancing CSV</w:t>
      </w:r>
      <w:r w:rsidR="005F300A" w:rsidRPr="005C4B16">
        <w:t>’s</w:t>
      </w:r>
      <w:r w:rsidR="00F56723" w:rsidRPr="005C4B16">
        <w:t xml:space="preserve"> current ICT capabilities</w:t>
      </w:r>
      <w:r w:rsidR="001B4444" w:rsidRPr="005C4B16">
        <w:t>.</w:t>
      </w:r>
    </w:p>
    <w:p w:rsidR="00744DA8" w:rsidRPr="00744DA8" w:rsidRDefault="000B7945" w:rsidP="000B7945">
      <w:pPr>
        <w:pStyle w:val="Notes"/>
      </w:pPr>
      <w:r>
        <w:t>3.</w:t>
      </w:r>
      <w:r>
        <w:tab/>
      </w:r>
      <w:r w:rsidR="00F56723" w:rsidRPr="00C60580">
        <w:t>BA</w:t>
      </w:r>
      <w:r w:rsidR="005F300A">
        <w:t>U</w:t>
      </w:r>
      <w:r w:rsidR="00F56723" w:rsidRPr="00C60580">
        <w:t xml:space="preserve"> ICT expenditure is all remaining ICT expenditure </w:t>
      </w:r>
      <w:r w:rsidR="001B4444">
        <w:t>that</w:t>
      </w:r>
      <w:r w:rsidR="00F56723" w:rsidRPr="00C60580">
        <w:t xml:space="preserve"> primarily relates to ongoing activities to operate and maintain the current ICT capability.</w:t>
      </w:r>
    </w:p>
    <w:p w:rsidR="00744DA8" w:rsidRDefault="00744DA8" w:rsidP="00744DA8">
      <w:pPr>
        <w:pStyle w:val="Heading2"/>
      </w:pPr>
      <w:bookmarkStart w:id="31" w:name="_Toc494978557"/>
      <w:r w:rsidRPr="00156C26">
        <w:t>Office-based environmental impacts</w:t>
      </w:r>
      <w:bookmarkEnd w:id="31"/>
      <w:r w:rsidRPr="00156C26">
        <w:t xml:space="preserve"> </w:t>
      </w:r>
    </w:p>
    <w:p w:rsidR="00744DA8" w:rsidRPr="00DD2E4C" w:rsidRDefault="00744DA8" w:rsidP="00744DA8">
      <w:pPr>
        <w:rPr>
          <w:lang w:eastAsia="en-US"/>
        </w:rPr>
      </w:pPr>
      <w:r w:rsidRPr="0085501F">
        <w:rPr>
          <w:lang w:eastAsia="en-US"/>
        </w:rPr>
        <w:t xml:space="preserve">CSV continues to be guided by environmental policies developed by </w:t>
      </w:r>
      <w:r>
        <w:rPr>
          <w:lang w:eastAsia="en-US"/>
        </w:rPr>
        <w:t>Department of Justice and Regulation</w:t>
      </w:r>
      <w:r w:rsidRPr="0085501F">
        <w:rPr>
          <w:lang w:eastAsia="en-US"/>
        </w:rPr>
        <w:t xml:space="preserve"> and reported in accordance with Financial Reporting Direction 24C: Reporting of Office-based Environment</w:t>
      </w:r>
      <w:r>
        <w:rPr>
          <w:lang w:eastAsia="en-US"/>
        </w:rPr>
        <w:t>al Data by Government Entities</w:t>
      </w:r>
      <w:r w:rsidRPr="0085501F">
        <w:rPr>
          <w:lang w:eastAsia="en-US"/>
        </w:rPr>
        <w:t xml:space="preserve">. Courts deliver a range of services to the community </w:t>
      </w:r>
      <w:r>
        <w:rPr>
          <w:lang w:eastAsia="en-US"/>
        </w:rPr>
        <w:t>in</w:t>
      </w:r>
      <w:r w:rsidRPr="0085501F">
        <w:rPr>
          <w:lang w:eastAsia="en-US"/>
        </w:rPr>
        <w:t xml:space="preserve"> offices, complexes and courts across 66 sites</w:t>
      </w:r>
      <w:r>
        <w:rPr>
          <w:lang w:eastAsia="en-US"/>
        </w:rPr>
        <w:t xml:space="preserve"> that are dispersed across Victoria.</w:t>
      </w:r>
    </w:p>
    <w:p w:rsidR="00744DA8" w:rsidRDefault="00744DA8" w:rsidP="00744DA8">
      <w:pPr>
        <w:pStyle w:val="Heading3"/>
      </w:pPr>
      <w:bookmarkStart w:id="32" w:name="_Toc321747211"/>
      <w:r>
        <w:t>Plant and Equipment</w:t>
      </w:r>
    </w:p>
    <w:p w:rsidR="00744DA8" w:rsidRDefault="00744DA8" w:rsidP="00744DA8">
      <w:r>
        <w:t xml:space="preserve">CSV is continually upgrading and developing its physical environment, including developing a comprehensive asset assessment and life cycle upgrade program to replace building plant equipment with energy efficient alternatives. </w:t>
      </w:r>
    </w:p>
    <w:p w:rsidR="00744DA8" w:rsidRPr="00DD2E4C" w:rsidRDefault="00744DA8" w:rsidP="00744DA8">
      <w:pPr>
        <w:pStyle w:val="Heading3"/>
      </w:pPr>
      <w:r w:rsidRPr="00DD2E4C">
        <w:lastRenderedPageBreak/>
        <w:t>Energy</w:t>
      </w:r>
      <w:bookmarkEnd w:id="32"/>
    </w:p>
    <w:p w:rsidR="00744DA8" w:rsidRDefault="00744DA8" w:rsidP="00744DA8">
      <w:bookmarkStart w:id="33" w:name="_Toc321747212"/>
      <w:r>
        <w:t xml:space="preserve">For offices, complexes and courts, energy is predominantly used for lighting, heating and cooling. Projects reducing energy use have included retrofitting incandescent lights with halogen and light-emitting diode (LED) lights, behavioural change programs communicating to staff a ‘switch off’ message and sites participating in Earth Hour. </w:t>
      </w:r>
    </w:p>
    <w:p w:rsidR="00744DA8" w:rsidRPr="00DD2E4C" w:rsidRDefault="00744DA8" w:rsidP="00744DA8">
      <w:pPr>
        <w:pStyle w:val="Heading3"/>
        <w:rPr>
          <w:lang w:val="en-GB"/>
        </w:rPr>
      </w:pPr>
      <w:r w:rsidRPr="00DD2E4C">
        <w:rPr>
          <w:lang w:val="en-GB"/>
        </w:rPr>
        <w:t>Water</w:t>
      </w:r>
      <w:bookmarkEnd w:id="33"/>
    </w:p>
    <w:p w:rsidR="00744DA8" w:rsidRDefault="00744DA8" w:rsidP="00744DA8">
      <w:bookmarkStart w:id="34" w:name="_Toc321747213"/>
      <w:r>
        <w:t xml:space="preserve">For courts, offices and complexes, water is used for cooling towers, bathrooms, kitchen amenities and general consumption. Some buildings have flow restrictors on taps and dual flush toilets to reduce potable water use. Water reduction activities include use of rainwater tanks for flushing toilets, and an infrastructure focus on using ecologically sustainable design principles. </w:t>
      </w:r>
    </w:p>
    <w:p w:rsidR="00744DA8" w:rsidRPr="00DD2E4C" w:rsidRDefault="00744DA8" w:rsidP="00744DA8">
      <w:pPr>
        <w:pStyle w:val="Heading3"/>
        <w:rPr>
          <w:lang w:val="en-GB"/>
        </w:rPr>
      </w:pPr>
      <w:r w:rsidRPr="00DD2E4C">
        <w:rPr>
          <w:lang w:val="en-GB"/>
        </w:rPr>
        <w:t>Paper</w:t>
      </w:r>
      <w:bookmarkEnd w:id="34"/>
    </w:p>
    <w:p w:rsidR="00744DA8" w:rsidRDefault="00744DA8" w:rsidP="00744DA8">
      <w:bookmarkStart w:id="35" w:name="_Toc321747214"/>
      <w:r>
        <w:t xml:space="preserve">Courts and offices consume paper to meet operational requirements. Paper reduction activities include the use of secure PIN printing, the expansion of eLodgement projects, reducing paper-based notifications of court events and the use of recycled paper. </w:t>
      </w:r>
    </w:p>
    <w:p w:rsidR="00744DA8" w:rsidRPr="00601BF2" w:rsidRDefault="00744DA8" w:rsidP="00744DA8">
      <w:pPr>
        <w:pStyle w:val="Heading3"/>
        <w:rPr>
          <w:lang w:val="en-GB"/>
        </w:rPr>
      </w:pPr>
      <w:r w:rsidRPr="00601BF2">
        <w:rPr>
          <w:lang w:val="en-GB"/>
        </w:rPr>
        <w:t>Procurement</w:t>
      </w:r>
      <w:bookmarkEnd w:id="35"/>
    </w:p>
    <w:p w:rsidR="00744DA8" w:rsidRDefault="00744DA8" w:rsidP="00744DA8">
      <w:r w:rsidRPr="00601BF2">
        <w:t>CSV is a consumer of goods and services and plays an influential role in en</w:t>
      </w:r>
      <w:r>
        <w:t>suring sustainable procurement.</w:t>
      </w:r>
      <w:r w:rsidRPr="00601BF2">
        <w:rPr>
          <w:rFonts w:ascii="DIN-Regular" w:hAnsi="DIN-Regular" w:cs="DIN-Regular"/>
          <w:color w:val="53565E"/>
          <w:sz w:val="18"/>
          <w:szCs w:val="18"/>
        </w:rPr>
        <w:t xml:space="preserve"> </w:t>
      </w:r>
    </w:p>
    <w:p w:rsidR="00744DA8" w:rsidRDefault="00744DA8" w:rsidP="00744DA8"/>
    <w:p w:rsidR="00744DA8" w:rsidRDefault="00744DA8" w:rsidP="00744DA8">
      <w:r>
        <w:t>The p</w:t>
      </w:r>
      <w:r w:rsidRPr="00601BF2">
        <w:t>rocurement</w:t>
      </w:r>
      <w:r>
        <w:t xml:space="preserve"> unit</w:t>
      </w:r>
      <w:r w:rsidRPr="00601BF2">
        <w:t xml:space="preserve"> managed the implementation of the State Purchase Contract for Stationery and Workplace Consumables</w:t>
      </w:r>
      <w:r>
        <w:t xml:space="preserve">. </w:t>
      </w:r>
      <w:r w:rsidRPr="00601BF2">
        <w:t xml:space="preserve">The current incumbent provides the opportunity to purchase </w:t>
      </w:r>
      <w:r>
        <w:t>‘planet-</w:t>
      </w:r>
      <w:r w:rsidRPr="00601BF2">
        <w:t xml:space="preserve">friendly’ items and promotes the importance of ethical sourcing, with a focus on corporate social responsibility. </w:t>
      </w:r>
    </w:p>
    <w:p w:rsidR="00744DA8" w:rsidRDefault="00744DA8" w:rsidP="00744DA8"/>
    <w:p w:rsidR="00744DA8" w:rsidRPr="00601BF2" w:rsidRDefault="00744DA8" w:rsidP="00744DA8">
      <w:r w:rsidRPr="00601BF2">
        <w:t>CSV has</w:t>
      </w:r>
      <w:r>
        <w:t xml:space="preserve"> also</w:t>
      </w:r>
      <w:r w:rsidRPr="00601BF2">
        <w:t xml:space="preserve"> established a number of purchasing principles to encourage </w:t>
      </w:r>
      <w:r>
        <w:t>consolidated ordering, planet-friendly purchases,</w:t>
      </w:r>
      <w:r w:rsidRPr="00601BF2">
        <w:t xml:space="preserve"> </w:t>
      </w:r>
      <w:r>
        <w:t>reduction of packaging waste,</w:t>
      </w:r>
      <w:r w:rsidRPr="00601BF2">
        <w:t xml:space="preserve"> disposal considerations </w:t>
      </w:r>
      <w:r>
        <w:t>through toner recycling programs,</w:t>
      </w:r>
      <w:r w:rsidRPr="00601BF2">
        <w:t xml:space="preserve"> </w:t>
      </w:r>
      <w:r>
        <w:t>reduction of</w:t>
      </w:r>
      <w:r w:rsidRPr="00601BF2">
        <w:t xml:space="preserve"> delivery frequency</w:t>
      </w:r>
      <w:r>
        <w:t xml:space="preserve"> and</w:t>
      </w:r>
      <w:r w:rsidRPr="00601BF2">
        <w:t xml:space="preserve"> </w:t>
      </w:r>
      <w:r>
        <w:t>the</w:t>
      </w:r>
      <w:r w:rsidRPr="00601BF2">
        <w:t xml:space="preserve"> </w:t>
      </w:r>
      <w:r>
        <w:t xml:space="preserve">reduction of the </w:t>
      </w:r>
      <w:r w:rsidRPr="00601BF2">
        <w:t xml:space="preserve">carbon footprint </w:t>
      </w:r>
      <w:r>
        <w:t xml:space="preserve">of deliveries. </w:t>
      </w:r>
      <w:r w:rsidRPr="00601BF2">
        <w:t>No hard copy catalogues are available, with all staff directed to the online catalogue.</w:t>
      </w:r>
    </w:p>
    <w:p w:rsidR="00744DA8" w:rsidRDefault="00744DA8" w:rsidP="00744DA8">
      <w:pPr>
        <w:pStyle w:val="Heading3"/>
        <w:rPr>
          <w:lang w:val="en-GB"/>
        </w:rPr>
      </w:pPr>
      <w:bookmarkStart w:id="36" w:name="_Toc321747215"/>
      <w:r w:rsidRPr="00601BF2">
        <w:rPr>
          <w:lang w:val="en-GB"/>
        </w:rPr>
        <w:t>Transport</w:t>
      </w:r>
      <w:bookmarkEnd w:id="36"/>
    </w:p>
    <w:p w:rsidR="00744DA8" w:rsidRPr="004955ED" w:rsidRDefault="00744DA8" w:rsidP="00744DA8">
      <w:r w:rsidRPr="004955ED">
        <w:t>Courts deliver services through a range of facilities dispersed across the state, requiring staff to travel between locations and other work sites. Courts are continuing to increase the use of video-conferencing facilities where feasible.</w:t>
      </w:r>
    </w:p>
    <w:p w:rsidR="00744DA8" w:rsidRPr="00DD2E4C" w:rsidRDefault="00744DA8" w:rsidP="00744DA8">
      <w:pPr>
        <w:pStyle w:val="Heading3"/>
        <w:rPr>
          <w:lang w:val="en-GB"/>
        </w:rPr>
      </w:pPr>
      <w:bookmarkStart w:id="37" w:name="_Toc321747216"/>
      <w:r w:rsidRPr="00DD2E4C">
        <w:rPr>
          <w:lang w:val="en-GB"/>
        </w:rPr>
        <w:t>Waste</w:t>
      </w:r>
      <w:bookmarkEnd w:id="37"/>
    </w:p>
    <w:p w:rsidR="00744DA8" w:rsidRPr="00744DA8" w:rsidRDefault="00744DA8" w:rsidP="00744DA8">
      <w:r>
        <w:t>Waste from courts, offices and complexes are typically paper, cardboard, toner cartridges, and food waste. All facilities have standard office paper recycling arrangements. Some facilities have co-mingled recycling arrangements in place. Community action includes tree planting days with staff and community groups to offset our waste.</w:t>
      </w:r>
    </w:p>
    <w:p w:rsidR="002341C4" w:rsidRDefault="002341C4" w:rsidP="003507CC">
      <w:pPr>
        <w:pStyle w:val="Heading2"/>
      </w:pPr>
      <w:bookmarkStart w:id="38" w:name="_Toc494978558"/>
      <w:r w:rsidRPr="006E1897">
        <w:t>Freedom of Information</w:t>
      </w:r>
      <w:bookmarkEnd w:id="38"/>
      <w:r w:rsidRPr="006E1897">
        <w:t xml:space="preserve"> </w:t>
      </w:r>
    </w:p>
    <w:p w:rsidR="003507CC" w:rsidRPr="00F22A5D" w:rsidRDefault="003507CC" w:rsidP="003507CC">
      <w:r w:rsidRPr="00F22A5D">
        <w:t xml:space="preserve">The </w:t>
      </w:r>
      <w:r w:rsidRPr="003507CC">
        <w:rPr>
          <w:i/>
        </w:rPr>
        <w:t>Freedom of Information Act 1982</w:t>
      </w:r>
      <w:r w:rsidR="001A15AA">
        <w:t xml:space="preserve"> (Vic) </w:t>
      </w:r>
      <w:r w:rsidR="00203BB1">
        <w:t>allows the public the</w:t>
      </w:r>
      <w:r w:rsidRPr="00F22A5D">
        <w:t xml:space="preserve"> right of access to documents held by CSV. </w:t>
      </w:r>
    </w:p>
    <w:p w:rsidR="003507CC" w:rsidRPr="00F22A5D" w:rsidRDefault="003507CC" w:rsidP="003507CC"/>
    <w:p w:rsidR="003507CC" w:rsidRDefault="00203BB1" w:rsidP="003507CC">
      <w:r>
        <w:t>In 2016-17</w:t>
      </w:r>
      <w:r w:rsidR="003507CC">
        <w:t>, CSV received 5</w:t>
      </w:r>
      <w:r>
        <w:t>7</w:t>
      </w:r>
      <w:r w:rsidR="003507CC" w:rsidRPr="00F22A5D">
        <w:t xml:space="preserve"> Freedom of Information (FOI) app</w:t>
      </w:r>
      <w:r>
        <w:t xml:space="preserve">lications. Five were from the media, and 52 were from the general public. </w:t>
      </w:r>
    </w:p>
    <w:p w:rsidR="003507CC" w:rsidRDefault="003507CC" w:rsidP="003507CC"/>
    <w:p w:rsidR="00203BB1" w:rsidRDefault="00203BB1" w:rsidP="00203BB1">
      <w:r w:rsidRPr="00F22A5D">
        <w:lastRenderedPageBreak/>
        <w:t xml:space="preserve">Of the total requests received by CSV, </w:t>
      </w:r>
      <w:r>
        <w:t xml:space="preserve">the majority were for documents excluded from the FOI process. One applicant applied </w:t>
      </w:r>
      <w:r w:rsidRPr="00F22A5D">
        <w:t>to the FOI Commissioner</w:t>
      </w:r>
      <w:r>
        <w:t xml:space="preserve"> for review of a determination by CSV. The FOI Commissioner affirmed CSV’s decision. One applicant applied to VCAT and that request is still pending. </w:t>
      </w:r>
    </w:p>
    <w:p w:rsidR="003507CC" w:rsidRPr="00F22A5D" w:rsidRDefault="003507CC" w:rsidP="003507CC"/>
    <w:p w:rsidR="000B7945" w:rsidRDefault="00203BB1" w:rsidP="00744DA8">
      <w:r>
        <w:t>CSV processed 96</w:t>
      </w:r>
      <w:r w:rsidR="003507CC" w:rsidRPr="00F22A5D">
        <w:t xml:space="preserve"> per cent of the requests within the statutory requirements.</w:t>
      </w:r>
    </w:p>
    <w:p w:rsidR="000B7945" w:rsidRDefault="000B7945" w:rsidP="00744DA8"/>
    <w:p w:rsidR="005F300A" w:rsidRDefault="00203BB1" w:rsidP="000B7945">
      <w:pPr>
        <w:pStyle w:val="Caption"/>
      </w:pPr>
      <w:r w:rsidRPr="005C4B16">
        <w:t xml:space="preserve">Table </w:t>
      </w:r>
      <w:r w:rsidR="005C4B16" w:rsidRPr="005C4B16">
        <w:t>14</w:t>
      </w:r>
      <w:r w:rsidRPr="005C4B16">
        <w:t xml:space="preserve">: </w:t>
      </w:r>
      <w:r w:rsidR="005F300A" w:rsidRPr="005C4B16">
        <w:t>Freedom of Information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1E0" w:firstRow="1" w:lastRow="1" w:firstColumn="1" w:lastColumn="1" w:noHBand="0" w:noVBand="0"/>
      </w:tblPr>
      <w:tblGrid>
        <w:gridCol w:w="8241"/>
        <w:gridCol w:w="1387"/>
      </w:tblGrid>
      <w:tr w:rsidR="00203BB1" w:rsidRPr="008F4DB4" w:rsidTr="001A15AA">
        <w:trPr>
          <w:cantSplit/>
          <w:trHeight w:val="579"/>
        </w:trPr>
        <w:tc>
          <w:tcPr>
            <w:tcW w:w="0" w:type="auto"/>
            <w:shd w:val="clear" w:color="auto" w:fill="auto"/>
          </w:tcPr>
          <w:p w:rsidR="00203BB1" w:rsidRPr="008F4DB4" w:rsidRDefault="00203BB1" w:rsidP="009B4A1F">
            <w:pPr>
              <w:pStyle w:val="Tabletext"/>
              <w:rPr>
                <w:b/>
              </w:rPr>
            </w:pPr>
            <w:r w:rsidRPr="008F4DB4">
              <w:rPr>
                <w:b/>
              </w:rPr>
              <w:t>FOI Outcome</w:t>
            </w:r>
          </w:p>
        </w:tc>
        <w:tc>
          <w:tcPr>
            <w:tcW w:w="0" w:type="auto"/>
            <w:shd w:val="clear" w:color="auto" w:fill="auto"/>
          </w:tcPr>
          <w:p w:rsidR="00203BB1" w:rsidRPr="008F4DB4" w:rsidRDefault="00203BB1" w:rsidP="009B4A1F">
            <w:pPr>
              <w:pStyle w:val="Tabletext"/>
              <w:jc w:val="center"/>
              <w:rPr>
                <w:b/>
              </w:rPr>
            </w:pPr>
            <w:r w:rsidRPr="008F4DB4">
              <w:rPr>
                <w:b/>
              </w:rPr>
              <w:t>Number of requests</w:t>
            </w:r>
          </w:p>
        </w:tc>
      </w:tr>
      <w:tr w:rsidR="00203BB1" w:rsidRPr="009D29A7" w:rsidTr="001A15AA">
        <w:trPr>
          <w:cantSplit/>
          <w:trHeight w:val="794"/>
        </w:trPr>
        <w:tc>
          <w:tcPr>
            <w:tcW w:w="0" w:type="auto"/>
            <w:shd w:val="clear" w:color="auto" w:fill="auto"/>
          </w:tcPr>
          <w:p w:rsidR="00203BB1" w:rsidRPr="00532385" w:rsidRDefault="00203BB1" w:rsidP="00F07798">
            <w:pPr>
              <w:pStyle w:val="Tabletext"/>
              <w:rPr>
                <w:b/>
              </w:rPr>
            </w:pPr>
            <w:r w:rsidRPr="00532385">
              <w:rPr>
                <w:b/>
              </w:rPr>
              <w:t xml:space="preserve">Court documents excluded from the FOI process or documents that are publicly available or available to the public for a fee (sections 14(1)(a) and 14(1)(b) of the </w:t>
            </w:r>
            <w:r w:rsidRPr="00203BB1">
              <w:rPr>
                <w:b/>
              </w:rPr>
              <w:t>Freedom of Information Act</w:t>
            </w:r>
            <w:r w:rsidRPr="00532385">
              <w:rPr>
                <w:b/>
              </w:rPr>
              <w:t>)</w:t>
            </w:r>
          </w:p>
        </w:tc>
        <w:tc>
          <w:tcPr>
            <w:tcW w:w="0" w:type="auto"/>
            <w:shd w:val="clear" w:color="auto" w:fill="auto"/>
          </w:tcPr>
          <w:p w:rsidR="00203BB1" w:rsidRPr="00532385" w:rsidRDefault="00203BB1" w:rsidP="009B4A1F">
            <w:pPr>
              <w:pStyle w:val="Tabletext"/>
              <w:jc w:val="center"/>
              <w:rPr>
                <w:b/>
              </w:rPr>
            </w:pPr>
            <w:r>
              <w:rPr>
                <w:b/>
              </w:rPr>
              <w:t>42</w:t>
            </w:r>
          </w:p>
        </w:tc>
      </w:tr>
      <w:tr w:rsidR="00203BB1" w:rsidRPr="008F4DB4" w:rsidTr="001A15AA">
        <w:trPr>
          <w:cantSplit/>
        </w:trPr>
        <w:tc>
          <w:tcPr>
            <w:tcW w:w="0" w:type="auto"/>
            <w:shd w:val="clear" w:color="auto" w:fill="auto"/>
          </w:tcPr>
          <w:p w:rsidR="00203BB1" w:rsidRPr="008F4DB4" w:rsidRDefault="00203BB1" w:rsidP="009B4A1F">
            <w:pPr>
              <w:pStyle w:val="Tabletext"/>
              <w:rPr>
                <w:b/>
              </w:rPr>
            </w:pPr>
            <w:r>
              <w:rPr>
                <w:b/>
              </w:rPr>
              <w:t>Valid requests (application fee paid or waived) - total</w:t>
            </w:r>
          </w:p>
        </w:tc>
        <w:tc>
          <w:tcPr>
            <w:tcW w:w="0" w:type="auto"/>
            <w:shd w:val="clear" w:color="auto" w:fill="auto"/>
          </w:tcPr>
          <w:p w:rsidR="00203BB1" w:rsidRPr="008F4DB4" w:rsidRDefault="00203BB1" w:rsidP="009B4A1F">
            <w:pPr>
              <w:pStyle w:val="Tabletext"/>
              <w:jc w:val="center"/>
              <w:rPr>
                <w:b/>
              </w:rPr>
            </w:pPr>
            <w:r>
              <w:rPr>
                <w:b/>
              </w:rPr>
              <w:t>15</w:t>
            </w:r>
          </w:p>
        </w:tc>
      </w:tr>
      <w:tr w:rsidR="00203BB1" w:rsidRPr="008F4DB4" w:rsidTr="001A15AA">
        <w:trPr>
          <w:cantSplit/>
        </w:trPr>
        <w:tc>
          <w:tcPr>
            <w:tcW w:w="0" w:type="auto"/>
          </w:tcPr>
          <w:p w:rsidR="00203BB1" w:rsidRPr="008F4DB4" w:rsidRDefault="00203BB1" w:rsidP="001A15AA">
            <w:pPr>
              <w:pStyle w:val="Tabletext"/>
            </w:pPr>
            <w:r w:rsidRPr="008F4DB4">
              <w:t>Access granted in full</w:t>
            </w:r>
          </w:p>
        </w:tc>
        <w:tc>
          <w:tcPr>
            <w:tcW w:w="0" w:type="auto"/>
          </w:tcPr>
          <w:p w:rsidR="00203BB1" w:rsidRPr="008F4DB4" w:rsidRDefault="00203BB1" w:rsidP="009B4A1F">
            <w:pPr>
              <w:pStyle w:val="Tabletext"/>
              <w:jc w:val="center"/>
            </w:pPr>
            <w:r>
              <w:t>0</w:t>
            </w:r>
          </w:p>
        </w:tc>
      </w:tr>
      <w:tr w:rsidR="00203BB1" w:rsidRPr="008F4DB4" w:rsidTr="001A15AA">
        <w:trPr>
          <w:cantSplit/>
        </w:trPr>
        <w:tc>
          <w:tcPr>
            <w:tcW w:w="0" w:type="auto"/>
          </w:tcPr>
          <w:p w:rsidR="00203BB1" w:rsidRPr="008F4DB4" w:rsidRDefault="00203BB1" w:rsidP="001A15AA">
            <w:pPr>
              <w:pStyle w:val="Tabletext"/>
            </w:pPr>
            <w:r w:rsidRPr="008F4DB4">
              <w:t>Access granted in part</w:t>
            </w:r>
          </w:p>
        </w:tc>
        <w:tc>
          <w:tcPr>
            <w:tcW w:w="0" w:type="auto"/>
          </w:tcPr>
          <w:p w:rsidR="00203BB1" w:rsidRPr="008F4DB4" w:rsidRDefault="00203BB1" w:rsidP="009B4A1F">
            <w:pPr>
              <w:pStyle w:val="Tabletext"/>
              <w:jc w:val="center"/>
            </w:pPr>
            <w:r>
              <w:t>0</w:t>
            </w:r>
          </w:p>
        </w:tc>
      </w:tr>
      <w:tr w:rsidR="00203BB1" w:rsidRPr="008F4DB4" w:rsidTr="001A15AA">
        <w:trPr>
          <w:cantSplit/>
        </w:trPr>
        <w:tc>
          <w:tcPr>
            <w:tcW w:w="0" w:type="auto"/>
          </w:tcPr>
          <w:p w:rsidR="00203BB1" w:rsidRPr="008F4DB4" w:rsidRDefault="00203BB1" w:rsidP="001A15AA">
            <w:pPr>
              <w:pStyle w:val="Tabletext"/>
            </w:pPr>
            <w:r w:rsidRPr="008F4DB4">
              <w:t xml:space="preserve">Access denied </w:t>
            </w:r>
          </w:p>
        </w:tc>
        <w:tc>
          <w:tcPr>
            <w:tcW w:w="0" w:type="auto"/>
          </w:tcPr>
          <w:p w:rsidR="00203BB1" w:rsidRPr="008F4DB4" w:rsidRDefault="00203BB1" w:rsidP="009B4A1F">
            <w:pPr>
              <w:pStyle w:val="Tabletext"/>
              <w:jc w:val="center"/>
            </w:pPr>
            <w:r>
              <w:t>4</w:t>
            </w:r>
          </w:p>
        </w:tc>
      </w:tr>
      <w:tr w:rsidR="00203BB1" w:rsidRPr="008F4DB4" w:rsidTr="001A15AA">
        <w:trPr>
          <w:cantSplit/>
        </w:trPr>
        <w:tc>
          <w:tcPr>
            <w:tcW w:w="0" w:type="auto"/>
          </w:tcPr>
          <w:p w:rsidR="00203BB1" w:rsidRPr="008F4DB4" w:rsidRDefault="00203BB1" w:rsidP="001A15AA">
            <w:pPr>
              <w:pStyle w:val="Tabletext"/>
            </w:pPr>
            <w:r>
              <w:t>No document exists/</w:t>
            </w:r>
            <w:r w:rsidRPr="008F4DB4">
              <w:t>No document located</w:t>
            </w:r>
          </w:p>
        </w:tc>
        <w:tc>
          <w:tcPr>
            <w:tcW w:w="0" w:type="auto"/>
          </w:tcPr>
          <w:p w:rsidR="00203BB1" w:rsidRPr="008F4DB4" w:rsidRDefault="00203BB1" w:rsidP="009B4A1F">
            <w:pPr>
              <w:pStyle w:val="Tabletext"/>
              <w:jc w:val="center"/>
            </w:pPr>
            <w:r>
              <w:t>2</w:t>
            </w:r>
          </w:p>
        </w:tc>
      </w:tr>
      <w:tr w:rsidR="00203BB1" w:rsidRPr="008F4DB4" w:rsidTr="001A15AA">
        <w:trPr>
          <w:cantSplit/>
        </w:trPr>
        <w:tc>
          <w:tcPr>
            <w:tcW w:w="0" w:type="auto"/>
          </w:tcPr>
          <w:p w:rsidR="00203BB1" w:rsidRPr="008F4DB4" w:rsidRDefault="00203BB1" w:rsidP="001A15AA">
            <w:pPr>
              <w:pStyle w:val="Tabletext"/>
            </w:pPr>
            <w:r w:rsidRPr="008F4DB4">
              <w:t>Transferred to other agency</w:t>
            </w:r>
          </w:p>
        </w:tc>
        <w:tc>
          <w:tcPr>
            <w:tcW w:w="0" w:type="auto"/>
          </w:tcPr>
          <w:p w:rsidR="00203BB1" w:rsidRPr="008F4DB4" w:rsidRDefault="00203BB1" w:rsidP="009B4A1F">
            <w:pPr>
              <w:pStyle w:val="Tabletext"/>
              <w:jc w:val="center"/>
            </w:pPr>
            <w:r>
              <w:t>1</w:t>
            </w:r>
          </w:p>
        </w:tc>
      </w:tr>
      <w:tr w:rsidR="00203BB1" w:rsidRPr="008F4DB4" w:rsidTr="001A15AA">
        <w:trPr>
          <w:cantSplit/>
        </w:trPr>
        <w:tc>
          <w:tcPr>
            <w:tcW w:w="0" w:type="auto"/>
          </w:tcPr>
          <w:p w:rsidR="00203BB1" w:rsidRDefault="00203BB1" w:rsidP="001A15AA">
            <w:pPr>
              <w:pStyle w:val="Tabletext"/>
              <w:tabs>
                <w:tab w:val="left" w:pos="794"/>
              </w:tabs>
            </w:pPr>
            <w:r>
              <w:t>Refused without identifying documents</w:t>
            </w:r>
          </w:p>
        </w:tc>
        <w:tc>
          <w:tcPr>
            <w:tcW w:w="0" w:type="auto"/>
          </w:tcPr>
          <w:p w:rsidR="00203BB1" w:rsidRDefault="00203BB1" w:rsidP="009B4A1F">
            <w:pPr>
              <w:pStyle w:val="Tabletext"/>
              <w:jc w:val="center"/>
            </w:pPr>
            <w:r>
              <w:t>2</w:t>
            </w:r>
          </w:p>
        </w:tc>
      </w:tr>
      <w:tr w:rsidR="00203BB1" w:rsidRPr="008F4DB4" w:rsidTr="001A15AA">
        <w:trPr>
          <w:cantSplit/>
        </w:trPr>
        <w:tc>
          <w:tcPr>
            <w:tcW w:w="0" w:type="auto"/>
          </w:tcPr>
          <w:p w:rsidR="00203BB1" w:rsidRPr="008F4DB4" w:rsidRDefault="00203BB1" w:rsidP="001A15AA">
            <w:pPr>
              <w:pStyle w:val="Tabletext"/>
            </w:pPr>
            <w:r w:rsidRPr="008F4DB4">
              <w:t>Not proceeded with</w:t>
            </w:r>
          </w:p>
        </w:tc>
        <w:tc>
          <w:tcPr>
            <w:tcW w:w="0" w:type="auto"/>
          </w:tcPr>
          <w:p w:rsidR="00203BB1" w:rsidRPr="008F4DB4" w:rsidRDefault="00203BB1" w:rsidP="009B4A1F">
            <w:pPr>
              <w:pStyle w:val="Tabletext"/>
              <w:jc w:val="center"/>
            </w:pPr>
            <w:r>
              <w:t>5</w:t>
            </w:r>
          </w:p>
        </w:tc>
      </w:tr>
      <w:tr w:rsidR="00203BB1" w:rsidRPr="008F4DB4" w:rsidTr="001A15AA">
        <w:trPr>
          <w:cantSplit/>
        </w:trPr>
        <w:tc>
          <w:tcPr>
            <w:tcW w:w="0" w:type="auto"/>
          </w:tcPr>
          <w:p w:rsidR="00203BB1" w:rsidRPr="008F4DB4" w:rsidRDefault="00203BB1" w:rsidP="001A15AA">
            <w:pPr>
              <w:pStyle w:val="Tabletext"/>
            </w:pPr>
            <w:r>
              <w:t>I</w:t>
            </w:r>
            <w:r w:rsidRPr="008F4DB4">
              <w:t>n process</w:t>
            </w:r>
          </w:p>
        </w:tc>
        <w:tc>
          <w:tcPr>
            <w:tcW w:w="0" w:type="auto"/>
          </w:tcPr>
          <w:p w:rsidR="00203BB1" w:rsidRPr="008F4DB4" w:rsidRDefault="00203BB1" w:rsidP="009B4A1F">
            <w:pPr>
              <w:pStyle w:val="Tabletext"/>
              <w:jc w:val="center"/>
            </w:pPr>
            <w:r>
              <w:t>1</w:t>
            </w:r>
          </w:p>
        </w:tc>
      </w:tr>
      <w:tr w:rsidR="00203BB1" w:rsidRPr="00532385" w:rsidTr="001A15AA">
        <w:trPr>
          <w:cantSplit/>
          <w:trHeight w:val="317"/>
        </w:trPr>
        <w:tc>
          <w:tcPr>
            <w:tcW w:w="0" w:type="auto"/>
            <w:shd w:val="clear" w:color="auto" w:fill="auto"/>
          </w:tcPr>
          <w:p w:rsidR="00203BB1" w:rsidRPr="001E6435" w:rsidRDefault="00203BB1" w:rsidP="009B4A1F">
            <w:pPr>
              <w:pStyle w:val="Tabletext"/>
              <w:rPr>
                <w:b/>
              </w:rPr>
            </w:pPr>
            <w:r w:rsidRPr="001E6435">
              <w:rPr>
                <w:b/>
              </w:rPr>
              <w:t>Total requests received</w:t>
            </w:r>
          </w:p>
        </w:tc>
        <w:tc>
          <w:tcPr>
            <w:tcW w:w="0" w:type="auto"/>
            <w:shd w:val="clear" w:color="auto" w:fill="auto"/>
          </w:tcPr>
          <w:p w:rsidR="00203BB1" w:rsidRPr="001E6435" w:rsidRDefault="00203BB1" w:rsidP="009B4A1F">
            <w:pPr>
              <w:pStyle w:val="Tabletext"/>
              <w:jc w:val="center"/>
              <w:rPr>
                <w:b/>
              </w:rPr>
            </w:pPr>
            <w:r>
              <w:rPr>
                <w:b/>
              </w:rPr>
              <w:t>57</w:t>
            </w:r>
          </w:p>
        </w:tc>
      </w:tr>
    </w:tbl>
    <w:p w:rsidR="003507CC" w:rsidRPr="00A7441B" w:rsidRDefault="003507CC" w:rsidP="000B7945">
      <w:pPr>
        <w:pStyle w:val="Heading3"/>
      </w:pPr>
      <w:r>
        <w:t>C</w:t>
      </w:r>
      <w:r w:rsidR="00013DB0">
        <w:t>ourt D</w:t>
      </w:r>
      <w:r w:rsidRPr="00A7441B">
        <w:t>ocuments</w:t>
      </w:r>
    </w:p>
    <w:p w:rsidR="003507CC" w:rsidRPr="00A7441B" w:rsidRDefault="003507CC" w:rsidP="003507CC">
      <w:r w:rsidRPr="00A7441B">
        <w:rPr>
          <w:iCs/>
        </w:rPr>
        <w:t xml:space="preserve">The </w:t>
      </w:r>
      <w:r w:rsidR="00346C12">
        <w:t>Freedom of Information Act</w:t>
      </w:r>
      <w:r w:rsidR="00346C12" w:rsidRPr="00A7441B">
        <w:t xml:space="preserve"> </w:t>
      </w:r>
      <w:r w:rsidRPr="00A7441B">
        <w:t xml:space="preserve">does not apply to documents held by courts in respect of their judicial functions (section 6 of the </w:t>
      </w:r>
      <w:r w:rsidR="00346C12">
        <w:t>Freedom of Information Act</w:t>
      </w:r>
      <w:r w:rsidRPr="00A7441B">
        <w:t xml:space="preserve">). </w:t>
      </w:r>
      <w:r w:rsidR="00346C12" w:rsidRPr="00A7441B">
        <w:t>Each court or tribunal has its own arrangemen</w:t>
      </w:r>
      <w:r w:rsidR="00346C12">
        <w:t>ts for accessing such documents and applicants are encouraged to contact the relevant court or tribunal in the first instance for these type of documents. Contact details can be found on each court or tribunal’s website.</w:t>
      </w:r>
    </w:p>
    <w:p w:rsidR="003507CC" w:rsidRPr="00A7441B" w:rsidRDefault="00013DB0" w:rsidP="000B7945">
      <w:pPr>
        <w:pStyle w:val="Heading3"/>
      </w:pPr>
      <w:r>
        <w:t>Making a R</w:t>
      </w:r>
      <w:r w:rsidR="003507CC" w:rsidRPr="00A7441B">
        <w:t>equest</w:t>
      </w:r>
    </w:p>
    <w:p w:rsidR="00346C12" w:rsidRPr="00346C12" w:rsidRDefault="00346C12" w:rsidP="00346C12">
      <w:r w:rsidRPr="00346C12">
        <w:t xml:space="preserve">Access to documents available under FOI may be obtained through written request to CSV FOI, as detailed in section 17 of the </w:t>
      </w:r>
      <w:r>
        <w:t>Freedom of Information Act</w:t>
      </w:r>
      <w:r w:rsidRPr="00346C12">
        <w:rPr>
          <w:iCs/>
        </w:rPr>
        <w:t>.</w:t>
      </w:r>
      <w:r w:rsidRPr="00346C12">
        <w:t xml:space="preserve"> </w:t>
      </w:r>
    </w:p>
    <w:p w:rsidR="003507CC" w:rsidRPr="00A7441B" w:rsidRDefault="003507CC" w:rsidP="003507CC"/>
    <w:p w:rsidR="003507CC" w:rsidRPr="00A7441B" w:rsidRDefault="003507CC" w:rsidP="003507CC">
      <w:r w:rsidRPr="00A7441B">
        <w:t>Requests for documents in the possession of CSV should be made in writing, accompanied by the application fee or request for a fee waiver, and be addressed to:</w:t>
      </w:r>
    </w:p>
    <w:p w:rsidR="003507CC" w:rsidRPr="00A7441B" w:rsidRDefault="003507CC" w:rsidP="003507CC"/>
    <w:p w:rsidR="003507CC" w:rsidRPr="00A7441B" w:rsidRDefault="003507CC" w:rsidP="003507CC">
      <w:r w:rsidRPr="00A7441B">
        <w:t>Court Services Victoria</w:t>
      </w:r>
    </w:p>
    <w:p w:rsidR="003507CC" w:rsidRPr="00A7441B" w:rsidRDefault="003507CC" w:rsidP="003507CC">
      <w:r w:rsidRPr="00A7441B">
        <w:t>Freedom of Information</w:t>
      </w:r>
    </w:p>
    <w:p w:rsidR="003507CC" w:rsidRPr="00A7441B" w:rsidRDefault="003507CC" w:rsidP="003507CC">
      <w:r w:rsidRPr="00A7441B">
        <w:t>PO Box 13193</w:t>
      </w:r>
    </w:p>
    <w:p w:rsidR="003507CC" w:rsidRPr="00A7441B" w:rsidRDefault="00346C12" w:rsidP="003507CC">
      <w:r>
        <w:t xml:space="preserve">Law Courts Vic </w:t>
      </w:r>
      <w:r w:rsidR="003507CC" w:rsidRPr="00A7441B">
        <w:t>8010</w:t>
      </w:r>
    </w:p>
    <w:p w:rsidR="003507CC" w:rsidRPr="00A7441B" w:rsidRDefault="003507CC" w:rsidP="003507CC">
      <w:r w:rsidRPr="00A7441B">
        <w:t>Email: foi@courts.vic.gov.au</w:t>
      </w:r>
    </w:p>
    <w:p w:rsidR="003507CC" w:rsidRPr="00A7441B" w:rsidRDefault="003507CC" w:rsidP="003507CC"/>
    <w:p w:rsidR="003507CC" w:rsidRPr="00A7441B" w:rsidRDefault="003507CC" w:rsidP="003507CC">
      <w:r w:rsidRPr="00A7441B">
        <w:t xml:space="preserve">Requests can also be lodged online at </w:t>
      </w:r>
      <w:hyperlink r:id="rId13" w:history="1">
        <w:r w:rsidRPr="00A7441B">
          <w:t>www.foi.vic.gov.au</w:t>
        </w:r>
      </w:hyperlink>
      <w:r w:rsidRPr="00A7441B">
        <w:t>.</w:t>
      </w:r>
    </w:p>
    <w:p w:rsidR="003507CC" w:rsidRPr="00A7441B" w:rsidRDefault="003507CC" w:rsidP="003507CC"/>
    <w:p w:rsidR="003507CC" w:rsidRPr="00A7441B" w:rsidRDefault="003507CC" w:rsidP="003507CC">
      <w:r w:rsidRPr="00A7441B">
        <w:t>Access charges may also apply once documents have been processed and a decision</w:t>
      </w:r>
      <w:r w:rsidR="00346C12">
        <w:t xml:space="preserve"> on access is made (e.g. </w:t>
      </w:r>
      <w:r w:rsidRPr="00A7441B">
        <w:t xml:space="preserve">photocopying </w:t>
      </w:r>
      <w:r w:rsidR="00346C12">
        <w:t xml:space="preserve">or </w:t>
      </w:r>
      <w:r w:rsidRPr="00A7441B">
        <w:t>search and retrieval charges</w:t>
      </w:r>
      <w:r w:rsidR="00346C12">
        <w:t>)</w:t>
      </w:r>
      <w:r w:rsidRPr="00A7441B">
        <w:t xml:space="preserve">. </w:t>
      </w:r>
    </w:p>
    <w:p w:rsidR="003507CC" w:rsidRPr="00A7441B" w:rsidRDefault="003507CC" w:rsidP="003507CC"/>
    <w:p w:rsidR="00DD7624" w:rsidRDefault="003507CC" w:rsidP="003507CC">
      <w:r w:rsidRPr="00A7441B">
        <w:t xml:space="preserve">Further information regarding </w:t>
      </w:r>
      <w:r w:rsidR="00346C12">
        <w:t>FOI</w:t>
      </w:r>
      <w:r w:rsidRPr="00A7441B">
        <w:t xml:space="preserve"> can be found at </w:t>
      </w:r>
      <w:hyperlink r:id="rId14" w:history="1">
        <w:r w:rsidRPr="00A7441B">
          <w:t>www.foi.vic.gov.au</w:t>
        </w:r>
      </w:hyperlink>
      <w:r w:rsidRPr="00A7441B">
        <w:t>.</w:t>
      </w:r>
      <w:r w:rsidR="000941A1">
        <w:t xml:space="preserve"> </w:t>
      </w:r>
      <w:r w:rsidR="00DD7624">
        <w:t xml:space="preserve">CSV’s Part II Information Statement can be found at www.courts.vic.gov.au. </w:t>
      </w:r>
    </w:p>
    <w:p w:rsidR="005A47D0" w:rsidRPr="00636BE5" w:rsidRDefault="005A47D0" w:rsidP="005A47D0">
      <w:pPr>
        <w:pStyle w:val="Heading2"/>
      </w:pPr>
      <w:bookmarkStart w:id="39" w:name="_Toc494978559"/>
      <w:r w:rsidRPr="00636BE5">
        <w:lastRenderedPageBreak/>
        <w:t>Risk Management Attestation</w:t>
      </w:r>
      <w:bookmarkEnd w:id="39"/>
      <w:r w:rsidRPr="00636BE5">
        <w:t xml:space="preserve"> </w:t>
      </w:r>
    </w:p>
    <w:p w:rsidR="00636BE5" w:rsidRPr="000B7945" w:rsidRDefault="00636BE5" w:rsidP="000B7945">
      <w:r w:rsidRPr="000B7945">
        <w:t>Standing Direction 3.7.1 made under the Financial Management Act 1994 requires public sector agencies to provide a statement of attestation of compliance with the mandatory requirements of the Victorian Government Risk Management Framework, which is verified by its Audit Committee.</w:t>
      </w:r>
    </w:p>
    <w:p w:rsidR="00636BE5" w:rsidRPr="000B7945" w:rsidRDefault="00636BE5" w:rsidP="000B7945"/>
    <w:p w:rsidR="00636BE5" w:rsidRPr="000B7945" w:rsidRDefault="00636BE5" w:rsidP="000B7945">
      <w:r w:rsidRPr="000B7945">
        <w:t>The Audit and Risk Portfolio Committee of CSV has considered a statement by the Chief Executive Officer on compliance with the Victorian Government Risk Management Framework, the internal attestation process and independent assessments from Internal Audit. The Chief Executive Officer has indicated that for the 2016/17 financial year CSV has partially complied with the risk management requirements and fully complied with the insurance requirements of the Victorian Government Risk Management Framework. The Audit and Risk Portfolio Committee concurs with the conclusion reached by the Chief Executive Officer.</w:t>
      </w:r>
    </w:p>
    <w:p w:rsidR="00636BE5" w:rsidRPr="000B7945" w:rsidRDefault="00636BE5" w:rsidP="000B7945"/>
    <w:p w:rsidR="00636BE5" w:rsidRPr="000B7945" w:rsidRDefault="00636BE5" w:rsidP="000B7945">
      <w:r w:rsidRPr="000B7945">
        <w:t>CSV is strongly committed to continuous improvement. The partial compliance for risk management is due primarily to an identified need to improve the quality of risk information captured and provided to the Audit and Risk Portfolio Committee to enable it to better oversight risk. It also reflects the need for a greater emphasis and consideration to be placed on managing inter-agency and State significant risks. The necessary remedial actions will be put in place over the course of the next year.</w:t>
      </w:r>
    </w:p>
    <w:p w:rsidR="00636BE5" w:rsidRPr="000B7945" w:rsidRDefault="00636BE5" w:rsidP="000B7945"/>
    <w:p w:rsidR="00636BE5" w:rsidRPr="000B7945" w:rsidRDefault="00636BE5" w:rsidP="000B7945">
      <w:r w:rsidRPr="000B7945">
        <w:t>On this basis I certify that CSV has partially complied with the mandatory risk management requirements and fully complied with the mandatory insurance requirements of the Victorian Government Risk Management Framework as specified in Ministerial Standing Direction 3.7.1 – Risk Manag</w:t>
      </w:r>
      <w:r w:rsidR="00634F47" w:rsidRPr="000B7945">
        <w:t xml:space="preserve">ement Framework and Processes. </w:t>
      </w:r>
      <w:r w:rsidRPr="000B7945">
        <w:t>The Audit and Risk Portfolio Committee has verified this.</w:t>
      </w:r>
    </w:p>
    <w:p w:rsidR="005A47D0" w:rsidRDefault="005A47D0" w:rsidP="005A47D0">
      <w:pPr>
        <w:rPr>
          <w:highlight w:val="yellow"/>
        </w:rPr>
      </w:pPr>
    </w:p>
    <w:p w:rsidR="00636BE5" w:rsidRPr="00886B9A" w:rsidRDefault="00636BE5" w:rsidP="005A47D0">
      <w:pPr>
        <w:rPr>
          <w:highlight w:val="yellow"/>
        </w:rPr>
      </w:pPr>
    </w:p>
    <w:p w:rsidR="005A47D0" w:rsidRPr="00636BE5" w:rsidRDefault="005A47D0" w:rsidP="005A47D0">
      <w:pPr>
        <w:rPr>
          <w:b/>
        </w:rPr>
      </w:pPr>
      <w:r w:rsidRPr="00636BE5">
        <w:rPr>
          <w:b/>
        </w:rPr>
        <w:t>The Hon. Marilyn Warren AC</w:t>
      </w:r>
    </w:p>
    <w:p w:rsidR="005A47D0" w:rsidRPr="00636BE5" w:rsidRDefault="005A47D0" w:rsidP="005A47D0">
      <w:pPr>
        <w:rPr>
          <w:b/>
        </w:rPr>
      </w:pPr>
      <w:r w:rsidRPr="00636BE5">
        <w:rPr>
          <w:b/>
        </w:rPr>
        <w:t>Chair of the Courts Council</w:t>
      </w:r>
    </w:p>
    <w:p w:rsidR="005A47D0" w:rsidRPr="00636BE5" w:rsidRDefault="005A47D0" w:rsidP="005A47D0">
      <w:pPr>
        <w:rPr>
          <w:b/>
        </w:rPr>
      </w:pPr>
      <w:r w:rsidRPr="00636BE5">
        <w:rPr>
          <w:b/>
        </w:rPr>
        <w:t>Court Services Victoria</w:t>
      </w:r>
    </w:p>
    <w:p w:rsidR="005459C6" w:rsidRPr="005A47D0" w:rsidRDefault="00316FB0" w:rsidP="005A47D0">
      <w:r>
        <w:t>20 September 2017</w:t>
      </w:r>
    </w:p>
    <w:p w:rsidR="002D3822" w:rsidRDefault="002D3822" w:rsidP="00CE2389">
      <w:pPr>
        <w:rPr>
          <w:highlight w:val="yellow"/>
        </w:rPr>
      </w:pPr>
    </w:p>
    <w:p w:rsidR="00EB4C3C" w:rsidRDefault="000B7945" w:rsidP="00EB4C3C">
      <w:pPr>
        <w:pStyle w:val="Heading2"/>
      </w:pPr>
      <w:r>
        <w:br w:type="page"/>
      </w:r>
      <w:bookmarkStart w:id="40" w:name="_Toc494978560"/>
      <w:r w:rsidR="00EB4C3C" w:rsidRPr="00D44CFD">
        <w:lastRenderedPageBreak/>
        <w:t>Statement of availability of other information</w:t>
      </w:r>
      <w:bookmarkEnd w:id="40"/>
      <w:r w:rsidR="00EB4C3C" w:rsidRPr="006E1897">
        <w:t xml:space="preserve"> </w:t>
      </w:r>
    </w:p>
    <w:p w:rsidR="00493ADA" w:rsidRPr="00456361" w:rsidRDefault="00493ADA" w:rsidP="00493ADA">
      <w:pPr>
        <w:rPr>
          <w:sz w:val="20"/>
        </w:rPr>
      </w:pPr>
      <w:r w:rsidRPr="00456361">
        <w:t xml:space="preserve">Under Financial Reporting </w:t>
      </w:r>
      <w:r w:rsidRPr="00640C77">
        <w:t xml:space="preserve">Direction (FRD) </w:t>
      </w:r>
      <w:r w:rsidR="00316FB0">
        <w:t>22H</w:t>
      </w:r>
      <w:r w:rsidR="00616655" w:rsidRPr="00456361">
        <w:t xml:space="preserve"> </w:t>
      </w:r>
      <w:r w:rsidRPr="00456361">
        <w:t>Standard Disclosures in the Report of Operations, CSV is required to retain the fo</w:t>
      </w:r>
      <w:r w:rsidR="00A0189C" w:rsidRPr="00456361">
        <w:t>llowing information for the 201</w:t>
      </w:r>
      <w:r w:rsidR="00886B9A">
        <w:t>6-17</w:t>
      </w:r>
      <w:r w:rsidRPr="00456361">
        <w:t xml:space="preserve"> financial year and make it available upon request (subject to freedom of information requirements, if applicable)</w:t>
      </w:r>
      <w:r w:rsidR="00886B9A">
        <w:t>.</w:t>
      </w:r>
    </w:p>
    <w:p w:rsidR="00493ADA" w:rsidRPr="00456361" w:rsidRDefault="00886B9A" w:rsidP="00BC10B9">
      <w:pPr>
        <w:pStyle w:val="BodyText"/>
        <w:numPr>
          <w:ilvl w:val="0"/>
          <w:numId w:val="15"/>
        </w:numPr>
        <w:spacing w:before="240" w:after="240"/>
        <w:ind w:left="709"/>
      </w:pPr>
      <w:r>
        <w:t>A</w:t>
      </w:r>
      <w:r w:rsidR="00493ADA" w:rsidRPr="00456361">
        <w:t xml:space="preserve"> statement that declarations of pecuniary interests have been duly com</w:t>
      </w:r>
      <w:r w:rsidR="002D5DEA">
        <w:t>pleted by all relevant officers</w:t>
      </w:r>
      <w:r>
        <w:t>.</w:t>
      </w:r>
    </w:p>
    <w:p w:rsidR="00493ADA" w:rsidRPr="00456361" w:rsidRDefault="00886B9A" w:rsidP="00BC10B9">
      <w:pPr>
        <w:pStyle w:val="BodyText"/>
        <w:numPr>
          <w:ilvl w:val="0"/>
          <w:numId w:val="15"/>
        </w:numPr>
        <w:spacing w:before="240" w:after="240"/>
        <w:ind w:left="709"/>
      </w:pPr>
      <w:r>
        <w:t>D</w:t>
      </w:r>
      <w:r w:rsidR="00493ADA" w:rsidRPr="00456361">
        <w:t>etails of shares held by a senior officer as nominee or held beneficially in a st</w:t>
      </w:r>
      <w:r w:rsidR="002D5DEA">
        <w:t>atutory authority or subsidiary</w:t>
      </w:r>
      <w:r>
        <w:t>.</w:t>
      </w:r>
    </w:p>
    <w:p w:rsidR="00493ADA" w:rsidRPr="00456361" w:rsidRDefault="00886B9A" w:rsidP="00BC10B9">
      <w:pPr>
        <w:pStyle w:val="BodyText"/>
        <w:numPr>
          <w:ilvl w:val="0"/>
          <w:numId w:val="15"/>
        </w:numPr>
        <w:spacing w:before="240" w:after="240"/>
        <w:ind w:left="709"/>
      </w:pPr>
      <w:r>
        <w:t>D</w:t>
      </w:r>
      <w:r w:rsidR="00493ADA" w:rsidRPr="00456361">
        <w:t>etails of publications produced by CSV about itself</w:t>
      </w:r>
      <w:r w:rsidR="002D5DEA">
        <w:t>, and how these can be obtained</w:t>
      </w:r>
      <w:r>
        <w:t>.</w:t>
      </w:r>
    </w:p>
    <w:p w:rsidR="00493ADA" w:rsidRPr="00456361" w:rsidRDefault="00886B9A" w:rsidP="00BC10B9">
      <w:pPr>
        <w:pStyle w:val="BodyText"/>
        <w:numPr>
          <w:ilvl w:val="0"/>
          <w:numId w:val="15"/>
        </w:numPr>
        <w:spacing w:before="240" w:after="240"/>
        <w:ind w:left="709"/>
      </w:pPr>
      <w:r>
        <w:t>D</w:t>
      </w:r>
      <w:r w:rsidR="00493ADA" w:rsidRPr="00456361">
        <w:t xml:space="preserve">etails of changes in prices, fees, charges, </w:t>
      </w:r>
      <w:r w:rsidR="002D5DEA">
        <w:t>rates and levies charged by CSV</w:t>
      </w:r>
      <w:r>
        <w:t>.</w:t>
      </w:r>
    </w:p>
    <w:p w:rsidR="00493ADA" w:rsidRPr="00456361" w:rsidRDefault="00886B9A" w:rsidP="00BC10B9">
      <w:pPr>
        <w:pStyle w:val="BodyText"/>
        <w:numPr>
          <w:ilvl w:val="0"/>
          <w:numId w:val="15"/>
        </w:numPr>
        <w:spacing w:before="240" w:after="240"/>
        <w:ind w:left="709"/>
      </w:pPr>
      <w:r>
        <w:t>D</w:t>
      </w:r>
      <w:r w:rsidR="00493ADA" w:rsidRPr="00456361">
        <w:t>etails of any major exte</w:t>
      </w:r>
      <w:r w:rsidR="002D5DEA">
        <w:t>rnal reviews carried out on CSV</w:t>
      </w:r>
      <w:r>
        <w:t>.</w:t>
      </w:r>
    </w:p>
    <w:p w:rsidR="00493ADA" w:rsidRPr="00456361" w:rsidRDefault="006602C7" w:rsidP="00BC10B9">
      <w:pPr>
        <w:pStyle w:val="BodyText"/>
        <w:numPr>
          <w:ilvl w:val="0"/>
          <w:numId w:val="15"/>
        </w:numPr>
        <w:spacing w:before="240" w:after="240"/>
        <w:ind w:left="709"/>
      </w:pPr>
      <w:r>
        <w:t>D</w:t>
      </w:r>
      <w:r w:rsidR="00493ADA" w:rsidRPr="00456361">
        <w:t xml:space="preserve">etails of major research and development </w:t>
      </w:r>
      <w:r w:rsidR="002D5DEA">
        <w:t>activities undertaken by CSV</w:t>
      </w:r>
      <w:r>
        <w:t>.</w:t>
      </w:r>
    </w:p>
    <w:p w:rsidR="00493ADA" w:rsidRPr="00456361" w:rsidRDefault="006602C7" w:rsidP="00BC10B9">
      <w:pPr>
        <w:pStyle w:val="BodyText"/>
        <w:numPr>
          <w:ilvl w:val="0"/>
          <w:numId w:val="15"/>
        </w:numPr>
        <w:spacing w:before="240" w:after="240"/>
        <w:ind w:left="709"/>
      </w:pPr>
      <w:r>
        <w:t>D</w:t>
      </w:r>
      <w:r w:rsidR="00493ADA" w:rsidRPr="00456361">
        <w:t>etails of overseas visits undertaken including a summary of the object</w:t>
      </w:r>
      <w:r w:rsidR="002D5DEA">
        <w:t>ives and outcomes of each visit</w:t>
      </w:r>
      <w:r>
        <w:t>.</w:t>
      </w:r>
    </w:p>
    <w:p w:rsidR="00493ADA" w:rsidRPr="00456361" w:rsidRDefault="006602C7" w:rsidP="00BC10B9">
      <w:pPr>
        <w:pStyle w:val="BodyText"/>
        <w:numPr>
          <w:ilvl w:val="0"/>
          <w:numId w:val="15"/>
        </w:numPr>
        <w:spacing w:before="240" w:after="240"/>
        <w:ind w:left="709"/>
      </w:pPr>
      <w:r>
        <w:t>D</w:t>
      </w:r>
      <w:r w:rsidR="00493ADA" w:rsidRPr="00456361">
        <w:t>etails of major promotional, public relations and marketing activities undertaken by CSV to develop community aw</w:t>
      </w:r>
      <w:r w:rsidR="002D5DEA">
        <w:t>areness of CSV and its services</w:t>
      </w:r>
      <w:r>
        <w:t>.</w:t>
      </w:r>
    </w:p>
    <w:p w:rsidR="00493ADA" w:rsidRPr="00456361" w:rsidRDefault="006602C7" w:rsidP="00BC10B9">
      <w:pPr>
        <w:pStyle w:val="BodyText"/>
        <w:numPr>
          <w:ilvl w:val="0"/>
          <w:numId w:val="15"/>
        </w:numPr>
        <w:spacing w:before="240" w:after="240"/>
        <w:ind w:left="709"/>
      </w:pPr>
      <w:r>
        <w:t>D</w:t>
      </w:r>
      <w:r w:rsidR="00493ADA" w:rsidRPr="00456361">
        <w:t>etails of assessments and measures undertaken to improve the occupational</w:t>
      </w:r>
      <w:r w:rsidR="002D5DEA">
        <w:t xml:space="preserve"> health and safety of employees</w:t>
      </w:r>
      <w:r>
        <w:t>.</w:t>
      </w:r>
    </w:p>
    <w:p w:rsidR="00493ADA" w:rsidRPr="00456361" w:rsidRDefault="006602C7" w:rsidP="00BC10B9">
      <w:pPr>
        <w:pStyle w:val="BodyText"/>
        <w:numPr>
          <w:ilvl w:val="0"/>
          <w:numId w:val="15"/>
        </w:numPr>
        <w:spacing w:before="240" w:after="240"/>
        <w:ind w:left="709"/>
      </w:pPr>
      <w:r>
        <w:t>A</w:t>
      </w:r>
      <w:r w:rsidR="00493ADA" w:rsidRPr="00456361">
        <w:t xml:space="preserve"> general statement on industrial relations within CSV and details of time lost through in</w:t>
      </w:r>
      <w:r w:rsidR="002D5DEA">
        <w:t>dustrial accidents and disputes</w:t>
      </w:r>
      <w:r w:rsidR="00C76B83">
        <w:t>.</w:t>
      </w:r>
    </w:p>
    <w:p w:rsidR="00493ADA" w:rsidRPr="00456361" w:rsidRDefault="00C76B83" w:rsidP="00BC10B9">
      <w:pPr>
        <w:pStyle w:val="BodyText"/>
        <w:numPr>
          <w:ilvl w:val="0"/>
          <w:numId w:val="15"/>
        </w:numPr>
        <w:spacing w:before="240" w:after="240"/>
        <w:ind w:left="709"/>
      </w:pPr>
      <w:r>
        <w:t>A</w:t>
      </w:r>
      <w:r w:rsidR="00493ADA" w:rsidRPr="00456361">
        <w:t xml:space="preserve"> list of major committees sponsored by CSV, the purposes of each committee and the extent to which </w:t>
      </w:r>
      <w:r w:rsidR="002D5DEA">
        <w:t>the purposes have been achieved</w:t>
      </w:r>
      <w:r>
        <w:t>.</w:t>
      </w:r>
    </w:p>
    <w:p w:rsidR="00493ADA" w:rsidRPr="00456361" w:rsidRDefault="00C76B83" w:rsidP="00BC10B9">
      <w:pPr>
        <w:pStyle w:val="BodyText"/>
        <w:numPr>
          <w:ilvl w:val="0"/>
          <w:numId w:val="15"/>
        </w:numPr>
        <w:spacing w:before="240" w:after="240"/>
        <w:ind w:left="709"/>
      </w:pPr>
      <w:r>
        <w:t>D</w:t>
      </w:r>
      <w:r w:rsidR="00493ADA" w:rsidRPr="00456361">
        <w:t>etails of all consultancies and contractors including:</w:t>
      </w:r>
    </w:p>
    <w:p w:rsidR="00493ADA" w:rsidRPr="00456361" w:rsidRDefault="002D5DEA" w:rsidP="00BC10B9">
      <w:pPr>
        <w:pStyle w:val="BodyText"/>
        <w:numPr>
          <w:ilvl w:val="2"/>
          <w:numId w:val="15"/>
        </w:numPr>
        <w:spacing w:before="240" w:after="240"/>
        <w:ind w:left="1134"/>
      </w:pPr>
      <w:r>
        <w:t>consultants/contractors engaged</w:t>
      </w:r>
      <w:r w:rsidR="00441D08">
        <w:t>,</w:t>
      </w:r>
    </w:p>
    <w:p w:rsidR="00493ADA" w:rsidRPr="00456361" w:rsidRDefault="002D5DEA" w:rsidP="00BC10B9">
      <w:pPr>
        <w:pStyle w:val="BodyText"/>
        <w:numPr>
          <w:ilvl w:val="2"/>
          <w:numId w:val="15"/>
        </w:numPr>
        <w:spacing w:before="240" w:after="240"/>
        <w:ind w:left="1134"/>
      </w:pPr>
      <w:r>
        <w:t>services provided</w:t>
      </w:r>
      <w:r w:rsidR="00441D08">
        <w:t>, and</w:t>
      </w:r>
    </w:p>
    <w:p w:rsidR="00493ADA" w:rsidRPr="00456361" w:rsidRDefault="00493ADA" w:rsidP="00BC10B9">
      <w:pPr>
        <w:pStyle w:val="BodyText"/>
        <w:numPr>
          <w:ilvl w:val="2"/>
          <w:numId w:val="15"/>
        </w:numPr>
        <w:spacing w:before="240" w:after="240"/>
        <w:ind w:left="1134"/>
      </w:pPr>
      <w:r w:rsidRPr="00456361">
        <w:t>expenditure committed to for each engagement.</w:t>
      </w:r>
    </w:p>
    <w:p w:rsidR="00493ADA" w:rsidRDefault="00493ADA" w:rsidP="00493ADA">
      <w:pPr>
        <w:pStyle w:val="BodyText"/>
      </w:pPr>
      <w:r>
        <w:t>The information is available on request from:</w:t>
      </w:r>
    </w:p>
    <w:p w:rsidR="00493ADA" w:rsidRDefault="00493ADA" w:rsidP="00493ADA">
      <w:pPr>
        <w:ind w:left="567"/>
      </w:pPr>
      <w:r>
        <w:t xml:space="preserve">Court Services </w:t>
      </w:r>
      <w:smartTag w:uri="urn:schemas-microsoft-com:office:smarttags" w:element="place">
        <w:smartTag w:uri="urn:schemas-microsoft-com:office:smarttags" w:element="State">
          <w:r>
            <w:t>Victoria</w:t>
          </w:r>
        </w:smartTag>
      </w:smartTag>
      <w:r>
        <w:br/>
      </w:r>
      <w:smartTag w:uri="urn:schemas-microsoft-com:office:smarttags" w:element="address">
        <w:smartTag w:uri="urn:schemas-microsoft-com:office:smarttags" w:element="Street">
          <w:r>
            <w:t>PO Box</w:t>
          </w:r>
        </w:smartTag>
        <w:r>
          <w:t xml:space="preserve"> 13193</w:t>
        </w:r>
      </w:smartTag>
      <w:r>
        <w:br/>
        <w:t>Law Courts  Vic  8010</w:t>
      </w:r>
    </w:p>
    <w:p w:rsidR="00493ADA" w:rsidRDefault="00493ADA" w:rsidP="00493ADA">
      <w:pPr>
        <w:ind w:left="567"/>
      </w:pPr>
      <w:r>
        <w:t>Email: fee</w:t>
      </w:r>
      <w:r w:rsidR="00074D79">
        <w:t>d</w:t>
      </w:r>
      <w:r>
        <w:t>back@courts.vic.gov.au</w:t>
      </w:r>
    </w:p>
    <w:p w:rsidR="005E547C" w:rsidRPr="001034E9" w:rsidRDefault="000941A1" w:rsidP="005E547C">
      <w:pPr>
        <w:pStyle w:val="Heading2"/>
        <w:spacing w:before="0"/>
      </w:pPr>
      <w:r>
        <w:br w:type="page"/>
      </w:r>
      <w:bookmarkStart w:id="41" w:name="_Toc492975391"/>
      <w:bookmarkStart w:id="42" w:name="_Toc494978561"/>
      <w:r w:rsidR="005E547C" w:rsidRPr="001034E9">
        <w:lastRenderedPageBreak/>
        <w:t>Disclosure Index</w:t>
      </w:r>
      <w:bookmarkEnd w:id="41"/>
      <w:bookmarkEnd w:id="42"/>
      <w:r w:rsidR="005E547C" w:rsidRPr="001034E9">
        <w:t xml:space="preserve"> </w:t>
      </w:r>
    </w:p>
    <w:p w:rsidR="005E547C" w:rsidRDefault="005E547C" w:rsidP="005E547C">
      <w:r>
        <w:t>The CSV</w:t>
      </w:r>
      <w:r w:rsidRPr="001034E9">
        <w:t xml:space="preserve"> Annual Report </w:t>
      </w:r>
      <w:r>
        <w:t xml:space="preserve">2016-17 </w:t>
      </w:r>
      <w:r w:rsidRPr="001034E9">
        <w:t>is prepared in accordance with all relevant Victorian legislation and pronouncements. This index has been prepared to facilitate identification of CSV’s compliance with statutory disclosures requirements.</w:t>
      </w:r>
    </w:p>
    <w:p w:rsidR="005E547C" w:rsidRPr="001034E9" w:rsidRDefault="005E547C" w:rsidP="005E547C"/>
    <w:tbl>
      <w:tblPr>
        <w:tblpPr w:leftFromText="180" w:rightFromText="180" w:vertAnchor="text" w:horzAnchor="margin" w:tblpY="28"/>
        <w:tblW w:w="5133" w:type="pct"/>
        <w:tblBorders>
          <w:top w:val="single" w:sz="4" w:space="0" w:color="666366"/>
          <w:bottom w:val="single" w:sz="4" w:space="0" w:color="666366"/>
          <w:insideH w:val="single" w:sz="2" w:space="0" w:color="C0C0C0"/>
        </w:tblBorders>
        <w:tblLayout w:type="fixed"/>
        <w:tblCellMar>
          <w:top w:w="57" w:type="dxa"/>
          <w:bottom w:w="57" w:type="dxa"/>
        </w:tblCellMar>
        <w:tblLook w:val="01E0" w:firstRow="1" w:lastRow="1" w:firstColumn="1" w:lastColumn="1" w:noHBand="0" w:noVBand="0"/>
      </w:tblPr>
      <w:tblGrid>
        <w:gridCol w:w="1747"/>
        <w:gridCol w:w="6985"/>
        <w:gridCol w:w="1162"/>
      </w:tblGrid>
      <w:tr w:rsidR="005E547C" w:rsidRPr="001034E9" w:rsidTr="00792B05">
        <w:tc>
          <w:tcPr>
            <w:tcW w:w="883" w:type="pct"/>
            <w:tcBorders>
              <w:top w:val="single" w:sz="4" w:space="0" w:color="666366"/>
              <w:bottom w:val="single" w:sz="4" w:space="0" w:color="666366"/>
            </w:tcBorders>
            <w:shd w:val="clear" w:color="auto" w:fill="000000"/>
          </w:tcPr>
          <w:p w:rsidR="005E547C" w:rsidRPr="00463831" w:rsidRDefault="005E547C" w:rsidP="00792B05">
            <w:pPr>
              <w:autoSpaceDE w:val="0"/>
              <w:autoSpaceDN w:val="0"/>
              <w:adjustRightInd w:val="0"/>
              <w:rPr>
                <w:rFonts w:eastAsia="Times New Roman"/>
                <w:b/>
                <w:color w:val="FFFFFF"/>
                <w:sz w:val="18"/>
                <w:szCs w:val="18"/>
              </w:rPr>
            </w:pPr>
            <w:r w:rsidRPr="00463831">
              <w:rPr>
                <w:rFonts w:eastAsia="Times New Roman"/>
                <w:b/>
                <w:color w:val="FFFFFF"/>
                <w:sz w:val="18"/>
                <w:szCs w:val="18"/>
              </w:rPr>
              <w:t>Legislation</w:t>
            </w:r>
          </w:p>
        </w:tc>
        <w:tc>
          <w:tcPr>
            <w:tcW w:w="3530" w:type="pct"/>
            <w:tcBorders>
              <w:top w:val="single" w:sz="4" w:space="0" w:color="666366"/>
              <w:bottom w:val="single" w:sz="4" w:space="0" w:color="666366"/>
              <w:right w:val="single" w:sz="4" w:space="0" w:color="auto"/>
            </w:tcBorders>
            <w:shd w:val="clear" w:color="auto" w:fill="000000"/>
          </w:tcPr>
          <w:p w:rsidR="005E547C" w:rsidRPr="00463831" w:rsidRDefault="005E547C" w:rsidP="00792B05">
            <w:pPr>
              <w:autoSpaceDE w:val="0"/>
              <w:autoSpaceDN w:val="0"/>
              <w:adjustRightInd w:val="0"/>
              <w:rPr>
                <w:rFonts w:eastAsia="Times New Roman"/>
                <w:b/>
                <w:color w:val="FFFFFF"/>
                <w:sz w:val="18"/>
                <w:szCs w:val="18"/>
              </w:rPr>
            </w:pPr>
            <w:r w:rsidRPr="00463831">
              <w:rPr>
                <w:rFonts w:eastAsia="Times New Roman"/>
                <w:b/>
                <w:color w:val="FFFFFF"/>
                <w:sz w:val="18"/>
                <w:szCs w:val="18"/>
              </w:rPr>
              <w:t>Requirement</w:t>
            </w:r>
          </w:p>
        </w:tc>
        <w:tc>
          <w:tcPr>
            <w:tcW w:w="587" w:type="pct"/>
            <w:tcBorders>
              <w:top w:val="single" w:sz="4" w:space="0" w:color="666366"/>
              <w:left w:val="single" w:sz="4" w:space="0" w:color="auto"/>
              <w:bottom w:val="single" w:sz="4" w:space="0" w:color="666366"/>
            </w:tcBorders>
            <w:shd w:val="clear" w:color="auto" w:fill="000000"/>
          </w:tcPr>
          <w:p w:rsidR="005E547C" w:rsidRPr="00463831" w:rsidRDefault="005E547C" w:rsidP="00792B05">
            <w:pPr>
              <w:autoSpaceDE w:val="0"/>
              <w:autoSpaceDN w:val="0"/>
              <w:adjustRightInd w:val="0"/>
              <w:rPr>
                <w:rFonts w:eastAsia="Times New Roman"/>
                <w:b/>
                <w:color w:val="FFFFFF"/>
                <w:sz w:val="18"/>
                <w:szCs w:val="18"/>
              </w:rPr>
            </w:pPr>
            <w:r w:rsidRPr="00463831">
              <w:rPr>
                <w:rFonts w:eastAsia="Times New Roman"/>
                <w:b/>
                <w:color w:val="FFFFFF"/>
                <w:sz w:val="18"/>
                <w:szCs w:val="18"/>
              </w:rPr>
              <w:t>Page</w:t>
            </w:r>
          </w:p>
        </w:tc>
      </w:tr>
      <w:tr w:rsidR="005E547C" w:rsidRPr="001034E9" w:rsidTr="00792B05">
        <w:tc>
          <w:tcPr>
            <w:tcW w:w="5000" w:type="pct"/>
            <w:gridSpan w:val="3"/>
            <w:tcBorders>
              <w:top w:val="single" w:sz="4" w:space="0" w:color="666366"/>
            </w:tcBorders>
            <w:shd w:val="clear" w:color="auto" w:fill="808080"/>
          </w:tcPr>
          <w:p w:rsidR="005E547C" w:rsidRPr="00463831" w:rsidRDefault="005E547C" w:rsidP="00792B05">
            <w:pPr>
              <w:rPr>
                <w:b/>
                <w:color w:val="FFFFFF"/>
                <w:sz w:val="18"/>
                <w:szCs w:val="18"/>
              </w:rPr>
            </w:pPr>
            <w:r w:rsidRPr="00463831">
              <w:rPr>
                <w:b/>
                <w:color w:val="FFFFFF"/>
                <w:sz w:val="18"/>
                <w:szCs w:val="18"/>
              </w:rPr>
              <w:t>Ministerial Directions and Financial Reporting Directions</w:t>
            </w:r>
          </w:p>
        </w:tc>
      </w:tr>
      <w:tr w:rsidR="005E547C" w:rsidRPr="001034E9" w:rsidTr="00792B05">
        <w:tc>
          <w:tcPr>
            <w:tcW w:w="5000" w:type="pct"/>
            <w:gridSpan w:val="3"/>
            <w:shd w:val="clear" w:color="auto" w:fill="auto"/>
          </w:tcPr>
          <w:p w:rsidR="005E547C" w:rsidRPr="001034E9" w:rsidRDefault="005E547C" w:rsidP="00792B05">
            <w:pPr>
              <w:rPr>
                <w:b/>
                <w:sz w:val="18"/>
                <w:szCs w:val="18"/>
                <w:lang w:eastAsia="en-US"/>
              </w:rPr>
            </w:pPr>
            <w:r w:rsidRPr="001034E9">
              <w:rPr>
                <w:b/>
                <w:sz w:val="18"/>
                <w:szCs w:val="18"/>
                <w:lang w:eastAsia="en-US"/>
              </w:rPr>
              <w:t>REPORT OF OPERATIONS</w:t>
            </w:r>
          </w:p>
        </w:tc>
      </w:tr>
      <w:tr w:rsidR="005E547C" w:rsidRPr="001034E9" w:rsidTr="00792B05">
        <w:tc>
          <w:tcPr>
            <w:tcW w:w="5000" w:type="pct"/>
            <w:gridSpan w:val="3"/>
          </w:tcPr>
          <w:p w:rsidR="005E547C" w:rsidRPr="001034E9" w:rsidRDefault="005E547C" w:rsidP="00792B05">
            <w:pPr>
              <w:autoSpaceDE w:val="0"/>
              <w:autoSpaceDN w:val="0"/>
              <w:adjustRightInd w:val="0"/>
              <w:rPr>
                <w:rFonts w:eastAsia="Times New Roman"/>
                <w:b/>
                <w:sz w:val="18"/>
                <w:szCs w:val="18"/>
              </w:rPr>
            </w:pPr>
            <w:r w:rsidRPr="001034E9">
              <w:rPr>
                <w:rFonts w:eastAsia="Times New Roman"/>
                <w:b/>
                <w:sz w:val="18"/>
                <w:szCs w:val="18"/>
              </w:rPr>
              <w:t>Charter and purpose</w:t>
            </w: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Manner of establishment and the relevant ministers </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F</w:t>
            </w:r>
            <w:r>
              <w:rPr>
                <w:rFonts w:eastAsia="Times New Roman"/>
                <w:sz w:val="18"/>
                <w:szCs w:val="18"/>
              </w:rPr>
              <w:t>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Purpose, functions, powers and duties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FRD 8D</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Objectives, indicators and outputs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Pr>
                <w:rFonts w:eastAsia="Times New Roman"/>
                <w:sz w:val="18"/>
                <w:szCs w:val="18"/>
              </w:rPr>
              <w:t xml:space="preserve">Key </w:t>
            </w:r>
            <w:r w:rsidRPr="001034E9">
              <w:rPr>
                <w:rFonts w:eastAsia="Times New Roman"/>
                <w:sz w:val="18"/>
                <w:szCs w:val="18"/>
              </w:rPr>
              <w:t xml:space="preserve">Initiatives and </w:t>
            </w:r>
            <w:r>
              <w:rPr>
                <w:rFonts w:eastAsia="Times New Roman"/>
                <w:sz w:val="18"/>
                <w:szCs w:val="18"/>
              </w:rPr>
              <w:t>projects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Nature and range of services provided</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5000" w:type="pct"/>
            <w:gridSpan w:val="3"/>
          </w:tcPr>
          <w:p w:rsidR="005E547C" w:rsidRPr="007B2E42" w:rsidRDefault="005E547C" w:rsidP="00792B05">
            <w:pPr>
              <w:autoSpaceDE w:val="0"/>
              <w:autoSpaceDN w:val="0"/>
              <w:adjustRightInd w:val="0"/>
              <w:rPr>
                <w:rFonts w:eastAsia="Times New Roman"/>
                <w:b/>
                <w:sz w:val="18"/>
                <w:szCs w:val="18"/>
              </w:rPr>
            </w:pPr>
            <w:r w:rsidRPr="007B2E42">
              <w:rPr>
                <w:rFonts w:eastAsia="Times New Roman"/>
                <w:b/>
                <w:sz w:val="18"/>
                <w:szCs w:val="18"/>
              </w:rPr>
              <w:t>Management and structure</w:t>
            </w: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Organisational structure </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5000" w:type="pct"/>
            <w:gridSpan w:val="3"/>
          </w:tcPr>
          <w:p w:rsidR="005E547C" w:rsidRPr="007B2E42" w:rsidRDefault="005E547C" w:rsidP="00792B05">
            <w:pPr>
              <w:autoSpaceDE w:val="0"/>
              <w:autoSpaceDN w:val="0"/>
              <w:adjustRightInd w:val="0"/>
              <w:rPr>
                <w:rFonts w:eastAsia="Times New Roman"/>
                <w:b/>
                <w:sz w:val="18"/>
                <w:szCs w:val="18"/>
              </w:rPr>
            </w:pPr>
            <w:r w:rsidRPr="007B2E42">
              <w:rPr>
                <w:rFonts w:eastAsia="Times New Roman"/>
                <w:b/>
                <w:sz w:val="18"/>
                <w:szCs w:val="18"/>
              </w:rPr>
              <w:t>Financial and other information</w:t>
            </w: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 xml:space="preserve">FRD 8D, </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Performance against output performance measures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FRD 8D</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Budget portfolio outcomes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FRD 10A</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Disclosure index</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Pr>
                <w:rFonts w:eastAsia="Times New Roman"/>
                <w:sz w:val="18"/>
                <w:szCs w:val="18"/>
              </w:rPr>
              <w:t>FRD 12B</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Disclosure of major contracts  </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FRD 15</w:t>
            </w:r>
            <w:r>
              <w:rPr>
                <w:rFonts w:eastAsia="Times New Roman"/>
                <w:sz w:val="18"/>
                <w:szCs w:val="18"/>
              </w:rPr>
              <w:t>D</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Executive Officer disclosures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Employment and conduct principles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8448E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Occupational health and safety policy</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8448E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Summary of the financial results for the year</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8448E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Significant changes in financial position during the year</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8448E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Major changes or factors affecting performance</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8448E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Subsequent events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E42F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Application and operation of </w:t>
            </w:r>
            <w:r w:rsidRPr="001034E9">
              <w:rPr>
                <w:rFonts w:eastAsia="Times New Roman"/>
                <w:i/>
                <w:iCs/>
                <w:sz w:val="18"/>
                <w:szCs w:val="18"/>
              </w:rPr>
              <w:t>Freedom of Information Act 1982</w:t>
            </w:r>
            <w:r w:rsidRPr="001034E9">
              <w:rPr>
                <w:rFonts w:eastAsia="Times New Roman"/>
                <w:sz w:val="18"/>
                <w:szCs w:val="18"/>
              </w:rPr>
              <w:t xml:space="preserve"> (Vic)</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E42F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Compliance with building and maintenance provisions of </w:t>
            </w:r>
            <w:r w:rsidRPr="001034E9">
              <w:rPr>
                <w:rFonts w:eastAsia="Times New Roman"/>
                <w:i/>
                <w:iCs/>
                <w:sz w:val="18"/>
                <w:szCs w:val="18"/>
              </w:rPr>
              <w:t>Building Act 1993</w:t>
            </w:r>
            <w:r w:rsidRPr="001034E9">
              <w:rPr>
                <w:rFonts w:eastAsia="Times New Roman"/>
                <w:sz w:val="18"/>
                <w:szCs w:val="18"/>
              </w:rPr>
              <w:t xml:space="preserve"> (Vic)</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E42F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Statement on National Competition Policy</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E42F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Application and operation of the </w:t>
            </w:r>
            <w:r w:rsidRPr="001034E9">
              <w:rPr>
                <w:rFonts w:eastAsia="Times New Roman"/>
                <w:i/>
                <w:iCs/>
                <w:sz w:val="18"/>
                <w:szCs w:val="18"/>
              </w:rPr>
              <w:t>Protected Disclosure Act 2012</w:t>
            </w:r>
            <w:r w:rsidRPr="001034E9">
              <w:rPr>
                <w:rFonts w:eastAsia="Times New Roman"/>
                <w:sz w:val="18"/>
                <w:szCs w:val="18"/>
              </w:rPr>
              <w:t xml:space="preserve"> (Vic)</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E42F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Application and operation of the </w:t>
            </w:r>
            <w:r w:rsidRPr="001034E9">
              <w:rPr>
                <w:rFonts w:eastAsia="Times New Roman"/>
                <w:i/>
                <w:iCs/>
                <w:sz w:val="18"/>
                <w:szCs w:val="18"/>
              </w:rPr>
              <w:t>Carers Recognition Act 2012</w:t>
            </w:r>
            <w:r w:rsidRPr="001034E9">
              <w:rPr>
                <w:rFonts w:eastAsia="Times New Roman"/>
                <w:sz w:val="18"/>
                <w:szCs w:val="18"/>
              </w:rPr>
              <w:t xml:space="preserve"> (Vic)</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E42F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Details of consultancies over $10,000</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E42F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Details of consultancies under $10,000</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E42F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Disclosure of government advertising expenditure</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E42F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Disclosure of ICT expenditure</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Default="005E547C" w:rsidP="00792B05">
            <w:r w:rsidRPr="00E42F42">
              <w:rPr>
                <w:rFonts w:eastAsia="Times New Roman"/>
                <w:sz w:val="18"/>
                <w:szCs w:val="18"/>
              </w:rPr>
              <w:t>FRD 22H</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Statement of availability of other information</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FRD 24C</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Reporting of office-based environmental impacts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FRD 25C</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Victorian Industry Participation Policy disclosures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FRD 29B</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Workforce data disclosures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5000" w:type="pct"/>
            <w:gridSpan w:val="3"/>
          </w:tcPr>
          <w:p w:rsidR="005E547C" w:rsidRPr="00B137F5" w:rsidRDefault="005E547C" w:rsidP="00792B05">
            <w:pPr>
              <w:autoSpaceDE w:val="0"/>
              <w:autoSpaceDN w:val="0"/>
              <w:adjustRightInd w:val="0"/>
              <w:rPr>
                <w:rFonts w:eastAsia="Times New Roman"/>
                <w:b/>
                <w:sz w:val="18"/>
                <w:szCs w:val="18"/>
              </w:rPr>
            </w:pPr>
            <w:r w:rsidRPr="00B137F5">
              <w:rPr>
                <w:rFonts w:eastAsia="Times New Roman"/>
                <w:b/>
                <w:sz w:val="18"/>
                <w:szCs w:val="18"/>
              </w:rPr>
              <w:t>Compliance attestation and declaration</w:t>
            </w: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 xml:space="preserve">SD </w:t>
            </w:r>
            <w:r>
              <w:rPr>
                <w:rFonts w:eastAsia="Times New Roman"/>
                <w:sz w:val="18"/>
                <w:szCs w:val="18"/>
              </w:rPr>
              <w:t>5.2.3</w:t>
            </w:r>
          </w:p>
        </w:tc>
        <w:tc>
          <w:tcPr>
            <w:tcW w:w="3530" w:type="pct"/>
          </w:tcPr>
          <w:p w:rsidR="005E547C" w:rsidRPr="00B137F5" w:rsidRDefault="005E547C" w:rsidP="00792B05">
            <w:pPr>
              <w:autoSpaceDE w:val="0"/>
              <w:autoSpaceDN w:val="0"/>
              <w:adjustRightInd w:val="0"/>
              <w:rPr>
                <w:rFonts w:eastAsia="Times New Roman"/>
                <w:strike/>
                <w:sz w:val="18"/>
                <w:szCs w:val="18"/>
              </w:rPr>
            </w:pPr>
            <w:r w:rsidRPr="00B137F5">
              <w:rPr>
                <w:rFonts w:eastAsia="Times New Roman"/>
                <w:sz w:val="18"/>
                <w:szCs w:val="18"/>
              </w:rPr>
              <w:t>Attestation for compliance with Mini</w:t>
            </w:r>
            <w:r>
              <w:rPr>
                <w:rFonts w:eastAsia="Times New Roman"/>
                <w:sz w:val="18"/>
                <w:szCs w:val="18"/>
              </w:rPr>
              <w:t>sterial S</w:t>
            </w:r>
            <w:r w:rsidRPr="00B137F5">
              <w:rPr>
                <w:rFonts w:eastAsia="Times New Roman"/>
                <w:sz w:val="18"/>
                <w:szCs w:val="18"/>
              </w:rPr>
              <w:t>tanding Direction</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7B2E42" w:rsidRDefault="005E547C" w:rsidP="00792B05">
            <w:pPr>
              <w:autoSpaceDE w:val="0"/>
              <w:autoSpaceDN w:val="0"/>
              <w:adjustRightInd w:val="0"/>
              <w:rPr>
                <w:rFonts w:eastAsia="Times New Roman"/>
                <w:sz w:val="18"/>
                <w:szCs w:val="18"/>
              </w:rPr>
            </w:pPr>
            <w:r w:rsidRPr="007B2E42">
              <w:rPr>
                <w:rFonts w:eastAsia="Times New Roman"/>
                <w:sz w:val="18"/>
                <w:szCs w:val="18"/>
              </w:rPr>
              <w:t>SD 5.2.3</w:t>
            </w:r>
          </w:p>
        </w:tc>
        <w:tc>
          <w:tcPr>
            <w:tcW w:w="3530" w:type="pct"/>
          </w:tcPr>
          <w:p w:rsidR="005E547C" w:rsidRPr="001034E9" w:rsidRDefault="005E547C" w:rsidP="00792B05">
            <w:pPr>
              <w:autoSpaceDE w:val="0"/>
              <w:autoSpaceDN w:val="0"/>
              <w:adjustRightInd w:val="0"/>
              <w:rPr>
                <w:rFonts w:eastAsia="Times New Roman"/>
                <w:sz w:val="18"/>
                <w:szCs w:val="18"/>
              </w:rPr>
            </w:pPr>
            <w:r>
              <w:rPr>
                <w:rFonts w:eastAsia="Times New Roman"/>
                <w:sz w:val="18"/>
                <w:szCs w:val="18"/>
              </w:rPr>
              <w:t>Declaration in report of operations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5000" w:type="pct"/>
            <w:gridSpan w:val="3"/>
          </w:tcPr>
          <w:p w:rsidR="005E547C" w:rsidRPr="001034E9" w:rsidRDefault="005E547C" w:rsidP="00792B05">
            <w:pPr>
              <w:autoSpaceDE w:val="0"/>
              <w:autoSpaceDN w:val="0"/>
              <w:adjustRightInd w:val="0"/>
              <w:rPr>
                <w:rFonts w:eastAsia="Times New Roman"/>
                <w:b/>
                <w:sz w:val="18"/>
                <w:szCs w:val="18"/>
              </w:rPr>
            </w:pPr>
            <w:r w:rsidRPr="001034E9">
              <w:rPr>
                <w:rFonts w:eastAsia="Times New Roman"/>
                <w:b/>
                <w:sz w:val="18"/>
                <w:szCs w:val="18"/>
              </w:rPr>
              <w:lastRenderedPageBreak/>
              <w:t xml:space="preserve">FINANCIAL STATEMENTS </w:t>
            </w:r>
          </w:p>
        </w:tc>
      </w:tr>
      <w:tr w:rsidR="005E547C" w:rsidRPr="001034E9" w:rsidTr="00792B05">
        <w:tc>
          <w:tcPr>
            <w:tcW w:w="883" w:type="pct"/>
          </w:tcPr>
          <w:p w:rsidR="005E547C" w:rsidRPr="00B137F5" w:rsidRDefault="005E547C" w:rsidP="00792B05">
            <w:pPr>
              <w:autoSpaceDE w:val="0"/>
              <w:autoSpaceDN w:val="0"/>
              <w:adjustRightInd w:val="0"/>
              <w:rPr>
                <w:rFonts w:eastAsia="Times New Roman"/>
                <w:b/>
                <w:sz w:val="18"/>
                <w:szCs w:val="18"/>
              </w:rPr>
            </w:pPr>
            <w:r w:rsidRPr="00B137F5">
              <w:rPr>
                <w:rFonts w:eastAsia="Times New Roman"/>
                <w:b/>
                <w:sz w:val="18"/>
                <w:szCs w:val="18"/>
              </w:rPr>
              <w:t>Declaration</w:t>
            </w:r>
          </w:p>
        </w:tc>
        <w:tc>
          <w:tcPr>
            <w:tcW w:w="3530" w:type="pct"/>
          </w:tcPr>
          <w:p w:rsidR="005E547C" w:rsidRPr="001034E9" w:rsidRDefault="005E547C" w:rsidP="00792B05">
            <w:pPr>
              <w:autoSpaceDE w:val="0"/>
              <w:autoSpaceDN w:val="0"/>
              <w:adjustRightInd w:val="0"/>
              <w:rPr>
                <w:rFonts w:eastAsia="Times New Roman"/>
                <w:sz w:val="18"/>
                <w:szCs w:val="18"/>
              </w:rPr>
            </w:pPr>
          </w:p>
        </w:tc>
        <w:tc>
          <w:tcPr>
            <w:tcW w:w="587" w:type="pct"/>
          </w:tcPr>
          <w:p w:rsidR="005E547C"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Pr>
                <w:rFonts w:eastAsia="Times New Roman"/>
                <w:sz w:val="18"/>
                <w:szCs w:val="18"/>
              </w:rPr>
              <w:t>SD 5.2.2</w:t>
            </w:r>
          </w:p>
        </w:tc>
        <w:tc>
          <w:tcPr>
            <w:tcW w:w="3530" w:type="pct"/>
          </w:tcPr>
          <w:p w:rsidR="005E547C" w:rsidRPr="001034E9" w:rsidRDefault="005E547C" w:rsidP="00792B05">
            <w:pPr>
              <w:autoSpaceDE w:val="0"/>
              <w:autoSpaceDN w:val="0"/>
              <w:adjustRightInd w:val="0"/>
              <w:rPr>
                <w:rFonts w:eastAsia="Times New Roman"/>
                <w:sz w:val="18"/>
                <w:szCs w:val="18"/>
              </w:rPr>
            </w:pPr>
            <w:r>
              <w:rPr>
                <w:rFonts w:eastAsia="Times New Roman"/>
                <w:sz w:val="18"/>
                <w:szCs w:val="18"/>
              </w:rPr>
              <w:t>Declaration in financial statements</w:t>
            </w:r>
          </w:p>
        </w:tc>
        <w:tc>
          <w:tcPr>
            <w:tcW w:w="587" w:type="pct"/>
          </w:tcPr>
          <w:p w:rsidR="005E547C" w:rsidRDefault="005E547C" w:rsidP="00792B05">
            <w:pPr>
              <w:autoSpaceDE w:val="0"/>
              <w:autoSpaceDN w:val="0"/>
              <w:adjustRightInd w:val="0"/>
              <w:rPr>
                <w:rFonts w:eastAsia="Times New Roman"/>
                <w:sz w:val="18"/>
                <w:szCs w:val="18"/>
              </w:rPr>
            </w:pPr>
          </w:p>
        </w:tc>
      </w:tr>
      <w:tr w:rsidR="005E547C" w:rsidRPr="001034E9" w:rsidTr="00792B05">
        <w:tc>
          <w:tcPr>
            <w:tcW w:w="5000" w:type="pct"/>
            <w:gridSpan w:val="3"/>
          </w:tcPr>
          <w:p w:rsidR="005E547C" w:rsidRPr="001034E9" w:rsidRDefault="005E547C" w:rsidP="00792B05">
            <w:pPr>
              <w:autoSpaceDE w:val="0"/>
              <w:autoSpaceDN w:val="0"/>
              <w:adjustRightInd w:val="0"/>
              <w:rPr>
                <w:rFonts w:eastAsia="Times New Roman"/>
                <w:b/>
                <w:sz w:val="18"/>
                <w:szCs w:val="18"/>
              </w:rPr>
            </w:pPr>
            <w:r w:rsidRPr="001034E9">
              <w:rPr>
                <w:rFonts w:eastAsia="Times New Roman"/>
                <w:b/>
                <w:sz w:val="18"/>
                <w:szCs w:val="18"/>
              </w:rPr>
              <w:t xml:space="preserve">Other requirements under Standing Directions </w:t>
            </w:r>
            <w:r>
              <w:rPr>
                <w:rFonts w:eastAsia="Times New Roman"/>
                <w:b/>
                <w:sz w:val="18"/>
                <w:szCs w:val="18"/>
              </w:rPr>
              <w:t>5.2</w:t>
            </w: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SD </w:t>
            </w:r>
            <w:r>
              <w:rPr>
                <w:rFonts w:eastAsia="Times New Roman"/>
                <w:sz w:val="18"/>
                <w:szCs w:val="18"/>
              </w:rPr>
              <w:t>5.2.1(a)</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Compliance with Australian accounting standards and other authoritative pronouncements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610A0C" w:rsidRDefault="005E547C" w:rsidP="00792B05">
            <w:pPr>
              <w:autoSpaceDE w:val="0"/>
              <w:autoSpaceDN w:val="0"/>
              <w:adjustRightInd w:val="0"/>
              <w:rPr>
                <w:rFonts w:eastAsia="Times New Roman"/>
                <w:sz w:val="18"/>
                <w:szCs w:val="18"/>
              </w:rPr>
            </w:pPr>
            <w:r w:rsidRPr="00610A0C">
              <w:rPr>
                <w:rFonts w:eastAsia="Times New Roman"/>
                <w:sz w:val="18"/>
                <w:szCs w:val="18"/>
              </w:rPr>
              <w:t xml:space="preserve">SD 5.2.1(a)  </w:t>
            </w:r>
          </w:p>
        </w:tc>
        <w:tc>
          <w:tcPr>
            <w:tcW w:w="3530" w:type="pct"/>
          </w:tcPr>
          <w:p w:rsidR="005E547C" w:rsidRPr="00610A0C" w:rsidRDefault="005E547C" w:rsidP="00792B05">
            <w:pPr>
              <w:autoSpaceDE w:val="0"/>
              <w:autoSpaceDN w:val="0"/>
              <w:adjustRightInd w:val="0"/>
              <w:rPr>
                <w:rFonts w:eastAsia="Times New Roman"/>
                <w:sz w:val="18"/>
                <w:szCs w:val="18"/>
              </w:rPr>
            </w:pPr>
            <w:r w:rsidRPr="00610A0C">
              <w:rPr>
                <w:rFonts w:eastAsia="Times New Roman"/>
                <w:sz w:val="18"/>
                <w:szCs w:val="18"/>
              </w:rPr>
              <w:t>Compliance with Ministerial Directions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Pr>
                <w:rFonts w:eastAsia="Times New Roman"/>
                <w:sz w:val="18"/>
                <w:szCs w:val="18"/>
              </w:rPr>
              <w:t>SD5.2.1(b)</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Compliance with Model Financial Report</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5000" w:type="pct"/>
            <w:gridSpan w:val="3"/>
          </w:tcPr>
          <w:p w:rsidR="005E547C" w:rsidRPr="001034E9" w:rsidRDefault="005E547C" w:rsidP="00792B05">
            <w:pPr>
              <w:autoSpaceDE w:val="0"/>
              <w:autoSpaceDN w:val="0"/>
              <w:adjustRightInd w:val="0"/>
              <w:rPr>
                <w:rFonts w:eastAsia="Times New Roman"/>
                <w:b/>
                <w:sz w:val="18"/>
                <w:szCs w:val="18"/>
              </w:rPr>
            </w:pPr>
            <w:r w:rsidRPr="001034E9">
              <w:rPr>
                <w:rFonts w:eastAsia="Times New Roman"/>
                <w:b/>
                <w:sz w:val="18"/>
                <w:szCs w:val="18"/>
              </w:rPr>
              <w:t>Other disclosures as required by FRDs in notes to the financial statements</w:t>
            </w: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FRD 9A</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Departmental disclosure of administered assets and liabilities by activity </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FRD 11A  </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Disclosure of ex-gratia expenses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FRD 13  </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Disclosure of parliamentary appropriations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FRD 21</w:t>
            </w:r>
            <w:r>
              <w:rPr>
                <w:rFonts w:eastAsia="Times New Roman"/>
                <w:sz w:val="18"/>
                <w:szCs w:val="18"/>
              </w:rPr>
              <w:t>C</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Disclosures of responsible persons, executive officers and other personnel (contractors with significant management responsibilities) in the Financial Report</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FRD 103F</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 xml:space="preserve">Non-financial physical assets </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FRD 110A</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Cash flow statements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883"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FRD 112D</w:t>
            </w:r>
          </w:p>
        </w:tc>
        <w:tc>
          <w:tcPr>
            <w:tcW w:w="3530" w:type="pct"/>
          </w:tcPr>
          <w:p w:rsidR="005E547C" w:rsidRPr="001034E9" w:rsidRDefault="005E547C" w:rsidP="00792B05">
            <w:pPr>
              <w:autoSpaceDE w:val="0"/>
              <w:autoSpaceDN w:val="0"/>
              <w:adjustRightInd w:val="0"/>
              <w:rPr>
                <w:rFonts w:eastAsia="Times New Roman"/>
                <w:sz w:val="18"/>
                <w:szCs w:val="18"/>
              </w:rPr>
            </w:pPr>
            <w:r w:rsidRPr="001034E9">
              <w:rPr>
                <w:rFonts w:eastAsia="Times New Roman"/>
                <w:sz w:val="18"/>
                <w:szCs w:val="18"/>
              </w:rPr>
              <w:t>Defined benefit superannuation obligations</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5000" w:type="pct"/>
            <w:gridSpan w:val="3"/>
            <w:shd w:val="clear" w:color="auto" w:fill="auto"/>
          </w:tcPr>
          <w:p w:rsidR="005E547C" w:rsidRPr="001034E9" w:rsidRDefault="005E547C" w:rsidP="00792B05">
            <w:pPr>
              <w:rPr>
                <w:b/>
                <w:sz w:val="18"/>
                <w:szCs w:val="18"/>
                <w:lang w:eastAsia="en-US"/>
              </w:rPr>
            </w:pPr>
            <w:r w:rsidRPr="001034E9">
              <w:rPr>
                <w:b/>
                <w:sz w:val="18"/>
                <w:szCs w:val="18"/>
                <w:lang w:eastAsia="en-US"/>
              </w:rPr>
              <w:t>LEGISLATION</w:t>
            </w:r>
          </w:p>
        </w:tc>
      </w:tr>
      <w:tr w:rsidR="005E547C" w:rsidRPr="001034E9" w:rsidTr="00792B05">
        <w:tc>
          <w:tcPr>
            <w:tcW w:w="4413" w:type="pct"/>
            <w:gridSpan w:val="2"/>
          </w:tcPr>
          <w:p w:rsidR="005E547C" w:rsidRPr="001034E9" w:rsidRDefault="005E547C" w:rsidP="00792B05">
            <w:pPr>
              <w:autoSpaceDE w:val="0"/>
              <w:autoSpaceDN w:val="0"/>
              <w:adjustRightInd w:val="0"/>
              <w:rPr>
                <w:sz w:val="18"/>
                <w:szCs w:val="18"/>
              </w:rPr>
            </w:pPr>
            <w:r w:rsidRPr="001034E9">
              <w:rPr>
                <w:i/>
                <w:sz w:val="18"/>
                <w:szCs w:val="18"/>
              </w:rPr>
              <w:t>Freedom of Information Act 1982</w:t>
            </w:r>
            <w:r w:rsidRPr="001034E9">
              <w:rPr>
                <w:sz w:val="18"/>
                <w:szCs w:val="18"/>
              </w:rPr>
              <w:t xml:space="preserve"> (Vic)</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4413" w:type="pct"/>
            <w:gridSpan w:val="2"/>
          </w:tcPr>
          <w:p w:rsidR="005E547C" w:rsidRPr="001034E9" w:rsidRDefault="005E547C" w:rsidP="00792B05">
            <w:pPr>
              <w:autoSpaceDE w:val="0"/>
              <w:autoSpaceDN w:val="0"/>
              <w:adjustRightInd w:val="0"/>
              <w:rPr>
                <w:sz w:val="18"/>
                <w:szCs w:val="18"/>
              </w:rPr>
            </w:pPr>
            <w:r w:rsidRPr="001034E9">
              <w:rPr>
                <w:i/>
                <w:sz w:val="18"/>
                <w:szCs w:val="18"/>
              </w:rPr>
              <w:t>Building Act 1993</w:t>
            </w:r>
            <w:r w:rsidRPr="001034E9">
              <w:rPr>
                <w:sz w:val="18"/>
                <w:szCs w:val="18"/>
              </w:rPr>
              <w:t xml:space="preserve"> (Vic)</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4413" w:type="pct"/>
            <w:gridSpan w:val="2"/>
          </w:tcPr>
          <w:p w:rsidR="005E547C" w:rsidRPr="001034E9" w:rsidRDefault="005E547C" w:rsidP="00792B05">
            <w:pPr>
              <w:autoSpaceDE w:val="0"/>
              <w:autoSpaceDN w:val="0"/>
              <w:adjustRightInd w:val="0"/>
              <w:rPr>
                <w:sz w:val="18"/>
                <w:szCs w:val="18"/>
              </w:rPr>
            </w:pPr>
            <w:r w:rsidRPr="001034E9">
              <w:rPr>
                <w:i/>
                <w:sz w:val="18"/>
                <w:szCs w:val="18"/>
              </w:rPr>
              <w:t>Protected Disclosure Act 2012</w:t>
            </w:r>
            <w:r w:rsidRPr="001034E9">
              <w:rPr>
                <w:sz w:val="18"/>
                <w:szCs w:val="18"/>
              </w:rPr>
              <w:t xml:space="preserve"> (Vic)</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4413" w:type="pct"/>
            <w:gridSpan w:val="2"/>
          </w:tcPr>
          <w:p w:rsidR="005E547C" w:rsidRPr="001034E9" w:rsidRDefault="005E547C" w:rsidP="00792B05">
            <w:pPr>
              <w:autoSpaceDE w:val="0"/>
              <w:autoSpaceDN w:val="0"/>
              <w:adjustRightInd w:val="0"/>
              <w:rPr>
                <w:sz w:val="18"/>
                <w:szCs w:val="18"/>
              </w:rPr>
            </w:pPr>
            <w:r w:rsidRPr="001034E9">
              <w:rPr>
                <w:i/>
                <w:sz w:val="18"/>
                <w:szCs w:val="18"/>
              </w:rPr>
              <w:t>Carers Recognition Act 2012</w:t>
            </w:r>
            <w:r w:rsidRPr="001034E9">
              <w:rPr>
                <w:sz w:val="18"/>
                <w:szCs w:val="18"/>
              </w:rPr>
              <w:t xml:space="preserve"> (Vic)</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4413" w:type="pct"/>
            <w:gridSpan w:val="2"/>
          </w:tcPr>
          <w:p w:rsidR="005E547C" w:rsidRPr="001034E9" w:rsidRDefault="005E547C" w:rsidP="00792B05">
            <w:pPr>
              <w:autoSpaceDE w:val="0"/>
              <w:autoSpaceDN w:val="0"/>
              <w:adjustRightInd w:val="0"/>
              <w:rPr>
                <w:sz w:val="18"/>
                <w:szCs w:val="18"/>
              </w:rPr>
            </w:pPr>
            <w:r w:rsidRPr="001034E9">
              <w:rPr>
                <w:i/>
                <w:sz w:val="18"/>
                <w:szCs w:val="18"/>
              </w:rPr>
              <w:t>Victorian Industry Participation Policy Act 2003</w:t>
            </w:r>
            <w:r w:rsidRPr="001034E9">
              <w:rPr>
                <w:sz w:val="18"/>
                <w:szCs w:val="18"/>
              </w:rPr>
              <w:t xml:space="preserve"> (Vic)</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1034E9" w:rsidTr="00792B05">
        <w:tc>
          <w:tcPr>
            <w:tcW w:w="4413" w:type="pct"/>
            <w:gridSpan w:val="2"/>
          </w:tcPr>
          <w:p w:rsidR="005E547C" w:rsidRPr="001034E9" w:rsidRDefault="005E547C" w:rsidP="00792B05">
            <w:pPr>
              <w:autoSpaceDE w:val="0"/>
              <w:autoSpaceDN w:val="0"/>
              <w:adjustRightInd w:val="0"/>
              <w:rPr>
                <w:sz w:val="18"/>
                <w:szCs w:val="18"/>
              </w:rPr>
            </w:pPr>
            <w:r w:rsidRPr="001034E9">
              <w:rPr>
                <w:i/>
                <w:sz w:val="18"/>
                <w:szCs w:val="18"/>
              </w:rPr>
              <w:t>Financial Management Act 1994</w:t>
            </w:r>
            <w:r w:rsidRPr="001034E9">
              <w:rPr>
                <w:sz w:val="18"/>
                <w:szCs w:val="18"/>
              </w:rPr>
              <w:t xml:space="preserve"> (Vic)</w:t>
            </w:r>
          </w:p>
        </w:tc>
        <w:tc>
          <w:tcPr>
            <w:tcW w:w="587" w:type="pct"/>
          </w:tcPr>
          <w:p w:rsidR="005E547C" w:rsidRPr="001034E9" w:rsidRDefault="005E547C" w:rsidP="00792B05">
            <w:pPr>
              <w:autoSpaceDE w:val="0"/>
              <w:autoSpaceDN w:val="0"/>
              <w:adjustRightInd w:val="0"/>
              <w:rPr>
                <w:rFonts w:eastAsia="Times New Roman"/>
                <w:sz w:val="18"/>
                <w:szCs w:val="18"/>
              </w:rPr>
            </w:pPr>
          </w:p>
        </w:tc>
      </w:tr>
      <w:tr w:rsidR="005E547C" w:rsidRPr="00C2170F" w:rsidTr="00792B05">
        <w:tc>
          <w:tcPr>
            <w:tcW w:w="4413" w:type="pct"/>
            <w:gridSpan w:val="2"/>
            <w:tcBorders>
              <w:bottom w:val="single" w:sz="4" w:space="0" w:color="666366"/>
            </w:tcBorders>
          </w:tcPr>
          <w:p w:rsidR="005E547C" w:rsidRPr="001034E9" w:rsidRDefault="005E547C" w:rsidP="00792B05">
            <w:pPr>
              <w:autoSpaceDE w:val="0"/>
              <w:autoSpaceDN w:val="0"/>
              <w:adjustRightInd w:val="0"/>
              <w:rPr>
                <w:sz w:val="18"/>
                <w:szCs w:val="18"/>
              </w:rPr>
            </w:pPr>
            <w:r w:rsidRPr="001034E9">
              <w:rPr>
                <w:i/>
                <w:sz w:val="18"/>
                <w:szCs w:val="18"/>
              </w:rPr>
              <w:t>Court Services Victoria Act 2014</w:t>
            </w:r>
            <w:r w:rsidRPr="001034E9">
              <w:rPr>
                <w:sz w:val="18"/>
                <w:szCs w:val="18"/>
              </w:rPr>
              <w:t xml:space="preserve"> (Vic)</w:t>
            </w:r>
          </w:p>
        </w:tc>
        <w:tc>
          <w:tcPr>
            <w:tcW w:w="587" w:type="pct"/>
            <w:tcBorders>
              <w:bottom w:val="single" w:sz="4" w:space="0" w:color="666366"/>
            </w:tcBorders>
          </w:tcPr>
          <w:p w:rsidR="005E547C" w:rsidRPr="00831F3E" w:rsidRDefault="005E547C" w:rsidP="00792B05">
            <w:pPr>
              <w:autoSpaceDE w:val="0"/>
              <w:autoSpaceDN w:val="0"/>
              <w:adjustRightInd w:val="0"/>
              <w:rPr>
                <w:rFonts w:eastAsia="Times New Roman"/>
                <w:sz w:val="18"/>
                <w:szCs w:val="18"/>
              </w:rPr>
            </w:pPr>
          </w:p>
        </w:tc>
      </w:tr>
    </w:tbl>
    <w:p w:rsidR="006567EB" w:rsidRDefault="006567EB" w:rsidP="005E547C"/>
    <w:p w:rsidR="006567EB" w:rsidRDefault="006567EB" w:rsidP="006567EB"/>
    <w:p w:rsidR="00886B9A" w:rsidRDefault="00886B9A" w:rsidP="009333D5">
      <w:pPr>
        <w:pStyle w:val="Heading1"/>
      </w:pPr>
      <w:r>
        <w:br w:type="page"/>
      </w:r>
      <w:bookmarkStart w:id="43" w:name="_Toc494978562"/>
      <w:r w:rsidR="0076767D">
        <w:lastRenderedPageBreak/>
        <w:t>G</w:t>
      </w:r>
      <w:r>
        <w:t>lossary</w:t>
      </w:r>
      <w:bookmarkEnd w:id="43"/>
    </w:p>
    <w:tbl>
      <w:tblPr>
        <w:tblW w:w="5000" w:type="pct"/>
        <w:tblCellMar>
          <w:top w:w="28" w:type="dxa"/>
          <w:left w:w="28" w:type="dxa"/>
          <w:bottom w:w="142" w:type="dxa"/>
          <w:right w:w="28" w:type="dxa"/>
        </w:tblCellMar>
        <w:tblLook w:val="04A0" w:firstRow="1" w:lastRow="0" w:firstColumn="1" w:lastColumn="0" w:noHBand="0" w:noVBand="1"/>
      </w:tblPr>
      <w:tblGrid>
        <w:gridCol w:w="2702"/>
        <w:gridCol w:w="6936"/>
      </w:tblGrid>
      <w:tr w:rsidR="00D209F2" w:rsidRPr="00D209F2" w:rsidTr="009333D5">
        <w:tc>
          <w:tcPr>
            <w:tcW w:w="2714" w:type="dxa"/>
            <w:shd w:val="clear" w:color="auto" w:fill="auto"/>
          </w:tcPr>
          <w:p w:rsidR="00D209F2" w:rsidRPr="00CA331C" w:rsidRDefault="00886B9A" w:rsidP="00C0673E">
            <w:r w:rsidRPr="00607489">
              <w:t xml:space="preserve"> </w:t>
            </w:r>
            <w:r w:rsidR="00D209F2" w:rsidRPr="00CA331C">
              <w:t xml:space="preserve">CEO </w:t>
            </w:r>
          </w:p>
        </w:tc>
        <w:tc>
          <w:tcPr>
            <w:tcW w:w="6980" w:type="dxa"/>
            <w:shd w:val="clear" w:color="auto" w:fill="auto"/>
          </w:tcPr>
          <w:p w:rsidR="00D209F2" w:rsidRPr="00CA331C" w:rsidRDefault="00D209F2" w:rsidP="00C0673E">
            <w:r w:rsidRPr="00CA331C">
              <w:t>Chief Executive Officer</w:t>
            </w:r>
          </w:p>
        </w:tc>
      </w:tr>
      <w:tr w:rsidR="00D209F2" w:rsidRPr="009C703E" w:rsidTr="009333D5">
        <w:tc>
          <w:tcPr>
            <w:tcW w:w="2714" w:type="dxa"/>
            <w:shd w:val="clear" w:color="auto" w:fill="auto"/>
          </w:tcPr>
          <w:p w:rsidR="00D209F2" w:rsidRPr="00CA331C" w:rsidRDefault="00D209F2" w:rsidP="00C0673E">
            <w:r w:rsidRPr="00CA331C">
              <w:t xml:space="preserve">the College </w:t>
            </w:r>
          </w:p>
        </w:tc>
        <w:tc>
          <w:tcPr>
            <w:tcW w:w="6980" w:type="dxa"/>
            <w:shd w:val="clear" w:color="auto" w:fill="auto"/>
          </w:tcPr>
          <w:p w:rsidR="00D209F2" w:rsidRPr="00CA331C" w:rsidRDefault="00D209F2" w:rsidP="00C0673E">
            <w:r w:rsidRPr="00CA331C">
              <w:t>The Judicial College of Victoria</w:t>
            </w:r>
          </w:p>
        </w:tc>
      </w:tr>
      <w:tr w:rsidR="00D209F2" w:rsidRPr="009C703E" w:rsidTr="009333D5">
        <w:tc>
          <w:tcPr>
            <w:tcW w:w="2714" w:type="dxa"/>
            <w:shd w:val="clear" w:color="auto" w:fill="auto"/>
          </w:tcPr>
          <w:p w:rsidR="00D209F2" w:rsidRPr="00CA331C" w:rsidRDefault="00D209F2" w:rsidP="00C0673E">
            <w:r w:rsidRPr="00CA331C">
              <w:t>Court CEOs</w:t>
            </w:r>
          </w:p>
        </w:tc>
        <w:tc>
          <w:tcPr>
            <w:tcW w:w="6980" w:type="dxa"/>
            <w:shd w:val="clear" w:color="auto" w:fill="auto"/>
          </w:tcPr>
          <w:p w:rsidR="00D209F2" w:rsidRPr="00CA331C" w:rsidRDefault="00D209F2" w:rsidP="00C0673E">
            <w:r w:rsidRPr="00CA331C">
              <w:t>The CEOs of the jurisdictions (Victorian courts and tribunal)</w:t>
            </w:r>
          </w:p>
        </w:tc>
      </w:tr>
      <w:tr w:rsidR="00D209F2" w:rsidRPr="009C703E" w:rsidTr="009333D5">
        <w:tc>
          <w:tcPr>
            <w:tcW w:w="2714" w:type="dxa"/>
            <w:shd w:val="clear" w:color="auto" w:fill="auto"/>
          </w:tcPr>
          <w:p w:rsidR="00D209F2" w:rsidRPr="00CA331C" w:rsidRDefault="00D209F2" w:rsidP="00C0673E">
            <w:r w:rsidRPr="00CA331C">
              <w:t>Courts Council</w:t>
            </w:r>
          </w:p>
        </w:tc>
        <w:tc>
          <w:tcPr>
            <w:tcW w:w="6980" w:type="dxa"/>
            <w:shd w:val="clear" w:color="auto" w:fill="auto"/>
          </w:tcPr>
          <w:p w:rsidR="00D209F2" w:rsidRPr="00CA331C" w:rsidRDefault="00D209F2" w:rsidP="00C0673E">
            <w:r w:rsidRPr="00CA331C">
              <w:t>The governing body of Court Services Victoria, comprising the Heads of Jurisdiction and up to two non-judicial members appointed by the Heads of Jurisdiction</w:t>
            </w:r>
          </w:p>
        </w:tc>
      </w:tr>
      <w:tr w:rsidR="00D209F2" w:rsidRPr="00D209F2" w:rsidTr="009333D5">
        <w:tc>
          <w:tcPr>
            <w:tcW w:w="2714" w:type="dxa"/>
            <w:shd w:val="clear" w:color="auto" w:fill="auto"/>
          </w:tcPr>
          <w:p w:rsidR="00D209F2" w:rsidRPr="00CA331C" w:rsidRDefault="00D209F2" w:rsidP="00C0673E">
            <w:r w:rsidRPr="00CA331C">
              <w:t>CSV</w:t>
            </w:r>
          </w:p>
        </w:tc>
        <w:tc>
          <w:tcPr>
            <w:tcW w:w="6980" w:type="dxa"/>
            <w:shd w:val="clear" w:color="auto" w:fill="auto"/>
          </w:tcPr>
          <w:p w:rsidR="00D209F2" w:rsidRPr="00CA331C" w:rsidRDefault="00D209F2" w:rsidP="00C0673E">
            <w:r w:rsidRPr="00CA331C">
              <w:t>Court Services Victoria</w:t>
            </w:r>
          </w:p>
        </w:tc>
      </w:tr>
      <w:tr w:rsidR="00D209F2" w:rsidRPr="00D209F2" w:rsidTr="009333D5">
        <w:tc>
          <w:tcPr>
            <w:tcW w:w="2714" w:type="dxa"/>
            <w:shd w:val="clear" w:color="auto" w:fill="auto"/>
          </w:tcPr>
          <w:p w:rsidR="00D209F2" w:rsidRPr="00CA331C" w:rsidRDefault="00D209F2" w:rsidP="00C0673E">
            <w:r w:rsidRPr="00CA331C">
              <w:t>DTF</w:t>
            </w:r>
          </w:p>
        </w:tc>
        <w:tc>
          <w:tcPr>
            <w:tcW w:w="6980" w:type="dxa"/>
            <w:shd w:val="clear" w:color="auto" w:fill="auto"/>
          </w:tcPr>
          <w:p w:rsidR="00D209F2" w:rsidRPr="00CA331C" w:rsidRDefault="00D209F2" w:rsidP="00C0673E">
            <w:r w:rsidRPr="00CA331C">
              <w:t xml:space="preserve">Department of Treasury and Finance </w:t>
            </w:r>
          </w:p>
        </w:tc>
      </w:tr>
      <w:tr w:rsidR="00D209F2" w:rsidRPr="00D209F2" w:rsidTr="009333D5">
        <w:tc>
          <w:tcPr>
            <w:tcW w:w="2714" w:type="dxa"/>
            <w:shd w:val="clear" w:color="auto" w:fill="auto"/>
          </w:tcPr>
          <w:p w:rsidR="00D209F2" w:rsidRPr="00CA331C" w:rsidRDefault="00D209F2" w:rsidP="00C0673E">
            <w:r w:rsidRPr="00CA331C">
              <w:t xml:space="preserve">FOI </w:t>
            </w:r>
          </w:p>
        </w:tc>
        <w:tc>
          <w:tcPr>
            <w:tcW w:w="6980" w:type="dxa"/>
            <w:shd w:val="clear" w:color="auto" w:fill="auto"/>
          </w:tcPr>
          <w:p w:rsidR="00D209F2" w:rsidRPr="00CA331C" w:rsidRDefault="00D209F2" w:rsidP="00C0673E">
            <w:r w:rsidRPr="00CA331C">
              <w:t xml:space="preserve">Freedom of information </w:t>
            </w:r>
          </w:p>
        </w:tc>
      </w:tr>
      <w:tr w:rsidR="00D209F2" w:rsidRPr="00D209F2" w:rsidTr="009333D5">
        <w:tc>
          <w:tcPr>
            <w:tcW w:w="2714" w:type="dxa"/>
            <w:shd w:val="clear" w:color="auto" w:fill="auto"/>
          </w:tcPr>
          <w:p w:rsidR="00D209F2" w:rsidRPr="00CA331C" w:rsidRDefault="00D209F2" w:rsidP="00C0673E">
            <w:r w:rsidRPr="00CA331C">
              <w:t xml:space="preserve">FTE </w:t>
            </w:r>
          </w:p>
        </w:tc>
        <w:tc>
          <w:tcPr>
            <w:tcW w:w="6980" w:type="dxa"/>
            <w:shd w:val="clear" w:color="auto" w:fill="auto"/>
          </w:tcPr>
          <w:p w:rsidR="00D209F2" w:rsidRPr="00CA331C" w:rsidRDefault="00D209F2" w:rsidP="00C0673E">
            <w:r w:rsidRPr="00CA331C">
              <w:t xml:space="preserve">Full-time equivalent </w:t>
            </w:r>
          </w:p>
        </w:tc>
      </w:tr>
      <w:tr w:rsidR="00D209F2" w:rsidRPr="00D209F2" w:rsidTr="009333D5">
        <w:tc>
          <w:tcPr>
            <w:tcW w:w="2714" w:type="dxa"/>
            <w:shd w:val="clear" w:color="auto" w:fill="auto"/>
          </w:tcPr>
          <w:p w:rsidR="00D209F2" w:rsidRPr="00CA331C" w:rsidRDefault="00D209F2" w:rsidP="00C0673E">
            <w:r w:rsidRPr="00CA331C">
              <w:t xml:space="preserve">HR </w:t>
            </w:r>
          </w:p>
        </w:tc>
        <w:tc>
          <w:tcPr>
            <w:tcW w:w="6980" w:type="dxa"/>
            <w:shd w:val="clear" w:color="auto" w:fill="auto"/>
          </w:tcPr>
          <w:p w:rsidR="00D209F2" w:rsidRPr="00CA331C" w:rsidRDefault="00D209F2" w:rsidP="00C0673E">
            <w:r w:rsidRPr="00CA331C">
              <w:t>Human resources</w:t>
            </w:r>
          </w:p>
        </w:tc>
      </w:tr>
      <w:tr w:rsidR="0037228D" w:rsidRPr="00D209F2" w:rsidTr="009333D5">
        <w:tc>
          <w:tcPr>
            <w:tcW w:w="2714" w:type="dxa"/>
            <w:shd w:val="clear" w:color="auto" w:fill="auto"/>
          </w:tcPr>
          <w:p w:rsidR="0037228D" w:rsidRPr="00AF3522" w:rsidRDefault="0037228D" w:rsidP="00C0673E">
            <w:r w:rsidRPr="00AF3522">
              <w:t>IMES</w:t>
            </w:r>
          </w:p>
        </w:tc>
        <w:tc>
          <w:tcPr>
            <w:tcW w:w="6980" w:type="dxa"/>
            <w:shd w:val="clear" w:color="auto" w:fill="auto"/>
          </w:tcPr>
          <w:p w:rsidR="0037228D" w:rsidRPr="00AF3522" w:rsidRDefault="0037228D" w:rsidP="00C0673E">
            <w:r w:rsidRPr="00AF3522">
              <w:rPr>
                <w:color w:val="000000"/>
              </w:rPr>
              <w:t xml:space="preserve">Infringement Management and Enforcement Services </w:t>
            </w:r>
          </w:p>
        </w:tc>
      </w:tr>
      <w:tr w:rsidR="00D209F2" w:rsidRPr="00D209F2" w:rsidTr="009333D5">
        <w:tc>
          <w:tcPr>
            <w:tcW w:w="2714" w:type="dxa"/>
            <w:shd w:val="clear" w:color="auto" w:fill="auto"/>
          </w:tcPr>
          <w:p w:rsidR="00D209F2" w:rsidRPr="00AF3522" w:rsidRDefault="00D209F2" w:rsidP="00C0673E">
            <w:r w:rsidRPr="00AF3522">
              <w:t>IT</w:t>
            </w:r>
          </w:p>
        </w:tc>
        <w:tc>
          <w:tcPr>
            <w:tcW w:w="6980" w:type="dxa"/>
            <w:shd w:val="clear" w:color="auto" w:fill="auto"/>
          </w:tcPr>
          <w:p w:rsidR="00D209F2" w:rsidRPr="00AF3522" w:rsidRDefault="00D209F2" w:rsidP="00C0673E">
            <w:r w:rsidRPr="00AF3522">
              <w:t>Information technology</w:t>
            </w:r>
          </w:p>
        </w:tc>
      </w:tr>
      <w:tr w:rsidR="0037228D" w:rsidRPr="0037228D" w:rsidTr="009333D5">
        <w:tc>
          <w:tcPr>
            <w:tcW w:w="2714" w:type="dxa"/>
            <w:shd w:val="clear" w:color="auto" w:fill="auto"/>
          </w:tcPr>
          <w:p w:rsidR="0037228D" w:rsidRPr="00AF3522" w:rsidRDefault="0037228D" w:rsidP="00C0673E">
            <w:r w:rsidRPr="00AF3522">
              <w:t>ITS</w:t>
            </w:r>
          </w:p>
        </w:tc>
        <w:tc>
          <w:tcPr>
            <w:tcW w:w="6980" w:type="dxa"/>
            <w:shd w:val="clear" w:color="auto" w:fill="auto"/>
          </w:tcPr>
          <w:p w:rsidR="0037228D" w:rsidRPr="00AF3522" w:rsidRDefault="0037228D" w:rsidP="00C0673E">
            <w:r w:rsidRPr="00AF3522">
              <w:t>Information Technology Services</w:t>
            </w:r>
          </w:p>
        </w:tc>
      </w:tr>
      <w:tr w:rsidR="00D209F2" w:rsidRPr="009C703E" w:rsidTr="009333D5">
        <w:tc>
          <w:tcPr>
            <w:tcW w:w="2714" w:type="dxa"/>
            <w:shd w:val="clear" w:color="auto" w:fill="auto"/>
          </w:tcPr>
          <w:p w:rsidR="00D209F2" w:rsidRPr="00AF3522" w:rsidRDefault="00D209F2" w:rsidP="00C0673E">
            <w:r w:rsidRPr="00AF3522">
              <w:t>Jurisdictions</w:t>
            </w:r>
          </w:p>
        </w:tc>
        <w:tc>
          <w:tcPr>
            <w:tcW w:w="6980" w:type="dxa"/>
            <w:shd w:val="clear" w:color="auto" w:fill="auto"/>
          </w:tcPr>
          <w:p w:rsidR="00D209F2" w:rsidRPr="00AF3522" w:rsidRDefault="00D209F2" w:rsidP="00C0673E">
            <w:r w:rsidRPr="00AF3522">
              <w:t>Victorian courts and tribunal, which are the Supreme Court of Victoria, the County Court of Victoria, the Magistrates' Court of Victoria, the Children's Court of Victoria, the Coroners Court of Victoria and the Victorian Civil and Administrative Tribunal</w:t>
            </w:r>
          </w:p>
        </w:tc>
      </w:tr>
      <w:tr w:rsidR="00D209F2" w:rsidRPr="009C703E" w:rsidTr="009333D5">
        <w:tc>
          <w:tcPr>
            <w:tcW w:w="2714" w:type="dxa"/>
            <w:shd w:val="clear" w:color="auto" w:fill="auto"/>
          </w:tcPr>
          <w:p w:rsidR="00D209F2" w:rsidRPr="00AF3522" w:rsidRDefault="00D209F2" w:rsidP="00C0673E">
            <w:r w:rsidRPr="00AF3522">
              <w:t>Jurisdiction Services</w:t>
            </w:r>
          </w:p>
        </w:tc>
        <w:tc>
          <w:tcPr>
            <w:tcW w:w="6980" w:type="dxa"/>
            <w:shd w:val="clear" w:color="auto" w:fill="auto"/>
          </w:tcPr>
          <w:p w:rsidR="00D209F2" w:rsidRPr="00AF3522" w:rsidRDefault="00D209F2" w:rsidP="00C0673E">
            <w:r w:rsidRPr="00AF3522">
              <w:t>Collective term used i</w:t>
            </w:r>
            <w:r w:rsidR="00CA331C" w:rsidRPr="00AF3522">
              <w:t>nternally to refer to the four d</w:t>
            </w:r>
            <w:r w:rsidRPr="00AF3522">
              <w:t xml:space="preserve">ivisions within CSV </w:t>
            </w:r>
          </w:p>
        </w:tc>
      </w:tr>
      <w:tr w:rsidR="00D209F2" w:rsidRPr="009C703E" w:rsidTr="009333D5">
        <w:tc>
          <w:tcPr>
            <w:tcW w:w="2714" w:type="dxa"/>
            <w:shd w:val="clear" w:color="auto" w:fill="auto"/>
          </w:tcPr>
          <w:p w:rsidR="00D209F2" w:rsidRPr="00AF3522" w:rsidRDefault="00D209F2" w:rsidP="00C0673E">
            <w:r w:rsidRPr="00AF3522">
              <w:t xml:space="preserve">MOU </w:t>
            </w:r>
          </w:p>
        </w:tc>
        <w:tc>
          <w:tcPr>
            <w:tcW w:w="6980" w:type="dxa"/>
            <w:shd w:val="clear" w:color="auto" w:fill="auto"/>
          </w:tcPr>
          <w:p w:rsidR="00D209F2" w:rsidRPr="00AF3522" w:rsidRDefault="00D209F2" w:rsidP="00C0673E">
            <w:r w:rsidRPr="00AF3522">
              <w:t>Memorandum of Understanding</w:t>
            </w:r>
          </w:p>
        </w:tc>
      </w:tr>
      <w:tr w:rsidR="00D209F2" w:rsidRPr="009C703E" w:rsidTr="009333D5">
        <w:tc>
          <w:tcPr>
            <w:tcW w:w="2714" w:type="dxa"/>
            <w:shd w:val="clear" w:color="auto" w:fill="auto"/>
          </w:tcPr>
          <w:p w:rsidR="00D209F2" w:rsidRPr="00AF3522" w:rsidRDefault="00D209F2" w:rsidP="00C0673E">
            <w:r w:rsidRPr="00AF3522">
              <w:t xml:space="preserve">OH&amp;S </w:t>
            </w:r>
          </w:p>
        </w:tc>
        <w:tc>
          <w:tcPr>
            <w:tcW w:w="6980" w:type="dxa"/>
            <w:shd w:val="clear" w:color="auto" w:fill="auto"/>
          </w:tcPr>
          <w:p w:rsidR="00D209F2" w:rsidRPr="00AF3522" w:rsidRDefault="00D209F2" w:rsidP="00C0673E">
            <w:r w:rsidRPr="00AF3522">
              <w:t>Occupational health and safety</w:t>
            </w:r>
          </w:p>
        </w:tc>
      </w:tr>
      <w:tr w:rsidR="0037228D" w:rsidRPr="009C703E" w:rsidTr="009333D5">
        <w:tc>
          <w:tcPr>
            <w:tcW w:w="2714" w:type="dxa"/>
            <w:shd w:val="clear" w:color="auto" w:fill="auto"/>
          </w:tcPr>
          <w:p w:rsidR="0037228D" w:rsidRPr="00AF3522" w:rsidRDefault="0037228D" w:rsidP="00C0673E">
            <w:r w:rsidRPr="00AF3522">
              <w:t>RDA</w:t>
            </w:r>
          </w:p>
        </w:tc>
        <w:tc>
          <w:tcPr>
            <w:tcW w:w="6980" w:type="dxa"/>
            <w:shd w:val="clear" w:color="auto" w:fill="auto"/>
          </w:tcPr>
          <w:p w:rsidR="0037228D" w:rsidRPr="00AF3522" w:rsidRDefault="0037228D" w:rsidP="00C0673E">
            <w:r w:rsidRPr="00AF3522">
              <w:rPr>
                <w:rFonts w:ascii="Helv" w:hAnsi="Helv" w:cs="Helv"/>
                <w:color w:val="000000"/>
              </w:rPr>
              <w:t xml:space="preserve">Retention and Disposal Authority </w:t>
            </w:r>
          </w:p>
        </w:tc>
      </w:tr>
      <w:tr w:rsidR="00D209F2" w:rsidRPr="00D209F2" w:rsidTr="009333D5">
        <w:tc>
          <w:tcPr>
            <w:tcW w:w="2714" w:type="dxa"/>
            <w:shd w:val="clear" w:color="auto" w:fill="auto"/>
          </w:tcPr>
          <w:p w:rsidR="00D209F2" w:rsidRPr="00AF3522" w:rsidRDefault="00D209F2" w:rsidP="00C0673E">
            <w:r w:rsidRPr="00AF3522">
              <w:t xml:space="preserve">VCAT </w:t>
            </w:r>
          </w:p>
        </w:tc>
        <w:tc>
          <w:tcPr>
            <w:tcW w:w="6980" w:type="dxa"/>
            <w:shd w:val="clear" w:color="auto" w:fill="auto"/>
          </w:tcPr>
          <w:p w:rsidR="00D209F2" w:rsidRPr="00AF3522" w:rsidRDefault="00D209F2" w:rsidP="00C0673E">
            <w:r w:rsidRPr="00AF3522">
              <w:t xml:space="preserve">Victorian Civil and Administrative Tribunal </w:t>
            </w:r>
          </w:p>
        </w:tc>
      </w:tr>
      <w:tr w:rsidR="00D209F2" w:rsidRPr="00CA331C" w:rsidTr="009333D5">
        <w:tc>
          <w:tcPr>
            <w:tcW w:w="2714" w:type="dxa"/>
            <w:shd w:val="clear" w:color="auto" w:fill="auto"/>
          </w:tcPr>
          <w:p w:rsidR="00D209F2" w:rsidRPr="00AF3522" w:rsidRDefault="00D209F2" w:rsidP="00C0673E">
            <w:r w:rsidRPr="00AF3522">
              <w:t xml:space="preserve">VGRS </w:t>
            </w:r>
          </w:p>
        </w:tc>
        <w:tc>
          <w:tcPr>
            <w:tcW w:w="6980" w:type="dxa"/>
            <w:shd w:val="clear" w:color="auto" w:fill="auto"/>
          </w:tcPr>
          <w:p w:rsidR="00D209F2" w:rsidRPr="00AF3522" w:rsidRDefault="00D209F2" w:rsidP="002B5AC8">
            <w:r w:rsidRPr="00AF3522">
              <w:t>Victorian Government Re</w:t>
            </w:r>
            <w:r w:rsidR="002B5AC8" w:rsidRPr="00AF3522">
              <w:t>porting</w:t>
            </w:r>
            <w:r w:rsidRPr="00AF3522">
              <w:t xml:space="preserve"> Service </w:t>
            </w:r>
          </w:p>
        </w:tc>
      </w:tr>
      <w:tr w:rsidR="00D209F2" w:rsidRPr="009C703E" w:rsidTr="009333D5">
        <w:tc>
          <w:tcPr>
            <w:tcW w:w="2714" w:type="dxa"/>
            <w:shd w:val="clear" w:color="auto" w:fill="auto"/>
          </w:tcPr>
          <w:p w:rsidR="00D209F2" w:rsidRPr="00F60986" w:rsidRDefault="00D209F2" w:rsidP="00C0673E">
            <w:r w:rsidRPr="00F60986">
              <w:t>VPS</w:t>
            </w:r>
          </w:p>
        </w:tc>
        <w:tc>
          <w:tcPr>
            <w:tcW w:w="6980" w:type="dxa"/>
            <w:shd w:val="clear" w:color="auto" w:fill="auto"/>
          </w:tcPr>
          <w:p w:rsidR="00D209F2" w:rsidRPr="00F60986" w:rsidRDefault="00D209F2" w:rsidP="00C0673E">
            <w:r w:rsidRPr="00F60986">
              <w:t>Victorian Public Service</w:t>
            </w:r>
          </w:p>
        </w:tc>
      </w:tr>
    </w:tbl>
    <w:p w:rsidR="00D209F2" w:rsidRDefault="00D209F2" w:rsidP="00D209F2"/>
    <w:p w:rsidR="006567EB" w:rsidRDefault="006567EB" w:rsidP="006567EB">
      <w:bookmarkStart w:id="44" w:name="_GoBack"/>
      <w:bookmarkEnd w:id="44"/>
    </w:p>
    <w:sectPr w:rsidR="006567EB" w:rsidSect="00BD5FC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FB" w:rsidRDefault="006725FB" w:rsidP="0017170F">
      <w:r>
        <w:separator/>
      </w:r>
    </w:p>
  </w:endnote>
  <w:endnote w:type="continuationSeparator" w:id="0">
    <w:p w:rsidR="006725FB" w:rsidRDefault="006725FB" w:rsidP="0017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DI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70D" w:rsidRDefault="00D1670D">
    <w:pPr>
      <w:pStyle w:val="Footer"/>
      <w:jc w:val="right"/>
    </w:pPr>
    <w:r>
      <w:fldChar w:fldCharType="begin"/>
    </w:r>
    <w:r>
      <w:instrText xml:space="preserve"> PAGE   \* MERGEFORMAT </w:instrText>
    </w:r>
    <w:r>
      <w:fldChar w:fldCharType="separate"/>
    </w:r>
    <w:r w:rsidR="0011701C">
      <w:rPr>
        <w:noProof/>
      </w:rPr>
      <w:t>47</w:t>
    </w:r>
    <w:r>
      <w:rPr>
        <w:noProof/>
      </w:rPr>
      <w:fldChar w:fldCharType="end"/>
    </w:r>
  </w:p>
  <w:p w:rsidR="00D1670D" w:rsidRPr="005562C5" w:rsidRDefault="00D1670D" w:rsidP="00556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70D" w:rsidRDefault="00D1670D" w:rsidP="00F34F4A">
    <w:pPr>
      <w:pStyle w:val="Footer"/>
      <w:tabs>
        <w:tab w:val="clear" w:pos="4513"/>
        <w:tab w:val="clear" w:pos="9026"/>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FB" w:rsidRDefault="006725FB" w:rsidP="0017170F">
      <w:r>
        <w:separator/>
      </w:r>
    </w:p>
  </w:footnote>
  <w:footnote w:type="continuationSeparator" w:id="0">
    <w:p w:rsidR="006725FB" w:rsidRDefault="006725FB" w:rsidP="0017170F">
      <w:r>
        <w:continuationSeparator/>
      </w:r>
    </w:p>
  </w:footnote>
  <w:footnote w:id="1">
    <w:p w:rsidR="00D1670D" w:rsidRPr="009D1967" w:rsidRDefault="00D1670D" w:rsidP="004A16EA">
      <w:pPr>
        <w:pStyle w:val="FootnoteText"/>
      </w:pPr>
      <w:r>
        <w:rPr>
          <w:rStyle w:val="FootnoteReference"/>
        </w:rPr>
        <w:footnoteRef/>
      </w:r>
      <w:r>
        <w:t xml:space="preserve"> </w:t>
      </w:r>
      <w:r w:rsidRPr="009D1967">
        <w:t>This figure relates to actual revenue.</w:t>
      </w:r>
    </w:p>
  </w:footnote>
  <w:footnote w:id="2">
    <w:p w:rsidR="00D1670D" w:rsidRPr="009D1967" w:rsidRDefault="00D1670D" w:rsidP="004A16EA">
      <w:pPr>
        <w:pStyle w:val="FootnoteText"/>
      </w:pPr>
      <w:r>
        <w:rPr>
          <w:rStyle w:val="FootnoteReference"/>
        </w:rPr>
        <w:footnoteRef/>
      </w:r>
      <w:r>
        <w:t xml:space="preserve"> </w:t>
      </w:r>
      <w:r w:rsidRPr="009D1967">
        <w:t xml:space="preserve">Under section 29 of the </w:t>
      </w:r>
      <w:r w:rsidRPr="00981EEE">
        <w:t>Financial Management Act</w:t>
      </w:r>
      <w:r>
        <w:t>,</w:t>
      </w:r>
      <w:r w:rsidRPr="00981EEE">
        <w:t xml:space="preserve"> </w:t>
      </w:r>
      <w:r w:rsidRPr="009D1967">
        <w:t>which provides for the appropriation of certain revenues for relevant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D8C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4450E"/>
    <w:multiLevelType w:val="hybridMultilevel"/>
    <w:tmpl w:val="9FC82B3A"/>
    <w:lvl w:ilvl="0" w:tplc="04090017">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197F7E"/>
    <w:multiLevelType w:val="hybridMultilevel"/>
    <w:tmpl w:val="9D82F3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A325F08"/>
    <w:multiLevelType w:val="hybridMultilevel"/>
    <w:tmpl w:val="0608D6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7051FA"/>
    <w:multiLevelType w:val="hybridMultilevel"/>
    <w:tmpl w:val="EFF4F9F8"/>
    <w:lvl w:ilvl="0" w:tplc="1F881F08">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1ADB77A7"/>
    <w:multiLevelType w:val="hybridMultilevel"/>
    <w:tmpl w:val="5E542F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1DE21245"/>
    <w:multiLevelType w:val="hybridMultilevel"/>
    <w:tmpl w:val="5E102A3E"/>
    <w:lvl w:ilvl="0" w:tplc="5AEEF83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2BE1988"/>
    <w:multiLevelType w:val="multilevel"/>
    <w:tmpl w:val="1EC24F2E"/>
    <w:lvl w:ilvl="0">
      <w:start w:val="1"/>
      <w:numFmt w:val="decimal"/>
      <w:pStyle w:val="NumberList1"/>
      <w:lvlText w:val="%1."/>
      <w:lvlJc w:val="left"/>
      <w:pPr>
        <w:tabs>
          <w:tab w:val="num" w:pos="357"/>
        </w:tabs>
        <w:ind w:left="357" w:hanging="357"/>
      </w:pPr>
      <w:rPr>
        <w:rFonts w:ascii="Arial" w:hAnsi="Arial" w:cs="Times New Roman" w:hint="default"/>
        <w:b w:val="0"/>
        <w:i w:val="0"/>
      </w:rPr>
    </w:lvl>
    <w:lvl w:ilvl="1">
      <w:start w:val="1"/>
      <w:numFmt w:val="lowerLetter"/>
      <w:pStyle w:val="NumberList2"/>
      <w:lvlText w:val="%2)"/>
      <w:lvlJc w:val="left"/>
      <w:pPr>
        <w:tabs>
          <w:tab w:val="num" w:pos="714"/>
        </w:tabs>
        <w:ind w:left="714" w:hanging="357"/>
      </w:pPr>
      <w:rPr>
        <w:rFonts w:cs="Times New Roman" w:hint="default"/>
      </w:rPr>
    </w:lvl>
    <w:lvl w:ilvl="2">
      <w:start w:val="1"/>
      <w:numFmt w:val="lowerRoman"/>
      <w:pStyle w:val="NumberList3"/>
      <w:lvlText w:val="%3"/>
      <w:lvlJc w:val="left"/>
      <w:pPr>
        <w:tabs>
          <w:tab w:val="num" w:pos="1134"/>
        </w:tabs>
        <w:ind w:left="1134" w:hanging="397"/>
      </w:pPr>
      <w:rPr>
        <w:rFonts w:cs="Times New Roman" w:hint="default"/>
      </w:rPr>
    </w:lvl>
    <w:lvl w:ilvl="3">
      <w:start w:val="1"/>
      <w:numFmt w:val="upperLetter"/>
      <w:lvlText w:val="(%4)"/>
      <w:lvlJc w:val="left"/>
      <w:pPr>
        <w:tabs>
          <w:tab w:val="num" w:pos="3119"/>
        </w:tabs>
        <w:ind w:left="3119" w:hanging="567"/>
      </w:pPr>
      <w:rPr>
        <w:rFonts w:cs="Times New Roman" w:hint="default"/>
      </w:rPr>
    </w:lvl>
    <w:lvl w:ilvl="4">
      <w:start w:val="1"/>
      <w:numFmt w:val="upperRoman"/>
      <w:lvlText w:val="(%5)"/>
      <w:lvlJc w:val="left"/>
      <w:pPr>
        <w:tabs>
          <w:tab w:val="num" w:pos="4253"/>
        </w:tabs>
        <w:ind w:left="4253" w:hanging="851"/>
      </w:pPr>
      <w:rPr>
        <w:rFonts w:cs="Times New Roman" w:hint="default"/>
      </w:rPr>
    </w:lvl>
    <w:lvl w:ilvl="5">
      <w:start w:val="1"/>
      <w:numFmt w:val="lowerRoman"/>
      <w:lvlText w:val="(%6)"/>
      <w:lvlJc w:val="left"/>
      <w:pPr>
        <w:tabs>
          <w:tab w:val="num" w:pos="5103"/>
        </w:tabs>
        <w:ind w:left="5103" w:hanging="850"/>
      </w:pPr>
      <w:rPr>
        <w:rFonts w:cs="Times New Roman" w:hint="default"/>
      </w:rPr>
    </w:lvl>
    <w:lvl w:ilvl="6">
      <w:start w:val="1"/>
      <w:numFmt w:val="decimal"/>
      <w:lvlText w:val="%7)"/>
      <w:lvlJc w:val="left"/>
      <w:pPr>
        <w:tabs>
          <w:tab w:val="num" w:pos="5954"/>
        </w:tabs>
        <w:ind w:left="5954" w:hanging="851"/>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8"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9B2156"/>
    <w:multiLevelType w:val="singleLevel"/>
    <w:tmpl w:val="F606DD84"/>
    <w:lvl w:ilvl="0">
      <w:start w:val="1"/>
      <w:numFmt w:val="bullet"/>
      <w:pStyle w:val="BodyText-List"/>
      <w:lvlText w:val=""/>
      <w:lvlJc w:val="left"/>
      <w:pPr>
        <w:ind w:left="540" w:hanging="360"/>
      </w:pPr>
      <w:rPr>
        <w:rFonts w:ascii="Wingdings 3" w:hAnsi="Wingdings 3" w:hint="default"/>
        <w:color w:val="7F7F7F"/>
        <w:sz w:val="18"/>
      </w:rPr>
    </w:lvl>
  </w:abstractNum>
  <w:abstractNum w:abstractNumId="20"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C07E17"/>
    <w:multiLevelType w:val="hybridMultilevel"/>
    <w:tmpl w:val="3AFC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E742F2"/>
    <w:multiLevelType w:val="hybridMultilevel"/>
    <w:tmpl w:val="1E446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BC6D30"/>
    <w:multiLevelType w:val="hybridMultilevel"/>
    <w:tmpl w:val="1752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016DAB"/>
    <w:multiLevelType w:val="hybridMultilevel"/>
    <w:tmpl w:val="28CEE8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8B0A6D"/>
    <w:multiLevelType w:val="hybridMultilevel"/>
    <w:tmpl w:val="7410F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2"/>
  </w:num>
  <w:num w:numId="18">
    <w:abstractNumId w:val="11"/>
  </w:num>
  <w:num w:numId="19">
    <w:abstractNumId w:val="17"/>
  </w:num>
  <w:num w:numId="20">
    <w:abstractNumId w:val="12"/>
  </w:num>
  <w:num w:numId="21">
    <w:abstractNumId w:val="21"/>
  </w:num>
  <w:num w:numId="22">
    <w:abstractNumId w:val="16"/>
  </w:num>
  <w:num w:numId="23">
    <w:abstractNumId w:val="14"/>
  </w:num>
  <w:num w:numId="24">
    <w:abstractNumId w:val="25"/>
  </w:num>
  <w:num w:numId="25">
    <w:abstractNumId w:val="24"/>
  </w:num>
  <w:num w:numId="26">
    <w:abstractNumId w:val="13"/>
  </w:num>
  <w:num w:numId="2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F7"/>
    <w:rsid w:val="00006016"/>
    <w:rsid w:val="000069C2"/>
    <w:rsid w:val="00006A66"/>
    <w:rsid w:val="000110AA"/>
    <w:rsid w:val="00011976"/>
    <w:rsid w:val="00013DB0"/>
    <w:rsid w:val="00015B3F"/>
    <w:rsid w:val="00017C09"/>
    <w:rsid w:val="000205E6"/>
    <w:rsid w:val="00022644"/>
    <w:rsid w:val="000270B8"/>
    <w:rsid w:val="00030A31"/>
    <w:rsid w:val="00036974"/>
    <w:rsid w:val="0003770C"/>
    <w:rsid w:val="0004018E"/>
    <w:rsid w:val="00040AB9"/>
    <w:rsid w:val="000410C9"/>
    <w:rsid w:val="00041A46"/>
    <w:rsid w:val="00045C2D"/>
    <w:rsid w:val="00050D46"/>
    <w:rsid w:val="00051966"/>
    <w:rsid w:val="00051E11"/>
    <w:rsid w:val="00054D9E"/>
    <w:rsid w:val="000569E0"/>
    <w:rsid w:val="00064471"/>
    <w:rsid w:val="000649CD"/>
    <w:rsid w:val="00067834"/>
    <w:rsid w:val="0007470A"/>
    <w:rsid w:val="00074D79"/>
    <w:rsid w:val="000807DD"/>
    <w:rsid w:val="0008217F"/>
    <w:rsid w:val="0008229F"/>
    <w:rsid w:val="000836CA"/>
    <w:rsid w:val="00083CE2"/>
    <w:rsid w:val="00086B4B"/>
    <w:rsid w:val="00090510"/>
    <w:rsid w:val="000908A1"/>
    <w:rsid w:val="00090DBB"/>
    <w:rsid w:val="0009156E"/>
    <w:rsid w:val="000931B9"/>
    <w:rsid w:val="0009388F"/>
    <w:rsid w:val="000941A1"/>
    <w:rsid w:val="000A26B5"/>
    <w:rsid w:val="000A4423"/>
    <w:rsid w:val="000A612F"/>
    <w:rsid w:val="000A686B"/>
    <w:rsid w:val="000B1F6C"/>
    <w:rsid w:val="000B2075"/>
    <w:rsid w:val="000B3516"/>
    <w:rsid w:val="000B6883"/>
    <w:rsid w:val="000B6ABB"/>
    <w:rsid w:val="000B7945"/>
    <w:rsid w:val="000C1459"/>
    <w:rsid w:val="000C5C58"/>
    <w:rsid w:val="000D1A2C"/>
    <w:rsid w:val="000D3B9B"/>
    <w:rsid w:val="000D7F34"/>
    <w:rsid w:val="000E0293"/>
    <w:rsid w:val="000E4E1C"/>
    <w:rsid w:val="000E65AF"/>
    <w:rsid w:val="000F2F70"/>
    <w:rsid w:val="00100ECC"/>
    <w:rsid w:val="00101C26"/>
    <w:rsid w:val="00102875"/>
    <w:rsid w:val="001034E9"/>
    <w:rsid w:val="00116A5F"/>
    <w:rsid w:val="0011701C"/>
    <w:rsid w:val="00120329"/>
    <w:rsid w:val="00120470"/>
    <w:rsid w:val="00125396"/>
    <w:rsid w:val="00132ACB"/>
    <w:rsid w:val="00135E96"/>
    <w:rsid w:val="00136CEB"/>
    <w:rsid w:val="00141C1A"/>
    <w:rsid w:val="0014299E"/>
    <w:rsid w:val="00144C94"/>
    <w:rsid w:val="001545C8"/>
    <w:rsid w:val="00154766"/>
    <w:rsid w:val="001553F2"/>
    <w:rsid w:val="00156363"/>
    <w:rsid w:val="00156875"/>
    <w:rsid w:val="00156A58"/>
    <w:rsid w:val="00156C26"/>
    <w:rsid w:val="001579AB"/>
    <w:rsid w:val="001615E1"/>
    <w:rsid w:val="00161D77"/>
    <w:rsid w:val="0016259B"/>
    <w:rsid w:val="00163E92"/>
    <w:rsid w:val="00165450"/>
    <w:rsid w:val="0016570F"/>
    <w:rsid w:val="0016757B"/>
    <w:rsid w:val="00170CF6"/>
    <w:rsid w:val="0017170F"/>
    <w:rsid w:val="001729D6"/>
    <w:rsid w:val="00173CF4"/>
    <w:rsid w:val="0017466D"/>
    <w:rsid w:val="001748AF"/>
    <w:rsid w:val="00175415"/>
    <w:rsid w:val="00176A5B"/>
    <w:rsid w:val="00177CC4"/>
    <w:rsid w:val="00181D51"/>
    <w:rsid w:val="00183D28"/>
    <w:rsid w:val="0018763B"/>
    <w:rsid w:val="001900C3"/>
    <w:rsid w:val="00193030"/>
    <w:rsid w:val="00194B0A"/>
    <w:rsid w:val="0019625E"/>
    <w:rsid w:val="001A15AA"/>
    <w:rsid w:val="001A27C9"/>
    <w:rsid w:val="001A2D06"/>
    <w:rsid w:val="001A442B"/>
    <w:rsid w:val="001A675F"/>
    <w:rsid w:val="001B0757"/>
    <w:rsid w:val="001B3967"/>
    <w:rsid w:val="001B4444"/>
    <w:rsid w:val="001B5F55"/>
    <w:rsid w:val="001B62B3"/>
    <w:rsid w:val="001B676F"/>
    <w:rsid w:val="001C1311"/>
    <w:rsid w:val="001C4F55"/>
    <w:rsid w:val="001C5258"/>
    <w:rsid w:val="001D2BDD"/>
    <w:rsid w:val="001D3F26"/>
    <w:rsid w:val="001D6A27"/>
    <w:rsid w:val="001E18B9"/>
    <w:rsid w:val="001E1BFB"/>
    <w:rsid w:val="001E4BC9"/>
    <w:rsid w:val="001E6435"/>
    <w:rsid w:val="001F061D"/>
    <w:rsid w:val="001F075A"/>
    <w:rsid w:val="001F1297"/>
    <w:rsid w:val="001F6535"/>
    <w:rsid w:val="001F6D68"/>
    <w:rsid w:val="002030AB"/>
    <w:rsid w:val="00203BB1"/>
    <w:rsid w:val="00204685"/>
    <w:rsid w:val="00206720"/>
    <w:rsid w:val="00206EB4"/>
    <w:rsid w:val="00211DD5"/>
    <w:rsid w:val="00212312"/>
    <w:rsid w:val="002154E5"/>
    <w:rsid w:val="002160F4"/>
    <w:rsid w:val="002165F9"/>
    <w:rsid w:val="002169E1"/>
    <w:rsid w:val="00217150"/>
    <w:rsid w:val="00227FFC"/>
    <w:rsid w:val="002317CA"/>
    <w:rsid w:val="002334BE"/>
    <w:rsid w:val="002341C4"/>
    <w:rsid w:val="00235114"/>
    <w:rsid w:val="00235185"/>
    <w:rsid w:val="00235CD6"/>
    <w:rsid w:val="002373EC"/>
    <w:rsid w:val="00241441"/>
    <w:rsid w:val="00244910"/>
    <w:rsid w:val="002469C3"/>
    <w:rsid w:val="00260B60"/>
    <w:rsid w:val="0026354F"/>
    <w:rsid w:val="00266E6D"/>
    <w:rsid w:val="00273096"/>
    <w:rsid w:val="002741BE"/>
    <w:rsid w:val="00275D2A"/>
    <w:rsid w:val="0028018F"/>
    <w:rsid w:val="00283106"/>
    <w:rsid w:val="00283968"/>
    <w:rsid w:val="00283D09"/>
    <w:rsid w:val="00283F2A"/>
    <w:rsid w:val="0028430E"/>
    <w:rsid w:val="00284D9C"/>
    <w:rsid w:val="002870E7"/>
    <w:rsid w:val="00290B62"/>
    <w:rsid w:val="00292FE3"/>
    <w:rsid w:val="00293C30"/>
    <w:rsid w:val="00294F67"/>
    <w:rsid w:val="002974B6"/>
    <w:rsid w:val="00297EB8"/>
    <w:rsid w:val="002A1010"/>
    <w:rsid w:val="002A19DD"/>
    <w:rsid w:val="002A25DA"/>
    <w:rsid w:val="002A4E32"/>
    <w:rsid w:val="002A6EF3"/>
    <w:rsid w:val="002B20E7"/>
    <w:rsid w:val="002B224C"/>
    <w:rsid w:val="002B2838"/>
    <w:rsid w:val="002B5AC8"/>
    <w:rsid w:val="002B6010"/>
    <w:rsid w:val="002C3A56"/>
    <w:rsid w:val="002C3A8B"/>
    <w:rsid w:val="002C3B13"/>
    <w:rsid w:val="002C5623"/>
    <w:rsid w:val="002D04C8"/>
    <w:rsid w:val="002D12CC"/>
    <w:rsid w:val="002D234A"/>
    <w:rsid w:val="002D27B5"/>
    <w:rsid w:val="002D3822"/>
    <w:rsid w:val="002D5DEA"/>
    <w:rsid w:val="002D7011"/>
    <w:rsid w:val="002D7DE8"/>
    <w:rsid w:val="002E1BA0"/>
    <w:rsid w:val="002F0F12"/>
    <w:rsid w:val="002F33A6"/>
    <w:rsid w:val="002F6E01"/>
    <w:rsid w:val="002F7F38"/>
    <w:rsid w:val="00300B7A"/>
    <w:rsid w:val="00306752"/>
    <w:rsid w:val="003102AC"/>
    <w:rsid w:val="0031141A"/>
    <w:rsid w:val="00316FB0"/>
    <w:rsid w:val="00321CC7"/>
    <w:rsid w:val="00325069"/>
    <w:rsid w:val="00326EBB"/>
    <w:rsid w:val="00327786"/>
    <w:rsid w:val="003278E8"/>
    <w:rsid w:val="00330F06"/>
    <w:rsid w:val="00331EC7"/>
    <w:rsid w:val="00335E96"/>
    <w:rsid w:val="003410E8"/>
    <w:rsid w:val="00342CB2"/>
    <w:rsid w:val="00344CA8"/>
    <w:rsid w:val="00345CAA"/>
    <w:rsid w:val="00345FF1"/>
    <w:rsid w:val="00346C12"/>
    <w:rsid w:val="003470D2"/>
    <w:rsid w:val="003507CC"/>
    <w:rsid w:val="00350D2A"/>
    <w:rsid w:val="00356648"/>
    <w:rsid w:val="003623CE"/>
    <w:rsid w:val="00366EF2"/>
    <w:rsid w:val="00370B5A"/>
    <w:rsid w:val="0037159D"/>
    <w:rsid w:val="0037228D"/>
    <w:rsid w:val="00373A01"/>
    <w:rsid w:val="0037629A"/>
    <w:rsid w:val="00377033"/>
    <w:rsid w:val="003875F9"/>
    <w:rsid w:val="00390DF3"/>
    <w:rsid w:val="00391E73"/>
    <w:rsid w:val="003920F2"/>
    <w:rsid w:val="00392765"/>
    <w:rsid w:val="00395B12"/>
    <w:rsid w:val="00396C9C"/>
    <w:rsid w:val="00397367"/>
    <w:rsid w:val="003A50C3"/>
    <w:rsid w:val="003A56F9"/>
    <w:rsid w:val="003B0E5F"/>
    <w:rsid w:val="003B18FA"/>
    <w:rsid w:val="003B68D6"/>
    <w:rsid w:val="003B7159"/>
    <w:rsid w:val="003C0243"/>
    <w:rsid w:val="003C078A"/>
    <w:rsid w:val="003C1859"/>
    <w:rsid w:val="003C59E4"/>
    <w:rsid w:val="003C7214"/>
    <w:rsid w:val="003D1E65"/>
    <w:rsid w:val="003D2FCF"/>
    <w:rsid w:val="003D6C75"/>
    <w:rsid w:val="003E2C02"/>
    <w:rsid w:val="003E4703"/>
    <w:rsid w:val="003E47E4"/>
    <w:rsid w:val="003E53E3"/>
    <w:rsid w:val="003F0468"/>
    <w:rsid w:val="003F457C"/>
    <w:rsid w:val="003F46B8"/>
    <w:rsid w:val="003F5340"/>
    <w:rsid w:val="003F62DB"/>
    <w:rsid w:val="003F6F4B"/>
    <w:rsid w:val="00400888"/>
    <w:rsid w:val="004018D4"/>
    <w:rsid w:val="00402C4C"/>
    <w:rsid w:val="0040490C"/>
    <w:rsid w:val="004068A9"/>
    <w:rsid w:val="004079F1"/>
    <w:rsid w:val="0041228E"/>
    <w:rsid w:val="00415236"/>
    <w:rsid w:val="00420888"/>
    <w:rsid w:val="004225AD"/>
    <w:rsid w:val="0042278D"/>
    <w:rsid w:val="00425BF7"/>
    <w:rsid w:val="004272E2"/>
    <w:rsid w:val="0043431E"/>
    <w:rsid w:val="00437C15"/>
    <w:rsid w:val="0044109B"/>
    <w:rsid w:val="00441D08"/>
    <w:rsid w:val="00444024"/>
    <w:rsid w:val="0044681A"/>
    <w:rsid w:val="004474DF"/>
    <w:rsid w:val="00447FE9"/>
    <w:rsid w:val="00450D7F"/>
    <w:rsid w:val="00451CC4"/>
    <w:rsid w:val="00452532"/>
    <w:rsid w:val="00452D66"/>
    <w:rsid w:val="004540BD"/>
    <w:rsid w:val="00454FF5"/>
    <w:rsid w:val="00455430"/>
    <w:rsid w:val="00456361"/>
    <w:rsid w:val="00456FD9"/>
    <w:rsid w:val="00462AEA"/>
    <w:rsid w:val="0046332A"/>
    <w:rsid w:val="00463EC2"/>
    <w:rsid w:val="00464CAF"/>
    <w:rsid w:val="00464E9C"/>
    <w:rsid w:val="00465EC4"/>
    <w:rsid w:val="004663EF"/>
    <w:rsid w:val="0046730C"/>
    <w:rsid w:val="00470181"/>
    <w:rsid w:val="004702CD"/>
    <w:rsid w:val="004754A2"/>
    <w:rsid w:val="004773FB"/>
    <w:rsid w:val="00485CC7"/>
    <w:rsid w:val="00486D52"/>
    <w:rsid w:val="004871C8"/>
    <w:rsid w:val="00491E64"/>
    <w:rsid w:val="00493135"/>
    <w:rsid w:val="00493ADA"/>
    <w:rsid w:val="00493F0C"/>
    <w:rsid w:val="0049469D"/>
    <w:rsid w:val="0049528C"/>
    <w:rsid w:val="004955ED"/>
    <w:rsid w:val="004A0989"/>
    <w:rsid w:val="004A16EA"/>
    <w:rsid w:val="004A584D"/>
    <w:rsid w:val="004A5C34"/>
    <w:rsid w:val="004A5D72"/>
    <w:rsid w:val="004A69BD"/>
    <w:rsid w:val="004A6BF7"/>
    <w:rsid w:val="004A7771"/>
    <w:rsid w:val="004B4179"/>
    <w:rsid w:val="004B46C5"/>
    <w:rsid w:val="004B6E8C"/>
    <w:rsid w:val="004C0786"/>
    <w:rsid w:val="004C0BF7"/>
    <w:rsid w:val="004C2E2F"/>
    <w:rsid w:val="004C3F70"/>
    <w:rsid w:val="004C4858"/>
    <w:rsid w:val="004C5298"/>
    <w:rsid w:val="004D4D16"/>
    <w:rsid w:val="004E01FA"/>
    <w:rsid w:val="004E0F54"/>
    <w:rsid w:val="004E34FC"/>
    <w:rsid w:val="004E5612"/>
    <w:rsid w:val="004F0DCF"/>
    <w:rsid w:val="004F23DC"/>
    <w:rsid w:val="004F3368"/>
    <w:rsid w:val="004F48BB"/>
    <w:rsid w:val="00500CB3"/>
    <w:rsid w:val="00500DD9"/>
    <w:rsid w:val="00501D0E"/>
    <w:rsid w:val="00502AA6"/>
    <w:rsid w:val="00502AB2"/>
    <w:rsid w:val="0050558A"/>
    <w:rsid w:val="00505D15"/>
    <w:rsid w:val="00505EE1"/>
    <w:rsid w:val="005070FE"/>
    <w:rsid w:val="005108E4"/>
    <w:rsid w:val="005109D6"/>
    <w:rsid w:val="005112F0"/>
    <w:rsid w:val="0051396D"/>
    <w:rsid w:val="00517CD1"/>
    <w:rsid w:val="00520C63"/>
    <w:rsid w:val="0052269E"/>
    <w:rsid w:val="00522EF5"/>
    <w:rsid w:val="00525810"/>
    <w:rsid w:val="00527946"/>
    <w:rsid w:val="005279FC"/>
    <w:rsid w:val="00530189"/>
    <w:rsid w:val="005302CB"/>
    <w:rsid w:val="00531859"/>
    <w:rsid w:val="00532B1B"/>
    <w:rsid w:val="0054278D"/>
    <w:rsid w:val="005431AA"/>
    <w:rsid w:val="0054451F"/>
    <w:rsid w:val="00544E0D"/>
    <w:rsid w:val="0054511A"/>
    <w:rsid w:val="005459C6"/>
    <w:rsid w:val="005465A7"/>
    <w:rsid w:val="0055000A"/>
    <w:rsid w:val="00553410"/>
    <w:rsid w:val="005562C5"/>
    <w:rsid w:val="005565B1"/>
    <w:rsid w:val="0055688B"/>
    <w:rsid w:val="00561829"/>
    <w:rsid w:val="00562EFA"/>
    <w:rsid w:val="00563B57"/>
    <w:rsid w:val="0056687B"/>
    <w:rsid w:val="0056756E"/>
    <w:rsid w:val="005709B5"/>
    <w:rsid w:val="00572A1D"/>
    <w:rsid w:val="00574770"/>
    <w:rsid w:val="00575406"/>
    <w:rsid w:val="005767BC"/>
    <w:rsid w:val="005779A1"/>
    <w:rsid w:val="00581CA0"/>
    <w:rsid w:val="00582EFF"/>
    <w:rsid w:val="00583014"/>
    <w:rsid w:val="00585477"/>
    <w:rsid w:val="00586060"/>
    <w:rsid w:val="00586204"/>
    <w:rsid w:val="00590D68"/>
    <w:rsid w:val="005910D5"/>
    <w:rsid w:val="005924E2"/>
    <w:rsid w:val="00594397"/>
    <w:rsid w:val="00594BD9"/>
    <w:rsid w:val="005975BD"/>
    <w:rsid w:val="005976B5"/>
    <w:rsid w:val="005A47D0"/>
    <w:rsid w:val="005A52D5"/>
    <w:rsid w:val="005A59E1"/>
    <w:rsid w:val="005A7A70"/>
    <w:rsid w:val="005A7BF9"/>
    <w:rsid w:val="005A7F23"/>
    <w:rsid w:val="005B0771"/>
    <w:rsid w:val="005B097A"/>
    <w:rsid w:val="005B2597"/>
    <w:rsid w:val="005B28C8"/>
    <w:rsid w:val="005B77AA"/>
    <w:rsid w:val="005B7DC9"/>
    <w:rsid w:val="005C2174"/>
    <w:rsid w:val="005C4439"/>
    <w:rsid w:val="005C48A7"/>
    <w:rsid w:val="005C4B16"/>
    <w:rsid w:val="005C5FD8"/>
    <w:rsid w:val="005C74E1"/>
    <w:rsid w:val="005D1843"/>
    <w:rsid w:val="005D299D"/>
    <w:rsid w:val="005D2D25"/>
    <w:rsid w:val="005D4A53"/>
    <w:rsid w:val="005D53E0"/>
    <w:rsid w:val="005D665B"/>
    <w:rsid w:val="005E0586"/>
    <w:rsid w:val="005E1898"/>
    <w:rsid w:val="005E23E0"/>
    <w:rsid w:val="005E2F3C"/>
    <w:rsid w:val="005E3022"/>
    <w:rsid w:val="005E414B"/>
    <w:rsid w:val="005E4D7E"/>
    <w:rsid w:val="005E547C"/>
    <w:rsid w:val="005F01D6"/>
    <w:rsid w:val="005F300A"/>
    <w:rsid w:val="005F46AA"/>
    <w:rsid w:val="005F50DF"/>
    <w:rsid w:val="0060135D"/>
    <w:rsid w:val="00601BF2"/>
    <w:rsid w:val="0060246D"/>
    <w:rsid w:val="00602AD1"/>
    <w:rsid w:val="006051B1"/>
    <w:rsid w:val="00606643"/>
    <w:rsid w:val="00607489"/>
    <w:rsid w:val="00607ABE"/>
    <w:rsid w:val="0061013E"/>
    <w:rsid w:val="00610766"/>
    <w:rsid w:val="00610BB7"/>
    <w:rsid w:val="00614009"/>
    <w:rsid w:val="00615556"/>
    <w:rsid w:val="00616655"/>
    <w:rsid w:val="006222D0"/>
    <w:rsid w:val="00624F0D"/>
    <w:rsid w:val="006304E2"/>
    <w:rsid w:val="00631F60"/>
    <w:rsid w:val="00632E41"/>
    <w:rsid w:val="00634F47"/>
    <w:rsid w:val="00635FF2"/>
    <w:rsid w:val="0063663A"/>
    <w:rsid w:val="00636BE5"/>
    <w:rsid w:val="00640C77"/>
    <w:rsid w:val="006418E6"/>
    <w:rsid w:val="00643BCF"/>
    <w:rsid w:val="006473E4"/>
    <w:rsid w:val="00651A53"/>
    <w:rsid w:val="00652022"/>
    <w:rsid w:val="00653CB0"/>
    <w:rsid w:val="006557BA"/>
    <w:rsid w:val="006567EB"/>
    <w:rsid w:val="006602C7"/>
    <w:rsid w:val="00661414"/>
    <w:rsid w:val="006630C3"/>
    <w:rsid w:val="006640BD"/>
    <w:rsid w:val="00665FC9"/>
    <w:rsid w:val="00667730"/>
    <w:rsid w:val="00667844"/>
    <w:rsid w:val="006725FB"/>
    <w:rsid w:val="00672C52"/>
    <w:rsid w:val="00674BB8"/>
    <w:rsid w:val="00674BE1"/>
    <w:rsid w:val="006752DE"/>
    <w:rsid w:val="0068250B"/>
    <w:rsid w:val="006826C2"/>
    <w:rsid w:val="00683E5A"/>
    <w:rsid w:val="00686226"/>
    <w:rsid w:val="00686DFF"/>
    <w:rsid w:val="006902F4"/>
    <w:rsid w:val="00694D81"/>
    <w:rsid w:val="00695E52"/>
    <w:rsid w:val="00697AB4"/>
    <w:rsid w:val="006A2887"/>
    <w:rsid w:val="006A4BFD"/>
    <w:rsid w:val="006A57E2"/>
    <w:rsid w:val="006A6290"/>
    <w:rsid w:val="006A67F1"/>
    <w:rsid w:val="006B53E1"/>
    <w:rsid w:val="006B54AE"/>
    <w:rsid w:val="006B704F"/>
    <w:rsid w:val="006C01DB"/>
    <w:rsid w:val="006C291A"/>
    <w:rsid w:val="006C2C80"/>
    <w:rsid w:val="006C3963"/>
    <w:rsid w:val="006D0FAA"/>
    <w:rsid w:val="006D12EC"/>
    <w:rsid w:val="006D5B41"/>
    <w:rsid w:val="006D7D75"/>
    <w:rsid w:val="006E0EA5"/>
    <w:rsid w:val="006E1E52"/>
    <w:rsid w:val="006E4E9D"/>
    <w:rsid w:val="006E5E01"/>
    <w:rsid w:val="006E6DCE"/>
    <w:rsid w:val="006E79B5"/>
    <w:rsid w:val="006F1723"/>
    <w:rsid w:val="006F179F"/>
    <w:rsid w:val="006F240E"/>
    <w:rsid w:val="006F3DB9"/>
    <w:rsid w:val="006F4B39"/>
    <w:rsid w:val="00700102"/>
    <w:rsid w:val="007045E8"/>
    <w:rsid w:val="00704CC7"/>
    <w:rsid w:val="007066C9"/>
    <w:rsid w:val="007111B2"/>
    <w:rsid w:val="00712A16"/>
    <w:rsid w:val="007132F0"/>
    <w:rsid w:val="007149E8"/>
    <w:rsid w:val="00715AB3"/>
    <w:rsid w:val="00715FD8"/>
    <w:rsid w:val="00727532"/>
    <w:rsid w:val="0073079B"/>
    <w:rsid w:val="00730FC2"/>
    <w:rsid w:val="00731B12"/>
    <w:rsid w:val="00731EBB"/>
    <w:rsid w:val="007324DF"/>
    <w:rsid w:val="00733608"/>
    <w:rsid w:val="00733750"/>
    <w:rsid w:val="00736F7A"/>
    <w:rsid w:val="0073781E"/>
    <w:rsid w:val="00741AE6"/>
    <w:rsid w:val="007421BC"/>
    <w:rsid w:val="00744094"/>
    <w:rsid w:val="00744DA8"/>
    <w:rsid w:val="007470AF"/>
    <w:rsid w:val="007477E2"/>
    <w:rsid w:val="0075004B"/>
    <w:rsid w:val="007525C5"/>
    <w:rsid w:val="007530A4"/>
    <w:rsid w:val="00754069"/>
    <w:rsid w:val="00754860"/>
    <w:rsid w:val="00754BD8"/>
    <w:rsid w:val="00754D8D"/>
    <w:rsid w:val="00754F5B"/>
    <w:rsid w:val="00755CBA"/>
    <w:rsid w:val="00760243"/>
    <w:rsid w:val="0076767D"/>
    <w:rsid w:val="00770FDC"/>
    <w:rsid w:val="0077318F"/>
    <w:rsid w:val="007735EF"/>
    <w:rsid w:val="0077408A"/>
    <w:rsid w:val="007761A4"/>
    <w:rsid w:val="00781075"/>
    <w:rsid w:val="007841BF"/>
    <w:rsid w:val="00785319"/>
    <w:rsid w:val="00785608"/>
    <w:rsid w:val="00786DAD"/>
    <w:rsid w:val="0079087E"/>
    <w:rsid w:val="00792936"/>
    <w:rsid w:val="00792B05"/>
    <w:rsid w:val="00796D12"/>
    <w:rsid w:val="007A19C4"/>
    <w:rsid w:val="007A2802"/>
    <w:rsid w:val="007A5695"/>
    <w:rsid w:val="007A59F2"/>
    <w:rsid w:val="007B10C2"/>
    <w:rsid w:val="007B502E"/>
    <w:rsid w:val="007B5338"/>
    <w:rsid w:val="007B5E4F"/>
    <w:rsid w:val="007B62A0"/>
    <w:rsid w:val="007C010B"/>
    <w:rsid w:val="007C20B8"/>
    <w:rsid w:val="007C22E8"/>
    <w:rsid w:val="007C2DF6"/>
    <w:rsid w:val="007C30BB"/>
    <w:rsid w:val="007C45FE"/>
    <w:rsid w:val="007C5176"/>
    <w:rsid w:val="007C5F49"/>
    <w:rsid w:val="007C621B"/>
    <w:rsid w:val="007C7699"/>
    <w:rsid w:val="007C7B26"/>
    <w:rsid w:val="007D33EE"/>
    <w:rsid w:val="007D33F6"/>
    <w:rsid w:val="007E2A91"/>
    <w:rsid w:val="007E3611"/>
    <w:rsid w:val="007E3F75"/>
    <w:rsid w:val="007E79E9"/>
    <w:rsid w:val="007F02F0"/>
    <w:rsid w:val="007F0F93"/>
    <w:rsid w:val="007F4F71"/>
    <w:rsid w:val="007F7B05"/>
    <w:rsid w:val="007F7F7D"/>
    <w:rsid w:val="00802540"/>
    <w:rsid w:val="00802F0B"/>
    <w:rsid w:val="0080352F"/>
    <w:rsid w:val="00806DDE"/>
    <w:rsid w:val="00810485"/>
    <w:rsid w:val="00810841"/>
    <w:rsid w:val="00813845"/>
    <w:rsid w:val="00813A3B"/>
    <w:rsid w:val="008149F2"/>
    <w:rsid w:val="00820688"/>
    <w:rsid w:val="0082089A"/>
    <w:rsid w:val="00825D32"/>
    <w:rsid w:val="00827DA5"/>
    <w:rsid w:val="00831F3E"/>
    <w:rsid w:val="008360F1"/>
    <w:rsid w:val="008375B3"/>
    <w:rsid w:val="008416B5"/>
    <w:rsid w:val="008426C5"/>
    <w:rsid w:val="008464F2"/>
    <w:rsid w:val="00846B5B"/>
    <w:rsid w:val="008472B1"/>
    <w:rsid w:val="00847C1D"/>
    <w:rsid w:val="00847EB6"/>
    <w:rsid w:val="0085121C"/>
    <w:rsid w:val="0085476F"/>
    <w:rsid w:val="00854902"/>
    <w:rsid w:val="0085501F"/>
    <w:rsid w:val="00855357"/>
    <w:rsid w:val="008564B7"/>
    <w:rsid w:val="0085756E"/>
    <w:rsid w:val="00862945"/>
    <w:rsid w:val="00865A15"/>
    <w:rsid w:val="00871C46"/>
    <w:rsid w:val="00873965"/>
    <w:rsid w:val="00877324"/>
    <w:rsid w:val="00881ADB"/>
    <w:rsid w:val="008827CA"/>
    <w:rsid w:val="008836AC"/>
    <w:rsid w:val="00886B9A"/>
    <w:rsid w:val="00891A96"/>
    <w:rsid w:val="00893954"/>
    <w:rsid w:val="00893ACD"/>
    <w:rsid w:val="00893C3F"/>
    <w:rsid w:val="00897D1E"/>
    <w:rsid w:val="008A203F"/>
    <w:rsid w:val="008B0315"/>
    <w:rsid w:val="008B1DF0"/>
    <w:rsid w:val="008B4982"/>
    <w:rsid w:val="008B5E3E"/>
    <w:rsid w:val="008C0E10"/>
    <w:rsid w:val="008C4DAE"/>
    <w:rsid w:val="008C66E9"/>
    <w:rsid w:val="008C77FE"/>
    <w:rsid w:val="008D1F69"/>
    <w:rsid w:val="008D2E5E"/>
    <w:rsid w:val="008D2F2C"/>
    <w:rsid w:val="008D4F7A"/>
    <w:rsid w:val="008D5D05"/>
    <w:rsid w:val="008D6712"/>
    <w:rsid w:val="008D716B"/>
    <w:rsid w:val="008E560A"/>
    <w:rsid w:val="008E7C4E"/>
    <w:rsid w:val="008F0392"/>
    <w:rsid w:val="008F15D6"/>
    <w:rsid w:val="008F1B43"/>
    <w:rsid w:val="008F3A06"/>
    <w:rsid w:val="008F4DB4"/>
    <w:rsid w:val="00900A83"/>
    <w:rsid w:val="0090528A"/>
    <w:rsid w:val="0091018D"/>
    <w:rsid w:val="00911A27"/>
    <w:rsid w:val="00911D1B"/>
    <w:rsid w:val="009133D6"/>
    <w:rsid w:val="009135CE"/>
    <w:rsid w:val="00915032"/>
    <w:rsid w:val="009209C9"/>
    <w:rsid w:val="00921DCF"/>
    <w:rsid w:val="009302CE"/>
    <w:rsid w:val="00930DFC"/>
    <w:rsid w:val="00931DBF"/>
    <w:rsid w:val="0093316E"/>
    <w:rsid w:val="009333D5"/>
    <w:rsid w:val="00941A82"/>
    <w:rsid w:val="00941E16"/>
    <w:rsid w:val="00943757"/>
    <w:rsid w:val="00943B10"/>
    <w:rsid w:val="0094496E"/>
    <w:rsid w:val="00945F77"/>
    <w:rsid w:val="00947E21"/>
    <w:rsid w:val="00947F49"/>
    <w:rsid w:val="00951D44"/>
    <w:rsid w:val="00956B2B"/>
    <w:rsid w:val="00957549"/>
    <w:rsid w:val="00961B27"/>
    <w:rsid w:val="009623F1"/>
    <w:rsid w:val="00963559"/>
    <w:rsid w:val="0097054D"/>
    <w:rsid w:val="009716C3"/>
    <w:rsid w:val="00974AF0"/>
    <w:rsid w:val="00974D79"/>
    <w:rsid w:val="00977D46"/>
    <w:rsid w:val="00981EEE"/>
    <w:rsid w:val="00983F9B"/>
    <w:rsid w:val="00984F79"/>
    <w:rsid w:val="0098625B"/>
    <w:rsid w:val="00990ACF"/>
    <w:rsid w:val="00990AF0"/>
    <w:rsid w:val="00994114"/>
    <w:rsid w:val="00994BA0"/>
    <w:rsid w:val="009957CE"/>
    <w:rsid w:val="009A0559"/>
    <w:rsid w:val="009A165F"/>
    <w:rsid w:val="009A4015"/>
    <w:rsid w:val="009A41BE"/>
    <w:rsid w:val="009A7164"/>
    <w:rsid w:val="009B4A1F"/>
    <w:rsid w:val="009B69F4"/>
    <w:rsid w:val="009B719F"/>
    <w:rsid w:val="009C161B"/>
    <w:rsid w:val="009C1FA4"/>
    <w:rsid w:val="009C3B9A"/>
    <w:rsid w:val="009C5B03"/>
    <w:rsid w:val="009C76D3"/>
    <w:rsid w:val="009C7996"/>
    <w:rsid w:val="009D1967"/>
    <w:rsid w:val="009D1E12"/>
    <w:rsid w:val="009D515B"/>
    <w:rsid w:val="009D6567"/>
    <w:rsid w:val="009D6C9C"/>
    <w:rsid w:val="009D7DEF"/>
    <w:rsid w:val="009E1A53"/>
    <w:rsid w:val="009F1888"/>
    <w:rsid w:val="009F61D9"/>
    <w:rsid w:val="00A0100D"/>
    <w:rsid w:val="00A0189C"/>
    <w:rsid w:val="00A02000"/>
    <w:rsid w:val="00A03AA7"/>
    <w:rsid w:val="00A03B50"/>
    <w:rsid w:val="00A0469A"/>
    <w:rsid w:val="00A05D32"/>
    <w:rsid w:val="00A06390"/>
    <w:rsid w:val="00A10379"/>
    <w:rsid w:val="00A1056B"/>
    <w:rsid w:val="00A13400"/>
    <w:rsid w:val="00A13C20"/>
    <w:rsid w:val="00A14D0E"/>
    <w:rsid w:val="00A15CB7"/>
    <w:rsid w:val="00A176DF"/>
    <w:rsid w:val="00A220B2"/>
    <w:rsid w:val="00A2286C"/>
    <w:rsid w:val="00A26691"/>
    <w:rsid w:val="00A2679F"/>
    <w:rsid w:val="00A32658"/>
    <w:rsid w:val="00A327FF"/>
    <w:rsid w:val="00A34B05"/>
    <w:rsid w:val="00A4326A"/>
    <w:rsid w:val="00A44058"/>
    <w:rsid w:val="00A47FE8"/>
    <w:rsid w:val="00A51426"/>
    <w:rsid w:val="00A52574"/>
    <w:rsid w:val="00A540DD"/>
    <w:rsid w:val="00A54D9F"/>
    <w:rsid w:val="00A57446"/>
    <w:rsid w:val="00A61354"/>
    <w:rsid w:val="00A634F9"/>
    <w:rsid w:val="00A644E0"/>
    <w:rsid w:val="00A65269"/>
    <w:rsid w:val="00A65328"/>
    <w:rsid w:val="00A67D7E"/>
    <w:rsid w:val="00A70AA7"/>
    <w:rsid w:val="00A71AA6"/>
    <w:rsid w:val="00A72EB6"/>
    <w:rsid w:val="00A74D93"/>
    <w:rsid w:val="00A7551D"/>
    <w:rsid w:val="00A7716B"/>
    <w:rsid w:val="00A803C6"/>
    <w:rsid w:val="00A80E01"/>
    <w:rsid w:val="00A83C9D"/>
    <w:rsid w:val="00A86972"/>
    <w:rsid w:val="00A879D0"/>
    <w:rsid w:val="00A900FD"/>
    <w:rsid w:val="00A905EA"/>
    <w:rsid w:val="00A90EA1"/>
    <w:rsid w:val="00A911FE"/>
    <w:rsid w:val="00A943FC"/>
    <w:rsid w:val="00A972DD"/>
    <w:rsid w:val="00A97A91"/>
    <w:rsid w:val="00AA0710"/>
    <w:rsid w:val="00AA398D"/>
    <w:rsid w:val="00AA416D"/>
    <w:rsid w:val="00AA7417"/>
    <w:rsid w:val="00AA7C82"/>
    <w:rsid w:val="00AB101A"/>
    <w:rsid w:val="00AB1923"/>
    <w:rsid w:val="00AB2245"/>
    <w:rsid w:val="00AB3EA9"/>
    <w:rsid w:val="00AB5679"/>
    <w:rsid w:val="00AC0702"/>
    <w:rsid w:val="00AC25F8"/>
    <w:rsid w:val="00AC435A"/>
    <w:rsid w:val="00AC45DA"/>
    <w:rsid w:val="00AD17CE"/>
    <w:rsid w:val="00AD36F2"/>
    <w:rsid w:val="00AD42AD"/>
    <w:rsid w:val="00AD4C35"/>
    <w:rsid w:val="00AD7A22"/>
    <w:rsid w:val="00AE1849"/>
    <w:rsid w:val="00AE2875"/>
    <w:rsid w:val="00AE4AD9"/>
    <w:rsid w:val="00AE6656"/>
    <w:rsid w:val="00AE6728"/>
    <w:rsid w:val="00AF0619"/>
    <w:rsid w:val="00AF12EF"/>
    <w:rsid w:val="00AF3522"/>
    <w:rsid w:val="00AF3F4C"/>
    <w:rsid w:val="00AF6E5A"/>
    <w:rsid w:val="00B00528"/>
    <w:rsid w:val="00B0082F"/>
    <w:rsid w:val="00B00D5F"/>
    <w:rsid w:val="00B021A5"/>
    <w:rsid w:val="00B053F7"/>
    <w:rsid w:val="00B0576D"/>
    <w:rsid w:val="00B05824"/>
    <w:rsid w:val="00B17189"/>
    <w:rsid w:val="00B36184"/>
    <w:rsid w:val="00B3669F"/>
    <w:rsid w:val="00B41C5C"/>
    <w:rsid w:val="00B4509A"/>
    <w:rsid w:val="00B4529A"/>
    <w:rsid w:val="00B45BB0"/>
    <w:rsid w:val="00B468D7"/>
    <w:rsid w:val="00B52CAB"/>
    <w:rsid w:val="00B539FA"/>
    <w:rsid w:val="00B558B4"/>
    <w:rsid w:val="00B56B1C"/>
    <w:rsid w:val="00B62E9A"/>
    <w:rsid w:val="00B6510D"/>
    <w:rsid w:val="00B70772"/>
    <w:rsid w:val="00B70830"/>
    <w:rsid w:val="00B70D3C"/>
    <w:rsid w:val="00B7142F"/>
    <w:rsid w:val="00B71514"/>
    <w:rsid w:val="00B718FC"/>
    <w:rsid w:val="00B75192"/>
    <w:rsid w:val="00B76D1A"/>
    <w:rsid w:val="00B8034E"/>
    <w:rsid w:val="00B81F06"/>
    <w:rsid w:val="00B825F7"/>
    <w:rsid w:val="00B832D2"/>
    <w:rsid w:val="00B85ED8"/>
    <w:rsid w:val="00B87AF0"/>
    <w:rsid w:val="00B906CE"/>
    <w:rsid w:val="00BA041E"/>
    <w:rsid w:val="00BA0FEF"/>
    <w:rsid w:val="00BA3221"/>
    <w:rsid w:val="00BA40EC"/>
    <w:rsid w:val="00BA4E15"/>
    <w:rsid w:val="00BB1168"/>
    <w:rsid w:val="00BB4D8B"/>
    <w:rsid w:val="00BB5FBE"/>
    <w:rsid w:val="00BB7C40"/>
    <w:rsid w:val="00BC10B9"/>
    <w:rsid w:val="00BC1E23"/>
    <w:rsid w:val="00BC4A64"/>
    <w:rsid w:val="00BC580F"/>
    <w:rsid w:val="00BD3DE0"/>
    <w:rsid w:val="00BD5FC2"/>
    <w:rsid w:val="00BD6F54"/>
    <w:rsid w:val="00BD776B"/>
    <w:rsid w:val="00BD7D5C"/>
    <w:rsid w:val="00BE04CE"/>
    <w:rsid w:val="00BE2A87"/>
    <w:rsid w:val="00BE2F27"/>
    <w:rsid w:val="00BE33B1"/>
    <w:rsid w:val="00BE682B"/>
    <w:rsid w:val="00BE7EE2"/>
    <w:rsid w:val="00BF0E44"/>
    <w:rsid w:val="00BF0EF3"/>
    <w:rsid w:val="00BF1B00"/>
    <w:rsid w:val="00BF47BD"/>
    <w:rsid w:val="00BF7B3A"/>
    <w:rsid w:val="00C0034E"/>
    <w:rsid w:val="00C0093C"/>
    <w:rsid w:val="00C03F9F"/>
    <w:rsid w:val="00C05932"/>
    <w:rsid w:val="00C0673E"/>
    <w:rsid w:val="00C116E6"/>
    <w:rsid w:val="00C122AA"/>
    <w:rsid w:val="00C12C5C"/>
    <w:rsid w:val="00C144BC"/>
    <w:rsid w:val="00C169AE"/>
    <w:rsid w:val="00C2170F"/>
    <w:rsid w:val="00C22A48"/>
    <w:rsid w:val="00C22BCE"/>
    <w:rsid w:val="00C22FF9"/>
    <w:rsid w:val="00C232A2"/>
    <w:rsid w:val="00C241D2"/>
    <w:rsid w:val="00C24870"/>
    <w:rsid w:val="00C302A6"/>
    <w:rsid w:val="00C302B0"/>
    <w:rsid w:val="00C33029"/>
    <w:rsid w:val="00C37448"/>
    <w:rsid w:val="00C37510"/>
    <w:rsid w:val="00C37BCE"/>
    <w:rsid w:val="00C40A52"/>
    <w:rsid w:val="00C41167"/>
    <w:rsid w:val="00C46694"/>
    <w:rsid w:val="00C47032"/>
    <w:rsid w:val="00C5021E"/>
    <w:rsid w:val="00C506C9"/>
    <w:rsid w:val="00C508AB"/>
    <w:rsid w:val="00C52FDC"/>
    <w:rsid w:val="00C54A4D"/>
    <w:rsid w:val="00C551B7"/>
    <w:rsid w:val="00C56B09"/>
    <w:rsid w:val="00C5766C"/>
    <w:rsid w:val="00C579FB"/>
    <w:rsid w:val="00C57E30"/>
    <w:rsid w:val="00C60580"/>
    <w:rsid w:val="00C607EC"/>
    <w:rsid w:val="00C62F57"/>
    <w:rsid w:val="00C64EBE"/>
    <w:rsid w:val="00C65C29"/>
    <w:rsid w:val="00C66CB0"/>
    <w:rsid w:val="00C677BC"/>
    <w:rsid w:val="00C70041"/>
    <w:rsid w:val="00C70B06"/>
    <w:rsid w:val="00C7187A"/>
    <w:rsid w:val="00C72766"/>
    <w:rsid w:val="00C73B1D"/>
    <w:rsid w:val="00C7480F"/>
    <w:rsid w:val="00C76B83"/>
    <w:rsid w:val="00C83A75"/>
    <w:rsid w:val="00C85682"/>
    <w:rsid w:val="00C90859"/>
    <w:rsid w:val="00C9173B"/>
    <w:rsid w:val="00C94BAB"/>
    <w:rsid w:val="00C96BBF"/>
    <w:rsid w:val="00C96EC0"/>
    <w:rsid w:val="00CA143E"/>
    <w:rsid w:val="00CA218E"/>
    <w:rsid w:val="00CA291A"/>
    <w:rsid w:val="00CA331C"/>
    <w:rsid w:val="00CA4530"/>
    <w:rsid w:val="00CA590A"/>
    <w:rsid w:val="00CA6180"/>
    <w:rsid w:val="00CA7A01"/>
    <w:rsid w:val="00CB35B4"/>
    <w:rsid w:val="00CB61B5"/>
    <w:rsid w:val="00CC29E4"/>
    <w:rsid w:val="00CC3B82"/>
    <w:rsid w:val="00CC6C5A"/>
    <w:rsid w:val="00CC793D"/>
    <w:rsid w:val="00CD1B29"/>
    <w:rsid w:val="00CD32B9"/>
    <w:rsid w:val="00CD58D9"/>
    <w:rsid w:val="00CD65B0"/>
    <w:rsid w:val="00CD68D3"/>
    <w:rsid w:val="00CE0393"/>
    <w:rsid w:val="00CE19E2"/>
    <w:rsid w:val="00CE1CA8"/>
    <w:rsid w:val="00CE2389"/>
    <w:rsid w:val="00CE257A"/>
    <w:rsid w:val="00CE2F76"/>
    <w:rsid w:val="00CE3983"/>
    <w:rsid w:val="00CE3A34"/>
    <w:rsid w:val="00CE7427"/>
    <w:rsid w:val="00CE7D09"/>
    <w:rsid w:val="00CE7F74"/>
    <w:rsid w:val="00CF0E6C"/>
    <w:rsid w:val="00CF1DD3"/>
    <w:rsid w:val="00CF1ED4"/>
    <w:rsid w:val="00CF273E"/>
    <w:rsid w:val="00CF5223"/>
    <w:rsid w:val="00CF75D5"/>
    <w:rsid w:val="00D0194C"/>
    <w:rsid w:val="00D0531C"/>
    <w:rsid w:val="00D06F65"/>
    <w:rsid w:val="00D074C0"/>
    <w:rsid w:val="00D12D56"/>
    <w:rsid w:val="00D1670D"/>
    <w:rsid w:val="00D209F2"/>
    <w:rsid w:val="00D240D6"/>
    <w:rsid w:val="00D26089"/>
    <w:rsid w:val="00D26353"/>
    <w:rsid w:val="00D26CC3"/>
    <w:rsid w:val="00D30BED"/>
    <w:rsid w:val="00D34B1B"/>
    <w:rsid w:val="00D34B8C"/>
    <w:rsid w:val="00D34C5D"/>
    <w:rsid w:val="00D35369"/>
    <w:rsid w:val="00D3553D"/>
    <w:rsid w:val="00D35F6E"/>
    <w:rsid w:val="00D36E49"/>
    <w:rsid w:val="00D41C4C"/>
    <w:rsid w:val="00D431A1"/>
    <w:rsid w:val="00D44CFD"/>
    <w:rsid w:val="00D4673E"/>
    <w:rsid w:val="00D50277"/>
    <w:rsid w:val="00D52A47"/>
    <w:rsid w:val="00D53208"/>
    <w:rsid w:val="00D54E09"/>
    <w:rsid w:val="00D55913"/>
    <w:rsid w:val="00D55943"/>
    <w:rsid w:val="00D55E2A"/>
    <w:rsid w:val="00D65BEB"/>
    <w:rsid w:val="00D73B79"/>
    <w:rsid w:val="00D77866"/>
    <w:rsid w:val="00D80DC8"/>
    <w:rsid w:val="00D8177D"/>
    <w:rsid w:val="00D81FDA"/>
    <w:rsid w:val="00D82198"/>
    <w:rsid w:val="00D82452"/>
    <w:rsid w:val="00D83BC0"/>
    <w:rsid w:val="00D856EE"/>
    <w:rsid w:val="00D868E9"/>
    <w:rsid w:val="00D90FEF"/>
    <w:rsid w:val="00D91529"/>
    <w:rsid w:val="00D9156A"/>
    <w:rsid w:val="00D92E90"/>
    <w:rsid w:val="00D96387"/>
    <w:rsid w:val="00DA027F"/>
    <w:rsid w:val="00DA0647"/>
    <w:rsid w:val="00DA40F1"/>
    <w:rsid w:val="00DA45B1"/>
    <w:rsid w:val="00DA5BFE"/>
    <w:rsid w:val="00DA6243"/>
    <w:rsid w:val="00DA6E2A"/>
    <w:rsid w:val="00DB0282"/>
    <w:rsid w:val="00DB1630"/>
    <w:rsid w:val="00DB2C39"/>
    <w:rsid w:val="00DB40DE"/>
    <w:rsid w:val="00DB4477"/>
    <w:rsid w:val="00DB4FAC"/>
    <w:rsid w:val="00DB7201"/>
    <w:rsid w:val="00DB79A9"/>
    <w:rsid w:val="00DB79FA"/>
    <w:rsid w:val="00DC32BF"/>
    <w:rsid w:val="00DC3C5B"/>
    <w:rsid w:val="00DD1E03"/>
    <w:rsid w:val="00DD38AE"/>
    <w:rsid w:val="00DD7624"/>
    <w:rsid w:val="00DE0284"/>
    <w:rsid w:val="00DE1EC7"/>
    <w:rsid w:val="00DE706E"/>
    <w:rsid w:val="00DE749D"/>
    <w:rsid w:val="00E02FDE"/>
    <w:rsid w:val="00E116AA"/>
    <w:rsid w:val="00E11FCC"/>
    <w:rsid w:val="00E15357"/>
    <w:rsid w:val="00E1591C"/>
    <w:rsid w:val="00E15F31"/>
    <w:rsid w:val="00E15F94"/>
    <w:rsid w:val="00E2240C"/>
    <w:rsid w:val="00E26045"/>
    <w:rsid w:val="00E32849"/>
    <w:rsid w:val="00E32931"/>
    <w:rsid w:val="00E32ADB"/>
    <w:rsid w:val="00E33705"/>
    <w:rsid w:val="00E3379C"/>
    <w:rsid w:val="00E343A0"/>
    <w:rsid w:val="00E36BBB"/>
    <w:rsid w:val="00E37AE1"/>
    <w:rsid w:val="00E37E4C"/>
    <w:rsid w:val="00E452D0"/>
    <w:rsid w:val="00E45544"/>
    <w:rsid w:val="00E47648"/>
    <w:rsid w:val="00E5248C"/>
    <w:rsid w:val="00E56DB6"/>
    <w:rsid w:val="00E609F4"/>
    <w:rsid w:val="00E63C11"/>
    <w:rsid w:val="00E63F58"/>
    <w:rsid w:val="00E661B6"/>
    <w:rsid w:val="00E66B57"/>
    <w:rsid w:val="00E75CDA"/>
    <w:rsid w:val="00E801C5"/>
    <w:rsid w:val="00E83157"/>
    <w:rsid w:val="00E85561"/>
    <w:rsid w:val="00E85885"/>
    <w:rsid w:val="00E87442"/>
    <w:rsid w:val="00E90BAE"/>
    <w:rsid w:val="00E93787"/>
    <w:rsid w:val="00EA0A46"/>
    <w:rsid w:val="00EA117E"/>
    <w:rsid w:val="00EA2D28"/>
    <w:rsid w:val="00EA3AC5"/>
    <w:rsid w:val="00EA3DC6"/>
    <w:rsid w:val="00EA4401"/>
    <w:rsid w:val="00EA480C"/>
    <w:rsid w:val="00EA522B"/>
    <w:rsid w:val="00EA585E"/>
    <w:rsid w:val="00EA594A"/>
    <w:rsid w:val="00EA63DD"/>
    <w:rsid w:val="00EA685A"/>
    <w:rsid w:val="00EA7BEE"/>
    <w:rsid w:val="00EB1FA7"/>
    <w:rsid w:val="00EB4C3C"/>
    <w:rsid w:val="00EB7854"/>
    <w:rsid w:val="00EC1C61"/>
    <w:rsid w:val="00EC3E91"/>
    <w:rsid w:val="00EC41FE"/>
    <w:rsid w:val="00EC488A"/>
    <w:rsid w:val="00EC49F9"/>
    <w:rsid w:val="00EC4AFF"/>
    <w:rsid w:val="00EC52F1"/>
    <w:rsid w:val="00EC5337"/>
    <w:rsid w:val="00EC54D7"/>
    <w:rsid w:val="00EC6B27"/>
    <w:rsid w:val="00EC7BDF"/>
    <w:rsid w:val="00EC7EC2"/>
    <w:rsid w:val="00ED070C"/>
    <w:rsid w:val="00ED149A"/>
    <w:rsid w:val="00ED7712"/>
    <w:rsid w:val="00ED79CE"/>
    <w:rsid w:val="00EE0778"/>
    <w:rsid w:val="00EE2C3A"/>
    <w:rsid w:val="00EE2F60"/>
    <w:rsid w:val="00EE6D5D"/>
    <w:rsid w:val="00EE6F1F"/>
    <w:rsid w:val="00EF111A"/>
    <w:rsid w:val="00EF1A32"/>
    <w:rsid w:val="00EF4FDF"/>
    <w:rsid w:val="00EF507C"/>
    <w:rsid w:val="00EF6BE4"/>
    <w:rsid w:val="00F00065"/>
    <w:rsid w:val="00F00DC7"/>
    <w:rsid w:val="00F05791"/>
    <w:rsid w:val="00F07798"/>
    <w:rsid w:val="00F10F4D"/>
    <w:rsid w:val="00F122CB"/>
    <w:rsid w:val="00F13234"/>
    <w:rsid w:val="00F14C7F"/>
    <w:rsid w:val="00F219F7"/>
    <w:rsid w:val="00F22961"/>
    <w:rsid w:val="00F22CD4"/>
    <w:rsid w:val="00F23A67"/>
    <w:rsid w:val="00F242C2"/>
    <w:rsid w:val="00F27523"/>
    <w:rsid w:val="00F27E20"/>
    <w:rsid w:val="00F33C55"/>
    <w:rsid w:val="00F3474B"/>
    <w:rsid w:val="00F34F4A"/>
    <w:rsid w:val="00F3654B"/>
    <w:rsid w:val="00F36E9D"/>
    <w:rsid w:val="00F373D4"/>
    <w:rsid w:val="00F4008C"/>
    <w:rsid w:val="00F422D8"/>
    <w:rsid w:val="00F449AB"/>
    <w:rsid w:val="00F54CEE"/>
    <w:rsid w:val="00F56095"/>
    <w:rsid w:val="00F56723"/>
    <w:rsid w:val="00F56DEF"/>
    <w:rsid w:val="00F572BA"/>
    <w:rsid w:val="00F57BB4"/>
    <w:rsid w:val="00F60609"/>
    <w:rsid w:val="00F61A08"/>
    <w:rsid w:val="00F6610F"/>
    <w:rsid w:val="00F6632F"/>
    <w:rsid w:val="00F73355"/>
    <w:rsid w:val="00F73D3B"/>
    <w:rsid w:val="00F748DB"/>
    <w:rsid w:val="00F81B43"/>
    <w:rsid w:val="00F82327"/>
    <w:rsid w:val="00F85EF4"/>
    <w:rsid w:val="00F86112"/>
    <w:rsid w:val="00F86564"/>
    <w:rsid w:val="00F86611"/>
    <w:rsid w:val="00F86A6D"/>
    <w:rsid w:val="00F87CA4"/>
    <w:rsid w:val="00F90D2A"/>
    <w:rsid w:val="00F91B82"/>
    <w:rsid w:val="00F91EF9"/>
    <w:rsid w:val="00F94264"/>
    <w:rsid w:val="00F96A90"/>
    <w:rsid w:val="00FA0995"/>
    <w:rsid w:val="00FA31FA"/>
    <w:rsid w:val="00FA5767"/>
    <w:rsid w:val="00FA5919"/>
    <w:rsid w:val="00FA6742"/>
    <w:rsid w:val="00FB0228"/>
    <w:rsid w:val="00FB227C"/>
    <w:rsid w:val="00FB4005"/>
    <w:rsid w:val="00FC0C37"/>
    <w:rsid w:val="00FC1501"/>
    <w:rsid w:val="00FC2309"/>
    <w:rsid w:val="00FC72B8"/>
    <w:rsid w:val="00FD2484"/>
    <w:rsid w:val="00FD446D"/>
    <w:rsid w:val="00FE0E9A"/>
    <w:rsid w:val="00FE4FC2"/>
    <w:rsid w:val="00FE54A5"/>
    <w:rsid w:val="00FF2EBD"/>
    <w:rsid w:val="00FF4066"/>
    <w:rsid w:val="00FF4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549E2727-66D8-47C1-BA0D-F699E0A7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0E"/>
    <w:rPr>
      <w:rFonts w:cs="Arial"/>
      <w:sz w:val="22"/>
      <w:szCs w:val="22"/>
    </w:rPr>
  </w:style>
  <w:style w:type="paragraph" w:styleId="Heading1">
    <w:name w:val="heading 1"/>
    <w:next w:val="Normal"/>
    <w:link w:val="Heading1Char"/>
    <w:uiPriority w:val="9"/>
    <w:qFormat/>
    <w:rsid w:val="008426C5"/>
    <w:pPr>
      <w:keepNext/>
      <w:spacing w:after="360"/>
      <w:outlineLvl w:val="0"/>
    </w:pPr>
    <w:rPr>
      <w:rFonts w:eastAsia="Times New Roman" w:cs="Arial"/>
      <w:bCs/>
      <w:caps/>
      <w:kern w:val="32"/>
      <w:sz w:val="36"/>
      <w:szCs w:val="32"/>
    </w:rPr>
  </w:style>
  <w:style w:type="paragraph" w:styleId="Heading2">
    <w:name w:val="heading 2"/>
    <w:next w:val="Normal"/>
    <w:link w:val="Heading2Char"/>
    <w:uiPriority w:val="9"/>
    <w:qFormat/>
    <w:rsid w:val="0098625B"/>
    <w:pPr>
      <w:keepNext/>
      <w:spacing w:before="480" w:after="360"/>
      <w:outlineLvl w:val="1"/>
    </w:pPr>
    <w:rPr>
      <w:rFonts w:eastAsia="Times New Roman" w:cs="Arial"/>
      <w:bCs/>
      <w:iCs/>
      <w:caps/>
      <w:sz w:val="28"/>
      <w:szCs w:val="28"/>
    </w:rPr>
  </w:style>
  <w:style w:type="paragraph" w:styleId="Heading3">
    <w:name w:val="heading 3"/>
    <w:next w:val="Normal"/>
    <w:link w:val="Heading3Char"/>
    <w:uiPriority w:val="9"/>
    <w:qFormat/>
    <w:rsid w:val="008426C5"/>
    <w:pPr>
      <w:keepNext/>
      <w:spacing w:before="240" w:after="240"/>
      <w:outlineLvl w:val="2"/>
    </w:pPr>
    <w:rPr>
      <w:rFonts w:eastAsia="Times New Roman" w:cs="Arial"/>
      <w:b/>
      <w:bCs/>
      <w:sz w:val="24"/>
      <w:szCs w:val="26"/>
    </w:rPr>
  </w:style>
  <w:style w:type="paragraph" w:styleId="Heading4">
    <w:name w:val="heading 4"/>
    <w:next w:val="Normal"/>
    <w:link w:val="Heading4Char"/>
    <w:uiPriority w:val="9"/>
    <w:qFormat/>
    <w:rsid w:val="001748AF"/>
    <w:pPr>
      <w:keepNext/>
      <w:spacing w:before="360" w:after="240"/>
      <w:outlineLvl w:val="3"/>
    </w:pPr>
    <w:rPr>
      <w:rFonts w:eastAsia="Times New Roman" w:cs="Arial"/>
      <w:b/>
      <w:bCs/>
      <w:i/>
      <w:sz w:val="22"/>
      <w:szCs w:val="28"/>
    </w:rPr>
  </w:style>
  <w:style w:type="paragraph" w:styleId="Heading5">
    <w:name w:val="heading 5"/>
    <w:next w:val="Normal"/>
    <w:link w:val="Heading5Char"/>
    <w:uiPriority w:val="9"/>
    <w:qFormat/>
    <w:rsid w:val="000A4423"/>
    <w:pPr>
      <w:keepNext/>
      <w:spacing w:before="240" w:after="240"/>
      <w:outlineLvl w:val="4"/>
    </w:pPr>
    <w:rPr>
      <w:rFonts w:eastAsia="Times New Roman" w:cs="Arial"/>
      <w:bCs/>
      <w:i/>
      <w:iCs/>
      <w:sz w:val="22"/>
      <w:szCs w:val="26"/>
    </w:rPr>
  </w:style>
  <w:style w:type="paragraph" w:styleId="Heading6">
    <w:name w:val="heading 6"/>
    <w:next w:val="Normal"/>
    <w:link w:val="Heading6Char"/>
    <w:uiPriority w:val="9"/>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26C5"/>
    <w:rPr>
      <w:rFonts w:eastAsia="Times New Roman" w:cs="Arial"/>
      <w:bCs/>
      <w:caps/>
      <w:kern w:val="32"/>
      <w:sz w:val="36"/>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98625B"/>
    <w:rPr>
      <w:rFonts w:eastAsia="Times New Roman" w:cs="Arial"/>
      <w:bCs/>
      <w:iCs/>
      <w:caps/>
      <w:sz w:val="28"/>
      <w:szCs w:val="28"/>
    </w:rPr>
  </w:style>
  <w:style w:type="character" w:customStyle="1" w:styleId="Heading3Char">
    <w:name w:val="Heading 3 Char"/>
    <w:link w:val="Heading3"/>
    <w:uiPriority w:val="9"/>
    <w:rsid w:val="008426C5"/>
    <w:rPr>
      <w:rFonts w:eastAsia="Times New Roman" w:cs="Arial"/>
      <w:b/>
      <w:bCs/>
      <w:sz w:val="24"/>
      <w:szCs w:val="26"/>
    </w:rPr>
  </w:style>
  <w:style w:type="character" w:customStyle="1" w:styleId="Heading4Char">
    <w:name w:val="Heading 4 Char"/>
    <w:link w:val="Heading4"/>
    <w:uiPriority w:val="9"/>
    <w:rsid w:val="001748AF"/>
    <w:rPr>
      <w:rFonts w:eastAsia="Times New Roman" w:cs="Arial"/>
      <w:b/>
      <w:bCs/>
      <w:i/>
      <w:sz w:val="22"/>
      <w:szCs w:val="28"/>
    </w:rPr>
  </w:style>
  <w:style w:type="character" w:customStyle="1" w:styleId="Heading5Char">
    <w:name w:val="Heading 5 Char"/>
    <w:link w:val="Heading5"/>
    <w:uiPriority w:val="9"/>
    <w:rsid w:val="000A4423"/>
    <w:rPr>
      <w:rFonts w:eastAsia="Times New Roman" w:cs="Arial"/>
      <w:bCs/>
      <w:i/>
      <w:iCs/>
      <w:sz w:val="22"/>
      <w:szCs w:val="26"/>
    </w:rPr>
  </w:style>
  <w:style w:type="character" w:customStyle="1" w:styleId="Heading6Char">
    <w:name w:val="Heading 6 Char"/>
    <w:link w:val="Heading6"/>
    <w:uiPriority w:val="9"/>
    <w:rsid w:val="00B825F7"/>
    <w:rPr>
      <w:rFonts w:eastAsia="Times New Roman" w:cs="Arial"/>
      <w:b/>
      <w:bCs/>
      <w:sz w:val="22"/>
      <w:szCs w:val="22"/>
      <w:lang w:eastAsia="en-AU"/>
    </w:rPr>
  </w:style>
  <w:style w:type="character" w:customStyle="1" w:styleId="Heading7Char">
    <w:name w:val="Heading 7 Char"/>
    <w:link w:val="Heading7"/>
    <w:uiPriority w:val="9"/>
    <w:rsid w:val="00B825F7"/>
    <w:rPr>
      <w:rFonts w:eastAsia="Times New Roman" w:cs="Arial"/>
      <w:sz w:val="24"/>
      <w:szCs w:val="24"/>
      <w:lang w:eastAsia="en-AU"/>
    </w:rPr>
  </w:style>
  <w:style w:type="character" w:customStyle="1" w:styleId="Heading8Char">
    <w:name w:val="Heading 8 Char"/>
    <w:link w:val="Heading8"/>
    <w:uiPriority w:val="9"/>
    <w:rsid w:val="00B825F7"/>
    <w:rPr>
      <w:rFonts w:eastAsia="Times New Roman" w:cs="Arial"/>
      <w:i/>
      <w:iCs/>
      <w:sz w:val="24"/>
      <w:szCs w:val="24"/>
      <w:lang w:eastAsia="en-AU"/>
    </w:rPr>
  </w:style>
  <w:style w:type="character" w:customStyle="1" w:styleId="Heading9Char">
    <w:name w:val="Heading 9 Char"/>
    <w:link w:val="Heading9"/>
    <w:uiPriority w:val="9"/>
    <w:rsid w:val="00B825F7"/>
    <w:rPr>
      <w:rFonts w:eastAsia="Times New Roman" w:cs="Arial"/>
      <w:sz w:val="22"/>
      <w:szCs w:val="22"/>
      <w:lang w:eastAsia="en-AU"/>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customStyle="1" w:styleId="GridTable21">
    <w:name w:val="Grid Table 21"/>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nhideWhenUsed/>
    <w:rsid w:val="00B825F7"/>
    <w:pPr>
      <w:spacing w:after="120"/>
    </w:pPr>
    <w:rPr>
      <w:rFonts w:cs="Arial"/>
      <w:sz w:val="22"/>
      <w:szCs w:val="22"/>
    </w:rPr>
  </w:style>
  <w:style w:type="character" w:customStyle="1" w:styleId="BodyTextChar">
    <w:name w:val="Body Text Char"/>
    <w:link w:val="BodyText"/>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customStyle="1" w:styleId="GridTable1Light1">
    <w:name w:val="Grid Table 1 Light1"/>
    <w:uiPriority w:val="33"/>
    <w:rsid w:val="00B825F7"/>
    <w:rPr>
      <w:b/>
      <w:bCs/>
      <w:i/>
      <w:iCs/>
      <w:spacing w:val="5"/>
    </w:rPr>
  </w:style>
  <w:style w:type="paragraph" w:styleId="Caption">
    <w:name w:val="caption"/>
    <w:next w:val="Normal"/>
    <w:uiPriority w:val="35"/>
    <w:qFormat/>
    <w:rsid w:val="00CE2389"/>
    <w:pPr>
      <w:keepNext/>
      <w:tabs>
        <w:tab w:val="left" w:pos="1134"/>
      </w:tabs>
      <w:spacing w:after="120"/>
    </w:pPr>
    <w:rPr>
      <w:rFonts w:cs="Arial"/>
      <w:b/>
      <w:bCs/>
      <w:i/>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paragraph" w:styleId="Quote">
    <w:name w:val="Quote"/>
    <w:basedOn w:val="Normal"/>
    <w:next w:val="Normal"/>
    <w:link w:val="QuoteChar"/>
    <w:uiPriority w:val="29"/>
    <w:qFormat/>
    <w:rsid w:val="005D2D25"/>
    <w:pPr>
      <w:spacing w:before="200" w:after="160"/>
      <w:ind w:left="864" w:right="864"/>
      <w:jc w:val="center"/>
    </w:pPr>
    <w:rPr>
      <w:i/>
      <w:iCs/>
      <w:color w:val="404040"/>
    </w:rPr>
  </w:style>
  <w:style w:type="table" w:styleId="MediumGrid2-Accent2">
    <w:name w:val="Medium Grid 2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MediumGrid2-Accent3">
    <w:name w:val="Medium Grid 2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MediumGrid2-Accent4">
    <w:name w:val="Medium Grid 2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MediumGrid2-Accent5">
    <w:name w:val="Medium Grid 2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MediumGrid2-Accent6">
    <w:name w:val="Medium Grid 2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customStyle="1" w:styleId="PlainTable21">
    <w:name w:val="Plain Table 2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customStyle="1" w:styleId="ListParagraph1">
    <w:name w:val="List Paragraph1"/>
    <w:uiPriority w:val="34"/>
    <w:qFormat/>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MediumGrid1-Accent2">
    <w:name w:val="Medium Grid 1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MediumGrid1-Accent3">
    <w:name w:val="Medium Grid 1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MediumGrid1-Accent4">
    <w:name w:val="Medium Grid 1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MediumGrid1-Accent5">
    <w:name w:val="Medium Grid 1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MediumGrid1-Accent6">
    <w:name w:val="Medium Grid 1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customStyle="1" w:styleId="PlainTable11">
    <w:name w:val="Plain Table 1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customStyle="1" w:styleId="Revision1">
    <w:name w:val="Revision1"/>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MediumList2-Accent2">
    <w:name w:val="Medium List 2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MediumList2-Accent3">
    <w:name w:val="Medium List 2 Accent 3"/>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MediumList2-Accent4">
    <w:name w:val="Medium List 2 Accent 4"/>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MediumList2-Accent5">
    <w:name w:val="Medium List 2 Accent 5"/>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MediumList2-Accent6">
    <w:name w:val="Medium List 2 Accent 6"/>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customStyle="1" w:styleId="TOCHeading1">
    <w:name w:val="TOC Heading1"/>
    <w:uiPriority w:val="71"/>
    <w:qFormat/>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MediumList1-Accent1">
    <w:name w:val="Medium List 1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MediumList1-Accent2">
    <w:name w:val="Medium List 1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MediumList1-Accent3">
    <w:name w:val="Medium List 1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MediumList1-Accent4">
    <w:name w:val="Medium List 1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MediumList1-Accent5">
    <w:name w:val="Medium List 1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MediumList1-Accent6">
    <w:name w:val="Medium List 1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customStyle="1" w:styleId="Bibliography1">
    <w:name w:val="Bibliography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customStyle="1" w:styleId="GridTable1Light2">
    <w:name w:val="Grid Table 1 Light2"/>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customStyle="1" w:styleId="GridTable1Light-Accent11">
    <w:name w:val="Grid Table 1 Light - Accent 1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customStyle="1" w:styleId="GridTable1Light-Accent21">
    <w:name w:val="Grid Table 1 Light - Accent 21"/>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customStyle="1" w:styleId="GridTable1Light-Accent31">
    <w:name w:val="Grid Table 1 Light - Accent 31"/>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customStyle="1" w:styleId="GridTable1Light-Accent41">
    <w:name w:val="Grid Table 1 Light - Accent 41"/>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customStyle="1" w:styleId="GridTable1Light-Accent51">
    <w:name w:val="Grid Table 1 Light - Accent 51"/>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customStyle="1" w:styleId="GridTable1Light-Accent61">
    <w:name w:val="Grid Table 1 Light - Accent 61"/>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customStyle="1" w:styleId="GridTable22">
    <w:name w:val="Grid Table 2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customStyle="1" w:styleId="GridTable2-Accent11">
    <w:name w:val="Grid Table 2 - Accent 1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customStyle="1" w:styleId="GridTable2-Accent21">
    <w:name w:val="Grid Table 2 - Accent 21"/>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customStyle="1" w:styleId="GridTable2-Accent31">
    <w:name w:val="Grid Table 2 - Accent 31"/>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customStyle="1" w:styleId="GridTable2-Accent41">
    <w:name w:val="Grid Table 2 - Accent 41"/>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customStyle="1" w:styleId="GridTable2-Accent51">
    <w:name w:val="Grid Table 2 - Accent 51"/>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customStyle="1" w:styleId="GridTable2-Accent61">
    <w:name w:val="Grid Table 2 - Accent 61"/>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customStyle="1" w:styleId="GridTable31">
    <w:name w:val="Grid Table 31"/>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3-Accent11">
    <w:name w:val="Grid Table 3 - Accent 1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3-Accent21">
    <w:name w:val="Grid Table 3 - Accent 21"/>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3-Accent31">
    <w:name w:val="Grid Table 3 - Accent 31"/>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3-Accent41">
    <w:name w:val="Grid Table 3 - Accent 41"/>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3-Accent51">
    <w:name w:val="Grid Table 3 - Accent 51"/>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3-Accent61">
    <w:name w:val="Grid Table 3 - Accent 61"/>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41">
    <w:name w:val="Grid Table 41"/>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4-Accent11">
    <w:name w:val="Grid Table 4 - Accent 1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4-Accent21">
    <w:name w:val="Grid Table 4 - Accent 21"/>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4-Accent31">
    <w:name w:val="Grid Table 4 - Accent 31"/>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4-Accent41">
    <w:name w:val="Grid Table 4 - Accent 41"/>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4-Accent51">
    <w:name w:val="Grid Table 4 - Accent 51"/>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4-Accent61">
    <w:name w:val="Grid Table 4 - Accent 61"/>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5Dark1">
    <w:name w:val="Grid Table 5 Dark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customStyle="1" w:styleId="GridTable5Dark-Accent11">
    <w:name w:val="Grid Table 5 Dark - Accent 1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customStyle="1" w:styleId="GridTable5Dark-Accent21">
    <w:name w:val="Grid Table 5 Dark - Accent 2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customStyle="1" w:styleId="GridTable5Dark-Accent31">
    <w:name w:val="Grid Table 5 Dark - Accent 3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customStyle="1" w:styleId="GridTable5Dark-Accent41">
    <w:name w:val="Grid Table 5 Dark - Accent 4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customStyle="1" w:styleId="GridTable5Dark-Accent51">
    <w:name w:val="Grid Table 5 Dark - Accent 5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customStyle="1" w:styleId="GridTable5Dark-Accent61">
    <w:name w:val="Grid Table 5 Dark - Accent 6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customStyle="1" w:styleId="GridTable6Colorful1">
    <w:name w:val="Grid Table 6 Colorful1"/>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6Colorful-Accent11">
    <w:name w:val="Grid Table 6 Colorful - Accent 1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6Colorful-Accent21">
    <w:name w:val="Grid Table 6 Colorful - Accent 21"/>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6Colorful-Accent31">
    <w:name w:val="Grid Table 6 Colorful - Accent 31"/>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6Colorful-Accent41">
    <w:name w:val="Grid Table 6 Colorful - Accent 41"/>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6Colorful-Accent51">
    <w:name w:val="Grid Table 6 Colorful - Accent 51"/>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6Colorful-Accent61">
    <w:name w:val="Grid Table 6 Colorful - Accent 61"/>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7Colorful1">
    <w:name w:val="Grid Table 7 Colorful1"/>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7Colorful-Accent11">
    <w:name w:val="Grid Table 7 Colorful - Accent 1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7Colorful-Accent21">
    <w:name w:val="Grid Table 7 Colorful - Accent 21"/>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7Colorful-Accent31">
    <w:name w:val="Grid Table 7 Colorful - Accent 31"/>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7Colorful-Accent41">
    <w:name w:val="Grid Table 7 Colorful - Accent 41"/>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7Colorful-Accent51">
    <w:name w:val="Grid Table 7 Colorful - Accent 51"/>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7Colorful-Accent61">
    <w:name w:val="Grid Table 7 Colorful - Accent 61"/>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customStyle="1" w:styleId="PlainTable41">
    <w:name w:val="Plain Table 41"/>
    <w:uiPriority w:val="21"/>
    <w:qFormat/>
    <w:rsid w:val="00B825F7"/>
    <w:rPr>
      <w:i/>
      <w:iCs/>
      <w:color w:val="5B9BD5"/>
    </w:rPr>
  </w:style>
  <w:style w:type="paragraph" w:customStyle="1" w:styleId="LightShading-Accent21">
    <w:name w:val="Light Shading - Accent 21"/>
    <w:next w:val="Normal"/>
    <w:link w:val="LightShading-Accent2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LightShading-Accent2Char">
    <w:name w:val="Light Shading - Accent 2 Char"/>
    <w:link w:val="LightShading-Accent21"/>
    <w:uiPriority w:val="30"/>
    <w:rsid w:val="00451CC4"/>
    <w:rPr>
      <w:rFonts w:ascii="Arial" w:hAnsi="Arial" w:cs="Arial"/>
      <w:i/>
      <w:iCs/>
      <w:color w:val="006DA5"/>
    </w:rPr>
  </w:style>
  <w:style w:type="character" w:customStyle="1" w:styleId="TableGridLight1">
    <w:name w:val="Table Grid Light1"/>
    <w:uiPriority w:val="32"/>
    <w:qFormat/>
    <w:rsid w:val="00B825F7"/>
    <w:rPr>
      <w:b/>
      <w:bCs/>
      <w:smallCaps/>
      <w:color w:val="5B9BD5"/>
      <w:spacing w:val="5"/>
    </w:rPr>
  </w:style>
  <w:style w:type="table" w:styleId="ColorfulShading">
    <w:name w:val="Colorful Shading"/>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MediumGrid1-Accent1">
    <w:name w:val="Medium Grid 1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ColorfulShading-Accent2">
    <w:name w:val="Colorful Shading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ColorfulShading-Accent3">
    <w:name w:val="Colorful Shading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ColorfulShading-Accent4">
    <w:name w:val="Colorful Shading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ColorfulShading-Accent5">
    <w:name w:val="Colorful Shading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ColorfulShading-Accent6">
    <w:name w:val="Colorful Shading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DarkList">
    <w:name w:val="Dark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DarkList-Accent2">
    <w:name w:val="Dark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DarkList-Accent3">
    <w:name w:val="Dark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DarkList-Accent4">
    <w:name w:val="Dark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DarkList-Accent5">
    <w:name w:val="Dark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DarkList-Accent6">
    <w:name w:val="Dark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Grid3">
    <w:name w:val="Medium Grid 3"/>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customStyle="1" w:styleId="IntenseQuote1">
    <w:name w:val="Intense Quote1"/>
    <w:uiPriority w:val="60"/>
    <w:qFormat/>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Grid3-Accent2">
    <w:name w:val="Medium Grid 3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Grid3-Accent3">
    <w:name w:val="Medium Grid 3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Grid3-Accent4">
    <w:name w:val="Medium Grid 3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Grid3-Accent5">
    <w:name w:val="Medium Grid 3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Grid3-Accent6">
    <w:name w:val="Medium Grid 3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link w:val="ListBulletChar"/>
    <w:uiPriority w:val="99"/>
    <w:unhideWhenUsed/>
    <w:rsid w:val="00847C1D"/>
    <w:pPr>
      <w:numPr>
        <w:numId w:val="4"/>
      </w:numPr>
      <w:spacing w:after="120"/>
      <w:ind w:left="357" w:hanging="357"/>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customStyle="1" w:styleId="ColorfulList-Accent11">
    <w:name w:val="Colorful List - Accent 11"/>
    <w:uiPriority w:val="34"/>
    <w:qFormat/>
    <w:rsid w:val="00451CC4"/>
    <w:pPr>
      <w:ind w:left="720"/>
    </w:pPr>
    <w:rPr>
      <w:rFonts w:cs="Arial"/>
      <w:sz w:val="22"/>
      <w:szCs w:val="22"/>
    </w:rPr>
  </w:style>
  <w:style w:type="table" w:customStyle="1" w:styleId="ListTable1Light1">
    <w:name w:val="List Table 1 Light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11">
    <w:name w:val="List Table 1 Light - Accent 1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21">
    <w:name w:val="List Table 1 Light - Accent 2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31">
    <w:name w:val="List Table 1 Light - Accent 3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41">
    <w:name w:val="List Table 1 Light - Accent 4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51">
    <w:name w:val="List Table 1 Light - Accent 5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1Light-Accent61">
    <w:name w:val="List Table 1 Light - Accent 61"/>
    <w:uiPriority w:val="46"/>
    <w:rsid w:val="00B825F7"/>
    <w:rPr>
      <w:sz w:val="22"/>
      <w:szCs w:val="22"/>
    </w:rPr>
    <w:tblPr>
      <w:tblStyleRowBandSize w:val="1"/>
      <w:tblStyleColBandSize w:val="1"/>
      <w:tblCellMar>
        <w:top w:w="0" w:type="dxa"/>
        <w:left w:w="0" w:type="dxa"/>
        <w:bottom w:w="0" w:type="dxa"/>
        <w:right w:w="0" w:type="dxa"/>
      </w:tblCellMar>
    </w:tblPr>
  </w:style>
  <w:style w:type="table" w:customStyle="1" w:styleId="ListTable21">
    <w:name w:val="List Table 21"/>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customStyle="1" w:styleId="ListTable2-Accent11">
    <w:name w:val="List Table 2 - Accent 1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customStyle="1" w:styleId="ListTable2-Accent21">
    <w:name w:val="List Table 2 - Accent 21"/>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customStyle="1" w:styleId="ListTable2-Accent31">
    <w:name w:val="List Table 2 - Accent 31"/>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customStyle="1" w:styleId="ListTable2-Accent41">
    <w:name w:val="List Table 2 - Accent 41"/>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customStyle="1" w:styleId="ListTable2-Accent51">
    <w:name w:val="List Table 2 - Accent 51"/>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customStyle="1" w:styleId="ListTable2-Accent61">
    <w:name w:val="List Table 2 - Accent 61"/>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customStyle="1" w:styleId="ListTable31">
    <w:name w:val="List Table 31"/>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customStyle="1" w:styleId="ListTable3-Accent21">
    <w:name w:val="List Table 3 - Accent 21"/>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customStyle="1" w:styleId="ListTable3-Accent31">
    <w:name w:val="List Table 3 - Accent 31"/>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customStyle="1" w:styleId="ListTable3-Accent41">
    <w:name w:val="List Table 3 - Accent 41"/>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customStyle="1" w:styleId="ListTable3-Accent51">
    <w:name w:val="List Table 3 - Accent 51"/>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customStyle="1" w:styleId="ListTable3-Accent61">
    <w:name w:val="List Table 3 - Accent 61"/>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customStyle="1" w:styleId="ListTable41">
    <w:name w:val="List Table 41"/>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customStyle="1" w:styleId="ListTable4-Accent11">
    <w:name w:val="List Table 4 - Accent 1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customStyle="1" w:styleId="ListTable4-Accent21">
    <w:name w:val="List Table 4 - Accent 21"/>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customStyle="1" w:styleId="ListTable4-Accent31">
    <w:name w:val="List Table 4 - Accent 31"/>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customStyle="1" w:styleId="ListTable4-Accent41">
    <w:name w:val="List Table 4 - Accent 41"/>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customStyle="1" w:styleId="ListTable4-Accent51">
    <w:name w:val="List Table 4 - Accent 51"/>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customStyle="1" w:styleId="ListTable4-Accent61">
    <w:name w:val="List Table 4 - Accent 61"/>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customStyle="1" w:styleId="ListTable5Dark1">
    <w:name w:val="List Table 5 Dark1"/>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customStyle="1" w:styleId="ListTable5Dark-Accent11">
    <w:name w:val="List Table 5 Dark - Accent 1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customStyle="1" w:styleId="ListTable5Dark-Accent21">
    <w:name w:val="List Table 5 Dark - Accent 21"/>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customStyle="1" w:styleId="ListTable5Dark-Accent31">
    <w:name w:val="List Table 5 Dark - Accent 31"/>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customStyle="1" w:styleId="ListTable5Dark-Accent41">
    <w:name w:val="List Table 5 Dark - Accent 41"/>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customStyle="1" w:styleId="ListTable5Dark-Accent51">
    <w:name w:val="List Table 5 Dark - Accent 51"/>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customStyle="1" w:styleId="ListTable5Dark-Accent61">
    <w:name w:val="List Table 5 Dark - Accent 61"/>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customStyle="1" w:styleId="ListTable6Colorful1">
    <w:name w:val="List Table 6 Colorful1"/>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customStyle="1" w:styleId="ListTable6Colorful-Accent11">
    <w:name w:val="List Table 6 Colorful - Accent 1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customStyle="1" w:styleId="ListTable6Colorful-Accent21">
    <w:name w:val="List Table 6 Colorful - Accent 21"/>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customStyle="1" w:styleId="ListTable6Colorful-Accent31">
    <w:name w:val="List Table 6 Colorful - Accent 31"/>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customStyle="1" w:styleId="ListTable6Colorful-Accent41">
    <w:name w:val="List Table 6 Colorful - Accent 41"/>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customStyle="1" w:styleId="ListTable6Colorful-Accent51">
    <w:name w:val="List Table 6 Colorful - Accent 51"/>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customStyle="1" w:styleId="ListTable6Colorful-Accent61">
    <w:name w:val="List Table 6 Colorful - Accent 61"/>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customStyle="1" w:styleId="ListTable7Colorful1">
    <w:name w:val="List Table 7 Colorful1"/>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customStyle="1" w:styleId="ListTable7Colorful-Accent11">
    <w:name w:val="List Table 7 Colorful - Accent 1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customStyle="1" w:styleId="ListTable7Colorful-Accent21">
    <w:name w:val="List Table 7 Colorful - Accent 21"/>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customStyle="1" w:styleId="ListTable7Colorful-Accent31">
    <w:name w:val="List Table 7 Colorful - Accent 31"/>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customStyle="1" w:styleId="ListTable7Colorful-Accent41">
    <w:name w:val="List Table 7 Colorful - Accent 41"/>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customStyle="1" w:styleId="ListTable7Colorful-Accent51">
    <w:name w:val="List Table 7 Colorful - Accent 51"/>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customStyle="1" w:styleId="ListTable7Colorful-Accent61">
    <w:name w:val="List Table 7 Colorful - Accent 61"/>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LightGrid-Accent1">
    <w:name w:val="Light Grid Accent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LightGrid-Accent2">
    <w:name w:val="Light Grid Accent 2"/>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LightGrid-Accent3">
    <w:name w:val="Light Grid Accent 3"/>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LightGrid-Accent4">
    <w:name w:val="Light Grid Accent 4"/>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LightGrid-Accent5">
    <w:name w:val="Light Grid Accent 5"/>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LightGrid-Accent6">
    <w:name w:val="Light Grid Accent 6"/>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customStyle="1" w:styleId="SubtleReference1">
    <w:name w:val="Subtle Reference1"/>
    <w:uiPriority w:val="67"/>
    <w:qFormat/>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Shading1-Accent1">
    <w:name w:val="Medium Shading 1 Accent 1"/>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Shading1-Accent2">
    <w:name w:val="Medium Shading 1 Accent 2"/>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Shading1-Accent3">
    <w:name w:val="Medium Shading 1 Accent 3"/>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Shading1-Accent4">
    <w:name w:val="Medium Shading 1 Accent 4"/>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Shading1-Accent5">
    <w:name w:val="Medium Shading 1 Accent 5"/>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Shading1-Accent6">
    <w:name w:val="Medium Shading 1 Accent 6"/>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customStyle="1" w:styleId="IntenseReference1">
    <w:name w:val="Intense Reference1"/>
    <w:uiPriority w:val="68"/>
    <w:qFormat/>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Shading2-Accent1">
    <w:name w:val="Medium Shading 2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Shading2-Accent2">
    <w:name w:val="Medium Shading 2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Shading2-Accent3">
    <w:name w:val="Medium Shading 2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Shading2-Accent4">
    <w:name w:val="Medium Shading 2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Shading2-Accent5">
    <w:name w:val="Medium Shading 2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Shading2-Accent6">
    <w:name w:val="Medium Shading 2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customStyle="1" w:styleId="BookTitle1">
    <w:name w:val="Book Title1"/>
    <w:uiPriority w:val="69"/>
    <w:qFormat/>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LightShading-Accent1">
    <w:name w:val="Light Shading Accen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DarkList-Accent1">
    <w:name w:val="Dark List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3">
    <w:name w:val="Light Shading Accent 3"/>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4">
    <w:name w:val="Light Shading Accent 4"/>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5">
    <w:name w:val="Light Shading Accent 5"/>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6">
    <w:name w:val="Light Shading Accent 6"/>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customStyle="1" w:styleId="SubtleEmphasis1">
    <w:name w:val="Subtle Emphasis1"/>
    <w:uiPriority w:val="65"/>
    <w:qFormat/>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LightList-Accent1">
    <w:name w:val="Light List Accent 1"/>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2">
    <w:name w:val="Light List Accent 2"/>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3">
    <w:name w:val="Light List Accent 3"/>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4">
    <w:name w:val="Light List Accent 4"/>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5">
    <w:name w:val="Light List Accent 5"/>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6">
    <w:name w:val="Light List Accent 6"/>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customStyle="1" w:styleId="IntenseEmphasis1">
    <w:name w:val="Intense Emphasis1"/>
    <w:uiPriority w:val="66"/>
    <w:qFormat/>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ColorfulList">
    <w:name w:val="Colorful List"/>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Grid2-Accent1">
    <w:name w:val="Medium Grid 2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ColorfulList-Accent2">
    <w:name w:val="Colorful List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ColorfulList-Accent3">
    <w:name w:val="Colorful List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ColorfulList-Accent4">
    <w:name w:val="Colorful List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ColorfulList-Accent5">
    <w:name w:val="Colorful List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ColorfulList-Accent6">
    <w:name w:val="Colorful List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ColorfulGrid">
    <w:name w:val="Colorful Grid"/>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Grid3-Accent1">
    <w:name w:val="Medium Grid 3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2">
    <w:name w:val="Colorful Grid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3">
    <w:name w:val="Colorful Grid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4">
    <w:name w:val="Colorful Grid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5">
    <w:name w:val="Colorful Grid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6">
    <w:name w:val="Colorful Grid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customStyle="1" w:styleId="MediumGrid21">
    <w:name w:val="Medium Grid 21"/>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customStyle="1" w:styleId="MediumGrid11">
    <w:name w:val="Medium Grid 11"/>
    <w:uiPriority w:val="99"/>
    <w:semiHidden/>
    <w:rsid w:val="00B825F7"/>
    <w:rPr>
      <w:color w:val="808080"/>
    </w:rPr>
  </w:style>
  <w:style w:type="table" w:customStyle="1" w:styleId="PlainTable12">
    <w:name w:val="Plain Table 12"/>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customStyle="1" w:styleId="PlainTable22">
    <w:name w:val="Plain Table 2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PlainTable31">
    <w:name w:val="Plain Table 31"/>
    <w:uiPriority w:val="43"/>
    <w:rsid w:val="00B825F7"/>
    <w:rPr>
      <w:sz w:val="22"/>
      <w:szCs w:val="22"/>
    </w:rPr>
    <w:tblPr>
      <w:tblStyleRowBandSize w:val="1"/>
      <w:tblStyleColBandSize w:val="1"/>
      <w:tblCellMar>
        <w:top w:w="0" w:type="dxa"/>
        <w:left w:w="0" w:type="dxa"/>
        <w:bottom w:w="0" w:type="dxa"/>
        <w:right w:w="0" w:type="dxa"/>
      </w:tblCellMar>
    </w:tblPr>
  </w:style>
  <w:style w:type="table" w:customStyle="1" w:styleId="PlainTable42">
    <w:name w:val="Plain Table 42"/>
    <w:uiPriority w:val="44"/>
    <w:rsid w:val="00B825F7"/>
    <w:rPr>
      <w:sz w:val="22"/>
      <w:szCs w:val="22"/>
    </w:rPr>
    <w:tblPr>
      <w:tblStyleRowBandSize w:val="1"/>
      <w:tblStyleColBandSize w:val="1"/>
      <w:tblCellMar>
        <w:top w:w="0" w:type="dxa"/>
        <w:left w:w="0" w:type="dxa"/>
        <w:bottom w:w="0" w:type="dxa"/>
        <w:right w:w="0" w:type="dxa"/>
      </w:tblCellMar>
    </w:tblPr>
  </w:style>
  <w:style w:type="table" w:customStyle="1" w:styleId="PlainTable51">
    <w:name w:val="Plain Table 51"/>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unhideWhenUsed/>
    <w:rsid w:val="00B825F7"/>
    <w:rPr>
      <w:rFonts w:cs="Arial"/>
    </w:rPr>
  </w:style>
  <w:style w:type="character" w:customStyle="1" w:styleId="PlainTextChar">
    <w:name w:val="Plain Text Char"/>
    <w:link w:val="PlainText"/>
    <w:uiPriority w:val="99"/>
    <w:rsid w:val="00B825F7"/>
    <w:rPr>
      <w:rFonts w:ascii="Arial" w:hAnsi="Arial" w:cs="Arial"/>
      <w:sz w:val="20"/>
      <w:szCs w:val="20"/>
    </w:rPr>
  </w:style>
  <w:style w:type="paragraph" w:customStyle="1" w:styleId="ColorfulGrid-Accent11">
    <w:name w:val="Colorful Grid - Accent 11"/>
    <w:next w:val="Normal"/>
    <w:link w:val="ColorfulGrid-Accent1Char"/>
    <w:uiPriority w:val="29"/>
    <w:qFormat/>
    <w:rsid w:val="00B825F7"/>
    <w:pPr>
      <w:spacing w:before="200"/>
      <w:ind w:left="864" w:right="864"/>
      <w:jc w:val="center"/>
    </w:pPr>
    <w:rPr>
      <w:rFonts w:cs="Arial"/>
      <w:i/>
      <w:iCs/>
      <w:color w:val="404040"/>
      <w:sz w:val="22"/>
      <w:szCs w:val="22"/>
    </w:rPr>
  </w:style>
  <w:style w:type="character" w:customStyle="1" w:styleId="ColorfulGrid-Accent1Char">
    <w:name w:val="Colorful Grid - Accent 1 Char"/>
    <w:link w:val="ColorfulGrid-Accent11"/>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customStyle="1" w:styleId="PlainTable32">
    <w:name w:val="Plain Table 32"/>
    <w:uiPriority w:val="19"/>
    <w:qFormat/>
    <w:rsid w:val="00B825F7"/>
    <w:rPr>
      <w:i/>
      <w:iCs/>
      <w:color w:val="404040"/>
    </w:rPr>
  </w:style>
  <w:style w:type="character" w:customStyle="1" w:styleId="PlainTable52">
    <w:name w:val="Plain Table 52"/>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customStyle="1" w:styleId="TableGridLight2">
    <w:name w:val="Table Grid Light2"/>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unhideWhenUsed/>
    <w:rsid w:val="003470D2"/>
    <w:pPr>
      <w:tabs>
        <w:tab w:val="right" w:leader="dot" w:pos="9628"/>
      </w:tabs>
      <w:spacing w:before="240" w:after="120"/>
    </w:pPr>
    <w:rPr>
      <w:rFonts w:cs="Arial"/>
      <w:sz w:val="22"/>
      <w:szCs w:val="22"/>
    </w:rPr>
  </w:style>
  <w:style w:type="paragraph" w:styleId="TOC2">
    <w:name w:val="toc 2"/>
    <w:next w:val="Normal"/>
    <w:autoRedefine/>
    <w:uiPriority w:val="39"/>
    <w:unhideWhenUsed/>
    <w:rsid w:val="0050558A"/>
    <w:pPr>
      <w:tabs>
        <w:tab w:val="right" w:leader="dot" w:pos="9628"/>
      </w:tabs>
      <w:spacing w:after="120"/>
      <w:ind w:left="221"/>
    </w:pPr>
    <w:rPr>
      <w:rFonts w:cs="Arial"/>
      <w:sz w:val="22"/>
      <w:szCs w:val="22"/>
    </w:rPr>
  </w:style>
  <w:style w:type="paragraph" w:styleId="TOC3">
    <w:name w:val="toc 3"/>
    <w:next w:val="Normal"/>
    <w:autoRedefine/>
    <w:uiPriority w:val="39"/>
    <w:unhideWhenUsed/>
    <w:rsid w:val="003470D2"/>
    <w:pPr>
      <w:tabs>
        <w:tab w:val="right" w:leader="dot" w:pos="9628"/>
      </w:tabs>
      <w:spacing w:after="60"/>
      <w:ind w:left="442"/>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customStyle="1" w:styleId="GridTable32">
    <w:name w:val="Grid Table 32"/>
    <w:next w:val="Normal"/>
    <w:uiPriority w:val="39"/>
    <w:unhideWhenUsed/>
    <w:qFormat/>
    <w:rsid w:val="00B825F7"/>
    <w:rPr>
      <w:rFonts w:eastAsia="Times New Roman" w:cs="Arial"/>
      <w:b/>
      <w:bCs/>
      <w:kern w:val="32"/>
      <w:sz w:val="32"/>
      <w:szCs w:val="32"/>
    </w:rPr>
  </w:style>
  <w:style w:type="paragraph" w:customStyle="1" w:styleId="Tabletext">
    <w:name w:val="Table text"/>
    <w:basedOn w:val="BodyText"/>
    <w:link w:val="TabletextChar"/>
    <w:rsid w:val="007A19C4"/>
    <w:pPr>
      <w:spacing w:after="0"/>
    </w:pPr>
    <w:rPr>
      <w:rFonts w:eastAsia="Times New Roman" w:cs="Times New Roman"/>
      <w:sz w:val="20"/>
      <w:szCs w:val="20"/>
      <w:lang w:eastAsia="en-US"/>
    </w:rPr>
  </w:style>
  <w:style w:type="character" w:customStyle="1" w:styleId="TabletextChar">
    <w:name w:val="Table text Char"/>
    <w:link w:val="Tabletext"/>
    <w:locked/>
    <w:rsid w:val="007A19C4"/>
    <w:rPr>
      <w:rFonts w:eastAsia="Times New Roman"/>
      <w:lang w:eastAsia="en-US"/>
    </w:rPr>
  </w:style>
  <w:style w:type="paragraph" w:customStyle="1" w:styleId="Tableheading1">
    <w:name w:val="Table heading 1"/>
    <w:basedOn w:val="Tabletext"/>
    <w:rsid w:val="007A19C4"/>
    <w:rPr>
      <w:b/>
      <w:color w:val="FFFFFF"/>
    </w:rPr>
  </w:style>
  <w:style w:type="paragraph" w:customStyle="1" w:styleId="Tableheading">
    <w:name w:val="Table heading"/>
    <w:basedOn w:val="Normal"/>
    <w:next w:val="Normal"/>
    <w:link w:val="TableheadingChar"/>
    <w:rsid w:val="007F7F7D"/>
    <w:pPr>
      <w:keepNext/>
      <w:keepLines/>
      <w:spacing w:before="40" w:after="20"/>
    </w:pPr>
    <w:rPr>
      <w:rFonts w:eastAsia="Times New Roman" w:cs="Times New Roman"/>
      <w:b/>
      <w:iCs/>
      <w:sz w:val="20"/>
      <w:szCs w:val="20"/>
    </w:rPr>
  </w:style>
  <w:style w:type="character" w:customStyle="1" w:styleId="TableheadingChar">
    <w:name w:val="Table heading Char"/>
    <w:link w:val="Tableheading"/>
    <w:locked/>
    <w:rsid w:val="007F7F7D"/>
    <w:rPr>
      <w:rFonts w:eastAsia="Times New Roman"/>
      <w:b/>
      <w:iCs/>
      <w:lang w:eastAsia="en-AU"/>
    </w:rPr>
  </w:style>
  <w:style w:type="paragraph" w:customStyle="1" w:styleId="Notesheading">
    <w:name w:val="Notes heading"/>
    <w:basedOn w:val="BodyText"/>
    <w:link w:val="NotesheadingChar"/>
    <w:qFormat/>
    <w:rsid w:val="0004018E"/>
    <w:pPr>
      <w:keepNext/>
      <w:spacing w:before="240"/>
    </w:pPr>
    <w:rPr>
      <w:rFonts w:eastAsia="Times New Roman"/>
      <w:b/>
      <w:bCs/>
      <w:i/>
      <w:sz w:val="20"/>
      <w:szCs w:val="20"/>
    </w:rPr>
  </w:style>
  <w:style w:type="character" w:customStyle="1" w:styleId="NotesheadingChar">
    <w:name w:val="Notes heading Char"/>
    <w:link w:val="Notesheading"/>
    <w:rsid w:val="0004018E"/>
    <w:rPr>
      <w:rFonts w:eastAsia="Times New Roman" w:cs="Arial"/>
      <w:b/>
      <w:bCs/>
      <w:i/>
      <w:lang w:eastAsia="en-AU"/>
    </w:rPr>
  </w:style>
  <w:style w:type="paragraph" w:customStyle="1" w:styleId="BodyText-List">
    <w:name w:val="Body Text - List"/>
    <w:basedOn w:val="BodyText"/>
    <w:link w:val="BodyText-ListChar"/>
    <w:rsid w:val="00156C26"/>
    <w:pPr>
      <w:numPr>
        <w:numId w:val="14"/>
      </w:numPr>
      <w:spacing w:before="120" w:after="0"/>
    </w:pPr>
    <w:rPr>
      <w:rFonts w:eastAsia="Times New Roman"/>
      <w:sz w:val="20"/>
      <w:lang w:eastAsia="en-US"/>
    </w:rPr>
  </w:style>
  <w:style w:type="character" w:customStyle="1" w:styleId="BodyText-ListChar">
    <w:name w:val="Body Text - List Char"/>
    <w:link w:val="BodyText-List"/>
    <w:rsid w:val="00156C26"/>
    <w:rPr>
      <w:rFonts w:eastAsia="Times New Roman" w:cs="Arial"/>
      <w:szCs w:val="22"/>
    </w:rPr>
  </w:style>
  <w:style w:type="paragraph" w:customStyle="1" w:styleId="Imprint">
    <w:name w:val="Imprint"/>
    <w:basedOn w:val="Normal"/>
    <w:qFormat/>
    <w:rsid w:val="00525810"/>
    <w:rPr>
      <w:sz w:val="18"/>
      <w:szCs w:val="18"/>
    </w:rPr>
  </w:style>
  <w:style w:type="paragraph" w:customStyle="1" w:styleId="Notes">
    <w:name w:val="Notes"/>
    <w:basedOn w:val="Normal"/>
    <w:link w:val="NotesChar"/>
    <w:qFormat/>
    <w:rsid w:val="0003770C"/>
    <w:pPr>
      <w:ind w:left="357" w:hanging="357"/>
    </w:pPr>
    <w:rPr>
      <w:sz w:val="20"/>
      <w:szCs w:val="20"/>
    </w:rPr>
  </w:style>
  <w:style w:type="paragraph" w:customStyle="1" w:styleId="OGTabHead">
    <w:name w:val="OGTabHead"/>
    <w:basedOn w:val="Normal"/>
    <w:rsid w:val="005910D5"/>
    <w:pPr>
      <w:keepNext/>
      <w:keepLines/>
      <w:spacing w:before="30" w:after="30"/>
    </w:pPr>
    <w:rPr>
      <w:rFonts w:ascii="Calibri" w:eastAsia="Times New Roman" w:hAnsi="Calibri" w:cs="Times New Roman"/>
      <w:i/>
      <w:sz w:val="20"/>
      <w:szCs w:val="18"/>
      <w:lang w:eastAsia="en-US"/>
    </w:rPr>
  </w:style>
  <w:style w:type="character" w:customStyle="1" w:styleId="NotesChar">
    <w:name w:val="Notes Char"/>
    <w:link w:val="Notes"/>
    <w:rsid w:val="0003770C"/>
    <w:rPr>
      <w:rFonts w:cs="Arial"/>
    </w:rPr>
  </w:style>
  <w:style w:type="paragraph" w:customStyle="1" w:styleId="OGUoM">
    <w:name w:val="OGUoM"/>
    <w:basedOn w:val="Normal"/>
    <w:rsid w:val="005910D5"/>
    <w:pPr>
      <w:spacing w:before="30" w:after="30"/>
      <w:jc w:val="center"/>
    </w:pPr>
    <w:rPr>
      <w:rFonts w:ascii="Calibri" w:eastAsia="Times New Roman" w:hAnsi="Calibri" w:cs="Times New Roman"/>
      <w:sz w:val="20"/>
      <w:szCs w:val="18"/>
      <w:lang w:eastAsia="en-US"/>
    </w:rPr>
  </w:style>
  <w:style w:type="paragraph" w:customStyle="1" w:styleId="OGTableofFigures">
    <w:name w:val="OGTable of Figures"/>
    <w:basedOn w:val="TableofFigures"/>
    <w:rsid w:val="005910D5"/>
    <w:pPr>
      <w:spacing w:before="30" w:after="30"/>
      <w:jc w:val="right"/>
    </w:pPr>
    <w:rPr>
      <w:rFonts w:ascii="Calibri" w:eastAsia="Times New Roman" w:hAnsi="Calibri" w:cs="Times New Roman"/>
      <w:sz w:val="20"/>
      <w:szCs w:val="18"/>
      <w:lang w:eastAsia="en-US"/>
    </w:rPr>
  </w:style>
  <w:style w:type="paragraph" w:customStyle="1" w:styleId="OGTabText">
    <w:name w:val="OGTabText"/>
    <w:basedOn w:val="Normal"/>
    <w:link w:val="OGTabTextChar"/>
    <w:rsid w:val="005910D5"/>
    <w:pPr>
      <w:spacing w:before="30" w:after="30"/>
      <w:ind w:left="144"/>
    </w:pPr>
    <w:rPr>
      <w:rFonts w:ascii="Calibri" w:eastAsia="Times New Roman" w:hAnsi="Calibri" w:cs="Times New Roman"/>
      <w:sz w:val="20"/>
      <w:szCs w:val="18"/>
      <w:lang w:eastAsia="en-US"/>
    </w:rPr>
  </w:style>
  <w:style w:type="character" w:customStyle="1" w:styleId="OGTabTextChar">
    <w:name w:val="OGTabText Char"/>
    <w:link w:val="OGTabText"/>
    <w:rsid w:val="005910D5"/>
    <w:rPr>
      <w:rFonts w:ascii="Calibri" w:eastAsia="Times New Roman" w:hAnsi="Calibri"/>
      <w:szCs w:val="18"/>
      <w:lang w:eastAsia="en-US"/>
    </w:rPr>
  </w:style>
  <w:style w:type="paragraph" w:customStyle="1" w:styleId="Indentnormal">
    <w:name w:val="Indent normal"/>
    <w:basedOn w:val="ListBullet"/>
    <w:link w:val="IndentnormalChar"/>
    <w:qFormat/>
    <w:rsid w:val="00266E6D"/>
    <w:pPr>
      <w:numPr>
        <w:numId w:val="0"/>
      </w:numPr>
      <w:ind w:left="357"/>
    </w:pPr>
  </w:style>
  <w:style w:type="paragraph" w:customStyle="1" w:styleId="Default">
    <w:name w:val="Default"/>
    <w:rsid w:val="00017C09"/>
    <w:pPr>
      <w:autoSpaceDE w:val="0"/>
      <w:autoSpaceDN w:val="0"/>
      <w:adjustRightInd w:val="0"/>
    </w:pPr>
    <w:rPr>
      <w:rFonts w:cs="Arial"/>
      <w:color w:val="000000"/>
      <w:sz w:val="24"/>
      <w:szCs w:val="24"/>
    </w:rPr>
  </w:style>
  <w:style w:type="character" w:customStyle="1" w:styleId="ListBulletChar">
    <w:name w:val="List Bullet Char"/>
    <w:link w:val="ListBullet"/>
    <w:uiPriority w:val="99"/>
    <w:rsid w:val="00266E6D"/>
    <w:rPr>
      <w:rFonts w:cs="Arial"/>
      <w:sz w:val="22"/>
      <w:szCs w:val="22"/>
      <w:lang w:eastAsia="en-AU"/>
    </w:rPr>
  </w:style>
  <w:style w:type="character" w:customStyle="1" w:styleId="IndentnormalChar">
    <w:name w:val="Indent normal Char"/>
    <w:link w:val="Indentnormal"/>
    <w:rsid w:val="00266E6D"/>
    <w:rPr>
      <w:rFonts w:cs="Arial"/>
      <w:sz w:val="22"/>
      <w:szCs w:val="22"/>
      <w:lang w:eastAsia="en-AU"/>
    </w:rPr>
  </w:style>
  <w:style w:type="character" w:customStyle="1" w:styleId="QuoteChar">
    <w:name w:val="Quote Char"/>
    <w:link w:val="Quote"/>
    <w:uiPriority w:val="29"/>
    <w:rsid w:val="005D2D25"/>
    <w:rPr>
      <w:rFonts w:cs="Arial"/>
      <w:i/>
      <w:iCs/>
      <w:color w:val="404040"/>
      <w:sz w:val="22"/>
      <w:szCs w:val="22"/>
    </w:rPr>
  </w:style>
  <w:style w:type="paragraph" w:styleId="ListParagraph">
    <w:name w:val="List Paragraph"/>
    <w:basedOn w:val="Normal"/>
    <w:uiPriority w:val="72"/>
    <w:qFormat/>
    <w:rsid w:val="009C1FA4"/>
    <w:pPr>
      <w:ind w:left="720"/>
      <w:contextualSpacing/>
    </w:pPr>
  </w:style>
  <w:style w:type="paragraph" w:styleId="Revision">
    <w:name w:val="Revision"/>
    <w:hidden/>
    <w:uiPriority w:val="71"/>
    <w:semiHidden/>
    <w:rsid w:val="004773FB"/>
    <w:rPr>
      <w:rFonts w:cs="Arial"/>
      <w:sz w:val="22"/>
      <w:szCs w:val="22"/>
    </w:rPr>
  </w:style>
  <w:style w:type="paragraph" w:customStyle="1" w:styleId="NumberList1">
    <w:name w:val="Number List 1"/>
    <w:uiPriority w:val="99"/>
    <w:rsid w:val="00463EC2"/>
    <w:pPr>
      <w:numPr>
        <w:numId w:val="19"/>
      </w:numPr>
      <w:spacing w:before="160" w:after="200"/>
    </w:pPr>
    <w:rPr>
      <w:rFonts w:eastAsia="Times New Roman"/>
      <w:sz w:val="22"/>
    </w:rPr>
  </w:style>
  <w:style w:type="paragraph" w:customStyle="1" w:styleId="NumberList2">
    <w:name w:val="Number List 2"/>
    <w:uiPriority w:val="99"/>
    <w:rsid w:val="00463EC2"/>
    <w:pPr>
      <w:numPr>
        <w:ilvl w:val="1"/>
        <w:numId w:val="19"/>
      </w:numPr>
      <w:spacing w:before="160" w:after="200"/>
    </w:pPr>
    <w:rPr>
      <w:rFonts w:eastAsia="Times New Roman"/>
      <w:sz w:val="22"/>
    </w:rPr>
  </w:style>
  <w:style w:type="paragraph" w:customStyle="1" w:styleId="NumberList3">
    <w:name w:val="Number List 3"/>
    <w:basedOn w:val="Normal"/>
    <w:uiPriority w:val="99"/>
    <w:rsid w:val="00463EC2"/>
    <w:pPr>
      <w:numPr>
        <w:ilvl w:val="2"/>
        <w:numId w:val="19"/>
      </w:numPr>
      <w:spacing w:before="160" w:after="20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268">
      <w:bodyDiv w:val="1"/>
      <w:marLeft w:val="0"/>
      <w:marRight w:val="0"/>
      <w:marTop w:val="0"/>
      <w:marBottom w:val="0"/>
      <w:divBdr>
        <w:top w:val="none" w:sz="0" w:space="0" w:color="auto"/>
        <w:left w:val="none" w:sz="0" w:space="0" w:color="auto"/>
        <w:bottom w:val="none" w:sz="0" w:space="0" w:color="auto"/>
        <w:right w:val="none" w:sz="0" w:space="0" w:color="auto"/>
      </w:divBdr>
    </w:div>
    <w:div w:id="71901242">
      <w:bodyDiv w:val="1"/>
      <w:marLeft w:val="0"/>
      <w:marRight w:val="0"/>
      <w:marTop w:val="0"/>
      <w:marBottom w:val="0"/>
      <w:divBdr>
        <w:top w:val="none" w:sz="0" w:space="0" w:color="auto"/>
        <w:left w:val="none" w:sz="0" w:space="0" w:color="auto"/>
        <w:bottom w:val="none" w:sz="0" w:space="0" w:color="auto"/>
        <w:right w:val="none" w:sz="0" w:space="0" w:color="auto"/>
      </w:divBdr>
    </w:div>
    <w:div w:id="174077768">
      <w:bodyDiv w:val="1"/>
      <w:marLeft w:val="0"/>
      <w:marRight w:val="0"/>
      <w:marTop w:val="0"/>
      <w:marBottom w:val="0"/>
      <w:divBdr>
        <w:top w:val="none" w:sz="0" w:space="0" w:color="auto"/>
        <w:left w:val="none" w:sz="0" w:space="0" w:color="auto"/>
        <w:bottom w:val="none" w:sz="0" w:space="0" w:color="auto"/>
        <w:right w:val="none" w:sz="0" w:space="0" w:color="auto"/>
      </w:divBdr>
    </w:div>
    <w:div w:id="203444622">
      <w:bodyDiv w:val="1"/>
      <w:marLeft w:val="0"/>
      <w:marRight w:val="0"/>
      <w:marTop w:val="0"/>
      <w:marBottom w:val="0"/>
      <w:divBdr>
        <w:top w:val="none" w:sz="0" w:space="0" w:color="auto"/>
        <w:left w:val="none" w:sz="0" w:space="0" w:color="auto"/>
        <w:bottom w:val="none" w:sz="0" w:space="0" w:color="auto"/>
        <w:right w:val="none" w:sz="0" w:space="0" w:color="auto"/>
      </w:divBdr>
      <w:divsChild>
        <w:div w:id="573709881">
          <w:marLeft w:val="0"/>
          <w:marRight w:val="0"/>
          <w:marTop w:val="0"/>
          <w:marBottom w:val="0"/>
          <w:divBdr>
            <w:top w:val="none" w:sz="0" w:space="0" w:color="auto"/>
            <w:left w:val="none" w:sz="0" w:space="0" w:color="auto"/>
            <w:bottom w:val="none" w:sz="0" w:space="0" w:color="auto"/>
            <w:right w:val="none" w:sz="0" w:space="0" w:color="auto"/>
          </w:divBdr>
          <w:divsChild>
            <w:div w:id="973870222">
              <w:marLeft w:val="0"/>
              <w:marRight w:val="0"/>
              <w:marTop w:val="0"/>
              <w:marBottom w:val="0"/>
              <w:divBdr>
                <w:top w:val="none" w:sz="0" w:space="0" w:color="auto"/>
                <w:left w:val="none" w:sz="0" w:space="0" w:color="auto"/>
                <w:bottom w:val="none" w:sz="0" w:space="0" w:color="auto"/>
                <w:right w:val="none" w:sz="0" w:space="0" w:color="auto"/>
              </w:divBdr>
              <w:divsChild>
                <w:div w:id="960264192">
                  <w:marLeft w:val="0"/>
                  <w:marRight w:val="0"/>
                  <w:marTop w:val="0"/>
                  <w:marBottom w:val="0"/>
                  <w:divBdr>
                    <w:top w:val="none" w:sz="0" w:space="0" w:color="auto"/>
                    <w:left w:val="none" w:sz="0" w:space="0" w:color="auto"/>
                    <w:bottom w:val="none" w:sz="0" w:space="0" w:color="auto"/>
                    <w:right w:val="none" w:sz="0" w:space="0" w:color="auto"/>
                  </w:divBdr>
                  <w:divsChild>
                    <w:div w:id="1738355583">
                      <w:marLeft w:val="0"/>
                      <w:marRight w:val="0"/>
                      <w:marTop w:val="0"/>
                      <w:marBottom w:val="0"/>
                      <w:divBdr>
                        <w:top w:val="none" w:sz="0" w:space="0" w:color="auto"/>
                        <w:left w:val="none" w:sz="0" w:space="0" w:color="auto"/>
                        <w:bottom w:val="none" w:sz="0" w:space="0" w:color="auto"/>
                        <w:right w:val="none" w:sz="0" w:space="0" w:color="auto"/>
                      </w:divBdr>
                      <w:divsChild>
                        <w:div w:id="2142573008">
                          <w:marLeft w:val="0"/>
                          <w:marRight w:val="0"/>
                          <w:marTop w:val="0"/>
                          <w:marBottom w:val="0"/>
                          <w:divBdr>
                            <w:top w:val="none" w:sz="0" w:space="0" w:color="auto"/>
                            <w:left w:val="none" w:sz="0" w:space="0" w:color="auto"/>
                            <w:bottom w:val="none" w:sz="0" w:space="0" w:color="auto"/>
                            <w:right w:val="none" w:sz="0" w:space="0" w:color="auto"/>
                          </w:divBdr>
                          <w:divsChild>
                            <w:div w:id="860898492">
                              <w:marLeft w:val="0"/>
                              <w:marRight w:val="0"/>
                              <w:marTop w:val="0"/>
                              <w:marBottom w:val="0"/>
                              <w:divBdr>
                                <w:top w:val="none" w:sz="0" w:space="0" w:color="auto"/>
                                <w:left w:val="none" w:sz="0" w:space="0" w:color="auto"/>
                                <w:bottom w:val="none" w:sz="0" w:space="0" w:color="auto"/>
                                <w:right w:val="none" w:sz="0" w:space="0" w:color="auto"/>
                              </w:divBdr>
                              <w:divsChild>
                                <w:div w:id="57753239">
                                  <w:marLeft w:val="165"/>
                                  <w:marRight w:val="165"/>
                                  <w:marTop w:val="0"/>
                                  <w:marBottom w:val="330"/>
                                  <w:divBdr>
                                    <w:top w:val="none" w:sz="0" w:space="0" w:color="auto"/>
                                    <w:left w:val="none" w:sz="0" w:space="0" w:color="auto"/>
                                    <w:bottom w:val="none" w:sz="0" w:space="0" w:color="auto"/>
                                    <w:right w:val="none" w:sz="0" w:space="0" w:color="auto"/>
                                  </w:divBdr>
                                  <w:divsChild>
                                    <w:div w:id="1035157505">
                                      <w:marLeft w:val="0"/>
                                      <w:marRight w:val="0"/>
                                      <w:marTop w:val="0"/>
                                      <w:marBottom w:val="0"/>
                                      <w:divBdr>
                                        <w:top w:val="none" w:sz="0" w:space="0" w:color="auto"/>
                                        <w:left w:val="none" w:sz="0" w:space="0" w:color="auto"/>
                                        <w:bottom w:val="none" w:sz="0" w:space="0" w:color="auto"/>
                                        <w:right w:val="none" w:sz="0" w:space="0" w:color="auto"/>
                                      </w:divBdr>
                                      <w:divsChild>
                                        <w:div w:id="177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254589">
      <w:bodyDiv w:val="1"/>
      <w:marLeft w:val="0"/>
      <w:marRight w:val="0"/>
      <w:marTop w:val="0"/>
      <w:marBottom w:val="0"/>
      <w:divBdr>
        <w:top w:val="none" w:sz="0" w:space="0" w:color="auto"/>
        <w:left w:val="none" w:sz="0" w:space="0" w:color="auto"/>
        <w:bottom w:val="none" w:sz="0" w:space="0" w:color="auto"/>
        <w:right w:val="none" w:sz="0" w:space="0" w:color="auto"/>
      </w:divBdr>
    </w:div>
    <w:div w:id="356738664">
      <w:bodyDiv w:val="1"/>
      <w:marLeft w:val="0"/>
      <w:marRight w:val="0"/>
      <w:marTop w:val="0"/>
      <w:marBottom w:val="0"/>
      <w:divBdr>
        <w:top w:val="none" w:sz="0" w:space="0" w:color="auto"/>
        <w:left w:val="none" w:sz="0" w:space="0" w:color="auto"/>
        <w:bottom w:val="none" w:sz="0" w:space="0" w:color="auto"/>
        <w:right w:val="none" w:sz="0" w:space="0" w:color="auto"/>
      </w:divBdr>
    </w:div>
    <w:div w:id="592856170">
      <w:bodyDiv w:val="1"/>
      <w:marLeft w:val="0"/>
      <w:marRight w:val="0"/>
      <w:marTop w:val="0"/>
      <w:marBottom w:val="0"/>
      <w:divBdr>
        <w:top w:val="none" w:sz="0" w:space="0" w:color="auto"/>
        <w:left w:val="none" w:sz="0" w:space="0" w:color="auto"/>
        <w:bottom w:val="none" w:sz="0" w:space="0" w:color="auto"/>
        <w:right w:val="none" w:sz="0" w:space="0" w:color="auto"/>
      </w:divBdr>
    </w:div>
    <w:div w:id="767584660">
      <w:bodyDiv w:val="1"/>
      <w:marLeft w:val="0"/>
      <w:marRight w:val="0"/>
      <w:marTop w:val="0"/>
      <w:marBottom w:val="0"/>
      <w:divBdr>
        <w:top w:val="none" w:sz="0" w:space="0" w:color="auto"/>
        <w:left w:val="none" w:sz="0" w:space="0" w:color="auto"/>
        <w:bottom w:val="none" w:sz="0" w:space="0" w:color="auto"/>
        <w:right w:val="none" w:sz="0" w:space="0" w:color="auto"/>
      </w:divBdr>
    </w:div>
    <w:div w:id="823818587">
      <w:bodyDiv w:val="1"/>
      <w:marLeft w:val="0"/>
      <w:marRight w:val="0"/>
      <w:marTop w:val="0"/>
      <w:marBottom w:val="0"/>
      <w:divBdr>
        <w:top w:val="none" w:sz="0" w:space="0" w:color="auto"/>
        <w:left w:val="none" w:sz="0" w:space="0" w:color="auto"/>
        <w:bottom w:val="none" w:sz="0" w:space="0" w:color="auto"/>
        <w:right w:val="none" w:sz="0" w:space="0" w:color="auto"/>
      </w:divBdr>
    </w:div>
    <w:div w:id="992375605">
      <w:bodyDiv w:val="1"/>
      <w:marLeft w:val="0"/>
      <w:marRight w:val="0"/>
      <w:marTop w:val="0"/>
      <w:marBottom w:val="0"/>
      <w:divBdr>
        <w:top w:val="none" w:sz="0" w:space="0" w:color="auto"/>
        <w:left w:val="none" w:sz="0" w:space="0" w:color="auto"/>
        <w:bottom w:val="none" w:sz="0" w:space="0" w:color="auto"/>
        <w:right w:val="none" w:sz="0" w:space="0" w:color="auto"/>
      </w:divBdr>
    </w:div>
    <w:div w:id="1058749875">
      <w:bodyDiv w:val="1"/>
      <w:marLeft w:val="0"/>
      <w:marRight w:val="0"/>
      <w:marTop w:val="0"/>
      <w:marBottom w:val="0"/>
      <w:divBdr>
        <w:top w:val="none" w:sz="0" w:space="0" w:color="auto"/>
        <w:left w:val="none" w:sz="0" w:space="0" w:color="auto"/>
        <w:bottom w:val="none" w:sz="0" w:space="0" w:color="auto"/>
        <w:right w:val="none" w:sz="0" w:space="0" w:color="auto"/>
      </w:divBdr>
    </w:div>
    <w:div w:id="1107702945">
      <w:bodyDiv w:val="1"/>
      <w:marLeft w:val="0"/>
      <w:marRight w:val="0"/>
      <w:marTop w:val="0"/>
      <w:marBottom w:val="0"/>
      <w:divBdr>
        <w:top w:val="none" w:sz="0" w:space="0" w:color="auto"/>
        <w:left w:val="none" w:sz="0" w:space="0" w:color="auto"/>
        <w:bottom w:val="none" w:sz="0" w:space="0" w:color="auto"/>
        <w:right w:val="none" w:sz="0" w:space="0" w:color="auto"/>
      </w:divBdr>
    </w:div>
    <w:div w:id="1196456200">
      <w:bodyDiv w:val="1"/>
      <w:marLeft w:val="0"/>
      <w:marRight w:val="0"/>
      <w:marTop w:val="0"/>
      <w:marBottom w:val="0"/>
      <w:divBdr>
        <w:top w:val="none" w:sz="0" w:space="0" w:color="auto"/>
        <w:left w:val="none" w:sz="0" w:space="0" w:color="auto"/>
        <w:bottom w:val="none" w:sz="0" w:space="0" w:color="auto"/>
        <w:right w:val="none" w:sz="0" w:space="0" w:color="auto"/>
      </w:divBdr>
    </w:div>
    <w:div w:id="1230117748">
      <w:bodyDiv w:val="1"/>
      <w:marLeft w:val="0"/>
      <w:marRight w:val="0"/>
      <w:marTop w:val="0"/>
      <w:marBottom w:val="0"/>
      <w:divBdr>
        <w:top w:val="none" w:sz="0" w:space="0" w:color="auto"/>
        <w:left w:val="none" w:sz="0" w:space="0" w:color="auto"/>
        <w:bottom w:val="none" w:sz="0" w:space="0" w:color="auto"/>
        <w:right w:val="none" w:sz="0" w:space="0" w:color="auto"/>
      </w:divBdr>
    </w:div>
    <w:div w:id="1235704766">
      <w:bodyDiv w:val="1"/>
      <w:marLeft w:val="0"/>
      <w:marRight w:val="0"/>
      <w:marTop w:val="0"/>
      <w:marBottom w:val="0"/>
      <w:divBdr>
        <w:top w:val="none" w:sz="0" w:space="0" w:color="auto"/>
        <w:left w:val="none" w:sz="0" w:space="0" w:color="auto"/>
        <w:bottom w:val="none" w:sz="0" w:space="0" w:color="auto"/>
        <w:right w:val="none" w:sz="0" w:space="0" w:color="auto"/>
      </w:divBdr>
    </w:div>
    <w:div w:id="1244024667">
      <w:bodyDiv w:val="1"/>
      <w:marLeft w:val="0"/>
      <w:marRight w:val="0"/>
      <w:marTop w:val="0"/>
      <w:marBottom w:val="0"/>
      <w:divBdr>
        <w:top w:val="none" w:sz="0" w:space="0" w:color="auto"/>
        <w:left w:val="none" w:sz="0" w:space="0" w:color="auto"/>
        <w:bottom w:val="none" w:sz="0" w:space="0" w:color="auto"/>
        <w:right w:val="none" w:sz="0" w:space="0" w:color="auto"/>
      </w:divBdr>
    </w:div>
    <w:div w:id="1286614784">
      <w:bodyDiv w:val="1"/>
      <w:marLeft w:val="0"/>
      <w:marRight w:val="0"/>
      <w:marTop w:val="0"/>
      <w:marBottom w:val="0"/>
      <w:divBdr>
        <w:top w:val="none" w:sz="0" w:space="0" w:color="auto"/>
        <w:left w:val="none" w:sz="0" w:space="0" w:color="auto"/>
        <w:bottom w:val="none" w:sz="0" w:space="0" w:color="auto"/>
        <w:right w:val="none" w:sz="0" w:space="0" w:color="auto"/>
      </w:divBdr>
    </w:div>
    <w:div w:id="1463498084">
      <w:bodyDiv w:val="1"/>
      <w:marLeft w:val="0"/>
      <w:marRight w:val="0"/>
      <w:marTop w:val="0"/>
      <w:marBottom w:val="0"/>
      <w:divBdr>
        <w:top w:val="none" w:sz="0" w:space="0" w:color="auto"/>
        <w:left w:val="none" w:sz="0" w:space="0" w:color="auto"/>
        <w:bottom w:val="none" w:sz="0" w:space="0" w:color="auto"/>
        <w:right w:val="none" w:sz="0" w:space="0" w:color="auto"/>
      </w:divBdr>
    </w:div>
    <w:div w:id="1468353092">
      <w:bodyDiv w:val="1"/>
      <w:marLeft w:val="0"/>
      <w:marRight w:val="0"/>
      <w:marTop w:val="0"/>
      <w:marBottom w:val="0"/>
      <w:divBdr>
        <w:top w:val="none" w:sz="0" w:space="0" w:color="auto"/>
        <w:left w:val="none" w:sz="0" w:space="0" w:color="auto"/>
        <w:bottom w:val="none" w:sz="0" w:space="0" w:color="auto"/>
        <w:right w:val="none" w:sz="0" w:space="0" w:color="auto"/>
      </w:divBdr>
    </w:div>
    <w:div w:id="1546992204">
      <w:bodyDiv w:val="1"/>
      <w:marLeft w:val="0"/>
      <w:marRight w:val="0"/>
      <w:marTop w:val="0"/>
      <w:marBottom w:val="0"/>
      <w:divBdr>
        <w:top w:val="none" w:sz="0" w:space="0" w:color="auto"/>
        <w:left w:val="none" w:sz="0" w:space="0" w:color="auto"/>
        <w:bottom w:val="none" w:sz="0" w:space="0" w:color="auto"/>
        <w:right w:val="none" w:sz="0" w:space="0" w:color="auto"/>
      </w:divBdr>
    </w:div>
    <w:div w:id="1581401480">
      <w:bodyDiv w:val="1"/>
      <w:marLeft w:val="0"/>
      <w:marRight w:val="0"/>
      <w:marTop w:val="0"/>
      <w:marBottom w:val="0"/>
      <w:divBdr>
        <w:top w:val="none" w:sz="0" w:space="0" w:color="auto"/>
        <w:left w:val="none" w:sz="0" w:space="0" w:color="auto"/>
        <w:bottom w:val="none" w:sz="0" w:space="0" w:color="auto"/>
        <w:right w:val="none" w:sz="0" w:space="0" w:color="auto"/>
      </w:divBdr>
    </w:div>
    <w:div w:id="1610425683">
      <w:bodyDiv w:val="1"/>
      <w:marLeft w:val="0"/>
      <w:marRight w:val="0"/>
      <w:marTop w:val="0"/>
      <w:marBottom w:val="0"/>
      <w:divBdr>
        <w:top w:val="none" w:sz="0" w:space="0" w:color="auto"/>
        <w:left w:val="none" w:sz="0" w:space="0" w:color="auto"/>
        <w:bottom w:val="none" w:sz="0" w:space="0" w:color="auto"/>
        <w:right w:val="none" w:sz="0" w:space="0" w:color="auto"/>
      </w:divBdr>
    </w:div>
    <w:div w:id="1621835925">
      <w:bodyDiv w:val="1"/>
      <w:marLeft w:val="0"/>
      <w:marRight w:val="0"/>
      <w:marTop w:val="0"/>
      <w:marBottom w:val="0"/>
      <w:divBdr>
        <w:top w:val="none" w:sz="0" w:space="0" w:color="auto"/>
        <w:left w:val="none" w:sz="0" w:space="0" w:color="auto"/>
        <w:bottom w:val="none" w:sz="0" w:space="0" w:color="auto"/>
        <w:right w:val="none" w:sz="0" w:space="0" w:color="auto"/>
      </w:divBdr>
    </w:div>
    <w:div w:id="1752696321">
      <w:bodyDiv w:val="1"/>
      <w:marLeft w:val="0"/>
      <w:marRight w:val="0"/>
      <w:marTop w:val="0"/>
      <w:marBottom w:val="0"/>
      <w:divBdr>
        <w:top w:val="none" w:sz="0" w:space="0" w:color="auto"/>
        <w:left w:val="none" w:sz="0" w:space="0" w:color="auto"/>
        <w:bottom w:val="none" w:sz="0" w:space="0" w:color="auto"/>
        <w:right w:val="none" w:sz="0" w:space="0" w:color="auto"/>
      </w:divBdr>
    </w:div>
    <w:div w:id="1807813674">
      <w:bodyDiv w:val="1"/>
      <w:marLeft w:val="0"/>
      <w:marRight w:val="0"/>
      <w:marTop w:val="0"/>
      <w:marBottom w:val="0"/>
      <w:divBdr>
        <w:top w:val="none" w:sz="0" w:space="0" w:color="auto"/>
        <w:left w:val="none" w:sz="0" w:space="0" w:color="auto"/>
        <w:bottom w:val="none" w:sz="0" w:space="0" w:color="auto"/>
        <w:right w:val="none" w:sz="0" w:space="0" w:color="auto"/>
      </w:divBdr>
    </w:div>
    <w:div w:id="1812166126">
      <w:bodyDiv w:val="1"/>
      <w:marLeft w:val="0"/>
      <w:marRight w:val="0"/>
      <w:marTop w:val="0"/>
      <w:marBottom w:val="0"/>
      <w:divBdr>
        <w:top w:val="none" w:sz="0" w:space="0" w:color="auto"/>
        <w:left w:val="none" w:sz="0" w:space="0" w:color="auto"/>
        <w:bottom w:val="none" w:sz="0" w:space="0" w:color="auto"/>
        <w:right w:val="none" w:sz="0" w:space="0" w:color="auto"/>
      </w:divBdr>
    </w:div>
    <w:div w:id="1871794732">
      <w:bodyDiv w:val="1"/>
      <w:marLeft w:val="0"/>
      <w:marRight w:val="0"/>
      <w:marTop w:val="0"/>
      <w:marBottom w:val="0"/>
      <w:divBdr>
        <w:top w:val="none" w:sz="0" w:space="0" w:color="auto"/>
        <w:left w:val="none" w:sz="0" w:space="0" w:color="auto"/>
        <w:bottom w:val="none" w:sz="0" w:space="0" w:color="auto"/>
        <w:right w:val="none" w:sz="0" w:space="0" w:color="auto"/>
      </w:divBdr>
    </w:div>
    <w:div w:id="2050033817">
      <w:bodyDiv w:val="1"/>
      <w:marLeft w:val="0"/>
      <w:marRight w:val="0"/>
      <w:marTop w:val="0"/>
      <w:marBottom w:val="0"/>
      <w:divBdr>
        <w:top w:val="none" w:sz="0" w:space="0" w:color="auto"/>
        <w:left w:val="none" w:sz="0" w:space="0" w:color="auto"/>
        <w:bottom w:val="none" w:sz="0" w:space="0" w:color="auto"/>
        <w:right w:val="none" w:sz="0" w:space="0" w:color="auto"/>
      </w:divBdr>
    </w:div>
    <w:div w:id="2076467556">
      <w:bodyDiv w:val="1"/>
      <w:marLeft w:val="0"/>
      <w:marRight w:val="0"/>
      <w:marTop w:val="0"/>
      <w:marBottom w:val="0"/>
      <w:divBdr>
        <w:top w:val="none" w:sz="0" w:space="0" w:color="auto"/>
        <w:left w:val="none" w:sz="0" w:space="0" w:color="auto"/>
        <w:bottom w:val="none" w:sz="0" w:space="0" w:color="auto"/>
        <w:right w:val="none" w:sz="0" w:space="0" w:color="auto"/>
      </w:divBdr>
    </w:div>
    <w:div w:id="2080592575">
      <w:bodyDiv w:val="1"/>
      <w:marLeft w:val="0"/>
      <w:marRight w:val="0"/>
      <w:marTop w:val="0"/>
      <w:marBottom w:val="0"/>
      <w:divBdr>
        <w:top w:val="none" w:sz="0" w:space="0" w:color="auto"/>
        <w:left w:val="none" w:sz="0" w:space="0" w:color="auto"/>
        <w:bottom w:val="none" w:sz="0" w:space="0" w:color="auto"/>
        <w:right w:val="none" w:sz="0" w:space="0" w:color="auto"/>
      </w:divBdr>
    </w:div>
    <w:div w:id="209531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i.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edback@courts.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ac.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i.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6C750-31B2-40FF-99EF-2A5C990D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48</Pages>
  <Words>15093</Words>
  <Characters>86036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100928</CharactersWithSpaces>
  <SharedDoc>false</SharedDoc>
  <HLinks>
    <vt:vector size="222" baseType="variant">
      <vt:variant>
        <vt:i4>7209058</vt:i4>
      </vt:variant>
      <vt:variant>
        <vt:i4>213</vt:i4>
      </vt:variant>
      <vt:variant>
        <vt:i4>0</vt:i4>
      </vt:variant>
      <vt:variant>
        <vt:i4>5</vt:i4>
      </vt:variant>
      <vt:variant>
        <vt:lpwstr>http://www.foi.vic.gov.au/</vt:lpwstr>
      </vt:variant>
      <vt:variant>
        <vt:lpwstr/>
      </vt:variant>
      <vt:variant>
        <vt:i4>7209058</vt:i4>
      </vt:variant>
      <vt:variant>
        <vt:i4>210</vt:i4>
      </vt:variant>
      <vt:variant>
        <vt:i4>0</vt:i4>
      </vt:variant>
      <vt:variant>
        <vt:i4>5</vt:i4>
      </vt:variant>
      <vt:variant>
        <vt:lpwstr>http://www.foi.vic.gov.au/</vt:lpwstr>
      </vt:variant>
      <vt:variant>
        <vt:lpwstr/>
      </vt:variant>
      <vt:variant>
        <vt:i4>2818059</vt:i4>
      </vt:variant>
      <vt:variant>
        <vt:i4>207</vt:i4>
      </vt:variant>
      <vt:variant>
        <vt:i4>0</vt:i4>
      </vt:variant>
      <vt:variant>
        <vt:i4>5</vt:i4>
      </vt:variant>
      <vt:variant>
        <vt:lpwstr>mailto:feedback@courts.vic.gov.au</vt:lpwstr>
      </vt:variant>
      <vt:variant>
        <vt:lpwstr/>
      </vt:variant>
      <vt:variant>
        <vt:i4>8257588</vt:i4>
      </vt:variant>
      <vt:variant>
        <vt:i4>204</vt:i4>
      </vt:variant>
      <vt:variant>
        <vt:i4>0</vt:i4>
      </vt:variant>
      <vt:variant>
        <vt:i4>5</vt:i4>
      </vt:variant>
      <vt:variant>
        <vt:lpwstr>http://www.ibac.vic.gov.au/</vt:lpwstr>
      </vt:variant>
      <vt:variant>
        <vt:lpwstr/>
      </vt:variant>
      <vt:variant>
        <vt:i4>1638450</vt:i4>
      </vt:variant>
      <vt:variant>
        <vt:i4>194</vt:i4>
      </vt:variant>
      <vt:variant>
        <vt:i4>0</vt:i4>
      </vt:variant>
      <vt:variant>
        <vt:i4>5</vt:i4>
      </vt:variant>
      <vt:variant>
        <vt:lpwstr/>
      </vt:variant>
      <vt:variant>
        <vt:lpwstr>_Toc494978562</vt:lpwstr>
      </vt:variant>
      <vt:variant>
        <vt:i4>1638450</vt:i4>
      </vt:variant>
      <vt:variant>
        <vt:i4>188</vt:i4>
      </vt:variant>
      <vt:variant>
        <vt:i4>0</vt:i4>
      </vt:variant>
      <vt:variant>
        <vt:i4>5</vt:i4>
      </vt:variant>
      <vt:variant>
        <vt:lpwstr/>
      </vt:variant>
      <vt:variant>
        <vt:lpwstr>_Toc494978561</vt:lpwstr>
      </vt:variant>
      <vt:variant>
        <vt:i4>1638450</vt:i4>
      </vt:variant>
      <vt:variant>
        <vt:i4>182</vt:i4>
      </vt:variant>
      <vt:variant>
        <vt:i4>0</vt:i4>
      </vt:variant>
      <vt:variant>
        <vt:i4>5</vt:i4>
      </vt:variant>
      <vt:variant>
        <vt:lpwstr/>
      </vt:variant>
      <vt:variant>
        <vt:lpwstr>_Toc494978560</vt:lpwstr>
      </vt:variant>
      <vt:variant>
        <vt:i4>1703986</vt:i4>
      </vt:variant>
      <vt:variant>
        <vt:i4>176</vt:i4>
      </vt:variant>
      <vt:variant>
        <vt:i4>0</vt:i4>
      </vt:variant>
      <vt:variant>
        <vt:i4>5</vt:i4>
      </vt:variant>
      <vt:variant>
        <vt:lpwstr/>
      </vt:variant>
      <vt:variant>
        <vt:lpwstr>_Toc494978559</vt:lpwstr>
      </vt:variant>
      <vt:variant>
        <vt:i4>1703986</vt:i4>
      </vt:variant>
      <vt:variant>
        <vt:i4>170</vt:i4>
      </vt:variant>
      <vt:variant>
        <vt:i4>0</vt:i4>
      </vt:variant>
      <vt:variant>
        <vt:i4>5</vt:i4>
      </vt:variant>
      <vt:variant>
        <vt:lpwstr/>
      </vt:variant>
      <vt:variant>
        <vt:lpwstr>_Toc494978558</vt:lpwstr>
      </vt:variant>
      <vt:variant>
        <vt:i4>1703986</vt:i4>
      </vt:variant>
      <vt:variant>
        <vt:i4>164</vt:i4>
      </vt:variant>
      <vt:variant>
        <vt:i4>0</vt:i4>
      </vt:variant>
      <vt:variant>
        <vt:i4>5</vt:i4>
      </vt:variant>
      <vt:variant>
        <vt:lpwstr/>
      </vt:variant>
      <vt:variant>
        <vt:lpwstr>_Toc494978557</vt:lpwstr>
      </vt:variant>
      <vt:variant>
        <vt:i4>1703986</vt:i4>
      </vt:variant>
      <vt:variant>
        <vt:i4>158</vt:i4>
      </vt:variant>
      <vt:variant>
        <vt:i4>0</vt:i4>
      </vt:variant>
      <vt:variant>
        <vt:i4>5</vt:i4>
      </vt:variant>
      <vt:variant>
        <vt:lpwstr/>
      </vt:variant>
      <vt:variant>
        <vt:lpwstr>_Toc494978556</vt:lpwstr>
      </vt:variant>
      <vt:variant>
        <vt:i4>1703986</vt:i4>
      </vt:variant>
      <vt:variant>
        <vt:i4>152</vt:i4>
      </vt:variant>
      <vt:variant>
        <vt:i4>0</vt:i4>
      </vt:variant>
      <vt:variant>
        <vt:i4>5</vt:i4>
      </vt:variant>
      <vt:variant>
        <vt:lpwstr/>
      </vt:variant>
      <vt:variant>
        <vt:lpwstr>_Toc494978555</vt:lpwstr>
      </vt:variant>
      <vt:variant>
        <vt:i4>1703986</vt:i4>
      </vt:variant>
      <vt:variant>
        <vt:i4>146</vt:i4>
      </vt:variant>
      <vt:variant>
        <vt:i4>0</vt:i4>
      </vt:variant>
      <vt:variant>
        <vt:i4>5</vt:i4>
      </vt:variant>
      <vt:variant>
        <vt:lpwstr/>
      </vt:variant>
      <vt:variant>
        <vt:lpwstr>_Toc494978554</vt:lpwstr>
      </vt:variant>
      <vt:variant>
        <vt:i4>1703986</vt:i4>
      </vt:variant>
      <vt:variant>
        <vt:i4>140</vt:i4>
      </vt:variant>
      <vt:variant>
        <vt:i4>0</vt:i4>
      </vt:variant>
      <vt:variant>
        <vt:i4>5</vt:i4>
      </vt:variant>
      <vt:variant>
        <vt:lpwstr/>
      </vt:variant>
      <vt:variant>
        <vt:lpwstr>_Toc494978553</vt:lpwstr>
      </vt:variant>
      <vt:variant>
        <vt:i4>1703986</vt:i4>
      </vt:variant>
      <vt:variant>
        <vt:i4>134</vt:i4>
      </vt:variant>
      <vt:variant>
        <vt:i4>0</vt:i4>
      </vt:variant>
      <vt:variant>
        <vt:i4>5</vt:i4>
      </vt:variant>
      <vt:variant>
        <vt:lpwstr/>
      </vt:variant>
      <vt:variant>
        <vt:lpwstr>_Toc494978552</vt:lpwstr>
      </vt:variant>
      <vt:variant>
        <vt:i4>1703986</vt:i4>
      </vt:variant>
      <vt:variant>
        <vt:i4>128</vt:i4>
      </vt:variant>
      <vt:variant>
        <vt:i4>0</vt:i4>
      </vt:variant>
      <vt:variant>
        <vt:i4>5</vt:i4>
      </vt:variant>
      <vt:variant>
        <vt:lpwstr/>
      </vt:variant>
      <vt:variant>
        <vt:lpwstr>_Toc494978551</vt:lpwstr>
      </vt:variant>
      <vt:variant>
        <vt:i4>1703986</vt:i4>
      </vt:variant>
      <vt:variant>
        <vt:i4>122</vt:i4>
      </vt:variant>
      <vt:variant>
        <vt:i4>0</vt:i4>
      </vt:variant>
      <vt:variant>
        <vt:i4>5</vt:i4>
      </vt:variant>
      <vt:variant>
        <vt:lpwstr/>
      </vt:variant>
      <vt:variant>
        <vt:lpwstr>_Toc494978550</vt:lpwstr>
      </vt:variant>
      <vt:variant>
        <vt:i4>1769522</vt:i4>
      </vt:variant>
      <vt:variant>
        <vt:i4>116</vt:i4>
      </vt:variant>
      <vt:variant>
        <vt:i4>0</vt:i4>
      </vt:variant>
      <vt:variant>
        <vt:i4>5</vt:i4>
      </vt:variant>
      <vt:variant>
        <vt:lpwstr/>
      </vt:variant>
      <vt:variant>
        <vt:lpwstr>_Toc494978549</vt:lpwstr>
      </vt:variant>
      <vt:variant>
        <vt:i4>1769522</vt:i4>
      </vt:variant>
      <vt:variant>
        <vt:i4>110</vt:i4>
      </vt:variant>
      <vt:variant>
        <vt:i4>0</vt:i4>
      </vt:variant>
      <vt:variant>
        <vt:i4>5</vt:i4>
      </vt:variant>
      <vt:variant>
        <vt:lpwstr/>
      </vt:variant>
      <vt:variant>
        <vt:lpwstr>_Toc494978548</vt:lpwstr>
      </vt:variant>
      <vt:variant>
        <vt:i4>1769522</vt:i4>
      </vt:variant>
      <vt:variant>
        <vt:i4>104</vt:i4>
      </vt:variant>
      <vt:variant>
        <vt:i4>0</vt:i4>
      </vt:variant>
      <vt:variant>
        <vt:i4>5</vt:i4>
      </vt:variant>
      <vt:variant>
        <vt:lpwstr/>
      </vt:variant>
      <vt:variant>
        <vt:lpwstr>_Toc494978547</vt:lpwstr>
      </vt:variant>
      <vt:variant>
        <vt:i4>1769522</vt:i4>
      </vt:variant>
      <vt:variant>
        <vt:i4>98</vt:i4>
      </vt:variant>
      <vt:variant>
        <vt:i4>0</vt:i4>
      </vt:variant>
      <vt:variant>
        <vt:i4>5</vt:i4>
      </vt:variant>
      <vt:variant>
        <vt:lpwstr/>
      </vt:variant>
      <vt:variant>
        <vt:lpwstr>_Toc494978546</vt:lpwstr>
      </vt:variant>
      <vt:variant>
        <vt:i4>1769522</vt:i4>
      </vt:variant>
      <vt:variant>
        <vt:i4>92</vt:i4>
      </vt:variant>
      <vt:variant>
        <vt:i4>0</vt:i4>
      </vt:variant>
      <vt:variant>
        <vt:i4>5</vt:i4>
      </vt:variant>
      <vt:variant>
        <vt:lpwstr/>
      </vt:variant>
      <vt:variant>
        <vt:lpwstr>_Toc494978545</vt:lpwstr>
      </vt:variant>
      <vt:variant>
        <vt:i4>1769522</vt:i4>
      </vt:variant>
      <vt:variant>
        <vt:i4>86</vt:i4>
      </vt:variant>
      <vt:variant>
        <vt:i4>0</vt:i4>
      </vt:variant>
      <vt:variant>
        <vt:i4>5</vt:i4>
      </vt:variant>
      <vt:variant>
        <vt:lpwstr/>
      </vt:variant>
      <vt:variant>
        <vt:lpwstr>_Toc494978544</vt:lpwstr>
      </vt:variant>
      <vt:variant>
        <vt:i4>1769522</vt:i4>
      </vt:variant>
      <vt:variant>
        <vt:i4>80</vt:i4>
      </vt:variant>
      <vt:variant>
        <vt:i4>0</vt:i4>
      </vt:variant>
      <vt:variant>
        <vt:i4>5</vt:i4>
      </vt:variant>
      <vt:variant>
        <vt:lpwstr/>
      </vt:variant>
      <vt:variant>
        <vt:lpwstr>_Toc494978543</vt:lpwstr>
      </vt:variant>
      <vt:variant>
        <vt:i4>1769522</vt:i4>
      </vt:variant>
      <vt:variant>
        <vt:i4>74</vt:i4>
      </vt:variant>
      <vt:variant>
        <vt:i4>0</vt:i4>
      </vt:variant>
      <vt:variant>
        <vt:i4>5</vt:i4>
      </vt:variant>
      <vt:variant>
        <vt:lpwstr/>
      </vt:variant>
      <vt:variant>
        <vt:lpwstr>_Toc494978542</vt:lpwstr>
      </vt:variant>
      <vt:variant>
        <vt:i4>1769522</vt:i4>
      </vt:variant>
      <vt:variant>
        <vt:i4>68</vt:i4>
      </vt:variant>
      <vt:variant>
        <vt:i4>0</vt:i4>
      </vt:variant>
      <vt:variant>
        <vt:i4>5</vt:i4>
      </vt:variant>
      <vt:variant>
        <vt:lpwstr/>
      </vt:variant>
      <vt:variant>
        <vt:lpwstr>_Toc494978541</vt:lpwstr>
      </vt:variant>
      <vt:variant>
        <vt:i4>1769522</vt:i4>
      </vt:variant>
      <vt:variant>
        <vt:i4>62</vt:i4>
      </vt:variant>
      <vt:variant>
        <vt:i4>0</vt:i4>
      </vt:variant>
      <vt:variant>
        <vt:i4>5</vt:i4>
      </vt:variant>
      <vt:variant>
        <vt:lpwstr/>
      </vt:variant>
      <vt:variant>
        <vt:lpwstr>_Toc494978540</vt:lpwstr>
      </vt:variant>
      <vt:variant>
        <vt:i4>1835058</vt:i4>
      </vt:variant>
      <vt:variant>
        <vt:i4>56</vt:i4>
      </vt:variant>
      <vt:variant>
        <vt:i4>0</vt:i4>
      </vt:variant>
      <vt:variant>
        <vt:i4>5</vt:i4>
      </vt:variant>
      <vt:variant>
        <vt:lpwstr/>
      </vt:variant>
      <vt:variant>
        <vt:lpwstr>_Toc494978539</vt:lpwstr>
      </vt:variant>
      <vt:variant>
        <vt:i4>1835058</vt:i4>
      </vt:variant>
      <vt:variant>
        <vt:i4>50</vt:i4>
      </vt:variant>
      <vt:variant>
        <vt:i4>0</vt:i4>
      </vt:variant>
      <vt:variant>
        <vt:i4>5</vt:i4>
      </vt:variant>
      <vt:variant>
        <vt:lpwstr/>
      </vt:variant>
      <vt:variant>
        <vt:lpwstr>_Toc494978538</vt:lpwstr>
      </vt:variant>
      <vt:variant>
        <vt:i4>1835058</vt:i4>
      </vt:variant>
      <vt:variant>
        <vt:i4>44</vt:i4>
      </vt:variant>
      <vt:variant>
        <vt:i4>0</vt:i4>
      </vt:variant>
      <vt:variant>
        <vt:i4>5</vt:i4>
      </vt:variant>
      <vt:variant>
        <vt:lpwstr/>
      </vt:variant>
      <vt:variant>
        <vt:lpwstr>_Toc494978537</vt:lpwstr>
      </vt:variant>
      <vt:variant>
        <vt:i4>1835058</vt:i4>
      </vt:variant>
      <vt:variant>
        <vt:i4>38</vt:i4>
      </vt:variant>
      <vt:variant>
        <vt:i4>0</vt:i4>
      </vt:variant>
      <vt:variant>
        <vt:i4>5</vt:i4>
      </vt:variant>
      <vt:variant>
        <vt:lpwstr/>
      </vt:variant>
      <vt:variant>
        <vt:lpwstr>_Toc494978536</vt:lpwstr>
      </vt:variant>
      <vt:variant>
        <vt:i4>1835058</vt:i4>
      </vt:variant>
      <vt:variant>
        <vt:i4>32</vt:i4>
      </vt:variant>
      <vt:variant>
        <vt:i4>0</vt:i4>
      </vt:variant>
      <vt:variant>
        <vt:i4>5</vt:i4>
      </vt:variant>
      <vt:variant>
        <vt:lpwstr/>
      </vt:variant>
      <vt:variant>
        <vt:lpwstr>_Toc494978535</vt:lpwstr>
      </vt:variant>
      <vt:variant>
        <vt:i4>1835058</vt:i4>
      </vt:variant>
      <vt:variant>
        <vt:i4>26</vt:i4>
      </vt:variant>
      <vt:variant>
        <vt:i4>0</vt:i4>
      </vt:variant>
      <vt:variant>
        <vt:i4>5</vt:i4>
      </vt:variant>
      <vt:variant>
        <vt:lpwstr/>
      </vt:variant>
      <vt:variant>
        <vt:lpwstr>_Toc494978534</vt:lpwstr>
      </vt:variant>
      <vt:variant>
        <vt:i4>1835058</vt:i4>
      </vt:variant>
      <vt:variant>
        <vt:i4>20</vt:i4>
      </vt:variant>
      <vt:variant>
        <vt:i4>0</vt:i4>
      </vt:variant>
      <vt:variant>
        <vt:i4>5</vt:i4>
      </vt:variant>
      <vt:variant>
        <vt:lpwstr/>
      </vt:variant>
      <vt:variant>
        <vt:lpwstr>_Toc494978533</vt:lpwstr>
      </vt:variant>
      <vt:variant>
        <vt:i4>1835058</vt:i4>
      </vt:variant>
      <vt:variant>
        <vt:i4>14</vt:i4>
      </vt:variant>
      <vt:variant>
        <vt:i4>0</vt:i4>
      </vt:variant>
      <vt:variant>
        <vt:i4>5</vt:i4>
      </vt:variant>
      <vt:variant>
        <vt:lpwstr/>
      </vt:variant>
      <vt:variant>
        <vt:lpwstr>_Toc494978532</vt:lpwstr>
      </vt:variant>
      <vt:variant>
        <vt:i4>1835058</vt:i4>
      </vt:variant>
      <vt:variant>
        <vt:i4>8</vt:i4>
      </vt:variant>
      <vt:variant>
        <vt:i4>0</vt:i4>
      </vt:variant>
      <vt:variant>
        <vt:i4>5</vt:i4>
      </vt:variant>
      <vt:variant>
        <vt:lpwstr/>
      </vt:variant>
      <vt:variant>
        <vt:lpwstr>_Toc494978531</vt:lpwstr>
      </vt:variant>
      <vt:variant>
        <vt:i4>1835058</vt:i4>
      </vt:variant>
      <vt:variant>
        <vt:i4>2</vt:i4>
      </vt:variant>
      <vt:variant>
        <vt:i4>0</vt:i4>
      </vt:variant>
      <vt:variant>
        <vt:i4>5</vt:i4>
      </vt:variant>
      <vt:variant>
        <vt:lpwstr/>
      </vt:variant>
      <vt:variant>
        <vt:lpwstr>_Toc494978530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Coady</dc:creator>
  <cp:keywords/>
  <dc:description/>
  <cp:lastModifiedBy>Jenni Coady</cp:lastModifiedBy>
  <cp:revision>3</cp:revision>
  <cp:lastPrinted>2017-09-27T23:12:00Z</cp:lastPrinted>
  <dcterms:created xsi:type="dcterms:W3CDTF">2017-10-30T00:49:00Z</dcterms:created>
  <dcterms:modified xsi:type="dcterms:W3CDTF">2017-10-30T02:53:00Z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CD/17/508377*</vt:lpwstr>
  </property>
  <property fmtid="{D5CDD505-2E9C-101B-9397-08002B2CF9AE}" pid="3" name="TRIM_DateDue">
    <vt:lpwstr> </vt:lpwstr>
  </property>
  <property fmtid="{D5CDD505-2E9C-101B-9397-08002B2CF9AE}" pid="4" name="TRIM_Author">
    <vt:lpwstr>SMYTH, Lisa</vt:lpwstr>
  </property>
  <property fmtid="{D5CDD505-2E9C-101B-9397-08002B2CF9AE}" pid="5" name="TRIM_Container">
    <vt:lpwstr>DG/17/40972</vt:lpwstr>
  </property>
  <property fmtid="{D5CDD505-2E9C-101B-9397-08002B2CF9AE}" pid="6" name="TRIM_Creator">
    <vt:lpwstr>SMYTH, Lisa</vt:lpwstr>
  </property>
  <property fmtid="{D5CDD505-2E9C-101B-9397-08002B2CF9AE}" pid="7" name="TRIM_DateRegistered">
    <vt:lpwstr>8 September, 2017</vt:lpwstr>
  </property>
  <property fmtid="{D5CDD505-2E9C-101B-9397-08002B2CF9AE}" pid="8" name="TRIM_OwnerLocation">
    <vt:lpwstr>Engagement &amp; Online Services (People, Culture and Change - JS)</vt:lpwstr>
  </property>
  <property fmtid="{D5CDD505-2E9C-101B-9397-08002B2CF9AE}" pid="9" name="TRIM_ResponsibleOfficer">
    <vt:lpwstr> </vt:lpwstr>
  </property>
  <property fmtid="{D5CDD505-2E9C-101B-9397-08002B2CF9AE}" pid="10" name="TRIM_Title">
    <vt:lpwstr>CSV Annual Report 2016-17 Report of Operations_V3</vt:lpwstr>
  </property>
</Properties>
</file>